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9466" w14:textId="01D1A57C"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 xml:space="preserve">EXPLANATORY </w:t>
      </w:r>
      <w:r w:rsidR="00D56249">
        <w:rPr>
          <w:rFonts w:ascii="Times New Roman" w:hAnsi="Times New Roman"/>
          <w:sz w:val="24"/>
          <w:szCs w:val="24"/>
        </w:rPr>
        <w:t>STATEMENT</w:t>
      </w:r>
    </w:p>
    <w:p w14:paraId="2678E10D" w14:textId="644E3BC1"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6C37412106674B29BCDE9B5E09875A3A"/>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691F84">
            <w:rPr>
              <w:rStyle w:val="DefaultChar"/>
            </w:rPr>
            <w:t>the Assistant Treasurer and Minister for Financial Services</w:t>
          </w:r>
        </w:sdtContent>
      </w:sdt>
      <w:r w:rsidR="00076178" w:rsidRPr="00731FEA">
        <w:rPr>
          <w:sz w:val="24"/>
          <w:szCs w:val="24"/>
        </w:rPr>
        <w:t xml:space="preserve"> </w:t>
      </w:r>
    </w:p>
    <w:p w14:paraId="76D061C8" w14:textId="77777777" w:rsidR="00E44402" w:rsidRDefault="00E44402" w:rsidP="00E44402">
      <w:pPr>
        <w:spacing w:before="240" w:after="240"/>
        <w:jc w:val="center"/>
        <w:rPr>
          <w:i/>
        </w:rPr>
      </w:pPr>
      <w:r>
        <w:rPr>
          <w:i/>
          <w:iCs/>
          <w:color w:val="000000"/>
          <w:shd w:val="clear" w:color="auto" w:fill="FFFFFF"/>
        </w:rPr>
        <w:t>Competition and Consumer Act 2010</w:t>
      </w:r>
    </w:p>
    <w:p w14:paraId="3344332A" w14:textId="50B51B27" w:rsidR="00E44402" w:rsidRPr="00503E44" w:rsidRDefault="00E44402" w:rsidP="00E44402">
      <w:pPr>
        <w:tabs>
          <w:tab w:val="left" w:pos="1418"/>
        </w:tabs>
        <w:spacing w:before="0" w:after="240"/>
        <w:jc w:val="center"/>
        <w:rPr>
          <w:i/>
        </w:rPr>
      </w:pPr>
      <w:r>
        <w:rPr>
          <w:i/>
          <w:iCs/>
          <w:color w:val="000000"/>
          <w:shd w:val="clear" w:color="auto" w:fill="FFFFFF"/>
        </w:rPr>
        <w:t xml:space="preserve">Competition and Consumer </w:t>
      </w:r>
      <w:r w:rsidR="00FF3188">
        <w:rPr>
          <w:i/>
          <w:iCs/>
          <w:color w:val="000000"/>
          <w:shd w:val="clear" w:color="auto" w:fill="FFFFFF"/>
        </w:rPr>
        <w:t>(</w:t>
      </w:r>
      <w:r w:rsidR="003570B3">
        <w:rPr>
          <w:i/>
          <w:iCs/>
          <w:color w:val="000000"/>
          <w:shd w:val="clear" w:color="auto" w:fill="FFFFFF"/>
        </w:rPr>
        <w:t xml:space="preserve">Consumer </w:t>
      </w:r>
      <w:r>
        <w:rPr>
          <w:i/>
          <w:iCs/>
          <w:color w:val="000000"/>
          <w:shd w:val="clear" w:color="auto" w:fill="FFFFFF"/>
        </w:rPr>
        <w:t xml:space="preserve">Data Right) </w:t>
      </w:r>
      <w:r w:rsidR="00BD07F3">
        <w:rPr>
          <w:i/>
          <w:iCs/>
          <w:color w:val="000000"/>
          <w:shd w:val="clear" w:color="auto" w:fill="FFFFFF"/>
        </w:rPr>
        <w:t xml:space="preserve">Amendment </w:t>
      </w:r>
      <w:r w:rsidR="00CC1757">
        <w:rPr>
          <w:i/>
          <w:iCs/>
          <w:color w:val="000000"/>
          <w:shd w:val="clear" w:color="auto" w:fill="FFFFFF"/>
        </w:rPr>
        <w:t>(</w:t>
      </w:r>
      <w:r w:rsidR="00A94A88">
        <w:rPr>
          <w:i/>
          <w:iCs/>
          <w:color w:val="000000"/>
          <w:shd w:val="clear" w:color="auto" w:fill="FFFFFF"/>
        </w:rPr>
        <w:t xml:space="preserve">2025 </w:t>
      </w:r>
      <w:r w:rsidR="00DD07EB">
        <w:rPr>
          <w:i/>
          <w:iCs/>
          <w:color w:val="000000"/>
          <w:shd w:val="clear" w:color="auto" w:fill="FFFFFF"/>
        </w:rPr>
        <w:t xml:space="preserve">Measures </w:t>
      </w:r>
      <w:r w:rsidR="00854502">
        <w:rPr>
          <w:i/>
          <w:iCs/>
          <w:color w:val="000000"/>
          <w:shd w:val="clear" w:color="auto" w:fill="FFFFFF"/>
        </w:rPr>
        <w:t>No</w:t>
      </w:r>
      <w:r w:rsidR="00854502" w:rsidDel="0055745F">
        <w:rPr>
          <w:i/>
          <w:iCs/>
          <w:color w:val="000000"/>
          <w:shd w:val="clear" w:color="auto" w:fill="FFFFFF"/>
        </w:rPr>
        <w:t>.</w:t>
      </w:r>
      <w:r w:rsidR="0055745F">
        <w:rPr>
          <w:i/>
          <w:iCs/>
          <w:color w:val="000000"/>
          <w:shd w:val="clear" w:color="auto" w:fill="FFFFFF"/>
        </w:rPr>
        <w:t> </w:t>
      </w:r>
      <w:r w:rsidR="00A94A88">
        <w:rPr>
          <w:i/>
          <w:iCs/>
          <w:color w:val="000000"/>
          <w:shd w:val="clear" w:color="auto" w:fill="FFFFFF"/>
        </w:rPr>
        <w:t>1</w:t>
      </w:r>
      <w:r w:rsidR="00854502">
        <w:rPr>
          <w:i/>
          <w:iCs/>
          <w:color w:val="000000"/>
          <w:shd w:val="clear" w:color="auto" w:fill="FFFFFF"/>
        </w:rPr>
        <w:t xml:space="preserve">) </w:t>
      </w:r>
      <w:r w:rsidR="00D000F1">
        <w:rPr>
          <w:i/>
          <w:iCs/>
          <w:color w:val="000000"/>
          <w:shd w:val="clear" w:color="auto" w:fill="FFFFFF"/>
        </w:rPr>
        <w:t>Rules</w:t>
      </w:r>
      <w:r w:rsidR="00854502">
        <w:rPr>
          <w:i/>
          <w:iCs/>
          <w:color w:val="000000"/>
          <w:shd w:val="clear" w:color="auto" w:fill="FFFFFF"/>
        </w:rPr>
        <w:t xml:space="preserve"> </w:t>
      </w:r>
      <w:r w:rsidR="00A94A88">
        <w:rPr>
          <w:i/>
          <w:iCs/>
          <w:color w:val="000000"/>
          <w:shd w:val="clear" w:color="auto" w:fill="FFFFFF"/>
        </w:rPr>
        <w:t>2025</w:t>
      </w:r>
    </w:p>
    <w:p w14:paraId="4B634A87" w14:textId="1E79A1DE" w:rsidR="00A15DEE" w:rsidRDefault="00A15DEE" w:rsidP="00A15DEE">
      <w:pPr>
        <w:spacing w:before="240"/>
      </w:pPr>
      <w:r>
        <w:t xml:space="preserve">Section 56BA of the </w:t>
      </w:r>
      <w:r w:rsidRPr="251E43ED">
        <w:rPr>
          <w:i/>
          <w:iCs/>
        </w:rPr>
        <w:t>Competition and Consumer Act 2010</w:t>
      </w:r>
      <w:r>
        <w:t xml:space="preserve"> (</w:t>
      </w:r>
      <w:r w:rsidR="00487B6B">
        <w:t>‘</w:t>
      </w:r>
      <w:r>
        <w:t>the Act</w:t>
      </w:r>
      <w:r w:rsidR="00487B6B">
        <w:t>’</w:t>
      </w:r>
      <w:r>
        <w:t xml:space="preserve">) provides that the Minister may, by legislative instrument, make consumer data rules for designated sectors in accordance with Part IVD of the Act. </w:t>
      </w:r>
    </w:p>
    <w:p w14:paraId="3B2EEA98" w14:textId="67F61987" w:rsidR="00A15DEE" w:rsidRPr="00E153D2" w:rsidRDefault="00A15DEE" w:rsidP="00216026">
      <w:pPr>
        <w:spacing w:before="240"/>
        <w:rPr>
          <w:szCs w:val="24"/>
        </w:rPr>
      </w:pPr>
      <w:r w:rsidRPr="00534A17">
        <w:rPr>
          <w:color w:val="000000"/>
          <w:szCs w:val="24"/>
          <w:shd w:val="clear" w:color="auto" w:fill="FFFFFF"/>
        </w:rPr>
        <w:t>A ‘</w:t>
      </w:r>
      <w:r w:rsidRPr="00216026">
        <w:t>designated</w:t>
      </w:r>
      <w:r w:rsidRPr="00534A17">
        <w:rPr>
          <w:color w:val="000000"/>
          <w:szCs w:val="24"/>
          <w:shd w:val="clear" w:color="auto" w:fill="FFFFFF"/>
        </w:rPr>
        <w:t xml:space="preserve"> sector’ is a sector of the Australian economy designated, by legislative instrument made under section 56AC of the Act</w:t>
      </w:r>
      <w:r>
        <w:rPr>
          <w:color w:val="000000"/>
          <w:szCs w:val="24"/>
          <w:shd w:val="clear" w:color="auto" w:fill="FFFFFF"/>
        </w:rPr>
        <w:t xml:space="preserve"> (</w:t>
      </w:r>
      <w:r w:rsidR="007A5B00">
        <w:rPr>
          <w:color w:val="000000"/>
          <w:szCs w:val="24"/>
          <w:shd w:val="clear" w:color="auto" w:fill="FFFFFF"/>
        </w:rPr>
        <w:t>‘</w:t>
      </w:r>
      <w:r>
        <w:rPr>
          <w:color w:val="000000"/>
          <w:szCs w:val="24"/>
          <w:shd w:val="clear" w:color="auto" w:fill="FFFFFF"/>
        </w:rPr>
        <w:t>designation instrument</w:t>
      </w:r>
      <w:r w:rsidR="00FD5852">
        <w:rPr>
          <w:color w:val="000000"/>
          <w:szCs w:val="24"/>
          <w:shd w:val="clear" w:color="auto" w:fill="FFFFFF"/>
        </w:rPr>
        <w:t>’</w:t>
      </w:r>
      <w:r>
        <w:rPr>
          <w:color w:val="000000"/>
          <w:szCs w:val="24"/>
          <w:shd w:val="clear" w:color="auto" w:fill="FFFFFF"/>
        </w:rPr>
        <w:t>)</w:t>
      </w:r>
      <w:r w:rsidRPr="00534A17">
        <w:rPr>
          <w:color w:val="000000"/>
          <w:szCs w:val="24"/>
          <w:shd w:val="clear" w:color="auto" w:fill="FFFFFF"/>
        </w:rPr>
        <w:t xml:space="preserve">, as subject to the </w:t>
      </w:r>
      <w:r w:rsidR="008259C0">
        <w:rPr>
          <w:color w:val="000000"/>
          <w:szCs w:val="24"/>
          <w:shd w:val="clear" w:color="auto" w:fill="FFFFFF"/>
        </w:rPr>
        <w:t>c</w:t>
      </w:r>
      <w:r w:rsidRPr="00534A17">
        <w:rPr>
          <w:color w:val="000000"/>
          <w:szCs w:val="24"/>
          <w:shd w:val="clear" w:color="auto" w:fill="FFFFFF"/>
        </w:rPr>
        <w:t xml:space="preserve">onsumer </w:t>
      </w:r>
      <w:r w:rsidR="008259C0">
        <w:rPr>
          <w:color w:val="000000"/>
          <w:szCs w:val="24"/>
          <w:shd w:val="clear" w:color="auto" w:fill="FFFFFF"/>
        </w:rPr>
        <w:t>d</w:t>
      </w:r>
      <w:r w:rsidRPr="00534A17">
        <w:rPr>
          <w:color w:val="000000"/>
          <w:szCs w:val="24"/>
          <w:shd w:val="clear" w:color="auto" w:fill="FFFFFF"/>
        </w:rPr>
        <w:t xml:space="preserve">ata </w:t>
      </w:r>
      <w:r w:rsidR="008259C0">
        <w:rPr>
          <w:color w:val="000000"/>
          <w:szCs w:val="24"/>
          <w:shd w:val="clear" w:color="auto" w:fill="FFFFFF"/>
        </w:rPr>
        <w:t>r</w:t>
      </w:r>
      <w:r w:rsidRPr="00534A17">
        <w:rPr>
          <w:color w:val="000000"/>
          <w:szCs w:val="24"/>
          <w:shd w:val="clear" w:color="auto" w:fill="FFFFFF"/>
        </w:rPr>
        <w:t>ight (</w:t>
      </w:r>
      <w:r w:rsidR="009F6E9D">
        <w:rPr>
          <w:color w:val="000000"/>
          <w:szCs w:val="24"/>
          <w:shd w:val="clear" w:color="auto" w:fill="FFFFFF"/>
        </w:rPr>
        <w:t>‘</w:t>
      </w:r>
      <w:r w:rsidRPr="00534A17">
        <w:rPr>
          <w:color w:val="000000"/>
          <w:szCs w:val="24"/>
          <w:shd w:val="clear" w:color="auto" w:fill="FFFFFF"/>
        </w:rPr>
        <w:t>CDR</w:t>
      </w:r>
      <w:r w:rsidR="009F6E9D">
        <w:rPr>
          <w:color w:val="000000"/>
          <w:szCs w:val="24"/>
          <w:shd w:val="clear" w:color="auto" w:fill="FFFFFF"/>
        </w:rPr>
        <w:t>’</w:t>
      </w:r>
      <w:r w:rsidRPr="00534A17">
        <w:rPr>
          <w:color w:val="000000"/>
          <w:szCs w:val="24"/>
          <w:shd w:val="clear" w:color="auto" w:fill="FFFFFF"/>
        </w:rPr>
        <w:t xml:space="preserve">). </w:t>
      </w:r>
      <w:r>
        <w:rPr>
          <w:color w:val="000000"/>
          <w:szCs w:val="24"/>
          <w:shd w:val="clear" w:color="auto" w:fill="FFFFFF"/>
        </w:rPr>
        <w:t>The d</w:t>
      </w:r>
      <w:r w:rsidRPr="00534A17">
        <w:rPr>
          <w:color w:val="000000"/>
          <w:szCs w:val="24"/>
          <w:shd w:val="clear" w:color="auto" w:fill="FFFFFF"/>
        </w:rPr>
        <w:t>esignation instrument for a sector also specifies the data</w:t>
      </w:r>
      <w:r>
        <w:rPr>
          <w:color w:val="000000"/>
          <w:szCs w:val="24"/>
          <w:shd w:val="clear" w:color="auto" w:fill="FFFFFF"/>
        </w:rPr>
        <w:t xml:space="preserve"> </w:t>
      </w:r>
      <w:r w:rsidRPr="00534A17">
        <w:rPr>
          <w:color w:val="000000"/>
          <w:szCs w:val="24"/>
          <w:shd w:val="clear" w:color="auto" w:fill="FFFFFF"/>
        </w:rPr>
        <w:t>(</w:t>
      </w:r>
      <w:r w:rsidR="00706FE6">
        <w:rPr>
          <w:color w:val="000000"/>
          <w:szCs w:val="24"/>
          <w:shd w:val="clear" w:color="auto" w:fill="FFFFFF"/>
        </w:rPr>
        <w:t>‘</w:t>
      </w:r>
      <w:r w:rsidRPr="00534A17">
        <w:rPr>
          <w:color w:val="000000"/>
          <w:szCs w:val="24"/>
          <w:shd w:val="clear" w:color="auto" w:fill="FFFFFF"/>
        </w:rPr>
        <w:t>CDR data</w:t>
      </w:r>
      <w:r w:rsidR="00706FE6">
        <w:rPr>
          <w:color w:val="000000"/>
          <w:szCs w:val="24"/>
          <w:shd w:val="clear" w:color="auto" w:fill="FFFFFF"/>
        </w:rPr>
        <w:t>’</w:t>
      </w:r>
      <w:r w:rsidRPr="00534A17">
        <w:rPr>
          <w:color w:val="000000"/>
          <w:szCs w:val="24"/>
          <w:shd w:val="clear" w:color="auto" w:fill="FFFFFF"/>
        </w:rPr>
        <w:t xml:space="preserve">) that </w:t>
      </w:r>
      <w:r>
        <w:rPr>
          <w:color w:val="000000"/>
          <w:szCs w:val="24"/>
          <w:shd w:val="clear" w:color="auto" w:fill="FFFFFF"/>
        </w:rPr>
        <w:t xml:space="preserve">is </w:t>
      </w:r>
      <w:r w:rsidRPr="00534A17">
        <w:rPr>
          <w:color w:val="000000"/>
          <w:szCs w:val="24"/>
          <w:shd w:val="clear" w:color="auto" w:fill="FFFFFF"/>
        </w:rPr>
        <w:t xml:space="preserve">subject to the CDR and </w:t>
      </w:r>
      <w:r>
        <w:rPr>
          <w:color w:val="000000"/>
          <w:szCs w:val="24"/>
          <w:shd w:val="clear" w:color="auto" w:fill="FFFFFF"/>
        </w:rPr>
        <w:t xml:space="preserve">the </w:t>
      </w:r>
      <w:r w:rsidRPr="00534A17">
        <w:rPr>
          <w:color w:val="000000"/>
          <w:szCs w:val="24"/>
          <w:shd w:val="clear" w:color="auto" w:fill="FFFFFF"/>
        </w:rPr>
        <w:t>classes of persons who hold the CDR data. Th</w:t>
      </w:r>
      <w:r>
        <w:rPr>
          <w:color w:val="000000"/>
          <w:szCs w:val="24"/>
          <w:shd w:val="clear" w:color="auto" w:fill="FFFFFF"/>
        </w:rPr>
        <w:t>o</w:t>
      </w:r>
      <w:r w:rsidRPr="00534A17">
        <w:rPr>
          <w:color w:val="000000"/>
          <w:szCs w:val="24"/>
          <w:shd w:val="clear" w:color="auto" w:fill="FFFFFF"/>
        </w:rPr>
        <w:t xml:space="preserve">se persons, and </w:t>
      </w:r>
      <w:r w:rsidR="001815E7">
        <w:rPr>
          <w:color w:val="000000"/>
          <w:szCs w:val="24"/>
          <w:shd w:val="clear" w:color="auto" w:fill="FFFFFF"/>
        </w:rPr>
        <w:t xml:space="preserve">certain </w:t>
      </w:r>
      <w:r w:rsidRPr="00534A17">
        <w:rPr>
          <w:color w:val="000000"/>
          <w:szCs w:val="24"/>
          <w:shd w:val="clear" w:color="auto" w:fill="FFFFFF"/>
        </w:rPr>
        <w:t>other cl</w:t>
      </w:r>
      <w:r>
        <w:rPr>
          <w:color w:val="000000"/>
          <w:szCs w:val="24"/>
          <w:shd w:val="clear" w:color="auto" w:fill="FFFFFF"/>
        </w:rPr>
        <w:t>as</w:t>
      </w:r>
      <w:r w:rsidRPr="00534A17">
        <w:rPr>
          <w:color w:val="000000"/>
          <w:szCs w:val="24"/>
          <w:shd w:val="clear" w:color="auto" w:fill="FFFFFF"/>
        </w:rPr>
        <w:t>ses of persons covered by section 56AJ of the Act, are ‘data holders’ of CDR data</w:t>
      </w:r>
      <w:r>
        <w:rPr>
          <w:color w:val="000000"/>
          <w:szCs w:val="24"/>
          <w:shd w:val="clear" w:color="auto" w:fill="FFFFFF"/>
        </w:rPr>
        <w:t xml:space="preserve"> in that sector</w:t>
      </w:r>
      <w:r w:rsidRPr="00534A17">
        <w:rPr>
          <w:color w:val="000000"/>
          <w:szCs w:val="24"/>
          <w:shd w:val="clear" w:color="auto" w:fill="FFFFFF"/>
        </w:rPr>
        <w:t xml:space="preserve">. </w:t>
      </w:r>
    </w:p>
    <w:p w14:paraId="1EF66F0C" w14:textId="22DA5ABF" w:rsidR="000E4E7A" w:rsidRDefault="00A15DEE" w:rsidP="00216026">
      <w:pPr>
        <w:spacing w:before="240"/>
      </w:pPr>
      <w:r>
        <w:t xml:space="preserve">The CDR </w:t>
      </w:r>
      <w:r w:rsidRPr="00D3705B">
        <w:t>framework</w:t>
      </w:r>
      <w:r>
        <w:t xml:space="preserve"> is set out in Part IVD of the Act and the </w:t>
      </w:r>
      <w:r w:rsidRPr="008C56F5">
        <w:rPr>
          <w:i/>
        </w:rPr>
        <w:t>Competition and Consumer (Consumer Data Right) Rules 2020</w:t>
      </w:r>
      <w:r>
        <w:t xml:space="preserve"> (</w:t>
      </w:r>
      <w:r w:rsidR="006027D5">
        <w:t>‘</w:t>
      </w:r>
      <w:r>
        <w:t>CDR Rules</w:t>
      </w:r>
      <w:r w:rsidR="006027D5">
        <w:t>’</w:t>
      </w:r>
      <w:r>
        <w:t xml:space="preserve">). </w:t>
      </w:r>
      <w:r w:rsidR="004F516D">
        <w:t xml:space="preserve">Following a sector designation, the Minister must make consumer data rules before any rights or obligations </w:t>
      </w:r>
      <w:r w:rsidR="00A31C9D">
        <w:t xml:space="preserve">can </w:t>
      </w:r>
      <w:r w:rsidR="007C0E14">
        <w:t xml:space="preserve">begin to apply </w:t>
      </w:r>
      <w:r w:rsidR="00A31C9D">
        <w:t>in relation to that sector.</w:t>
      </w:r>
    </w:p>
    <w:p w14:paraId="2B3DC08E" w14:textId="089032B8" w:rsidR="00914211" w:rsidRDefault="00A15DEE" w:rsidP="00216026">
      <w:pPr>
        <w:spacing w:before="240"/>
        <w:rPr>
          <w:color w:val="000000"/>
          <w:szCs w:val="24"/>
        </w:rPr>
      </w:pPr>
      <w:r w:rsidRPr="00E153D2">
        <w:rPr>
          <w:color w:val="000000"/>
          <w:szCs w:val="24"/>
        </w:rPr>
        <w:t>Under the CDR, individuals</w:t>
      </w:r>
      <w:r w:rsidR="00796BB5">
        <w:rPr>
          <w:color w:val="000000"/>
          <w:szCs w:val="24"/>
        </w:rPr>
        <w:t xml:space="preserve"> and businesses</w:t>
      </w:r>
      <w:r w:rsidR="00914211">
        <w:rPr>
          <w:color w:val="000000"/>
          <w:szCs w:val="24"/>
        </w:rPr>
        <w:t xml:space="preserve"> (‘CDR consumers’) may, through trusted third parties, request access to certain data sets relating to them. Data holders are required or authorised to provide access to the data, subject to controls ensuring the data’s quality, security and confidentiality. Data holders are also required or authorised to provide access, on request, to publicly available information on specified products that they offer.</w:t>
      </w:r>
    </w:p>
    <w:p w14:paraId="717B683F" w14:textId="2E21879D" w:rsidR="00A15DEE" w:rsidRDefault="006D15ED" w:rsidP="00216026">
      <w:pPr>
        <w:spacing w:before="240"/>
      </w:pPr>
      <w:r>
        <w:t>R</w:t>
      </w:r>
      <w:r w:rsidR="00A15DEE">
        <w:t>ules apply</w:t>
      </w:r>
      <w:r>
        <w:t>ing</w:t>
      </w:r>
      <w:r w:rsidR="00A15DEE">
        <w:t xml:space="preserve"> generally across all </w:t>
      </w:r>
      <w:r w:rsidR="00C1243F">
        <w:t xml:space="preserve">designated </w:t>
      </w:r>
      <w:r w:rsidR="00A15DEE">
        <w:t xml:space="preserve">sectors are set out in Parts 1 to 9 and Schedules 1 and 2 </w:t>
      </w:r>
      <w:r w:rsidR="00787F23">
        <w:t>t</w:t>
      </w:r>
      <w:r w:rsidR="00A15DEE">
        <w:t xml:space="preserve">o the CDR Rules. Sector-specific rules are set out in </w:t>
      </w:r>
      <w:r w:rsidR="004D2A03">
        <w:t xml:space="preserve">Schedule 3 </w:t>
      </w:r>
      <w:r w:rsidR="00146E9B">
        <w:t xml:space="preserve">(relating to the banking sector) and Schedule 4 (relating to the energy sector). </w:t>
      </w:r>
      <w:r w:rsidR="00F65501">
        <w:t xml:space="preserve"> </w:t>
      </w:r>
    </w:p>
    <w:p w14:paraId="39B31072" w14:textId="66092E80" w:rsidR="00340CBD" w:rsidRPr="00B62A36" w:rsidRDefault="00340CBD" w:rsidP="00340CBD">
      <w:pPr>
        <w:spacing w:before="240"/>
      </w:pPr>
      <w:r>
        <w:t xml:space="preserve">The purpose of the </w:t>
      </w:r>
      <w:r>
        <w:rPr>
          <w:i/>
          <w:iCs/>
        </w:rPr>
        <w:t>Competition and Consumer (Consumer Data Right) Amendment (</w:t>
      </w:r>
      <w:r w:rsidR="0097659A">
        <w:rPr>
          <w:i/>
          <w:iCs/>
        </w:rPr>
        <w:t xml:space="preserve">2025 </w:t>
      </w:r>
      <w:r>
        <w:rPr>
          <w:i/>
          <w:iCs/>
        </w:rPr>
        <w:t xml:space="preserve">Measures No. </w:t>
      </w:r>
      <w:r w:rsidR="0097659A">
        <w:rPr>
          <w:i/>
          <w:iCs/>
        </w:rPr>
        <w:t>1</w:t>
      </w:r>
      <w:r>
        <w:rPr>
          <w:i/>
          <w:iCs/>
        </w:rPr>
        <w:t>) Rules</w:t>
      </w:r>
      <w:r w:rsidDel="00F731E2">
        <w:rPr>
          <w:i/>
        </w:rPr>
        <w:t xml:space="preserve"> </w:t>
      </w:r>
      <w:r w:rsidR="00F731E2">
        <w:rPr>
          <w:i/>
          <w:iCs/>
        </w:rPr>
        <w:t>2025</w:t>
      </w:r>
      <w:r>
        <w:rPr>
          <w:i/>
        </w:rPr>
        <w:t xml:space="preserve"> </w:t>
      </w:r>
      <w:r>
        <w:t>(‘Amending Rules’) is to extend the CDR to the non-bank lending sector and narrow the scope of CDR data for the banking and non</w:t>
      </w:r>
      <w:r w:rsidR="0011557F">
        <w:noBreakHyphen/>
      </w:r>
      <w:r>
        <w:t>bank lending sectors.</w:t>
      </w:r>
    </w:p>
    <w:p w14:paraId="2E8DBDBC" w14:textId="10CA79C4" w:rsidR="00D67D4C" w:rsidRPr="001B2C6D" w:rsidRDefault="6C5F5E0B" w:rsidP="00BB6545">
      <w:pPr>
        <w:spacing w:before="240"/>
      </w:pPr>
      <w:r>
        <w:t>The non-bank lend</w:t>
      </w:r>
      <w:r w:rsidR="1DF4DC64">
        <w:t>ers</w:t>
      </w:r>
      <w:r>
        <w:t xml:space="preserve"> sector</w:t>
      </w:r>
      <w:r w:rsidR="666FA960">
        <w:t xml:space="preserve"> was designated as subject to the CDR</w:t>
      </w:r>
      <w:r w:rsidR="370B2072">
        <w:t xml:space="preserve"> </w:t>
      </w:r>
      <w:r w:rsidR="541F23C3">
        <w:t>on 21</w:t>
      </w:r>
      <w:r w:rsidR="00A16823">
        <w:t> </w:t>
      </w:r>
      <w:r w:rsidR="541F23C3">
        <w:t>November</w:t>
      </w:r>
      <w:r w:rsidR="00A16823">
        <w:t> </w:t>
      </w:r>
      <w:r w:rsidR="541F23C3">
        <w:t>2022.</w:t>
      </w:r>
      <w:r w:rsidR="6225E9ED">
        <w:t xml:space="preserve"> </w:t>
      </w:r>
      <w:r w:rsidR="00A42F24">
        <w:t>Extending t</w:t>
      </w:r>
      <w:r w:rsidR="2E385469">
        <w:t>he CDR</w:t>
      </w:r>
      <w:r w:rsidR="6903B7A2">
        <w:t xml:space="preserve"> </w:t>
      </w:r>
      <w:r w:rsidR="00A42F24">
        <w:t xml:space="preserve">to this sector </w:t>
      </w:r>
      <w:r w:rsidR="0ACC07B5">
        <w:t xml:space="preserve">is expected to </w:t>
      </w:r>
      <w:r w:rsidR="2E385469">
        <w:t xml:space="preserve">facilitate more informed consumer </w:t>
      </w:r>
      <w:r w:rsidR="00F921B0">
        <w:t xml:space="preserve">engagement with both </w:t>
      </w:r>
      <w:r w:rsidR="00FF7AC0">
        <w:t>bank</w:t>
      </w:r>
      <w:r w:rsidR="00575CEB">
        <w:t>s and non-bank lenders</w:t>
      </w:r>
      <w:r w:rsidR="2E385469">
        <w:t xml:space="preserve">, leading to </w:t>
      </w:r>
      <w:r w:rsidR="00984D36">
        <w:t>improved</w:t>
      </w:r>
      <w:r w:rsidR="2E385469">
        <w:t xml:space="preserve"> </w:t>
      </w:r>
      <w:r w:rsidR="00977B9E">
        <w:t xml:space="preserve">financial </w:t>
      </w:r>
      <w:r w:rsidR="2E385469">
        <w:t>outcomes</w:t>
      </w:r>
      <w:r w:rsidR="2E385469" w:rsidDel="00977B9E">
        <w:t xml:space="preserve"> for individuals and businesses</w:t>
      </w:r>
      <w:r w:rsidR="2E385469">
        <w:t xml:space="preserve">. </w:t>
      </w:r>
      <w:r w:rsidR="00BF2E10">
        <w:t xml:space="preserve">From a broader perspective, </w:t>
      </w:r>
      <w:r w:rsidR="009F00E5">
        <w:t xml:space="preserve">expansion of the </w:t>
      </w:r>
      <w:r w:rsidR="005E2943">
        <w:t>CDR</w:t>
      </w:r>
      <w:r w:rsidR="00973D43">
        <w:t xml:space="preserve"> </w:t>
      </w:r>
      <w:r w:rsidR="00AA2E44">
        <w:t xml:space="preserve">to non-bank lenders </w:t>
      </w:r>
      <w:r w:rsidR="005B3477">
        <w:t xml:space="preserve">will </w:t>
      </w:r>
      <w:r w:rsidR="00CC45CF">
        <w:t xml:space="preserve">increase </w:t>
      </w:r>
      <w:r w:rsidR="2E385469">
        <w:t>the availability of data</w:t>
      </w:r>
      <w:r w:rsidR="00957347">
        <w:t xml:space="preserve">, </w:t>
      </w:r>
      <w:r w:rsidR="2E385469">
        <w:t>encourag</w:t>
      </w:r>
      <w:r w:rsidR="00957347">
        <w:t>ing</w:t>
      </w:r>
      <w:r w:rsidR="2E385469">
        <w:t xml:space="preserve"> innovation in financial technology</w:t>
      </w:r>
      <w:r w:rsidR="0D353D84">
        <w:t xml:space="preserve"> and </w:t>
      </w:r>
      <w:r w:rsidR="2E385469">
        <w:t>help</w:t>
      </w:r>
      <w:r w:rsidR="00957347">
        <w:t>ing</w:t>
      </w:r>
      <w:r w:rsidR="2E385469">
        <w:t xml:space="preserve"> consumers </w:t>
      </w:r>
      <w:r w:rsidR="64CEC48B">
        <w:t xml:space="preserve">to </w:t>
      </w:r>
      <w:r w:rsidR="2F1D9453">
        <w:t xml:space="preserve">better </w:t>
      </w:r>
      <w:r w:rsidR="2E385469">
        <w:t xml:space="preserve">understand </w:t>
      </w:r>
      <w:r w:rsidR="64CEC48B">
        <w:t xml:space="preserve">and manage </w:t>
      </w:r>
      <w:r w:rsidR="2E385469">
        <w:t>their finances.</w:t>
      </w:r>
      <w:r w:rsidR="2E385469" w:rsidRPr="5BF48CA6">
        <w:rPr>
          <w:i/>
          <w:iCs/>
          <w:highlight w:val="lightGray"/>
        </w:rPr>
        <w:t xml:space="preserve"> </w:t>
      </w:r>
    </w:p>
    <w:p w14:paraId="5FBECA35" w14:textId="73324ED4" w:rsidR="00BD4177" w:rsidRDefault="00494884" w:rsidP="00216026">
      <w:pPr>
        <w:spacing w:before="240"/>
      </w:pPr>
      <w:r>
        <w:lastRenderedPageBreak/>
        <w:t>Because of the similarity between the banking and non-bank lend</w:t>
      </w:r>
      <w:r w:rsidR="00FC784E">
        <w:t>ers</w:t>
      </w:r>
      <w:r>
        <w:t xml:space="preserve"> sectors, </w:t>
      </w:r>
      <w:r w:rsidR="006B101E">
        <w:t xml:space="preserve">the policy intention is to maintain </w:t>
      </w:r>
      <w:r w:rsidR="00DF7F8E">
        <w:t xml:space="preserve">regulatory consistency </w:t>
      </w:r>
      <w:r w:rsidR="006B101E">
        <w:t xml:space="preserve">where possible. </w:t>
      </w:r>
      <w:r w:rsidR="00FA677B">
        <w:t xml:space="preserve">For this reason, </w:t>
      </w:r>
      <w:r w:rsidR="00E5424A">
        <w:t>Schedule 3 to the CDR Rules</w:t>
      </w:r>
      <w:r w:rsidR="0036619B">
        <w:t xml:space="preserve"> </w:t>
      </w:r>
      <w:r w:rsidR="00C820DD">
        <w:t>(</w:t>
      </w:r>
      <w:r w:rsidR="00F56D89">
        <w:t xml:space="preserve">‘Schedule </w:t>
      </w:r>
      <w:r w:rsidR="00155183">
        <w:t xml:space="preserve">3’) </w:t>
      </w:r>
      <w:r w:rsidR="00E5424A">
        <w:t xml:space="preserve">has been </w:t>
      </w:r>
      <w:r w:rsidR="0059187B">
        <w:t xml:space="preserve">selected </w:t>
      </w:r>
      <w:r w:rsidR="00796A92">
        <w:t xml:space="preserve">as the vehicle for </w:t>
      </w:r>
      <w:r w:rsidR="00FE4FCF">
        <w:t>bringing</w:t>
      </w:r>
      <w:r w:rsidR="00246F27">
        <w:t xml:space="preserve"> non-bank lenders into the CDR. </w:t>
      </w:r>
      <w:r w:rsidR="00EA03C2">
        <w:t>While the</w:t>
      </w:r>
      <w:r w:rsidR="00D92F1B">
        <w:t xml:space="preserve"> non-bank lenders rules </w:t>
      </w:r>
      <w:r w:rsidR="009D4CA2">
        <w:t>are</w:t>
      </w:r>
      <w:r w:rsidR="00D92F1B">
        <w:t xml:space="preserve"> predominately found in Schedule 3</w:t>
      </w:r>
      <w:r w:rsidR="009D4CA2">
        <w:t xml:space="preserve"> alongside the banking rules</w:t>
      </w:r>
      <w:r w:rsidR="00D92F1B">
        <w:t xml:space="preserve">, it is still considered a separate sector. </w:t>
      </w:r>
    </w:p>
    <w:p w14:paraId="7C9E0CED" w14:textId="5605E56D" w:rsidR="009F5D98" w:rsidRDefault="007675A3" w:rsidP="00216026">
      <w:pPr>
        <w:spacing w:before="240"/>
      </w:pPr>
      <w:r>
        <w:t>T</w:t>
      </w:r>
      <w:r w:rsidR="004B6C0D">
        <w:t>he Amending Rules</w:t>
      </w:r>
      <w:r w:rsidR="00522F81">
        <w:t xml:space="preserve"> </w:t>
      </w:r>
      <w:r w:rsidR="00C75C74">
        <w:t xml:space="preserve">apply </w:t>
      </w:r>
      <w:r w:rsidR="006440D3">
        <w:t xml:space="preserve">the following </w:t>
      </w:r>
      <w:r>
        <w:t xml:space="preserve">core </w:t>
      </w:r>
      <w:r w:rsidR="007752F3">
        <w:t xml:space="preserve">elements of </w:t>
      </w:r>
      <w:r w:rsidR="006440D3">
        <w:t xml:space="preserve">Schedule 3 </w:t>
      </w:r>
      <w:r w:rsidR="006440D3" w:rsidDel="00155183">
        <w:t xml:space="preserve">to </w:t>
      </w:r>
      <w:r w:rsidR="006440D3">
        <w:t xml:space="preserve">non-bank lenders: </w:t>
      </w:r>
    </w:p>
    <w:p w14:paraId="444EB8E7" w14:textId="63EC55A2" w:rsidR="0001168A" w:rsidRDefault="0001168A" w:rsidP="006440D3">
      <w:pPr>
        <w:pStyle w:val="Bullet"/>
      </w:pPr>
      <w:r>
        <w:t xml:space="preserve">eligibility requirements for consumers seeking to make requests for CDR </w:t>
      </w:r>
      <w:proofErr w:type="gramStart"/>
      <w:r>
        <w:t>data;</w:t>
      </w:r>
      <w:proofErr w:type="gramEnd"/>
    </w:p>
    <w:p w14:paraId="6689802D" w14:textId="77777777" w:rsidR="001F5F33" w:rsidRDefault="001F5F33" w:rsidP="006440D3">
      <w:pPr>
        <w:pStyle w:val="Bullet"/>
      </w:pPr>
      <w:r>
        <w:t>criteria setting out the scope of</w:t>
      </w:r>
      <w:r w:rsidR="00DD10CA">
        <w:t xml:space="preserve"> non-bank lenders </w:t>
      </w:r>
      <w:r w:rsidR="00307DDF">
        <w:t xml:space="preserve">subject to CDR data sharing </w:t>
      </w:r>
      <w:proofErr w:type="gramStart"/>
      <w:r w:rsidR="00307DDF">
        <w:t>obligations</w:t>
      </w:r>
      <w:r>
        <w:t>;</w:t>
      </w:r>
      <w:proofErr w:type="gramEnd"/>
    </w:p>
    <w:p w14:paraId="42A129F6" w14:textId="4B9321EE" w:rsidR="00463A19" w:rsidRDefault="00F527B4" w:rsidP="006440D3">
      <w:pPr>
        <w:pStyle w:val="Bullet"/>
      </w:pPr>
      <w:r>
        <w:t xml:space="preserve">the process for additional non-bank lenders to choose to participate in the </w:t>
      </w:r>
      <w:proofErr w:type="gramStart"/>
      <w:r>
        <w:t>CDR</w:t>
      </w:r>
      <w:r w:rsidR="00463A19">
        <w:t>;</w:t>
      </w:r>
      <w:proofErr w:type="gramEnd"/>
    </w:p>
    <w:p w14:paraId="16CDAE25" w14:textId="1CC4B8D0" w:rsidR="002172A2" w:rsidRDefault="002172A2" w:rsidP="006440D3">
      <w:pPr>
        <w:pStyle w:val="Bullet"/>
      </w:pPr>
      <w:r>
        <w:t xml:space="preserve">provisions specifying </w:t>
      </w:r>
      <w:r w:rsidR="00AD337D">
        <w:t xml:space="preserve">in-scope products and </w:t>
      </w:r>
      <w:r>
        <w:t>data sets that may</w:t>
      </w:r>
      <w:r w:rsidR="00B37050">
        <w:t>, or</w:t>
      </w:r>
      <w:r>
        <w:t xml:space="preserve"> must</w:t>
      </w:r>
      <w:r w:rsidR="00B37050">
        <w:t>,</w:t>
      </w:r>
      <w:r>
        <w:t xml:space="preserve"> be </w:t>
      </w:r>
      <w:r w:rsidR="007A461A">
        <w:t xml:space="preserve">provided on </w:t>
      </w:r>
      <w:proofErr w:type="gramStart"/>
      <w:r w:rsidR="007A461A">
        <w:t>request</w:t>
      </w:r>
      <w:r>
        <w:t>;</w:t>
      </w:r>
      <w:proofErr w:type="gramEnd"/>
    </w:p>
    <w:p w14:paraId="7C91E7AF" w14:textId="474DE195" w:rsidR="002172A2" w:rsidRDefault="002172A2" w:rsidP="006440D3">
      <w:pPr>
        <w:pStyle w:val="Bullet"/>
      </w:pPr>
      <w:r>
        <w:t>requirements for internal and external dispute resolution</w:t>
      </w:r>
      <w:r w:rsidR="00522F81">
        <w:t>.</w:t>
      </w:r>
      <w:r w:rsidR="00C255E9">
        <w:t xml:space="preserve"> </w:t>
      </w:r>
    </w:p>
    <w:p w14:paraId="3DC52FD2" w14:textId="38B4A6FA" w:rsidR="007346CF" w:rsidRPr="0009379A" w:rsidRDefault="00A152B2" w:rsidP="00216026">
      <w:pPr>
        <w:spacing w:before="240"/>
      </w:pPr>
      <w:r w:rsidRPr="0009379A">
        <w:t>The Amending Rules</w:t>
      </w:r>
      <w:r w:rsidR="00106021" w:rsidRPr="0009379A">
        <w:t xml:space="preserve"> also</w:t>
      </w:r>
      <w:r w:rsidRPr="0009379A">
        <w:t xml:space="preserve"> </w:t>
      </w:r>
      <w:r w:rsidR="00A13932" w:rsidRPr="0009379A">
        <w:t>ma</w:t>
      </w:r>
      <w:r w:rsidR="00E506D9" w:rsidRPr="0009379A">
        <w:t>k</w:t>
      </w:r>
      <w:r w:rsidR="00A13932" w:rsidRPr="0009379A">
        <w:t xml:space="preserve">e changes to </w:t>
      </w:r>
      <w:r w:rsidR="00A50261" w:rsidRPr="0009379A">
        <w:t>t</w:t>
      </w:r>
      <w:r w:rsidRPr="0009379A">
        <w:t>he co</w:t>
      </w:r>
      <w:r w:rsidR="00106021" w:rsidRPr="0009379A">
        <w:t xml:space="preserve">re </w:t>
      </w:r>
      <w:r w:rsidRPr="0009379A">
        <w:t>provisions</w:t>
      </w:r>
      <w:r w:rsidR="00364996">
        <w:t xml:space="preserve"> that </w:t>
      </w:r>
      <w:r w:rsidR="0012741F" w:rsidRPr="0009379A">
        <w:t xml:space="preserve">affect </w:t>
      </w:r>
      <w:r w:rsidR="000A74CE" w:rsidRPr="0009379A">
        <w:t xml:space="preserve">the obligations </w:t>
      </w:r>
      <w:r w:rsidR="0082590E" w:rsidRPr="0009379A">
        <w:t xml:space="preserve">of </w:t>
      </w:r>
      <w:r w:rsidR="00D06F1A">
        <w:t xml:space="preserve">data holders </w:t>
      </w:r>
      <w:r w:rsidR="00A85656">
        <w:t>under Schedule 3</w:t>
      </w:r>
      <w:r w:rsidR="00C7184F">
        <w:t>, including</w:t>
      </w:r>
      <w:r w:rsidR="00A95C14" w:rsidRPr="0009379A">
        <w:t xml:space="preserve"> the following</w:t>
      </w:r>
      <w:r w:rsidR="006767F5" w:rsidRPr="0009379A">
        <w:t>:</w:t>
      </w:r>
    </w:p>
    <w:p w14:paraId="7EAF6A4C" w14:textId="7FB546D3" w:rsidR="00B9586C" w:rsidRDefault="00D963A0" w:rsidP="00B9586C">
      <w:pPr>
        <w:pStyle w:val="Bullet"/>
      </w:pPr>
      <w:r>
        <w:t>narrowing the sco</w:t>
      </w:r>
      <w:r w:rsidR="00B9586C">
        <w:t xml:space="preserve">pe of products and data sets that must be provided on </w:t>
      </w:r>
      <w:proofErr w:type="gramStart"/>
      <w:r w:rsidR="00B9586C">
        <w:t>request;</w:t>
      </w:r>
      <w:proofErr w:type="gramEnd"/>
    </w:p>
    <w:p w14:paraId="19834792" w14:textId="4B8122ED" w:rsidR="00A37F1A" w:rsidRDefault="00A37F1A" w:rsidP="00C60B0F">
      <w:pPr>
        <w:pStyle w:val="Bullet"/>
      </w:pPr>
      <w:r>
        <w:t xml:space="preserve">enabling related data holders and data holders in white labelling arrangements to discharge each other’s data sharing </w:t>
      </w:r>
      <w:proofErr w:type="gramStart"/>
      <w:r>
        <w:t>obligations;</w:t>
      </w:r>
      <w:proofErr w:type="gramEnd"/>
    </w:p>
    <w:p w14:paraId="32CD0F24" w14:textId="1622CF3E" w:rsidR="00C03208" w:rsidRDefault="00C03208" w:rsidP="00C03208">
      <w:pPr>
        <w:pStyle w:val="Bullet"/>
      </w:pPr>
      <w:r>
        <w:t>introducing data sharing in relation to ‘buy now, pay later’ products</w:t>
      </w:r>
      <w:r w:rsidR="0029571F">
        <w:t>,</w:t>
      </w:r>
      <w:r>
        <w:t xml:space="preserve"> subject to a deferral timetable to allow affected</w:t>
      </w:r>
      <w:r w:rsidR="002A3A6F">
        <w:t xml:space="preserve"> authorised deposit-taking institutions</w:t>
      </w:r>
      <w:r>
        <w:t xml:space="preserve"> </w:t>
      </w:r>
      <w:r w:rsidR="002A3A6F">
        <w:t>(</w:t>
      </w:r>
      <w:r>
        <w:t>ADIs</w:t>
      </w:r>
      <w:r w:rsidR="002A3A6F">
        <w:t>)</w:t>
      </w:r>
      <w:r>
        <w:t xml:space="preserve"> to make the necessary IT </w:t>
      </w:r>
      <w:proofErr w:type="gramStart"/>
      <w:r>
        <w:t>enhancements;</w:t>
      </w:r>
      <w:proofErr w:type="gramEnd"/>
    </w:p>
    <w:p w14:paraId="0A35B5F8" w14:textId="3F0FC2A9" w:rsidR="007361F7" w:rsidRDefault="00E866BD" w:rsidP="007346CF">
      <w:pPr>
        <w:pStyle w:val="Bullet"/>
      </w:pPr>
      <w:r>
        <w:t>excluding</w:t>
      </w:r>
      <w:r w:rsidR="00ED4D01">
        <w:t xml:space="preserve"> information relating to financial hardship and repayment history</w:t>
      </w:r>
      <w:r w:rsidR="000061F2">
        <w:t xml:space="preserve"> from</w:t>
      </w:r>
      <w:r w:rsidR="00A72688">
        <w:t xml:space="preserve"> the definition of</w:t>
      </w:r>
      <w:r w:rsidR="00586744">
        <w:t xml:space="preserve"> ‘</w:t>
      </w:r>
      <w:r w:rsidR="004C1DAB">
        <w:t xml:space="preserve">customer </w:t>
      </w:r>
      <w:r w:rsidR="00586744">
        <w:t>data</w:t>
      </w:r>
      <w:proofErr w:type="gramStart"/>
      <w:r w:rsidR="00586744">
        <w:t>’</w:t>
      </w:r>
      <w:r w:rsidR="00C46DEC">
        <w:t>;</w:t>
      </w:r>
      <w:proofErr w:type="gramEnd"/>
    </w:p>
    <w:p w14:paraId="005E9481" w14:textId="73EF0C1B" w:rsidR="00F3034B" w:rsidRDefault="006B31A3" w:rsidP="007346CF">
      <w:pPr>
        <w:pStyle w:val="Bullet"/>
      </w:pPr>
      <w:r>
        <w:t xml:space="preserve">excluding </w:t>
      </w:r>
      <w:r w:rsidR="00D76ACB">
        <w:t>consumer data</w:t>
      </w:r>
      <w:r w:rsidR="00954242">
        <w:t xml:space="preserve"> </w:t>
      </w:r>
      <w:r w:rsidR="009E07A9">
        <w:t>relating to</w:t>
      </w:r>
      <w:r w:rsidR="007272F2">
        <w:t xml:space="preserve"> debts</w:t>
      </w:r>
      <w:r w:rsidR="009E622F">
        <w:t xml:space="preserve"> </w:t>
      </w:r>
      <w:r w:rsidR="002E6CE8">
        <w:t xml:space="preserve">bought by </w:t>
      </w:r>
      <w:r w:rsidR="00A82DFA">
        <w:t xml:space="preserve">debt </w:t>
      </w:r>
      <w:r w:rsidR="0083414D">
        <w:t>b</w:t>
      </w:r>
      <w:r w:rsidR="00C7733A">
        <w:t>uyer</w:t>
      </w:r>
      <w:r w:rsidR="002E6CE8">
        <w:t>s</w:t>
      </w:r>
      <w:r w:rsidR="00C7733A">
        <w:t xml:space="preserve"> or debt collector</w:t>
      </w:r>
      <w:r w:rsidR="002E6CE8">
        <w:t>s</w:t>
      </w:r>
      <w:r w:rsidR="00BE4B91">
        <w:t xml:space="preserve"> </w:t>
      </w:r>
      <w:r w:rsidR="003178CD">
        <w:t xml:space="preserve">from </w:t>
      </w:r>
      <w:r w:rsidR="00A344C2">
        <w:t xml:space="preserve">the definitions of </w:t>
      </w:r>
      <w:r w:rsidR="00C1124C">
        <w:t>‘</w:t>
      </w:r>
      <w:r w:rsidR="004D5B17">
        <w:t xml:space="preserve">voluntary consumer data’ and </w:t>
      </w:r>
      <w:r w:rsidR="0062730D">
        <w:t xml:space="preserve">‘required </w:t>
      </w:r>
      <w:r w:rsidR="00C1124C">
        <w:t>consumer data</w:t>
      </w:r>
      <w:proofErr w:type="gramStart"/>
      <w:r w:rsidR="00C1124C">
        <w:t>’</w:t>
      </w:r>
      <w:r w:rsidR="00F3034B">
        <w:t>;</w:t>
      </w:r>
      <w:proofErr w:type="gramEnd"/>
    </w:p>
    <w:p w14:paraId="643FC42E" w14:textId="668DF573" w:rsidR="00414027" w:rsidRDefault="009C15CA" w:rsidP="00414027">
      <w:pPr>
        <w:pStyle w:val="Bullet"/>
      </w:pPr>
      <w:r>
        <w:t xml:space="preserve">deferring obligations for </w:t>
      </w:r>
      <w:r w:rsidR="00D32802">
        <w:t xml:space="preserve">entities that become ADIs after the commencement of the Amending Rules, </w:t>
      </w:r>
      <w:r w:rsidR="0003338F">
        <w:t>with the aim of</w:t>
      </w:r>
      <w:r w:rsidR="001B31E5">
        <w:t xml:space="preserve"> </w:t>
      </w:r>
      <w:r w:rsidR="00902E81">
        <w:t>allowing CDR consumers timely access to product data while permitting</w:t>
      </w:r>
      <w:r w:rsidR="00E93745">
        <w:t xml:space="preserve"> </w:t>
      </w:r>
      <w:r w:rsidR="00790A19">
        <w:t>new ADIs</w:t>
      </w:r>
      <w:r w:rsidR="00902E81">
        <w:t xml:space="preserve"> to complete the IT uplift needed to facilitate </w:t>
      </w:r>
      <w:r w:rsidR="00802558">
        <w:t xml:space="preserve">banking </w:t>
      </w:r>
      <w:r w:rsidR="00902E81">
        <w:t>data requests</w:t>
      </w:r>
      <w:r w:rsidR="00414027">
        <w:t>.</w:t>
      </w:r>
      <w:r w:rsidR="00902E81">
        <w:t xml:space="preserve"> </w:t>
      </w:r>
    </w:p>
    <w:p w14:paraId="4116D9E2" w14:textId="4C6F06D7" w:rsidR="00BD57E9" w:rsidRDefault="008A4BDB" w:rsidP="00216026">
      <w:pPr>
        <w:spacing w:before="240"/>
      </w:pPr>
      <w:r>
        <w:t>The Amending Rules set out timeframes</w:t>
      </w:r>
      <w:r w:rsidR="0001168A">
        <w:t xml:space="preserve"> </w:t>
      </w:r>
      <w:r w:rsidR="00630725">
        <w:t xml:space="preserve">for the staged implementation of </w:t>
      </w:r>
      <w:r w:rsidR="00374240">
        <w:t xml:space="preserve">the </w:t>
      </w:r>
      <w:r w:rsidR="00630725">
        <w:t>CDR</w:t>
      </w:r>
      <w:r w:rsidR="00630725" w:rsidRPr="00E564CA">
        <w:t xml:space="preserve"> </w:t>
      </w:r>
      <w:r w:rsidR="00630725">
        <w:t xml:space="preserve">in the non-bank lenders sector. </w:t>
      </w:r>
      <w:r w:rsidR="006A55AA">
        <w:t>In addition, they</w:t>
      </w:r>
      <w:r w:rsidR="00E30B75">
        <w:t xml:space="preserve"> make </w:t>
      </w:r>
      <w:r w:rsidR="00AB1603">
        <w:t xml:space="preserve">minor </w:t>
      </w:r>
      <w:r w:rsidR="00E30B75">
        <w:t>consequential amendments</w:t>
      </w:r>
      <w:r w:rsidR="00501A82">
        <w:t xml:space="preserve"> </w:t>
      </w:r>
      <w:r w:rsidR="00BD57E9">
        <w:t xml:space="preserve">to </w:t>
      </w:r>
      <w:r w:rsidR="005050E4">
        <w:t>the body</w:t>
      </w:r>
      <w:r w:rsidR="00AB1603">
        <w:t xml:space="preserve"> of </w:t>
      </w:r>
      <w:r w:rsidR="00BD57E9">
        <w:t xml:space="preserve">the CDR Rules </w:t>
      </w:r>
      <w:r w:rsidR="00501A82">
        <w:t xml:space="preserve">to reflect the widened scope of Schedule 3. </w:t>
      </w:r>
    </w:p>
    <w:p w14:paraId="39D7491C" w14:textId="6CAD21D8" w:rsidR="009D3DDB" w:rsidRPr="003C742B" w:rsidRDefault="009D3DDB" w:rsidP="009D3DDB">
      <w:pPr>
        <w:spacing w:before="240"/>
        <w:rPr>
          <w:i/>
          <w:iCs/>
        </w:rPr>
      </w:pPr>
      <w:r w:rsidRPr="003C742B">
        <w:rPr>
          <w:i/>
          <w:iCs/>
        </w:rPr>
        <w:lastRenderedPageBreak/>
        <w:t>Conditions</w:t>
      </w:r>
    </w:p>
    <w:p w14:paraId="5A57817D" w14:textId="3BAB6891" w:rsidR="003500C6" w:rsidRPr="003500C6" w:rsidRDefault="003500C6" w:rsidP="003500C6">
      <w:pPr>
        <w:spacing w:before="240"/>
      </w:pPr>
      <w:r w:rsidRPr="003500C6">
        <w:t>Before making consumer data rules, the Minister must comply with the requirements in section 56BP of the Act. First, section 56BP requires the Minister to have regard to certain matters set out in section 56AD. These include the likely effect of making the rules on the interests of consumers, the efficiency of relevant markets and the privacy and confidentiality of consumers’ information, and the likely regulatory impact of allowing the rules to impose requirements. The Minister will consider each of the relevant matters when making the Amending Rules.</w:t>
      </w:r>
    </w:p>
    <w:p w14:paraId="6A0F765E" w14:textId="77777777" w:rsidR="003500C6" w:rsidRPr="003500C6" w:rsidRDefault="003500C6" w:rsidP="003500C6">
      <w:pPr>
        <w:spacing w:before="240"/>
      </w:pPr>
      <w:r w:rsidRPr="003500C6">
        <w:t>Second, the Minister must, before making consumer data rules, be satisfied that the Secretary of the Department has arranged for consultation and the making of a report in accordance with section 56BQ of the Act. This requirement has been met in relation to the Amending Rules.</w:t>
      </w:r>
    </w:p>
    <w:p w14:paraId="2D3F809E" w14:textId="3D21355A" w:rsidR="00C7039D" w:rsidRDefault="003500C6" w:rsidP="00216026">
      <w:pPr>
        <w:spacing w:before="240"/>
      </w:pPr>
      <w:r w:rsidRPr="003500C6">
        <w:t xml:space="preserve">Third, the Minister must wait at least 60 days after the day public consultation begins before making consumer data rules. With public consultation having commenced on </w:t>
      </w:r>
      <w:r w:rsidR="00856FB0">
        <w:t>26 November </w:t>
      </w:r>
      <w:r w:rsidRPr="003500C6">
        <w:t>2024 with publication of draft exposure rules on the Treasury website, this requirement has been met.</w:t>
      </w:r>
    </w:p>
    <w:p w14:paraId="6124E5A0" w14:textId="12E14FD9" w:rsidR="009554B4" w:rsidRPr="003C742B" w:rsidRDefault="009554B4" w:rsidP="00216026">
      <w:pPr>
        <w:spacing w:before="240"/>
        <w:rPr>
          <w:i/>
          <w:iCs/>
        </w:rPr>
      </w:pPr>
      <w:r>
        <w:rPr>
          <w:i/>
          <w:iCs/>
        </w:rPr>
        <w:t>Consultation</w:t>
      </w:r>
    </w:p>
    <w:p w14:paraId="3F205E6D" w14:textId="63301714" w:rsidR="00B4295B" w:rsidRDefault="00B4295B" w:rsidP="00B4295B">
      <w:pPr>
        <w:spacing w:before="240"/>
      </w:pPr>
      <w:r>
        <w:t xml:space="preserve">Stakeholder feedback has been </w:t>
      </w:r>
      <w:proofErr w:type="gramStart"/>
      <w:r>
        <w:t>taken into account</w:t>
      </w:r>
      <w:proofErr w:type="gramEnd"/>
      <w:r>
        <w:t xml:space="preserve"> in developing the Amending Rules, including that provided during the following consultation processes:</w:t>
      </w:r>
    </w:p>
    <w:p w14:paraId="57D34E3E" w14:textId="77777777" w:rsidR="00B4295B" w:rsidRDefault="00B4295B" w:rsidP="00B4295B">
      <w:pPr>
        <w:pStyle w:val="Bullet"/>
      </w:pPr>
      <w:r>
        <w:t>In December </w:t>
      </w:r>
      <w:r w:rsidRPr="007C20DE" w:rsidDel="00B503AA">
        <w:t>202</w:t>
      </w:r>
      <w:r>
        <w:t>2,</w:t>
      </w:r>
      <w:r w:rsidRPr="007C20DE" w:rsidDel="00B503AA">
        <w:t xml:space="preserve"> </w:t>
      </w:r>
      <w:r w:rsidRPr="007C20DE" w:rsidDel="00D45FB8">
        <w:t xml:space="preserve">the </w:t>
      </w:r>
      <w:r w:rsidRPr="007C20DE" w:rsidDel="00B503AA">
        <w:t xml:space="preserve">Treasury </w:t>
      </w:r>
      <w:r>
        <w:t>released a consultation paper on rolling out the CDR to the non-bank lenders sector. Consultation closed on 31 January 2023</w:t>
      </w:r>
      <w:r w:rsidRPr="007C20DE" w:rsidDel="00B503AA">
        <w:t>.</w:t>
      </w:r>
    </w:p>
    <w:p w14:paraId="606D87C6" w14:textId="77777777" w:rsidR="00B4295B" w:rsidRDefault="00B4295B" w:rsidP="00B4295B">
      <w:pPr>
        <w:pStyle w:val="Bullet"/>
      </w:pPr>
      <w:r>
        <w:t>In August 2023, the Treasury released exposure draft rules, explanatory materials and a draft Privacy Impact Assessment to expand the CDR to the non</w:t>
      </w:r>
      <w:r>
        <w:noBreakHyphen/>
        <w:t>bank lenders sector. Consultation closed on 6 October 2023.</w:t>
      </w:r>
    </w:p>
    <w:p w14:paraId="64FE9C4E" w14:textId="0F7A19A5" w:rsidR="00B4295B" w:rsidRDefault="00B4295B" w:rsidP="00B4295B">
      <w:pPr>
        <w:pStyle w:val="Bullet"/>
      </w:pPr>
      <w:r>
        <w:t>In November 2024, the Treasury released exposure draft rules, explanatory materials and a Privacy Impact Assessment to expand the CDR to the non</w:t>
      </w:r>
      <w:r w:rsidR="007463FF">
        <w:t>-</w:t>
      </w:r>
      <w:r>
        <w:t>bank lenders sector and narrow the scope of CDR data for the banking and non</w:t>
      </w:r>
      <w:r w:rsidR="00F92232">
        <w:t>-</w:t>
      </w:r>
      <w:r>
        <w:t>bank lending sectors. Consultation closed on 24 December 2024.</w:t>
      </w:r>
    </w:p>
    <w:p w14:paraId="1DB0FAC8" w14:textId="79C16F5C" w:rsidR="009554B4" w:rsidRPr="003C742B" w:rsidRDefault="009554B4" w:rsidP="00216026">
      <w:pPr>
        <w:spacing w:before="240"/>
        <w:rPr>
          <w:i/>
          <w:iCs/>
        </w:rPr>
      </w:pPr>
      <w:r>
        <w:rPr>
          <w:i/>
          <w:iCs/>
        </w:rPr>
        <w:t>Further information</w:t>
      </w:r>
    </w:p>
    <w:p w14:paraId="7610E5CF" w14:textId="4CE238FC" w:rsidR="00C45021" w:rsidRDefault="00C45021" w:rsidP="00216026">
      <w:pPr>
        <w:spacing w:before="240"/>
      </w:pPr>
      <w:r w:rsidRPr="00C45021">
        <w:t>The Amending Rules are disallowable and their principal instrument – the CDR Rules – is subject to sunsetting in the ordinary way.</w:t>
      </w:r>
    </w:p>
    <w:p w14:paraId="2ECA79D6" w14:textId="57E140A3" w:rsidR="002C226C" w:rsidRDefault="002C226C" w:rsidP="002C226C">
      <w:pPr>
        <w:spacing w:before="240"/>
        <w:rPr>
          <w:u w:val="single"/>
        </w:rPr>
      </w:pPr>
      <w:r>
        <w:t xml:space="preserve">Details of the </w:t>
      </w:r>
      <w:r w:rsidR="003238D2">
        <w:t xml:space="preserve">Amending </w:t>
      </w:r>
      <w:r w:rsidR="00EB2AEF">
        <w:t>R</w:t>
      </w:r>
      <w:r w:rsidR="004F5DEC">
        <w:t xml:space="preserve">ules </w:t>
      </w:r>
      <w:r w:rsidR="00EB2AEF">
        <w:t>are set out in</w:t>
      </w:r>
      <w:r>
        <w:t xml:space="preserve"> </w:t>
      </w:r>
      <w:r w:rsidRPr="00317816">
        <w:rPr>
          <w:u w:val="single"/>
        </w:rPr>
        <w:t>Attachment</w:t>
      </w:r>
      <w:r w:rsidR="00707F91">
        <w:rPr>
          <w:u w:val="single"/>
        </w:rPr>
        <w:t xml:space="preserve"> </w:t>
      </w:r>
      <w:r w:rsidR="005D0BB7">
        <w:rPr>
          <w:u w:val="single"/>
        </w:rPr>
        <w:t>A</w:t>
      </w:r>
      <w:r w:rsidR="004F5DEC">
        <w:rPr>
          <w:u w:val="single"/>
        </w:rPr>
        <w:t>.</w:t>
      </w:r>
    </w:p>
    <w:p w14:paraId="3C85F561" w14:textId="392494F9" w:rsidR="00156FDA" w:rsidRDefault="00156FDA" w:rsidP="002C226C">
      <w:pPr>
        <w:spacing w:before="240"/>
      </w:pPr>
      <w:r w:rsidRPr="002D23F5">
        <w:t xml:space="preserve">A Statement of Compatibility with Human Rights is at </w:t>
      </w:r>
      <w:r w:rsidRPr="002D23F5">
        <w:rPr>
          <w:u w:val="single"/>
        </w:rPr>
        <w:t>Attachment B</w:t>
      </w:r>
      <w:r w:rsidRPr="002D23F5">
        <w:t>.</w:t>
      </w:r>
    </w:p>
    <w:p w14:paraId="0BD1FE7C" w14:textId="744FCF92" w:rsidR="00447789" w:rsidRDefault="004F5EED" w:rsidP="002C226C">
      <w:pPr>
        <w:spacing w:before="240"/>
      </w:pPr>
      <w:r>
        <w:t>The Office of Impact Analysis</w:t>
      </w:r>
      <w:r w:rsidR="005E5E6A">
        <w:t xml:space="preserve"> (OIA)</w:t>
      </w:r>
      <w:r>
        <w:t xml:space="preserve"> has been consulted. </w:t>
      </w:r>
      <w:r w:rsidR="00B60E6B">
        <w:t xml:space="preserve">At the time of </w:t>
      </w:r>
      <w:r w:rsidR="00612A5D">
        <w:t>designation</w:t>
      </w:r>
      <w:r w:rsidR="0057579E">
        <w:t xml:space="preserve"> of the </w:t>
      </w:r>
      <w:r w:rsidR="00AC4326">
        <w:t xml:space="preserve">non-bank lending sector, </w:t>
      </w:r>
      <w:r w:rsidR="00114C02">
        <w:t xml:space="preserve">the regulatory costs of bringing the </w:t>
      </w:r>
      <w:r w:rsidR="009564C6">
        <w:t xml:space="preserve">sector into the CDR were estimated to be </w:t>
      </w:r>
      <w:r w:rsidR="00306281">
        <w:t xml:space="preserve">between </w:t>
      </w:r>
      <w:r w:rsidR="00C270A5">
        <w:t>$15.7</w:t>
      </w:r>
      <w:r w:rsidR="00306281">
        <w:t xml:space="preserve"> million and $18.6 million</w:t>
      </w:r>
      <w:r w:rsidR="007D540B">
        <w:t xml:space="preserve">, averaged over 10 </w:t>
      </w:r>
      <w:r w:rsidR="007D540B">
        <w:lastRenderedPageBreak/>
        <w:t>years</w:t>
      </w:r>
      <w:r w:rsidR="00111B59">
        <w:t xml:space="preserve"> (O</w:t>
      </w:r>
      <w:r w:rsidR="00775AE0">
        <w:t xml:space="preserve">IA ref: </w:t>
      </w:r>
      <w:r w:rsidR="0012170E">
        <w:t>OBPR</w:t>
      </w:r>
      <w:r w:rsidR="00D908EC">
        <w:t>22-02438)</w:t>
      </w:r>
      <w:r w:rsidR="007D540B">
        <w:t>.</w:t>
      </w:r>
      <w:r w:rsidR="00C270A5">
        <w:t xml:space="preserve"> </w:t>
      </w:r>
      <w:r w:rsidR="00447789" w:rsidRPr="00447789">
        <w:t xml:space="preserve">The OIA has agreed that </w:t>
      </w:r>
      <w:r w:rsidR="000837FE">
        <w:t>further</w:t>
      </w:r>
      <w:r w:rsidR="000837FE" w:rsidRPr="00447789">
        <w:t xml:space="preserve"> </w:t>
      </w:r>
      <w:r w:rsidR="00447789" w:rsidRPr="00447789">
        <w:t xml:space="preserve">impact analysis </w:t>
      </w:r>
      <w:r w:rsidR="000837FE">
        <w:t>was</w:t>
      </w:r>
      <w:r w:rsidR="00447789" w:rsidRPr="00447789">
        <w:t xml:space="preserve"> not required</w:t>
      </w:r>
      <w:r w:rsidR="005E5E6A">
        <w:t xml:space="preserve"> </w:t>
      </w:r>
      <w:r w:rsidR="005E5E6A" w:rsidRPr="00447789">
        <w:t>(OIA ref:</w:t>
      </w:r>
      <w:r w:rsidR="005E5E6A">
        <w:t xml:space="preserve"> </w:t>
      </w:r>
      <w:r w:rsidR="005E5E6A" w:rsidRPr="008A1EA2">
        <w:t>OIA24-08414</w:t>
      </w:r>
      <w:r w:rsidR="005E5E6A" w:rsidRPr="00447789">
        <w:t>)</w:t>
      </w:r>
      <w:r w:rsidR="00447789" w:rsidRPr="00447789">
        <w:t xml:space="preserve">. </w:t>
      </w:r>
    </w:p>
    <w:p w14:paraId="28B0CA08" w14:textId="256A0C25" w:rsidR="002C226C" w:rsidRDefault="002C226C" w:rsidP="00647BB7">
      <w:pPr>
        <w:spacing w:before="240"/>
      </w:pPr>
      <w:r>
        <w:t>The</w:t>
      </w:r>
      <w:r w:rsidRPr="00D3322F">
        <w:t xml:space="preserve"> </w:t>
      </w:r>
      <w:r w:rsidR="003238D2">
        <w:t xml:space="preserve">Amending </w:t>
      </w:r>
      <w:r w:rsidRPr="00D3322F">
        <w:t>R</w:t>
      </w:r>
      <w:r w:rsidR="004F5DEC">
        <w:t xml:space="preserve">ules </w:t>
      </w:r>
      <w:r>
        <w:t>are</w:t>
      </w:r>
      <w:r w:rsidRPr="00D3322F">
        <w:t xml:space="preserve"> a legislative instrument for the purposes of the</w:t>
      </w:r>
      <w:r w:rsidRPr="00322524">
        <w:t xml:space="preserve"> </w:t>
      </w:r>
      <w:r w:rsidRPr="00D3322F">
        <w:rPr>
          <w:i/>
        </w:rPr>
        <w:t>Legislation Act 2003</w:t>
      </w:r>
      <w:r w:rsidRPr="00D3322F">
        <w:t>.</w:t>
      </w:r>
    </w:p>
    <w:p w14:paraId="78321A0D" w14:textId="0178CEC8" w:rsidR="00AD4845" w:rsidRDefault="00AD4845" w:rsidP="00F2201E">
      <w:pPr>
        <w:spacing w:before="240"/>
      </w:pPr>
      <w:r w:rsidRPr="00503E44">
        <w:t xml:space="preserve">The </w:t>
      </w:r>
      <w:r w:rsidR="003238D2">
        <w:t xml:space="preserve">Amending </w:t>
      </w:r>
      <w:r>
        <w:t>Rules</w:t>
      </w:r>
      <w:r w:rsidRPr="00503E44">
        <w:t xml:space="preserve"> </w:t>
      </w:r>
      <w:r w:rsidR="00457F06">
        <w:t>commenced</w:t>
      </w:r>
      <w:r w:rsidRPr="00503E44">
        <w:t xml:space="preserve"> on </w:t>
      </w:r>
      <w:r>
        <w:t xml:space="preserve">the day after </w:t>
      </w:r>
      <w:r w:rsidR="00843685">
        <w:t>registration</w:t>
      </w:r>
      <w:r>
        <w:t xml:space="preserve"> on the Federal Register of Legislation. </w:t>
      </w:r>
    </w:p>
    <w:p w14:paraId="6DEB30F0" w14:textId="77777777" w:rsidR="00456646" w:rsidRPr="00BC099A" w:rsidRDefault="00456646" w:rsidP="004C0E48">
      <w:pPr>
        <w:spacing w:before="240"/>
        <w:rPr>
          <w:i/>
        </w:rPr>
      </w:pPr>
      <w:r w:rsidRPr="00BC099A">
        <w:t>In citations of provisions in this explanatory material, unless otherwise specified</w:t>
      </w:r>
      <w:r>
        <w:t>,</w:t>
      </w:r>
      <w:r w:rsidRPr="00BC099A">
        <w:t xml:space="preserve"> references to rules are to the CDR Rules.</w:t>
      </w:r>
    </w:p>
    <w:p w14:paraId="36CC1F48" w14:textId="60935031" w:rsidR="00456646" w:rsidRPr="008C56F5" w:rsidRDefault="00456646" w:rsidP="008C56F5">
      <w:pPr>
        <w:tabs>
          <w:tab w:val="left" w:pos="3274"/>
        </w:tabs>
      </w:pPr>
    </w:p>
    <w:p w14:paraId="2EAE5289" w14:textId="421C1082" w:rsidR="00EA4DD8" w:rsidRDefault="00EA4DD8" w:rsidP="00EA4DD8">
      <w:pPr>
        <w:pageBreakBefore/>
        <w:spacing w:before="240"/>
        <w:jc w:val="right"/>
        <w:rPr>
          <w:b/>
          <w:u w:val="single"/>
        </w:rPr>
      </w:pPr>
      <w:r w:rsidRPr="007B335E">
        <w:rPr>
          <w:b/>
          <w:u w:val="single"/>
        </w:rPr>
        <w:lastRenderedPageBreak/>
        <w:t>ATTACHMENT</w:t>
      </w:r>
      <w:r w:rsidR="00D82AEC">
        <w:rPr>
          <w:b/>
          <w:u w:val="single"/>
        </w:rPr>
        <w:t xml:space="preserve"> A</w:t>
      </w:r>
    </w:p>
    <w:p w14:paraId="76620D27" w14:textId="711029D3" w:rsidR="008D7725" w:rsidRDefault="008D7725" w:rsidP="008D7725">
      <w:pPr>
        <w:spacing w:before="240"/>
        <w:ind w:right="91"/>
        <w:rPr>
          <w:b/>
          <w:bCs/>
          <w:szCs w:val="24"/>
          <w:u w:val="single"/>
        </w:rPr>
      </w:pPr>
      <w:r>
        <w:rPr>
          <w:b/>
          <w:bCs/>
          <w:u w:val="single"/>
        </w:rPr>
        <w:t xml:space="preserve">Details of the </w:t>
      </w:r>
      <w:bookmarkStart w:id="0" w:name="_Hlk182912613"/>
      <w:r>
        <w:rPr>
          <w:b/>
          <w:i/>
          <w:u w:val="single"/>
        </w:rPr>
        <w:t xml:space="preserve">Competition and Consumer (Consumer Data Right) Amendment </w:t>
      </w:r>
      <w:r w:rsidR="00832AC5">
        <w:rPr>
          <w:b/>
          <w:i/>
          <w:u w:val="single"/>
        </w:rPr>
        <w:t>(</w:t>
      </w:r>
      <w:r w:rsidR="006156B3" w:rsidRPr="006156B3">
        <w:rPr>
          <w:b/>
          <w:i/>
          <w:u w:val="single"/>
        </w:rPr>
        <w:t>202</w:t>
      </w:r>
      <w:r w:rsidR="00FF3770">
        <w:rPr>
          <w:b/>
          <w:i/>
          <w:u w:val="single"/>
        </w:rPr>
        <w:t>5</w:t>
      </w:r>
      <w:r w:rsidR="006156B3" w:rsidRPr="006156B3">
        <w:rPr>
          <w:b/>
          <w:i/>
          <w:u w:val="single"/>
        </w:rPr>
        <w:t xml:space="preserve"> Measures </w:t>
      </w:r>
      <w:r w:rsidR="00832AC5">
        <w:rPr>
          <w:b/>
          <w:i/>
          <w:u w:val="single"/>
        </w:rPr>
        <w:t xml:space="preserve">No. </w:t>
      </w:r>
      <w:bookmarkEnd w:id="0"/>
      <w:r w:rsidR="00FF3770">
        <w:rPr>
          <w:b/>
          <w:i/>
          <w:u w:val="single"/>
        </w:rPr>
        <w:t>1</w:t>
      </w:r>
      <w:r w:rsidR="006156B3" w:rsidRPr="006156B3">
        <w:rPr>
          <w:b/>
          <w:i/>
          <w:u w:val="single"/>
        </w:rPr>
        <w:t xml:space="preserve">) </w:t>
      </w:r>
      <w:r w:rsidR="00C83743">
        <w:rPr>
          <w:b/>
          <w:i/>
          <w:u w:val="single"/>
        </w:rPr>
        <w:t>Rules</w:t>
      </w:r>
      <w:r w:rsidR="006156B3" w:rsidRPr="006156B3">
        <w:rPr>
          <w:b/>
          <w:i/>
          <w:u w:val="single"/>
        </w:rPr>
        <w:t xml:space="preserve"> 202</w:t>
      </w:r>
      <w:r w:rsidR="00FF3770">
        <w:rPr>
          <w:b/>
          <w:i/>
          <w:u w:val="single"/>
        </w:rPr>
        <w:t>5</w:t>
      </w:r>
    </w:p>
    <w:p w14:paraId="74E50A70" w14:textId="14217C97" w:rsidR="005A18A8" w:rsidRDefault="005A18A8" w:rsidP="005A18A8">
      <w:pPr>
        <w:spacing w:before="240"/>
        <w:rPr>
          <w:rFonts w:ascii="Calibri" w:hAnsi="Calibri"/>
          <w:sz w:val="22"/>
          <w:szCs w:val="22"/>
          <w:u w:val="single"/>
          <w:lang w:eastAsia="en-US"/>
        </w:rPr>
      </w:pPr>
      <w:r>
        <w:rPr>
          <w:u w:val="single"/>
        </w:rPr>
        <w:t>Section 1 – Name</w:t>
      </w:r>
    </w:p>
    <w:p w14:paraId="11CE6AAB" w14:textId="23895A0F" w:rsidR="005A18A8" w:rsidRDefault="005A18A8" w:rsidP="005A18A8">
      <w:pPr>
        <w:spacing w:before="240"/>
      </w:pPr>
      <w:r>
        <w:t xml:space="preserve">This section provides that the name of the </w:t>
      </w:r>
      <w:r w:rsidR="002132B7">
        <w:t>Amending Rules</w:t>
      </w:r>
      <w:r>
        <w:t xml:space="preserve"> is the </w:t>
      </w:r>
      <w:r w:rsidRPr="0012097E">
        <w:rPr>
          <w:i/>
          <w:iCs/>
        </w:rPr>
        <w:t>Competition and Consumer (Consumer Data Right</w:t>
      </w:r>
      <w:r w:rsidR="005C7273">
        <w:rPr>
          <w:i/>
          <w:iCs/>
        </w:rPr>
        <w:t>)</w:t>
      </w:r>
      <w:r w:rsidR="00554DB7">
        <w:rPr>
          <w:i/>
          <w:iCs/>
        </w:rPr>
        <w:t xml:space="preserve"> </w:t>
      </w:r>
      <w:r w:rsidR="005C7273">
        <w:rPr>
          <w:i/>
          <w:iCs/>
        </w:rPr>
        <w:t>Amendment (</w:t>
      </w:r>
      <w:r w:rsidR="00FC70B3" w:rsidRPr="00CC79A0">
        <w:rPr>
          <w:i/>
          <w:iCs/>
        </w:rPr>
        <w:t>202</w:t>
      </w:r>
      <w:r w:rsidR="00FC70B3">
        <w:rPr>
          <w:i/>
          <w:iCs/>
        </w:rPr>
        <w:t>5</w:t>
      </w:r>
      <w:r w:rsidR="00FC70B3" w:rsidRPr="00CC79A0">
        <w:rPr>
          <w:i/>
          <w:iCs/>
        </w:rPr>
        <w:t xml:space="preserve"> </w:t>
      </w:r>
      <w:r w:rsidR="00CC79A0" w:rsidRPr="00CC79A0">
        <w:rPr>
          <w:i/>
          <w:iCs/>
        </w:rPr>
        <w:t xml:space="preserve">Measures </w:t>
      </w:r>
      <w:r w:rsidR="00D0057A">
        <w:rPr>
          <w:i/>
          <w:iCs/>
        </w:rPr>
        <w:t xml:space="preserve">No. </w:t>
      </w:r>
      <w:r w:rsidR="00FC70B3">
        <w:rPr>
          <w:i/>
          <w:iCs/>
        </w:rPr>
        <w:t>1</w:t>
      </w:r>
      <w:r w:rsidR="00CC79A0" w:rsidRPr="00CC79A0">
        <w:rPr>
          <w:i/>
          <w:iCs/>
        </w:rPr>
        <w:t xml:space="preserve">) </w:t>
      </w:r>
      <w:r w:rsidR="001F31F8">
        <w:rPr>
          <w:i/>
          <w:iCs/>
        </w:rPr>
        <w:t>Rules</w:t>
      </w:r>
      <w:r w:rsidR="00CC79A0" w:rsidRPr="00CC79A0">
        <w:rPr>
          <w:i/>
          <w:iCs/>
        </w:rPr>
        <w:t xml:space="preserve"> </w:t>
      </w:r>
      <w:r w:rsidR="00FC70B3" w:rsidRPr="00CC79A0">
        <w:rPr>
          <w:i/>
          <w:iCs/>
        </w:rPr>
        <w:t>202</w:t>
      </w:r>
      <w:r w:rsidR="00FC70B3">
        <w:rPr>
          <w:i/>
          <w:iCs/>
        </w:rPr>
        <w:t>5</w:t>
      </w:r>
      <w:r>
        <w:t>.</w:t>
      </w:r>
    </w:p>
    <w:p w14:paraId="36DEDEE4" w14:textId="77777777" w:rsidR="005A18A8" w:rsidRDefault="005A18A8" w:rsidP="005A18A8">
      <w:pPr>
        <w:spacing w:before="240"/>
        <w:ind w:right="91"/>
        <w:rPr>
          <w:u w:val="single"/>
        </w:rPr>
      </w:pPr>
      <w:r>
        <w:rPr>
          <w:u w:val="single"/>
        </w:rPr>
        <w:t>Section 2 – Commencement</w:t>
      </w:r>
    </w:p>
    <w:p w14:paraId="1F199038" w14:textId="1BAADC24" w:rsidR="005A18A8" w:rsidRDefault="00597C9B" w:rsidP="005A18A8">
      <w:pPr>
        <w:spacing w:before="240"/>
        <w:ind w:right="91"/>
      </w:pPr>
      <w:r>
        <w:t>This section provides that t</w:t>
      </w:r>
      <w:r w:rsidR="005A18A8">
        <w:t xml:space="preserve">he </w:t>
      </w:r>
      <w:r w:rsidR="002132B7">
        <w:t>Amending Rules</w:t>
      </w:r>
      <w:r w:rsidR="005A18A8">
        <w:t xml:space="preserve"> commence </w:t>
      </w:r>
      <w:r>
        <w:t xml:space="preserve">on </w:t>
      </w:r>
      <w:r w:rsidR="005A18A8">
        <w:t xml:space="preserve">the day after they are registered on the Federal Register of Legislation. </w:t>
      </w:r>
    </w:p>
    <w:p w14:paraId="32BE8172" w14:textId="77777777" w:rsidR="005A18A8" w:rsidRDefault="005A18A8" w:rsidP="005A18A8">
      <w:pPr>
        <w:spacing w:before="240"/>
        <w:ind w:right="91"/>
        <w:rPr>
          <w:u w:val="single"/>
        </w:rPr>
      </w:pPr>
      <w:r>
        <w:rPr>
          <w:u w:val="single"/>
        </w:rPr>
        <w:t>Section 3 – Authority</w:t>
      </w:r>
    </w:p>
    <w:p w14:paraId="5178C8BB" w14:textId="27745CAC" w:rsidR="005A18A8" w:rsidRDefault="00597C9B" w:rsidP="005A18A8">
      <w:pPr>
        <w:spacing w:before="240"/>
        <w:ind w:right="91"/>
      </w:pPr>
      <w:r>
        <w:t>This section provides that t</w:t>
      </w:r>
      <w:r w:rsidR="005A18A8">
        <w:t xml:space="preserve">he </w:t>
      </w:r>
      <w:r w:rsidR="002132B7">
        <w:t>Amending Rules</w:t>
      </w:r>
      <w:r w:rsidR="005A18A8">
        <w:t xml:space="preserve"> are made under the Act.</w:t>
      </w:r>
    </w:p>
    <w:p w14:paraId="21B9915E" w14:textId="77777777" w:rsidR="005A18A8" w:rsidRDefault="005A18A8" w:rsidP="005A18A8">
      <w:pPr>
        <w:spacing w:before="240"/>
        <w:ind w:right="91"/>
        <w:rPr>
          <w:u w:val="single"/>
        </w:rPr>
      </w:pPr>
      <w:r>
        <w:rPr>
          <w:u w:val="single"/>
        </w:rPr>
        <w:t>Section 4 – Schedules</w:t>
      </w:r>
    </w:p>
    <w:p w14:paraId="670A780C" w14:textId="6C55D2CA" w:rsidR="005A18A8" w:rsidRDefault="005A18A8" w:rsidP="00216026">
      <w:pPr>
        <w:spacing w:before="240" w:after="200"/>
      </w:pPr>
      <w:r w:rsidRPr="00B43906">
        <w:rPr>
          <w:szCs w:val="23"/>
        </w:rPr>
        <w:t xml:space="preserve">This section provides that each instrument specified in the Schedules to </w:t>
      </w:r>
      <w:r w:rsidR="004047CC">
        <w:rPr>
          <w:szCs w:val="23"/>
        </w:rPr>
        <w:t xml:space="preserve">the Amending Rules </w:t>
      </w:r>
      <w:r w:rsidR="008475C9">
        <w:rPr>
          <w:szCs w:val="23"/>
        </w:rPr>
        <w:t xml:space="preserve">is </w:t>
      </w:r>
      <w:r w:rsidRPr="00B43906">
        <w:rPr>
          <w:szCs w:val="23"/>
        </w:rPr>
        <w:t>amended</w:t>
      </w:r>
      <w:r>
        <w:t xml:space="preserve"> or repealed as set out in the applicable </w:t>
      </w:r>
      <w:r w:rsidR="00B42343">
        <w:t xml:space="preserve">Schedule </w:t>
      </w:r>
      <w:r>
        <w:t xml:space="preserve">items, and </w:t>
      </w:r>
      <w:r w:rsidR="00740F0C">
        <w:t xml:space="preserve">that </w:t>
      </w:r>
      <w:r>
        <w:t xml:space="preserve">any other </w:t>
      </w:r>
      <w:r w:rsidR="00807E9D">
        <w:t xml:space="preserve">Schedule </w:t>
      </w:r>
      <w:r>
        <w:t>item has effect according to its terms.</w:t>
      </w:r>
    </w:p>
    <w:p w14:paraId="408DBE9E" w14:textId="1A3F2B05" w:rsidR="00603B65" w:rsidRDefault="00EA4DD8" w:rsidP="00F72212">
      <w:pPr>
        <w:spacing w:before="240"/>
        <w:rPr>
          <w:u w:val="single"/>
        </w:rPr>
      </w:pPr>
      <w:r>
        <w:rPr>
          <w:u w:val="single"/>
        </w:rPr>
        <w:t xml:space="preserve">Schedule </w:t>
      </w:r>
      <w:r w:rsidR="00432486">
        <w:rPr>
          <w:u w:val="single"/>
        </w:rPr>
        <w:t>1</w:t>
      </w:r>
      <w:r>
        <w:rPr>
          <w:u w:val="single"/>
        </w:rPr>
        <w:t xml:space="preserve"> – </w:t>
      </w:r>
      <w:r w:rsidR="00F85594">
        <w:rPr>
          <w:u w:val="single"/>
        </w:rPr>
        <w:t>Amendments</w:t>
      </w:r>
    </w:p>
    <w:p w14:paraId="1BBD0718" w14:textId="27198216" w:rsidR="007408F6" w:rsidRPr="0055745F" w:rsidRDefault="00F85594" w:rsidP="00F72212">
      <w:pPr>
        <w:spacing w:before="240"/>
        <w:rPr>
          <w:b/>
        </w:rPr>
      </w:pPr>
      <w:r w:rsidRPr="0055745F">
        <w:rPr>
          <w:b/>
        </w:rPr>
        <w:t>General amendments</w:t>
      </w:r>
      <w:r w:rsidR="004B1B49" w:rsidRPr="0055745F">
        <w:rPr>
          <w:b/>
        </w:rPr>
        <w:t xml:space="preserve">: </w:t>
      </w:r>
      <w:r w:rsidR="001657C8" w:rsidRPr="0055745F">
        <w:rPr>
          <w:b/>
        </w:rPr>
        <w:t xml:space="preserve">references to </w:t>
      </w:r>
      <w:r w:rsidR="004B1B49" w:rsidRPr="0055745F">
        <w:rPr>
          <w:b/>
        </w:rPr>
        <w:t>non-bank lenders</w:t>
      </w:r>
      <w:r w:rsidR="00100913" w:rsidRPr="0055745F">
        <w:rPr>
          <w:b/>
        </w:rPr>
        <w:t xml:space="preserve"> and miscellaneous minor changes</w:t>
      </w:r>
    </w:p>
    <w:p w14:paraId="561AE20A" w14:textId="5AABAA01" w:rsidR="00C279D0" w:rsidRDefault="00DE7CBF" w:rsidP="00A81667">
      <w:pPr>
        <w:pStyle w:val="OutlineNumbered1"/>
      </w:pPr>
      <w:r w:rsidRPr="00F7252B">
        <w:t>Part 1</w:t>
      </w:r>
      <w:r w:rsidR="00D809A5" w:rsidRPr="00F7252B">
        <w:t xml:space="preserve"> of Schedule</w:t>
      </w:r>
      <w:r w:rsidR="00E75D41">
        <w:t xml:space="preserve"> </w:t>
      </w:r>
      <w:r w:rsidR="00DE2D5E">
        <w:t xml:space="preserve">1 </w:t>
      </w:r>
      <w:r w:rsidR="00926CF1">
        <w:t>to</w:t>
      </w:r>
      <w:r w:rsidR="00DE2D5E">
        <w:t xml:space="preserve"> </w:t>
      </w:r>
      <w:r w:rsidR="00DE2D5E" w:rsidRPr="003F7C1F">
        <w:rPr>
          <w:szCs w:val="23"/>
        </w:rPr>
        <w:t>the</w:t>
      </w:r>
      <w:r w:rsidR="00DE2D5E">
        <w:t xml:space="preserve"> Amending Rules </w:t>
      </w:r>
      <w:r w:rsidR="00225C9C">
        <w:t>contains consequential amendments to provisions</w:t>
      </w:r>
      <w:r w:rsidR="00D5036F">
        <w:t xml:space="preserve"> of the CDR Rules</w:t>
      </w:r>
      <w:r w:rsidR="00640180">
        <w:t xml:space="preserve"> outside Schedule 3</w:t>
      </w:r>
      <w:r w:rsidR="00A743F0">
        <w:t>.</w:t>
      </w:r>
      <w:r w:rsidR="00FC0516">
        <w:t xml:space="preserve"> </w:t>
      </w:r>
      <w:r w:rsidR="00273DD3">
        <w:t>These</w:t>
      </w:r>
      <w:r w:rsidR="00017D6D">
        <w:t xml:space="preserve"> update existing references</w:t>
      </w:r>
      <w:r w:rsidR="003756F0">
        <w:t xml:space="preserve"> to the banking sector</w:t>
      </w:r>
      <w:r w:rsidR="008C245A">
        <w:t xml:space="preserve"> </w:t>
      </w:r>
      <w:r w:rsidR="00861589">
        <w:t xml:space="preserve">to add </w:t>
      </w:r>
      <w:r w:rsidR="00E3744C">
        <w:t>a reference to the non-bank</w:t>
      </w:r>
      <w:r w:rsidR="002F01FF">
        <w:t xml:space="preserve"> lenders </w:t>
      </w:r>
      <w:proofErr w:type="gramStart"/>
      <w:r w:rsidR="002F01FF">
        <w:t>sector</w:t>
      </w:r>
      <w:r w:rsidR="001608E0">
        <w:t>, and</w:t>
      </w:r>
      <w:proofErr w:type="gramEnd"/>
      <w:r w:rsidR="001608E0">
        <w:t xml:space="preserve"> </w:t>
      </w:r>
      <w:r w:rsidR="00EF3B9F">
        <w:t xml:space="preserve">make a number </w:t>
      </w:r>
      <w:r w:rsidR="00CF49D1">
        <w:t>of</w:t>
      </w:r>
      <w:r w:rsidR="001D7377">
        <w:t xml:space="preserve"> minor machinery changes</w:t>
      </w:r>
      <w:r w:rsidR="001D7377" w:rsidDel="00CE3DE8">
        <w:t xml:space="preserve"> </w:t>
      </w:r>
      <w:r w:rsidR="00BB4DDE">
        <w:t>to other</w:t>
      </w:r>
      <w:r w:rsidR="00C63E13">
        <w:t xml:space="preserve"> provisions</w:t>
      </w:r>
      <w:r w:rsidR="00BB7FC9">
        <w:t xml:space="preserve"> </w:t>
      </w:r>
      <w:r w:rsidR="00BB4DDE">
        <w:t>in</w:t>
      </w:r>
      <w:r w:rsidR="00BB7FC9">
        <w:t xml:space="preserve"> the CDR Rules</w:t>
      </w:r>
      <w:r w:rsidR="00704396">
        <w:t xml:space="preserve">. These </w:t>
      </w:r>
      <w:r w:rsidR="000805F2">
        <w:t>amendments include</w:t>
      </w:r>
      <w:r w:rsidR="00C279D0">
        <w:t xml:space="preserve"> the following:</w:t>
      </w:r>
    </w:p>
    <w:p w14:paraId="499A1711" w14:textId="230374F1" w:rsidR="00CB3330" w:rsidRPr="00B92141" w:rsidRDefault="00B92141" w:rsidP="007E3010">
      <w:pPr>
        <w:pStyle w:val="Bullet"/>
      </w:pPr>
      <w:r>
        <w:t xml:space="preserve">removal of paragraphs from </w:t>
      </w:r>
      <w:r w:rsidR="002E2CF9">
        <w:t xml:space="preserve">the </w:t>
      </w:r>
      <w:r w:rsidR="00CC11A7">
        <w:t>simplified</w:t>
      </w:r>
      <w:r w:rsidR="002E2CF9">
        <w:t xml:space="preserve"> outlined</w:t>
      </w:r>
      <w:r w:rsidR="00CB3330">
        <w:t xml:space="preserve"> in</w:t>
      </w:r>
      <w:r w:rsidR="002E2CF9">
        <w:t xml:space="preserve"> </w:t>
      </w:r>
      <w:r>
        <w:t>rule 1.</w:t>
      </w:r>
      <w:r w:rsidR="004D2E81">
        <w:t>4</w:t>
      </w:r>
      <w:r w:rsidR="002E2CF9">
        <w:t xml:space="preserve"> </w:t>
      </w:r>
      <w:r w:rsidR="006E6D8A">
        <w:t>for brevity</w:t>
      </w:r>
      <w:r w:rsidR="00E160F4">
        <w:t xml:space="preserve">. </w:t>
      </w:r>
      <w:r w:rsidR="00CC11A7" w:rsidRPr="0068068F">
        <w:rPr>
          <w:b/>
          <w:i/>
        </w:rPr>
        <w:t>[Schedule 1, item</w:t>
      </w:r>
      <w:r w:rsidR="00CC11A7" w:rsidRPr="0068068F" w:rsidDel="000F5981">
        <w:rPr>
          <w:b/>
          <w:i/>
        </w:rPr>
        <w:t xml:space="preserve"> </w:t>
      </w:r>
      <w:r w:rsidR="00CC11A7">
        <w:rPr>
          <w:b/>
          <w:i/>
        </w:rPr>
        <w:t>1</w:t>
      </w:r>
      <w:r w:rsidR="00CB3330">
        <w:rPr>
          <w:b/>
          <w:i/>
        </w:rPr>
        <w:t>,</w:t>
      </w:r>
      <w:r w:rsidR="00CC11A7" w:rsidRPr="0068068F">
        <w:rPr>
          <w:b/>
          <w:i/>
        </w:rPr>
        <w:t xml:space="preserve"> rule 1.</w:t>
      </w:r>
      <w:r w:rsidR="00CC11A7">
        <w:rPr>
          <w:b/>
          <w:i/>
        </w:rPr>
        <w:t>4</w:t>
      </w:r>
      <w:r w:rsidR="00CC11A7" w:rsidRPr="0068068F">
        <w:rPr>
          <w:b/>
          <w:i/>
        </w:rPr>
        <w:t>]</w:t>
      </w:r>
    </w:p>
    <w:p w14:paraId="2C8343E2" w14:textId="018965AB" w:rsidR="00B92141" w:rsidRPr="00B92141" w:rsidRDefault="007C7C7C" w:rsidP="007E3010">
      <w:pPr>
        <w:pStyle w:val="Bullet"/>
      </w:pPr>
      <w:r>
        <w:t xml:space="preserve">reframing the overview of the </w:t>
      </w:r>
      <w:r w:rsidR="00A865E5">
        <w:t xml:space="preserve">CDR rules in rule 1.6 </w:t>
      </w:r>
      <w:r w:rsidR="00ED17B3">
        <w:t xml:space="preserve">to more accurately </w:t>
      </w:r>
      <w:r w:rsidR="00323036">
        <w:t>describe</w:t>
      </w:r>
      <w:r w:rsidR="00ED17B3">
        <w:t xml:space="preserve"> Schedule</w:t>
      </w:r>
      <w:r w:rsidR="004D156E">
        <w:t>s</w:t>
      </w:r>
      <w:r w:rsidR="00ED17B3">
        <w:t xml:space="preserve"> 3 and 4.</w:t>
      </w:r>
      <w:r w:rsidR="00ED17B3" w:rsidRPr="00ED17B3">
        <w:rPr>
          <w:b/>
          <w:i/>
        </w:rPr>
        <w:t xml:space="preserve"> </w:t>
      </w:r>
      <w:r w:rsidR="00ED17B3" w:rsidRPr="0068068F">
        <w:rPr>
          <w:b/>
          <w:i/>
        </w:rPr>
        <w:t>[Schedule 1, item</w:t>
      </w:r>
      <w:r w:rsidR="00ED17B3" w:rsidRPr="0068068F" w:rsidDel="000F5981">
        <w:rPr>
          <w:b/>
          <w:i/>
        </w:rPr>
        <w:t xml:space="preserve"> </w:t>
      </w:r>
      <w:r w:rsidR="00ED17B3">
        <w:rPr>
          <w:b/>
          <w:i/>
        </w:rPr>
        <w:t>2,</w:t>
      </w:r>
      <w:r w:rsidR="00ED17B3" w:rsidRPr="0068068F">
        <w:rPr>
          <w:b/>
          <w:i/>
        </w:rPr>
        <w:t xml:space="preserve"> </w:t>
      </w:r>
      <w:r w:rsidR="00ED17B3">
        <w:rPr>
          <w:b/>
          <w:i/>
        </w:rPr>
        <w:t>sub</w:t>
      </w:r>
      <w:r w:rsidR="00ED17B3" w:rsidRPr="0068068F">
        <w:rPr>
          <w:b/>
          <w:i/>
        </w:rPr>
        <w:t>rule</w:t>
      </w:r>
      <w:r w:rsidR="00ED17B3">
        <w:rPr>
          <w:b/>
          <w:i/>
        </w:rPr>
        <w:t>s</w:t>
      </w:r>
      <w:r w:rsidR="00ED17B3" w:rsidRPr="0068068F">
        <w:rPr>
          <w:b/>
          <w:i/>
        </w:rPr>
        <w:t xml:space="preserve"> 1.</w:t>
      </w:r>
      <w:r w:rsidR="00ED17B3">
        <w:rPr>
          <w:b/>
          <w:i/>
        </w:rPr>
        <w:t>6(12) and (13)</w:t>
      </w:r>
      <w:r w:rsidR="00ED17B3" w:rsidRPr="0068068F">
        <w:rPr>
          <w:b/>
          <w:i/>
        </w:rPr>
        <w:t>]</w:t>
      </w:r>
    </w:p>
    <w:p w14:paraId="5FCB4892" w14:textId="65548797" w:rsidR="008B55B1" w:rsidRDefault="008B55B1" w:rsidP="007E3010">
      <w:pPr>
        <w:pStyle w:val="Bullet"/>
      </w:pPr>
      <w:r>
        <w:t xml:space="preserve">replacing the notes to the heading of </w:t>
      </w:r>
      <w:r w:rsidR="00843F5F">
        <w:t xml:space="preserve">rule 1.7 </w:t>
      </w:r>
      <w:r w:rsidR="00426FA1">
        <w:t xml:space="preserve">with a single note that </w:t>
      </w:r>
      <w:r w:rsidR="003801F4">
        <w:t>remove</w:t>
      </w:r>
      <w:r w:rsidR="00426FA1">
        <w:t>s</w:t>
      </w:r>
      <w:r w:rsidR="003801F4">
        <w:t xml:space="preserve"> </w:t>
      </w:r>
      <w:r w:rsidR="00D01B93">
        <w:t xml:space="preserve">unnecessary </w:t>
      </w:r>
      <w:r w:rsidR="00426FA1">
        <w:t xml:space="preserve">existing </w:t>
      </w:r>
      <w:r w:rsidR="009908C8">
        <w:t xml:space="preserve">text and </w:t>
      </w:r>
      <w:r w:rsidR="00426FA1">
        <w:t xml:space="preserve">aligns with current drafting practice. </w:t>
      </w:r>
      <w:r w:rsidR="00426FA1" w:rsidRPr="0068068F">
        <w:rPr>
          <w:b/>
          <w:i/>
        </w:rPr>
        <w:t>[Schedule 1, item</w:t>
      </w:r>
      <w:r w:rsidR="00426FA1" w:rsidRPr="0068068F" w:rsidDel="000F5981">
        <w:rPr>
          <w:b/>
          <w:i/>
        </w:rPr>
        <w:t xml:space="preserve"> </w:t>
      </w:r>
      <w:r w:rsidR="00426FA1">
        <w:rPr>
          <w:b/>
          <w:i/>
        </w:rPr>
        <w:t>4,</w:t>
      </w:r>
      <w:r w:rsidR="00426FA1" w:rsidRPr="0068068F">
        <w:rPr>
          <w:b/>
          <w:i/>
        </w:rPr>
        <w:t xml:space="preserve"> </w:t>
      </w:r>
      <w:r w:rsidR="006500CE">
        <w:rPr>
          <w:b/>
          <w:i/>
        </w:rPr>
        <w:t xml:space="preserve">note to </w:t>
      </w:r>
      <w:r w:rsidR="000D022A">
        <w:rPr>
          <w:b/>
          <w:i/>
        </w:rPr>
        <w:t>rule 1.7</w:t>
      </w:r>
      <w:r w:rsidR="006500CE">
        <w:rPr>
          <w:b/>
          <w:i/>
        </w:rPr>
        <w:t xml:space="preserve"> (heading)</w:t>
      </w:r>
      <w:r w:rsidR="00426FA1" w:rsidRPr="0068068F">
        <w:rPr>
          <w:b/>
          <w:i/>
        </w:rPr>
        <w:t>]</w:t>
      </w:r>
    </w:p>
    <w:p w14:paraId="791D4CE5" w14:textId="6AFF79FE" w:rsidR="00FC329E" w:rsidRPr="0084485B" w:rsidRDefault="00FC329E" w:rsidP="007E3010">
      <w:pPr>
        <w:pStyle w:val="Bullet"/>
      </w:pPr>
      <w:r w:rsidRPr="00B92141">
        <w:t>updating the</w:t>
      </w:r>
      <w:r>
        <w:t xml:space="preserve"> definition of ‘sector Schedule’ in rule 1.7 so that it denotes a Schedule to the CDR Rules that deals with ‘a particular designated sector or </w:t>
      </w:r>
      <w:proofErr w:type="gramStart"/>
      <w:r>
        <w:t>sectors’</w:t>
      </w:r>
      <w:proofErr w:type="gramEnd"/>
      <w:r>
        <w:t>. This aligns with the expansion of Schedule 3</w:t>
      </w:r>
      <w:r w:rsidR="007845A2">
        <w:t xml:space="preserve"> to include </w:t>
      </w:r>
      <w:r w:rsidR="00FE5B1B">
        <w:t xml:space="preserve">the </w:t>
      </w:r>
      <w:r w:rsidR="007845A2">
        <w:t>non-bank lend</w:t>
      </w:r>
      <w:r w:rsidR="00FE5B1B">
        <w:t>ers sector</w:t>
      </w:r>
      <w:r>
        <w:t xml:space="preserve">. Also included is a new provision that explicitly activates the Schedules. This allows the Schedules to modify the operation </w:t>
      </w:r>
      <w:r>
        <w:lastRenderedPageBreak/>
        <w:t xml:space="preserve">of core provisions of the CDR Rules in respect of </w:t>
      </w:r>
      <w:proofErr w:type="gramStart"/>
      <w:r>
        <w:t>particular sectors</w:t>
      </w:r>
      <w:proofErr w:type="gramEnd"/>
      <w:r>
        <w:t xml:space="preserve"> without being explicitly empowered to do so by the provision in question. </w:t>
      </w:r>
      <w:r w:rsidRPr="0068068F">
        <w:rPr>
          <w:b/>
          <w:i/>
        </w:rPr>
        <w:t>[Schedule 1, items</w:t>
      </w:r>
      <w:r w:rsidRPr="0068068F" w:rsidDel="000F5981">
        <w:rPr>
          <w:b/>
          <w:i/>
        </w:rPr>
        <w:t xml:space="preserve"> </w:t>
      </w:r>
      <w:r w:rsidR="00F81FA8">
        <w:rPr>
          <w:b/>
          <w:i/>
        </w:rPr>
        <w:t>3</w:t>
      </w:r>
      <w:r w:rsidRPr="0068068F">
        <w:rPr>
          <w:b/>
          <w:i/>
        </w:rPr>
        <w:t xml:space="preserve"> and 5</w:t>
      </w:r>
      <w:r w:rsidR="00A429C0">
        <w:rPr>
          <w:b/>
          <w:i/>
        </w:rPr>
        <w:t>,</w:t>
      </w:r>
      <w:r w:rsidRPr="0068068F">
        <w:rPr>
          <w:b/>
          <w:i/>
        </w:rPr>
        <w:t xml:space="preserve"> </w:t>
      </w:r>
      <w:r w:rsidR="00D44157">
        <w:rPr>
          <w:b/>
          <w:i/>
        </w:rPr>
        <w:t xml:space="preserve">rule 1.6A and </w:t>
      </w:r>
      <w:r w:rsidRPr="0068068F">
        <w:rPr>
          <w:b/>
          <w:i/>
        </w:rPr>
        <w:t>subrule 1.7(1)]</w:t>
      </w:r>
    </w:p>
    <w:p w14:paraId="3F0E9CBF" w14:textId="483E8285" w:rsidR="008B3E72" w:rsidRPr="00B92141" w:rsidRDefault="0036244B" w:rsidP="007E3010">
      <w:pPr>
        <w:pStyle w:val="Bullet"/>
      </w:pPr>
      <w:r>
        <w:t>clarif</w:t>
      </w:r>
      <w:r w:rsidR="00542520">
        <w:t>ying</w:t>
      </w:r>
      <w:r>
        <w:t xml:space="preserve"> that a data holder must provide an online service that can be used to make product data requests, but only in relation to data that it holds. This is consistent with </w:t>
      </w:r>
      <w:r w:rsidR="008B3E72">
        <w:t>data holder practices and</w:t>
      </w:r>
      <w:r w:rsidR="005C2AE7">
        <w:t xml:space="preserve"> puts beyond doubt that </w:t>
      </w:r>
      <w:r w:rsidR="00BE551D">
        <w:t>a data holder is not required to provide an online service</w:t>
      </w:r>
      <w:r w:rsidR="008B3E72">
        <w:t xml:space="preserve"> that can be used to make product data requests for data it does not hold. </w:t>
      </w:r>
      <w:r w:rsidR="008B3E72" w:rsidRPr="0068068F">
        <w:rPr>
          <w:b/>
          <w:i/>
        </w:rPr>
        <w:t>[Schedule 1, item</w:t>
      </w:r>
      <w:r w:rsidR="008B3E72" w:rsidRPr="0068068F" w:rsidDel="000F5981">
        <w:rPr>
          <w:b/>
          <w:i/>
        </w:rPr>
        <w:t xml:space="preserve"> </w:t>
      </w:r>
      <w:r w:rsidR="008B3E72">
        <w:rPr>
          <w:b/>
          <w:i/>
        </w:rPr>
        <w:t>7,</w:t>
      </w:r>
      <w:r w:rsidR="008B3E72" w:rsidRPr="0068068F">
        <w:rPr>
          <w:b/>
          <w:i/>
        </w:rPr>
        <w:t xml:space="preserve"> </w:t>
      </w:r>
      <w:r w:rsidR="008B3E72">
        <w:rPr>
          <w:b/>
          <w:i/>
        </w:rPr>
        <w:t>paragraph</w:t>
      </w:r>
      <w:r w:rsidR="008B3E72" w:rsidRPr="0068068F">
        <w:rPr>
          <w:b/>
          <w:i/>
        </w:rPr>
        <w:t xml:space="preserve"> 1.</w:t>
      </w:r>
      <w:r w:rsidR="008B3E72">
        <w:rPr>
          <w:b/>
          <w:i/>
        </w:rPr>
        <w:t>12(1)(a)</w:t>
      </w:r>
      <w:r w:rsidR="008B3E72" w:rsidRPr="0068068F">
        <w:rPr>
          <w:b/>
          <w:i/>
        </w:rPr>
        <w:t>]</w:t>
      </w:r>
    </w:p>
    <w:p w14:paraId="6DCD7DC8" w14:textId="0D7CC2AC" w:rsidR="001F1BA4" w:rsidRPr="001F1BA4" w:rsidRDefault="0055122F" w:rsidP="007E3010">
      <w:pPr>
        <w:pStyle w:val="Bullet"/>
      </w:pPr>
      <w:r>
        <w:t>removing</w:t>
      </w:r>
      <w:r w:rsidR="00572F7A">
        <w:t xml:space="preserve"> wording in the simplified outline</w:t>
      </w:r>
      <w:r w:rsidR="004C3881">
        <w:t>s</w:t>
      </w:r>
      <w:r w:rsidR="00572F7A">
        <w:t xml:space="preserve"> of Part</w:t>
      </w:r>
      <w:r w:rsidR="004C3881">
        <w:t>s</w:t>
      </w:r>
      <w:r w:rsidR="00572F7A">
        <w:t xml:space="preserve"> 2 </w:t>
      </w:r>
      <w:r w:rsidR="004C3881">
        <w:t xml:space="preserve">and </w:t>
      </w:r>
      <w:r w:rsidR="00FC2F2A">
        <w:t xml:space="preserve">3 </w:t>
      </w:r>
      <w:r w:rsidR="00962228">
        <w:t xml:space="preserve">of the </w:t>
      </w:r>
      <w:r w:rsidR="004C3881">
        <w:t>CDR R</w:t>
      </w:r>
      <w:r w:rsidR="00962228">
        <w:t xml:space="preserve">ules </w:t>
      </w:r>
      <w:r w:rsidR="00170E02">
        <w:t xml:space="preserve">that </w:t>
      </w:r>
      <w:r w:rsidR="00532466">
        <w:t>that did not provide further assistance</w:t>
      </w:r>
      <w:r w:rsidR="00861C62">
        <w:t>.</w:t>
      </w:r>
      <w:r w:rsidR="00532466">
        <w:t xml:space="preserve"> </w:t>
      </w:r>
      <w:r w:rsidR="00861C62" w:rsidRPr="0068068F">
        <w:rPr>
          <w:b/>
          <w:i/>
        </w:rPr>
        <w:t>[Schedule 1, item</w:t>
      </w:r>
      <w:r w:rsidR="0067141C">
        <w:rPr>
          <w:b/>
          <w:i/>
        </w:rPr>
        <w:t xml:space="preserve">s </w:t>
      </w:r>
      <w:r w:rsidR="00132FAB">
        <w:rPr>
          <w:b/>
          <w:i/>
        </w:rPr>
        <w:t xml:space="preserve">8 and </w:t>
      </w:r>
      <w:r w:rsidR="00314692">
        <w:rPr>
          <w:b/>
          <w:i/>
        </w:rPr>
        <w:t>9</w:t>
      </w:r>
      <w:r w:rsidR="001A6F22">
        <w:rPr>
          <w:b/>
          <w:i/>
        </w:rPr>
        <w:t>, rules</w:t>
      </w:r>
      <w:r w:rsidR="006C28A7">
        <w:rPr>
          <w:b/>
          <w:i/>
        </w:rPr>
        <w:t> </w:t>
      </w:r>
      <w:r w:rsidR="00085938">
        <w:rPr>
          <w:b/>
          <w:i/>
        </w:rPr>
        <w:t>2.1 and 3.1</w:t>
      </w:r>
      <w:r w:rsidR="00861C62" w:rsidRPr="0068068F">
        <w:rPr>
          <w:b/>
          <w:i/>
        </w:rPr>
        <w:t>]</w:t>
      </w:r>
      <w:r w:rsidR="00170E02">
        <w:t xml:space="preserve"> </w:t>
      </w:r>
    </w:p>
    <w:p w14:paraId="1DC4EF36" w14:textId="0A39A82E" w:rsidR="00D233AE" w:rsidRPr="00C85128" w:rsidRDefault="00542520" w:rsidP="00C85128">
      <w:pPr>
        <w:pStyle w:val="Bullet"/>
        <w:rPr>
          <w:b/>
          <w:bCs/>
          <w:i/>
          <w:iCs/>
        </w:rPr>
      </w:pPr>
      <w:r>
        <w:t xml:space="preserve">repealing </w:t>
      </w:r>
      <w:r w:rsidR="009E0E62">
        <w:t>various</w:t>
      </w:r>
      <w:r>
        <w:t xml:space="preserve"> n</w:t>
      </w:r>
      <w:r w:rsidR="00044908">
        <w:t xml:space="preserve">otes </w:t>
      </w:r>
      <w:r w:rsidR="00F4634F">
        <w:t xml:space="preserve">that </w:t>
      </w:r>
      <w:r w:rsidR="00585756">
        <w:t xml:space="preserve">do not </w:t>
      </w:r>
      <w:r w:rsidR="00FE6040">
        <w:t xml:space="preserve">provide </w:t>
      </w:r>
      <w:r w:rsidR="00F16161">
        <w:t xml:space="preserve">further assistance, to </w:t>
      </w:r>
      <w:r w:rsidR="00FA3653">
        <w:t>improve read</w:t>
      </w:r>
      <w:r w:rsidR="00E952B8">
        <w:t xml:space="preserve">ability and </w:t>
      </w:r>
      <w:r w:rsidR="00307D24">
        <w:t>align with current drafting practice</w:t>
      </w:r>
      <w:r w:rsidR="001D6FFC">
        <w:t>.</w:t>
      </w:r>
      <w:r w:rsidR="00C230D5">
        <w:t xml:space="preserve"> </w:t>
      </w:r>
      <w:r w:rsidR="00C230D5" w:rsidRPr="0068068F">
        <w:rPr>
          <w:b/>
          <w:i/>
        </w:rPr>
        <w:t>[</w:t>
      </w:r>
      <w:bookmarkStart w:id="1" w:name="_Hlk191463849"/>
      <w:r w:rsidR="00C230D5" w:rsidRPr="0068068F">
        <w:rPr>
          <w:b/>
          <w:i/>
        </w:rPr>
        <w:t>Schedule 1, item</w:t>
      </w:r>
      <w:r w:rsidR="00C230D5">
        <w:rPr>
          <w:b/>
          <w:i/>
        </w:rPr>
        <w:t xml:space="preserve">s </w:t>
      </w:r>
      <w:r w:rsidR="00961B54">
        <w:rPr>
          <w:b/>
          <w:i/>
        </w:rPr>
        <w:t xml:space="preserve">6, </w:t>
      </w:r>
      <w:r w:rsidR="00497698">
        <w:rPr>
          <w:b/>
          <w:i/>
        </w:rPr>
        <w:t>1</w:t>
      </w:r>
      <w:r w:rsidR="00314692">
        <w:rPr>
          <w:b/>
          <w:i/>
        </w:rPr>
        <w:t>0</w:t>
      </w:r>
      <w:r w:rsidR="00497698">
        <w:rPr>
          <w:b/>
          <w:i/>
        </w:rPr>
        <w:t xml:space="preserve"> to </w:t>
      </w:r>
      <w:r w:rsidR="00210221">
        <w:rPr>
          <w:b/>
          <w:i/>
        </w:rPr>
        <w:t>1</w:t>
      </w:r>
      <w:r w:rsidR="00D44157">
        <w:rPr>
          <w:b/>
          <w:i/>
        </w:rPr>
        <w:t>3</w:t>
      </w:r>
      <w:r w:rsidR="001E49E2">
        <w:rPr>
          <w:b/>
          <w:i/>
        </w:rPr>
        <w:t>,</w:t>
      </w:r>
      <w:r w:rsidR="008B7BF0">
        <w:rPr>
          <w:b/>
          <w:i/>
        </w:rPr>
        <w:t xml:space="preserve"> 1</w:t>
      </w:r>
      <w:r w:rsidR="00AA1B20">
        <w:rPr>
          <w:b/>
          <w:i/>
        </w:rPr>
        <w:t>5</w:t>
      </w:r>
      <w:r w:rsidR="004F4974">
        <w:rPr>
          <w:b/>
          <w:i/>
        </w:rPr>
        <w:t>,</w:t>
      </w:r>
      <w:r w:rsidR="008B7BF0">
        <w:rPr>
          <w:b/>
          <w:i/>
        </w:rPr>
        <w:t xml:space="preserve"> </w:t>
      </w:r>
      <w:r w:rsidR="008E086D">
        <w:rPr>
          <w:b/>
          <w:i/>
        </w:rPr>
        <w:t>18</w:t>
      </w:r>
      <w:r w:rsidR="004F4974">
        <w:rPr>
          <w:b/>
          <w:i/>
        </w:rPr>
        <w:t xml:space="preserve"> and 19</w:t>
      </w:r>
      <w:bookmarkEnd w:id="1"/>
      <w:r w:rsidR="00C230D5">
        <w:rPr>
          <w:b/>
          <w:i/>
        </w:rPr>
        <w:t xml:space="preserve">, </w:t>
      </w:r>
      <w:r w:rsidR="003C271C">
        <w:rPr>
          <w:b/>
          <w:i/>
        </w:rPr>
        <w:t xml:space="preserve">various </w:t>
      </w:r>
      <w:r w:rsidR="00BA1481">
        <w:rPr>
          <w:b/>
          <w:i/>
        </w:rPr>
        <w:t xml:space="preserve">notes </w:t>
      </w:r>
      <w:r w:rsidR="003C271C">
        <w:rPr>
          <w:b/>
          <w:i/>
        </w:rPr>
        <w:t>in</w:t>
      </w:r>
      <w:r w:rsidR="00BA1481">
        <w:rPr>
          <w:b/>
          <w:i/>
        </w:rPr>
        <w:t xml:space="preserve"> </w:t>
      </w:r>
      <w:r w:rsidR="00C230D5">
        <w:rPr>
          <w:b/>
          <w:i/>
        </w:rPr>
        <w:t xml:space="preserve">rules </w:t>
      </w:r>
      <w:r w:rsidR="000767F5">
        <w:rPr>
          <w:b/>
          <w:i/>
        </w:rPr>
        <w:t xml:space="preserve">1.7, </w:t>
      </w:r>
      <w:r w:rsidR="006B6A06">
        <w:rPr>
          <w:b/>
          <w:i/>
        </w:rPr>
        <w:t>3.3</w:t>
      </w:r>
      <w:r w:rsidR="008E086D">
        <w:rPr>
          <w:b/>
          <w:i/>
        </w:rPr>
        <w:t xml:space="preserve">, </w:t>
      </w:r>
      <w:r w:rsidR="00DB77CC">
        <w:rPr>
          <w:b/>
          <w:i/>
        </w:rPr>
        <w:t>3.4</w:t>
      </w:r>
      <w:r w:rsidR="008E086D">
        <w:rPr>
          <w:b/>
          <w:i/>
        </w:rPr>
        <w:t xml:space="preserve">, </w:t>
      </w:r>
      <w:r w:rsidR="00111F42">
        <w:rPr>
          <w:b/>
          <w:i/>
        </w:rPr>
        <w:t xml:space="preserve">4.2, </w:t>
      </w:r>
      <w:r w:rsidR="000C16EC">
        <w:rPr>
          <w:b/>
          <w:i/>
        </w:rPr>
        <w:t>5.5 and 5.25</w:t>
      </w:r>
      <w:r w:rsidR="00C230D5" w:rsidRPr="0068068F">
        <w:rPr>
          <w:b/>
          <w:i/>
        </w:rPr>
        <w:t>]</w:t>
      </w:r>
    </w:p>
    <w:p w14:paraId="387AC9F9" w14:textId="174B413E" w:rsidR="004955F2" w:rsidRDefault="004955F2" w:rsidP="00193174">
      <w:pPr>
        <w:pStyle w:val="Bullet"/>
      </w:pPr>
      <w:r>
        <w:t>including a</w:t>
      </w:r>
      <w:r w:rsidR="009560FD">
        <w:t xml:space="preserve"> </w:t>
      </w:r>
      <w:r>
        <w:t xml:space="preserve">note in the simplified outline of </w:t>
      </w:r>
      <w:r w:rsidR="006C3369">
        <w:t>P</w:t>
      </w:r>
      <w:r>
        <w:t>art 4</w:t>
      </w:r>
      <w:r w:rsidR="00876F40">
        <w:t xml:space="preserve"> (</w:t>
      </w:r>
      <w:r>
        <w:t>which deals with consumer data requests made by accredited persons</w:t>
      </w:r>
      <w:r w:rsidR="00876F40">
        <w:t>)</w:t>
      </w:r>
      <w:r w:rsidR="00261BF2">
        <w:t xml:space="preserve"> </w:t>
      </w:r>
      <w:r w:rsidR="00515827">
        <w:t>which</w:t>
      </w:r>
      <w:r w:rsidR="00261BF2">
        <w:t xml:space="preserve"> clarifies </w:t>
      </w:r>
      <w:r w:rsidR="004D31AB">
        <w:t xml:space="preserve">that Schedule 3 </w:t>
      </w:r>
      <w:r w:rsidR="006C3369">
        <w:t>to</w:t>
      </w:r>
      <w:r w:rsidR="004D31AB">
        <w:t xml:space="preserve"> the CDR Rules </w:t>
      </w:r>
      <w:r w:rsidR="00332FE0">
        <w:t xml:space="preserve">modifies the application of </w:t>
      </w:r>
      <w:r w:rsidR="00C67FF4">
        <w:t>P</w:t>
      </w:r>
      <w:r w:rsidR="00332FE0">
        <w:t xml:space="preserve">art 4 where a data holder moves from the non-bank </w:t>
      </w:r>
      <w:r w:rsidR="007A297F">
        <w:t>lenders</w:t>
      </w:r>
      <w:r w:rsidR="00332FE0">
        <w:t xml:space="preserve"> sector to the banking sector. </w:t>
      </w:r>
      <w:r w:rsidR="00332FE0" w:rsidRPr="0088162E">
        <w:rPr>
          <w:b/>
          <w:bCs/>
          <w:i/>
          <w:iCs/>
        </w:rPr>
        <w:t>[</w:t>
      </w:r>
      <w:r w:rsidR="00332FE0" w:rsidRPr="00A11E71">
        <w:rPr>
          <w:b/>
          <w:bCs/>
          <w:i/>
          <w:iCs/>
        </w:rPr>
        <w:t xml:space="preserve">Schedule 1, </w:t>
      </w:r>
      <w:r w:rsidR="00332FE0">
        <w:rPr>
          <w:b/>
          <w:bCs/>
          <w:i/>
          <w:iCs/>
        </w:rPr>
        <w:t>item 1</w:t>
      </w:r>
      <w:r w:rsidR="00174721">
        <w:rPr>
          <w:b/>
          <w:bCs/>
          <w:i/>
          <w:iCs/>
        </w:rPr>
        <w:t>4</w:t>
      </w:r>
      <w:r w:rsidR="00332FE0">
        <w:rPr>
          <w:b/>
          <w:bCs/>
          <w:i/>
          <w:iCs/>
        </w:rPr>
        <w:t>, rule</w:t>
      </w:r>
      <w:r w:rsidR="00E36073">
        <w:rPr>
          <w:b/>
          <w:bCs/>
          <w:i/>
          <w:iCs/>
        </w:rPr>
        <w:t> </w:t>
      </w:r>
      <w:r w:rsidR="00332FE0">
        <w:rPr>
          <w:b/>
          <w:bCs/>
          <w:i/>
          <w:iCs/>
        </w:rPr>
        <w:t>4.1]</w:t>
      </w:r>
    </w:p>
    <w:p w14:paraId="13DBE6BE" w14:textId="77777777" w:rsidR="00AE5817" w:rsidRDefault="003E63E9" w:rsidP="00AE5817">
      <w:pPr>
        <w:pStyle w:val="OutlineNumbered1"/>
        <w:spacing w:after="0"/>
      </w:pPr>
      <w:r>
        <w:t>Amendments</w:t>
      </w:r>
      <w:r w:rsidR="2DD7A55D" w:rsidRPr="0760D5DF">
        <w:t xml:space="preserve"> to the CDR </w:t>
      </w:r>
      <w:r>
        <w:t>R</w:t>
      </w:r>
      <w:r w:rsidR="2DD7A55D" w:rsidRPr="0760D5DF">
        <w:t xml:space="preserve">ules </w:t>
      </w:r>
      <w:r>
        <w:t xml:space="preserve">made in 2024 </w:t>
      </w:r>
      <w:r w:rsidR="2DD7A55D" w:rsidRPr="0760D5DF">
        <w:t>enable</w:t>
      </w:r>
      <w:r>
        <w:t>d</w:t>
      </w:r>
      <w:r w:rsidR="2DD7A55D" w:rsidRPr="0760D5DF">
        <w:t xml:space="preserve"> pre-selection of consent elements. That is, the accredited person or CDR representative can present the consumer with each element of consent already </w:t>
      </w:r>
      <w:proofErr w:type="gramStart"/>
      <w:r w:rsidR="2DD7A55D" w:rsidRPr="0760D5DF">
        <w:t>selected, and</w:t>
      </w:r>
      <w:proofErr w:type="gramEnd"/>
      <w:r w:rsidR="2DD7A55D" w:rsidRPr="0760D5DF">
        <w:t xml:space="preserve"> seek the consumer’s agreement to all the elements so presented. The Amending Rules align the drafting for pre</w:t>
      </w:r>
      <w:r w:rsidR="00BA6264">
        <w:noBreakHyphen/>
      </w:r>
      <w:r w:rsidR="2DD7A55D" w:rsidRPr="0760D5DF">
        <w:t xml:space="preserve">selecting fee-attracting data with the drafting of equivalent provisions for other elements of consent. </w:t>
      </w:r>
    </w:p>
    <w:p w14:paraId="689D5022" w14:textId="01FE4CFB" w:rsidR="006D222E" w:rsidRDefault="009B71CC" w:rsidP="00AE5817">
      <w:pPr>
        <w:pStyle w:val="OutlineNumbered1"/>
        <w:numPr>
          <w:ilvl w:val="0"/>
          <w:numId w:val="0"/>
        </w:numPr>
        <w:spacing w:before="0"/>
        <w:ind w:left="567"/>
      </w:pPr>
      <w:r w:rsidRPr="0088162E">
        <w:rPr>
          <w:b/>
          <w:bCs/>
          <w:i/>
          <w:iCs/>
        </w:rPr>
        <w:t>[</w:t>
      </w:r>
      <w:r w:rsidRPr="00A11E71">
        <w:rPr>
          <w:b/>
          <w:bCs/>
          <w:i/>
          <w:iCs/>
        </w:rPr>
        <w:t xml:space="preserve">Schedule 1, </w:t>
      </w:r>
      <w:r>
        <w:rPr>
          <w:b/>
          <w:bCs/>
          <w:i/>
          <w:iCs/>
        </w:rPr>
        <w:t>item</w:t>
      </w:r>
      <w:r w:rsidR="00176915">
        <w:rPr>
          <w:b/>
          <w:bCs/>
          <w:i/>
          <w:iCs/>
        </w:rPr>
        <w:t xml:space="preserve">s 16 and </w:t>
      </w:r>
      <w:r w:rsidR="00A161B9">
        <w:rPr>
          <w:b/>
          <w:bCs/>
          <w:i/>
          <w:iCs/>
        </w:rPr>
        <w:t>1</w:t>
      </w:r>
      <w:r w:rsidR="004F4974">
        <w:rPr>
          <w:b/>
          <w:bCs/>
          <w:i/>
          <w:iCs/>
        </w:rPr>
        <w:t>7</w:t>
      </w:r>
      <w:r>
        <w:rPr>
          <w:b/>
          <w:bCs/>
          <w:i/>
          <w:iCs/>
        </w:rPr>
        <w:t xml:space="preserve">, </w:t>
      </w:r>
      <w:r w:rsidR="00BD337C">
        <w:rPr>
          <w:b/>
          <w:bCs/>
          <w:i/>
          <w:iCs/>
        </w:rPr>
        <w:t>paragraphs</w:t>
      </w:r>
      <w:r>
        <w:rPr>
          <w:b/>
          <w:bCs/>
          <w:i/>
          <w:iCs/>
        </w:rPr>
        <w:t xml:space="preserve"> 4.11(1)(d) and 4.20E(1)(e)]</w:t>
      </w:r>
    </w:p>
    <w:p w14:paraId="1F883357" w14:textId="77777777" w:rsidR="00AE5817" w:rsidRDefault="0064398B" w:rsidP="00AE5817">
      <w:pPr>
        <w:pStyle w:val="OutlineNumbered1"/>
        <w:spacing w:after="0"/>
      </w:pPr>
      <w:r>
        <w:t>T</w:t>
      </w:r>
      <w:r w:rsidR="007E4A58">
        <w:t xml:space="preserve">he Amending Rules </w:t>
      </w:r>
      <w:r w:rsidR="00653D24">
        <w:t>clarify that</w:t>
      </w:r>
      <w:r w:rsidR="00F42479">
        <w:t xml:space="preserve"> remuneration is not payable </w:t>
      </w:r>
      <w:r w:rsidR="00B1585C">
        <w:t>in respect of an appointment to</w:t>
      </w:r>
      <w:r w:rsidR="00653D24">
        <w:t xml:space="preserve"> </w:t>
      </w:r>
      <w:r w:rsidR="0030158E">
        <w:t xml:space="preserve">a Data Standards Advisory Committee </w:t>
      </w:r>
      <w:r w:rsidR="003A29E2">
        <w:t xml:space="preserve">established </w:t>
      </w:r>
      <w:r w:rsidR="00DB1C5E">
        <w:t xml:space="preserve">under Division </w:t>
      </w:r>
      <w:r w:rsidR="00653395">
        <w:t xml:space="preserve">8.2 of </w:t>
      </w:r>
      <w:r w:rsidR="00DB1C5E">
        <w:t>the CDR Rules</w:t>
      </w:r>
      <w:r w:rsidR="00B22C47">
        <w:t>.</w:t>
      </w:r>
      <w:r w:rsidR="00D06127">
        <w:t xml:space="preserve"> </w:t>
      </w:r>
    </w:p>
    <w:p w14:paraId="0553F34A" w14:textId="50CE9072" w:rsidR="00653D24" w:rsidRDefault="005420EF" w:rsidP="00AE5817">
      <w:pPr>
        <w:pStyle w:val="OutlineNumbered1"/>
        <w:numPr>
          <w:ilvl w:val="0"/>
          <w:numId w:val="0"/>
        </w:numPr>
        <w:spacing w:before="0"/>
        <w:ind w:left="567"/>
      </w:pPr>
      <w:r w:rsidRPr="0088162E">
        <w:rPr>
          <w:b/>
          <w:bCs/>
          <w:i/>
          <w:iCs/>
        </w:rPr>
        <w:t>[</w:t>
      </w:r>
      <w:r w:rsidRPr="00A11E71">
        <w:rPr>
          <w:b/>
          <w:bCs/>
          <w:i/>
          <w:iCs/>
        </w:rPr>
        <w:t xml:space="preserve">Schedule 1, </w:t>
      </w:r>
      <w:r>
        <w:rPr>
          <w:b/>
          <w:bCs/>
          <w:i/>
          <w:iCs/>
        </w:rPr>
        <w:t xml:space="preserve">item </w:t>
      </w:r>
      <w:r w:rsidR="00294415">
        <w:rPr>
          <w:b/>
          <w:bCs/>
          <w:i/>
          <w:iCs/>
        </w:rPr>
        <w:t>20</w:t>
      </w:r>
      <w:r>
        <w:rPr>
          <w:b/>
          <w:bCs/>
          <w:i/>
          <w:iCs/>
        </w:rPr>
        <w:t xml:space="preserve">, subrule </w:t>
      </w:r>
      <w:r w:rsidR="001331B3">
        <w:rPr>
          <w:b/>
          <w:bCs/>
          <w:i/>
          <w:iCs/>
        </w:rPr>
        <w:t>8</w:t>
      </w:r>
      <w:r>
        <w:rPr>
          <w:b/>
          <w:bCs/>
          <w:i/>
          <w:iCs/>
        </w:rPr>
        <w:t>.4(</w:t>
      </w:r>
      <w:r w:rsidR="00CD7EFD">
        <w:rPr>
          <w:b/>
          <w:bCs/>
          <w:i/>
          <w:iCs/>
        </w:rPr>
        <w:t>3</w:t>
      </w:r>
      <w:r>
        <w:rPr>
          <w:b/>
          <w:bCs/>
          <w:i/>
          <w:iCs/>
        </w:rPr>
        <w:t>)]</w:t>
      </w:r>
    </w:p>
    <w:p w14:paraId="400F8E81" w14:textId="66A34C5F" w:rsidR="008863FC" w:rsidRDefault="00574AD6" w:rsidP="00A81667">
      <w:pPr>
        <w:pStyle w:val="OutlineNumbered1"/>
      </w:pPr>
      <w:r>
        <w:t>Part 3 of Schedule 1 to the Amending Rules</w:t>
      </w:r>
      <w:r w:rsidR="00EE648F">
        <w:t xml:space="preserve"> </w:t>
      </w:r>
      <w:r w:rsidR="00D81A9B">
        <w:t xml:space="preserve">adds </w:t>
      </w:r>
      <w:r w:rsidR="00AD0BC0">
        <w:t>‘</w:t>
      </w:r>
      <w:r w:rsidR="00D81A9B">
        <w:t>non-</w:t>
      </w:r>
      <w:r w:rsidR="00F62028">
        <w:t>bank lenders sector</w:t>
      </w:r>
      <w:r w:rsidR="003F7C1F">
        <w:t>’</w:t>
      </w:r>
      <w:r w:rsidR="00F62028">
        <w:t xml:space="preserve"> </w:t>
      </w:r>
      <w:r w:rsidR="00F36967">
        <w:t xml:space="preserve">to </w:t>
      </w:r>
      <w:r w:rsidR="007438BB">
        <w:t xml:space="preserve">references to </w:t>
      </w:r>
      <w:r w:rsidR="00AD0BC0">
        <w:t>‘</w:t>
      </w:r>
      <w:r w:rsidR="00CB711B">
        <w:t>banking sector</w:t>
      </w:r>
      <w:r w:rsidR="00CD2183">
        <w:t>’</w:t>
      </w:r>
      <w:r w:rsidR="00CB711B">
        <w:t xml:space="preserve"> </w:t>
      </w:r>
      <w:r w:rsidR="00D251E7">
        <w:t xml:space="preserve">in </w:t>
      </w:r>
      <w:r w:rsidR="009B3774">
        <w:t xml:space="preserve">notes </w:t>
      </w:r>
      <w:r w:rsidR="006F7AC8">
        <w:t xml:space="preserve">in various provisions in the CDR </w:t>
      </w:r>
      <w:r w:rsidR="00653A03">
        <w:t>R</w:t>
      </w:r>
      <w:r w:rsidR="006F7AC8">
        <w:t>ules</w:t>
      </w:r>
      <w:r w:rsidR="004F5F78">
        <w:t xml:space="preserve">. </w:t>
      </w:r>
    </w:p>
    <w:p w14:paraId="20C84CFC" w14:textId="77777777" w:rsidR="00AE5817" w:rsidRPr="00AE5817" w:rsidRDefault="00653A03" w:rsidP="00AE5817">
      <w:pPr>
        <w:pStyle w:val="OutlineNumbered1"/>
        <w:spacing w:after="0"/>
        <w:rPr>
          <w:bCs/>
          <w:iCs/>
        </w:rPr>
      </w:pPr>
      <w:r>
        <w:t>Part 3</w:t>
      </w:r>
      <w:r w:rsidR="006F7AC8">
        <w:t xml:space="preserve"> </w:t>
      </w:r>
      <w:r w:rsidR="00312CC0">
        <w:t>of Schedule 1 to the Amending Rules</w:t>
      </w:r>
      <w:r w:rsidR="006F7AC8">
        <w:t xml:space="preserve"> </w:t>
      </w:r>
      <w:r w:rsidR="00680F55">
        <w:t xml:space="preserve">also </w:t>
      </w:r>
      <w:r w:rsidR="00F712BF" w:rsidRPr="003F7C1F">
        <w:rPr>
          <w:szCs w:val="23"/>
        </w:rPr>
        <w:t>substitutes</w:t>
      </w:r>
      <w:r w:rsidR="00F712BF">
        <w:t xml:space="preserve"> </w:t>
      </w:r>
      <w:r w:rsidR="00AD0BC0">
        <w:t>‘</w:t>
      </w:r>
      <w:r w:rsidR="0066723A">
        <w:t>CDR Accreditor</w:t>
      </w:r>
      <w:r w:rsidR="003F7C1F">
        <w:t>’</w:t>
      </w:r>
      <w:r w:rsidR="0066723A">
        <w:t xml:space="preserve"> for </w:t>
      </w:r>
      <w:r w:rsidR="00AD0BC0">
        <w:t>‘</w:t>
      </w:r>
      <w:r w:rsidR="006E5A07">
        <w:t>Data Recipient Accreditor</w:t>
      </w:r>
      <w:r w:rsidR="003F7C1F">
        <w:t>’</w:t>
      </w:r>
      <w:r w:rsidR="00182DC3">
        <w:t xml:space="preserve"> in </w:t>
      </w:r>
      <w:r w:rsidR="007C3FD5">
        <w:t>various provisions</w:t>
      </w:r>
      <w:r w:rsidR="00680F55">
        <w:t xml:space="preserve"> in the CDR Rules. This </w:t>
      </w:r>
      <w:r w:rsidR="0008638F">
        <w:t xml:space="preserve">is needed following </w:t>
      </w:r>
      <w:r w:rsidR="00F805ED">
        <w:t xml:space="preserve">the </w:t>
      </w:r>
      <w:r w:rsidR="00D10C40">
        <w:t xml:space="preserve">corresponding </w:t>
      </w:r>
      <w:r w:rsidR="00F805ED">
        <w:t xml:space="preserve">change </w:t>
      </w:r>
      <w:r w:rsidR="00D36829">
        <w:t xml:space="preserve">made </w:t>
      </w:r>
      <w:r w:rsidR="009B1C98">
        <w:t>by</w:t>
      </w:r>
      <w:r w:rsidR="00C9028F">
        <w:t xml:space="preserve"> the </w:t>
      </w:r>
      <w:r w:rsidR="00D7138E" w:rsidRPr="000C06C2">
        <w:rPr>
          <w:i/>
          <w:iCs/>
        </w:rPr>
        <w:t>Treasury Laws Amendment (Consumer Data Right) Act 2024</w:t>
      </w:r>
      <w:r w:rsidR="000C06C2">
        <w:t>.</w:t>
      </w:r>
      <w:r w:rsidR="00584F89">
        <w:t xml:space="preserve"> </w:t>
      </w:r>
    </w:p>
    <w:p w14:paraId="68F0C1D9" w14:textId="275FC9AA" w:rsidR="00157EAD" w:rsidRPr="00351E44" w:rsidRDefault="00584F89" w:rsidP="00AE5817">
      <w:pPr>
        <w:pStyle w:val="OutlineNumbered1"/>
        <w:numPr>
          <w:ilvl w:val="0"/>
          <w:numId w:val="0"/>
        </w:numPr>
        <w:spacing w:before="0"/>
        <w:ind w:left="567"/>
        <w:rPr>
          <w:bCs/>
          <w:iCs/>
        </w:rPr>
      </w:pPr>
      <w:r w:rsidRPr="0088162E">
        <w:rPr>
          <w:b/>
          <w:bCs/>
          <w:i/>
          <w:iCs/>
        </w:rPr>
        <w:t>[</w:t>
      </w:r>
      <w:r w:rsidRPr="00A11E71">
        <w:rPr>
          <w:b/>
          <w:bCs/>
          <w:i/>
          <w:iCs/>
        </w:rPr>
        <w:t>Schedule</w:t>
      </w:r>
      <w:r w:rsidR="00B66623">
        <w:rPr>
          <w:b/>
          <w:bCs/>
          <w:i/>
          <w:iCs/>
        </w:rPr>
        <w:t> </w:t>
      </w:r>
      <w:r w:rsidRPr="00A11E71">
        <w:rPr>
          <w:b/>
          <w:bCs/>
          <w:i/>
          <w:iCs/>
        </w:rPr>
        <w:t xml:space="preserve">1, </w:t>
      </w:r>
      <w:r w:rsidR="00EF755A">
        <w:rPr>
          <w:b/>
          <w:bCs/>
          <w:i/>
          <w:iCs/>
        </w:rPr>
        <w:t xml:space="preserve">items </w:t>
      </w:r>
      <w:r w:rsidR="00BB357D">
        <w:rPr>
          <w:b/>
          <w:bCs/>
          <w:i/>
          <w:iCs/>
        </w:rPr>
        <w:t>37 and 38</w:t>
      </w:r>
      <w:r w:rsidR="005A37F1">
        <w:rPr>
          <w:b/>
          <w:bCs/>
          <w:i/>
          <w:iCs/>
        </w:rPr>
        <w:t xml:space="preserve">, </w:t>
      </w:r>
      <w:r w:rsidR="00FF121D">
        <w:rPr>
          <w:b/>
          <w:bCs/>
          <w:i/>
          <w:iCs/>
        </w:rPr>
        <w:t>multiple provisions in the CDR Rules</w:t>
      </w:r>
      <w:r>
        <w:rPr>
          <w:b/>
          <w:bCs/>
          <w:i/>
          <w:iCs/>
        </w:rPr>
        <w:t>]</w:t>
      </w:r>
    </w:p>
    <w:p w14:paraId="0D57FA9E" w14:textId="4EB56C85" w:rsidR="005D1C7A" w:rsidRDefault="004622FD" w:rsidP="00AE5817">
      <w:pPr>
        <w:keepNext/>
        <w:spacing w:before="240"/>
        <w:rPr>
          <w:b/>
          <w:bCs/>
        </w:rPr>
      </w:pPr>
      <w:r>
        <w:rPr>
          <w:b/>
          <w:bCs/>
        </w:rPr>
        <w:lastRenderedPageBreak/>
        <w:t xml:space="preserve">Amendments to </w:t>
      </w:r>
      <w:r w:rsidR="00FC1C21">
        <w:rPr>
          <w:b/>
          <w:bCs/>
        </w:rPr>
        <w:t>extend</w:t>
      </w:r>
      <w:r w:rsidR="00991EBE" w:rsidRPr="00991EBE">
        <w:rPr>
          <w:b/>
          <w:bCs/>
        </w:rPr>
        <w:t xml:space="preserve"> the consumer data right to the non-bank lenders sector</w:t>
      </w:r>
    </w:p>
    <w:p w14:paraId="774FB0B3" w14:textId="52F68731" w:rsidR="00D61F9D" w:rsidRPr="008C56F5" w:rsidRDefault="0632D355" w:rsidP="00A81667">
      <w:pPr>
        <w:pStyle w:val="OutlineNumbered1"/>
      </w:pPr>
      <w:r>
        <w:t>Consistent with the CDR Rules</w:t>
      </w:r>
      <w:r w:rsidR="2C8AD71E">
        <w:t xml:space="preserve"> and to support reader understanding, the Amending Rules include a s</w:t>
      </w:r>
      <w:r>
        <w:t xml:space="preserve">implified outline </w:t>
      </w:r>
      <w:r w:rsidR="03DD1408">
        <w:t>for Schedule 3, which now deal</w:t>
      </w:r>
      <w:r w:rsidR="4CEC2DEA">
        <w:t>s</w:t>
      </w:r>
      <w:r w:rsidR="03DD1408">
        <w:t xml:space="preserve"> with </w:t>
      </w:r>
      <w:r w:rsidR="4CEC2DEA">
        <w:t xml:space="preserve">both </w:t>
      </w:r>
      <w:r w:rsidR="03DD1408">
        <w:t xml:space="preserve">the banking and non-bank </w:t>
      </w:r>
      <w:r w:rsidR="360F2657">
        <w:t>lenders</w:t>
      </w:r>
      <w:r w:rsidR="03DD1408">
        <w:t xml:space="preserve"> sectors. </w:t>
      </w:r>
      <w:r w:rsidR="2DA110E9">
        <w:t xml:space="preserve">The heading to Schedule 3 is also amended to include </w:t>
      </w:r>
      <w:r w:rsidR="6F664167">
        <w:t xml:space="preserve">the non-bank </w:t>
      </w:r>
      <w:r w:rsidR="360F2657">
        <w:t>lenders</w:t>
      </w:r>
      <w:r w:rsidR="6F664167">
        <w:t xml:space="preserve"> sector</w:t>
      </w:r>
      <w:r w:rsidR="76BE80F1">
        <w:t>.</w:t>
      </w:r>
      <w:r w:rsidR="6F664167" w:rsidRPr="3495DDCE">
        <w:rPr>
          <w:b/>
          <w:bCs/>
          <w:i/>
          <w:iCs/>
        </w:rPr>
        <w:t xml:space="preserve"> </w:t>
      </w:r>
      <w:r w:rsidR="1D2FC696" w:rsidRPr="3495DDCE">
        <w:rPr>
          <w:b/>
          <w:bCs/>
          <w:i/>
          <w:iCs/>
        </w:rPr>
        <w:t xml:space="preserve">                                  </w:t>
      </w:r>
      <w:r w:rsidR="03DD1408" w:rsidRPr="3495DDCE">
        <w:rPr>
          <w:b/>
          <w:bCs/>
          <w:i/>
          <w:iCs/>
        </w:rPr>
        <w:t>[Schedule 1, item</w:t>
      </w:r>
      <w:r w:rsidR="76BE80F1" w:rsidRPr="3495DDCE">
        <w:rPr>
          <w:b/>
          <w:bCs/>
          <w:i/>
          <w:iCs/>
        </w:rPr>
        <w:t>s 22</w:t>
      </w:r>
      <w:r w:rsidR="02B95700" w:rsidRPr="3495DDCE">
        <w:rPr>
          <w:b/>
          <w:bCs/>
          <w:i/>
          <w:iCs/>
        </w:rPr>
        <w:t xml:space="preserve"> and</w:t>
      </w:r>
      <w:r w:rsidR="03DD1408" w:rsidRPr="3495DDCE">
        <w:rPr>
          <w:b/>
          <w:bCs/>
          <w:i/>
          <w:iCs/>
        </w:rPr>
        <w:t xml:space="preserve"> 23</w:t>
      </w:r>
      <w:r w:rsidR="6F280A90" w:rsidRPr="3495DDCE">
        <w:rPr>
          <w:b/>
          <w:bCs/>
          <w:i/>
          <w:iCs/>
        </w:rPr>
        <w:t>,</w:t>
      </w:r>
      <w:r w:rsidR="03DD1408" w:rsidRPr="3495DDCE">
        <w:rPr>
          <w:b/>
          <w:bCs/>
          <w:i/>
          <w:iCs/>
        </w:rPr>
        <w:t xml:space="preserve"> </w:t>
      </w:r>
      <w:r w:rsidR="02B95700" w:rsidRPr="3495DDCE">
        <w:rPr>
          <w:b/>
          <w:bCs/>
          <w:i/>
          <w:iCs/>
        </w:rPr>
        <w:t xml:space="preserve">Schedule </w:t>
      </w:r>
      <w:r w:rsidR="27CF528E" w:rsidRPr="3495DDCE">
        <w:rPr>
          <w:b/>
          <w:bCs/>
          <w:i/>
          <w:iCs/>
        </w:rPr>
        <w:t>3 to the CDR Rules (heading</w:t>
      </w:r>
      <w:r w:rsidR="6878EBE9" w:rsidRPr="3495DDCE">
        <w:rPr>
          <w:b/>
          <w:bCs/>
          <w:i/>
          <w:iCs/>
        </w:rPr>
        <w:t xml:space="preserve">) and </w:t>
      </w:r>
      <w:r w:rsidR="03DD1408" w:rsidRPr="3495DDCE">
        <w:rPr>
          <w:b/>
          <w:bCs/>
          <w:i/>
          <w:iCs/>
        </w:rPr>
        <w:t>clause 1.1 of Schedule 3 to the CDR Rules]</w:t>
      </w:r>
    </w:p>
    <w:p w14:paraId="6312DDCD" w14:textId="159E17B4" w:rsidR="000E59C4" w:rsidRPr="00E05AE3" w:rsidRDefault="009809A6" w:rsidP="00F72212">
      <w:pPr>
        <w:spacing w:before="240"/>
        <w:rPr>
          <w:i/>
        </w:rPr>
      </w:pPr>
      <w:r>
        <w:rPr>
          <w:i/>
          <w:iCs/>
        </w:rPr>
        <w:t>Excluded data holders</w:t>
      </w:r>
    </w:p>
    <w:p w14:paraId="59C2FB87" w14:textId="480AB1FE" w:rsidR="0081668F" w:rsidRPr="00852007" w:rsidRDefault="00EF2AE3" w:rsidP="00A81667">
      <w:pPr>
        <w:pStyle w:val="OutlineNumbered1"/>
      </w:pPr>
      <w:r>
        <w:t>The Amending Rules</w:t>
      </w:r>
      <w:r w:rsidR="00991EA3" w:rsidRPr="00852007">
        <w:t xml:space="preserve"> </w:t>
      </w:r>
      <w:r w:rsidR="0087048A" w:rsidRPr="00852007">
        <w:t>ex</w:t>
      </w:r>
      <w:r w:rsidR="00850B4A" w:rsidRPr="00852007">
        <w:t>empt</w:t>
      </w:r>
      <w:r w:rsidR="0087048A" w:rsidRPr="00852007">
        <w:t xml:space="preserve"> certain data holders from complying with </w:t>
      </w:r>
      <w:r w:rsidR="00D54BE1" w:rsidRPr="00852007">
        <w:t>the CDR Rules</w:t>
      </w:r>
      <w:r w:rsidR="0087048A" w:rsidRPr="00852007">
        <w:t xml:space="preserve">. </w:t>
      </w:r>
      <w:r w:rsidR="000477E1">
        <w:t xml:space="preserve">Excluded </w:t>
      </w:r>
      <w:r w:rsidR="002A0986">
        <w:t>d</w:t>
      </w:r>
      <w:r w:rsidR="00354D2A" w:rsidRPr="00852007">
        <w:t xml:space="preserve">ata holders in the banking and </w:t>
      </w:r>
      <w:r w:rsidR="006D2765" w:rsidRPr="00852007">
        <w:t>non-bank</w:t>
      </w:r>
      <w:r w:rsidR="00354D2A" w:rsidRPr="00852007">
        <w:t xml:space="preserve"> lend</w:t>
      </w:r>
      <w:r w:rsidR="00D44DCA">
        <w:t>ers</w:t>
      </w:r>
      <w:r w:rsidR="00354D2A" w:rsidRPr="00852007">
        <w:t xml:space="preserve"> sectors are</w:t>
      </w:r>
      <w:r w:rsidR="0081668F" w:rsidRPr="00852007">
        <w:t>:</w:t>
      </w:r>
    </w:p>
    <w:p w14:paraId="782F0122" w14:textId="5AAA5A33" w:rsidR="0081668F" w:rsidRDefault="00F00E5E" w:rsidP="00F72212">
      <w:pPr>
        <w:pStyle w:val="Bullet"/>
      </w:pPr>
      <w:r>
        <w:t xml:space="preserve">registered </w:t>
      </w:r>
      <w:r w:rsidR="00A52C02">
        <w:t>religious bodies</w:t>
      </w:r>
      <w:r w:rsidR="00527F22">
        <w:t>,</w:t>
      </w:r>
      <w:r w:rsidR="00CA6889">
        <w:t xml:space="preserve"> </w:t>
      </w:r>
      <w:r w:rsidR="00527F22">
        <w:t xml:space="preserve">such as religious charitable development funds, </w:t>
      </w:r>
      <w:r w:rsidR="00127AE9">
        <w:t xml:space="preserve">that </w:t>
      </w:r>
      <w:r w:rsidR="00422AEB">
        <w:t xml:space="preserve">offer </w:t>
      </w:r>
      <w:r w:rsidR="005F5DF3">
        <w:t>covered</w:t>
      </w:r>
      <w:r w:rsidR="00422AEB">
        <w:t xml:space="preserve"> products </w:t>
      </w:r>
      <w:r w:rsidR="00C72CC9">
        <w:t xml:space="preserve">in advancing </w:t>
      </w:r>
      <w:r w:rsidR="003103E1">
        <w:t>their</w:t>
      </w:r>
      <w:r w:rsidR="005D289F">
        <w:t xml:space="preserve"> charitable purposes</w:t>
      </w:r>
      <w:r w:rsidR="00127AE9">
        <w:t>; and</w:t>
      </w:r>
      <w:r w:rsidR="00D14470" w:rsidRPr="00D14470">
        <w:rPr>
          <w:b/>
          <w:bCs/>
        </w:rPr>
        <w:t xml:space="preserve"> </w:t>
      </w:r>
    </w:p>
    <w:p w14:paraId="67E86FD5" w14:textId="067D0ABC" w:rsidR="008950D5" w:rsidRPr="001B2C6D" w:rsidRDefault="006B1539">
      <w:pPr>
        <w:pStyle w:val="Bullet"/>
      </w:pPr>
      <w:r>
        <w:t>f</w:t>
      </w:r>
      <w:r w:rsidR="00E16DB4">
        <w:t>oreign ADIs, foreign branches of domestic ADIs and restricted ADIs</w:t>
      </w:r>
      <w:r w:rsidR="0081668F">
        <w:t>.</w:t>
      </w:r>
      <w:r w:rsidR="005A03D0">
        <w:t xml:space="preserve"> </w:t>
      </w:r>
    </w:p>
    <w:p w14:paraId="21BA6BD2" w14:textId="77777777" w:rsidR="00AE5817" w:rsidRPr="00AE5817" w:rsidRDefault="003E6249" w:rsidP="00AE5817">
      <w:pPr>
        <w:pStyle w:val="OutlineNumbered1"/>
        <w:spacing w:after="0"/>
        <w:rPr>
          <w:iCs/>
        </w:rPr>
      </w:pPr>
      <w:r>
        <w:t xml:space="preserve">The </w:t>
      </w:r>
      <w:r w:rsidR="00F35B27">
        <w:t xml:space="preserve">second </w:t>
      </w:r>
      <w:r w:rsidR="00314DE2">
        <w:t xml:space="preserve">class </w:t>
      </w:r>
      <w:r w:rsidR="00886AFF">
        <w:t xml:space="preserve">of </w:t>
      </w:r>
      <w:r w:rsidR="00EE6BFF">
        <w:t>e</w:t>
      </w:r>
      <w:r w:rsidR="00F35B27">
        <w:t xml:space="preserve">xcluded data holder </w:t>
      </w:r>
      <w:r w:rsidR="002231D8">
        <w:t xml:space="preserve">reflects </w:t>
      </w:r>
      <w:r w:rsidR="006C1794">
        <w:t xml:space="preserve">the </w:t>
      </w:r>
      <w:r w:rsidR="00824E3C">
        <w:t xml:space="preserve">current </w:t>
      </w:r>
      <w:r w:rsidR="00EE238B">
        <w:t xml:space="preserve">exemption </w:t>
      </w:r>
      <w:r w:rsidR="006C1794">
        <w:t>of f</w:t>
      </w:r>
      <w:r w:rsidR="008950D5">
        <w:t xml:space="preserve">oreign ADIs, foreign branches of domestic ADIs and restricted ADIs </w:t>
      </w:r>
      <w:r w:rsidR="00EB270C">
        <w:t>from data</w:t>
      </w:r>
      <w:r w:rsidR="00411DCA">
        <w:t>-</w:t>
      </w:r>
      <w:r w:rsidR="00EB270C">
        <w:t xml:space="preserve">sharing obligations </w:t>
      </w:r>
      <w:r w:rsidR="004F018E">
        <w:t xml:space="preserve">under </w:t>
      </w:r>
      <w:r w:rsidR="00C805B8">
        <w:t>Schedule 3</w:t>
      </w:r>
      <w:r w:rsidR="002A143F">
        <w:t>.</w:t>
      </w:r>
      <w:r w:rsidR="00A11E71">
        <w:t xml:space="preserve"> </w:t>
      </w:r>
    </w:p>
    <w:p w14:paraId="4A892B43" w14:textId="3CD064DE" w:rsidR="00793D41" w:rsidRPr="00A81667" w:rsidRDefault="00793D41" w:rsidP="00AE5817">
      <w:pPr>
        <w:pStyle w:val="OutlineNumbered1"/>
        <w:numPr>
          <w:ilvl w:val="0"/>
          <w:numId w:val="0"/>
        </w:numPr>
        <w:spacing w:before="0"/>
        <w:ind w:left="567"/>
        <w:rPr>
          <w:iCs/>
        </w:rPr>
      </w:pPr>
      <w:r w:rsidRPr="00044ACF">
        <w:rPr>
          <w:b/>
          <w:i/>
        </w:rPr>
        <w:t>[</w:t>
      </w:r>
      <w:r w:rsidRPr="00B86C14">
        <w:rPr>
          <w:b/>
          <w:bCs/>
          <w:i/>
          <w:iCs/>
        </w:rPr>
        <w:t xml:space="preserve">Schedule 1, item </w:t>
      </w:r>
      <w:r w:rsidR="005B4BFE">
        <w:rPr>
          <w:b/>
          <w:bCs/>
          <w:i/>
          <w:iCs/>
        </w:rPr>
        <w:t>23</w:t>
      </w:r>
      <w:r w:rsidR="0004464B">
        <w:rPr>
          <w:b/>
          <w:bCs/>
          <w:i/>
          <w:iCs/>
        </w:rPr>
        <w:t>,</w:t>
      </w:r>
      <w:r w:rsidRPr="00B86C14">
        <w:rPr>
          <w:b/>
          <w:bCs/>
          <w:i/>
          <w:iCs/>
        </w:rPr>
        <w:t xml:space="preserve"> clause</w:t>
      </w:r>
      <w:r w:rsidRPr="00B86C14">
        <w:rPr>
          <w:b/>
          <w:i/>
          <w:iCs/>
        </w:rPr>
        <w:t xml:space="preserve"> 1.1A of Schedule 3 to the CDR Rules</w:t>
      </w:r>
      <w:r w:rsidRPr="00044ACF">
        <w:rPr>
          <w:b/>
          <w:i/>
        </w:rPr>
        <w:t>]</w:t>
      </w:r>
    </w:p>
    <w:p w14:paraId="688B12AE" w14:textId="5169944B" w:rsidR="00CC7116" w:rsidRDefault="00D02D09" w:rsidP="002C514F">
      <w:pPr>
        <w:spacing w:before="0" w:after="0"/>
      </w:pPr>
      <w:r w:rsidRPr="00B21FD1">
        <w:rPr>
          <w:i/>
          <w:iCs/>
        </w:rPr>
        <w:t xml:space="preserve">New </w:t>
      </w:r>
      <w:r w:rsidR="00FC6C60">
        <w:rPr>
          <w:i/>
          <w:iCs/>
        </w:rPr>
        <w:t xml:space="preserve">or updated </w:t>
      </w:r>
      <w:r w:rsidR="00165E44" w:rsidRPr="00B21FD1">
        <w:rPr>
          <w:i/>
          <w:iCs/>
        </w:rPr>
        <w:t>d</w:t>
      </w:r>
      <w:r w:rsidR="009164C1" w:rsidRPr="00B21FD1">
        <w:rPr>
          <w:i/>
          <w:iCs/>
        </w:rPr>
        <w:t>efined terms relating to the banking and non-bank lenders sector</w:t>
      </w:r>
      <w:r w:rsidR="00A522B3" w:rsidRPr="00B21FD1">
        <w:rPr>
          <w:i/>
          <w:iCs/>
        </w:rPr>
        <w:t>s</w:t>
      </w:r>
    </w:p>
    <w:p w14:paraId="082888C6" w14:textId="48B1C16C" w:rsidR="00165E44" w:rsidRDefault="00AB4878" w:rsidP="00A81667">
      <w:pPr>
        <w:pStyle w:val="OutlineNumbered1"/>
      </w:pPr>
      <w:r>
        <w:t>New</w:t>
      </w:r>
      <w:r w:rsidR="00C7062C">
        <w:t xml:space="preserve"> definitions </w:t>
      </w:r>
      <w:r w:rsidR="00981F02">
        <w:t xml:space="preserve">are being </w:t>
      </w:r>
      <w:r w:rsidR="00EF02A7">
        <w:t xml:space="preserve">added to </w:t>
      </w:r>
      <w:r w:rsidR="00981F02">
        <w:t>clause 1.2</w:t>
      </w:r>
      <w:r w:rsidR="00DA38E6">
        <w:t xml:space="preserve"> of Schedule 3</w:t>
      </w:r>
      <w:r w:rsidR="005F5DF3">
        <w:t xml:space="preserve"> to the CDR Rules</w:t>
      </w:r>
      <w:r>
        <w:t>, including the following</w:t>
      </w:r>
      <w:r w:rsidR="00DA38E6">
        <w:t>:</w:t>
      </w:r>
    </w:p>
    <w:p w14:paraId="37F81102" w14:textId="77777777" w:rsidR="00B74B97" w:rsidRPr="000C41DF" w:rsidRDefault="00B74B97" w:rsidP="00B74B97">
      <w:pPr>
        <w:pStyle w:val="Bullet"/>
        <w:rPr>
          <w:bCs/>
        </w:rPr>
      </w:pPr>
      <w:r w:rsidRPr="000C41DF">
        <w:rPr>
          <w:bCs/>
        </w:rPr>
        <w:t>‘</w:t>
      </w:r>
      <w:proofErr w:type="gramStart"/>
      <w:r w:rsidRPr="000C41DF">
        <w:rPr>
          <w:bCs/>
        </w:rPr>
        <w:t>accounting</w:t>
      </w:r>
      <w:proofErr w:type="gramEnd"/>
      <w:r w:rsidRPr="000C41DF">
        <w:rPr>
          <w:bCs/>
        </w:rPr>
        <w:t xml:space="preserve"> standard’ means an accounting standard made under section 334 of the </w:t>
      </w:r>
      <w:r w:rsidRPr="000C41DF">
        <w:rPr>
          <w:bCs/>
          <w:i/>
          <w:iCs/>
        </w:rPr>
        <w:t>Corporations Act 2001</w:t>
      </w:r>
      <w:r w:rsidRPr="000C41DF">
        <w:rPr>
          <w:bCs/>
        </w:rPr>
        <w:t>;</w:t>
      </w:r>
    </w:p>
    <w:p w14:paraId="6D4F886A" w14:textId="5005B9FA" w:rsidR="00693D17" w:rsidRPr="00E236D6" w:rsidRDefault="00AD6FF4" w:rsidP="001B2C6D">
      <w:pPr>
        <w:pStyle w:val="Bullet"/>
        <w:rPr>
          <w:b/>
        </w:rPr>
      </w:pPr>
      <w:r>
        <w:t>‘</w:t>
      </w:r>
      <w:proofErr w:type="gramStart"/>
      <w:r w:rsidR="00DA38E6">
        <w:t>b</w:t>
      </w:r>
      <w:r w:rsidR="00580732">
        <w:t>anking</w:t>
      </w:r>
      <w:proofErr w:type="gramEnd"/>
      <w:r w:rsidR="00580732">
        <w:t xml:space="preserve"> sector data</w:t>
      </w:r>
      <w:r>
        <w:t>’</w:t>
      </w:r>
      <w:r w:rsidR="004347FF">
        <w:t xml:space="preserve"> </w:t>
      </w:r>
      <w:r w:rsidR="00B537B4" w:rsidRPr="00B537B4">
        <w:t xml:space="preserve">means CDR data covered by the </w:t>
      </w:r>
      <w:r w:rsidR="00C514AB" w:rsidRPr="00B35E26">
        <w:rPr>
          <w:i/>
        </w:rPr>
        <w:t>Consumer Data Right (Authorised Deposit</w:t>
      </w:r>
      <w:r w:rsidR="00C514AB" w:rsidRPr="00B35E26">
        <w:rPr>
          <w:i/>
        </w:rPr>
        <w:noBreakHyphen/>
        <w:t>Taking Institutions) Designation 2019</w:t>
      </w:r>
      <w:r w:rsidR="005E0F9F">
        <w:t>;</w:t>
      </w:r>
      <w:r w:rsidR="00E8745C">
        <w:t xml:space="preserve"> </w:t>
      </w:r>
    </w:p>
    <w:p w14:paraId="03F1CDD0" w14:textId="0F2EFDE7" w:rsidR="00103067" w:rsidRDefault="004347FF" w:rsidP="001B2C6D">
      <w:pPr>
        <w:pStyle w:val="Bullet"/>
      </w:pPr>
      <w:r>
        <w:t>‘</w:t>
      </w:r>
      <w:r w:rsidR="00103067">
        <w:t>NBL sector</w:t>
      </w:r>
      <w:r w:rsidR="00732F9F">
        <w:t>’</w:t>
      </w:r>
      <w:r w:rsidR="002E4105">
        <w:t>, o</w:t>
      </w:r>
      <w:r w:rsidR="00966538">
        <w:t xml:space="preserve">r </w:t>
      </w:r>
      <w:r w:rsidR="00732F9F">
        <w:t>‘</w:t>
      </w:r>
      <w:r w:rsidR="00F0318F" w:rsidRPr="00F0318F">
        <w:t>non-bank lenders sector</w:t>
      </w:r>
      <w:r>
        <w:t>’</w:t>
      </w:r>
      <w:r w:rsidR="00883FB9">
        <w:t xml:space="preserve"> </w:t>
      </w:r>
      <w:r w:rsidR="00814212" w:rsidRPr="00814212">
        <w:t xml:space="preserve">means the sector of the Australian economy designated by the </w:t>
      </w:r>
      <w:r w:rsidR="00F64658" w:rsidRPr="00DB4EB5">
        <w:t xml:space="preserve">NBL </w:t>
      </w:r>
      <w:r w:rsidR="00F64658">
        <w:t xml:space="preserve">sector </w:t>
      </w:r>
      <w:r w:rsidR="00F64658" w:rsidRPr="00DB4EB5">
        <w:t xml:space="preserve">designation </w:t>
      </w:r>
      <w:proofErr w:type="gramStart"/>
      <w:r w:rsidR="00F64658" w:rsidRPr="00DB4EB5">
        <w:t>instrument</w:t>
      </w:r>
      <w:r w:rsidR="00BA573F">
        <w:rPr>
          <w:i/>
          <w:iCs/>
        </w:rPr>
        <w:t>;</w:t>
      </w:r>
      <w:proofErr w:type="gramEnd"/>
      <w:r w:rsidR="007752D3">
        <w:t xml:space="preserve"> </w:t>
      </w:r>
    </w:p>
    <w:p w14:paraId="088F3EC2" w14:textId="46D21B9B" w:rsidR="00100D95" w:rsidRPr="000876EF" w:rsidRDefault="0059094C" w:rsidP="001B2C6D">
      <w:pPr>
        <w:pStyle w:val="Bullet"/>
      </w:pPr>
      <w:r>
        <w:t>‘</w:t>
      </w:r>
      <w:r w:rsidR="00F56BA7">
        <w:t>NBL sector data</w:t>
      </w:r>
      <w:r>
        <w:t>’</w:t>
      </w:r>
      <w:r w:rsidR="006C2360">
        <w:t xml:space="preserve"> mean</w:t>
      </w:r>
      <w:r>
        <w:t>s</w:t>
      </w:r>
      <w:r w:rsidR="006C2360">
        <w:t xml:space="preserve"> CDR data covered by </w:t>
      </w:r>
      <w:r w:rsidR="00FD7FD8">
        <w:t xml:space="preserve">the </w:t>
      </w:r>
      <w:r w:rsidR="006612AA" w:rsidRPr="00FF0994">
        <w:t xml:space="preserve">NBL </w:t>
      </w:r>
      <w:r w:rsidR="00761B3F">
        <w:t xml:space="preserve">sector </w:t>
      </w:r>
      <w:r w:rsidR="006612AA" w:rsidRPr="00FF0994">
        <w:t xml:space="preserve">designation </w:t>
      </w:r>
      <w:proofErr w:type="gramStart"/>
      <w:r w:rsidR="006612AA" w:rsidRPr="00FF0994">
        <w:t>instrument</w:t>
      </w:r>
      <w:r>
        <w:rPr>
          <w:iCs/>
        </w:rPr>
        <w:t>;</w:t>
      </w:r>
      <w:proofErr w:type="gramEnd"/>
      <w:r w:rsidR="007752D3">
        <w:rPr>
          <w:iCs/>
        </w:rPr>
        <w:t xml:space="preserve"> </w:t>
      </w:r>
    </w:p>
    <w:p w14:paraId="69705238" w14:textId="71DB96A5" w:rsidR="000876EF" w:rsidRDefault="000876EF" w:rsidP="001B2C6D">
      <w:pPr>
        <w:pStyle w:val="Bullet"/>
      </w:pPr>
      <w:r>
        <w:t>‘</w:t>
      </w:r>
      <w:r w:rsidRPr="00DB4EB5">
        <w:t xml:space="preserve">NBL </w:t>
      </w:r>
      <w:r w:rsidR="00882943">
        <w:t xml:space="preserve">sector </w:t>
      </w:r>
      <w:r w:rsidRPr="00DB4EB5">
        <w:t>designation instrument</w:t>
      </w:r>
      <w:r>
        <w:t>’</w:t>
      </w:r>
      <w:r w:rsidR="009E170B">
        <w:t xml:space="preserve"> </w:t>
      </w:r>
      <w:r w:rsidR="00B175FB">
        <w:t xml:space="preserve">means </w:t>
      </w:r>
      <w:r w:rsidR="007360D3">
        <w:t xml:space="preserve">the </w:t>
      </w:r>
      <w:r w:rsidR="007360D3" w:rsidRPr="00B35E26">
        <w:rPr>
          <w:i/>
        </w:rPr>
        <w:t xml:space="preserve">Consumer Data Right (Non-Bank Lenders) Designation </w:t>
      </w:r>
      <w:proofErr w:type="gramStart"/>
      <w:r w:rsidR="007360D3" w:rsidRPr="00B35E26">
        <w:rPr>
          <w:i/>
        </w:rPr>
        <w:t>2022</w:t>
      </w:r>
      <w:r w:rsidR="00F64658">
        <w:t>;</w:t>
      </w:r>
      <w:proofErr w:type="gramEnd"/>
    </w:p>
    <w:p w14:paraId="5573177F" w14:textId="6AC4AAFB" w:rsidR="00AB4878" w:rsidRDefault="007943C0" w:rsidP="001B2C6D">
      <w:pPr>
        <w:pStyle w:val="Bullet"/>
      </w:pPr>
      <w:r>
        <w:t>‘</w:t>
      </w:r>
      <w:proofErr w:type="gramStart"/>
      <w:r>
        <w:t>registered</w:t>
      </w:r>
      <w:proofErr w:type="gramEnd"/>
      <w:r>
        <w:t xml:space="preserve"> religious body’ means </w:t>
      </w:r>
      <w:r w:rsidR="00B960F0">
        <w:t xml:space="preserve">an entity registered </w:t>
      </w:r>
      <w:r w:rsidR="00120F54">
        <w:t xml:space="preserve">under section 25-5 of the </w:t>
      </w:r>
      <w:r w:rsidR="00120F54" w:rsidRPr="00120F54">
        <w:rPr>
          <w:i/>
          <w:iCs/>
        </w:rPr>
        <w:t>Australian Charities and Not-for-profits Commission Act 2012</w:t>
      </w:r>
      <w:r w:rsidR="00120F54">
        <w:t xml:space="preserve"> with the purpose of advancing religion;</w:t>
      </w:r>
    </w:p>
    <w:p w14:paraId="2DC3BC87" w14:textId="25FF7611" w:rsidR="008C48B7" w:rsidRPr="00975EC5" w:rsidRDefault="0031294A" w:rsidP="00CB722D">
      <w:pPr>
        <w:pStyle w:val="Bullet"/>
      </w:pPr>
      <w:r w:rsidRPr="008C48B7">
        <w:lastRenderedPageBreak/>
        <w:t>‘</w:t>
      </w:r>
      <w:proofErr w:type="gramStart"/>
      <w:r w:rsidR="00B74C92">
        <w:t>r</w:t>
      </w:r>
      <w:r w:rsidR="00B66722" w:rsidRPr="008C48B7">
        <w:t>elevant</w:t>
      </w:r>
      <w:proofErr w:type="gramEnd"/>
      <w:r w:rsidR="00B66722" w:rsidRPr="008C48B7">
        <w:t xml:space="preserve"> non-bank lender</w:t>
      </w:r>
      <w:r w:rsidRPr="008C48B7">
        <w:t>’</w:t>
      </w:r>
      <w:r w:rsidR="00B66722" w:rsidRPr="008C48B7">
        <w:t xml:space="preserve"> </w:t>
      </w:r>
      <w:r w:rsidR="00A27FCF" w:rsidRPr="008C48B7">
        <w:t xml:space="preserve">has the meaning given by the </w:t>
      </w:r>
      <w:r w:rsidR="006612AA" w:rsidRPr="00FF0994">
        <w:t xml:space="preserve">NBL </w:t>
      </w:r>
      <w:r w:rsidR="00197C52">
        <w:t xml:space="preserve">sector </w:t>
      </w:r>
      <w:r w:rsidR="006612AA" w:rsidRPr="00FF0994">
        <w:t>designation instrument</w:t>
      </w:r>
      <w:r w:rsidR="008C48B7">
        <w:t xml:space="preserve"> </w:t>
      </w:r>
      <w:r w:rsidR="001072B0" w:rsidRPr="008C48B7">
        <w:t>(</w:t>
      </w:r>
      <w:r w:rsidR="008735DF" w:rsidRPr="008C48B7">
        <w:t xml:space="preserve">essentially, </w:t>
      </w:r>
      <w:r w:rsidR="00C13CF9" w:rsidRPr="008C48B7">
        <w:t>th</w:t>
      </w:r>
      <w:r w:rsidR="00EB68B9">
        <w:t>is</w:t>
      </w:r>
      <w:r w:rsidR="00CF5A20" w:rsidRPr="008C48B7" w:rsidDel="00EB68B9">
        <w:t xml:space="preserve"> </w:t>
      </w:r>
      <w:r w:rsidR="00C13CF9" w:rsidRPr="008C48B7">
        <w:t xml:space="preserve">definition covers </w:t>
      </w:r>
      <w:r w:rsidR="0065118E" w:rsidRPr="008C48B7">
        <w:t>registrable corporation</w:t>
      </w:r>
      <w:r w:rsidR="00415D14" w:rsidRPr="008C48B7">
        <w:t>s</w:t>
      </w:r>
      <w:r w:rsidR="00C31DA4" w:rsidRPr="008C48B7">
        <w:t xml:space="preserve"> for the purposes of section</w:t>
      </w:r>
      <w:r w:rsidR="00F8413E" w:rsidRPr="008C48B7">
        <w:t xml:space="preserve"> </w:t>
      </w:r>
      <w:r w:rsidR="00163D24" w:rsidRPr="008C48B7">
        <w:t xml:space="preserve">7 of the </w:t>
      </w:r>
      <w:r w:rsidR="00F8413E" w:rsidRPr="00EB68B9">
        <w:rPr>
          <w:i/>
          <w:iCs/>
        </w:rPr>
        <w:t>Financial Sector (Collection of Data) Act</w:t>
      </w:r>
      <w:r w:rsidR="00000A77" w:rsidRPr="00EB68B9">
        <w:rPr>
          <w:i/>
          <w:iCs/>
        </w:rPr>
        <w:t xml:space="preserve"> 2001</w:t>
      </w:r>
      <w:r w:rsidR="00000A77" w:rsidRPr="008C48B7">
        <w:t>,</w:t>
      </w:r>
      <w:r w:rsidR="000069BE" w:rsidRPr="008C48B7">
        <w:t xml:space="preserve"> </w:t>
      </w:r>
      <w:r w:rsidR="0080076D">
        <w:t xml:space="preserve">but without the $50 million threshold in that </w:t>
      </w:r>
      <w:r w:rsidR="00F37577">
        <w:t>section</w:t>
      </w:r>
      <w:r w:rsidR="0080076D">
        <w:t xml:space="preserve"> applying</w:t>
      </w:r>
      <w:r w:rsidR="005745C3">
        <w:t>)</w:t>
      </w:r>
      <w:r w:rsidR="0080076D">
        <w:t>.</w:t>
      </w:r>
    </w:p>
    <w:p w14:paraId="204B0F65" w14:textId="77777777" w:rsidR="002E0B3B" w:rsidRDefault="00BD1952" w:rsidP="00AE5817">
      <w:pPr>
        <w:pStyle w:val="OutlineNumbered1"/>
        <w:spacing w:after="0"/>
      </w:pPr>
      <w:r>
        <w:t>In addition, the definition of ‘product’</w:t>
      </w:r>
      <w:r w:rsidR="00BB1477">
        <w:t xml:space="preserve"> </w:t>
      </w:r>
      <w:r w:rsidR="00FD7D17">
        <w:t xml:space="preserve">has been </w:t>
      </w:r>
      <w:r w:rsidR="00454966">
        <w:t xml:space="preserve">broadened </w:t>
      </w:r>
      <w:r w:rsidR="00882BDF">
        <w:t xml:space="preserve">to </w:t>
      </w:r>
      <w:r w:rsidR="00CF1C31">
        <w:t xml:space="preserve">reflect </w:t>
      </w:r>
      <w:r w:rsidR="006904AC">
        <w:t>the</w:t>
      </w:r>
      <w:r w:rsidR="00882BDF">
        <w:t xml:space="preserve"> meaning of that term in </w:t>
      </w:r>
      <w:r w:rsidR="00D72CEB">
        <w:t xml:space="preserve">either the </w:t>
      </w:r>
      <w:r w:rsidR="009D6058">
        <w:t xml:space="preserve">banking sector designation instrument or </w:t>
      </w:r>
      <w:r w:rsidR="00882BDF">
        <w:t>the</w:t>
      </w:r>
      <w:r w:rsidR="00624CCE">
        <w:t xml:space="preserve"> </w:t>
      </w:r>
      <w:r w:rsidR="006D31A9" w:rsidRPr="00FF0994">
        <w:t xml:space="preserve">NBL </w:t>
      </w:r>
      <w:r w:rsidR="00A70419">
        <w:t xml:space="preserve">sector </w:t>
      </w:r>
      <w:r w:rsidR="006D31A9" w:rsidRPr="00FF0994">
        <w:t xml:space="preserve">designation </w:t>
      </w:r>
      <w:r w:rsidR="00624CCE" w:rsidRPr="00FF0994" w:rsidDel="006D31A9">
        <w:t>instrument</w:t>
      </w:r>
      <w:r w:rsidR="002D0F91">
        <w:t>, as applicable</w:t>
      </w:r>
      <w:r w:rsidR="00624CCE">
        <w:t>.</w:t>
      </w:r>
      <w:r w:rsidR="00454F12">
        <w:t xml:space="preserve"> </w:t>
      </w:r>
    </w:p>
    <w:p w14:paraId="0D09B381" w14:textId="1A141476" w:rsidR="00C73E73" w:rsidRDefault="00C73E73" w:rsidP="00AE5817">
      <w:pPr>
        <w:spacing w:before="0" w:after="200"/>
        <w:ind w:left="567"/>
        <w:rPr>
          <w:b/>
          <w:i/>
          <w:iCs/>
        </w:rPr>
      </w:pPr>
      <w:r w:rsidRPr="008C1B2E">
        <w:rPr>
          <w:b/>
          <w:bCs/>
          <w:i/>
          <w:iCs/>
        </w:rPr>
        <w:t xml:space="preserve">[Schedule 1, item </w:t>
      </w:r>
      <w:r w:rsidR="00D5152A">
        <w:rPr>
          <w:b/>
          <w:bCs/>
          <w:i/>
          <w:iCs/>
        </w:rPr>
        <w:t>23</w:t>
      </w:r>
      <w:r w:rsidR="00EC20AA">
        <w:rPr>
          <w:b/>
          <w:bCs/>
          <w:i/>
          <w:iCs/>
        </w:rPr>
        <w:t>,</w:t>
      </w:r>
      <w:r w:rsidRPr="008C1B2E">
        <w:rPr>
          <w:b/>
          <w:bCs/>
          <w:i/>
          <w:iCs/>
        </w:rPr>
        <w:t xml:space="preserve"> clause</w:t>
      </w:r>
      <w:r w:rsidRPr="008C1B2E">
        <w:rPr>
          <w:b/>
          <w:i/>
          <w:iCs/>
        </w:rPr>
        <w:t xml:space="preserve"> 1.2 of Schedule 3</w:t>
      </w:r>
      <w:r>
        <w:rPr>
          <w:b/>
          <w:i/>
          <w:iCs/>
        </w:rPr>
        <w:t xml:space="preserve"> </w:t>
      </w:r>
      <w:r>
        <w:rPr>
          <w:b/>
          <w:i/>
        </w:rPr>
        <w:t>to the CDR Rules</w:t>
      </w:r>
      <w:r w:rsidRPr="008C1B2E">
        <w:rPr>
          <w:b/>
          <w:i/>
          <w:iCs/>
        </w:rPr>
        <w:t>]</w:t>
      </w:r>
    </w:p>
    <w:p w14:paraId="63543A36" w14:textId="4C9100C9" w:rsidR="000A4BC1" w:rsidRPr="00B35E26" w:rsidRDefault="001A73DB" w:rsidP="001B2C6D">
      <w:pPr>
        <w:pStyle w:val="Bullet"/>
        <w:numPr>
          <w:ilvl w:val="0"/>
          <w:numId w:val="0"/>
        </w:numPr>
        <w:rPr>
          <w:i/>
        </w:rPr>
      </w:pPr>
      <w:r w:rsidRPr="00B35E26">
        <w:rPr>
          <w:i/>
        </w:rPr>
        <w:t>R</w:t>
      </w:r>
      <w:r w:rsidR="00050F2A" w:rsidRPr="00B35E26">
        <w:rPr>
          <w:i/>
        </w:rPr>
        <w:t xml:space="preserve">edundant </w:t>
      </w:r>
      <w:r w:rsidR="00ED1503" w:rsidRPr="00B35E26">
        <w:rPr>
          <w:i/>
        </w:rPr>
        <w:t>defined terms</w:t>
      </w:r>
    </w:p>
    <w:p w14:paraId="54F20892" w14:textId="24DCE956" w:rsidR="00207DB6" w:rsidRDefault="00A42C44" w:rsidP="00A81667">
      <w:pPr>
        <w:pStyle w:val="OutlineNumbered1"/>
      </w:pPr>
      <w:r>
        <w:t xml:space="preserve">The </w:t>
      </w:r>
      <w:r w:rsidR="008B5763">
        <w:t xml:space="preserve">Amending Rules repeal the </w:t>
      </w:r>
      <w:r>
        <w:t>following</w:t>
      </w:r>
      <w:r w:rsidR="00EA4F2F">
        <w:t xml:space="preserve"> defined terms</w:t>
      </w:r>
      <w:r w:rsidR="001E128C">
        <w:t xml:space="preserve"> </w:t>
      </w:r>
      <w:r w:rsidR="008B5763">
        <w:t xml:space="preserve">that </w:t>
      </w:r>
      <w:r w:rsidR="001E128C">
        <w:t xml:space="preserve">are </w:t>
      </w:r>
      <w:r w:rsidR="00090537">
        <w:t>no longer used in Schedule 3</w:t>
      </w:r>
      <w:r w:rsidR="00F35564">
        <w:t>:</w:t>
      </w:r>
    </w:p>
    <w:p w14:paraId="721FEEDE" w14:textId="77777777" w:rsidR="00EE6280" w:rsidRDefault="007316D0" w:rsidP="007316D0">
      <w:pPr>
        <w:pStyle w:val="Bullet"/>
        <w:rPr>
          <w:bCs/>
        </w:rPr>
      </w:pPr>
      <w:r w:rsidRPr="000C41DF">
        <w:rPr>
          <w:bCs/>
        </w:rPr>
        <w:t>‘</w:t>
      </w:r>
      <w:proofErr w:type="gramStart"/>
      <w:r>
        <w:rPr>
          <w:bCs/>
        </w:rPr>
        <w:t>accredited</w:t>
      </w:r>
      <w:proofErr w:type="gramEnd"/>
      <w:r>
        <w:rPr>
          <w:bCs/>
        </w:rPr>
        <w:t xml:space="preserve"> </w:t>
      </w:r>
      <w:r w:rsidR="00494E06">
        <w:rPr>
          <w:bCs/>
        </w:rPr>
        <w:t>ADI</w:t>
      </w:r>
      <w:r w:rsidR="00EE6280">
        <w:rPr>
          <w:bCs/>
        </w:rPr>
        <w:t>’;</w:t>
      </w:r>
    </w:p>
    <w:p w14:paraId="309A32EC" w14:textId="77777777" w:rsidR="00574A7B" w:rsidRDefault="00B81070" w:rsidP="007316D0">
      <w:pPr>
        <w:pStyle w:val="Bullet"/>
        <w:rPr>
          <w:bCs/>
        </w:rPr>
      </w:pPr>
      <w:r>
        <w:rPr>
          <w:bCs/>
        </w:rPr>
        <w:t>‘</w:t>
      </w:r>
      <w:proofErr w:type="gramStart"/>
      <w:r w:rsidR="002671C8">
        <w:rPr>
          <w:bCs/>
        </w:rPr>
        <w:t>any</w:t>
      </w:r>
      <w:proofErr w:type="gramEnd"/>
      <w:r w:rsidR="002671C8">
        <w:rPr>
          <w:bCs/>
        </w:rPr>
        <w:t xml:space="preserve"> other relevant ADI’</w:t>
      </w:r>
      <w:r w:rsidR="00574A7B">
        <w:rPr>
          <w:bCs/>
        </w:rPr>
        <w:t>;</w:t>
      </w:r>
    </w:p>
    <w:p w14:paraId="54B792C2" w14:textId="77777777" w:rsidR="0027383A" w:rsidRDefault="00BF07E3" w:rsidP="007316D0">
      <w:pPr>
        <w:pStyle w:val="Bullet"/>
        <w:rPr>
          <w:bCs/>
        </w:rPr>
      </w:pPr>
      <w:r>
        <w:rPr>
          <w:bCs/>
        </w:rPr>
        <w:t>‘</w:t>
      </w:r>
      <w:proofErr w:type="gramStart"/>
      <w:r>
        <w:rPr>
          <w:bCs/>
        </w:rPr>
        <w:t>associate</w:t>
      </w:r>
      <w:proofErr w:type="gramEnd"/>
      <w:r>
        <w:rPr>
          <w:bCs/>
        </w:rPr>
        <w:t>’;</w:t>
      </w:r>
    </w:p>
    <w:p w14:paraId="05EF6BD5" w14:textId="77777777" w:rsidR="00F64131" w:rsidRDefault="00F64131" w:rsidP="007316D0">
      <w:pPr>
        <w:pStyle w:val="Bullet"/>
        <w:rPr>
          <w:bCs/>
        </w:rPr>
      </w:pPr>
      <w:r>
        <w:rPr>
          <w:bCs/>
        </w:rPr>
        <w:t>‘</w:t>
      </w:r>
      <w:proofErr w:type="gramStart"/>
      <w:r>
        <w:rPr>
          <w:bCs/>
        </w:rPr>
        <w:t>initial</w:t>
      </w:r>
      <w:proofErr w:type="gramEnd"/>
      <w:r>
        <w:rPr>
          <w:bCs/>
        </w:rPr>
        <w:t xml:space="preserve"> data holder’;</w:t>
      </w:r>
    </w:p>
    <w:p w14:paraId="0BF1C440" w14:textId="4CE65160" w:rsidR="007316D0" w:rsidRDefault="00F64131" w:rsidP="007316D0">
      <w:pPr>
        <w:pStyle w:val="Bullet"/>
        <w:rPr>
          <w:bCs/>
        </w:rPr>
      </w:pPr>
      <w:r>
        <w:rPr>
          <w:bCs/>
        </w:rPr>
        <w:t>‘</w:t>
      </w:r>
      <w:proofErr w:type="gramStart"/>
      <w:r w:rsidR="000D3754">
        <w:rPr>
          <w:bCs/>
        </w:rPr>
        <w:t>phase</w:t>
      </w:r>
      <w:proofErr w:type="gramEnd"/>
      <w:r w:rsidR="000D3754">
        <w:rPr>
          <w:bCs/>
        </w:rPr>
        <w:t xml:space="preserve"> 1 product’,</w:t>
      </w:r>
      <w:r w:rsidR="00494E06">
        <w:rPr>
          <w:bCs/>
        </w:rPr>
        <w:t xml:space="preserve"> </w:t>
      </w:r>
      <w:r w:rsidR="00322AAA">
        <w:rPr>
          <w:bCs/>
        </w:rPr>
        <w:t>‘phase 2 product’ and ‘phase 3 product’.</w:t>
      </w:r>
    </w:p>
    <w:p w14:paraId="20882189" w14:textId="0F61B675" w:rsidR="003360F6" w:rsidRPr="00C122AE" w:rsidRDefault="003360F6" w:rsidP="00613808">
      <w:pPr>
        <w:pStyle w:val="Bullet"/>
        <w:numPr>
          <w:ilvl w:val="0"/>
          <w:numId w:val="0"/>
        </w:numPr>
        <w:ind w:left="567"/>
        <w:rPr>
          <w:b/>
          <w:i/>
        </w:rPr>
      </w:pPr>
      <w:r w:rsidRPr="008C1B2E">
        <w:rPr>
          <w:b/>
          <w:bCs/>
          <w:i/>
          <w:iCs/>
        </w:rPr>
        <w:t xml:space="preserve">[Schedule 1, item </w:t>
      </w:r>
      <w:r w:rsidR="004B516B" w:rsidRPr="00C122AE">
        <w:rPr>
          <w:b/>
          <w:i/>
          <w:iCs/>
        </w:rPr>
        <w:t>23</w:t>
      </w:r>
      <w:r w:rsidR="006F6A57">
        <w:rPr>
          <w:b/>
          <w:i/>
          <w:iCs/>
        </w:rPr>
        <w:t>,</w:t>
      </w:r>
      <w:r w:rsidRPr="008C1B2E">
        <w:rPr>
          <w:b/>
          <w:bCs/>
          <w:i/>
          <w:iCs/>
        </w:rPr>
        <w:t xml:space="preserve"> clause</w:t>
      </w:r>
      <w:r w:rsidRPr="008C1B2E">
        <w:rPr>
          <w:b/>
          <w:i/>
          <w:iCs/>
        </w:rPr>
        <w:t xml:space="preserve"> 1.2 of Schedule 3</w:t>
      </w:r>
      <w:r>
        <w:rPr>
          <w:b/>
          <w:i/>
          <w:iCs/>
        </w:rPr>
        <w:t xml:space="preserve"> </w:t>
      </w:r>
      <w:r>
        <w:rPr>
          <w:b/>
          <w:i/>
        </w:rPr>
        <w:t>to the CDR Rules</w:t>
      </w:r>
      <w:r w:rsidRPr="008C1B2E">
        <w:rPr>
          <w:b/>
          <w:i/>
          <w:iCs/>
        </w:rPr>
        <w:t>]</w:t>
      </w:r>
    </w:p>
    <w:p w14:paraId="247879DE" w14:textId="70606D6B" w:rsidR="00B20A5F" w:rsidRPr="00DB16F2" w:rsidRDefault="00B20A5F" w:rsidP="00013D25">
      <w:pPr>
        <w:spacing w:before="0"/>
        <w:rPr>
          <w:i/>
          <w:iCs/>
        </w:rPr>
      </w:pPr>
      <w:r w:rsidRPr="00DB16F2">
        <w:rPr>
          <w:i/>
          <w:iCs/>
        </w:rPr>
        <w:t xml:space="preserve">Defined terms relating to classes of CDR data in the </w:t>
      </w:r>
      <w:r w:rsidR="003921F6">
        <w:rPr>
          <w:i/>
          <w:iCs/>
        </w:rPr>
        <w:t xml:space="preserve">banking and </w:t>
      </w:r>
      <w:r w:rsidRPr="00DB16F2">
        <w:rPr>
          <w:i/>
          <w:iCs/>
        </w:rPr>
        <w:t>non-bank lender</w:t>
      </w:r>
      <w:r w:rsidR="003543F1">
        <w:rPr>
          <w:i/>
          <w:iCs/>
        </w:rPr>
        <w:t>s</w:t>
      </w:r>
      <w:r w:rsidRPr="00DB16F2">
        <w:rPr>
          <w:i/>
          <w:iCs/>
        </w:rPr>
        <w:t xml:space="preserve"> sector</w:t>
      </w:r>
      <w:r w:rsidR="004459B9">
        <w:rPr>
          <w:i/>
          <w:iCs/>
        </w:rPr>
        <w:t>s</w:t>
      </w:r>
    </w:p>
    <w:p w14:paraId="1F252868" w14:textId="7E2CF5BE" w:rsidR="00ED2A91" w:rsidRDefault="00425520" w:rsidP="00A81667">
      <w:pPr>
        <w:pStyle w:val="OutlineNumbered1"/>
      </w:pPr>
      <w:r>
        <w:t xml:space="preserve">Existing </w:t>
      </w:r>
      <w:r w:rsidR="00464C68">
        <w:t xml:space="preserve">clause 1.3 of Schedule 3 </w:t>
      </w:r>
      <w:r w:rsidR="00AF733F">
        <w:t xml:space="preserve">to the CDR Rules </w:t>
      </w:r>
      <w:r w:rsidR="008E6791">
        <w:t xml:space="preserve">defines banking data sets by means of broad descriptors, combined with minimum inclusions and exclusions of key data. This approach allows flexibility for further refinement and permits the </w:t>
      </w:r>
      <w:r w:rsidR="006B2646">
        <w:t xml:space="preserve">more detailed </w:t>
      </w:r>
      <w:r w:rsidR="008E6791">
        <w:t>specification of data sets in the data standards.</w:t>
      </w:r>
      <w:r w:rsidR="00A9219D">
        <w:t xml:space="preserve"> </w:t>
      </w:r>
    </w:p>
    <w:p w14:paraId="58ECE2C7" w14:textId="5DDC7A5D" w:rsidR="00DA145F" w:rsidRDefault="00DF134A" w:rsidP="00A81667">
      <w:pPr>
        <w:pStyle w:val="OutlineNumbered1"/>
      </w:pPr>
      <w:r>
        <w:t xml:space="preserve">The Amending Rules </w:t>
      </w:r>
      <w:r w:rsidR="00B63BAC">
        <w:t xml:space="preserve">extend </w:t>
      </w:r>
      <w:r>
        <w:t xml:space="preserve">the </w:t>
      </w:r>
      <w:r w:rsidR="00D957C9">
        <w:t xml:space="preserve">following </w:t>
      </w:r>
      <w:r>
        <w:t xml:space="preserve">existing definitions for classes of CDR data </w:t>
      </w:r>
      <w:r w:rsidR="00B45E52">
        <w:t xml:space="preserve">in the banking </w:t>
      </w:r>
      <w:r w:rsidR="00B63BAC">
        <w:t xml:space="preserve">sector to </w:t>
      </w:r>
      <w:r w:rsidR="00C613FF">
        <w:t>the</w:t>
      </w:r>
      <w:r w:rsidR="00B45E52">
        <w:t xml:space="preserve"> non-bank lenders sector</w:t>
      </w:r>
      <w:r w:rsidR="00113D68">
        <w:t>.</w:t>
      </w:r>
    </w:p>
    <w:p w14:paraId="36282A1F" w14:textId="32A153D6" w:rsidR="00DF134A" w:rsidRDefault="00CD5209" w:rsidP="00DF134A">
      <w:pPr>
        <w:pStyle w:val="Bullet"/>
      </w:pPr>
      <w:r>
        <w:t>‘Customer</w:t>
      </w:r>
      <w:r w:rsidR="008D367C">
        <w:t xml:space="preserve"> </w:t>
      </w:r>
      <w:r w:rsidR="00B45E52">
        <w:t xml:space="preserve">data’ means information </w:t>
      </w:r>
      <w:r w:rsidR="000052C1">
        <w:t xml:space="preserve">that identifies or is about a person, including their name, contact </w:t>
      </w:r>
      <w:r w:rsidR="0055389F">
        <w:t xml:space="preserve">details, </w:t>
      </w:r>
      <w:r w:rsidR="000F126F">
        <w:t>and</w:t>
      </w:r>
      <w:r w:rsidR="0055389F">
        <w:t xml:space="preserve"> information </w:t>
      </w:r>
      <w:r w:rsidR="0064420D">
        <w:t xml:space="preserve">provided at the time they acquired a covered product </w:t>
      </w:r>
      <w:r w:rsidR="000F126F">
        <w:t>that relates</w:t>
      </w:r>
      <w:r w:rsidR="0064420D">
        <w:t xml:space="preserve"> to their eligibility to acquire that product</w:t>
      </w:r>
      <w:r w:rsidR="00497D8D">
        <w:t xml:space="preserve">. </w:t>
      </w:r>
      <w:r w:rsidR="00800229">
        <w:t xml:space="preserve">Eligibility information </w:t>
      </w:r>
      <w:r w:rsidR="00951A7F">
        <w:t xml:space="preserve">may include </w:t>
      </w:r>
      <w:r w:rsidR="006B1311">
        <w:t xml:space="preserve">whether the product is </w:t>
      </w:r>
      <w:r w:rsidR="00D85667">
        <w:t xml:space="preserve">only available to the person because they are an existing customer or a member of a particular class of customers (for example, concession card holders). </w:t>
      </w:r>
      <w:r w:rsidR="000A09E7">
        <w:t xml:space="preserve">For an individual, </w:t>
      </w:r>
      <w:r w:rsidR="00FD03AC">
        <w:t>‘</w:t>
      </w:r>
      <w:r w:rsidR="000A09E7">
        <w:t>c</w:t>
      </w:r>
      <w:r w:rsidR="00FD03AC">
        <w:t>ustomer data’ does not include the</w:t>
      </w:r>
      <w:r w:rsidR="00DE791F">
        <w:t xml:space="preserve"> individual’s date of birth.</w:t>
      </w:r>
      <w:r w:rsidR="00FD03AC">
        <w:t xml:space="preserve"> </w:t>
      </w:r>
    </w:p>
    <w:p w14:paraId="54B4F108" w14:textId="23CFBF40" w:rsidR="00193034" w:rsidRPr="001B2C6D" w:rsidRDefault="008F549F" w:rsidP="00C324EE">
      <w:pPr>
        <w:pStyle w:val="Bullet"/>
      </w:pPr>
      <w:r>
        <w:t xml:space="preserve">‘Account data’ </w:t>
      </w:r>
      <w:r w:rsidR="007A7E62">
        <w:t xml:space="preserve">means information that identifies or is about the operation of an account, including the account </w:t>
      </w:r>
      <w:r w:rsidR="00D07C01">
        <w:t>n</w:t>
      </w:r>
      <w:r w:rsidR="00193034">
        <w:t xml:space="preserve">umber, account balances and </w:t>
      </w:r>
      <w:r w:rsidR="000516DC">
        <w:t xml:space="preserve">details of </w:t>
      </w:r>
      <w:r w:rsidR="00193034">
        <w:t xml:space="preserve">any </w:t>
      </w:r>
      <w:r w:rsidR="00B0033C">
        <w:t>authorisations</w:t>
      </w:r>
      <w:r w:rsidR="00193034">
        <w:t xml:space="preserve"> on the account, such as direct debit deductions and scheduled payments</w:t>
      </w:r>
      <w:r w:rsidR="002A78F0">
        <w:t xml:space="preserve">, and </w:t>
      </w:r>
      <w:r w:rsidR="00D3667D">
        <w:t xml:space="preserve">details </w:t>
      </w:r>
      <w:r w:rsidR="002A78F0">
        <w:t xml:space="preserve">of </w:t>
      </w:r>
      <w:r w:rsidR="002D5419">
        <w:t>payees stored with the account</w:t>
      </w:r>
      <w:r w:rsidR="00193034">
        <w:t xml:space="preserve">. </w:t>
      </w:r>
    </w:p>
    <w:p w14:paraId="0B993E12" w14:textId="721A0E75" w:rsidR="008F549F" w:rsidRDefault="00B8546B" w:rsidP="00DF134A">
      <w:pPr>
        <w:pStyle w:val="Bullet"/>
      </w:pPr>
      <w:r>
        <w:lastRenderedPageBreak/>
        <w:t xml:space="preserve">‘Transaction data’ means </w:t>
      </w:r>
      <w:r w:rsidR="00B0033C">
        <w:t xml:space="preserve">information that identifies or describes the characteristics </w:t>
      </w:r>
      <w:r w:rsidR="007D38F9">
        <w:t>of a particular transaction</w:t>
      </w:r>
      <w:r w:rsidR="00086419">
        <w:t xml:space="preserve"> </w:t>
      </w:r>
      <w:r w:rsidR="004F1423">
        <w:t xml:space="preserve">on </w:t>
      </w:r>
      <w:r w:rsidR="00231C32">
        <w:t xml:space="preserve">an </w:t>
      </w:r>
      <w:r w:rsidR="004F1423">
        <w:t>account under</w:t>
      </w:r>
      <w:r w:rsidR="00086419">
        <w:t xml:space="preserve"> a covered product</w:t>
      </w:r>
      <w:r w:rsidR="00595987">
        <w:t xml:space="preserve">, including </w:t>
      </w:r>
      <w:r w:rsidR="00303FE6">
        <w:t xml:space="preserve">the amount, the date </w:t>
      </w:r>
      <w:r w:rsidR="00152207">
        <w:t xml:space="preserve">on which </w:t>
      </w:r>
      <w:r w:rsidR="003A7F9F">
        <w:t xml:space="preserve">the transaction </w:t>
      </w:r>
      <w:r w:rsidR="00303FE6">
        <w:t>occurred</w:t>
      </w:r>
      <w:r w:rsidR="00061E56">
        <w:t>,</w:t>
      </w:r>
      <w:r w:rsidR="00303FE6">
        <w:t xml:space="preserve"> </w:t>
      </w:r>
      <w:r w:rsidR="00F231F9">
        <w:t>any identifier</w:t>
      </w:r>
      <w:r w:rsidR="009B6F7A">
        <w:t xml:space="preserve"> </w:t>
      </w:r>
      <w:r w:rsidR="00612D61">
        <w:t xml:space="preserve">and </w:t>
      </w:r>
      <w:r w:rsidR="0042286C">
        <w:t xml:space="preserve">other information </w:t>
      </w:r>
      <w:r w:rsidR="00F2418D">
        <w:t>provided by</w:t>
      </w:r>
      <w:r w:rsidR="00112C5E">
        <w:t xml:space="preserve"> </w:t>
      </w:r>
      <w:r w:rsidR="00303FE6">
        <w:t>the</w:t>
      </w:r>
      <w:r w:rsidR="008A658B">
        <w:t xml:space="preserve"> </w:t>
      </w:r>
      <w:r w:rsidR="00112C5E">
        <w:t>counter-</w:t>
      </w:r>
      <w:r w:rsidR="008A658B">
        <w:t>party to the transaction</w:t>
      </w:r>
      <w:r w:rsidR="007F1C44">
        <w:t xml:space="preserve">, and a description of </w:t>
      </w:r>
      <w:r w:rsidR="00E80B6F">
        <w:t>the transaction</w:t>
      </w:r>
      <w:r w:rsidR="00DA7F87">
        <w:t>, including</w:t>
      </w:r>
      <w:r w:rsidR="00E80B6F">
        <w:t xml:space="preserve"> </w:t>
      </w:r>
      <w:r w:rsidR="00377602">
        <w:t xml:space="preserve">how the transaction would ordinarily be </w:t>
      </w:r>
      <w:r w:rsidR="003E5E97">
        <w:t>characterised in the sector</w:t>
      </w:r>
      <w:r w:rsidR="004933E0">
        <w:t xml:space="preserve"> (such as </w:t>
      </w:r>
      <w:r w:rsidR="003C5D8C">
        <w:t>debit, credit</w:t>
      </w:r>
      <w:r w:rsidR="00CA39DF">
        <w:t>, fee or interest)</w:t>
      </w:r>
      <w:r w:rsidR="00492540">
        <w:t xml:space="preserve">. </w:t>
      </w:r>
    </w:p>
    <w:p w14:paraId="601D58E9" w14:textId="6CA996E9" w:rsidR="008E436F" w:rsidRPr="00521886" w:rsidRDefault="008E436F" w:rsidP="005714D4">
      <w:pPr>
        <w:pStyle w:val="Bullet"/>
        <w:rPr>
          <w:i/>
        </w:rPr>
      </w:pPr>
      <w:r>
        <w:t xml:space="preserve">‘Product specific data’ means </w:t>
      </w:r>
      <w:r w:rsidR="001859D1">
        <w:t xml:space="preserve">information </w:t>
      </w:r>
      <w:r w:rsidR="00570790">
        <w:t>that identifies or describes the characteristics of a covered product, such as its type, name, price</w:t>
      </w:r>
      <w:r w:rsidR="00962687">
        <w:t>, terms and con</w:t>
      </w:r>
      <w:r w:rsidR="00C67FE5">
        <w:t>d</w:t>
      </w:r>
      <w:r w:rsidR="00962687">
        <w:t>itions</w:t>
      </w:r>
      <w:r w:rsidR="00C67FE5">
        <w:t xml:space="preserve">, </w:t>
      </w:r>
      <w:r w:rsidR="00BE2B74">
        <w:t>customer</w:t>
      </w:r>
      <w:r w:rsidR="003A54AC">
        <w:t xml:space="preserve"> </w:t>
      </w:r>
      <w:r w:rsidR="00C67FE5">
        <w:t>eligibility requirements</w:t>
      </w:r>
      <w:r w:rsidR="001C6D86">
        <w:t>, features</w:t>
      </w:r>
      <w:r w:rsidR="00570790">
        <w:t xml:space="preserve"> and associa</w:t>
      </w:r>
      <w:r w:rsidR="000E47F9">
        <w:t xml:space="preserve">ted benefits. </w:t>
      </w:r>
    </w:p>
    <w:p w14:paraId="3C16AFC5" w14:textId="00021DE7" w:rsidR="00A71349" w:rsidRDefault="00216872" w:rsidP="00B91076">
      <w:pPr>
        <w:pStyle w:val="OutlineNumbered1"/>
      </w:pPr>
      <w:r>
        <w:t>In addition, the definition of ‘customer data’ is revised so it does not include ‘</w:t>
      </w:r>
      <w:r w:rsidRPr="007553F5">
        <w:t>financial hardship information</w:t>
      </w:r>
      <w:r>
        <w:t>’</w:t>
      </w:r>
      <w:r w:rsidRPr="007553F5">
        <w:t xml:space="preserve"> </w:t>
      </w:r>
      <w:r>
        <w:t>and</w:t>
      </w:r>
      <w:r w:rsidRPr="007553F5">
        <w:t xml:space="preserve"> </w:t>
      </w:r>
      <w:r>
        <w:t>‘</w:t>
      </w:r>
      <w:r w:rsidRPr="007553F5">
        <w:t xml:space="preserve">repayment </w:t>
      </w:r>
      <w:r>
        <w:t>history information’ within the meanings of</w:t>
      </w:r>
      <w:r w:rsidRPr="00CE2046">
        <w:t xml:space="preserve"> subsection</w:t>
      </w:r>
      <w:r>
        <w:t>s</w:t>
      </w:r>
      <w:r w:rsidRPr="00CE2046">
        <w:t xml:space="preserve"> 6</w:t>
      </w:r>
      <w:proofErr w:type="gramStart"/>
      <w:r w:rsidRPr="00CE2046">
        <w:t>QA(</w:t>
      </w:r>
      <w:proofErr w:type="gramEnd"/>
      <w:r w:rsidRPr="00CE2046">
        <w:t xml:space="preserve">4) </w:t>
      </w:r>
      <w:r>
        <w:t xml:space="preserve">and </w:t>
      </w:r>
      <w:r w:rsidRPr="00622CF8">
        <w:t>6V(</w:t>
      </w:r>
      <w:r>
        <w:t>1</w:t>
      </w:r>
      <w:r w:rsidRPr="00622CF8">
        <w:t xml:space="preserve">) </w:t>
      </w:r>
      <w:r w:rsidRPr="00CE2046">
        <w:t xml:space="preserve">of the </w:t>
      </w:r>
      <w:r w:rsidRPr="001B2C6D">
        <w:rPr>
          <w:i/>
        </w:rPr>
        <w:t>Privacy Act 1988</w:t>
      </w:r>
      <w:r>
        <w:rPr>
          <w:iCs/>
        </w:rPr>
        <w:t xml:space="preserve"> respectively, where the information is disclosed by or to a credit reporting body for credit reporting purposes</w:t>
      </w:r>
      <w:r w:rsidRPr="00CE2046">
        <w:t>.</w:t>
      </w:r>
      <w:r>
        <w:t xml:space="preserve"> </w:t>
      </w:r>
      <w:r w:rsidR="00B91076">
        <w:t>These</w:t>
      </w:r>
      <w:r w:rsidR="00A71349">
        <w:t xml:space="preserve"> </w:t>
      </w:r>
      <w:r w:rsidR="009A10EA">
        <w:t xml:space="preserve">types of data, as defined by the </w:t>
      </w:r>
      <w:r w:rsidR="009A10EA">
        <w:rPr>
          <w:i/>
          <w:iCs/>
        </w:rPr>
        <w:t>Privacy Act 1988</w:t>
      </w:r>
      <w:r w:rsidR="009A10EA">
        <w:t>,</w:t>
      </w:r>
      <w:r w:rsidR="00A71349">
        <w:rPr>
          <w:i/>
        </w:rPr>
        <w:t xml:space="preserve"> </w:t>
      </w:r>
      <w:r w:rsidR="00A71349">
        <w:t>have been excluded</w:t>
      </w:r>
      <w:r w:rsidR="005A1DCD">
        <w:t xml:space="preserve"> </w:t>
      </w:r>
      <w:r w:rsidR="00F6137B">
        <w:t xml:space="preserve">to </w:t>
      </w:r>
      <w:r w:rsidR="00D411FE">
        <w:t xml:space="preserve">mitigate and reduce </w:t>
      </w:r>
      <w:r w:rsidR="00F24A4B">
        <w:t xml:space="preserve">consumer </w:t>
      </w:r>
      <w:r w:rsidR="0031609E">
        <w:t>harm</w:t>
      </w:r>
      <w:r w:rsidR="005A1DCD">
        <w:t xml:space="preserve"> from potential misuse of CDR data.</w:t>
      </w:r>
      <w:r w:rsidR="008C41EF">
        <w:t xml:space="preserve"> </w:t>
      </w:r>
    </w:p>
    <w:p w14:paraId="58B751AD" w14:textId="0C589FA2" w:rsidR="00216872" w:rsidRDefault="00216872" w:rsidP="00AE5817">
      <w:pPr>
        <w:pStyle w:val="OutlineNumbered1"/>
        <w:spacing w:after="0"/>
      </w:pPr>
      <w:r>
        <w:t>F</w:t>
      </w:r>
      <w:r w:rsidRPr="007D1406">
        <w:t>inancial hardship information relates to an individual’s inability to meet their obligations in relation to consumer credit and the resultant introduction of an altered</w:t>
      </w:r>
      <w:r>
        <w:t xml:space="preserve"> </w:t>
      </w:r>
      <w:r w:rsidRPr="007D1406">
        <w:t>repayment arrangement</w:t>
      </w:r>
      <w:r w:rsidRPr="00271F7F">
        <w:t>. Repayment history information relates to an individual</w:t>
      </w:r>
      <w:r>
        <w:t xml:space="preserve">’s compliance in meeting </w:t>
      </w:r>
      <w:r w:rsidRPr="00F35192">
        <w:t>their consumer credit payment obligations in a particular month.</w:t>
      </w:r>
      <w:r w:rsidRPr="007D1406">
        <w:rPr>
          <w:b/>
        </w:rPr>
        <w:t xml:space="preserve"> </w:t>
      </w:r>
      <w:r>
        <w:rPr>
          <w:bCs/>
        </w:rPr>
        <w:t xml:space="preserve">In practice, this information is presented </w:t>
      </w:r>
      <w:r w:rsidRPr="00027E2D">
        <w:rPr>
          <w:bCs/>
        </w:rPr>
        <w:t>as a code</w:t>
      </w:r>
      <w:r>
        <w:rPr>
          <w:bCs/>
        </w:rPr>
        <w:t xml:space="preserve"> in tabular form on a consumer’s credit report. The exclusion of this information is not intended to override any data sharing obligations in relation to transaction data or any other data sets. </w:t>
      </w:r>
    </w:p>
    <w:p w14:paraId="17FB5CA9" w14:textId="410F64F3" w:rsidR="00A9639F" w:rsidRDefault="00A9639F" w:rsidP="00AE5817">
      <w:pPr>
        <w:pStyle w:val="Bullet"/>
        <w:numPr>
          <w:ilvl w:val="0"/>
          <w:numId w:val="0"/>
        </w:numPr>
        <w:spacing w:before="0"/>
        <w:ind w:left="567"/>
      </w:pPr>
      <w:r w:rsidRPr="251E43ED">
        <w:rPr>
          <w:b/>
          <w:bCs/>
          <w:i/>
          <w:iCs/>
        </w:rPr>
        <w:t>[</w:t>
      </w:r>
      <w:r w:rsidRPr="001B2C6D">
        <w:rPr>
          <w:b/>
          <w:bCs/>
          <w:i/>
          <w:iCs/>
        </w:rPr>
        <w:t xml:space="preserve">Schedule 1, item </w:t>
      </w:r>
      <w:r w:rsidR="00D552ED">
        <w:rPr>
          <w:b/>
          <w:bCs/>
          <w:i/>
          <w:iCs/>
        </w:rPr>
        <w:t>23</w:t>
      </w:r>
      <w:r w:rsidR="00F2352F">
        <w:rPr>
          <w:b/>
          <w:bCs/>
          <w:i/>
          <w:iCs/>
        </w:rPr>
        <w:t>,</w:t>
      </w:r>
      <w:r w:rsidRPr="001B2C6D">
        <w:rPr>
          <w:b/>
          <w:bCs/>
          <w:i/>
          <w:iCs/>
        </w:rPr>
        <w:t xml:space="preserve"> </w:t>
      </w:r>
      <w:r w:rsidRPr="001B2C6D">
        <w:rPr>
          <w:b/>
          <w:i/>
        </w:rPr>
        <w:t>clause</w:t>
      </w:r>
      <w:r w:rsidRPr="251E43ED">
        <w:rPr>
          <w:b/>
          <w:i/>
        </w:rPr>
        <w:t xml:space="preserve"> 1.3</w:t>
      </w:r>
      <w:r w:rsidRPr="251E43ED">
        <w:rPr>
          <w:b/>
          <w:bCs/>
          <w:i/>
          <w:iCs/>
        </w:rPr>
        <w:t xml:space="preserve"> of Schedule 3 to the CDR Rules</w:t>
      </w:r>
      <w:r w:rsidRPr="00521886">
        <w:rPr>
          <w:b/>
          <w:i/>
        </w:rPr>
        <w:t>]</w:t>
      </w:r>
    </w:p>
    <w:p w14:paraId="488DE126" w14:textId="21D34C2B" w:rsidR="003543F1" w:rsidRPr="001B2C6D" w:rsidRDefault="009A56D7" w:rsidP="00F72212">
      <w:pPr>
        <w:spacing w:before="240"/>
        <w:rPr>
          <w:i/>
        </w:rPr>
      </w:pPr>
      <w:r w:rsidRPr="001B2C6D">
        <w:rPr>
          <w:i/>
        </w:rPr>
        <w:t>Covered products for the banking and non-bank lender</w:t>
      </w:r>
      <w:r w:rsidR="003543F1" w:rsidRPr="001B2C6D">
        <w:rPr>
          <w:i/>
        </w:rPr>
        <w:t>s</w:t>
      </w:r>
      <w:r w:rsidRPr="001B2C6D">
        <w:rPr>
          <w:i/>
        </w:rPr>
        <w:t xml:space="preserve"> sector</w:t>
      </w:r>
      <w:r w:rsidR="000958DF">
        <w:rPr>
          <w:i/>
        </w:rPr>
        <w:t>s</w:t>
      </w:r>
    </w:p>
    <w:p w14:paraId="4CF0CDB1" w14:textId="44AF9C80" w:rsidR="00A96382" w:rsidRDefault="00934BAC" w:rsidP="00A81667">
      <w:pPr>
        <w:pStyle w:val="OutlineNumbered1"/>
      </w:pPr>
      <w:r>
        <w:t xml:space="preserve">The </w:t>
      </w:r>
      <w:r w:rsidR="003921F6">
        <w:t xml:space="preserve">Amending Rules </w:t>
      </w:r>
      <w:r>
        <w:t>replace</w:t>
      </w:r>
      <w:r w:rsidR="00181362">
        <w:t xml:space="preserve"> </w:t>
      </w:r>
      <w:r w:rsidR="007D358D">
        <w:t xml:space="preserve">the </w:t>
      </w:r>
      <w:r w:rsidR="00A2238A">
        <w:t>concept of</w:t>
      </w:r>
      <w:r w:rsidR="007D358D">
        <w:t xml:space="preserve"> </w:t>
      </w:r>
      <w:r w:rsidR="00167313">
        <w:t xml:space="preserve">phase 1, 2 and 3 </w:t>
      </w:r>
      <w:r w:rsidR="00AC7407">
        <w:t>product</w:t>
      </w:r>
      <w:r w:rsidR="00167313">
        <w:t>s</w:t>
      </w:r>
      <w:r w:rsidR="00AC7407">
        <w:t xml:space="preserve"> </w:t>
      </w:r>
      <w:r w:rsidR="00181362">
        <w:t xml:space="preserve">with the concept of </w:t>
      </w:r>
      <w:r w:rsidR="00E77BDA">
        <w:t>a ‘</w:t>
      </w:r>
      <w:r w:rsidR="00E26D25">
        <w:t>covered product</w:t>
      </w:r>
      <w:r w:rsidR="00E77BDA">
        <w:t>’</w:t>
      </w:r>
      <w:r w:rsidR="00E26D25">
        <w:t xml:space="preserve">. </w:t>
      </w:r>
      <w:r w:rsidR="00B10BEA">
        <w:t>A</w:t>
      </w:r>
      <w:r w:rsidR="009A018E">
        <w:t>s</w:t>
      </w:r>
      <w:r w:rsidR="00B10BEA">
        <w:t xml:space="preserve"> </w:t>
      </w:r>
      <w:r w:rsidR="003E7D4F">
        <w:t xml:space="preserve">CDR </w:t>
      </w:r>
      <w:r w:rsidR="003E7D4F" w:rsidDel="00211CBC">
        <w:t>requirements</w:t>
      </w:r>
      <w:r w:rsidR="003E7D4F">
        <w:t xml:space="preserve"> </w:t>
      </w:r>
      <w:r w:rsidR="005E4A6B">
        <w:t xml:space="preserve">now </w:t>
      </w:r>
      <w:r w:rsidR="003E7D4F">
        <w:t xml:space="preserve">apply in respect of </w:t>
      </w:r>
      <w:r w:rsidR="004700F3">
        <w:t xml:space="preserve">all </w:t>
      </w:r>
      <w:r w:rsidR="003E7D4F">
        <w:t xml:space="preserve">banking </w:t>
      </w:r>
      <w:r w:rsidR="000A12FB">
        <w:t>products associated with the 3 phases</w:t>
      </w:r>
      <w:r w:rsidR="009A018E">
        <w:t xml:space="preserve">, </w:t>
      </w:r>
      <w:r w:rsidR="00C14885">
        <w:t>this</w:t>
      </w:r>
      <w:r w:rsidR="00B10BEA">
        <w:t xml:space="preserve"> </w:t>
      </w:r>
      <w:r w:rsidR="00B6105D">
        <w:t>change</w:t>
      </w:r>
      <w:r w:rsidR="00CA7332">
        <w:t xml:space="preserve"> does not </w:t>
      </w:r>
      <w:r w:rsidR="00DF2E02">
        <w:t xml:space="preserve">of itself </w:t>
      </w:r>
      <w:r w:rsidR="00CA7332">
        <w:t>alter</w:t>
      </w:r>
      <w:r w:rsidR="004E3808">
        <w:t xml:space="preserve"> </w:t>
      </w:r>
      <w:r w:rsidR="005303CB">
        <w:t xml:space="preserve">the obligations </w:t>
      </w:r>
      <w:r w:rsidR="00917BAA">
        <w:t>of</w:t>
      </w:r>
      <w:r w:rsidR="005303CB">
        <w:t xml:space="preserve"> </w:t>
      </w:r>
      <w:r w:rsidR="00CF7FBD">
        <w:t xml:space="preserve">ADIs. </w:t>
      </w:r>
    </w:p>
    <w:p w14:paraId="19A61421" w14:textId="64BD6829" w:rsidR="003170D0" w:rsidRPr="00C936B3" w:rsidRDefault="000C21A9" w:rsidP="00A81667">
      <w:pPr>
        <w:pStyle w:val="OutlineNumbered1"/>
        <w:rPr>
          <w:iCs/>
        </w:rPr>
      </w:pPr>
      <w:r>
        <w:t>Th</w:t>
      </w:r>
      <w:r w:rsidR="005D1EA8">
        <w:t>e intention is</w:t>
      </w:r>
      <w:r w:rsidR="00B009DC">
        <w:t xml:space="preserve"> </w:t>
      </w:r>
      <w:r w:rsidR="00301CFE">
        <w:t xml:space="preserve">that the list of covered products in clause 1.4 </w:t>
      </w:r>
      <w:r w:rsidR="00E41E13">
        <w:t xml:space="preserve">of Schedule 3 to the CDR Rules </w:t>
      </w:r>
      <w:r w:rsidR="00B82371">
        <w:t xml:space="preserve">should capture retail products offered </w:t>
      </w:r>
      <w:r w:rsidR="0042153D">
        <w:t xml:space="preserve">by banks and non-bank lenders. </w:t>
      </w:r>
      <w:r w:rsidR="00B938F0" w:rsidRPr="001B2C6D">
        <w:t xml:space="preserve">A </w:t>
      </w:r>
      <w:r w:rsidR="00820A0E">
        <w:t>‘</w:t>
      </w:r>
      <w:r w:rsidR="00C42956" w:rsidRPr="001B2C6D">
        <w:t>covered product</w:t>
      </w:r>
      <w:r w:rsidR="00820A0E">
        <w:t>’</w:t>
      </w:r>
      <w:r w:rsidR="00C42956" w:rsidRPr="001B2C6D">
        <w:t xml:space="preserve"> </w:t>
      </w:r>
      <w:r w:rsidR="00E00449">
        <w:t>will b</w:t>
      </w:r>
      <w:r w:rsidR="0005602F" w:rsidRPr="001B2C6D">
        <w:t xml:space="preserve">e subject to </w:t>
      </w:r>
      <w:r w:rsidR="00EC782D" w:rsidRPr="001B2C6D">
        <w:t>data sharing</w:t>
      </w:r>
      <w:r w:rsidR="00820A0E">
        <w:t xml:space="preserve"> if</w:t>
      </w:r>
      <w:r w:rsidR="00EC27E7">
        <w:t xml:space="preserve"> it is</w:t>
      </w:r>
      <w:r w:rsidR="00E10CF0">
        <w:t xml:space="preserve"> </w:t>
      </w:r>
      <w:r w:rsidR="00A96382">
        <w:t>publicly offered</w:t>
      </w:r>
      <w:r w:rsidR="00C038CF">
        <w:t xml:space="preserve"> under a standard form contract</w:t>
      </w:r>
      <w:r w:rsidR="00A96382">
        <w:t>.</w:t>
      </w:r>
      <w:r w:rsidR="00BA3460">
        <w:t xml:space="preserve"> </w:t>
      </w:r>
      <w:r w:rsidR="00087CFF">
        <w:t xml:space="preserve">A </w:t>
      </w:r>
      <w:r w:rsidR="00276A19">
        <w:t>note</w:t>
      </w:r>
      <w:r w:rsidR="00F33B24">
        <w:t xml:space="preserve"> </w:t>
      </w:r>
      <w:r w:rsidR="282495C7">
        <w:t>referring to</w:t>
      </w:r>
      <w:r w:rsidR="00F33B24">
        <w:t xml:space="preserve"> s 27 of the Australian Consumer Law</w:t>
      </w:r>
      <w:r w:rsidR="005859C1">
        <w:t xml:space="preserve"> (ACL)</w:t>
      </w:r>
      <w:r w:rsidR="00276A19">
        <w:t xml:space="preserve"> is included</w:t>
      </w:r>
      <w:r w:rsidR="00F33B24">
        <w:t>. Th</w:t>
      </w:r>
      <w:r w:rsidR="00DB6CC7">
        <w:t>at</w:t>
      </w:r>
      <w:r w:rsidR="00F33B24">
        <w:t xml:space="preserve"> section sets out matters </w:t>
      </w:r>
      <w:r w:rsidR="005859C1">
        <w:t xml:space="preserve">that a court may </w:t>
      </w:r>
      <w:proofErr w:type="gramStart"/>
      <w:r w:rsidR="005859C1">
        <w:t>take into account</w:t>
      </w:r>
      <w:proofErr w:type="gramEnd"/>
      <w:r w:rsidR="005859C1">
        <w:t xml:space="preserve"> when determining whether a contract is a standard form contract. Th</w:t>
      </w:r>
      <w:r w:rsidR="56163485">
        <w:t>e</w:t>
      </w:r>
      <w:r w:rsidR="005859C1">
        <w:t xml:space="preserve"> </w:t>
      </w:r>
      <w:r w:rsidR="55AD55C8">
        <w:t>note</w:t>
      </w:r>
      <w:r w:rsidR="005859C1">
        <w:t xml:space="preserve"> does not apply s 27 of the ACL to the </w:t>
      </w:r>
      <w:r w:rsidR="00F73FC2">
        <w:t xml:space="preserve">CDR Rules, it merely </w:t>
      </w:r>
      <w:r w:rsidR="6132D6D6">
        <w:t>guides</w:t>
      </w:r>
      <w:r w:rsidR="00F73FC2">
        <w:t xml:space="preserve"> CDR participants</w:t>
      </w:r>
      <w:r w:rsidR="00D33025">
        <w:t xml:space="preserve"> as to the intended meaning of </w:t>
      </w:r>
      <w:r w:rsidR="00581F12">
        <w:t>‘</w:t>
      </w:r>
      <w:r w:rsidR="00D33025">
        <w:t>standard form contract</w:t>
      </w:r>
      <w:r w:rsidR="00581F12">
        <w:t>’</w:t>
      </w:r>
      <w:r w:rsidR="00F73FC2">
        <w:t xml:space="preserve">. </w:t>
      </w:r>
      <w:r w:rsidR="00A96382">
        <w:t xml:space="preserve"> </w:t>
      </w:r>
      <w:r w:rsidR="005938FF" w:rsidRPr="00045044">
        <w:rPr>
          <w:b/>
          <w:i/>
        </w:rPr>
        <w:t>[</w:t>
      </w:r>
      <w:r w:rsidR="005938FF" w:rsidRPr="004A278E">
        <w:rPr>
          <w:b/>
          <w:bCs/>
          <w:i/>
          <w:iCs/>
        </w:rPr>
        <w:t>Schedule 1, item</w:t>
      </w:r>
      <w:r w:rsidR="00771585">
        <w:rPr>
          <w:b/>
          <w:bCs/>
          <w:i/>
          <w:iCs/>
        </w:rPr>
        <w:t> </w:t>
      </w:r>
      <w:r w:rsidR="001A3A58">
        <w:rPr>
          <w:b/>
          <w:bCs/>
          <w:i/>
          <w:iCs/>
        </w:rPr>
        <w:t>23</w:t>
      </w:r>
      <w:r w:rsidR="00457FAA">
        <w:rPr>
          <w:b/>
          <w:bCs/>
          <w:i/>
          <w:iCs/>
        </w:rPr>
        <w:t>,</w:t>
      </w:r>
      <w:r w:rsidR="005938FF" w:rsidRPr="004A278E">
        <w:rPr>
          <w:b/>
          <w:bCs/>
          <w:i/>
          <w:iCs/>
        </w:rPr>
        <w:t xml:space="preserve"> </w:t>
      </w:r>
      <w:r w:rsidR="00F23AF1" w:rsidRPr="004A278E">
        <w:rPr>
          <w:b/>
          <w:bCs/>
          <w:i/>
          <w:iCs/>
        </w:rPr>
        <w:t>subclause</w:t>
      </w:r>
      <w:r w:rsidR="00457FAA">
        <w:rPr>
          <w:b/>
          <w:bCs/>
          <w:i/>
          <w:iCs/>
        </w:rPr>
        <w:t> </w:t>
      </w:r>
      <w:r w:rsidR="005938FF" w:rsidRPr="004A278E">
        <w:rPr>
          <w:b/>
          <w:bCs/>
          <w:i/>
          <w:iCs/>
        </w:rPr>
        <w:t>1.4</w:t>
      </w:r>
      <w:r w:rsidR="00F23AF1" w:rsidRPr="004A278E">
        <w:rPr>
          <w:b/>
          <w:bCs/>
          <w:i/>
          <w:iCs/>
        </w:rPr>
        <w:t>(1)</w:t>
      </w:r>
      <w:r w:rsidR="005938FF" w:rsidRPr="004A278E">
        <w:rPr>
          <w:b/>
          <w:bCs/>
          <w:i/>
          <w:iCs/>
        </w:rPr>
        <w:t xml:space="preserve"> of Schedule 3</w:t>
      </w:r>
      <w:r w:rsidR="00C67192" w:rsidRPr="004A278E">
        <w:rPr>
          <w:b/>
          <w:bCs/>
          <w:i/>
          <w:iCs/>
        </w:rPr>
        <w:t xml:space="preserve"> </w:t>
      </w:r>
      <w:r w:rsidR="00C67192" w:rsidRPr="004A278E">
        <w:rPr>
          <w:b/>
          <w:i/>
          <w:iCs/>
        </w:rPr>
        <w:t>to the CDR Rules</w:t>
      </w:r>
      <w:r w:rsidR="005938FF" w:rsidRPr="00045044">
        <w:rPr>
          <w:b/>
          <w:i/>
        </w:rPr>
        <w:t>]</w:t>
      </w:r>
    </w:p>
    <w:p w14:paraId="1AFFE778" w14:textId="3870D063" w:rsidR="007A2410" w:rsidRPr="00351E44" w:rsidRDefault="00F620B9" w:rsidP="00351E44">
      <w:pPr>
        <w:pStyle w:val="OutlineNumbered1"/>
        <w:rPr>
          <w:iCs/>
        </w:rPr>
      </w:pPr>
      <w:r w:rsidRPr="00F620B9">
        <w:t xml:space="preserve">A product </w:t>
      </w:r>
      <w:r w:rsidR="008B4E4F">
        <w:t xml:space="preserve">does </w:t>
      </w:r>
      <w:r w:rsidR="00554911">
        <w:t>not</w:t>
      </w:r>
      <w:r w:rsidR="008B4E4F">
        <w:t xml:space="preserve"> </w:t>
      </w:r>
      <w:r w:rsidRPr="00F620B9">
        <w:t xml:space="preserve">need </w:t>
      </w:r>
      <w:r w:rsidR="008B4E4F">
        <w:t>to</w:t>
      </w:r>
      <w:r w:rsidRPr="00F620B9">
        <w:t xml:space="preserve"> be available to all members of the public </w:t>
      </w:r>
      <w:proofErr w:type="gramStart"/>
      <w:r w:rsidRPr="00F620B9">
        <w:t>in order to</w:t>
      </w:r>
      <w:proofErr w:type="gramEnd"/>
      <w:r w:rsidRPr="00F620B9">
        <w:t xml:space="preserve"> be publicly offered.</w:t>
      </w:r>
      <w:r>
        <w:t xml:space="preserve"> </w:t>
      </w:r>
      <w:r w:rsidR="00832471">
        <w:t xml:space="preserve">For example, </w:t>
      </w:r>
      <w:r w:rsidR="00D73DFA">
        <w:t xml:space="preserve">a product </w:t>
      </w:r>
      <w:r w:rsidR="006969DA">
        <w:t xml:space="preserve">offered </w:t>
      </w:r>
      <w:r w:rsidR="009D0370">
        <w:t xml:space="preserve">to consumers who meet certain eligibility requirements, </w:t>
      </w:r>
      <w:r w:rsidR="00681A7B">
        <w:t xml:space="preserve">such as </w:t>
      </w:r>
      <w:r w:rsidR="008621E2">
        <w:t>small business consumers</w:t>
      </w:r>
      <w:r w:rsidR="00E52040">
        <w:t>,</w:t>
      </w:r>
      <w:r w:rsidR="00ED45B9">
        <w:t xml:space="preserve"> </w:t>
      </w:r>
      <w:r w:rsidR="004D337A">
        <w:t xml:space="preserve">could be </w:t>
      </w:r>
      <w:r w:rsidR="004D337A">
        <w:lastRenderedPageBreak/>
        <w:t>publicly offered</w:t>
      </w:r>
      <w:r w:rsidR="008621E2">
        <w:t xml:space="preserve">. </w:t>
      </w:r>
      <w:r w:rsidR="009D1F0F">
        <w:t xml:space="preserve">An example of a product that </w:t>
      </w:r>
      <w:r w:rsidR="009921E9">
        <w:t xml:space="preserve">is not </w:t>
      </w:r>
      <w:r w:rsidR="00B844A3">
        <w:t>intended to be</w:t>
      </w:r>
      <w:r w:rsidR="0071303C">
        <w:t xml:space="preserve"> considered</w:t>
      </w:r>
      <w:r w:rsidR="009921E9">
        <w:t xml:space="preserve"> </w:t>
      </w:r>
      <w:r w:rsidR="00D37C1E">
        <w:t xml:space="preserve">publicly offered is </w:t>
      </w:r>
      <w:r w:rsidR="004050E6">
        <w:t>an ‘invitation</w:t>
      </w:r>
      <w:r w:rsidR="00556C03">
        <w:t>-only</w:t>
      </w:r>
      <w:r w:rsidR="001E7B59">
        <w:t xml:space="preserve">’ product offered to select individuals </w:t>
      </w:r>
      <w:r w:rsidR="0004725D">
        <w:t xml:space="preserve">based on criteria that </w:t>
      </w:r>
      <w:r w:rsidR="00075D4E">
        <w:t>are</w:t>
      </w:r>
      <w:r w:rsidR="0004725D">
        <w:t xml:space="preserve"> not publicly avai</w:t>
      </w:r>
      <w:r w:rsidR="002019FD">
        <w:t xml:space="preserve">lable or </w:t>
      </w:r>
      <w:r w:rsidR="00075D4E">
        <w:t xml:space="preserve">are </w:t>
      </w:r>
      <w:r w:rsidR="002019FD">
        <w:t>commercially sensitive.</w:t>
      </w:r>
      <w:r w:rsidR="0086330D">
        <w:t xml:space="preserve"> </w:t>
      </w:r>
      <w:r w:rsidRPr="00045044">
        <w:rPr>
          <w:b/>
          <w:i/>
        </w:rPr>
        <w:t>[</w:t>
      </w:r>
      <w:r w:rsidR="008F127E" w:rsidRPr="004A278E">
        <w:rPr>
          <w:b/>
          <w:bCs/>
          <w:i/>
          <w:iCs/>
        </w:rPr>
        <w:t xml:space="preserve">Schedule 1, item </w:t>
      </w:r>
      <w:r w:rsidR="00A52A24">
        <w:rPr>
          <w:b/>
          <w:bCs/>
          <w:i/>
          <w:iCs/>
        </w:rPr>
        <w:t>23</w:t>
      </w:r>
      <w:r w:rsidR="00BC2CFC">
        <w:rPr>
          <w:b/>
          <w:bCs/>
          <w:i/>
          <w:iCs/>
        </w:rPr>
        <w:t>,</w:t>
      </w:r>
      <w:r w:rsidR="008F127E" w:rsidRPr="004A278E">
        <w:rPr>
          <w:b/>
          <w:bCs/>
          <w:i/>
          <w:iCs/>
        </w:rPr>
        <w:t xml:space="preserve"> </w:t>
      </w:r>
      <w:r w:rsidR="0037437C" w:rsidRPr="004A278E">
        <w:rPr>
          <w:b/>
          <w:bCs/>
          <w:i/>
          <w:iCs/>
        </w:rPr>
        <w:t>sub</w:t>
      </w:r>
      <w:r w:rsidR="008F127E" w:rsidRPr="004A278E">
        <w:rPr>
          <w:b/>
          <w:bCs/>
          <w:i/>
          <w:iCs/>
        </w:rPr>
        <w:t>clause</w:t>
      </w:r>
      <w:r w:rsidR="00771585">
        <w:rPr>
          <w:b/>
          <w:bCs/>
          <w:i/>
          <w:iCs/>
        </w:rPr>
        <w:t> </w:t>
      </w:r>
      <w:r w:rsidR="0037437C" w:rsidRPr="004A278E">
        <w:rPr>
          <w:b/>
          <w:bCs/>
          <w:i/>
          <w:iCs/>
        </w:rPr>
        <w:t>1.4(</w:t>
      </w:r>
      <w:r w:rsidR="00284D09">
        <w:rPr>
          <w:b/>
          <w:bCs/>
          <w:i/>
          <w:iCs/>
        </w:rPr>
        <w:t>2</w:t>
      </w:r>
      <w:r w:rsidR="0037437C" w:rsidRPr="004A278E">
        <w:rPr>
          <w:b/>
          <w:bCs/>
          <w:i/>
          <w:iCs/>
        </w:rPr>
        <w:t>)</w:t>
      </w:r>
      <w:r w:rsidR="008F127E" w:rsidRPr="004A278E">
        <w:rPr>
          <w:b/>
          <w:bCs/>
          <w:i/>
          <w:iCs/>
        </w:rPr>
        <w:t xml:space="preserve"> of Schedule 3</w:t>
      </w:r>
      <w:r w:rsidR="00C67192" w:rsidRPr="004A278E">
        <w:rPr>
          <w:b/>
          <w:bCs/>
          <w:i/>
          <w:iCs/>
        </w:rPr>
        <w:t xml:space="preserve"> </w:t>
      </w:r>
      <w:r w:rsidR="00C67192" w:rsidRPr="004A278E">
        <w:rPr>
          <w:b/>
          <w:i/>
          <w:iCs/>
        </w:rPr>
        <w:t>to the CDR Rules</w:t>
      </w:r>
      <w:r w:rsidRPr="00045044">
        <w:rPr>
          <w:b/>
          <w:i/>
        </w:rPr>
        <w:t>]</w:t>
      </w:r>
    </w:p>
    <w:p w14:paraId="36B56B6F" w14:textId="52C58807" w:rsidR="00E24CBD" w:rsidRPr="001B2C6D" w:rsidRDefault="00976108">
      <w:pPr>
        <w:spacing w:before="240" w:after="0"/>
        <w:rPr>
          <w:i/>
          <w:iCs/>
        </w:rPr>
      </w:pPr>
      <w:r w:rsidRPr="001B2C6D">
        <w:rPr>
          <w:i/>
          <w:iCs/>
        </w:rPr>
        <w:t>Buy now,</w:t>
      </w:r>
      <w:r w:rsidR="00A70318" w:rsidRPr="001B2C6D">
        <w:rPr>
          <w:i/>
          <w:iCs/>
        </w:rPr>
        <w:t xml:space="preserve"> pay later products</w:t>
      </w:r>
    </w:p>
    <w:p w14:paraId="6E661C32" w14:textId="77777777" w:rsidR="00FE185A" w:rsidRPr="00FE185A" w:rsidRDefault="008A2EAB" w:rsidP="00FB7701">
      <w:pPr>
        <w:pStyle w:val="OutlineNumbered1"/>
        <w:spacing w:after="0"/>
        <w:rPr>
          <w:iCs/>
        </w:rPr>
      </w:pPr>
      <w:r>
        <w:t>Buy now</w:t>
      </w:r>
      <w:r w:rsidR="001D62D0">
        <w:t>,</w:t>
      </w:r>
      <w:r>
        <w:t xml:space="preserve"> pay later </w:t>
      </w:r>
      <w:r w:rsidR="00AB4DB1">
        <w:t>(</w:t>
      </w:r>
      <w:r w:rsidR="00D4031B">
        <w:t>‘</w:t>
      </w:r>
      <w:r w:rsidR="00AB4DB1">
        <w:t>BNPL</w:t>
      </w:r>
      <w:r w:rsidR="00D4031B">
        <w:t>’</w:t>
      </w:r>
      <w:r w:rsidR="00AB4DB1">
        <w:t xml:space="preserve">) </w:t>
      </w:r>
      <w:r>
        <w:t xml:space="preserve">products </w:t>
      </w:r>
      <w:r w:rsidR="00FB5135">
        <w:t xml:space="preserve">are specified as covered products </w:t>
      </w:r>
      <w:r w:rsidR="00C34EAF">
        <w:t xml:space="preserve">for both sectors. As outlined above, </w:t>
      </w:r>
      <w:r w:rsidR="000A411F">
        <w:t>this creates new data</w:t>
      </w:r>
      <w:r w:rsidR="00C27086">
        <w:t xml:space="preserve"> </w:t>
      </w:r>
      <w:r w:rsidR="000A411F">
        <w:t xml:space="preserve">sharing obligations for </w:t>
      </w:r>
      <w:r w:rsidR="00580F0D">
        <w:t>ADIs</w:t>
      </w:r>
      <w:r w:rsidR="000A411F">
        <w:t xml:space="preserve">. </w:t>
      </w:r>
    </w:p>
    <w:p w14:paraId="53EE80A1" w14:textId="6FA02987" w:rsidR="00B01C0F" w:rsidRPr="00B01C0F" w:rsidRDefault="00B01C0F" w:rsidP="00FB7701">
      <w:pPr>
        <w:pStyle w:val="OutlineNumbered1"/>
        <w:numPr>
          <w:ilvl w:val="0"/>
          <w:numId w:val="0"/>
        </w:numPr>
        <w:spacing w:before="0"/>
        <w:ind w:left="567"/>
        <w:rPr>
          <w:iCs/>
        </w:rPr>
      </w:pPr>
      <w:r w:rsidRPr="00045044">
        <w:rPr>
          <w:b/>
          <w:i/>
        </w:rPr>
        <w:t>[</w:t>
      </w:r>
      <w:r w:rsidRPr="00817052">
        <w:rPr>
          <w:b/>
          <w:bCs/>
          <w:i/>
          <w:iCs/>
        </w:rPr>
        <w:t xml:space="preserve">Schedule 1, item </w:t>
      </w:r>
      <w:r>
        <w:rPr>
          <w:b/>
          <w:bCs/>
          <w:i/>
          <w:iCs/>
        </w:rPr>
        <w:t>23,</w:t>
      </w:r>
      <w:r w:rsidRPr="00817052">
        <w:rPr>
          <w:b/>
          <w:bCs/>
          <w:i/>
          <w:iCs/>
        </w:rPr>
        <w:t xml:space="preserve"> clause 1.4 of Schedule 3</w:t>
      </w:r>
      <w:r w:rsidRPr="00FA20F4">
        <w:rPr>
          <w:b/>
          <w:i/>
        </w:rPr>
        <w:t xml:space="preserve"> </w:t>
      </w:r>
      <w:r>
        <w:rPr>
          <w:b/>
          <w:i/>
        </w:rPr>
        <w:t>to the CDR Rules</w:t>
      </w:r>
      <w:r w:rsidRPr="00045044">
        <w:rPr>
          <w:b/>
          <w:i/>
        </w:rPr>
        <w:t>]</w:t>
      </w:r>
    </w:p>
    <w:p w14:paraId="360C46C0" w14:textId="353BE9F6" w:rsidR="00FB5135" w:rsidRPr="00351E44" w:rsidRDefault="004F648E" w:rsidP="00351E44">
      <w:pPr>
        <w:pStyle w:val="OutlineNumbered1"/>
        <w:rPr>
          <w:iCs/>
        </w:rPr>
      </w:pPr>
      <w:r w:rsidRPr="004F648E">
        <w:t xml:space="preserve">The introduction of data in relation to BNPL is consistent with the Government’s focus on priority use cases, such as personal financial management and lending. Including BNPL products will provide greater visibility of a consumer’s financial circumstances. Obligations for the compulsory sharing of CDR data in relation to BNPL products </w:t>
      </w:r>
      <w:r w:rsidR="0047325D">
        <w:t>are</w:t>
      </w:r>
      <w:r w:rsidRPr="004F648E">
        <w:t xml:space="preserve"> aligned with the phased implementation of the CDR in non-bank lending. </w:t>
      </w:r>
      <w:r>
        <w:t xml:space="preserve">                                                                                                                </w:t>
      </w:r>
    </w:p>
    <w:p w14:paraId="3EC0E5DA" w14:textId="595F2CBF" w:rsidR="0094629C" w:rsidRDefault="00941718" w:rsidP="00351E44">
      <w:pPr>
        <w:pStyle w:val="OutlineNumbered1"/>
      </w:pPr>
      <w:r>
        <w:t xml:space="preserve">Key characteristics of a </w:t>
      </w:r>
      <w:r w:rsidR="00AB4DB1">
        <w:t>BNPL</w:t>
      </w:r>
      <w:r>
        <w:t xml:space="preserve"> product </w:t>
      </w:r>
      <w:r w:rsidR="00BF77F3">
        <w:t xml:space="preserve">are intended to </w:t>
      </w:r>
      <w:r>
        <w:t>include</w:t>
      </w:r>
      <w:r w:rsidR="001A7AB4">
        <w:t xml:space="preserve">, </w:t>
      </w:r>
      <w:r>
        <w:t xml:space="preserve">but not </w:t>
      </w:r>
      <w:r w:rsidR="00BF77F3">
        <w:t>be</w:t>
      </w:r>
      <w:r>
        <w:t xml:space="preserve"> limited to</w:t>
      </w:r>
      <w:r w:rsidR="0021130A">
        <w:t>,</w:t>
      </w:r>
      <w:r w:rsidR="007A44B9">
        <w:t xml:space="preserve"> </w:t>
      </w:r>
      <w:r w:rsidR="00BA55FB">
        <w:t>the following</w:t>
      </w:r>
      <w:r w:rsidR="0094629C">
        <w:t>:</w:t>
      </w:r>
    </w:p>
    <w:p w14:paraId="549B7286" w14:textId="267655BF" w:rsidR="0094629C" w:rsidRPr="0094629C" w:rsidRDefault="00810A5A" w:rsidP="00A54D59">
      <w:pPr>
        <w:pStyle w:val="Bullet"/>
      </w:pPr>
      <w:r>
        <w:t xml:space="preserve">the </w:t>
      </w:r>
      <w:r w:rsidR="00F43525">
        <w:t xml:space="preserve">involvement of a third-party financing </w:t>
      </w:r>
      <w:proofErr w:type="gramStart"/>
      <w:r w:rsidR="00F43525">
        <w:t>entity</w:t>
      </w:r>
      <w:r w:rsidR="0094629C" w:rsidRPr="0094629C">
        <w:t>;</w:t>
      </w:r>
      <w:proofErr w:type="gramEnd"/>
    </w:p>
    <w:p w14:paraId="6A8567CD" w14:textId="4F8F5384" w:rsidR="0094629C" w:rsidRPr="0094629C" w:rsidRDefault="0021130A" w:rsidP="00A54D59">
      <w:pPr>
        <w:pStyle w:val="Bullet"/>
      </w:pPr>
      <w:r>
        <w:t>t</w:t>
      </w:r>
      <w:r w:rsidR="0094629C" w:rsidRPr="0094629C">
        <w:t xml:space="preserve">he </w:t>
      </w:r>
      <w:r>
        <w:t xml:space="preserve">provision of </w:t>
      </w:r>
      <w:r w:rsidR="00E13330">
        <w:t>finance f</w:t>
      </w:r>
      <w:r w:rsidR="00373E33">
        <w:t>or consumers</w:t>
      </w:r>
      <w:r w:rsidR="00746FEB">
        <w:t>,</w:t>
      </w:r>
      <w:r w:rsidR="00373E33">
        <w:t xml:space="preserve"> which can be used to pay for purchases of </w:t>
      </w:r>
      <w:r w:rsidR="00934146">
        <w:t>goods, services and bills (but not for the purposes of supplying cash</w:t>
      </w:r>
      <w:proofErr w:type="gramStart"/>
      <w:r w:rsidR="00934146">
        <w:t>)</w:t>
      </w:r>
      <w:r w:rsidR="00001ED1">
        <w:t>;</w:t>
      </w:r>
      <w:proofErr w:type="gramEnd"/>
      <w:r w:rsidR="00934146">
        <w:t xml:space="preserve"> </w:t>
      </w:r>
    </w:p>
    <w:p w14:paraId="1AEC1D9C" w14:textId="19760F63" w:rsidR="0094629C" w:rsidRPr="0094629C" w:rsidRDefault="007229EF" w:rsidP="00A54D59">
      <w:pPr>
        <w:pStyle w:val="Bullet"/>
      </w:pPr>
      <w:r>
        <w:t>the imposition of a</w:t>
      </w:r>
      <w:r w:rsidR="0094629C" w:rsidRPr="0094629C">
        <w:t xml:space="preserve"> fixed charge for providing credit under a prescribed limit</w:t>
      </w:r>
      <w:r w:rsidR="0069673D">
        <w:t xml:space="preserve"> </w:t>
      </w:r>
      <w:r w:rsidR="00CD6F07">
        <w:t xml:space="preserve">instead of </w:t>
      </w:r>
      <w:r w:rsidR="00D31848">
        <w:t>charging</w:t>
      </w:r>
      <w:r w:rsidR="005C4601">
        <w:t xml:space="preserve"> </w:t>
      </w:r>
      <w:proofErr w:type="gramStart"/>
      <w:r w:rsidR="005C4601">
        <w:t>interest</w:t>
      </w:r>
      <w:r w:rsidR="0094629C" w:rsidRPr="0094629C">
        <w:t>;</w:t>
      </w:r>
      <w:proofErr w:type="gramEnd"/>
      <w:r w:rsidR="0094629C" w:rsidRPr="0094629C">
        <w:t xml:space="preserve"> </w:t>
      </w:r>
    </w:p>
    <w:p w14:paraId="2A24B57E" w14:textId="613900EF" w:rsidR="00932D25" w:rsidRDefault="00AD5AC8" w:rsidP="00A54D59">
      <w:pPr>
        <w:pStyle w:val="Bullet"/>
      </w:pPr>
      <w:r>
        <w:t>the imposition of a</w:t>
      </w:r>
      <w:r w:rsidR="0094629C" w:rsidRPr="0094629C">
        <w:t xml:space="preserve"> fixed charge for missing a payment</w:t>
      </w:r>
      <w:r w:rsidR="00B4658B">
        <w:t>.</w:t>
      </w:r>
    </w:p>
    <w:p w14:paraId="06F034B2" w14:textId="74596219" w:rsidR="007B1F9C" w:rsidRDefault="00344D99" w:rsidP="00A71512">
      <w:pPr>
        <w:keepNext/>
        <w:spacing w:before="240"/>
        <w:rPr>
          <w:i/>
          <w:iCs/>
        </w:rPr>
      </w:pPr>
      <w:r w:rsidRPr="001B2C6D">
        <w:rPr>
          <w:i/>
          <w:iCs/>
        </w:rPr>
        <w:t>Reverse mortgages</w:t>
      </w:r>
    </w:p>
    <w:p w14:paraId="2D3225A4" w14:textId="772DB796" w:rsidR="00BA443B" w:rsidRPr="00351E44" w:rsidRDefault="00F40C83" w:rsidP="00351E44">
      <w:pPr>
        <w:pStyle w:val="OutlineNumbered1"/>
        <w:rPr>
          <w:iCs/>
        </w:rPr>
      </w:pPr>
      <w:r>
        <w:t xml:space="preserve">Sharing of product and consumer data in relation to reverse mortgages is voluntary. </w:t>
      </w:r>
      <w:r w:rsidR="00685442" w:rsidRPr="00AD7E32">
        <w:t xml:space="preserve">These products were assumed to be covered </w:t>
      </w:r>
      <w:r w:rsidR="00373382" w:rsidRPr="00AD7E32">
        <w:t xml:space="preserve">by the </w:t>
      </w:r>
      <w:r w:rsidR="004177F2" w:rsidRPr="00AD7E32">
        <w:t xml:space="preserve">previous list of </w:t>
      </w:r>
      <w:r w:rsidR="006458CE" w:rsidRPr="00AD7E32">
        <w:t>phased products</w:t>
      </w:r>
      <w:r w:rsidR="007C17F3" w:rsidRPr="00AD7E32">
        <w:t xml:space="preserve"> for the banking sector</w:t>
      </w:r>
      <w:r w:rsidR="000A1C0B" w:rsidRPr="00AD7E32">
        <w:t xml:space="preserve">. </w:t>
      </w:r>
      <w:r w:rsidR="005D73B1">
        <w:t>Therefore,</w:t>
      </w:r>
      <w:r w:rsidR="00817052" w:rsidRPr="00AD7E32" w:rsidDel="008A5A54">
        <w:t xml:space="preserve"> </w:t>
      </w:r>
      <w:r w:rsidR="00B22933">
        <w:t>t</w:t>
      </w:r>
      <w:r w:rsidR="008A5A54">
        <w:t xml:space="preserve">o avoid </w:t>
      </w:r>
      <w:r w:rsidR="00817052" w:rsidRPr="00AD7E32">
        <w:t>doubt</w:t>
      </w:r>
      <w:r w:rsidR="00817052">
        <w:t>,</w:t>
      </w:r>
      <w:r w:rsidR="00817052" w:rsidRPr="00AD7E32">
        <w:t xml:space="preserve"> </w:t>
      </w:r>
      <w:r w:rsidR="00817052">
        <w:t>r</w:t>
      </w:r>
      <w:r w:rsidR="002D4CCC" w:rsidRPr="00AD7E32">
        <w:t xml:space="preserve">everse mortgages </w:t>
      </w:r>
      <w:r w:rsidR="00B22933">
        <w:t>are also</w:t>
      </w:r>
      <w:r w:rsidR="002D4CCC" w:rsidRPr="00AD7E32">
        <w:t xml:space="preserve"> </w:t>
      </w:r>
      <w:r w:rsidR="00E06EEE">
        <w:t xml:space="preserve">explicitly </w:t>
      </w:r>
      <w:r w:rsidR="002D4CCC" w:rsidRPr="00AD7E32">
        <w:t>included</w:t>
      </w:r>
      <w:r w:rsidR="000B283D" w:rsidRPr="00AD7E32">
        <w:t xml:space="preserve"> as covered products. </w:t>
      </w:r>
      <w:r w:rsidR="000D1A47">
        <w:t>T</w:t>
      </w:r>
      <w:r w:rsidR="000A1C0B" w:rsidRPr="00AD7E32">
        <w:t>he</w:t>
      </w:r>
      <w:r w:rsidR="00C43E39" w:rsidRPr="00AD7E32">
        <w:t>i</w:t>
      </w:r>
      <w:r w:rsidR="000A1C0B" w:rsidRPr="00AD7E32">
        <w:t>r explicit inclusion</w:t>
      </w:r>
      <w:r w:rsidR="00B32671">
        <w:t xml:space="preserve"> is not intended to</w:t>
      </w:r>
      <w:r w:rsidR="000A1C0B" w:rsidRPr="00AD7E32">
        <w:t xml:space="preserve"> </w:t>
      </w:r>
      <w:r w:rsidR="00C43E39" w:rsidRPr="00AD7E32">
        <w:t>create</w:t>
      </w:r>
      <w:r w:rsidR="00B32671">
        <w:t xml:space="preserve"> </w:t>
      </w:r>
      <w:r w:rsidR="00C43E39" w:rsidRPr="00AD7E32">
        <w:t>new banking-sector obligations</w:t>
      </w:r>
      <w:r w:rsidR="009224BC">
        <w:t xml:space="preserve">; instead, the </w:t>
      </w:r>
      <w:r w:rsidR="002D26D4">
        <w:t xml:space="preserve">voluntary sharing of data is intended to reduce </w:t>
      </w:r>
      <w:r w:rsidR="002C01FE">
        <w:t>costs</w:t>
      </w:r>
      <w:r w:rsidR="00C43E39" w:rsidRPr="00AD7E32">
        <w:t xml:space="preserve">. </w:t>
      </w:r>
      <w:r w:rsidR="004F648E">
        <w:t xml:space="preserve">                                    </w:t>
      </w:r>
      <w:r w:rsidR="00BA443B" w:rsidRPr="00E00E3F">
        <w:rPr>
          <w:b/>
          <w:bCs/>
          <w:i/>
        </w:rPr>
        <w:t xml:space="preserve">[Schedule 1, </w:t>
      </w:r>
      <w:r w:rsidR="00BA443B" w:rsidRPr="00E00E3F" w:rsidDel="00817052">
        <w:rPr>
          <w:b/>
          <w:bCs/>
          <w:i/>
        </w:rPr>
        <w:t>item</w:t>
      </w:r>
      <w:r w:rsidR="00817052">
        <w:rPr>
          <w:b/>
          <w:bCs/>
          <w:i/>
        </w:rPr>
        <w:t xml:space="preserve"> </w:t>
      </w:r>
      <w:r w:rsidR="00F1315E">
        <w:rPr>
          <w:b/>
          <w:bCs/>
          <w:i/>
        </w:rPr>
        <w:t>23</w:t>
      </w:r>
      <w:r w:rsidR="00A776D4">
        <w:rPr>
          <w:b/>
          <w:bCs/>
          <w:i/>
        </w:rPr>
        <w:t>,</w:t>
      </w:r>
      <w:r w:rsidR="00BA443B" w:rsidRPr="00E00E3F">
        <w:rPr>
          <w:b/>
          <w:bCs/>
          <w:i/>
        </w:rPr>
        <w:t xml:space="preserve"> clause 1.4</w:t>
      </w:r>
      <w:r w:rsidR="00AF4CCB">
        <w:rPr>
          <w:b/>
          <w:bCs/>
          <w:i/>
        </w:rPr>
        <w:t xml:space="preserve">, </w:t>
      </w:r>
      <w:r w:rsidR="007725E1">
        <w:rPr>
          <w:b/>
          <w:bCs/>
          <w:i/>
        </w:rPr>
        <w:t>and subclauses</w:t>
      </w:r>
      <w:r w:rsidR="00AF4CCB">
        <w:rPr>
          <w:b/>
          <w:bCs/>
          <w:i/>
        </w:rPr>
        <w:t xml:space="preserve"> 3.1</w:t>
      </w:r>
      <w:r w:rsidR="007725E1">
        <w:rPr>
          <w:b/>
          <w:bCs/>
          <w:i/>
        </w:rPr>
        <w:t>(2)</w:t>
      </w:r>
      <w:r w:rsidR="00AF4CCB">
        <w:rPr>
          <w:b/>
          <w:bCs/>
          <w:i/>
        </w:rPr>
        <w:t xml:space="preserve"> and </w:t>
      </w:r>
      <w:r w:rsidR="007725E1">
        <w:rPr>
          <w:b/>
          <w:bCs/>
          <w:i/>
        </w:rPr>
        <w:t>(</w:t>
      </w:r>
      <w:r w:rsidR="00DA1FC5">
        <w:rPr>
          <w:b/>
          <w:bCs/>
          <w:i/>
        </w:rPr>
        <w:t>3</w:t>
      </w:r>
      <w:r w:rsidR="007725E1">
        <w:rPr>
          <w:b/>
          <w:bCs/>
          <w:i/>
        </w:rPr>
        <w:t>)</w:t>
      </w:r>
      <w:r w:rsidR="00BA443B" w:rsidRPr="00E00E3F">
        <w:rPr>
          <w:b/>
          <w:bCs/>
          <w:i/>
        </w:rPr>
        <w:t xml:space="preserve"> of </w:t>
      </w:r>
      <w:r w:rsidR="00BA443B" w:rsidRPr="00E00E3F" w:rsidDel="00C562B8">
        <w:rPr>
          <w:b/>
          <w:bCs/>
          <w:i/>
        </w:rPr>
        <w:t>Schedule</w:t>
      </w:r>
      <w:r w:rsidR="00C562B8">
        <w:rPr>
          <w:b/>
          <w:bCs/>
          <w:i/>
        </w:rPr>
        <w:t> </w:t>
      </w:r>
      <w:r w:rsidR="00BA443B" w:rsidRPr="00E00E3F">
        <w:rPr>
          <w:b/>
          <w:bCs/>
          <w:i/>
        </w:rPr>
        <w:t>3</w:t>
      </w:r>
      <w:r w:rsidR="009203D2">
        <w:rPr>
          <w:b/>
          <w:bCs/>
          <w:i/>
        </w:rPr>
        <w:t xml:space="preserve"> </w:t>
      </w:r>
      <w:r w:rsidR="009203D2">
        <w:rPr>
          <w:b/>
          <w:i/>
        </w:rPr>
        <w:t>to the CDR Rules</w:t>
      </w:r>
      <w:r w:rsidR="00BA443B" w:rsidRPr="00E00E3F">
        <w:rPr>
          <w:b/>
          <w:bCs/>
          <w:i/>
        </w:rPr>
        <w:t>]</w:t>
      </w:r>
    </w:p>
    <w:p w14:paraId="3FD2DBE6" w14:textId="3B1B668E" w:rsidR="001245CC" w:rsidRPr="001B2C6D" w:rsidRDefault="00B553A8" w:rsidP="00F72212">
      <w:pPr>
        <w:spacing w:before="240"/>
        <w:rPr>
          <w:i/>
        </w:rPr>
      </w:pPr>
      <w:r w:rsidRPr="001B2C6D">
        <w:rPr>
          <w:i/>
        </w:rPr>
        <w:t>Trial products</w:t>
      </w:r>
    </w:p>
    <w:p w14:paraId="65D4CB4B" w14:textId="083BF969" w:rsidR="00903274" w:rsidRPr="00613808" w:rsidRDefault="448BEF9E" w:rsidP="3DD4D13C">
      <w:pPr>
        <w:pStyle w:val="OutlineNumbered1"/>
      </w:pPr>
      <w:r>
        <w:t xml:space="preserve">The </w:t>
      </w:r>
      <w:r w:rsidR="2A85EAA1" w:rsidRPr="3DD4D13C">
        <w:rPr>
          <w:i/>
          <w:iCs/>
        </w:rPr>
        <w:t>Competition and Consumer (Consumer Data Right) Amendment Rules (No. 1) 2023</w:t>
      </w:r>
      <w:r w:rsidR="2A85EAA1">
        <w:t xml:space="preserve"> introduce</w:t>
      </w:r>
      <w:r w:rsidR="3B0FE285">
        <w:t>d</w:t>
      </w:r>
      <w:r w:rsidR="2A85EAA1">
        <w:t xml:space="preserve"> the concept of </w:t>
      </w:r>
      <w:r w:rsidR="239AB5B4">
        <w:t>‘</w:t>
      </w:r>
      <w:r w:rsidR="2A85EAA1">
        <w:t>trial products</w:t>
      </w:r>
      <w:r w:rsidR="239AB5B4">
        <w:t>’</w:t>
      </w:r>
      <w:r w:rsidR="2A85EAA1">
        <w:t xml:space="preserve"> to the CDR Rules.</w:t>
      </w:r>
      <w:r w:rsidR="41391A71">
        <w:t xml:space="preserve"> </w:t>
      </w:r>
      <w:r w:rsidR="4BA1888E">
        <w:t xml:space="preserve">It provides that </w:t>
      </w:r>
      <w:r w:rsidR="1BDFBEAB">
        <w:t xml:space="preserve">the CDR Rules </w:t>
      </w:r>
      <w:r w:rsidR="4401DB81">
        <w:t xml:space="preserve">do not apply to </w:t>
      </w:r>
      <w:r w:rsidR="69306D0D">
        <w:t xml:space="preserve">banking sector </w:t>
      </w:r>
      <w:r w:rsidR="0367F4F7">
        <w:t xml:space="preserve">data </w:t>
      </w:r>
      <w:r w:rsidR="0A001E9C">
        <w:t xml:space="preserve">relating to </w:t>
      </w:r>
      <w:r w:rsidR="687F0E20">
        <w:t xml:space="preserve">a trial </w:t>
      </w:r>
      <w:r w:rsidR="496E2DA1">
        <w:t>product</w:t>
      </w:r>
      <w:r w:rsidR="4401DB81">
        <w:t xml:space="preserve"> </w:t>
      </w:r>
      <w:r w:rsidR="0096772C">
        <w:t>during the trial period</w:t>
      </w:r>
      <w:r w:rsidR="4FF95D55">
        <w:t xml:space="preserve">, but that </w:t>
      </w:r>
      <w:r w:rsidR="19AE7E91">
        <w:t>once a product</w:t>
      </w:r>
      <w:r w:rsidR="239333BB">
        <w:t xml:space="preserve"> ceases to be a trial product</w:t>
      </w:r>
      <w:r w:rsidR="6554964A">
        <w:t xml:space="preserve">, </w:t>
      </w:r>
      <w:r w:rsidR="732A167B">
        <w:t>the rules will apply</w:t>
      </w:r>
      <w:r w:rsidR="61C63705">
        <w:t>, including to</w:t>
      </w:r>
      <w:r w:rsidR="1BCA5A68">
        <w:t xml:space="preserve"> data that was generated while the product was a trial product</w:t>
      </w:r>
      <w:r w:rsidR="178A0287">
        <w:t>.</w:t>
      </w:r>
      <w:r w:rsidR="5B6C78B1">
        <w:t xml:space="preserve"> </w:t>
      </w:r>
      <w:r w:rsidR="672F518A">
        <w:t xml:space="preserve">A trial product will cease to be a trial product from </w:t>
      </w:r>
      <w:r w:rsidR="672F518A">
        <w:lastRenderedPageBreak/>
        <w:t>the time that either the product is supplied or offered after the end of the trial period, or the product begins to be supplied to more than 1,000 customers</w:t>
      </w:r>
      <w:r w:rsidR="7B10E287">
        <w:t>, counted from the time the product was first offered</w:t>
      </w:r>
      <w:r w:rsidR="672F518A">
        <w:t xml:space="preserve">. </w:t>
      </w:r>
      <w:r w:rsidR="5B6C78B1">
        <w:t xml:space="preserve">The Amending Rules extend the application of </w:t>
      </w:r>
      <w:r w:rsidR="0A4CDCF9">
        <w:t>th</w:t>
      </w:r>
      <w:r w:rsidR="5B765C90">
        <w:t xml:space="preserve">ese provisions </w:t>
      </w:r>
      <w:r w:rsidR="42F46B6C">
        <w:t>relating to</w:t>
      </w:r>
      <w:r w:rsidR="5B6C78B1">
        <w:t xml:space="preserve"> trial products to the non-bank lenders sector.</w:t>
      </w:r>
      <w:r w:rsidR="5B6C78B1" w:rsidRPr="00613808">
        <w:rPr>
          <w:b/>
          <w:bCs/>
          <w:i/>
          <w:iCs/>
        </w:rPr>
        <w:t xml:space="preserve"> </w:t>
      </w:r>
      <w:r w:rsidR="046C235B" w:rsidRPr="00613808">
        <w:rPr>
          <w:b/>
          <w:bCs/>
          <w:i/>
          <w:iCs/>
        </w:rPr>
        <w:t xml:space="preserve">     </w:t>
      </w:r>
      <w:r w:rsidR="046C235B">
        <w:t xml:space="preserve">                                                                                        </w:t>
      </w:r>
      <w:r w:rsidR="453C5B96" w:rsidRPr="3DD4D13C">
        <w:rPr>
          <w:b/>
          <w:bCs/>
          <w:i/>
          <w:iCs/>
        </w:rPr>
        <w:t xml:space="preserve">[Schedule 1, </w:t>
      </w:r>
      <w:r w:rsidR="00903274" w:rsidRPr="00E00E3F" w:rsidDel="00817052">
        <w:rPr>
          <w:b/>
          <w:bCs/>
          <w:i/>
          <w:iCs/>
        </w:rPr>
        <w:t>item</w:t>
      </w:r>
      <w:r w:rsidR="00D73E7F">
        <w:rPr>
          <w:b/>
          <w:bCs/>
          <w:i/>
          <w:iCs/>
        </w:rPr>
        <w:t>s</w:t>
      </w:r>
      <w:r w:rsidR="453C5B96" w:rsidRPr="3DD4D13C">
        <w:rPr>
          <w:b/>
          <w:bCs/>
          <w:i/>
          <w:iCs/>
        </w:rPr>
        <w:t xml:space="preserve"> </w:t>
      </w:r>
      <w:r w:rsidR="7EE9DBFA" w:rsidRPr="3DD4D13C">
        <w:rPr>
          <w:b/>
          <w:bCs/>
          <w:i/>
          <w:iCs/>
        </w:rPr>
        <w:t>23</w:t>
      </w:r>
      <w:r w:rsidR="00D73E7F">
        <w:rPr>
          <w:b/>
          <w:bCs/>
          <w:i/>
          <w:iCs/>
        </w:rPr>
        <w:t xml:space="preserve"> and 30</w:t>
      </w:r>
      <w:r w:rsidR="5115D0C0" w:rsidRPr="3DD4D13C">
        <w:rPr>
          <w:b/>
          <w:bCs/>
          <w:i/>
          <w:iCs/>
        </w:rPr>
        <w:t>,</w:t>
      </w:r>
      <w:r w:rsidR="453C5B96" w:rsidRPr="3DD4D13C">
        <w:rPr>
          <w:b/>
          <w:bCs/>
          <w:i/>
          <w:iCs/>
        </w:rPr>
        <w:t xml:space="preserve"> clause</w:t>
      </w:r>
      <w:r w:rsidR="00C30A06" w:rsidRPr="3DD4D13C" w:rsidDel="486C09B3">
        <w:rPr>
          <w:b/>
          <w:bCs/>
          <w:i/>
          <w:iCs/>
        </w:rPr>
        <w:t>s</w:t>
      </w:r>
      <w:r w:rsidR="453C5B96" w:rsidRPr="3DD4D13C">
        <w:rPr>
          <w:b/>
          <w:bCs/>
          <w:i/>
          <w:iCs/>
        </w:rPr>
        <w:t xml:space="preserve"> 1.5 </w:t>
      </w:r>
      <w:r w:rsidR="486C09B3" w:rsidRPr="3DD4D13C">
        <w:rPr>
          <w:b/>
          <w:bCs/>
          <w:i/>
          <w:iCs/>
        </w:rPr>
        <w:t xml:space="preserve">and </w:t>
      </w:r>
      <w:r w:rsidR="35F59538" w:rsidRPr="3DD4D13C">
        <w:rPr>
          <w:b/>
          <w:bCs/>
          <w:i/>
          <w:iCs/>
        </w:rPr>
        <w:t>6.12</w:t>
      </w:r>
      <w:r w:rsidR="453C5B96" w:rsidRPr="3DD4D13C">
        <w:rPr>
          <w:b/>
          <w:bCs/>
          <w:i/>
          <w:iCs/>
        </w:rPr>
        <w:t xml:space="preserve"> of Schedule 3</w:t>
      </w:r>
      <w:r w:rsidR="38DC271E" w:rsidRPr="3DD4D13C">
        <w:rPr>
          <w:b/>
          <w:bCs/>
          <w:i/>
          <w:iCs/>
        </w:rPr>
        <w:t xml:space="preserve"> to the CDR Rules</w:t>
      </w:r>
      <w:r w:rsidR="453C5B96" w:rsidRPr="3DD4D13C">
        <w:rPr>
          <w:b/>
          <w:bCs/>
          <w:i/>
          <w:iCs/>
        </w:rPr>
        <w:t>]</w:t>
      </w:r>
    </w:p>
    <w:p w14:paraId="03CE94ED" w14:textId="5FCEB176" w:rsidR="005F0648" w:rsidRDefault="008F3C2D" w:rsidP="00F72212">
      <w:pPr>
        <w:spacing w:before="240"/>
        <w:rPr>
          <w:i/>
          <w:iCs/>
        </w:rPr>
      </w:pPr>
      <w:r w:rsidRPr="001B2C6D">
        <w:rPr>
          <w:i/>
          <w:iCs/>
        </w:rPr>
        <w:t xml:space="preserve">Eligible </w:t>
      </w:r>
      <w:r>
        <w:rPr>
          <w:i/>
          <w:iCs/>
        </w:rPr>
        <w:t>CDR consumers</w:t>
      </w:r>
      <w:r w:rsidR="005A055A">
        <w:rPr>
          <w:i/>
          <w:iCs/>
        </w:rPr>
        <w:t>,</w:t>
      </w:r>
      <w:r w:rsidR="005F0648">
        <w:rPr>
          <w:i/>
          <w:iCs/>
        </w:rPr>
        <w:t xml:space="preserve"> account privileges and consumer dashboard</w:t>
      </w:r>
      <w:r w:rsidR="00F96335">
        <w:rPr>
          <w:i/>
          <w:iCs/>
        </w:rPr>
        <w:t>s</w:t>
      </w:r>
    </w:p>
    <w:p w14:paraId="632A60E4" w14:textId="2CEDF5F7" w:rsidR="00903274" w:rsidRPr="00351E44" w:rsidRDefault="00A0653F" w:rsidP="00351E44">
      <w:pPr>
        <w:pStyle w:val="OutlineNumbered1"/>
      </w:pPr>
      <w:r>
        <w:t xml:space="preserve">The Amending Rules </w:t>
      </w:r>
      <w:r w:rsidR="000073FC">
        <w:t xml:space="preserve">extend </w:t>
      </w:r>
      <w:r w:rsidR="00120662">
        <w:t>the</w:t>
      </w:r>
      <w:r>
        <w:t xml:space="preserve"> </w:t>
      </w:r>
      <w:r w:rsidR="004707D5">
        <w:t>e</w:t>
      </w:r>
      <w:r w:rsidR="005365B2">
        <w:t>x</w:t>
      </w:r>
      <w:r w:rsidR="00C85CF2">
        <w:t xml:space="preserve">isting </w:t>
      </w:r>
      <w:r w:rsidR="00CC5D90">
        <w:t>additional eligibility</w:t>
      </w:r>
      <w:r w:rsidR="00C85CF2">
        <w:t xml:space="preserve"> </w:t>
      </w:r>
      <w:r w:rsidR="00925159">
        <w:t xml:space="preserve">requirements for </w:t>
      </w:r>
      <w:r w:rsidR="0098548A">
        <w:t xml:space="preserve">the banking sector </w:t>
      </w:r>
      <w:r w:rsidR="00857B38">
        <w:t xml:space="preserve">in </w:t>
      </w:r>
      <w:r w:rsidR="00C85CF2">
        <w:t>Part 2</w:t>
      </w:r>
      <w:r w:rsidR="0060361B">
        <w:t xml:space="preserve"> of Schedule 3</w:t>
      </w:r>
      <w:r w:rsidR="004520BB">
        <w:t xml:space="preserve"> </w:t>
      </w:r>
      <w:r w:rsidR="000073FC">
        <w:t xml:space="preserve">to the CDR Rules to the non-bank lenders sector </w:t>
      </w:r>
      <w:r w:rsidR="00926C7E">
        <w:t>by inserting references to</w:t>
      </w:r>
      <w:r w:rsidR="00CE5B77">
        <w:t xml:space="preserve"> the non-bank lend</w:t>
      </w:r>
      <w:r w:rsidR="00EE0D0C">
        <w:t>ers</w:t>
      </w:r>
      <w:r w:rsidR="00CE5B77">
        <w:t xml:space="preserve"> sector</w:t>
      </w:r>
      <w:r w:rsidR="000437DD">
        <w:t xml:space="preserve"> </w:t>
      </w:r>
      <w:r w:rsidR="008E3398">
        <w:t>a</w:t>
      </w:r>
      <w:r w:rsidR="000437DD">
        <w:t>s appropriate</w:t>
      </w:r>
      <w:r w:rsidR="000437DD" w:rsidRPr="001B2C6D">
        <w:t xml:space="preserve">. </w:t>
      </w:r>
      <w:r w:rsidR="000073FC">
        <w:t xml:space="preserve">The requirements remain the same in relation to the banking sector. </w:t>
      </w:r>
      <w:r w:rsidR="004A2B48" w:rsidRPr="001B2C6D">
        <w:t xml:space="preserve">Part </w:t>
      </w:r>
      <w:r w:rsidR="000073FC">
        <w:t>2</w:t>
      </w:r>
      <w:r w:rsidR="004A2B48" w:rsidRPr="001B2C6D">
        <w:t xml:space="preserve"> sets out eligibility requirements </w:t>
      </w:r>
      <w:r w:rsidR="00192304">
        <w:t xml:space="preserve">in addition </w:t>
      </w:r>
      <w:r w:rsidR="004A2B48" w:rsidRPr="001B2C6D">
        <w:t>to those</w:t>
      </w:r>
      <w:r w:rsidR="00401E40" w:rsidRPr="001B2C6D">
        <w:t xml:space="preserve"> imposed by</w:t>
      </w:r>
      <w:r w:rsidR="0038410D">
        <w:t xml:space="preserve"> </w:t>
      </w:r>
      <w:r w:rsidR="00EB4EE7">
        <w:t xml:space="preserve">rule 1.10B of the CDR Rules, </w:t>
      </w:r>
      <w:r w:rsidR="00602201">
        <w:t xml:space="preserve">defines </w:t>
      </w:r>
      <w:r w:rsidR="00D03582">
        <w:t>‘account privileges’</w:t>
      </w:r>
      <w:r w:rsidR="00602201">
        <w:t xml:space="preserve"> </w:t>
      </w:r>
      <w:r w:rsidR="006D7E9C">
        <w:t xml:space="preserve">in respect of secondary users in </w:t>
      </w:r>
      <w:r w:rsidR="00602201">
        <w:t>both sectors</w:t>
      </w:r>
      <w:r w:rsidR="008E3398">
        <w:t>,</w:t>
      </w:r>
      <w:r w:rsidR="00D470DE">
        <w:t xml:space="preserve"> and </w:t>
      </w:r>
      <w:r w:rsidR="00735689">
        <w:t xml:space="preserve">requires </w:t>
      </w:r>
      <w:r w:rsidR="002C37F7">
        <w:t>data holders in both sectors</w:t>
      </w:r>
      <w:r w:rsidR="00735689">
        <w:t xml:space="preserve"> to </w:t>
      </w:r>
      <w:r w:rsidR="008E3398">
        <w:t xml:space="preserve">provide </w:t>
      </w:r>
      <w:r w:rsidR="00792CB9">
        <w:t>eligible CDR consumers with consumer dashboards</w:t>
      </w:r>
      <w:r w:rsidR="00792CB9" w:rsidRPr="00351E44">
        <w:t xml:space="preserve">. </w:t>
      </w:r>
    </w:p>
    <w:p w14:paraId="1B0E8922" w14:textId="1838510F" w:rsidR="00402D2C" w:rsidRDefault="00324CC6" w:rsidP="00351E44">
      <w:pPr>
        <w:pStyle w:val="OutlineNumbered1"/>
      </w:pPr>
      <w:r>
        <w:t>Rule 1.10B states that to be eligible in relation to a data holder, a CDR consumer:</w:t>
      </w:r>
    </w:p>
    <w:p w14:paraId="4B4B6B60" w14:textId="59600989" w:rsidR="00324CC6" w:rsidRDefault="00324CC6" w:rsidP="00324CC6">
      <w:pPr>
        <w:pStyle w:val="Bullet"/>
      </w:pPr>
      <w:r>
        <w:t>must be an individual who is 18 years or o</w:t>
      </w:r>
      <w:r w:rsidR="00477378">
        <w:t>l</w:t>
      </w:r>
      <w:r>
        <w:t xml:space="preserve">der, or a person who is not </w:t>
      </w:r>
      <w:r w:rsidR="00936E0F">
        <w:t>an individual; and</w:t>
      </w:r>
    </w:p>
    <w:p w14:paraId="380F2BA1" w14:textId="53838B2A" w:rsidR="00F71AB3" w:rsidRDefault="00936E0F" w:rsidP="00D67593">
      <w:pPr>
        <w:pStyle w:val="Bullet"/>
      </w:pPr>
      <w:r>
        <w:t>must be an account holder or secondary user of an open acc</w:t>
      </w:r>
      <w:r w:rsidR="007743D4">
        <w:t xml:space="preserve">ount with the data holder, or a partner in a partnership for which there is an open account with the data holder. </w:t>
      </w:r>
    </w:p>
    <w:p w14:paraId="513E30A8" w14:textId="77777777" w:rsidR="001E1607" w:rsidRDefault="001E1607" w:rsidP="00351E44">
      <w:pPr>
        <w:pStyle w:val="OutlineNumbered1"/>
      </w:pPr>
      <w:r>
        <w:t>Rule 1.10B also stipulates that any additional criteria set out in a sector Schedule must be satisfied.</w:t>
      </w:r>
    </w:p>
    <w:p w14:paraId="63AC1998" w14:textId="63981A04" w:rsidR="00EE6326" w:rsidRDefault="00EE6326" w:rsidP="00351E44">
      <w:pPr>
        <w:pStyle w:val="OutlineNumbered1"/>
      </w:pPr>
      <w:r>
        <w:t xml:space="preserve">For the </w:t>
      </w:r>
      <w:r w:rsidR="006E2FF9">
        <w:t xml:space="preserve">banking </w:t>
      </w:r>
      <w:r w:rsidR="00A30E11">
        <w:t xml:space="preserve">and </w:t>
      </w:r>
      <w:r>
        <w:t>non-bank lend</w:t>
      </w:r>
      <w:r w:rsidR="00EE0D0C">
        <w:t>ers</w:t>
      </w:r>
      <w:r>
        <w:t xml:space="preserve"> sector</w:t>
      </w:r>
      <w:r w:rsidR="00A30E11">
        <w:t>s</w:t>
      </w:r>
      <w:r>
        <w:t xml:space="preserve">, the </w:t>
      </w:r>
      <w:r w:rsidR="00564CB4">
        <w:t xml:space="preserve">additional criterion </w:t>
      </w:r>
      <w:r w:rsidR="00D40730">
        <w:t xml:space="preserve">is that the </w:t>
      </w:r>
      <w:r>
        <w:t xml:space="preserve">account </w:t>
      </w:r>
      <w:r w:rsidR="00F41700">
        <w:t xml:space="preserve">mentioned in </w:t>
      </w:r>
      <w:r w:rsidR="00782AD4">
        <w:t>r</w:t>
      </w:r>
      <w:r w:rsidR="00F41700">
        <w:t xml:space="preserve">ule 1.10B </w:t>
      </w:r>
      <w:r w:rsidR="004A6676">
        <w:t>m</w:t>
      </w:r>
      <w:r w:rsidR="00D65205">
        <w:t xml:space="preserve">ust be </w:t>
      </w:r>
      <w:r w:rsidR="00793C04">
        <w:t xml:space="preserve">set up </w:t>
      </w:r>
      <w:r w:rsidR="005B5C3B">
        <w:t xml:space="preserve">in such a way that it can be accessed online. </w:t>
      </w:r>
      <w:r w:rsidR="002C650A">
        <w:t>The intention is that o</w:t>
      </w:r>
      <w:r w:rsidR="005B5C3B">
        <w:t xml:space="preserve">nline access </w:t>
      </w:r>
      <w:r w:rsidR="00C17E58">
        <w:t xml:space="preserve">to an account may involve a range of modalities, including access via an online portal (whether by logging in or using a one-time password) or app-based access. </w:t>
      </w:r>
      <w:r w:rsidR="004F648E">
        <w:t xml:space="preserve">                                        </w:t>
      </w:r>
      <w:r w:rsidR="005A04E7" w:rsidRPr="00E00E3F">
        <w:rPr>
          <w:b/>
          <w:bCs/>
          <w:i/>
          <w:iCs/>
        </w:rPr>
        <w:t>[Schedule 1, item</w:t>
      </w:r>
      <w:r w:rsidR="005A04E7">
        <w:rPr>
          <w:b/>
          <w:bCs/>
          <w:i/>
          <w:iCs/>
        </w:rPr>
        <w:t xml:space="preserve"> 23</w:t>
      </w:r>
      <w:r w:rsidR="002C650A">
        <w:rPr>
          <w:b/>
          <w:bCs/>
          <w:i/>
          <w:iCs/>
        </w:rPr>
        <w:t>,</w:t>
      </w:r>
      <w:r w:rsidR="005A04E7" w:rsidRPr="00E00E3F">
        <w:rPr>
          <w:b/>
          <w:bCs/>
          <w:i/>
          <w:iCs/>
        </w:rPr>
        <w:t xml:space="preserve"> </w:t>
      </w:r>
      <w:r w:rsidR="005A04E7">
        <w:rPr>
          <w:b/>
          <w:bCs/>
          <w:i/>
          <w:iCs/>
        </w:rPr>
        <w:t>clause 2.1</w:t>
      </w:r>
      <w:r w:rsidR="005A04E7" w:rsidRPr="00E00E3F">
        <w:rPr>
          <w:b/>
          <w:bCs/>
          <w:i/>
          <w:iCs/>
        </w:rPr>
        <w:t xml:space="preserve"> </w:t>
      </w:r>
      <w:r w:rsidR="005A04E7" w:rsidRPr="00E00E3F">
        <w:rPr>
          <w:b/>
          <w:i/>
          <w:iCs/>
        </w:rPr>
        <w:t>of Schedule 3</w:t>
      </w:r>
      <w:r w:rsidR="005A04E7">
        <w:rPr>
          <w:b/>
          <w:i/>
          <w:iCs/>
        </w:rPr>
        <w:t xml:space="preserve"> </w:t>
      </w:r>
      <w:r w:rsidR="005A04E7">
        <w:rPr>
          <w:b/>
          <w:i/>
        </w:rPr>
        <w:t>to the CDR Rules</w:t>
      </w:r>
      <w:r w:rsidR="005A04E7" w:rsidRPr="00E00E3F">
        <w:rPr>
          <w:b/>
          <w:i/>
          <w:iCs/>
        </w:rPr>
        <w:t>]</w:t>
      </w:r>
    </w:p>
    <w:p w14:paraId="2A474671" w14:textId="786D1260" w:rsidR="00EF0171" w:rsidRDefault="00AF0F38" w:rsidP="00351E44">
      <w:pPr>
        <w:pStyle w:val="OutlineNumbered1"/>
      </w:pPr>
      <w:r>
        <w:t>Under the CDR Rules, a</w:t>
      </w:r>
      <w:r w:rsidR="007E2E63">
        <w:t xml:space="preserve"> ‘secondary user’</w:t>
      </w:r>
      <w:r w:rsidR="00255943">
        <w:t xml:space="preserve"> </w:t>
      </w:r>
      <w:r w:rsidR="002F7BDD">
        <w:t>of an account with a data holder in a designated sector is a person</w:t>
      </w:r>
      <w:r w:rsidR="00492A17">
        <w:t xml:space="preserve"> over 18</w:t>
      </w:r>
      <w:r w:rsidR="00583099">
        <w:t xml:space="preserve"> </w:t>
      </w:r>
      <w:r w:rsidR="002E036A">
        <w:t xml:space="preserve">who has </w:t>
      </w:r>
      <w:r w:rsidR="00C93E49">
        <w:t>account privileges in relation to the account</w:t>
      </w:r>
      <w:r w:rsidR="006607C1">
        <w:t xml:space="preserve"> and is </w:t>
      </w:r>
      <w:r w:rsidR="00817052">
        <w:t xml:space="preserve">endorsed </w:t>
      </w:r>
      <w:r w:rsidR="00970A72">
        <w:t xml:space="preserve">by the account holder </w:t>
      </w:r>
      <w:r w:rsidR="00817052">
        <w:t xml:space="preserve">as </w:t>
      </w:r>
      <w:r w:rsidR="00970A72">
        <w:t>a secondary user</w:t>
      </w:r>
      <w:r w:rsidR="00460753">
        <w:t>.</w:t>
      </w:r>
      <w:r w:rsidR="0039016B">
        <w:t xml:space="preserve"> </w:t>
      </w:r>
      <w:r w:rsidR="00FE0908">
        <w:t>‘Account privileges’, for a sector, has the meaning set out in the Schedule relating to that sector. (See subrule 1.7(1) of the CDR Rules for both definitions).</w:t>
      </w:r>
      <w:r w:rsidR="00F45E73">
        <w:t xml:space="preserve"> </w:t>
      </w:r>
      <w:r w:rsidR="003213FF">
        <w:t xml:space="preserve">A person with </w:t>
      </w:r>
      <w:r w:rsidR="00733EBD">
        <w:t>‘</w:t>
      </w:r>
      <w:r w:rsidR="003213FF">
        <w:t>a</w:t>
      </w:r>
      <w:r w:rsidR="008977AD">
        <w:t>ccount privileges</w:t>
      </w:r>
      <w:r w:rsidR="000D2016">
        <w:t xml:space="preserve">’ </w:t>
      </w:r>
      <w:r w:rsidR="00E85213">
        <w:t xml:space="preserve">is </w:t>
      </w:r>
      <w:r w:rsidR="003215F3">
        <w:t>defined in Schedule 3</w:t>
      </w:r>
      <w:r w:rsidR="00BA34CE">
        <w:t xml:space="preserve"> </w:t>
      </w:r>
      <w:r w:rsidR="00D64172">
        <w:t xml:space="preserve">as a person able to make transactions </w:t>
      </w:r>
      <w:r w:rsidR="00EF0171">
        <w:t xml:space="preserve">on an account </w:t>
      </w:r>
      <w:r w:rsidR="00F608EB">
        <w:t>for</w:t>
      </w:r>
      <w:r w:rsidR="00EF0171">
        <w:t xml:space="preserve"> a covered product. </w:t>
      </w:r>
      <w:r w:rsidR="004F648E">
        <w:t xml:space="preserve">                                          </w:t>
      </w:r>
      <w:r w:rsidR="001474C2" w:rsidRPr="00E00E3F">
        <w:rPr>
          <w:b/>
          <w:bCs/>
          <w:i/>
          <w:iCs/>
        </w:rPr>
        <w:t>[Schedule 1, item</w:t>
      </w:r>
      <w:r w:rsidR="001474C2">
        <w:rPr>
          <w:b/>
          <w:bCs/>
          <w:i/>
          <w:iCs/>
        </w:rPr>
        <w:t xml:space="preserve"> 23</w:t>
      </w:r>
      <w:r w:rsidR="0088349F">
        <w:rPr>
          <w:b/>
          <w:bCs/>
          <w:i/>
          <w:iCs/>
        </w:rPr>
        <w:t>,</w:t>
      </w:r>
      <w:r w:rsidR="001474C2" w:rsidRPr="00E00E3F">
        <w:rPr>
          <w:b/>
          <w:bCs/>
          <w:i/>
          <w:iCs/>
        </w:rPr>
        <w:t xml:space="preserve"> </w:t>
      </w:r>
      <w:r w:rsidR="001474C2">
        <w:rPr>
          <w:b/>
          <w:bCs/>
          <w:i/>
          <w:iCs/>
        </w:rPr>
        <w:t>clause 2.2</w:t>
      </w:r>
      <w:r w:rsidR="001474C2" w:rsidRPr="00E00E3F">
        <w:rPr>
          <w:b/>
          <w:bCs/>
          <w:i/>
          <w:iCs/>
        </w:rPr>
        <w:t xml:space="preserve"> </w:t>
      </w:r>
      <w:r w:rsidR="001474C2" w:rsidRPr="00E00E3F">
        <w:rPr>
          <w:b/>
          <w:i/>
          <w:iCs/>
        </w:rPr>
        <w:t>of Schedule 3</w:t>
      </w:r>
      <w:r w:rsidR="001474C2">
        <w:rPr>
          <w:b/>
          <w:i/>
          <w:iCs/>
        </w:rPr>
        <w:t xml:space="preserve"> </w:t>
      </w:r>
      <w:r w:rsidR="001474C2">
        <w:rPr>
          <w:b/>
          <w:i/>
        </w:rPr>
        <w:t>to the CDR Rules</w:t>
      </w:r>
      <w:r w:rsidR="001474C2" w:rsidRPr="00E00E3F">
        <w:rPr>
          <w:b/>
          <w:i/>
          <w:iCs/>
        </w:rPr>
        <w:t>]</w:t>
      </w:r>
    </w:p>
    <w:p w14:paraId="3BDC4075" w14:textId="3D451C5C" w:rsidR="00270B6A" w:rsidRPr="00A84984" w:rsidRDefault="00270B6A" w:rsidP="00351E44">
      <w:pPr>
        <w:pStyle w:val="OutlineNumbered1"/>
      </w:pPr>
      <w:r>
        <w:t xml:space="preserve">If a </w:t>
      </w:r>
      <w:r w:rsidR="00C66C55">
        <w:t xml:space="preserve">data holder in the </w:t>
      </w:r>
      <w:r>
        <w:t>banking or non-bank lend</w:t>
      </w:r>
      <w:r w:rsidR="00EE0D0C">
        <w:t>ers</w:t>
      </w:r>
      <w:r>
        <w:t xml:space="preserve"> </w:t>
      </w:r>
      <w:r w:rsidR="00C66C55">
        <w:t xml:space="preserve">sector </w:t>
      </w:r>
      <w:r>
        <w:t xml:space="preserve">receives a consumer data request on behalf of an eligible CDR consumer, the data holder must provide the consumer with the consumer dashboard. </w:t>
      </w:r>
      <w:r w:rsidR="003962AD">
        <w:t xml:space="preserve">This remains consistent </w:t>
      </w:r>
      <w:r w:rsidR="003962AD">
        <w:lastRenderedPageBreak/>
        <w:t xml:space="preserve">with existing </w:t>
      </w:r>
      <w:r w:rsidR="00B40529">
        <w:t xml:space="preserve">settings </w:t>
      </w:r>
      <w:r w:rsidR="007153C4">
        <w:t xml:space="preserve">in the banking sector and is applied to the non-bank </w:t>
      </w:r>
      <w:r w:rsidR="00000CA5">
        <w:t>lenders</w:t>
      </w:r>
      <w:r w:rsidR="007153C4">
        <w:t xml:space="preserve"> sector</w:t>
      </w:r>
      <w:r w:rsidR="003962AD">
        <w:t>.</w:t>
      </w:r>
      <w:r>
        <w:t xml:space="preserve"> </w:t>
      </w:r>
      <w:r w:rsidR="004F648E">
        <w:t xml:space="preserve">                                                                                                      </w:t>
      </w:r>
      <w:r w:rsidR="001474C2" w:rsidRPr="00E00E3F">
        <w:rPr>
          <w:b/>
          <w:bCs/>
          <w:i/>
          <w:iCs/>
        </w:rPr>
        <w:t>[Schedule 1, item</w:t>
      </w:r>
      <w:r w:rsidR="001474C2">
        <w:rPr>
          <w:b/>
          <w:bCs/>
          <w:i/>
          <w:iCs/>
        </w:rPr>
        <w:t xml:space="preserve"> 23</w:t>
      </w:r>
      <w:r w:rsidR="0088349F">
        <w:rPr>
          <w:b/>
          <w:bCs/>
          <w:i/>
          <w:iCs/>
        </w:rPr>
        <w:t>,</w:t>
      </w:r>
      <w:r w:rsidR="001474C2" w:rsidRPr="00E00E3F">
        <w:rPr>
          <w:b/>
          <w:bCs/>
          <w:i/>
          <w:iCs/>
        </w:rPr>
        <w:t xml:space="preserve"> </w:t>
      </w:r>
      <w:r w:rsidR="001474C2">
        <w:rPr>
          <w:b/>
          <w:bCs/>
          <w:i/>
          <w:iCs/>
        </w:rPr>
        <w:t>clause 2.3</w:t>
      </w:r>
      <w:r w:rsidR="001474C2" w:rsidRPr="00E00E3F">
        <w:rPr>
          <w:b/>
          <w:bCs/>
          <w:i/>
          <w:iCs/>
        </w:rPr>
        <w:t xml:space="preserve"> </w:t>
      </w:r>
      <w:r w:rsidR="001474C2" w:rsidRPr="00E00E3F">
        <w:rPr>
          <w:b/>
          <w:i/>
          <w:iCs/>
        </w:rPr>
        <w:t>of Schedule 3</w:t>
      </w:r>
      <w:r w:rsidR="001474C2">
        <w:rPr>
          <w:b/>
          <w:i/>
          <w:iCs/>
        </w:rPr>
        <w:t xml:space="preserve"> </w:t>
      </w:r>
      <w:r w:rsidR="001474C2">
        <w:rPr>
          <w:b/>
          <w:i/>
        </w:rPr>
        <w:t>to the CDR Rules</w:t>
      </w:r>
      <w:r w:rsidR="001474C2" w:rsidRPr="00E00E3F">
        <w:rPr>
          <w:b/>
          <w:i/>
          <w:iCs/>
        </w:rPr>
        <w:t>]</w:t>
      </w:r>
    </w:p>
    <w:p w14:paraId="260E316F" w14:textId="29E56D87" w:rsidR="00A01CE9" w:rsidRDefault="0040148D" w:rsidP="00F72212">
      <w:pPr>
        <w:spacing w:before="240"/>
        <w:rPr>
          <w:i/>
          <w:iCs/>
        </w:rPr>
      </w:pPr>
      <w:r>
        <w:rPr>
          <w:i/>
          <w:iCs/>
        </w:rPr>
        <w:t>Banking and n</w:t>
      </w:r>
      <w:r w:rsidRPr="001B2C6D">
        <w:rPr>
          <w:i/>
          <w:iCs/>
        </w:rPr>
        <w:t>on</w:t>
      </w:r>
      <w:r w:rsidR="00A01CE9" w:rsidRPr="001B2C6D">
        <w:rPr>
          <w:i/>
          <w:iCs/>
        </w:rPr>
        <w:t>-bank lend</w:t>
      </w:r>
      <w:r w:rsidR="00D92FC7">
        <w:rPr>
          <w:i/>
          <w:iCs/>
        </w:rPr>
        <w:t>ers</w:t>
      </w:r>
      <w:r w:rsidR="00A01CE9" w:rsidRPr="001B2C6D">
        <w:rPr>
          <w:i/>
          <w:iCs/>
        </w:rPr>
        <w:t xml:space="preserve"> </w:t>
      </w:r>
      <w:r w:rsidR="00160058" w:rsidRPr="001B2C6D">
        <w:rPr>
          <w:i/>
          <w:iCs/>
        </w:rPr>
        <w:t xml:space="preserve">sector data </w:t>
      </w:r>
      <w:r w:rsidR="00DC3F3B">
        <w:rPr>
          <w:i/>
          <w:iCs/>
        </w:rPr>
        <w:t>that may</w:t>
      </w:r>
      <w:r w:rsidR="007E6BB2">
        <w:rPr>
          <w:i/>
          <w:iCs/>
        </w:rPr>
        <w:t xml:space="preserve"> </w:t>
      </w:r>
      <w:r w:rsidR="00A87C79">
        <w:rPr>
          <w:i/>
          <w:iCs/>
        </w:rPr>
        <w:t>be accessed under the CDR Rules</w:t>
      </w:r>
    </w:p>
    <w:p w14:paraId="7A186170" w14:textId="20C8ED20" w:rsidR="005C790B" w:rsidRDefault="00A87C79" w:rsidP="00351E44">
      <w:pPr>
        <w:pStyle w:val="OutlineNumbered1"/>
      </w:pPr>
      <w:r>
        <w:t xml:space="preserve">The </w:t>
      </w:r>
      <w:r w:rsidR="000A6865">
        <w:t>Amending Rules</w:t>
      </w:r>
      <w:r w:rsidR="005812BB">
        <w:t xml:space="preserve"> </w:t>
      </w:r>
      <w:r w:rsidR="009E7FE5">
        <w:t>repeal and substitute Part 3 of Schedule 3</w:t>
      </w:r>
      <w:r w:rsidR="00407A4B">
        <w:t xml:space="preserve"> to the CDR Rules</w:t>
      </w:r>
      <w:r w:rsidR="00C07A6E">
        <w:t xml:space="preserve">. </w:t>
      </w:r>
      <w:r w:rsidR="00203639">
        <w:t>Th</w:t>
      </w:r>
      <w:r w:rsidR="0099396E">
        <w:t>is</w:t>
      </w:r>
      <w:r w:rsidR="00203639">
        <w:t xml:space="preserve"> Part deals</w:t>
      </w:r>
      <w:r w:rsidR="009E7FE5">
        <w:t xml:space="preserve"> with </w:t>
      </w:r>
      <w:r w:rsidR="00C07A6E">
        <w:t xml:space="preserve">CDR data that may be accessed under the CDR Rules. </w:t>
      </w:r>
    </w:p>
    <w:p w14:paraId="47B48EAD" w14:textId="77777777" w:rsidR="009C10BA" w:rsidRDefault="002476A5" w:rsidP="00D02770">
      <w:pPr>
        <w:pStyle w:val="OutlineNumbered1"/>
      </w:pPr>
      <w:r>
        <w:t xml:space="preserve">The Amending Rules reproduce </w:t>
      </w:r>
      <w:r w:rsidR="00416BFF">
        <w:t>what is required product data for the banking sector</w:t>
      </w:r>
      <w:r w:rsidR="002536CB">
        <w:t>, with some modification</w:t>
      </w:r>
      <w:r w:rsidR="003B6523">
        <w:t xml:space="preserve"> and simplification</w:t>
      </w:r>
      <w:r w:rsidR="002536CB">
        <w:t>,</w:t>
      </w:r>
      <w:r>
        <w:t xml:space="preserve"> </w:t>
      </w:r>
      <w:r w:rsidR="00416BFF">
        <w:t>and</w:t>
      </w:r>
      <w:r w:rsidR="00496630">
        <w:t xml:space="preserve"> apply it to both the banking</w:t>
      </w:r>
      <w:r w:rsidR="00416BFF">
        <w:t xml:space="preserve"> and non</w:t>
      </w:r>
      <w:r w:rsidR="00FB1A1D">
        <w:noBreakHyphen/>
      </w:r>
      <w:r w:rsidR="00416BFF">
        <w:t>bank lend</w:t>
      </w:r>
      <w:r w:rsidR="00B6087B">
        <w:t>er</w:t>
      </w:r>
      <w:r w:rsidR="00A6373F">
        <w:t>s</w:t>
      </w:r>
      <w:r w:rsidR="00416BFF">
        <w:t xml:space="preserve"> </w:t>
      </w:r>
      <w:r w:rsidR="001E39D5">
        <w:t>sectors</w:t>
      </w:r>
      <w:r w:rsidR="002536CB">
        <w:t>.</w:t>
      </w:r>
      <w:r w:rsidR="00496630">
        <w:t xml:space="preserve"> </w:t>
      </w:r>
      <w:r w:rsidR="00EF0F06">
        <w:t xml:space="preserve">Required product data for both sectors </w:t>
      </w:r>
      <w:proofErr w:type="gramStart"/>
      <w:r w:rsidR="00EF0F06">
        <w:t>is</w:t>
      </w:r>
      <w:proofErr w:type="gramEnd"/>
      <w:r w:rsidR="00EF0F06">
        <w:t xml:space="preserve"> </w:t>
      </w:r>
      <w:r w:rsidR="004462BE">
        <w:t xml:space="preserve">data </w:t>
      </w:r>
      <w:r w:rsidR="00196F4E">
        <w:t>in</w:t>
      </w:r>
      <w:r w:rsidR="004462BE">
        <w:t xml:space="preserve"> </w:t>
      </w:r>
      <w:r w:rsidR="00C52C23">
        <w:t xml:space="preserve">the respective sector that is </w:t>
      </w:r>
      <w:r w:rsidR="000B1E22">
        <w:t>product s</w:t>
      </w:r>
      <w:r w:rsidR="00382D0F">
        <w:t xml:space="preserve">pecific </w:t>
      </w:r>
      <w:r w:rsidR="00507A1E">
        <w:t>data about a covered product</w:t>
      </w:r>
      <w:r w:rsidR="007A75F0">
        <w:t xml:space="preserve"> and is</w:t>
      </w:r>
      <w:r w:rsidR="00507A1E">
        <w:t xml:space="preserve"> held by the data holder in a digital form</w:t>
      </w:r>
      <w:r w:rsidR="007A75F0">
        <w:t>.</w:t>
      </w:r>
      <w:r w:rsidR="00507A1E">
        <w:t xml:space="preserve"> </w:t>
      </w:r>
    </w:p>
    <w:p w14:paraId="516697D7" w14:textId="666C787F" w:rsidR="00D049EA" w:rsidRDefault="00A834AA" w:rsidP="00D02770">
      <w:pPr>
        <w:pStyle w:val="OutlineNumbered1"/>
      </w:pPr>
      <w:r>
        <w:t xml:space="preserve">To reduce compliance costs for data holders, the Amending Rules exclude certain </w:t>
      </w:r>
      <w:r w:rsidR="00DA6BB9">
        <w:t>data that relates to</w:t>
      </w:r>
      <w:r>
        <w:t xml:space="preserve"> covered products from being required product data. These products are</w:t>
      </w:r>
      <w:r w:rsidR="00407A4B">
        <w:t xml:space="preserve"> foreign currency accounts, consumer leases, reverse mortgages, margin loans, and asset finance that is non-standard vehicle finance. Non-standard vehicle finance is intended to include products such as novated leases and fleet finance</w:t>
      </w:r>
      <w:r w:rsidR="009C10BA">
        <w:t>. For completeness, data about standard vehicle finance</w:t>
      </w:r>
      <w:r w:rsidR="00A70CE5">
        <w:t xml:space="preserve"> products</w:t>
      </w:r>
      <w:r w:rsidR="009C10BA">
        <w:t xml:space="preserve"> will continue to be required data.</w:t>
      </w:r>
    </w:p>
    <w:p w14:paraId="395E233D" w14:textId="77777777" w:rsidR="00DB5934" w:rsidRDefault="00A834AA" w:rsidP="00DB5934">
      <w:pPr>
        <w:pStyle w:val="OutlineNumbered1"/>
        <w:spacing w:after="0"/>
      </w:pPr>
      <w:r>
        <w:t>CDR data on these products may still be shared voluntarily.</w:t>
      </w:r>
      <w:r w:rsidR="00345DEE">
        <w:t xml:space="preserve"> </w:t>
      </w:r>
    </w:p>
    <w:p w14:paraId="0377CFCB" w14:textId="5A24304F" w:rsidR="00FB0B33" w:rsidRDefault="005C790B" w:rsidP="00DB5934">
      <w:pPr>
        <w:pStyle w:val="OutlineNumbered1"/>
        <w:numPr>
          <w:ilvl w:val="0"/>
          <w:numId w:val="0"/>
        </w:numPr>
        <w:spacing w:before="0"/>
        <w:ind w:left="567"/>
      </w:pPr>
      <w:r w:rsidRPr="00E00E3F">
        <w:rPr>
          <w:b/>
          <w:bCs/>
          <w:i/>
          <w:iCs/>
        </w:rPr>
        <w:t>[Schedule 1, item</w:t>
      </w:r>
      <w:r>
        <w:rPr>
          <w:b/>
          <w:bCs/>
          <w:i/>
          <w:iCs/>
        </w:rPr>
        <w:t xml:space="preserve"> 23</w:t>
      </w:r>
      <w:r w:rsidR="00C71126">
        <w:rPr>
          <w:b/>
          <w:bCs/>
          <w:i/>
          <w:iCs/>
        </w:rPr>
        <w:t>,</w:t>
      </w:r>
      <w:r w:rsidRPr="00E00E3F">
        <w:rPr>
          <w:b/>
          <w:bCs/>
          <w:i/>
          <w:iCs/>
        </w:rPr>
        <w:t xml:space="preserve"> </w:t>
      </w:r>
      <w:r>
        <w:rPr>
          <w:b/>
          <w:bCs/>
          <w:i/>
          <w:iCs/>
        </w:rPr>
        <w:t>clause 3.</w:t>
      </w:r>
      <w:r w:rsidR="00F64039">
        <w:rPr>
          <w:b/>
          <w:bCs/>
          <w:i/>
          <w:iCs/>
        </w:rPr>
        <w:t>1</w:t>
      </w:r>
      <w:r w:rsidRPr="00E00E3F">
        <w:rPr>
          <w:b/>
          <w:bCs/>
          <w:i/>
          <w:iCs/>
        </w:rPr>
        <w:t xml:space="preserve"> </w:t>
      </w:r>
      <w:r w:rsidRPr="00E00E3F">
        <w:rPr>
          <w:b/>
          <w:i/>
          <w:iCs/>
        </w:rPr>
        <w:t>of Schedule 3</w:t>
      </w:r>
      <w:r>
        <w:rPr>
          <w:b/>
          <w:i/>
          <w:iCs/>
        </w:rPr>
        <w:t xml:space="preserve"> </w:t>
      </w:r>
      <w:r>
        <w:rPr>
          <w:b/>
          <w:i/>
        </w:rPr>
        <w:t>to the CDR Rules</w:t>
      </w:r>
      <w:r w:rsidRPr="00E00E3F">
        <w:rPr>
          <w:b/>
          <w:i/>
          <w:iCs/>
        </w:rPr>
        <w:t>]</w:t>
      </w:r>
    </w:p>
    <w:p w14:paraId="28C07791" w14:textId="0C1A24EF" w:rsidR="00C554BA" w:rsidRDefault="00A1103A" w:rsidP="00351E44">
      <w:pPr>
        <w:pStyle w:val="OutlineNumbered1"/>
      </w:pPr>
      <w:r>
        <w:t>The Amending Rules introduce the concept of a ‘relevant account’</w:t>
      </w:r>
      <w:r w:rsidR="00432FD2">
        <w:t xml:space="preserve"> that is applicable to Schedule 3 </w:t>
      </w:r>
      <w:r w:rsidR="00407A4B">
        <w:t>to</w:t>
      </w:r>
      <w:r w:rsidR="00432FD2">
        <w:t xml:space="preserve"> the CDR Rules. </w:t>
      </w:r>
      <w:r w:rsidR="00E00B95">
        <w:t xml:space="preserve">This </w:t>
      </w:r>
      <w:r w:rsidR="00AF4167">
        <w:t>amendment achieves</w:t>
      </w:r>
      <w:r w:rsidR="0068431F">
        <w:t xml:space="preserve"> </w:t>
      </w:r>
      <w:r w:rsidR="00403F5F">
        <w:t>consisten</w:t>
      </w:r>
      <w:r w:rsidR="00AF4167">
        <w:t>cy</w:t>
      </w:r>
      <w:r w:rsidR="00403F5F">
        <w:t xml:space="preserve"> with</w:t>
      </w:r>
      <w:r w:rsidR="00DD6CD3">
        <w:t xml:space="preserve"> Schedule</w:t>
      </w:r>
      <w:r w:rsidR="00C307AA">
        <w:t> </w:t>
      </w:r>
      <w:r w:rsidR="00DD6CD3">
        <w:t xml:space="preserve">4 to the CDR Rules and </w:t>
      </w:r>
      <w:r w:rsidR="00AF4167">
        <w:t xml:space="preserve">is not intended </w:t>
      </w:r>
      <w:r w:rsidR="002A025D">
        <w:t>t</w:t>
      </w:r>
      <w:r w:rsidR="00AF4167">
        <w:t>o</w:t>
      </w:r>
      <w:r w:rsidR="002A025D">
        <w:t xml:space="preserve"> affect the practical operation of how consumer data will continue to be shared in the banking sector.</w:t>
      </w:r>
      <w:r w:rsidR="00E00B95">
        <w:t xml:space="preserve"> </w:t>
      </w:r>
      <w:r w:rsidR="00432FD2">
        <w:t xml:space="preserve">A relevant account in relation to a CDR consumer means </w:t>
      </w:r>
      <w:r w:rsidR="00A04099">
        <w:t xml:space="preserve">is an account that is held with a </w:t>
      </w:r>
      <w:r w:rsidR="00EE01F9">
        <w:t>data holder of banking or no</w:t>
      </w:r>
      <w:r w:rsidR="00F64105">
        <w:t xml:space="preserve">n-bank lending </w:t>
      </w:r>
      <w:r w:rsidR="00BB236E">
        <w:t xml:space="preserve">sector </w:t>
      </w:r>
      <w:r w:rsidR="00F64105">
        <w:t xml:space="preserve">data </w:t>
      </w:r>
      <w:r w:rsidR="00C554BA">
        <w:t>that:</w:t>
      </w:r>
    </w:p>
    <w:p w14:paraId="45053813" w14:textId="75F5BCC0" w:rsidR="00D42B1A" w:rsidRDefault="00C554BA" w:rsidP="00C554BA">
      <w:pPr>
        <w:pStyle w:val="Bullet"/>
      </w:pPr>
      <w:r>
        <w:t>is</w:t>
      </w:r>
      <w:r w:rsidR="00F64105">
        <w:t xml:space="preserve"> </w:t>
      </w:r>
      <w:r w:rsidR="008D0CDE">
        <w:t xml:space="preserve">in </w:t>
      </w:r>
      <w:r w:rsidR="00F64105">
        <w:t xml:space="preserve">the name of </w:t>
      </w:r>
      <w:r w:rsidR="001D7F47">
        <w:t>the</w:t>
      </w:r>
      <w:r w:rsidR="00F64105">
        <w:t xml:space="preserve"> CD</w:t>
      </w:r>
      <w:r>
        <w:t>R</w:t>
      </w:r>
      <w:r w:rsidR="00F64105">
        <w:t xml:space="preserve"> consumer</w:t>
      </w:r>
      <w:r w:rsidR="001D7F47">
        <w:t xml:space="preserve"> alone</w:t>
      </w:r>
      <w:r>
        <w:t>; or</w:t>
      </w:r>
    </w:p>
    <w:p w14:paraId="77BB9C8B" w14:textId="49C604E0" w:rsidR="00C554BA" w:rsidRDefault="00C554BA" w:rsidP="00C554BA">
      <w:pPr>
        <w:pStyle w:val="Bullet"/>
      </w:pPr>
      <w:r>
        <w:t>is a joint account of which the CDR consumer is one of the account holders;</w:t>
      </w:r>
      <w:r w:rsidR="00245EA5">
        <w:t xml:space="preserve"> or</w:t>
      </w:r>
    </w:p>
    <w:p w14:paraId="489EDAC8" w14:textId="646D9EF8" w:rsidR="00C554BA" w:rsidRDefault="00C554BA" w:rsidP="00C554BA">
      <w:pPr>
        <w:pStyle w:val="Bullet"/>
      </w:pPr>
      <w:r>
        <w:t>is a partnership account for a partnership in which the CD</w:t>
      </w:r>
      <w:r w:rsidR="00245EA5">
        <w:t>R</w:t>
      </w:r>
      <w:r>
        <w:t xml:space="preserve"> consumer is a partner</w:t>
      </w:r>
      <w:r w:rsidR="00245EA5">
        <w:t>;</w:t>
      </w:r>
      <w:r>
        <w:t xml:space="preserve"> or</w:t>
      </w:r>
    </w:p>
    <w:p w14:paraId="17F5901F" w14:textId="7778BEA0" w:rsidR="00C554BA" w:rsidRDefault="00C554BA" w:rsidP="00C554BA">
      <w:pPr>
        <w:pStyle w:val="Bullet"/>
      </w:pPr>
      <w:r>
        <w:t xml:space="preserve">is an account </w:t>
      </w:r>
      <w:r w:rsidR="003C0D0C">
        <w:t xml:space="preserve">for which the </w:t>
      </w:r>
      <w:r w:rsidR="009A54F1">
        <w:t>CDR consumer is a secondary user</w:t>
      </w:r>
      <w:r w:rsidR="002F339E">
        <w:t>.</w:t>
      </w:r>
    </w:p>
    <w:p w14:paraId="73A47B0F" w14:textId="452C2111" w:rsidR="00E00B95" w:rsidRPr="00C122AE" w:rsidRDefault="00E00B95" w:rsidP="00613808">
      <w:pPr>
        <w:pStyle w:val="Bullet"/>
        <w:numPr>
          <w:ilvl w:val="0"/>
          <w:numId w:val="0"/>
        </w:numPr>
        <w:ind w:left="567"/>
        <w:rPr>
          <w:b/>
          <w:i/>
        </w:rPr>
      </w:pPr>
      <w:r w:rsidRPr="00C122AE">
        <w:rPr>
          <w:b/>
          <w:i/>
        </w:rPr>
        <w:t>[Schedule 1, item 23</w:t>
      </w:r>
      <w:r w:rsidR="006032A1">
        <w:rPr>
          <w:b/>
          <w:i/>
        </w:rPr>
        <w:t>,</w:t>
      </w:r>
      <w:r w:rsidRPr="00C122AE">
        <w:rPr>
          <w:b/>
          <w:i/>
        </w:rPr>
        <w:t xml:space="preserve"> subclause 3.2(1) of Schedule 3 to the CDR Rules]</w:t>
      </w:r>
    </w:p>
    <w:p w14:paraId="4BD26240" w14:textId="74C43477" w:rsidR="000C05CA" w:rsidRPr="00351E44" w:rsidRDefault="00E00B95" w:rsidP="00351E44">
      <w:pPr>
        <w:pStyle w:val="OutlineNumbered1"/>
      </w:pPr>
      <w:r>
        <w:t>The Amending Rules</w:t>
      </w:r>
      <w:r w:rsidRPr="00E00B95">
        <w:t xml:space="preserve"> </w:t>
      </w:r>
      <w:r>
        <w:t xml:space="preserve">also reproduce what is </w:t>
      </w:r>
      <w:r w:rsidR="002A493E">
        <w:t>‘</w:t>
      </w:r>
      <w:r>
        <w:t>required consumer data</w:t>
      </w:r>
      <w:r w:rsidR="002A493E">
        <w:t>’</w:t>
      </w:r>
      <w:r>
        <w:t xml:space="preserve"> for the banking sector, with some modification and simplification, and apply it to both the banking and non-bank </w:t>
      </w:r>
      <w:r w:rsidR="00B03A00">
        <w:t>lenders</w:t>
      </w:r>
      <w:r>
        <w:t xml:space="preserve"> sectors</w:t>
      </w:r>
      <w:r w:rsidR="00F73AB5">
        <w:t>.</w:t>
      </w:r>
      <w:r w:rsidR="000C05CA">
        <w:t xml:space="preserve"> </w:t>
      </w:r>
      <w:r w:rsidR="001034C4">
        <w:t>Required consumer data is</w:t>
      </w:r>
      <w:r w:rsidR="000C05CA">
        <w:t xml:space="preserve"> </w:t>
      </w:r>
      <w:r w:rsidR="006671A0">
        <w:t xml:space="preserve">banking </w:t>
      </w:r>
      <w:r w:rsidR="00BB2451">
        <w:t xml:space="preserve">or non-bank </w:t>
      </w:r>
      <w:r w:rsidR="00000CA5">
        <w:t>lenders</w:t>
      </w:r>
      <w:r w:rsidR="00BB2451">
        <w:t xml:space="preserve"> sector </w:t>
      </w:r>
      <w:r w:rsidR="0010065E">
        <w:t xml:space="preserve">CDR data </w:t>
      </w:r>
      <w:r w:rsidR="00BB2451">
        <w:t xml:space="preserve">that </w:t>
      </w:r>
      <w:r w:rsidR="00E36B2A">
        <w:t xml:space="preserve">relates to </w:t>
      </w:r>
      <w:r w:rsidR="001F123A">
        <w:t>a CDR consumer’s relevant account</w:t>
      </w:r>
      <w:r w:rsidR="00A93170">
        <w:t xml:space="preserve"> </w:t>
      </w:r>
      <w:r w:rsidR="000C1CD7">
        <w:t>and is held by the data holder in digital form.</w:t>
      </w:r>
      <w:r w:rsidR="00A93170">
        <w:t xml:space="preserve"> </w:t>
      </w:r>
    </w:p>
    <w:p w14:paraId="3A628060" w14:textId="5F22BB1A" w:rsidR="00BA6315" w:rsidRDefault="00D47B2E" w:rsidP="00DB5934">
      <w:pPr>
        <w:pStyle w:val="OutlineNumbered1"/>
        <w:spacing w:after="0"/>
      </w:pPr>
      <w:r>
        <w:lastRenderedPageBreak/>
        <w:t>To reduce compliance costs</w:t>
      </w:r>
      <w:r w:rsidR="00FE4F2B">
        <w:t xml:space="preserve"> </w:t>
      </w:r>
      <w:r w:rsidR="008905CF">
        <w:t>for</w:t>
      </w:r>
      <w:r w:rsidR="00FE4F2B">
        <w:t xml:space="preserve"> </w:t>
      </w:r>
      <w:r>
        <w:t xml:space="preserve">data holders, </w:t>
      </w:r>
      <w:r w:rsidR="00C568B8">
        <w:t xml:space="preserve">as </w:t>
      </w:r>
      <w:r w:rsidR="00595621">
        <w:t>for required product data,</w:t>
      </w:r>
      <w:r w:rsidR="00C568B8">
        <w:t xml:space="preserve"> </w:t>
      </w:r>
      <w:r>
        <w:t xml:space="preserve">the Amending Rules exclude certain data from being required </w:t>
      </w:r>
      <w:r w:rsidR="00107A1E">
        <w:t xml:space="preserve">consumer </w:t>
      </w:r>
      <w:r w:rsidR="000C05CA">
        <w:t>data</w:t>
      </w:r>
      <w:r w:rsidR="00EA5599">
        <w:t xml:space="preserve"> (although data </w:t>
      </w:r>
      <w:r w:rsidR="00C56CF1">
        <w:t xml:space="preserve">about these </w:t>
      </w:r>
      <w:r w:rsidR="00CE39E6">
        <w:t>excluded products may still be shared voluntarily)</w:t>
      </w:r>
      <w:r w:rsidR="000C05CA">
        <w:t>.</w:t>
      </w:r>
      <w:r w:rsidR="00085FE8">
        <w:t xml:space="preserve"> These products are</w:t>
      </w:r>
      <w:r w:rsidR="009C10BA">
        <w:t xml:space="preserve"> the same as those listed above in relation to required product data. As above, </w:t>
      </w:r>
      <w:r w:rsidR="00D02DDC">
        <w:t xml:space="preserve">CDR data on these products may still be shared voluntarily. </w:t>
      </w:r>
    </w:p>
    <w:p w14:paraId="2DA11E66" w14:textId="2A7DE262" w:rsidR="00D42B1A" w:rsidRDefault="00F73AB5" w:rsidP="00DB5934">
      <w:pPr>
        <w:pStyle w:val="OutlineNumbered1"/>
        <w:numPr>
          <w:ilvl w:val="0"/>
          <w:numId w:val="0"/>
        </w:numPr>
        <w:spacing w:before="0"/>
        <w:ind w:left="567"/>
      </w:pPr>
      <w:r w:rsidRPr="00FF1CD1">
        <w:rPr>
          <w:b/>
          <w:i/>
        </w:rPr>
        <w:t>[Schedule 1, item 23</w:t>
      </w:r>
      <w:r w:rsidR="000F73D8" w:rsidRPr="00FF1CD1">
        <w:rPr>
          <w:b/>
          <w:i/>
        </w:rPr>
        <w:t>,</w:t>
      </w:r>
      <w:r w:rsidRPr="00FF1CD1">
        <w:rPr>
          <w:b/>
          <w:i/>
        </w:rPr>
        <w:t xml:space="preserve"> subclauses 3.2(2) and (3) of Schedule 3 to the CDR Rules]</w:t>
      </w:r>
    </w:p>
    <w:p w14:paraId="699B5BFE" w14:textId="7BB8DA2F" w:rsidR="00225E2B" w:rsidRDefault="00225E2B" w:rsidP="00351E44">
      <w:pPr>
        <w:pStyle w:val="OutlineNumbered1"/>
      </w:pPr>
      <w:r>
        <w:t xml:space="preserve">The </w:t>
      </w:r>
      <w:r w:rsidR="00723D1B">
        <w:t>Amending Rules</w:t>
      </w:r>
      <w:r w:rsidR="00E53BE7">
        <w:t xml:space="preserve"> </w:t>
      </w:r>
      <w:r w:rsidR="00EB61A2">
        <w:t xml:space="preserve">largely </w:t>
      </w:r>
      <w:r w:rsidR="00C328FB">
        <w:t xml:space="preserve">preserve the existing circumstances </w:t>
      </w:r>
      <w:r w:rsidR="000D0B07">
        <w:t xml:space="preserve">in which data is not required consumer data but could be voluntary consumer </w:t>
      </w:r>
      <w:proofErr w:type="gramStart"/>
      <w:r w:rsidR="000D0B07">
        <w:t>data</w:t>
      </w:r>
      <w:r w:rsidR="00396FE9">
        <w:t>,</w:t>
      </w:r>
      <w:r w:rsidR="00C328FB">
        <w:t xml:space="preserve"> </w:t>
      </w:r>
      <w:r w:rsidR="00E271F6">
        <w:t>and</w:t>
      </w:r>
      <w:proofErr w:type="gramEnd"/>
      <w:r w:rsidR="00E271F6">
        <w:t xml:space="preserve"> apply</w:t>
      </w:r>
      <w:r w:rsidR="001C3AA7">
        <w:t xml:space="preserve"> these exclusions </w:t>
      </w:r>
      <w:r w:rsidR="00E271F6">
        <w:t xml:space="preserve">to the </w:t>
      </w:r>
      <w:r w:rsidR="001E14C4">
        <w:t>non-ban</w:t>
      </w:r>
      <w:r w:rsidR="000F0086">
        <w:t>k lend</w:t>
      </w:r>
      <w:r w:rsidR="00263411">
        <w:t>ers</w:t>
      </w:r>
      <w:r w:rsidR="000F0086">
        <w:t xml:space="preserve"> sector</w:t>
      </w:r>
      <w:r w:rsidR="000D0B07">
        <w:t>. Th</w:t>
      </w:r>
      <w:r w:rsidR="001E14C4">
        <w:t>e</w:t>
      </w:r>
      <w:r w:rsidR="000D0B07">
        <w:t>s</w:t>
      </w:r>
      <w:r w:rsidR="001E14C4">
        <w:t>e</w:t>
      </w:r>
      <w:r w:rsidR="000D0B07">
        <w:t xml:space="preserve"> </w:t>
      </w:r>
      <w:r w:rsidR="007A628B">
        <w:t>exclusion</w:t>
      </w:r>
      <w:r w:rsidR="001E14C4">
        <w:t>s</w:t>
      </w:r>
      <w:r w:rsidR="007A628B">
        <w:t xml:space="preserve"> cover</w:t>
      </w:r>
      <w:r w:rsidR="001E14C4">
        <w:t xml:space="preserve"> </w:t>
      </w:r>
      <w:r w:rsidR="00E02C03">
        <w:t>the following</w:t>
      </w:r>
      <w:r w:rsidR="007A628B">
        <w:t>:</w:t>
      </w:r>
    </w:p>
    <w:p w14:paraId="243E24DF" w14:textId="1D2FBB16" w:rsidR="006E7E56" w:rsidRDefault="006D6CDE" w:rsidP="007A628B">
      <w:pPr>
        <w:pStyle w:val="Bullet"/>
      </w:pPr>
      <w:r>
        <w:t>historical data relating to transactions</w:t>
      </w:r>
      <w:r w:rsidR="00D84AB3">
        <w:t xml:space="preserve"> occurring</w:t>
      </w:r>
      <w:r w:rsidR="00A97A63">
        <w:t xml:space="preserve"> more than </w:t>
      </w:r>
      <w:r w:rsidR="0091063F">
        <w:t>2</w:t>
      </w:r>
      <w:r w:rsidR="00DD55BD">
        <w:t xml:space="preserve"> years before </w:t>
      </w:r>
      <w:r w:rsidR="004466B3">
        <w:t>the time a data request is made</w:t>
      </w:r>
      <w:r w:rsidR="00694A33">
        <w:t>, where the relevant account is an open account</w:t>
      </w:r>
      <w:r w:rsidR="001949F4">
        <w:t xml:space="preserve"> (down from the previous 7-year </w:t>
      </w:r>
      <w:r w:rsidR="000132E1">
        <w:t>rule</w:t>
      </w:r>
      <w:proofErr w:type="gramStart"/>
      <w:r w:rsidR="00AA6CA3">
        <w:t>)</w:t>
      </w:r>
      <w:r w:rsidR="006E7E56">
        <w:t>;</w:t>
      </w:r>
      <w:proofErr w:type="gramEnd"/>
    </w:p>
    <w:p w14:paraId="7083B5A2" w14:textId="6D859862" w:rsidR="007A628B" w:rsidRDefault="00090D8C" w:rsidP="007A628B">
      <w:pPr>
        <w:pStyle w:val="Bullet"/>
      </w:pPr>
      <w:r w:rsidRPr="00624FE8">
        <w:t xml:space="preserve">direct debit deductions </w:t>
      </w:r>
      <w:r w:rsidR="00845D21">
        <w:t>that occurred</w:t>
      </w:r>
      <w:r w:rsidR="00845D21" w:rsidRPr="00624FE8">
        <w:t xml:space="preserve"> </w:t>
      </w:r>
      <w:r w:rsidRPr="00624FE8">
        <w:t>more than 13</w:t>
      </w:r>
      <w:r w:rsidR="00BB641A" w:rsidRPr="00624FE8">
        <w:t> </w:t>
      </w:r>
      <w:r w:rsidRPr="00624FE8">
        <w:t xml:space="preserve">months before the </w:t>
      </w:r>
      <w:r w:rsidR="003D73AD" w:rsidRPr="00624FE8">
        <w:t>time a data request is made</w:t>
      </w:r>
      <w:r w:rsidR="00694A33">
        <w:t>,</w:t>
      </w:r>
      <w:r w:rsidR="003D73AD" w:rsidRPr="00624FE8">
        <w:t xml:space="preserve"> where th</w:t>
      </w:r>
      <w:r w:rsidR="00A11231" w:rsidRPr="00624FE8">
        <w:t xml:space="preserve">e relevant account is </w:t>
      </w:r>
      <w:r w:rsidR="006453E5" w:rsidRPr="00624FE8">
        <w:t>an open account</w:t>
      </w:r>
      <w:r w:rsidR="00E02C03" w:rsidRPr="00624FE8">
        <w:t>;</w:t>
      </w:r>
      <w:r w:rsidR="00BC7F4E">
        <w:t xml:space="preserve"> and</w:t>
      </w:r>
    </w:p>
    <w:p w14:paraId="021631E8" w14:textId="3461706F" w:rsidR="009B1189" w:rsidRDefault="005531EA" w:rsidP="0006235E">
      <w:pPr>
        <w:pStyle w:val="Bullet"/>
      </w:pPr>
      <w:r>
        <w:t>data that relates to a relevant account that is a closed account.</w:t>
      </w:r>
    </w:p>
    <w:p w14:paraId="1D886E26" w14:textId="77777777" w:rsidR="0048797E" w:rsidRPr="0048797E" w:rsidRDefault="0048797E" w:rsidP="0048797E">
      <w:pPr>
        <w:pStyle w:val="OutlineNumbered1"/>
        <w:numPr>
          <w:ilvl w:val="0"/>
          <w:numId w:val="0"/>
        </w:numPr>
        <w:ind w:left="567"/>
        <w:rPr>
          <w:b/>
          <w:i/>
        </w:rPr>
      </w:pPr>
      <w:r w:rsidRPr="0048797E">
        <w:rPr>
          <w:b/>
          <w:i/>
        </w:rPr>
        <w:t>[Schedule 1, item 23, subclauses 3.2(4), (6) and (7) of Schedule 3 to the CDR Rules]</w:t>
      </w:r>
    </w:p>
    <w:p w14:paraId="55325C8F" w14:textId="3E3E9BDE" w:rsidR="000C0227" w:rsidRDefault="000C0227" w:rsidP="00351E44">
      <w:pPr>
        <w:pStyle w:val="OutlineNumbered1"/>
      </w:pPr>
      <w:r>
        <w:t xml:space="preserve">The rationale for </w:t>
      </w:r>
      <w:r w:rsidR="00433693">
        <w:t>excluding</w:t>
      </w:r>
      <w:r>
        <w:t xml:space="preserve"> data relating to transactions older than 2 years for open accounts, </w:t>
      </w:r>
      <w:r w:rsidR="00433693">
        <w:t>and all data relating to closed accounts</w:t>
      </w:r>
      <w:r>
        <w:t xml:space="preserve">, </w:t>
      </w:r>
      <w:r w:rsidR="00433693">
        <w:t xml:space="preserve">from data that can be required to be disclosed, </w:t>
      </w:r>
      <w:r>
        <w:t>is to:</w:t>
      </w:r>
    </w:p>
    <w:p w14:paraId="6BDC56DB" w14:textId="3AE73786" w:rsidR="006A2324" w:rsidRDefault="006A2324" w:rsidP="006A2324">
      <w:pPr>
        <w:pStyle w:val="Bullet"/>
      </w:pPr>
      <w:r>
        <w:t xml:space="preserve">avoid significant build costs to non-bank lending data </w:t>
      </w:r>
      <w:proofErr w:type="gramStart"/>
      <w:r>
        <w:t>holders;</w:t>
      </w:r>
      <w:proofErr w:type="gramEnd"/>
    </w:p>
    <w:p w14:paraId="74668EBA" w14:textId="7FD34A3F" w:rsidR="006A2324" w:rsidRDefault="006A2324" w:rsidP="006A2324">
      <w:pPr>
        <w:pStyle w:val="Bullet"/>
      </w:pPr>
      <w:r>
        <w:t xml:space="preserve">recognise that smaller data holders may incur disproportionate costs from </w:t>
      </w:r>
      <w:r w:rsidR="005F0F4B">
        <w:t>being required to make</w:t>
      </w:r>
      <w:r>
        <w:t xml:space="preserve"> </w:t>
      </w:r>
      <w:r w:rsidR="00433693">
        <w:t xml:space="preserve">historic or closed account </w:t>
      </w:r>
      <w:r>
        <w:t>data available;</w:t>
      </w:r>
      <w:r w:rsidRPr="006A2324">
        <w:t xml:space="preserve"> </w:t>
      </w:r>
      <w:r>
        <w:t>and</w:t>
      </w:r>
    </w:p>
    <w:p w14:paraId="0815BC69" w14:textId="72D21397" w:rsidR="000C0227" w:rsidRDefault="000C0227" w:rsidP="000C0227">
      <w:pPr>
        <w:pStyle w:val="Bullet"/>
      </w:pPr>
      <w:r>
        <w:t xml:space="preserve">relieve data holders of costs </w:t>
      </w:r>
      <w:r w:rsidR="005F0F4B">
        <w:t xml:space="preserve">involved in </w:t>
      </w:r>
      <w:r>
        <w:t xml:space="preserve">retaining and maintaining readiness to respond to data requests </w:t>
      </w:r>
      <w:r w:rsidR="005F0F4B">
        <w:t>for</w:t>
      </w:r>
      <w:r>
        <w:t xml:space="preserve"> data unlikely to be valuable for priority use cases</w:t>
      </w:r>
      <w:r w:rsidR="006A2324">
        <w:t>.</w:t>
      </w:r>
    </w:p>
    <w:p w14:paraId="15C61729" w14:textId="04D9902D" w:rsidR="00023C62" w:rsidRDefault="00023C62" w:rsidP="00023C62">
      <w:pPr>
        <w:pStyle w:val="OutlineNumbered1"/>
      </w:pPr>
      <w:r>
        <w:t xml:space="preserve">The Amending Rules do not have a retrospective impact </w:t>
      </w:r>
      <w:r w:rsidR="00024C53">
        <w:t>on</w:t>
      </w:r>
      <w:r>
        <w:t xml:space="preserve"> a consent that a consumer has given in the past prior to the Amending Rules taking effect, which includes information shared under a consent related to a closed account prior to the Amending Rules taking effect. The Amending Rules will only impact consents given after the time of the Amending Rules taking effect.</w:t>
      </w:r>
    </w:p>
    <w:p w14:paraId="7CB98B08" w14:textId="22BCF8F8" w:rsidR="0044368F" w:rsidRDefault="0044368F" w:rsidP="00D02770">
      <w:pPr>
        <w:pStyle w:val="OutlineNumbered1"/>
      </w:pPr>
      <w:r>
        <w:t xml:space="preserve">The Government </w:t>
      </w:r>
      <w:r w:rsidR="60ADD8A4">
        <w:t>can</w:t>
      </w:r>
      <w:r w:rsidDel="0044368F">
        <w:t xml:space="preserve"> </w:t>
      </w:r>
      <w:r>
        <w:t>reassess the value proposition of closed account data</w:t>
      </w:r>
      <w:r w:rsidR="001C57E4">
        <w:t xml:space="preserve"> </w:t>
      </w:r>
      <w:r>
        <w:t xml:space="preserve">if </w:t>
      </w:r>
      <w:r w:rsidR="00AE24D2">
        <w:t xml:space="preserve">valuable </w:t>
      </w:r>
      <w:r>
        <w:t xml:space="preserve">use cases </w:t>
      </w:r>
      <w:r w:rsidR="001C57E4">
        <w:t>are identified</w:t>
      </w:r>
      <w:r>
        <w:t>.</w:t>
      </w:r>
    </w:p>
    <w:p w14:paraId="12D225ED" w14:textId="1712F782" w:rsidR="00F73AB5" w:rsidRDefault="00F73AB5" w:rsidP="00351E44">
      <w:pPr>
        <w:pStyle w:val="OutlineNumbered1"/>
      </w:pPr>
      <w:r>
        <w:t>In addition, the Amending Rules specify that certain data sets are excluded from data</w:t>
      </w:r>
      <w:r w:rsidR="00437FBF">
        <w:noBreakHyphen/>
      </w:r>
      <w:r>
        <w:t xml:space="preserve">sharing under the CDR regime. This is done by setting out circumstances in which the relevant data is neither required nor voluntary consumer data. </w:t>
      </w:r>
    </w:p>
    <w:p w14:paraId="2B6B9DB7" w14:textId="77777777" w:rsidR="00F73AB5" w:rsidRDefault="00F73AB5" w:rsidP="00351E44">
      <w:pPr>
        <w:pStyle w:val="OutlineNumbered1"/>
      </w:pPr>
      <w:r>
        <w:lastRenderedPageBreak/>
        <w:t xml:space="preserve">A new exclusion relates to CDR data in respect of the debt of a CDR consumer, if the data was acquired by a data holder in its capacity as a debt collector or debt buyer. </w:t>
      </w:r>
    </w:p>
    <w:p w14:paraId="5527D628" w14:textId="77777777" w:rsidR="00DB5934" w:rsidRPr="00DB5934" w:rsidRDefault="00F73AB5" w:rsidP="00DB5934">
      <w:pPr>
        <w:pStyle w:val="OutlineNumbered1"/>
        <w:spacing w:after="0"/>
        <w:rPr>
          <w:bCs/>
          <w:iCs/>
        </w:rPr>
      </w:pPr>
      <w:r>
        <w:t>This aims to exclude balances bought from other lenders where the customer is in financial hardship and has defaulted on their payments. Individuals who are subject to debt collection are likely to be in financial hardship. Accordingly, the mere fact that an individual’s debt is with a debt collector is likely to signal financial hardship. To protect such individuals, such data is outside the scope of the CDR in the banking and non-bank lenders sectors.</w:t>
      </w:r>
      <w:r w:rsidR="00351E44">
        <w:t xml:space="preserve"> </w:t>
      </w:r>
    </w:p>
    <w:p w14:paraId="5814FE6B" w14:textId="3F485669" w:rsidR="008A60C1" w:rsidRPr="00351E44" w:rsidDel="00EA1690" w:rsidRDefault="00F73AB5" w:rsidP="00DB5934">
      <w:pPr>
        <w:pStyle w:val="OutlineNumbered1"/>
        <w:numPr>
          <w:ilvl w:val="0"/>
          <w:numId w:val="0"/>
        </w:numPr>
        <w:spacing w:before="0"/>
        <w:ind w:left="567"/>
        <w:rPr>
          <w:bCs/>
          <w:iCs/>
        </w:rPr>
      </w:pPr>
      <w:r w:rsidRPr="00E00E3F">
        <w:rPr>
          <w:b/>
          <w:bCs/>
          <w:i/>
          <w:iCs/>
        </w:rPr>
        <w:t>[Schedule 1, item</w:t>
      </w:r>
      <w:r>
        <w:rPr>
          <w:b/>
          <w:bCs/>
          <w:i/>
          <w:iCs/>
        </w:rPr>
        <w:t xml:space="preserve"> 23</w:t>
      </w:r>
      <w:r w:rsidR="00837C36">
        <w:rPr>
          <w:b/>
          <w:bCs/>
          <w:i/>
          <w:iCs/>
        </w:rPr>
        <w:t>,</w:t>
      </w:r>
      <w:r w:rsidRPr="00E00E3F">
        <w:rPr>
          <w:b/>
          <w:bCs/>
          <w:i/>
          <w:iCs/>
        </w:rPr>
        <w:t xml:space="preserve"> </w:t>
      </w:r>
      <w:r>
        <w:rPr>
          <w:b/>
          <w:bCs/>
          <w:i/>
          <w:iCs/>
        </w:rPr>
        <w:t>subclause 3.2</w:t>
      </w:r>
      <w:r w:rsidR="00154A8B">
        <w:rPr>
          <w:b/>
          <w:bCs/>
          <w:i/>
          <w:iCs/>
        </w:rPr>
        <w:t>(5)</w:t>
      </w:r>
      <w:r>
        <w:rPr>
          <w:b/>
          <w:bCs/>
          <w:i/>
          <w:iCs/>
        </w:rPr>
        <w:t xml:space="preserve"> </w:t>
      </w:r>
      <w:r w:rsidRPr="00E00E3F">
        <w:rPr>
          <w:b/>
          <w:i/>
          <w:iCs/>
        </w:rPr>
        <w:t>of Schedule 3</w:t>
      </w:r>
      <w:r>
        <w:rPr>
          <w:b/>
          <w:i/>
          <w:iCs/>
        </w:rPr>
        <w:t xml:space="preserve"> </w:t>
      </w:r>
      <w:r>
        <w:rPr>
          <w:b/>
          <w:i/>
        </w:rPr>
        <w:t>to the CDR Rules</w:t>
      </w:r>
      <w:r w:rsidRPr="00E00E3F">
        <w:rPr>
          <w:b/>
          <w:i/>
          <w:iCs/>
        </w:rPr>
        <w:t>]</w:t>
      </w:r>
    </w:p>
    <w:p w14:paraId="262DC808" w14:textId="4EA62CE4" w:rsidR="00171B9B" w:rsidRDefault="004F5CFB" w:rsidP="00F72212">
      <w:pPr>
        <w:spacing w:before="240"/>
        <w:rPr>
          <w:i/>
        </w:rPr>
      </w:pPr>
      <w:r w:rsidRPr="001B2C6D">
        <w:rPr>
          <w:i/>
          <w:iCs/>
        </w:rPr>
        <w:t xml:space="preserve">Dispute resolution processes in the </w:t>
      </w:r>
      <w:r w:rsidR="00393C0A" w:rsidRPr="00393C0A">
        <w:rPr>
          <w:i/>
          <w:iCs/>
        </w:rPr>
        <w:t xml:space="preserve">non-bank </w:t>
      </w:r>
      <w:r w:rsidR="00EA32A5" w:rsidRPr="00EA32A5">
        <w:rPr>
          <w:i/>
          <w:iCs/>
        </w:rPr>
        <w:t>lenders</w:t>
      </w:r>
      <w:r w:rsidR="00393C0A" w:rsidRPr="00393C0A">
        <w:rPr>
          <w:i/>
          <w:iCs/>
        </w:rPr>
        <w:t xml:space="preserve"> sector</w:t>
      </w:r>
    </w:p>
    <w:p w14:paraId="09522871" w14:textId="4320B82B" w:rsidR="002010D8" w:rsidRPr="00351E44" w:rsidRDefault="00D44E4F" w:rsidP="00351E44">
      <w:pPr>
        <w:pStyle w:val="OutlineNumbered1"/>
        <w:rPr>
          <w:bCs/>
          <w:iCs/>
        </w:rPr>
      </w:pPr>
      <w:r w:rsidRPr="00D44E4F">
        <w:t>Under the CDR Rules, the expressions ‘meet the internal dispute resolution</w:t>
      </w:r>
      <w:r>
        <w:t xml:space="preserve"> </w:t>
      </w:r>
      <w:r w:rsidRPr="00D44E4F">
        <w:t>requirements’ and ‘meet the external dispute resolution requirements’ have sector</w:t>
      </w:r>
      <w:r w:rsidR="005E540B">
        <w:noBreakHyphen/>
      </w:r>
      <w:r w:rsidRPr="00D44E4F">
        <w:t>specific meanings.</w:t>
      </w:r>
      <w:r w:rsidR="005F6EF9">
        <w:t xml:space="preserve"> </w:t>
      </w:r>
      <w:r w:rsidR="00FB4BDF">
        <w:t xml:space="preserve">Existing </w:t>
      </w:r>
      <w:r w:rsidR="005F6EF9">
        <w:t>Part 5 of</w:t>
      </w:r>
      <w:r w:rsidR="00E86A86">
        <w:t xml:space="preserve"> Schedule 3 </w:t>
      </w:r>
      <w:r w:rsidRPr="00D44E4F">
        <w:t xml:space="preserve">sets out what it means to meet these requirements in the </w:t>
      </w:r>
      <w:r w:rsidR="00FB4BDF">
        <w:t xml:space="preserve">banking sector. </w:t>
      </w:r>
      <w:r w:rsidR="00E1365C">
        <w:t xml:space="preserve">This Part will be extended to cover the </w:t>
      </w:r>
      <w:r w:rsidR="00CC2D6B" w:rsidRPr="00CC2D6B">
        <w:t>non</w:t>
      </w:r>
      <w:r w:rsidR="00FB15E4">
        <w:noBreakHyphen/>
      </w:r>
      <w:r w:rsidR="00CC2D6B" w:rsidRPr="00CC2D6B">
        <w:t>bank lenders</w:t>
      </w:r>
      <w:r w:rsidRPr="00D44E4F">
        <w:t xml:space="preserve"> sector. Broadly, the intention is to reflect </w:t>
      </w:r>
      <w:r w:rsidR="001F4580">
        <w:t>existing</w:t>
      </w:r>
      <w:r w:rsidR="001F4580" w:rsidRPr="00D44E4F">
        <w:t xml:space="preserve"> </w:t>
      </w:r>
      <w:r w:rsidRPr="00D44E4F">
        <w:t xml:space="preserve">dispute resolution arrangements in the </w:t>
      </w:r>
      <w:r w:rsidR="00CC2D6B" w:rsidRPr="00CC2D6B">
        <w:t>non-bank lenders</w:t>
      </w:r>
      <w:r w:rsidRPr="00D44E4F">
        <w:t xml:space="preserve"> sector rather than to impose new obligations. This is discussed in more detail below. </w:t>
      </w:r>
      <w:r w:rsidR="00277F19">
        <w:t xml:space="preserve">                    </w:t>
      </w:r>
      <w:r w:rsidRPr="001B2C6D">
        <w:rPr>
          <w:b/>
          <w:bCs/>
          <w:i/>
          <w:iCs/>
        </w:rPr>
        <w:t>[Schedule 1, item</w:t>
      </w:r>
      <w:r w:rsidR="0059555F">
        <w:rPr>
          <w:b/>
          <w:bCs/>
          <w:i/>
          <w:iCs/>
        </w:rPr>
        <w:t xml:space="preserve"> </w:t>
      </w:r>
      <w:r w:rsidR="006B7A3D" w:rsidRPr="4EED2183">
        <w:rPr>
          <w:b/>
          <w:bCs/>
          <w:i/>
          <w:iCs/>
        </w:rPr>
        <w:t>24</w:t>
      </w:r>
      <w:r w:rsidR="00D039E8">
        <w:rPr>
          <w:b/>
          <w:bCs/>
          <w:i/>
          <w:iCs/>
        </w:rPr>
        <w:t>,</w:t>
      </w:r>
      <w:r w:rsidRPr="001B2C6D">
        <w:rPr>
          <w:b/>
          <w:bCs/>
          <w:i/>
          <w:iCs/>
        </w:rPr>
        <w:t xml:space="preserve"> Part </w:t>
      </w:r>
      <w:r w:rsidR="00D67593" w:rsidRPr="00D67593">
        <w:rPr>
          <w:b/>
          <w:bCs/>
          <w:i/>
          <w:iCs/>
        </w:rPr>
        <w:t>5</w:t>
      </w:r>
      <w:r w:rsidRPr="001B2C6D">
        <w:rPr>
          <w:b/>
          <w:bCs/>
          <w:i/>
          <w:iCs/>
        </w:rPr>
        <w:t xml:space="preserve"> of </w:t>
      </w:r>
      <w:r w:rsidRPr="001B2C6D" w:rsidDel="00FA3CFB">
        <w:rPr>
          <w:b/>
          <w:bCs/>
          <w:i/>
          <w:iCs/>
        </w:rPr>
        <w:t>Schedule</w:t>
      </w:r>
      <w:r w:rsidR="00FA3CFB">
        <w:rPr>
          <w:b/>
          <w:bCs/>
          <w:i/>
          <w:iCs/>
        </w:rPr>
        <w:t> </w:t>
      </w:r>
      <w:r w:rsidR="002F29CA" w:rsidRPr="002F29CA">
        <w:rPr>
          <w:b/>
          <w:bCs/>
          <w:i/>
          <w:iCs/>
        </w:rPr>
        <w:t>3</w:t>
      </w:r>
      <w:r w:rsidR="009203D2">
        <w:rPr>
          <w:b/>
          <w:bCs/>
          <w:i/>
          <w:iCs/>
        </w:rPr>
        <w:t xml:space="preserve"> </w:t>
      </w:r>
      <w:r w:rsidR="009203D2">
        <w:rPr>
          <w:b/>
          <w:i/>
        </w:rPr>
        <w:t>to the CDR Rules</w:t>
      </w:r>
      <w:r w:rsidR="002F1685">
        <w:rPr>
          <w:b/>
          <w:i/>
        </w:rPr>
        <w:t xml:space="preserve"> (heading)</w:t>
      </w:r>
      <w:r w:rsidRPr="001B2C6D">
        <w:rPr>
          <w:b/>
          <w:bCs/>
          <w:i/>
          <w:iCs/>
        </w:rPr>
        <w:t>]</w:t>
      </w:r>
    </w:p>
    <w:p w14:paraId="4DD86C95" w14:textId="56C8D962" w:rsidR="00E73AD8" w:rsidRPr="00AD1DEA" w:rsidRDefault="00E73AD8" w:rsidP="00F72212">
      <w:pPr>
        <w:spacing w:before="240"/>
        <w:rPr>
          <w:u w:val="single"/>
        </w:rPr>
      </w:pPr>
      <w:r w:rsidRPr="00AD1DEA">
        <w:rPr>
          <w:u w:val="single"/>
        </w:rPr>
        <w:t>Meeting internal dispute resolution requirements</w:t>
      </w:r>
    </w:p>
    <w:p w14:paraId="31485D2A" w14:textId="77777777" w:rsidR="00DB5934" w:rsidRPr="00DB5934" w:rsidRDefault="00E62126" w:rsidP="00DB5934">
      <w:pPr>
        <w:pStyle w:val="OutlineNumbered1"/>
        <w:spacing w:after="0"/>
        <w:rPr>
          <w:bCs/>
        </w:rPr>
      </w:pPr>
      <w:r w:rsidRPr="00E62126">
        <w:t>Accredited persons</w:t>
      </w:r>
      <w:r w:rsidR="006F5EBC">
        <w:t xml:space="preserve"> </w:t>
      </w:r>
      <w:r w:rsidR="006F5EBC" w:rsidRPr="006F5EBC">
        <w:t>and</w:t>
      </w:r>
      <w:r w:rsidR="006F5EBC">
        <w:t xml:space="preserve"> </w:t>
      </w:r>
      <w:r w:rsidR="006F5EBC" w:rsidRPr="006F5EBC">
        <w:t>data holders</w:t>
      </w:r>
      <w:r w:rsidR="006F5EBC">
        <w:t xml:space="preserve"> </w:t>
      </w:r>
      <w:r w:rsidR="00A63F0E" w:rsidRPr="00A63F0E">
        <w:t xml:space="preserve">must comply with the Australian Securities </w:t>
      </w:r>
      <w:r w:rsidR="0066010F">
        <w:t>and</w:t>
      </w:r>
      <w:r w:rsidR="0066010F" w:rsidRPr="00A63F0E">
        <w:t xml:space="preserve"> </w:t>
      </w:r>
      <w:r w:rsidR="00A63F0E" w:rsidRPr="00A63F0E">
        <w:t>Investments Commission’s Regulatory Guide 271. That guide deals with matters such as commitment and culture, the enabling of complaints, resourcing, responsiveness, objectivity and fairness, complaint data collection or recording, and internal reporting and analysis of complaint data.</w:t>
      </w:r>
    </w:p>
    <w:p w14:paraId="421F7A3E" w14:textId="38BFCDD6" w:rsidR="00E73AD8" w:rsidRPr="00351E44" w:rsidRDefault="00AD26F5" w:rsidP="00DB5934">
      <w:pPr>
        <w:pStyle w:val="OutlineNumbered1"/>
        <w:numPr>
          <w:ilvl w:val="0"/>
          <w:numId w:val="0"/>
        </w:numPr>
        <w:spacing w:before="0"/>
        <w:ind w:left="567"/>
        <w:rPr>
          <w:bCs/>
        </w:rPr>
      </w:pPr>
      <w:r w:rsidRPr="001B2C6D">
        <w:rPr>
          <w:b/>
          <w:bCs/>
          <w:i/>
          <w:iCs/>
        </w:rPr>
        <w:t>[Schedule 1, item</w:t>
      </w:r>
      <w:r>
        <w:rPr>
          <w:b/>
          <w:bCs/>
          <w:i/>
          <w:iCs/>
        </w:rPr>
        <w:t xml:space="preserve">s </w:t>
      </w:r>
      <w:r w:rsidR="00D853AD">
        <w:rPr>
          <w:b/>
          <w:bCs/>
          <w:i/>
          <w:iCs/>
        </w:rPr>
        <w:t xml:space="preserve">25 to </w:t>
      </w:r>
      <w:r>
        <w:rPr>
          <w:b/>
          <w:bCs/>
          <w:i/>
          <w:iCs/>
        </w:rPr>
        <w:t>2</w:t>
      </w:r>
      <w:r w:rsidR="00DE4FB5">
        <w:rPr>
          <w:b/>
          <w:bCs/>
          <w:i/>
          <w:iCs/>
        </w:rPr>
        <w:t xml:space="preserve">8, </w:t>
      </w:r>
      <w:r w:rsidR="005F11FA">
        <w:rPr>
          <w:b/>
          <w:bCs/>
          <w:i/>
          <w:iCs/>
        </w:rPr>
        <w:t>c</w:t>
      </w:r>
      <w:r w:rsidR="00DE4FB5">
        <w:rPr>
          <w:b/>
          <w:bCs/>
          <w:i/>
          <w:iCs/>
        </w:rPr>
        <w:t>lause 5.1</w:t>
      </w:r>
      <w:r w:rsidRPr="001B2C6D">
        <w:rPr>
          <w:b/>
          <w:bCs/>
          <w:i/>
          <w:iCs/>
        </w:rPr>
        <w:t xml:space="preserve"> of </w:t>
      </w:r>
      <w:r w:rsidRPr="001B2C6D" w:rsidDel="00FA3CFB">
        <w:rPr>
          <w:b/>
          <w:bCs/>
          <w:i/>
          <w:iCs/>
        </w:rPr>
        <w:t>Schedule</w:t>
      </w:r>
      <w:r>
        <w:rPr>
          <w:b/>
          <w:bCs/>
          <w:i/>
          <w:iCs/>
        </w:rPr>
        <w:t> </w:t>
      </w:r>
      <w:r w:rsidRPr="002F29CA">
        <w:rPr>
          <w:b/>
          <w:bCs/>
          <w:i/>
          <w:iCs/>
        </w:rPr>
        <w:t>3</w:t>
      </w:r>
      <w:r>
        <w:rPr>
          <w:b/>
          <w:bCs/>
          <w:i/>
          <w:iCs/>
        </w:rPr>
        <w:t xml:space="preserve"> </w:t>
      </w:r>
      <w:r>
        <w:rPr>
          <w:b/>
          <w:i/>
        </w:rPr>
        <w:t>to the CDR Rules</w:t>
      </w:r>
      <w:r w:rsidRPr="001B2C6D">
        <w:rPr>
          <w:b/>
          <w:bCs/>
          <w:i/>
          <w:iCs/>
        </w:rPr>
        <w:t>]</w:t>
      </w:r>
    </w:p>
    <w:p w14:paraId="2D8F1EB4" w14:textId="70AB2469" w:rsidR="009D753D" w:rsidRPr="00AD1DEA" w:rsidRDefault="002D4934" w:rsidP="00F72212">
      <w:pPr>
        <w:spacing w:before="240"/>
        <w:rPr>
          <w:u w:val="single"/>
        </w:rPr>
      </w:pPr>
      <w:r w:rsidRPr="00AD1DEA">
        <w:rPr>
          <w:u w:val="single"/>
        </w:rPr>
        <w:t>Meeting external dispute resolution requirements</w:t>
      </w:r>
    </w:p>
    <w:p w14:paraId="0B0A65F0" w14:textId="275AB71A" w:rsidR="0027562E" w:rsidRPr="0030265D" w:rsidRDefault="00D6662A" w:rsidP="00351E44">
      <w:pPr>
        <w:pStyle w:val="OutlineNumbered1"/>
      </w:pPr>
      <w:r w:rsidRPr="000722E3">
        <w:t>Accredited persons</w:t>
      </w:r>
      <w:r w:rsidR="009E0B73" w:rsidRPr="000722E3">
        <w:t xml:space="preserve"> </w:t>
      </w:r>
      <w:r w:rsidR="009E0B73" w:rsidRPr="00A63F0E">
        <w:t xml:space="preserve">and </w:t>
      </w:r>
      <w:r w:rsidR="009E0B73" w:rsidRPr="000722E3">
        <w:t>data holders</w:t>
      </w:r>
      <w:r w:rsidR="00600A79" w:rsidRPr="000722E3">
        <w:t xml:space="preserve"> must be members of the external dispute resolution scheme operated by the Australian Financial Complaints Authority Limited (AFCA). </w:t>
      </w:r>
    </w:p>
    <w:p w14:paraId="3182C6BD" w14:textId="504F17F9" w:rsidR="007911DA" w:rsidRDefault="00497DA0" w:rsidP="00351E44">
      <w:pPr>
        <w:pStyle w:val="OutlineNumbered1"/>
      </w:pPr>
      <w:r w:rsidRPr="000722E3">
        <w:t xml:space="preserve">The scheme operated by AFCA </w:t>
      </w:r>
      <w:r w:rsidRPr="00D44E4F">
        <w:t>is</w:t>
      </w:r>
      <w:r w:rsidRPr="000722E3">
        <w:t xml:space="preserve"> recognised as </w:t>
      </w:r>
      <w:r w:rsidR="004D77E6" w:rsidRPr="004D77E6">
        <w:t>an</w:t>
      </w:r>
      <w:r w:rsidR="004D77E6">
        <w:t xml:space="preserve"> </w:t>
      </w:r>
      <w:r w:rsidRPr="000722E3">
        <w:t xml:space="preserve">external dispute resolution scheme in relation to the </w:t>
      </w:r>
      <w:r w:rsidR="00A27490">
        <w:t xml:space="preserve">banking </w:t>
      </w:r>
      <w:r w:rsidRPr="000722E3">
        <w:t xml:space="preserve">sector under the </w:t>
      </w:r>
      <w:r w:rsidRPr="001B2C6D">
        <w:rPr>
          <w:i/>
        </w:rPr>
        <w:t xml:space="preserve">Competition and Consumer (Consumer Data Right </w:t>
      </w:r>
      <w:r w:rsidR="00F85A94">
        <w:rPr>
          <w:i/>
        </w:rPr>
        <w:t>–</w:t>
      </w:r>
      <w:r w:rsidRPr="001B2C6D">
        <w:rPr>
          <w:i/>
        </w:rPr>
        <w:t xml:space="preserve"> Recognised External Dispute Resolution Schemes) Instrument </w:t>
      </w:r>
      <w:r w:rsidRPr="001B2C6D">
        <w:rPr>
          <w:i/>
          <w:iCs/>
        </w:rPr>
        <w:t>202</w:t>
      </w:r>
      <w:r w:rsidR="00FB5736">
        <w:rPr>
          <w:i/>
          <w:iCs/>
        </w:rPr>
        <w:t>1</w:t>
      </w:r>
      <w:r w:rsidRPr="000722E3">
        <w:t xml:space="preserve"> </w:t>
      </w:r>
      <w:r w:rsidR="006B2E03">
        <w:t>(</w:t>
      </w:r>
      <w:r w:rsidRPr="000722E3">
        <w:t>made for the purposes of section 56DA of the Act</w:t>
      </w:r>
      <w:r w:rsidR="006B2E03">
        <w:t>)</w:t>
      </w:r>
      <w:r w:rsidRPr="000722E3">
        <w:t>.</w:t>
      </w:r>
      <w:r w:rsidR="006B2E03">
        <w:t xml:space="preserve"> </w:t>
      </w:r>
      <w:r w:rsidR="00730D06">
        <w:t>The intention is</w:t>
      </w:r>
      <w:r w:rsidR="00EE65BE">
        <w:t xml:space="preserve"> that</w:t>
      </w:r>
      <w:r w:rsidR="00730D06">
        <w:t xml:space="preserve"> t</w:t>
      </w:r>
      <w:r w:rsidR="006B2E03">
        <w:t>h</w:t>
      </w:r>
      <w:r w:rsidR="00E83F3B">
        <w:t>at</w:t>
      </w:r>
      <w:r w:rsidR="006B2E03">
        <w:t xml:space="preserve"> instrument will be</w:t>
      </w:r>
      <w:r w:rsidR="00635112">
        <w:t xml:space="preserve"> amended to </w:t>
      </w:r>
      <w:r w:rsidR="00620EFA">
        <w:t xml:space="preserve">extend the recognition of AFCA </w:t>
      </w:r>
      <w:r w:rsidR="007628D4">
        <w:t>to</w:t>
      </w:r>
      <w:r w:rsidR="001D6202">
        <w:t xml:space="preserve"> the non-bank lenders sector.</w:t>
      </w:r>
    </w:p>
    <w:p w14:paraId="1604B0A4" w14:textId="2C1AD585" w:rsidR="00280FA7" w:rsidRPr="00535FAB" w:rsidRDefault="00331969" w:rsidP="00D02770">
      <w:pPr>
        <w:pStyle w:val="OutlineNumbered1"/>
      </w:pPr>
      <w:r w:rsidRPr="00331969">
        <w:t xml:space="preserve">The policy intent in relation to external dispute resolution scheme membership is to reflect existing arrangements in the </w:t>
      </w:r>
      <w:r w:rsidR="00EC4B0D" w:rsidRPr="00EC4B0D">
        <w:t xml:space="preserve">non-bank lenders </w:t>
      </w:r>
      <w:r w:rsidRPr="00331969">
        <w:t xml:space="preserve">sector. It is expected that </w:t>
      </w:r>
      <w:r w:rsidR="005E02BF" w:rsidRPr="00331969">
        <w:t xml:space="preserve">accredited persons and </w:t>
      </w:r>
      <w:r w:rsidR="00B67D93" w:rsidRPr="00B67D93">
        <w:t xml:space="preserve">most, if not all, </w:t>
      </w:r>
      <w:r w:rsidRPr="00331969">
        <w:t>data holders would already be members of the recognised scheme.</w:t>
      </w:r>
      <w:r w:rsidR="00EF35E4">
        <w:t xml:space="preserve"> </w:t>
      </w:r>
      <w:r w:rsidR="005B4D30">
        <w:t>If</w:t>
      </w:r>
      <w:r w:rsidR="00512FE3">
        <w:t xml:space="preserve"> </w:t>
      </w:r>
      <w:r w:rsidR="0023661E">
        <w:t>either</w:t>
      </w:r>
      <w:r w:rsidR="00512FE3">
        <w:t xml:space="preserve"> </w:t>
      </w:r>
      <w:r w:rsidR="000051FC" w:rsidRPr="000051FC">
        <w:t xml:space="preserve">the </w:t>
      </w:r>
      <w:r w:rsidR="002D40E9" w:rsidRPr="002D40E9">
        <w:t>Office of the Australian Information Commissioner</w:t>
      </w:r>
      <w:r w:rsidR="000051FC" w:rsidRPr="002D40E9">
        <w:t xml:space="preserve"> </w:t>
      </w:r>
      <w:r w:rsidR="00BA2129" w:rsidRPr="00BA2129">
        <w:t>(</w:t>
      </w:r>
      <w:r w:rsidR="000051FC" w:rsidRPr="000051FC">
        <w:t>OAIC</w:t>
      </w:r>
      <w:r w:rsidR="00BA2129" w:rsidRPr="00BA2129">
        <w:t>)</w:t>
      </w:r>
      <w:r w:rsidR="000051FC" w:rsidRPr="000051FC">
        <w:t xml:space="preserve"> or </w:t>
      </w:r>
      <w:r w:rsidR="00D67EF8" w:rsidRPr="002D40E9">
        <w:t xml:space="preserve">the </w:t>
      </w:r>
      <w:r w:rsidR="00D67EF8" w:rsidRPr="00D67EF8">
        <w:t xml:space="preserve">Australian Competition and Consumer Commission </w:t>
      </w:r>
      <w:r w:rsidR="00BA2129" w:rsidRPr="00BA2129">
        <w:t>(ACCC)</w:t>
      </w:r>
      <w:r w:rsidR="000051FC" w:rsidRPr="000051FC">
        <w:t>, as co</w:t>
      </w:r>
      <w:r w:rsidR="00CF62A1">
        <w:noBreakHyphen/>
      </w:r>
      <w:r w:rsidR="000051FC" w:rsidRPr="000051FC">
        <w:t xml:space="preserve">regulators of the </w:t>
      </w:r>
      <w:r w:rsidR="003040E8" w:rsidRPr="003040E8">
        <w:t>CDR</w:t>
      </w:r>
      <w:r w:rsidR="000051FC" w:rsidRPr="000051FC">
        <w:t>,</w:t>
      </w:r>
      <w:r w:rsidR="000051FC">
        <w:t xml:space="preserve"> </w:t>
      </w:r>
      <w:r w:rsidR="003F268D" w:rsidRPr="003F268D">
        <w:t>receive</w:t>
      </w:r>
      <w:r w:rsidR="005B4D30">
        <w:t>s</w:t>
      </w:r>
      <w:r w:rsidR="003F268D" w:rsidRPr="003F268D">
        <w:t xml:space="preserve"> </w:t>
      </w:r>
      <w:r w:rsidR="003F268D" w:rsidRPr="00A327CC">
        <w:t xml:space="preserve">a </w:t>
      </w:r>
      <w:r w:rsidR="00A327CC" w:rsidRPr="00A327CC">
        <w:t xml:space="preserve">CDR </w:t>
      </w:r>
      <w:r w:rsidR="00A327CC" w:rsidRPr="00A327CC">
        <w:lastRenderedPageBreak/>
        <w:t>consumer complaint</w:t>
      </w:r>
      <w:r w:rsidR="003F268D" w:rsidRPr="003F268D">
        <w:t xml:space="preserve"> </w:t>
      </w:r>
      <w:r w:rsidR="00D3523D" w:rsidRPr="00D3523D">
        <w:t xml:space="preserve">in relation to the </w:t>
      </w:r>
      <w:r w:rsidR="00D3523D" w:rsidRPr="00EC4B0D">
        <w:t>non</w:t>
      </w:r>
      <w:r w:rsidR="005C09D4">
        <w:noBreakHyphen/>
      </w:r>
      <w:r w:rsidR="00D3523D" w:rsidRPr="00EC4B0D">
        <w:t xml:space="preserve">bank lenders </w:t>
      </w:r>
      <w:r w:rsidR="00D3523D" w:rsidRPr="00D3523D">
        <w:t>sector</w:t>
      </w:r>
      <w:r w:rsidR="00D3523D" w:rsidRPr="000051FC">
        <w:t>,</w:t>
      </w:r>
      <w:r w:rsidR="00D3523D">
        <w:t xml:space="preserve"> </w:t>
      </w:r>
      <w:r w:rsidR="008C34BF" w:rsidRPr="008C34BF">
        <w:t xml:space="preserve">the matter </w:t>
      </w:r>
      <w:r w:rsidR="00275E29">
        <w:t>may</w:t>
      </w:r>
      <w:r w:rsidR="00275E29" w:rsidRPr="008C34BF">
        <w:t xml:space="preserve"> </w:t>
      </w:r>
      <w:r w:rsidR="008C34BF" w:rsidRPr="008C34BF">
        <w:t xml:space="preserve">be transferred to </w:t>
      </w:r>
      <w:r w:rsidR="002A181C" w:rsidRPr="00EB692E">
        <w:t>AFCA</w:t>
      </w:r>
      <w:r w:rsidR="002E7592">
        <w:t>. In practice, this transfer will happen</w:t>
      </w:r>
      <w:r w:rsidR="00D7514B">
        <w:t xml:space="preserve"> if the matter </w:t>
      </w:r>
      <w:r w:rsidR="00670AB6">
        <w:t>is best dealt with by AFCA</w:t>
      </w:r>
      <w:r w:rsidR="002E7592">
        <w:t>, noting that t</w:t>
      </w:r>
      <w:r w:rsidR="00670AB6">
        <w:t xml:space="preserve">here may be circumstances where the complaint </w:t>
      </w:r>
      <w:r w:rsidR="003C700C">
        <w:t xml:space="preserve">is more appropriately </w:t>
      </w:r>
      <w:r w:rsidR="00423C74">
        <w:t xml:space="preserve">dealt with </w:t>
      </w:r>
      <w:r w:rsidR="0022691E">
        <w:t>via</w:t>
      </w:r>
      <w:r w:rsidR="00423C74">
        <w:t xml:space="preserve"> </w:t>
      </w:r>
      <w:r w:rsidR="00E00C7C">
        <w:t>compliance action from the ACCC or OAIC</w:t>
      </w:r>
      <w:r w:rsidR="008C34BF" w:rsidRPr="008C34BF">
        <w:t>.</w:t>
      </w:r>
      <w:r w:rsidR="00D071F6">
        <w:t xml:space="preserve"> </w:t>
      </w:r>
      <w:r w:rsidR="00D071F6" w:rsidRPr="00D071F6">
        <w:t xml:space="preserve">This ‘no wrong door’ approach reflects that taken in </w:t>
      </w:r>
      <w:r w:rsidR="00AC1B23" w:rsidRPr="00AC1B23">
        <w:t>previous</w:t>
      </w:r>
      <w:r w:rsidR="00D071F6" w:rsidRPr="00D071F6">
        <w:t xml:space="preserve"> sectors, allowing disputes to be handled by the appropriate body and facilitating a seamless, consumer-centric experience.</w:t>
      </w:r>
      <w:r w:rsidR="00921DF0">
        <w:t xml:space="preserve"> </w:t>
      </w:r>
      <w:r w:rsidR="00535FAB">
        <w:t xml:space="preserve">                                                      </w:t>
      </w:r>
      <w:r w:rsidR="005F11FA" w:rsidRPr="7FCF4F50">
        <w:rPr>
          <w:b/>
          <w:bCs/>
          <w:i/>
          <w:iCs/>
        </w:rPr>
        <w:t xml:space="preserve">[Schedule 1, item 29, clause 5.2 of </w:t>
      </w:r>
      <w:r w:rsidR="005F11FA" w:rsidRPr="7FCF4F50" w:rsidDel="00FA3CFB">
        <w:rPr>
          <w:b/>
          <w:bCs/>
          <w:i/>
          <w:iCs/>
        </w:rPr>
        <w:t>Schedule</w:t>
      </w:r>
      <w:r w:rsidR="005F11FA" w:rsidRPr="7FCF4F50">
        <w:rPr>
          <w:b/>
          <w:bCs/>
          <w:i/>
          <w:iCs/>
        </w:rPr>
        <w:t> 3 to the CDR Rules]</w:t>
      </w:r>
    </w:p>
    <w:p w14:paraId="4E2C28E9" w14:textId="4CE0B99C" w:rsidR="00287FA4" w:rsidRDefault="00287FA4" w:rsidP="00F72212">
      <w:pPr>
        <w:spacing w:before="240"/>
        <w:rPr>
          <w:i/>
          <w:iCs/>
        </w:rPr>
      </w:pPr>
      <w:r w:rsidRPr="001B2C6D">
        <w:rPr>
          <w:i/>
          <w:iCs/>
        </w:rPr>
        <w:t>Staged application of the CDR Rules to the non-bank lend</w:t>
      </w:r>
      <w:r w:rsidR="00B97548">
        <w:rPr>
          <w:i/>
          <w:iCs/>
        </w:rPr>
        <w:t>ers</w:t>
      </w:r>
      <w:r w:rsidRPr="001B2C6D">
        <w:rPr>
          <w:i/>
          <w:iCs/>
        </w:rPr>
        <w:t xml:space="preserve"> sector</w:t>
      </w:r>
    </w:p>
    <w:p w14:paraId="4DF7EBE6" w14:textId="1925602F" w:rsidR="00056E27" w:rsidRPr="00D02770" w:rsidRDefault="000C41E4" w:rsidP="00D02770">
      <w:pPr>
        <w:pStyle w:val="OutlineNumbered1"/>
      </w:pPr>
      <w:r>
        <w:t xml:space="preserve">The </w:t>
      </w:r>
      <w:r w:rsidR="003A2E1A">
        <w:t>Amending Rules</w:t>
      </w:r>
      <w:r w:rsidR="00F83C70">
        <w:t xml:space="preserve"> </w:t>
      </w:r>
      <w:r w:rsidR="002E31A6">
        <w:t>repeal existing Part 6</w:t>
      </w:r>
      <w:r w:rsidR="0035529F">
        <w:t xml:space="preserve"> of Schedule 3</w:t>
      </w:r>
      <w:r w:rsidR="006D477D">
        <w:t xml:space="preserve"> and substitute</w:t>
      </w:r>
      <w:r w:rsidR="00761378">
        <w:t xml:space="preserve"> a new Part 6</w:t>
      </w:r>
      <w:r w:rsidR="006F1B6E">
        <w:t xml:space="preserve"> dealing principally with</w:t>
      </w:r>
      <w:r w:rsidR="006D71EC">
        <w:t xml:space="preserve"> staged implementation for the</w:t>
      </w:r>
      <w:r>
        <w:t xml:space="preserve"> </w:t>
      </w:r>
      <w:r w:rsidR="00766288">
        <w:t>non-bank lend</w:t>
      </w:r>
      <w:r w:rsidR="00B97548">
        <w:t>ers</w:t>
      </w:r>
      <w:r w:rsidR="00766288">
        <w:t xml:space="preserve"> sector. Obligations are switched on progressively </w:t>
      </w:r>
      <w:proofErr w:type="gramStart"/>
      <w:r w:rsidR="00766288">
        <w:t>on the basis of</w:t>
      </w:r>
      <w:proofErr w:type="gramEnd"/>
      <w:r w:rsidR="00766288">
        <w:t xml:space="preserve"> both classes of non-bank lenders and categories of data to be shared.</w:t>
      </w:r>
      <w:r w:rsidR="00515982">
        <w:t xml:space="preserve"> </w:t>
      </w:r>
      <w:r w:rsidR="00DE593B">
        <w:t>The new Part 6</w:t>
      </w:r>
      <w:r w:rsidR="00D21C40">
        <w:t xml:space="preserve"> preserves the ability</w:t>
      </w:r>
      <w:r w:rsidR="001959C3">
        <w:t xml:space="preserve"> for banks</w:t>
      </w:r>
      <w:r w:rsidR="001B39A4">
        <w:t xml:space="preserve"> </w:t>
      </w:r>
      <w:r w:rsidR="00792DC0">
        <w:t>to voluntarily participate in data sharing and extends this option to non-bank lenders.</w:t>
      </w:r>
      <w:r w:rsidR="00D21C40">
        <w:t xml:space="preserve"> </w:t>
      </w:r>
      <w:r w:rsidR="00535FAB">
        <w:t xml:space="preserve">                                                                            </w:t>
      </w:r>
      <w:r w:rsidR="00515982" w:rsidRPr="00A84984">
        <w:rPr>
          <w:b/>
          <w:bCs/>
          <w:i/>
          <w:iCs/>
        </w:rPr>
        <w:t>[Schedule 1, item</w:t>
      </w:r>
      <w:r w:rsidR="00EB277F">
        <w:rPr>
          <w:b/>
          <w:bCs/>
          <w:i/>
          <w:iCs/>
        </w:rPr>
        <w:t xml:space="preserve"> </w:t>
      </w:r>
      <w:r w:rsidR="00556B3E">
        <w:rPr>
          <w:b/>
          <w:bCs/>
          <w:i/>
          <w:iCs/>
        </w:rPr>
        <w:t>30</w:t>
      </w:r>
      <w:r w:rsidR="004D573F">
        <w:rPr>
          <w:b/>
          <w:bCs/>
          <w:i/>
          <w:iCs/>
        </w:rPr>
        <w:t>,</w:t>
      </w:r>
      <w:r w:rsidR="00515982" w:rsidRPr="00A84984">
        <w:rPr>
          <w:b/>
          <w:bCs/>
          <w:i/>
          <w:iCs/>
        </w:rPr>
        <w:t xml:space="preserve"> Part </w:t>
      </w:r>
      <w:r w:rsidR="00033882">
        <w:rPr>
          <w:b/>
          <w:bCs/>
          <w:i/>
          <w:iCs/>
        </w:rPr>
        <w:t>6</w:t>
      </w:r>
      <w:r w:rsidR="00515982" w:rsidRPr="00A84984">
        <w:rPr>
          <w:b/>
          <w:bCs/>
          <w:i/>
          <w:iCs/>
        </w:rPr>
        <w:t xml:space="preserve"> of Schedule </w:t>
      </w:r>
      <w:r w:rsidR="00515982" w:rsidRPr="002F29CA">
        <w:rPr>
          <w:b/>
          <w:bCs/>
          <w:i/>
          <w:iCs/>
        </w:rPr>
        <w:t>3</w:t>
      </w:r>
      <w:r w:rsidR="00EA1006">
        <w:rPr>
          <w:b/>
          <w:bCs/>
          <w:i/>
          <w:iCs/>
        </w:rPr>
        <w:t xml:space="preserve"> </w:t>
      </w:r>
      <w:r w:rsidR="00EA1006">
        <w:rPr>
          <w:b/>
          <w:i/>
        </w:rPr>
        <w:t>to the CDR Rules</w:t>
      </w:r>
      <w:r w:rsidR="00515982" w:rsidRPr="00A84984">
        <w:rPr>
          <w:b/>
          <w:bCs/>
          <w:i/>
          <w:iCs/>
        </w:rPr>
        <w:t>]</w:t>
      </w:r>
    </w:p>
    <w:p w14:paraId="226C5CDA" w14:textId="76A5B404" w:rsidR="00766288" w:rsidRPr="00033882" w:rsidRDefault="00766288" w:rsidP="00216026">
      <w:pPr>
        <w:spacing w:before="240" w:after="200"/>
        <w:rPr>
          <w:u w:val="single"/>
        </w:rPr>
      </w:pPr>
      <w:r w:rsidRPr="00033882">
        <w:rPr>
          <w:u w:val="single"/>
        </w:rPr>
        <w:t>Classes of non-bank lenders</w:t>
      </w:r>
    </w:p>
    <w:p w14:paraId="1D0F4E42" w14:textId="0882341D" w:rsidR="009C4447" w:rsidRDefault="00D9710B" w:rsidP="00D02770">
      <w:pPr>
        <w:pStyle w:val="OutlineNumbered1"/>
      </w:pPr>
      <w:r>
        <w:t>Non-bank lenders</w:t>
      </w:r>
      <w:r w:rsidR="00CD541E">
        <w:t xml:space="preserve"> with data sharing obligations</w:t>
      </w:r>
      <w:r>
        <w:t xml:space="preserve"> are classified as </w:t>
      </w:r>
      <w:r w:rsidR="0012160D">
        <w:t>initial or large providers.</w:t>
      </w:r>
      <w:r w:rsidR="009F6078">
        <w:t xml:space="preserve"> </w:t>
      </w:r>
    </w:p>
    <w:p w14:paraId="315EB525" w14:textId="2F2CE090" w:rsidR="001E5603" w:rsidRDefault="00291196" w:rsidP="00D02770">
      <w:pPr>
        <w:pStyle w:val="OutlineNumbered1"/>
      </w:pPr>
      <w:r>
        <w:t>A</w:t>
      </w:r>
      <w:r w:rsidR="006E20ED">
        <w:t>n</w:t>
      </w:r>
      <w:r>
        <w:t xml:space="preserve"> ‘</w:t>
      </w:r>
      <w:r w:rsidR="006E20ED">
        <w:t>initial</w:t>
      </w:r>
      <w:r>
        <w:t xml:space="preserve"> provider’ is</w:t>
      </w:r>
      <w:r w:rsidR="00C25490">
        <w:t xml:space="preserve"> a data holder of NBL sector data </w:t>
      </w:r>
      <w:r w:rsidR="001F42DC">
        <w:t>that</w:t>
      </w:r>
      <w:r w:rsidR="00A9228D">
        <w:t xml:space="preserve">, on the commencement </w:t>
      </w:r>
      <w:r w:rsidR="00D93B2B">
        <w:t>of the Amending Rules</w:t>
      </w:r>
      <w:r w:rsidR="007F7E1D">
        <w:t xml:space="preserve"> </w:t>
      </w:r>
      <w:r w:rsidR="002F1685">
        <w:t>(</w:t>
      </w:r>
      <w:r w:rsidR="00C51E74">
        <w:t>the “commencement day”)</w:t>
      </w:r>
      <w:r w:rsidR="001E5603">
        <w:t>:</w:t>
      </w:r>
    </w:p>
    <w:p w14:paraId="793A960F" w14:textId="14E65BB5" w:rsidR="00C25490" w:rsidRDefault="00930E02" w:rsidP="001E5603">
      <w:pPr>
        <w:pStyle w:val="Bullet"/>
      </w:pPr>
      <w:r>
        <w:t xml:space="preserve">has </w:t>
      </w:r>
      <w:r w:rsidR="00E738A7">
        <w:t xml:space="preserve">reported to </w:t>
      </w:r>
      <w:r w:rsidR="007B3765">
        <w:t>the Australian Prudential Regulation Authority (</w:t>
      </w:r>
      <w:r w:rsidR="00E738A7">
        <w:t>APRA</w:t>
      </w:r>
      <w:r w:rsidR="007B3765">
        <w:t>)</w:t>
      </w:r>
      <w:r w:rsidR="00E738A7">
        <w:t xml:space="preserve"> under the applicable standards </w:t>
      </w:r>
      <w:r w:rsidR="00137743">
        <w:t xml:space="preserve">more than </w:t>
      </w:r>
      <w:r w:rsidR="00011849">
        <w:t xml:space="preserve">$10 billion </w:t>
      </w:r>
      <w:r w:rsidR="00310C28">
        <w:t>in</w:t>
      </w:r>
      <w:r w:rsidR="001F3A50">
        <w:t xml:space="preserve"> resident loans and finance leases</w:t>
      </w:r>
      <w:r w:rsidR="003C27A5">
        <w:t xml:space="preserve"> for</w:t>
      </w:r>
      <w:r w:rsidR="0094520A">
        <w:t xml:space="preserve"> </w:t>
      </w:r>
      <w:r w:rsidR="00296958">
        <w:t xml:space="preserve">the calendar month </w:t>
      </w:r>
      <w:r w:rsidR="00AB100D">
        <w:t xml:space="preserve">before the commencement </w:t>
      </w:r>
      <w:r w:rsidR="00703013">
        <w:t>day</w:t>
      </w:r>
      <w:r w:rsidR="001463EC">
        <w:t>;</w:t>
      </w:r>
      <w:r w:rsidR="00117A0A">
        <w:t xml:space="preserve"> </w:t>
      </w:r>
      <w:r w:rsidR="00FE4AB1">
        <w:t xml:space="preserve">and </w:t>
      </w:r>
    </w:p>
    <w:p w14:paraId="22B137A1" w14:textId="2EC63BE1" w:rsidR="00970C9D" w:rsidRDefault="00FE4AB1" w:rsidP="001B2C6D">
      <w:pPr>
        <w:pStyle w:val="Bullet"/>
      </w:pPr>
      <w:r>
        <w:t xml:space="preserve">has averaged over $10 billion in resident loans and finance leases </w:t>
      </w:r>
      <w:r w:rsidR="00F24122">
        <w:t>over</w:t>
      </w:r>
      <w:r>
        <w:t xml:space="preserve"> the </w:t>
      </w:r>
      <w:r w:rsidR="001269EC">
        <w:t xml:space="preserve">previous </w:t>
      </w:r>
      <w:r w:rsidR="009E3EDD">
        <w:t>12 months</w:t>
      </w:r>
      <w:r w:rsidR="00AB100D">
        <w:t xml:space="preserve"> before the commencement da</w:t>
      </w:r>
      <w:r w:rsidR="00703013">
        <w:t>y</w:t>
      </w:r>
      <w:r w:rsidR="00E738A7">
        <w:t>, based on its reporting to APRA</w:t>
      </w:r>
      <w:r w:rsidR="002A5253">
        <w:t xml:space="preserve"> under the applicable standards</w:t>
      </w:r>
      <w:r w:rsidR="006C2C39">
        <w:t xml:space="preserve">. </w:t>
      </w:r>
    </w:p>
    <w:p w14:paraId="2157A1D8" w14:textId="649D62EE" w:rsidR="00E96298" w:rsidRDefault="00E96298" w:rsidP="00D02770">
      <w:pPr>
        <w:pStyle w:val="OutlineNumbered1"/>
      </w:pPr>
      <w:r>
        <w:t xml:space="preserve">A </w:t>
      </w:r>
      <w:r w:rsidR="003F19FA">
        <w:t>‘</w:t>
      </w:r>
      <w:r w:rsidR="004744D5">
        <w:t>large</w:t>
      </w:r>
      <w:r>
        <w:t xml:space="preserve"> provider</w:t>
      </w:r>
      <w:r w:rsidR="003F19FA">
        <w:t>’ is a data holder of NBL sector data</w:t>
      </w:r>
      <w:r w:rsidR="00475451">
        <w:t xml:space="preserve"> that</w:t>
      </w:r>
      <w:r w:rsidR="00BB67BA">
        <w:t xml:space="preserve"> is not an initial provider and</w:t>
      </w:r>
      <w:r w:rsidR="00BC3DC5">
        <w:t>, on the commencement of the Amending Rules</w:t>
      </w:r>
      <w:r w:rsidR="0050686C">
        <w:t xml:space="preserve"> or </w:t>
      </w:r>
      <w:r w:rsidR="00FA076C">
        <w:t>on a 1 July of a later year</w:t>
      </w:r>
      <w:r w:rsidR="003F19FA">
        <w:t>:</w:t>
      </w:r>
    </w:p>
    <w:p w14:paraId="63DCEAF9" w14:textId="2665BC25" w:rsidR="003F19FA" w:rsidRDefault="00327CA4" w:rsidP="003F19FA">
      <w:pPr>
        <w:pStyle w:val="Bullet"/>
      </w:pPr>
      <w:r>
        <w:t xml:space="preserve">has </w:t>
      </w:r>
      <w:r w:rsidR="00E738A7">
        <w:t xml:space="preserve">reported to APRA </w:t>
      </w:r>
      <w:r w:rsidR="002A5253">
        <w:t xml:space="preserve">under the applicable standards </w:t>
      </w:r>
      <w:r>
        <w:t xml:space="preserve">over </w:t>
      </w:r>
      <w:r w:rsidR="00323B64">
        <w:t>$1 billion</w:t>
      </w:r>
      <w:r w:rsidR="00117A0A">
        <w:t xml:space="preserve"> in resident loans and finance leases for the calendar month preceding th</w:t>
      </w:r>
      <w:r w:rsidR="0050686C">
        <w:t xml:space="preserve">at </w:t>
      </w:r>
      <w:r w:rsidR="00117A0A">
        <w:t>date</w:t>
      </w:r>
      <w:r w:rsidR="00211F7B">
        <w:t>;</w:t>
      </w:r>
      <w:r w:rsidR="00117A0A">
        <w:t xml:space="preserve"> and</w:t>
      </w:r>
    </w:p>
    <w:p w14:paraId="50617D2F" w14:textId="6F7BAAF3" w:rsidR="00B00323" w:rsidRDefault="00117A0A" w:rsidP="001B2C6D">
      <w:pPr>
        <w:pStyle w:val="Bullet"/>
      </w:pPr>
      <w:r>
        <w:t>has averaged over $</w:t>
      </w:r>
      <w:r w:rsidR="00395C5C">
        <w:t xml:space="preserve">1 </w:t>
      </w:r>
      <w:r w:rsidR="00323B64">
        <w:t>billion</w:t>
      </w:r>
      <w:r>
        <w:t xml:space="preserve"> in resident loans and finance leases </w:t>
      </w:r>
      <w:r w:rsidR="006F3895">
        <w:t>over</w:t>
      </w:r>
      <w:r>
        <w:t xml:space="preserve"> </w:t>
      </w:r>
      <w:r w:rsidR="00431E64">
        <w:t>the previous 12 months</w:t>
      </w:r>
      <w:r w:rsidR="00E738A7">
        <w:t>, based on its reporting to APRA</w:t>
      </w:r>
      <w:r w:rsidR="002A5253">
        <w:t xml:space="preserve"> under the applicable standards</w:t>
      </w:r>
      <w:r w:rsidR="00B00323">
        <w:t>; and</w:t>
      </w:r>
    </w:p>
    <w:p w14:paraId="76F8649D" w14:textId="0D23A843" w:rsidR="007B1FAE" w:rsidRDefault="002E6C4D">
      <w:pPr>
        <w:pStyle w:val="Bullet"/>
      </w:pPr>
      <w:r>
        <w:t xml:space="preserve">has </w:t>
      </w:r>
      <w:r w:rsidR="00FB2761">
        <w:t xml:space="preserve">more </w:t>
      </w:r>
      <w:r w:rsidR="007503D6">
        <w:t xml:space="preserve">than </w:t>
      </w:r>
      <w:r w:rsidR="00323B64">
        <w:t>1,000</w:t>
      </w:r>
      <w:r w:rsidR="007503D6">
        <w:t xml:space="preserve"> customers. </w:t>
      </w:r>
    </w:p>
    <w:p w14:paraId="38448012" w14:textId="33185DF3" w:rsidR="00E310BE" w:rsidRPr="00D02770" w:rsidRDefault="0094520A" w:rsidP="00D02770">
      <w:pPr>
        <w:pStyle w:val="OutlineNumbered1"/>
      </w:pPr>
      <w:r>
        <w:t xml:space="preserve">The </w:t>
      </w:r>
      <w:r w:rsidR="00715889">
        <w:t xml:space="preserve">total value of the </w:t>
      </w:r>
      <w:r w:rsidR="001C55DC">
        <w:t xml:space="preserve">lender’s resident loans and finance lease balances is </w:t>
      </w:r>
      <w:r w:rsidR="003B28A2">
        <w:t xml:space="preserve">to be </w:t>
      </w:r>
      <w:r w:rsidR="001C55DC">
        <w:t xml:space="preserve">calculated in accordance with the applicable </w:t>
      </w:r>
      <w:r w:rsidR="001556B7">
        <w:t xml:space="preserve">accounting standards and </w:t>
      </w:r>
      <w:r w:rsidR="00F35C61">
        <w:t xml:space="preserve">standards made by </w:t>
      </w:r>
      <w:r w:rsidR="007B30E3">
        <w:t>APRA</w:t>
      </w:r>
      <w:r w:rsidR="007F1A7E">
        <w:t xml:space="preserve"> </w:t>
      </w:r>
      <w:r w:rsidR="00F35C61">
        <w:t xml:space="preserve">under the </w:t>
      </w:r>
      <w:r w:rsidR="00F35C61" w:rsidRPr="00B00323">
        <w:rPr>
          <w:i/>
          <w:iCs/>
        </w:rPr>
        <w:t>Financial Sector (Collection of Data) Act 2001</w:t>
      </w:r>
      <w:r w:rsidR="00295366" w:rsidRPr="00D02770">
        <w:t xml:space="preserve">. </w:t>
      </w:r>
    </w:p>
    <w:p w14:paraId="688D2B6E" w14:textId="108A38DB" w:rsidR="00655F4A" w:rsidRPr="00655F4A" w:rsidRDefault="00655F4A" w:rsidP="00D02770">
      <w:pPr>
        <w:pStyle w:val="OutlineNumbered1"/>
      </w:pPr>
      <w:r>
        <w:lastRenderedPageBreak/>
        <w:t xml:space="preserve">In calculating the averaged </w:t>
      </w:r>
      <w:r w:rsidR="00101D14">
        <w:t xml:space="preserve">value of resident loans and leases reported </w:t>
      </w:r>
      <w:r w:rsidR="004272D0">
        <w:t>over the 12</w:t>
      </w:r>
      <w:r w:rsidR="00BB232D">
        <w:noBreakHyphen/>
      </w:r>
      <w:r w:rsidR="004272D0">
        <w:t xml:space="preserve">month period, </w:t>
      </w:r>
      <w:r w:rsidR="00BE1316">
        <w:t>any calendar month in which no report was made by the lender or any of its associated non-bank lenders is disregarded</w:t>
      </w:r>
      <w:r w:rsidR="00790065">
        <w:t>.</w:t>
      </w:r>
    </w:p>
    <w:p w14:paraId="4DF8B0C6" w14:textId="59D7D399" w:rsidR="00A94114" w:rsidRPr="00655F4A" w:rsidRDefault="00A94114" w:rsidP="00D02770">
      <w:pPr>
        <w:pStyle w:val="OutlineNumbered1"/>
      </w:pPr>
      <w:r>
        <w:t xml:space="preserve">For example, </w:t>
      </w:r>
      <w:r w:rsidR="007B55F9">
        <w:t xml:space="preserve">Lender </w:t>
      </w:r>
      <w:r w:rsidR="00731539">
        <w:t xml:space="preserve">A </w:t>
      </w:r>
      <w:r w:rsidR="002C1A54">
        <w:t xml:space="preserve">has reported </w:t>
      </w:r>
      <w:r w:rsidR="00FE5C21">
        <w:t xml:space="preserve">the </w:t>
      </w:r>
      <w:r w:rsidR="007F4480">
        <w:t xml:space="preserve">total </w:t>
      </w:r>
      <w:r w:rsidR="00FE5C21">
        <w:t xml:space="preserve">value of its </w:t>
      </w:r>
      <w:r w:rsidR="00CD4EB3">
        <w:t xml:space="preserve">resident loans and leases for </w:t>
      </w:r>
      <w:r w:rsidR="00AE4904">
        <w:t>10</w:t>
      </w:r>
      <w:r w:rsidR="00ED1CF1">
        <w:t xml:space="preserve"> out of the past 12 months</w:t>
      </w:r>
      <w:r w:rsidR="00C851AE">
        <w:t>.</w:t>
      </w:r>
      <w:r w:rsidR="00AE4904">
        <w:t xml:space="preserve"> When calculating the average value </w:t>
      </w:r>
      <w:r w:rsidR="00841A2F">
        <w:t>Lender A</w:t>
      </w:r>
      <w:r w:rsidR="00AE4904">
        <w:t xml:space="preserve"> </w:t>
      </w:r>
      <w:r w:rsidR="00B53ED5">
        <w:t xml:space="preserve">sums the </w:t>
      </w:r>
      <w:r w:rsidR="00841A2F">
        <w:t>values</w:t>
      </w:r>
      <w:r w:rsidR="00B53ED5">
        <w:t xml:space="preserve"> reported </w:t>
      </w:r>
      <w:r w:rsidR="0050624F">
        <w:t xml:space="preserve">for each month </w:t>
      </w:r>
      <w:r w:rsidR="00B53ED5">
        <w:t>and divides by 10.</w:t>
      </w:r>
    </w:p>
    <w:p w14:paraId="67DCC82B" w14:textId="7442126E" w:rsidR="00166078" w:rsidRDefault="0038624E" w:rsidP="00D02770">
      <w:pPr>
        <w:pStyle w:val="OutlineNumbered1"/>
      </w:pPr>
      <w:r>
        <w:t xml:space="preserve">In addition, </w:t>
      </w:r>
      <w:r w:rsidR="00334900">
        <w:t xml:space="preserve">for both </w:t>
      </w:r>
      <w:r w:rsidR="00B555C6">
        <w:t xml:space="preserve">initial providers and large providers, </w:t>
      </w:r>
      <w:r>
        <w:t xml:space="preserve">the </w:t>
      </w:r>
      <w:r w:rsidR="00B04784">
        <w:t xml:space="preserve">total </w:t>
      </w:r>
      <w:r w:rsidR="00871C21">
        <w:t xml:space="preserve">value </w:t>
      </w:r>
      <w:r w:rsidR="006213E2">
        <w:t xml:space="preserve">for a lender </w:t>
      </w:r>
      <w:r w:rsidR="0021011F">
        <w:t>include</w:t>
      </w:r>
      <w:r w:rsidR="00353078">
        <w:t>s</w:t>
      </w:r>
      <w:r w:rsidR="0021011F">
        <w:t xml:space="preserve"> the </w:t>
      </w:r>
      <w:r w:rsidR="00DB461F" w:rsidRPr="009B23F1">
        <w:t>resident</w:t>
      </w:r>
      <w:r w:rsidR="00DB461F">
        <w:t xml:space="preserve"> loans and finance leases </w:t>
      </w:r>
      <w:r w:rsidR="004813EC">
        <w:t xml:space="preserve">reported </w:t>
      </w:r>
      <w:r w:rsidR="008217CF">
        <w:t xml:space="preserve">by the lender itself, and </w:t>
      </w:r>
      <w:r w:rsidR="008E4CB9">
        <w:t xml:space="preserve">those </w:t>
      </w:r>
      <w:r w:rsidR="004813EC">
        <w:t xml:space="preserve">reported </w:t>
      </w:r>
      <w:r w:rsidR="008E4CB9">
        <w:t xml:space="preserve">by </w:t>
      </w:r>
      <w:r w:rsidR="001B504D">
        <w:t xml:space="preserve">each of its associated </w:t>
      </w:r>
      <w:r w:rsidR="00D63A60">
        <w:t>non-bank lenders</w:t>
      </w:r>
      <w:r w:rsidR="001B504D">
        <w:t>.</w:t>
      </w:r>
      <w:r w:rsidR="00AB11DF">
        <w:t xml:space="preserve"> A</w:t>
      </w:r>
      <w:r w:rsidR="006D02FC">
        <w:t xml:space="preserve"> relevant </w:t>
      </w:r>
      <w:r w:rsidR="009D0E49">
        <w:t>non-bank lender</w:t>
      </w:r>
      <w:r w:rsidR="00166078">
        <w:t xml:space="preserve"> (the first lender)</w:t>
      </w:r>
      <w:r w:rsidR="009D0E49">
        <w:t xml:space="preserve"> </w:t>
      </w:r>
      <w:r w:rsidR="005806D9">
        <w:t>will be a</w:t>
      </w:r>
      <w:r w:rsidR="00AB11DF">
        <w:t xml:space="preserve">n ‘associated </w:t>
      </w:r>
      <w:r w:rsidR="00A67B8B">
        <w:t xml:space="preserve">non-bank lender’ </w:t>
      </w:r>
      <w:r w:rsidR="00166078">
        <w:t>of another relevant non-bank lender (the second lender) if any of the following apply:</w:t>
      </w:r>
    </w:p>
    <w:p w14:paraId="01AB5865" w14:textId="1B367A4F" w:rsidR="00166078" w:rsidRDefault="00166078" w:rsidP="00166078">
      <w:pPr>
        <w:pStyle w:val="Bullet"/>
      </w:pPr>
      <w:r>
        <w:t>the first lender is</w:t>
      </w:r>
      <w:r w:rsidR="00433EAA">
        <w:rPr>
          <w:szCs w:val="24"/>
        </w:rPr>
        <w:t xml:space="preserve"> </w:t>
      </w:r>
      <w:r w:rsidR="00867556">
        <w:rPr>
          <w:szCs w:val="24"/>
        </w:rPr>
        <w:t xml:space="preserve">a </w:t>
      </w:r>
      <w:r w:rsidR="000E6061">
        <w:rPr>
          <w:szCs w:val="24"/>
        </w:rPr>
        <w:t xml:space="preserve">related body corporate </w:t>
      </w:r>
      <w:r w:rsidR="006462B7">
        <w:rPr>
          <w:szCs w:val="24"/>
        </w:rPr>
        <w:t xml:space="preserve">(within the meaning of subsection </w:t>
      </w:r>
      <w:r w:rsidR="00291E49">
        <w:rPr>
          <w:szCs w:val="24"/>
        </w:rPr>
        <w:t>4</w:t>
      </w:r>
      <w:proofErr w:type="gramStart"/>
      <w:r w:rsidR="00291E49">
        <w:rPr>
          <w:szCs w:val="24"/>
        </w:rPr>
        <w:t>A(</w:t>
      </w:r>
      <w:proofErr w:type="gramEnd"/>
      <w:r w:rsidR="00291E49">
        <w:rPr>
          <w:szCs w:val="24"/>
        </w:rPr>
        <w:t xml:space="preserve">5) of the Act) </w:t>
      </w:r>
      <w:r w:rsidR="00F71265">
        <w:rPr>
          <w:szCs w:val="24"/>
        </w:rPr>
        <w:t xml:space="preserve">of </w:t>
      </w:r>
      <w:r w:rsidR="0007289E">
        <w:rPr>
          <w:szCs w:val="24"/>
        </w:rPr>
        <w:t xml:space="preserve">the </w:t>
      </w:r>
      <w:r>
        <w:t xml:space="preserve">second </w:t>
      </w:r>
      <w:r w:rsidR="0007289E">
        <w:rPr>
          <w:szCs w:val="24"/>
        </w:rPr>
        <w:t>lender</w:t>
      </w:r>
      <w:r w:rsidR="00094E54">
        <w:rPr>
          <w:szCs w:val="24"/>
        </w:rPr>
        <w:t>;</w:t>
      </w:r>
    </w:p>
    <w:p w14:paraId="33A09C57" w14:textId="6BE1E620" w:rsidR="004813EC" w:rsidRPr="004813EC" w:rsidRDefault="0049353D" w:rsidP="00A2230F">
      <w:pPr>
        <w:pStyle w:val="Bullet"/>
        <w:rPr>
          <w:szCs w:val="24"/>
        </w:rPr>
      </w:pPr>
      <w:r>
        <w:rPr>
          <w:szCs w:val="24"/>
        </w:rPr>
        <w:t>the first lender has an arrangement with the second lender in relation to the administration</w:t>
      </w:r>
      <w:r w:rsidR="00094E54" w:rsidRPr="00094E54">
        <w:rPr>
          <w:szCs w:val="24"/>
        </w:rPr>
        <w:t>,</w:t>
      </w:r>
      <w:r w:rsidR="00BE1316">
        <w:rPr>
          <w:szCs w:val="24"/>
        </w:rPr>
        <w:t xml:space="preserve"> </w:t>
      </w:r>
      <w:r w:rsidR="00094E54" w:rsidRPr="00094E54">
        <w:rPr>
          <w:szCs w:val="24"/>
        </w:rPr>
        <w:t xml:space="preserve">offering, provision or underwriting of resident loans or resident finance </w:t>
      </w:r>
      <w:proofErr w:type="gramStart"/>
      <w:r w:rsidR="00094E54" w:rsidRPr="00094E54">
        <w:rPr>
          <w:szCs w:val="24"/>
        </w:rPr>
        <w:t>leases</w:t>
      </w:r>
      <w:r w:rsidR="00094E54">
        <w:rPr>
          <w:szCs w:val="24"/>
        </w:rPr>
        <w:t>;</w:t>
      </w:r>
      <w:proofErr w:type="gramEnd"/>
      <w:r w:rsidR="00094E54" w:rsidDel="00BE1316">
        <w:rPr>
          <w:szCs w:val="24"/>
        </w:rPr>
        <w:t xml:space="preserve"> </w:t>
      </w:r>
    </w:p>
    <w:p w14:paraId="09FB6297" w14:textId="63EDC4B7" w:rsidR="00BE1316" w:rsidRDefault="00BE1316" w:rsidP="00A2230F">
      <w:pPr>
        <w:pStyle w:val="Bullet"/>
        <w:rPr>
          <w:szCs w:val="24"/>
        </w:rPr>
      </w:pPr>
      <w:r>
        <w:t>the second lender has an arrangement with the first lender for the administration</w:t>
      </w:r>
      <w:r w:rsidRPr="00A2230F">
        <w:t>,</w:t>
      </w:r>
      <w:r>
        <w:t xml:space="preserve"> </w:t>
      </w:r>
      <w:r w:rsidRPr="00A2230F">
        <w:t>offering, provision or underwriting of resident loans or resident finance lease</w:t>
      </w:r>
      <w:r>
        <w:t>s</w:t>
      </w:r>
      <w:r w:rsidRPr="00A2230F">
        <w:t>.</w:t>
      </w:r>
    </w:p>
    <w:p w14:paraId="51AB2DD0" w14:textId="4780C91C" w:rsidR="0018197E" w:rsidRPr="0018197E" w:rsidRDefault="004446AA" w:rsidP="00D02770">
      <w:pPr>
        <w:pStyle w:val="OutlineNumbered1"/>
        <w:rPr>
          <w:szCs w:val="24"/>
        </w:rPr>
      </w:pPr>
      <w:r>
        <w:t>For example</w:t>
      </w:r>
      <w:r w:rsidR="00736333">
        <w:t>, if</w:t>
      </w:r>
      <w:r w:rsidR="0018197E">
        <w:t>:</w:t>
      </w:r>
    </w:p>
    <w:p w14:paraId="7999D02D" w14:textId="3C55A99E" w:rsidR="00736333" w:rsidRPr="00736333" w:rsidRDefault="0064726F" w:rsidP="0018197E">
      <w:pPr>
        <w:pStyle w:val="Bullet"/>
        <w:rPr>
          <w:szCs w:val="24"/>
        </w:rPr>
      </w:pPr>
      <w:r>
        <w:t xml:space="preserve">Lender A </w:t>
      </w:r>
      <w:r w:rsidR="002A3A2A">
        <w:t>has reported</w:t>
      </w:r>
      <w:r w:rsidR="009875EA">
        <w:t xml:space="preserve"> </w:t>
      </w:r>
      <w:r w:rsidR="006437BA">
        <w:t xml:space="preserve">a total value of </w:t>
      </w:r>
      <w:r w:rsidR="00C257C3">
        <w:t xml:space="preserve">resident loans and </w:t>
      </w:r>
      <w:r w:rsidR="00842A01">
        <w:t xml:space="preserve">resident </w:t>
      </w:r>
      <w:r w:rsidR="00C257C3">
        <w:t>finance leases</w:t>
      </w:r>
      <w:r w:rsidR="00842A01">
        <w:t xml:space="preserve"> of $750 million</w:t>
      </w:r>
      <w:r w:rsidR="00C257C3">
        <w:t xml:space="preserve"> </w:t>
      </w:r>
      <w:r w:rsidR="00443940">
        <w:t>to</w:t>
      </w:r>
      <w:r w:rsidR="00842A01">
        <w:t xml:space="preserve"> </w:t>
      </w:r>
      <w:r w:rsidR="007B30E3">
        <w:t>APRA</w:t>
      </w:r>
      <w:r w:rsidR="00842A01">
        <w:t xml:space="preserve"> under the applicable standards in relation to the most recent calendar month</w:t>
      </w:r>
      <w:r w:rsidR="006B4700">
        <w:t xml:space="preserve"> </w:t>
      </w:r>
      <w:r w:rsidR="00FE3737">
        <w:t>for which a report was made prior to t</w:t>
      </w:r>
      <w:r w:rsidR="006B4700">
        <w:t>he Amending Rules commenc</w:t>
      </w:r>
      <w:r w:rsidR="00FE3737">
        <w:t>ing</w:t>
      </w:r>
      <w:r w:rsidR="005134E9">
        <w:t>;</w:t>
      </w:r>
      <w:r w:rsidR="008A25E2">
        <w:t xml:space="preserve"> and</w:t>
      </w:r>
    </w:p>
    <w:p w14:paraId="4CD64DA4" w14:textId="1DD52F9A" w:rsidR="00736333" w:rsidRPr="00736333" w:rsidRDefault="007B1131" w:rsidP="0018197E">
      <w:pPr>
        <w:pStyle w:val="Bullet"/>
        <w:rPr>
          <w:szCs w:val="24"/>
        </w:rPr>
      </w:pPr>
      <w:r>
        <w:t xml:space="preserve">Lender A has no </w:t>
      </w:r>
      <w:r w:rsidR="00477AB7">
        <w:t>associated non-bank lenders</w:t>
      </w:r>
      <w:r w:rsidR="005134E9">
        <w:t>,</w:t>
      </w:r>
    </w:p>
    <w:p w14:paraId="300C3DBD" w14:textId="1315F7F6" w:rsidR="0018197E" w:rsidRPr="0018197E" w:rsidRDefault="00453030" w:rsidP="00FB5985">
      <w:pPr>
        <w:pStyle w:val="Bullet"/>
        <w:numPr>
          <w:ilvl w:val="0"/>
          <w:numId w:val="0"/>
        </w:numPr>
        <w:ind w:left="567"/>
        <w:rPr>
          <w:szCs w:val="24"/>
        </w:rPr>
      </w:pPr>
      <w:r>
        <w:t xml:space="preserve">then </w:t>
      </w:r>
      <w:r w:rsidR="00FE3737">
        <w:t xml:space="preserve">it is intended that </w:t>
      </w:r>
      <w:r w:rsidR="00990FD8">
        <w:t>the</w:t>
      </w:r>
      <w:r w:rsidR="00904C5A">
        <w:t xml:space="preserve"> limb of the</w:t>
      </w:r>
      <w:r w:rsidR="00990FD8">
        <w:t xml:space="preserve"> large provider qualification </w:t>
      </w:r>
      <w:r w:rsidR="00904C5A">
        <w:t xml:space="preserve">at </w:t>
      </w:r>
      <w:r w:rsidR="00F70D90">
        <w:t>clause 6.2(</w:t>
      </w:r>
      <w:r w:rsidR="008D1E95">
        <w:t>3)(</w:t>
      </w:r>
      <w:r w:rsidR="00675A52">
        <w:t>a)(</w:t>
      </w:r>
      <w:proofErr w:type="spellStart"/>
      <w:r w:rsidR="00675A52">
        <w:t>i</w:t>
      </w:r>
      <w:proofErr w:type="spellEnd"/>
      <w:r w:rsidR="00675A52">
        <w:t>) of</w:t>
      </w:r>
      <w:r w:rsidR="00FE3737">
        <w:t xml:space="preserve"> schedule 3</w:t>
      </w:r>
      <w:r w:rsidR="00D22BA9">
        <w:t xml:space="preserve"> of the Amending Rules</w:t>
      </w:r>
      <w:r w:rsidR="00675A52">
        <w:t xml:space="preserve"> </w:t>
      </w:r>
      <w:r w:rsidR="00990FD8">
        <w:t xml:space="preserve">would not be met. </w:t>
      </w:r>
      <w:r w:rsidR="00247A85">
        <w:t xml:space="preserve">This would mean that Lender A </w:t>
      </w:r>
      <w:r w:rsidR="0018197E">
        <w:t>would not be a non-bank lender with data sharing obligations.</w:t>
      </w:r>
    </w:p>
    <w:p w14:paraId="286FD411" w14:textId="77777777" w:rsidR="00232143" w:rsidRPr="00232143" w:rsidRDefault="00990FD8" w:rsidP="00232143">
      <w:pPr>
        <w:pStyle w:val="OutlineNumbered1"/>
        <w:rPr>
          <w:szCs w:val="24"/>
        </w:rPr>
      </w:pPr>
      <w:r>
        <w:t>However, if</w:t>
      </w:r>
      <w:r w:rsidR="00232143">
        <w:t>:</w:t>
      </w:r>
    </w:p>
    <w:p w14:paraId="768A14BF" w14:textId="61DA0A9B" w:rsidR="00232143" w:rsidRPr="00232143" w:rsidRDefault="00791C97" w:rsidP="00232143">
      <w:pPr>
        <w:pStyle w:val="Bullet"/>
        <w:rPr>
          <w:szCs w:val="24"/>
        </w:rPr>
      </w:pPr>
      <w:r>
        <w:t>Lender B is a</w:t>
      </w:r>
      <w:r w:rsidR="00E746CF">
        <w:t xml:space="preserve"> relevant non-bank lender </w:t>
      </w:r>
      <w:r>
        <w:t xml:space="preserve">and </w:t>
      </w:r>
      <w:r w:rsidR="00D0069A">
        <w:t xml:space="preserve">a </w:t>
      </w:r>
      <w:r w:rsidR="00625877">
        <w:t xml:space="preserve">related body corporate of </w:t>
      </w:r>
      <w:r w:rsidR="005D0FB7">
        <w:t>Lender A</w:t>
      </w:r>
      <w:r w:rsidR="00625877">
        <w:t xml:space="preserve"> (within the meaning of subsection 4</w:t>
      </w:r>
      <w:proofErr w:type="gramStart"/>
      <w:r w:rsidR="00625877">
        <w:t>A(</w:t>
      </w:r>
      <w:proofErr w:type="gramEnd"/>
      <w:r w:rsidR="00625877">
        <w:t>5) of the Act</w:t>
      </w:r>
      <w:r w:rsidR="004813EC">
        <w:t>)</w:t>
      </w:r>
      <w:r w:rsidR="00232143">
        <w:t>;</w:t>
      </w:r>
      <w:r w:rsidR="00625877">
        <w:t xml:space="preserve"> and</w:t>
      </w:r>
    </w:p>
    <w:p w14:paraId="608B57E5" w14:textId="2BF270F4" w:rsidR="00232143" w:rsidRPr="00232143" w:rsidRDefault="00791C97" w:rsidP="00232143">
      <w:pPr>
        <w:pStyle w:val="Bullet"/>
        <w:rPr>
          <w:szCs w:val="24"/>
        </w:rPr>
      </w:pPr>
      <w:r>
        <w:t>Lender B has reported a total value of resident loans and resident finance leases of $</w:t>
      </w:r>
      <w:r w:rsidR="00A57FF3">
        <w:t xml:space="preserve">300 million to </w:t>
      </w:r>
      <w:r w:rsidR="007B30E3">
        <w:t>APRA</w:t>
      </w:r>
      <w:r w:rsidR="00A57FF3">
        <w:t xml:space="preserve"> under the applicable standards in relation to the most recent calendar month for which a report was made prior to the Amending Rules commencing</w:t>
      </w:r>
      <w:r w:rsidR="00232143">
        <w:t>,</w:t>
      </w:r>
    </w:p>
    <w:p w14:paraId="64FA13FB" w14:textId="2FB3BB6E" w:rsidR="00232143" w:rsidRPr="00232143" w:rsidRDefault="00232143" w:rsidP="00742E01">
      <w:pPr>
        <w:pStyle w:val="Bullet"/>
        <w:numPr>
          <w:ilvl w:val="0"/>
          <w:numId w:val="0"/>
        </w:numPr>
        <w:ind w:left="567"/>
      </w:pPr>
      <w:r>
        <w:t>then it is intended that the limb of the large provider qualification at clause 6.2(3)(a)(</w:t>
      </w:r>
      <w:proofErr w:type="spellStart"/>
      <w:r>
        <w:t>i</w:t>
      </w:r>
      <w:proofErr w:type="spellEnd"/>
      <w:r>
        <w:t>) of schedule 3 of the Amending Rules would be met</w:t>
      </w:r>
      <w:r w:rsidR="00D90D98">
        <w:t xml:space="preserve"> by both Lender </w:t>
      </w:r>
      <w:r w:rsidR="00D90D98">
        <w:lastRenderedPageBreak/>
        <w:t>A and Lender B</w:t>
      </w:r>
      <w:r w:rsidR="00B20560">
        <w:t xml:space="preserve"> as $750 million + $300 million </w:t>
      </w:r>
      <w:r w:rsidR="00585F74">
        <w:t xml:space="preserve">is </w:t>
      </w:r>
      <w:r w:rsidR="00163D31">
        <w:t>over $1 billion.</w:t>
      </w:r>
      <w:r>
        <w:t xml:space="preserve"> </w:t>
      </w:r>
      <w:r w:rsidR="00873E12">
        <w:t>I</w:t>
      </w:r>
      <w:r w:rsidR="004C5A4D">
        <w:t xml:space="preserve">f the </w:t>
      </w:r>
      <w:r w:rsidR="001577B8">
        <w:t>other</w:t>
      </w:r>
      <w:r w:rsidR="004C5A4D">
        <w:t xml:space="preserve"> elements of the large provider qualification are </w:t>
      </w:r>
      <w:r w:rsidR="001577B8">
        <w:t xml:space="preserve">also </w:t>
      </w:r>
      <w:r w:rsidR="004C5A4D">
        <w:t>met</w:t>
      </w:r>
      <w:r w:rsidR="00873E12">
        <w:t>, either</w:t>
      </w:r>
      <w:r w:rsidR="00163D31">
        <w:t xml:space="preserve"> or both lenders may </w:t>
      </w:r>
      <w:r w:rsidR="004C5A4D">
        <w:t>be a non-bank lender with data sharing obligations</w:t>
      </w:r>
      <w:r w:rsidR="0056099C">
        <w:t>.</w:t>
      </w:r>
      <w:r w:rsidR="00D90D98">
        <w:t xml:space="preserve"> </w:t>
      </w:r>
      <w:r>
        <w:t xml:space="preserve"> </w:t>
      </w:r>
    </w:p>
    <w:p w14:paraId="2BB9D0F0" w14:textId="0CDFFD8D" w:rsidR="0038624E" w:rsidRDefault="00A2230F" w:rsidP="00D02770">
      <w:pPr>
        <w:pStyle w:val="OutlineNumbered1"/>
        <w:rPr>
          <w:szCs w:val="24"/>
        </w:rPr>
      </w:pPr>
      <w:r>
        <w:t xml:space="preserve">This </w:t>
      </w:r>
      <w:r w:rsidR="0080227F">
        <w:t xml:space="preserve">approach </w:t>
      </w:r>
      <w:r w:rsidR="007068CD">
        <w:t>is intended to account for</w:t>
      </w:r>
      <w:r>
        <w:t xml:space="preserve"> </w:t>
      </w:r>
      <w:r w:rsidR="00774AC8">
        <w:t>the complexity of</w:t>
      </w:r>
      <w:r w:rsidR="00E27C01">
        <w:t xml:space="preserve"> lending arrangements in</w:t>
      </w:r>
      <w:r w:rsidR="00774AC8">
        <w:t xml:space="preserve"> the non-bank lenders sector</w:t>
      </w:r>
      <w:r w:rsidR="006A1C65">
        <w:t xml:space="preserve">. </w:t>
      </w:r>
      <w:r w:rsidR="00D2595B">
        <w:t>It is to recognise</w:t>
      </w:r>
      <w:r w:rsidR="00CB1D88">
        <w:t xml:space="preserve"> that </w:t>
      </w:r>
      <w:r w:rsidR="00D2595B">
        <w:t>the</w:t>
      </w:r>
      <w:r w:rsidR="007068CD">
        <w:t xml:space="preserve"> </w:t>
      </w:r>
      <w:r w:rsidR="00F93899">
        <w:t>amount of loans and finance leases reported by a</w:t>
      </w:r>
      <w:r w:rsidR="00796CB4">
        <w:t xml:space="preserve"> particular lender to </w:t>
      </w:r>
      <w:r w:rsidR="00971AD5">
        <w:t>APRA</w:t>
      </w:r>
      <w:r w:rsidR="00D022BD">
        <w:t xml:space="preserve"> under the applicable standards </w:t>
      </w:r>
      <w:r w:rsidR="00796CB4">
        <w:t xml:space="preserve">may not </w:t>
      </w:r>
      <w:r w:rsidR="001A73B7">
        <w:t>by itself</w:t>
      </w:r>
      <w:r w:rsidR="00796CB4">
        <w:t xml:space="preserve"> </w:t>
      </w:r>
      <w:r w:rsidR="00D022BD">
        <w:t xml:space="preserve">be reflective of the capacity of the lender to meet </w:t>
      </w:r>
      <w:r w:rsidR="006A1C65">
        <w:t xml:space="preserve">CDR </w:t>
      </w:r>
      <w:r w:rsidR="00566FC7">
        <w:t>data sharing obligations</w:t>
      </w:r>
      <w:r>
        <w:t>.</w:t>
      </w:r>
      <w:r w:rsidR="00341E83">
        <w:t xml:space="preserve"> </w:t>
      </w:r>
      <w:r w:rsidR="004D28A2">
        <w:t xml:space="preserve">In such cases, </w:t>
      </w:r>
      <w:r w:rsidR="0066046E">
        <w:t xml:space="preserve">under the Amending Rules, </w:t>
      </w:r>
      <w:r w:rsidR="004A789E">
        <w:t xml:space="preserve">the </w:t>
      </w:r>
      <w:r w:rsidR="000F265A">
        <w:t xml:space="preserve">position of </w:t>
      </w:r>
      <w:r w:rsidR="008D6AF2">
        <w:t xml:space="preserve">any </w:t>
      </w:r>
      <w:r w:rsidR="000F265A">
        <w:t xml:space="preserve">other lenders </w:t>
      </w:r>
      <w:r w:rsidR="00C5095A">
        <w:t>which are a</w:t>
      </w:r>
      <w:r w:rsidR="00664AD8">
        <w:t xml:space="preserve"> </w:t>
      </w:r>
      <w:r w:rsidR="008D6AF2">
        <w:t xml:space="preserve">related body corporate of the </w:t>
      </w:r>
      <w:proofErr w:type="gramStart"/>
      <w:r w:rsidR="008D6AF2">
        <w:t>lender</w:t>
      </w:r>
      <w:proofErr w:type="gramEnd"/>
      <w:r w:rsidR="008D6AF2">
        <w:t xml:space="preserve"> or </w:t>
      </w:r>
      <w:r w:rsidR="003B2ED6">
        <w:t xml:space="preserve">which have another arrangement with the lender, such as for </w:t>
      </w:r>
      <w:r w:rsidR="00267A47">
        <w:rPr>
          <w:szCs w:val="24"/>
        </w:rPr>
        <w:t xml:space="preserve">underwriting </w:t>
      </w:r>
      <w:r w:rsidR="003B2ED6">
        <w:rPr>
          <w:szCs w:val="24"/>
        </w:rPr>
        <w:t>or</w:t>
      </w:r>
      <w:r w:rsidR="00267A47">
        <w:rPr>
          <w:szCs w:val="24"/>
        </w:rPr>
        <w:t xml:space="preserve"> contract </w:t>
      </w:r>
      <w:r w:rsidR="00ED3C26">
        <w:rPr>
          <w:szCs w:val="24"/>
        </w:rPr>
        <w:t>management</w:t>
      </w:r>
      <w:r w:rsidR="0066046E">
        <w:rPr>
          <w:szCs w:val="24"/>
        </w:rPr>
        <w:t>, will be taken into account</w:t>
      </w:r>
      <w:r w:rsidR="00ED3C26">
        <w:rPr>
          <w:szCs w:val="24"/>
        </w:rPr>
        <w:t>.</w:t>
      </w:r>
    </w:p>
    <w:p w14:paraId="1217C1F1" w14:textId="250C9F34" w:rsidR="0083117F" w:rsidRPr="005D47EC" w:rsidRDefault="00E543E7" w:rsidP="00D02770">
      <w:pPr>
        <w:pStyle w:val="OutlineNumbered1"/>
        <w:rPr>
          <w:szCs w:val="24"/>
        </w:rPr>
      </w:pPr>
      <w:r w:rsidRPr="005D47EC">
        <w:rPr>
          <w:szCs w:val="24"/>
        </w:rPr>
        <w:t>‘</w:t>
      </w:r>
      <w:r w:rsidR="00E736B9" w:rsidRPr="005D47EC">
        <w:rPr>
          <w:szCs w:val="24"/>
        </w:rPr>
        <w:t xml:space="preserve">Resident </w:t>
      </w:r>
      <w:r w:rsidR="0083117F" w:rsidRPr="009B23F1">
        <w:t>finance</w:t>
      </w:r>
      <w:r w:rsidR="0083117F" w:rsidRPr="005D47EC">
        <w:rPr>
          <w:szCs w:val="24"/>
        </w:rPr>
        <w:t xml:space="preserve"> lease’ means a finance lease within the meaning of the accounting standard known as </w:t>
      </w:r>
      <w:r w:rsidR="0083117F" w:rsidRPr="005D47EC">
        <w:rPr>
          <w:i/>
          <w:szCs w:val="24"/>
        </w:rPr>
        <w:t xml:space="preserve">AASB 16 – Leases, </w:t>
      </w:r>
      <w:r w:rsidR="0083117F" w:rsidRPr="005D47EC">
        <w:rPr>
          <w:szCs w:val="24"/>
        </w:rPr>
        <w:t xml:space="preserve">if the lease is issued to persons who are resident institutional units for the purposes of </w:t>
      </w:r>
      <w:r w:rsidR="0083117F" w:rsidRPr="005D47EC">
        <w:rPr>
          <w:i/>
          <w:szCs w:val="24"/>
        </w:rPr>
        <w:t xml:space="preserve">Reporting Standard </w:t>
      </w:r>
      <w:r w:rsidR="0083117F" w:rsidRPr="005D47EC">
        <w:rPr>
          <w:i/>
          <w:iCs/>
          <w:szCs w:val="24"/>
        </w:rPr>
        <w:t>ARS</w:t>
      </w:r>
      <w:r w:rsidR="00BA53EF">
        <w:rPr>
          <w:i/>
          <w:iCs/>
          <w:szCs w:val="24"/>
        </w:rPr>
        <w:t xml:space="preserve"> </w:t>
      </w:r>
      <w:r w:rsidR="0083117F" w:rsidRPr="005D47EC">
        <w:rPr>
          <w:i/>
          <w:iCs/>
          <w:szCs w:val="24"/>
        </w:rPr>
        <w:t>701</w:t>
      </w:r>
      <w:r w:rsidR="0083117F" w:rsidRPr="005D47EC">
        <w:rPr>
          <w:i/>
          <w:szCs w:val="24"/>
        </w:rPr>
        <w:t xml:space="preserve">.0 </w:t>
      </w:r>
      <w:r w:rsidR="0083117F" w:rsidRPr="005D47EC">
        <w:rPr>
          <w:b/>
          <w:i/>
        </w:rPr>
        <w:t>–</w:t>
      </w:r>
      <w:r w:rsidR="0083117F" w:rsidRPr="005D47EC">
        <w:rPr>
          <w:b/>
        </w:rPr>
        <w:t xml:space="preserve"> </w:t>
      </w:r>
      <w:r w:rsidR="00BA53EF" w:rsidRPr="004C0E48">
        <w:rPr>
          <w:i/>
          <w:iCs/>
        </w:rPr>
        <w:t>A</w:t>
      </w:r>
      <w:r w:rsidR="0083117F" w:rsidRPr="005D47EC">
        <w:rPr>
          <w:rStyle w:val="cf01"/>
          <w:rFonts w:ascii="Times New Roman" w:hAnsi="Times New Roman"/>
          <w:sz w:val="24"/>
          <w:szCs w:val="24"/>
        </w:rPr>
        <w:t>BS/RBA Definitions for the EFS Collection</w:t>
      </w:r>
      <w:r w:rsidR="0083117F" w:rsidRPr="005D47EC">
        <w:rPr>
          <w:szCs w:val="24"/>
        </w:rPr>
        <w:t>.</w:t>
      </w:r>
      <w:r w:rsidR="0083117F" w:rsidRPr="005D47EC">
        <w:rPr>
          <w:i/>
        </w:rPr>
        <w:t xml:space="preserve"> </w:t>
      </w:r>
      <w:r w:rsidR="0083117F" w:rsidRPr="005D47EC">
        <w:rPr>
          <w:rStyle w:val="CommentReference"/>
          <w:rFonts w:eastAsiaTheme="minorHAnsi"/>
          <w:sz w:val="24"/>
          <w:szCs w:val="24"/>
        </w:rPr>
        <w:t xml:space="preserve">That standard is currently </w:t>
      </w:r>
      <w:r w:rsidR="002C5B69">
        <w:rPr>
          <w:rStyle w:val="CommentReference"/>
          <w:rFonts w:eastAsiaTheme="minorHAnsi"/>
          <w:sz w:val="24"/>
          <w:szCs w:val="24"/>
        </w:rPr>
        <w:t>set out</w:t>
      </w:r>
      <w:r w:rsidR="0083117F" w:rsidRPr="005D47EC">
        <w:rPr>
          <w:rStyle w:val="CommentReference"/>
          <w:rFonts w:eastAsiaTheme="minorHAnsi"/>
          <w:sz w:val="24"/>
          <w:szCs w:val="24"/>
        </w:rPr>
        <w:t xml:space="preserve"> in the </w:t>
      </w:r>
      <w:r w:rsidR="0083117F" w:rsidRPr="005D47EC">
        <w:rPr>
          <w:i/>
          <w:szCs w:val="24"/>
          <w:shd w:val="clear" w:color="auto" w:fill="FFFFFF"/>
        </w:rPr>
        <w:t xml:space="preserve">Financial Sector (Collection of Data) (reporting standard) determination No. </w:t>
      </w:r>
      <w:r w:rsidR="00B97DB3">
        <w:rPr>
          <w:i/>
          <w:iCs/>
          <w:szCs w:val="24"/>
          <w:shd w:val="clear" w:color="auto" w:fill="FFFFFF"/>
        </w:rPr>
        <w:t>5</w:t>
      </w:r>
      <w:r w:rsidR="0083117F" w:rsidRPr="005D47EC">
        <w:rPr>
          <w:i/>
          <w:szCs w:val="24"/>
          <w:shd w:val="clear" w:color="auto" w:fill="FFFFFF"/>
        </w:rPr>
        <w:t xml:space="preserve"> of </w:t>
      </w:r>
      <w:r w:rsidR="00B97DB3">
        <w:rPr>
          <w:i/>
          <w:iCs/>
          <w:szCs w:val="24"/>
          <w:shd w:val="clear" w:color="auto" w:fill="FFFFFF"/>
        </w:rPr>
        <w:t>2024</w:t>
      </w:r>
      <w:r w:rsidR="0083117F" w:rsidRPr="005D47EC">
        <w:rPr>
          <w:szCs w:val="24"/>
          <w:shd w:val="clear" w:color="auto" w:fill="FFFFFF"/>
        </w:rPr>
        <w:t xml:space="preserve">. </w:t>
      </w:r>
    </w:p>
    <w:p w14:paraId="576400C7" w14:textId="1EA56C73" w:rsidR="00766288" w:rsidRDefault="00D56575" w:rsidP="00D02770">
      <w:pPr>
        <w:pStyle w:val="OutlineNumbered1"/>
      </w:pPr>
      <w:r>
        <w:t>A ‘loan’ is a financial asset that has been created by the len</w:t>
      </w:r>
      <w:r w:rsidR="00D65896">
        <w:t>d</w:t>
      </w:r>
      <w:r>
        <w:t xml:space="preserve">er directly lending funds to a debtor </w:t>
      </w:r>
      <w:r w:rsidR="00A177F5">
        <w:t>which is evidenced</w:t>
      </w:r>
      <w:r w:rsidR="00D65896">
        <w:t xml:space="preserve"> in non-negotiable documents. </w:t>
      </w:r>
      <w:r w:rsidR="009A7451">
        <w:t xml:space="preserve">A </w:t>
      </w:r>
      <w:r w:rsidR="00CE5518">
        <w:t>‘resident loan’ is a loan issued by the lender to a person</w:t>
      </w:r>
      <w:r>
        <w:t xml:space="preserve"> or group of individuals whose principal place of residence or business is in Australia. </w:t>
      </w:r>
    </w:p>
    <w:p w14:paraId="6A6251F9" w14:textId="021C14FD" w:rsidR="006650BB" w:rsidRDefault="003B186B" w:rsidP="00D02770">
      <w:pPr>
        <w:pStyle w:val="OutlineNumbered1"/>
      </w:pPr>
      <w:r>
        <w:t>Non-bank lenders</w:t>
      </w:r>
      <w:r w:rsidR="00FF5316">
        <w:t xml:space="preserve"> </w:t>
      </w:r>
      <w:r w:rsidR="00112A83">
        <w:t xml:space="preserve">that </w:t>
      </w:r>
      <w:r w:rsidR="00CF5812">
        <w:t xml:space="preserve">hold NBL sector data and </w:t>
      </w:r>
      <w:r w:rsidR="00112A83">
        <w:t xml:space="preserve">are </w:t>
      </w:r>
      <w:r w:rsidR="00DD30A6">
        <w:t xml:space="preserve">also </w:t>
      </w:r>
      <w:r w:rsidR="00112A83">
        <w:t xml:space="preserve">accredited persons </w:t>
      </w:r>
      <w:r w:rsidR="004C2C2D">
        <w:t>are</w:t>
      </w:r>
      <w:r w:rsidR="008D45E7" w:rsidDel="004C2C2D">
        <w:t xml:space="preserve"> </w:t>
      </w:r>
      <w:r w:rsidR="008D45E7">
        <w:t xml:space="preserve">deemed </w:t>
      </w:r>
      <w:r w:rsidR="004202B9">
        <w:t xml:space="preserve">to be large providers </w:t>
      </w:r>
      <w:r w:rsidR="009E3FFA">
        <w:t xml:space="preserve">for the purposes of the </w:t>
      </w:r>
      <w:r w:rsidR="00733ACE">
        <w:t xml:space="preserve">phase-in </w:t>
      </w:r>
      <w:r w:rsidR="00362494">
        <w:t>timetable</w:t>
      </w:r>
      <w:r w:rsidR="00CB3BA5">
        <w:t>, even if they have not met the</w:t>
      </w:r>
      <w:r w:rsidR="00A265BF">
        <w:t xml:space="preserve"> reporting</w:t>
      </w:r>
      <w:r w:rsidR="00CB3BA5">
        <w:t xml:space="preserve"> </w:t>
      </w:r>
      <w:r w:rsidR="00A265BF">
        <w:t>criteria described above to be a large provider</w:t>
      </w:r>
      <w:r w:rsidR="00733ACE">
        <w:t>.</w:t>
      </w:r>
      <w:r w:rsidR="008D45E7">
        <w:t xml:space="preserve"> </w:t>
      </w:r>
      <w:r w:rsidR="00BC397E">
        <w:t>O</w:t>
      </w:r>
      <w:r w:rsidR="00B47144">
        <w:t>bligations for both product and consumer data sharing apply to</w:t>
      </w:r>
      <w:r w:rsidR="00BC397E">
        <w:t xml:space="preserve"> such </w:t>
      </w:r>
      <w:r w:rsidR="00B47144">
        <w:t xml:space="preserve">data holders. </w:t>
      </w:r>
    </w:p>
    <w:p w14:paraId="76FC79F3" w14:textId="35B4C65A" w:rsidR="00B47144" w:rsidRDefault="00A265BF" w:rsidP="00D02770">
      <w:pPr>
        <w:pStyle w:val="OutlineNumbered1"/>
      </w:pPr>
      <w:r>
        <w:t>If</w:t>
      </w:r>
      <w:r w:rsidR="002F719F">
        <w:t xml:space="preserve"> such a </w:t>
      </w:r>
      <w:r w:rsidR="000A08C5">
        <w:t xml:space="preserve">non-bank lender </w:t>
      </w:r>
      <w:r w:rsidR="00FD2968">
        <w:t xml:space="preserve">ceases to be an accredited </w:t>
      </w:r>
      <w:r w:rsidR="0082693E">
        <w:t>person</w:t>
      </w:r>
      <w:r w:rsidR="00DE054D">
        <w:t xml:space="preserve"> on a later day</w:t>
      </w:r>
      <w:r w:rsidR="00E44DF9">
        <w:t xml:space="preserve"> and has not </w:t>
      </w:r>
      <w:r w:rsidR="006F1E20">
        <w:t xml:space="preserve">at any point </w:t>
      </w:r>
      <w:r w:rsidR="00F87C7D">
        <w:t xml:space="preserve">before that later day </w:t>
      </w:r>
      <w:r w:rsidR="00E44DF9">
        <w:t xml:space="preserve">met the </w:t>
      </w:r>
      <w:r>
        <w:t>reporting</w:t>
      </w:r>
      <w:r w:rsidR="006F1E20">
        <w:t xml:space="preserve"> </w:t>
      </w:r>
      <w:r>
        <w:t xml:space="preserve">criteria </w:t>
      </w:r>
      <w:r w:rsidR="006F1E20">
        <w:t xml:space="preserve">to be a large </w:t>
      </w:r>
      <w:r>
        <w:t>provider</w:t>
      </w:r>
      <w:r w:rsidR="00252D4F">
        <w:t xml:space="preserve"> described above</w:t>
      </w:r>
      <w:r>
        <w:t>,</w:t>
      </w:r>
      <w:r w:rsidR="006650BB">
        <w:t xml:space="preserve"> </w:t>
      </w:r>
      <w:r w:rsidR="00DE054D">
        <w:t xml:space="preserve">they are taken to also </w:t>
      </w:r>
      <w:r w:rsidR="00BF7A5B">
        <w:t xml:space="preserve">cease </w:t>
      </w:r>
      <w:r w:rsidR="001E5D6C">
        <w:t xml:space="preserve">to meet the </w:t>
      </w:r>
      <w:r w:rsidR="006856CC">
        <w:t>large provider qualification on that day.</w:t>
      </w:r>
    </w:p>
    <w:p w14:paraId="0B0D9265" w14:textId="255FB38F" w:rsidR="00882D50" w:rsidRDefault="00FA1D48" w:rsidP="00D02770">
      <w:pPr>
        <w:pStyle w:val="OutlineNumbered1"/>
      </w:pPr>
      <w:r>
        <w:t>If a non-bank lender satisfies the ‘initial provider’</w:t>
      </w:r>
      <w:r w:rsidR="00A34AAA">
        <w:t xml:space="preserve"> or ‘large provider’ </w:t>
      </w:r>
      <w:r>
        <w:t>definition</w:t>
      </w:r>
      <w:r w:rsidR="00A34AAA">
        <w:t xml:space="preserve"> </w:t>
      </w:r>
      <w:r w:rsidR="00D4284A">
        <w:t>the intention is that</w:t>
      </w:r>
      <w:r w:rsidR="00CE508B">
        <w:t>, from that point, the lender</w:t>
      </w:r>
      <w:r w:rsidR="00FA4577" w:rsidDel="00CE508B">
        <w:t xml:space="preserve"> </w:t>
      </w:r>
      <w:r w:rsidR="00FA4577">
        <w:t xml:space="preserve">must comply with all relevant CDR obligations, </w:t>
      </w:r>
      <w:r w:rsidR="007B6DB4">
        <w:t xml:space="preserve">even if it subsequently </w:t>
      </w:r>
      <w:r w:rsidR="009A582D">
        <w:t>ceases to meet any of the criteria.</w:t>
      </w:r>
      <w:r w:rsidR="00C116CC">
        <w:t xml:space="preserve"> </w:t>
      </w:r>
      <w:r w:rsidR="00A173B0">
        <w:t xml:space="preserve">For example, </w:t>
      </w:r>
      <w:r w:rsidR="00AF080B">
        <w:t>if a</w:t>
      </w:r>
      <w:r w:rsidR="00937C2E">
        <w:t xml:space="preserve"> non-bank lende</w:t>
      </w:r>
      <w:r w:rsidR="00CE2715">
        <w:t xml:space="preserve">r </w:t>
      </w:r>
      <w:r w:rsidR="003E0F47">
        <w:t>meets the definition of a</w:t>
      </w:r>
      <w:r w:rsidR="00CE2715">
        <w:t xml:space="preserve"> ‘large provider’ but </w:t>
      </w:r>
      <w:proofErr w:type="gramStart"/>
      <w:r w:rsidR="00831439">
        <w:t>at a later time</w:t>
      </w:r>
      <w:proofErr w:type="gramEnd"/>
      <w:r w:rsidR="00831439">
        <w:t xml:space="preserve"> has fewer than</w:t>
      </w:r>
      <w:r w:rsidR="00271006">
        <w:t xml:space="preserve"> </w:t>
      </w:r>
      <w:r w:rsidR="009803D6">
        <w:t>1</w:t>
      </w:r>
      <w:r w:rsidR="004B1A4E">
        <w:t>,</w:t>
      </w:r>
      <w:r w:rsidR="009803D6">
        <w:t xml:space="preserve">000 </w:t>
      </w:r>
      <w:r w:rsidR="00C15DA7">
        <w:t xml:space="preserve">customers, it will continue to be subject to data sharing obligations. This </w:t>
      </w:r>
      <w:r w:rsidR="00560B4F">
        <w:t xml:space="preserve">will apply when a relevant non-bank lender has met the </w:t>
      </w:r>
      <w:r w:rsidR="0042075B">
        <w:t>applicable criteria</w:t>
      </w:r>
      <w:r w:rsidR="00252098">
        <w:t xml:space="preserve">, which is </w:t>
      </w:r>
      <w:r w:rsidR="009A5EA3">
        <w:t xml:space="preserve">appropriate as </w:t>
      </w:r>
      <w:r w:rsidR="00C15DA7">
        <w:t>it is likely that such a lender will have ongoing capacity to meet their CDR obligations.</w:t>
      </w:r>
      <w:r w:rsidR="00DF5A17">
        <w:t xml:space="preserve"> </w:t>
      </w:r>
      <w:r w:rsidR="00205275">
        <w:t xml:space="preserve">                                   </w:t>
      </w:r>
      <w:r w:rsidR="00DF5A17" w:rsidRPr="00A84984">
        <w:rPr>
          <w:b/>
          <w:bCs/>
          <w:i/>
          <w:iCs/>
        </w:rPr>
        <w:t>[Schedule 1, item</w:t>
      </w:r>
      <w:r w:rsidR="00DF5A17">
        <w:rPr>
          <w:b/>
          <w:bCs/>
          <w:i/>
          <w:iCs/>
        </w:rPr>
        <w:t xml:space="preserve"> 30, clause 6.2</w:t>
      </w:r>
      <w:r w:rsidR="00DF5A17" w:rsidRPr="00A84984">
        <w:rPr>
          <w:b/>
          <w:bCs/>
          <w:i/>
          <w:iCs/>
        </w:rPr>
        <w:t xml:space="preserve"> of Schedule </w:t>
      </w:r>
      <w:r w:rsidR="00DF5A17" w:rsidRPr="002F29CA">
        <w:rPr>
          <w:b/>
          <w:bCs/>
          <w:i/>
          <w:iCs/>
        </w:rPr>
        <w:t>3</w:t>
      </w:r>
      <w:r w:rsidR="00DF5A17">
        <w:rPr>
          <w:b/>
          <w:bCs/>
          <w:i/>
          <w:iCs/>
        </w:rPr>
        <w:t xml:space="preserve"> </w:t>
      </w:r>
      <w:r w:rsidR="00DF5A17">
        <w:rPr>
          <w:b/>
          <w:i/>
        </w:rPr>
        <w:t>to the CDR Rules</w:t>
      </w:r>
      <w:r w:rsidR="00DF5A17" w:rsidRPr="00A84984">
        <w:rPr>
          <w:b/>
          <w:bCs/>
          <w:i/>
          <w:iCs/>
        </w:rPr>
        <w:t>]</w:t>
      </w:r>
    </w:p>
    <w:p w14:paraId="04F00522" w14:textId="28194004" w:rsidR="00107AE6" w:rsidRPr="00916EC8" w:rsidRDefault="00107AE6" w:rsidP="00C122AE">
      <w:pPr>
        <w:spacing w:before="240" w:after="200"/>
        <w:rPr>
          <w:u w:val="single"/>
        </w:rPr>
      </w:pPr>
      <w:r w:rsidRPr="00916EC8">
        <w:rPr>
          <w:u w:val="single"/>
        </w:rPr>
        <w:t xml:space="preserve">Relevant non-bank lender </w:t>
      </w:r>
      <w:r w:rsidR="00874F49" w:rsidRPr="00916EC8">
        <w:rPr>
          <w:u w:val="single"/>
        </w:rPr>
        <w:t>that doesn’t hold required consumer or product data</w:t>
      </w:r>
    </w:p>
    <w:p w14:paraId="06487A76" w14:textId="13C69E4B" w:rsidR="00F15FCB" w:rsidRDefault="00882D50" w:rsidP="00D02770">
      <w:pPr>
        <w:pStyle w:val="OutlineNumbered1"/>
      </w:pPr>
      <w:r>
        <w:t>W</w:t>
      </w:r>
      <w:r w:rsidR="00CF7301">
        <w:t>here a lender meets the initial provider qualification or large qualification but does not hold any required consumer data or required product data</w:t>
      </w:r>
      <w:r w:rsidR="00960DCD">
        <w:t xml:space="preserve">, </w:t>
      </w:r>
      <w:r w:rsidR="001F149F">
        <w:t xml:space="preserve">it is not </w:t>
      </w:r>
      <w:r w:rsidR="00FA14EE">
        <w:t>intended</w:t>
      </w:r>
      <w:r w:rsidR="001F149F">
        <w:t xml:space="preserve"> that </w:t>
      </w:r>
      <w:r w:rsidR="00960DCD">
        <w:t xml:space="preserve">the lender would be required to meet CDR obligations such as to </w:t>
      </w:r>
      <w:r w:rsidR="00960DCD">
        <w:lastRenderedPageBreak/>
        <w:t xml:space="preserve">provide data request services, undertake ACCC registration processes, map </w:t>
      </w:r>
      <w:r w:rsidR="006D68E8">
        <w:t xml:space="preserve">out systems and processes, </w:t>
      </w:r>
      <w:r w:rsidR="00FA14EE">
        <w:t>or</w:t>
      </w:r>
      <w:r w:rsidR="006D68E8">
        <w:t xml:space="preserve"> build and test for data sharing. </w:t>
      </w:r>
    </w:p>
    <w:p w14:paraId="375FF72B" w14:textId="58D98F22" w:rsidR="00882D50" w:rsidRDefault="00F15FCB" w:rsidP="00D02770">
      <w:pPr>
        <w:pStyle w:val="OutlineNumbered1"/>
      </w:pPr>
      <w:r>
        <w:t>In this case, a</w:t>
      </w:r>
      <w:r w:rsidR="002258BB">
        <w:t xml:space="preserve"> lender in this case </w:t>
      </w:r>
      <w:r>
        <w:t>is not expected</w:t>
      </w:r>
      <w:r w:rsidR="00294ADD">
        <w:t xml:space="preserve"> to bear the costs and burden of meeting CDR obligations</w:t>
      </w:r>
      <w:r w:rsidR="004A3922">
        <w:t xml:space="preserve"> </w:t>
      </w:r>
      <w:r w:rsidR="00294ADD">
        <w:t xml:space="preserve">unless </w:t>
      </w:r>
      <w:r w:rsidR="002258BB">
        <w:t>the obligations otherwise apply, for example because the lender</w:t>
      </w:r>
      <w:r w:rsidR="00294ADD">
        <w:t xml:space="preserve"> is an accredited person or </w:t>
      </w:r>
      <w:r w:rsidR="002258BB">
        <w:t xml:space="preserve">has </w:t>
      </w:r>
      <w:r w:rsidR="00294ADD">
        <w:t>follow</w:t>
      </w:r>
      <w:r w:rsidR="002258BB">
        <w:t>ed</w:t>
      </w:r>
      <w:r w:rsidR="00294ADD">
        <w:t xml:space="preserve"> the process for voluntary application of the </w:t>
      </w:r>
      <w:r w:rsidR="002258BB">
        <w:t>CDR R</w:t>
      </w:r>
      <w:r w:rsidR="00294ADD">
        <w:t>ules.</w:t>
      </w:r>
    </w:p>
    <w:p w14:paraId="75F80B70" w14:textId="167BCEEF" w:rsidR="00F12C0C" w:rsidRDefault="00F12C0C" w:rsidP="006C5F36">
      <w:pPr>
        <w:spacing w:before="240" w:after="200"/>
        <w:rPr>
          <w:u w:val="single"/>
        </w:rPr>
      </w:pPr>
      <w:r>
        <w:rPr>
          <w:u w:val="single"/>
        </w:rPr>
        <w:t>Notif</w:t>
      </w:r>
      <w:r w:rsidR="00E31E9B">
        <w:rPr>
          <w:u w:val="single"/>
        </w:rPr>
        <w:t>ying</w:t>
      </w:r>
      <w:r w:rsidR="00170E53">
        <w:rPr>
          <w:u w:val="single"/>
        </w:rPr>
        <w:t xml:space="preserve"> </w:t>
      </w:r>
      <w:r w:rsidR="00274719">
        <w:rPr>
          <w:u w:val="single"/>
        </w:rPr>
        <w:t>ACCC</w:t>
      </w:r>
      <w:r w:rsidR="00170E53">
        <w:rPr>
          <w:u w:val="single"/>
        </w:rPr>
        <w:t xml:space="preserve"> about customer numbers</w:t>
      </w:r>
    </w:p>
    <w:p w14:paraId="497C61E7" w14:textId="3BC30792" w:rsidR="00DB395D" w:rsidRDefault="00126262" w:rsidP="00B36210">
      <w:pPr>
        <w:pStyle w:val="OutlineNumbered1"/>
      </w:pPr>
      <w:r>
        <w:t xml:space="preserve">To simplify administration, </w:t>
      </w:r>
      <w:r w:rsidR="006D3DFE">
        <w:t>a</w:t>
      </w:r>
      <w:r w:rsidR="00CF6841">
        <w:t xml:space="preserve"> relevant non-bank lender that meets the </w:t>
      </w:r>
      <w:r w:rsidR="00A73D2E">
        <w:t xml:space="preserve">requisite total value of </w:t>
      </w:r>
      <w:r w:rsidR="008F42CD">
        <w:t>resident loans and leases</w:t>
      </w:r>
      <w:r w:rsidR="00432CDB">
        <w:t xml:space="preserve"> thresholds described above must</w:t>
      </w:r>
      <w:r w:rsidR="00BA3901">
        <w:t xml:space="preserve"> notify the ACCC </w:t>
      </w:r>
      <w:r w:rsidR="00E924AE">
        <w:t xml:space="preserve">as soon as practicable after it </w:t>
      </w:r>
      <w:r w:rsidR="002D28B5">
        <w:t>has met the total value threshold</w:t>
      </w:r>
      <w:r w:rsidR="000E60B7">
        <w:t xml:space="preserve"> but not the </w:t>
      </w:r>
      <w:proofErr w:type="gramStart"/>
      <w:r w:rsidR="00695E84">
        <w:t>1,000 </w:t>
      </w:r>
      <w:r w:rsidR="000E60B7">
        <w:t>customer</w:t>
      </w:r>
      <w:proofErr w:type="gramEnd"/>
      <w:r w:rsidR="000E60B7">
        <w:t xml:space="preserve"> threshold</w:t>
      </w:r>
      <w:r w:rsidR="002B5102">
        <w:t xml:space="preserve">. </w:t>
      </w:r>
      <w:r w:rsidR="00305D9D" w:rsidRPr="00305D9D">
        <w:t xml:space="preserve">This is to </w:t>
      </w:r>
      <w:r w:rsidR="00DE24DF">
        <w:t>assist</w:t>
      </w:r>
      <w:r w:rsidR="00305D9D" w:rsidRPr="00305D9D">
        <w:t xml:space="preserve"> the ACCC to identify whether a non-bank lender meets the criteria to be a large provider</w:t>
      </w:r>
      <w:r w:rsidR="00342039">
        <w:t xml:space="preserve">. </w:t>
      </w:r>
      <w:r w:rsidR="00305D9D">
        <w:t>N</w:t>
      </w:r>
      <w:r w:rsidR="006F3538">
        <w:t>on-bank lenders separately provide i</w:t>
      </w:r>
      <w:r w:rsidR="00342039">
        <w:t xml:space="preserve">nformation relevant </w:t>
      </w:r>
      <w:r w:rsidR="00E37AEA">
        <w:t xml:space="preserve">to the total value threshold </w:t>
      </w:r>
      <w:r w:rsidR="00347518">
        <w:t>to APRA.</w:t>
      </w:r>
      <w:r w:rsidR="00DB395D">
        <w:t xml:space="preserve"> </w:t>
      </w:r>
      <w:r w:rsidR="00DB395D" w:rsidRPr="00A84984">
        <w:rPr>
          <w:b/>
          <w:bCs/>
          <w:i/>
          <w:iCs/>
        </w:rPr>
        <w:t>[Schedule 1, item</w:t>
      </w:r>
      <w:r w:rsidR="00DB395D">
        <w:rPr>
          <w:b/>
          <w:bCs/>
          <w:i/>
          <w:iCs/>
        </w:rPr>
        <w:t xml:space="preserve"> 30, subclause 6.3(</w:t>
      </w:r>
      <w:r w:rsidR="00A10ED2">
        <w:rPr>
          <w:b/>
          <w:bCs/>
          <w:i/>
          <w:iCs/>
        </w:rPr>
        <w:t>2</w:t>
      </w:r>
      <w:r w:rsidR="00DB395D">
        <w:rPr>
          <w:b/>
          <w:bCs/>
          <w:i/>
          <w:iCs/>
        </w:rPr>
        <w:t>)</w:t>
      </w:r>
      <w:r w:rsidR="00DB395D" w:rsidRPr="00A84984">
        <w:rPr>
          <w:b/>
          <w:bCs/>
          <w:i/>
          <w:iCs/>
        </w:rPr>
        <w:t xml:space="preserve"> of Schedule </w:t>
      </w:r>
      <w:r w:rsidR="00DB395D" w:rsidRPr="002F29CA">
        <w:rPr>
          <w:b/>
          <w:bCs/>
          <w:i/>
          <w:iCs/>
        </w:rPr>
        <w:t>3</w:t>
      </w:r>
      <w:r w:rsidR="00DB395D">
        <w:rPr>
          <w:b/>
          <w:bCs/>
          <w:i/>
          <w:iCs/>
        </w:rPr>
        <w:t xml:space="preserve"> </w:t>
      </w:r>
      <w:r w:rsidR="00DB395D">
        <w:rPr>
          <w:b/>
          <w:i/>
        </w:rPr>
        <w:t>to the CDR Rules</w:t>
      </w:r>
      <w:r w:rsidR="00DB395D" w:rsidRPr="00A84984">
        <w:rPr>
          <w:b/>
          <w:bCs/>
          <w:i/>
          <w:iCs/>
        </w:rPr>
        <w:t>]</w:t>
      </w:r>
    </w:p>
    <w:p w14:paraId="059E5AF0" w14:textId="5F26C909" w:rsidR="00B36210" w:rsidRDefault="00A21B13" w:rsidP="00B36210">
      <w:pPr>
        <w:pStyle w:val="OutlineNumbered1"/>
      </w:pPr>
      <w:r>
        <w:t xml:space="preserve">Non-bank lenders separately provide information relevant to the total value threshold to APRA. This obligation is subject to a civil penalty. </w:t>
      </w:r>
      <w:r w:rsidR="007544C9">
        <w:t>In addition</w:t>
      </w:r>
      <w:r w:rsidR="00432CDB">
        <w:t xml:space="preserve">, if requested by the ACCC, </w:t>
      </w:r>
      <w:r w:rsidR="000C5C7C">
        <w:t xml:space="preserve">non-bank lenders must </w:t>
      </w:r>
      <w:r w:rsidR="00BD45B2">
        <w:t xml:space="preserve">provide </w:t>
      </w:r>
      <w:r w:rsidR="001A0412">
        <w:t>the</w:t>
      </w:r>
      <w:r w:rsidR="009153AD">
        <w:t xml:space="preserve"> total value</w:t>
      </w:r>
      <w:r w:rsidR="001A0412">
        <w:t xml:space="preserve"> of resident loans and leases</w:t>
      </w:r>
      <w:r w:rsidR="006704E7">
        <w:t xml:space="preserve"> and </w:t>
      </w:r>
      <w:r w:rsidR="00887C48">
        <w:t xml:space="preserve">indicate </w:t>
      </w:r>
      <w:r w:rsidR="006704E7">
        <w:t>whether</w:t>
      </w:r>
      <w:r w:rsidR="00887C48">
        <w:t xml:space="preserve"> </w:t>
      </w:r>
      <w:r w:rsidR="00896604">
        <w:t>the lender also satisfies the customer numbers threshol</w:t>
      </w:r>
      <w:r w:rsidR="006710FC">
        <w:t>d</w:t>
      </w:r>
      <w:r w:rsidR="00EE7364">
        <w:t>.</w:t>
      </w:r>
      <w:r w:rsidRPr="00A21B13">
        <w:t xml:space="preserve"> </w:t>
      </w:r>
      <w:r>
        <w:t xml:space="preserve">This obligation is subject to a civil penalty. </w:t>
      </w:r>
      <w:r w:rsidR="00EE7364">
        <w:t xml:space="preserve"> </w:t>
      </w:r>
      <w:r w:rsidR="00B36210" w:rsidRPr="00A84984">
        <w:rPr>
          <w:b/>
          <w:bCs/>
          <w:i/>
          <w:iCs/>
        </w:rPr>
        <w:t>[Schedule 1, item</w:t>
      </w:r>
      <w:r w:rsidR="00B36210">
        <w:rPr>
          <w:b/>
          <w:bCs/>
          <w:i/>
          <w:iCs/>
        </w:rPr>
        <w:t xml:space="preserve"> 30, </w:t>
      </w:r>
      <w:r w:rsidR="00DB395D">
        <w:rPr>
          <w:b/>
          <w:bCs/>
          <w:i/>
          <w:iCs/>
        </w:rPr>
        <w:t>sub</w:t>
      </w:r>
      <w:r w:rsidR="00B36210">
        <w:rPr>
          <w:b/>
          <w:bCs/>
          <w:i/>
          <w:iCs/>
        </w:rPr>
        <w:t>clause 6.</w:t>
      </w:r>
      <w:r w:rsidR="00DB395D">
        <w:rPr>
          <w:b/>
          <w:bCs/>
          <w:i/>
          <w:iCs/>
        </w:rPr>
        <w:t>3(</w:t>
      </w:r>
      <w:r w:rsidR="00A10ED2">
        <w:rPr>
          <w:b/>
          <w:bCs/>
          <w:i/>
          <w:iCs/>
        </w:rPr>
        <w:t>1</w:t>
      </w:r>
      <w:r w:rsidR="00DB395D">
        <w:rPr>
          <w:b/>
          <w:bCs/>
          <w:i/>
          <w:iCs/>
        </w:rPr>
        <w:t>)</w:t>
      </w:r>
      <w:r w:rsidR="00B36210" w:rsidRPr="00A84984">
        <w:rPr>
          <w:b/>
          <w:bCs/>
          <w:i/>
          <w:iCs/>
        </w:rPr>
        <w:t xml:space="preserve"> of Schedule </w:t>
      </w:r>
      <w:r w:rsidR="00B36210" w:rsidRPr="002F29CA">
        <w:rPr>
          <w:b/>
          <w:bCs/>
          <w:i/>
          <w:iCs/>
        </w:rPr>
        <w:t>3</w:t>
      </w:r>
      <w:r w:rsidR="00B36210">
        <w:rPr>
          <w:b/>
          <w:bCs/>
          <w:i/>
          <w:iCs/>
        </w:rPr>
        <w:t xml:space="preserve"> </w:t>
      </w:r>
      <w:r w:rsidR="00B36210">
        <w:rPr>
          <w:b/>
          <w:i/>
        </w:rPr>
        <w:t>to the CDR Rules</w:t>
      </w:r>
      <w:r w:rsidR="00B36210" w:rsidRPr="00A84984">
        <w:rPr>
          <w:b/>
          <w:bCs/>
          <w:i/>
          <w:iCs/>
        </w:rPr>
        <w:t>]</w:t>
      </w:r>
    </w:p>
    <w:p w14:paraId="38CD48DE" w14:textId="07F5A643" w:rsidR="005C37D0" w:rsidRDefault="00D52D49" w:rsidP="009C697C">
      <w:pPr>
        <w:keepNext/>
        <w:spacing w:before="240"/>
        <w:rPr>
          <w:u w:val="single"/>
        </w:rPr>
      </w:pPr>
      <w:r w:rsidRPr="00127532">
        <w:rPr>
          <w:u w:val="single"/>
        </w:rPr>
        <w:t>Timetable for the staged implementation</w:t>
      </w:r>
    </w:p>
    <w:p w14:paraId="5298D765" w14:textId="07987B6F" w:rsidR="00F57358" w:rsidRPr="00B82C27" w:rsidRDefault="000659C5" w:rsidP="00D02770">
      <w:pPr>
        <w:pStyle w:val="OutlineNumbered1"/>
      </w:pPr>
      <w:r>
        <w:t xml:space="preserve">The </w:t>
      </w:r>
      <w:r w:rsidR="00E853C7">
        <w:t xml:space="preserve">Amending Rules </w:t>
      </w:r>
      <w:r w:rsidR="002A57A9">
        <w:t>include</w:t>
      </w:r>
      <w:r w:rsidR="00E853C7">
        <w:t xml:space="preserve"> dates for the staged implementation of data sharing obligations. </w:t>
      </w:r>
    </w:p>
    <w:p w14:paraId="494D382A" w14:textId="297EC6E3" w:rsidR="00A977C8" w:rsidRDefault="00A977C8" w:rsidP="00D02770">
      <w:pPr>
        <w:pStyle w:val="OutlineNumbered1"/>
      </w:pPr>
      <w:r>
        <w:t xml:space="preserve">Tranche 1 of the rollout begins on </w:t>
      </w:r>
      <w:r w:rsidR="00576F92">
        <w:t xml:space="preserve">13 July </w:t>
      </w:r>
      <w:r w:rsidR="00027A6B">
        <w:t>202</w:t>
      </w:r>
      <w:r w:rsidR="00576F92">
        <w:t>6</w:t>
      </w:r>
      <w:r w:rsidR="00612F9C">
        <w:t>, when Part 2 of the CDR Rules</w:t>
      </w:r>
      <w:r w:rsidR="00027A6B">
        <w:t xml:space="preserve">, </w:t>
      </w:r>
      <w:r w:rsidR="00DB4CFF">
        <w:t>which deals with</w:t>
      </w:r>
      <w:r w:rsidR="00DB4CFF" w:rsidRPr="00DB4CFF">
        <w:t xml:space="preserve"> </w:t>
      </w:r>
      <w:r w:rsidR="00DB4CFF">
        <w:t>product data requests,</w:t>
      </w:r>
      <w:r w:rsidR="00612F9C">
        <w:t xml:space="preserve"> begins to apply to </w:t>
      </w:r>
      <w:r w:rsidR="00370647">
        <w:t>initial</w:t>
      </w:r>
      <w:r w:rsidR="00612F9C">
        <w:t xml:space="preserve"> and </w:t>
      </w:r>
      <w:r w:rsidR="00370647">
        <w:t>large</w:t>
      </w:r>
      <w:r w:rsidR="00612F9C">
        <w:t xml:space="preserve"> providers. This will result in product data being made available as early as possible to consumers while allowing </w:t>
      </w:r>
      <w:r w:rsidR="00407CFD">
        <w:t xml:space="preserve">non-bank lenders time to prepare the necessary infrastructure for responding to consumer data requests. </w:t>
      </w:r>
    </w:p>
    <w:p w14:paraId="2D2A2FFA" w14:textId="77777777" w:rsidR="004130CC" w:rsidRDefault="00407CFD" w:rsidP="00D02770">
      <w:pPr>
        <w:pStyle w:val="OutlineNumbered1"/>
      </w:pPr>
      <w:r>
        <w:t xml:space="preserve">Tranche 2 of the rollout begins on </w:t>
      </w:r>
      <w:r w:rsidR="00217B2A">
        <w:t>9 November 2026</w:t>
      </w:r>
      <w:r>
        <w:t>, when Part 4 of the CDR Rule</w:t>
      </w:r>
      <w:r w:rsidR="008D38E9">
        <w:t>s</w:t>
      </w:r>
      <w:r w:rsidR="0006746C">
        <w:t xml:space="preserve">, which deals with </w:t>
      </w:r>
      <w:r w:rsidR="00FF051A">
        <w:t>consumer data requests,</w:t>
      </w:r>
      <w:r>
        <w:t xml:space="preserve"> begins to apply </w:t>
      </w:r>
      <w:r w:rsidR="00A633D7">
        <w:t xml:space="preserve">to </w:t>
      </w:r>
      <w:r w:rsidR="00206496">
        <w:t>initial</w:t>
      </w:r>
      <w:r w:rsidR="00A633D7">
        <w:t xml:space="preserve"> providers</w:t>
      </w:r>
      <w:r w:rsidR="00081DF5">
        <w:t>, except in respect of complex request</w:t>
      </w:r>
      <w:r w:rsidR="00731D08">
        <w:t>s</w:t>
      </w:r>
      <w:r w:rsidR="00081DF5">
        <w:t xml:space="preserve">. </w:t>
      </w:r>
    </w:p>
    <w:p w14:paraId="601216E9" w14:textId="73AA10B2" w:rsidR="000244E3" w:rsidRDefault="000244E3" w:rsidP="00D02770">
      <w:pPr>
        <w:pStyle w:val="OutlineNumbered1"/>
      </w:pPr>
      <w:r>
        <w:t>Tranche 3 of the rollout begins on 10 May 2027, when Part 4 of the CDR Rules begins to apply to large providers, except in respect of complex requests.</w:t>
      </w:r>
      <w:r w:rsidR="009B4A32">
        <w:t xml:space="preserve"> </w:t>
      </w:r>
    </w:p>
    <w:p w14:paraId="154FB491" w14:textId="2A73BA4C" w:rsidR="00D747FD" w:rsidRDefault="00117242" w:rsidP="00D02770">
      <w:pPr>
        <w:pStyle w:val="OutlineNumbered1"/>
      </w:pPr>
      <w:r>
        <w:t xml:space="preserve">The Amending Rules introduce </w:t>
      </w:r>
      <w:r w:rsidR="00CA1214">
        <w:t>the concept</w:t>
      </w:r>
      <w:r>
        <w:t xml:space="preserve"> of</w:t>
      </w:r>
      <w:r w:rsidR="00081DF5">
        <w:t xml:space="preserve"> </w:t>
      </w:r>
      <w:r w:rsidR="00740B49">
        <w:t>‘</w:t>
      </w:r>
      <w:r w:rsidR="00081DF5">
        <w:t>complex request</w:t>
      </w:r>
      <w:r w:rsidR="00740B49">
        <w:t>’</w:t>
      </w:r>
      <w:r w:rsidR="00CA1214">
        <w:t xml:space="preserve"> into Schedule </w:t>
      </w:r>
      <w:proofErr w:type="gramStart"/>
      <w:r w:rsidR="00CA1214">
        <w:t>3</w:t>
      </w:r>
      <w:r w:rsidR="004130CC">
        <w:t>, and</w:t>
      </w:r>
      <w:proofErr w:type="gramEnd"/>
      <w:r w:rsidR="004130CC">
        <w:t xml:space="preserve"> specify that the CDR R</w:t>
      </w:r>
      <w:r w:rsidR="004130CC" w:rsidRPr="004130CC">
        <w:t>ules do not apply to a complex request under Part 4 in relation to a relevant non</w:t>
      </w:r>
      <w:r w:rsidR="4AC4CDE8">
        <w:t>-</w:t>
      </w:r>
      <w:r w:rsidR="004130CC" w:rsidRPr="004130CC">
        <w:t>bank lender that is a</w:t>
      </w:r>
      <w:r w:rsidR="004130CC">
        <w:t>n initial provider or a</w:t>
      </w:r>
      <w:r w:rsidR="004130CC" w:rsidRPr="004130CC">
        <w:t xml:space="preserve"> large provider</w:t>
      </w:r>
      <w:r w:rsidR="004130CC">
        <w:t>. A ‘complex request’ is defined</w:t>
      </w:r>
      <w:r w:rsidR="00081DF5">
        <w:t xml:space="preserve"> </w:t>
      </w:r>
      <w:r w:rsidR="00893EBA">
        <w:t>a</w:t>
      </w:r>
      <w:r w:rsidR="00081DF5">
        <w:t>s a consumer data request that</w:t>
      </w:r>
      <w:r w:rsidR="00D747FD">
        <w:t>:</w:t>
      </w:r>
    </w:p>
    <w:p w14:paraId="39F53EAD" w14:textId="7402CEFB" w:rsidR="00D747FD" w:rsidRDefault="00E10A92" w:rsidP="00D747FD">
      <w:pPr>
        <w:pStyle w:val="Bullet"/>
      </w:pPr>
      <w:r>
        <w:t>is</w:t>
      </w:r>
      <w:r w:rsidR="00081DF5" w:rsidDel="00D747FD">
        <w:t xml:space="preserve"> </w:t>
      </w:r>
      <w:r w:rsidR="00EA526E">
        <w:t>made on behalf of a secondary user of the consumer</w:t>
      </w:r>
      <w:r w:rsidR="00691A4B">
        <w:t>;</w:t>
      </w:r>
      <w:r w:rsidR="00EA526E">
        <w:t xml:space="preserve"> </w:t>
      </w:r>
      <w:r w:rsidR="00D747FD">
        <w:t>or</w:t>
      </w:r>
    </w:p>
    <w:p w14:paraId="37BDEE4A" w14:textId="2CDCBB13" w:rsidR="00D747FD" w:rsidRDefault="00EA526E" w:rsidP="00D747FD">
      <w:pPr>
        <w:pStyle w:val="Bullet"/>
      </w:pPr>
      <w:r>
        <w:t>relates to a joint account or a partnership account</w:t>
      </w:r>
      <w:r w:rsidR="00691A4B">
        <w:t>;</w:t>
      </w:r>
      <w:r w:rsidDel="00D747FD">
        <w:t xml:space="preserve"> </w:t>
      </w:r>
      <w:r>
        <w:t xml:space="preserve">or </w:t>
      </w:r>
    </w:p>
    <w:p w14:paraId="50835700" w14:textId="1DE7DE0D" w:rsidR="00D747FD" w:rsidRDefault="00EA526E" w:rsidP="00D747FD">
      <w:pPr>
        <w:pStyle w:val="Bullet"/>
      </w:pPr>
      <w:r w:rsidDel="00D747FD">
        <w:lastRenderedPageBreak/>
        <w:t xml:space="preserve">is </w:t>
      </w:r>
      <w:r>
        <w:t xml:space="preserve">made on behalf of a non-individual CDR consumer whose authorisations are handled by a nominated representative. </w:t>
      </w:r>
    </w:p>
    <w:p w14:paraId="598E446C" w14:textId="518992AA" w:rsidR="00267A3D" w:rsidRDefault="00267A3D" w:rsidP="00D02770">
      <w:pPr>
        <w:pStyle w:val="OutlineNumbered1"/>
      </w:pPr>
      <w:r>
        <w:t xml:space="preserve">The policy intent of carving out complex requests is to avoid unnecessary or duplicative compliance burden for how non-bank lenders comply with this requirement. </w:t>
      </w:r>
      <w:r w:rsidR="003162E2">
        <w:t>N</w:t>
      </w:r>
      <w:r w:rsidRPr="000B51E1">
        <w:t>on-bank lenders will not be required to meet data holder obligations relevant to complex requests</w:t>
      </w:r>
      <w:r w:rsidR="008D57AE">
        <w:t xml:space="preserve"> </w:t>
      </w:r>
      <w:r w:rsidR="0037777D">
        <w:t>(being</w:t>
      </w:r>
      <w:r w:rsidRPr="000B51E1">
        <w:t xml:space="preserve"> requests via the nominated representatives process, joint accounts and secondary users</w:t>
      </w:r>
      <w:r w:rsidR="0037777D">
        <w:t xml:space="preserve">) </w:t>
      </w:r>
      <w:r w:rsidR="00F450CE">
        <w:t xml:space="preserve">that are currently </w:t>
      </w:r>
      <w:r w:rsidR="00DF0312">
        <w:t>in effect in the banking and energy sectors</w:t>
      </w:r>
      <w:r w:rsidR="0037777D">
        <w:t>. This</w:t>
      </w:r>
      <w:r w:rsidRPr="000B51E1">
        <w:t xml:space="preserve"> includes</w:t>
      </w:r>
      <w:r w:rsidR="009D0690">
        <w:t xml:space="preserve">, not </w:t>
      </w:r>
      <w:r w:rsidR="0037777D">
        <w:t>being required</w:t>
      </w:r>
      <w:r w:rsidR="009D0690">
        <w:t xml:space="preserve"> to provide the services referred to in paragraphs 1.13(1)(c) to (e) of the CDR Rules</w:t>
      </w:r>
      <w:r w:rsidR="0037777D">
        <w:t>, on the basis that</w:t>
      </w:r>
      <w:r w:rsidR="00824CA6">
        <w:t xml:space="preserve"> these paragraphs relate to services required to respond to complex requests which non-bank lenders will not be obliged to respond to</w:t>
      </w:r>
      <w:r w:rsidRPr="000B51E1">
        <w:t>.</w:t>
      </w:r>
    </w:p>
    <w:p w14:paraId="5EB2A5B6" w14:textId="6DF83AA1" w:rsidR="00407CFD" w:rsidRDefault="0077272D" w:rsidP="00DB5934">
      <w:pPr>
        <w:pStyle w:val="OutlineNumbered1"/>
        <w:spacing w:after="0"/>
      </w:pPr>
      <w:r>
        <w:t xml:space="preserve">The timing </w:t>
      </w:r>
      <w:r w:rsidR="00850FD4">
        <w:t>for</w:t>
      </w:r>
      <w:r>
        <w:t xml:space="preserve"> </w:t>
      </w:r>
      <w:r w:rsidR="00C67E1E">
        <w:t>obligations to comply with</w:t>
      </w:r>
      <w:r>
        <w:t xml:space="preserve"> </w:t>
      </w:r>
      <w:r w:rsidR="009A7BCA">
        <w:t>consumer data requests</w:t>
      </w:r>
      <w:r w:rsidR="002B78A7">
        <w:t>, which has been decided in consultation with stakeholders,</w:t>
      </w:r>
      <w:r w:rsidR="009A7BCA">
        <w:t xml:space="preserve"> </w:t>
      </w:r>
      <w:r w:rsidR="00651853">
        <w:t xml:space="preserve">is intended to provide </w:t>
      </w:r>
      <w:r w:rsidR="002B78A7">
        <w:t xml:space="preserve">relevant non-bank lenders </w:t>
      </w:r>
      <w:r w:rsidR="00651853">
        <w:t xml:space="preserve">with </w:t>
      </w:r>
      <w:r w:rsidR="002B78A7">
        <w:t>appropriate time</w:t>
      </w:r>
      <w:r w:rsidR="00BF5928">
        <w:t xml:space="preserve"> to </w:t>
      </w:r>
      <w:r w:rsidR="00FC650B">
        <w:t>uplift consumer authentication standards and</w:t>
      </w:r>
      <w:r w:rsidR="00FC650B" w:rsidDel="005922B7">
        <w:t xml:space="preserve"> </w:t>
      </w:r>
      <w:r w:rsidR="00FC650B">
        <w:t>associated IT builds</w:t>
      </w:r>
      <w:r w:rsidR="002B78A7">
        <w:t>.</w:t>
      </w:r>
    </w:p>
    <w:p w14:paraId="388F0870" w14:textId="683C91D5" w:rsidR="00F0750F" w:rsidRPr="00C122AE" w:rsidRDefault="00F0750F" w:rsidP="00DB5934">
      <w:pPr>
        <w:pStyle w:val="Bullet"/>
        <w:numPr>
          <w:ilvl w:val="0"/>
          <w:numId w:val="0"/>
        </w:numPr>
        <w:spacing w:before="0"/>
        <w:ind w:left="567"/>
        <w:rPr>
          <w:b/>
          <w:i/>
        </w:rPr>
      </w:pPr>
      <w:r w:rsidRPr="00A84984">
        <w:rPr>
          <w:b/>
          <w:bCs/>
          <w:i/>
          <w:iCs/>
        </w:rPr>
        <w:t>[Schedule 1, item</w:t>
      </w:r>
      <w:r>
        <w:rPr>
          <w:b/>
          <w:bCs/>
          <w:i/>
          <w:iCs/>
        </w:rPr>
        <w:t xml:space="preserve"> 30, clause</w:t>
      </w:r>
      <w:r w:rsidR="0014120C">
        <w:rPr>
          <w:b/>
          <w:bCs/>
          <w:i/>
          <w:iCs/>
        </w:rPr>
        <w:t>s</w:t>
      </w:r>
      <w:r>
        <w:rPr>
          <w:b/>
          <w:bCs/>
          <w:i/>
          <w:iCs/>
        </w:rPr>
        <w:t xml:space="preserve"> 6.1</w:t>
      </w:r>
      <w:r w:rsidR="00DE6980">
        <w:rPr>
          <w:b/>
          <w:bCs/>
          <w:i/>
          <w:iCs/>
        </w:rPr>
        <w:t>, 6.4</w:t>
      </w:r>
      <w:r w:rsidRPr="00A84984">
        <w:rPr>
          <w:b/>
          <w:bCs/>
          <w:i/>
          <w:iCs/>
        </w:rPr>
        <w:t xml:space="preserve"> </w:t>
      </w:r>
      <w:r w:rsidR="0014120C">
        <w:rPr>
          <w:b/>
          <w:bCs/>
          <w:i/>
          <w:iCs/>
        </w:rPr>
        <w:t xml:space="preserve">and </w:t>
      </w:r>
      <w:r w:rsidR="00A83AB1">
        <w:rPr>
          <w:b/>
          <w:bCs/>
          <w:i/>
          <w:iCs/>
        </w:rPr>
        <w:t>6.</w:t>
      </w:r>
      <w:r w:rsidR="00DE6980">
        <w:rPr>
          <w:b/>
          <w:bCs/>
          <w:i/>
          <w:iCs/>
        </w:rPr>
        <w:t>5</w:t>
      </w:r>
      <w:r w:rsidR="00A83AB1">
        <w:rPr>
          <w:b/>
          <w:bCs/>
          <w:i/>
          <w:iCs/>
        </w:rPr>
        <w:t xml:space="preserve"> </w:t>
      </w:r>
      <w:r w:rsidRPr="00A84984">
        <w:rPr>
          <w:b/>
          <w:bCs/>
          <w:i/>
          <w:iCs/>
        </w:rPr>
        <w:t xml:space="preserve">of Schedule </w:t>
      </w:r>
      <w:r w:rsidRPr="002F29CA">
        <w:rPr>
          <w:b/>
          <w:bCs/>
          <w:i/>
          <w:iCs/>
        </w:rPr>
        <w:t>3</w:t>
      </w:r>
      <w:r>
        <w:rPr>
          <w:b/>
          <w:bCs/>
          <w:i/>
          <w:iCs/>
        </w:rPr>
        <w:t xml:space="preserve"> </w:t>
      </w:r>
      <w:r>
        <w:rPr>
          <w:b/>
          <w:i/>
        </w:rPr>
        <w:t>to the CDR Rules</w:t>
      </w:r>
      <w:r w:rsidRPr="00A84984">
        <w:rPr>
          <w:b/>
          <w:bCs/>
          <w:i/>
          <w:iCs/>
        </w:rPr>
        <w:t>]</w:t>
      </w:r>
    </w:p>
    <w:p w14:paraId="3A749135" w14:textId="4F5759C8" w:rsidR="001A125E" w:rsidRDefault="00E81ABD" w:rsidP="00D02770">
      <w:pPr>
        <w:pStyle w:val="OutlineNumbered1"/>
      </w:pPr>
      <w:r>
        <w:t xml:space="preserve">This timetable is </w:t>
      </w:r>
      <w:r w:rsidR="004E426D">
        <w:t>modified</w:t>
      </w:r>
      <w:r w:rsidR="008403CC">
        <w:t xml:space="preserve"> in respect of</w:t>
      </w:r>
      <w:r w:rsidR="00D22C3B">
        <w:t xml:space="preserve"> </w:t>
      </w:r>
      <w:r w:rsidR="00002830">
        <w:t xml:space="preserve">certain </w:t>
      </w:r>
      <w:r w:rsidR="00D22C3B">
        <w:t>large providers</w:t>
      </w:r>
      <w:r w:rsidR="00F23287">
        <w:t>,</w:t>
      </w:r>
      <w:r w:rsidR="00D05819">
        <w:t xml:space="preserve"> as set out below</w:t>
      </w:r>
      <w:r w:rsidR="006D54A5">
        <w:t>.</w:t>
      </w:r>
    </w:p>
    <w:p w14:paraId="5DE42F21" w14:textId="06012E96" w:rsidR="00DD066D" w:rsidRPr="00551D75" w:rsidRDefault="001C3221" w:rsidP="00DD066D">
      <w:pPr>
        <w:spacing w:before="240"/>
        <w:rPr>
          <w:u w:val="single"/>
        </w:rPr>
      </w:pPr>
      <w:r w:rsidRPr="00551D75">
        <w:rPr>
          <w:u w:val="single"/>
        </w:rPr>
        <w:t xml:space="preserve">Deferred </w:t>
      </w:r>
      <w:r w:rsidR="003961DC" w:rsidRPr="00551D75">
        <w:rPr>
          <w:u w:val="single"/>
        </w:rPr>
        <w:t>c</w:t>
      </w:r>
      <w:r w:rsidR="00DD066D" w:rsidRPr="00551D75">
        <w:rPr>
          <w:u w:val="single"/>
        </w:rPr>
        <w:t xml:space="preserve">ompliance </w:t>
      </w:r>
      <w:r w:rsidR="003961DC" w:rsidRPr="00551D75">
        <w:rPr>
          <w:u w:val="single"/>
        </w:rPr>
        <w:t>arrangements</w:t>
      </w:r>
      <w:r w:rsidR="00DD066D" w:rsidRPr="00551D75">
        <w:rPr>
          <w:u w:val="single"/>
        </w:rPr>
        <w:t xml:space="preserve"> </w:t>
      </w:r>
      <w:r w:rsidR="00720542" w:rsidRPr="00551D75">
        <w:rPr>
          <w:u w:val="single"/>
        </w:rPr>
        <w:t>for certain data holders</w:t>
      </w:r>
    </w:p>
    <w:p w14:paraId="6E771343" w14:textId="23F04196" w:rsidR="00B5139B" w:rsidRDefault="00B5139B" w:rsidP="00D02770">
      <w:pPr>
        <w:pStyle w:val="OutlineNumbered1"/>
      </w:pPr>
      <w:r>
        <w:t>The timing for the application of the CDR Rules to large providers is deferred based on</w:t>
      </w:r>
      <w:r w:rsidR="00F2660F">
        <w:t xml:space="preserve"> </w:t>
      </w:r>
      <w:r w:rsidR="005703FA">
        <w:t>when they attain</w:t>
      </w:r>
      <w:r>
        <w:t>ed</w:t>
      </w:r>
      <w:r w:rsidR="005703FA">
        <w:t xml:space="preserve"> that status. </w:t>
      </w:r>
      <w:r w:rsidR="00565B55">
        <w:t>They are divided into two classes: those that</w:t>
      </w:r>
      <w:r w:rsidR="005C38BC">
        <w:t xml:space="preserve"> were </w:t>
      </w:r>
      <w:r w:rsidR="007E1C1D">
        <w:t xml:space="preserve">large </w:t>
      </w:r>
      <w:r w:rsidR="00461AE5">
        <w:t xml:space="preserve">providers </w:t>
      </w:r>
      <w:r w:rsidR="00172541">
        <w:t>on</w:t>
      </w:r>
      <w:r w:rsidR="009C52D9">
        <w:t xml:space="preserve"> </w:t>
      </w:r>
      <w:r w:rsidR="00AD4717">
        <w:t>or before</w:t>
      </w:r>
      <w:r w:rsidR="0090087E">
        <w:t xml:space="preserve"> </w:t>
      </w:r>
      <w:r w:rsidR="00BB2B81">
        <w:t>1</w:t>
      </w:r>
      <w:r w:rsidR="00754D14">
        <w:t>3 July 2026 (that is, the tranche 1 date)</w:t>
      </w:r>
      <w:r w:rsidR="00966D02">
        <w:t>, and those that</w:t>
      </w:r>
      <w:r w:rsidR="009C73E4">
        <w:t xml:space="preserve"> become large providers after that date.</w:t>
      </w:r>
      <w:r w:rsidR="00FF5386">
        <w:t xml:space="preserve"> </w:t>
      </w:r>
    </w:p>
    <w:p w14:paraId="514F8F7F" w14:textId="1101C0AF" w:rsidR="00FF5386" w:rsidRDefault="00ED3A7B" w:rsidP="00D02770">
      <w:pPr>
        <w:pStyle w:val="OutlineNumbered1"/>
      </w:pPr>
      <w:r>
        <w:t xml:space="preserve">A large provider </w:t>
      </w:r>
      <w:r w:rsidR="00B5139B">
        <w:t>that attai</w:t>
      </w:r>
      <w:r w:rsidR="002309AC">
        <w:t>ns</w:t>
      </w:r>
      <w:r w:rsidR="00B5139B">
        <w:t xml:space="preserve"> that status on or before 13 July </w:t>
      </w:r>
      <w:r w:rsidR="0090184B">
        <w:t xml:space="preserve">2026 </w:t>
      </w:r>
      <w:r>
        <w:t xml:space="preserve">is </w:t>
      </w:r>
      <w:r w:rsidR="000628F0">
        <w:t>required or authorised to share CDR data</w:t>
      </w:r>
      <w:r w:rsidR="0090184B">
        <w:t>, for product data requests under Part 2 of the CDR Rules</w:t>
      </w:r>
      <w:r w:rsidR="002309AC">
        <w:t>—</w:t>
      </w:r>
      <w:r w:rsidR="0090184B">
        <w:t>on and after the tranche 1 date</w:t>
      </w:r>
      <w:r w:rsidR="002309AC">
        <w:t>,</w:t>
      </w:r>
      <w:r w:rsidR="0090184B">
        <w:t xml:space="preserve"> and for consumer data requests under Part 4 other than complex requests</w:t>
      </w:r>
      <w:r w:rsidR="002309AC">
        <w:t>—</w:t>
      </w:r>
      <w:r w:rsidR="0090184B">
        <w:t>on and after the tranche 2 date.</w:t>
      </w:r>
    </w:p>
    <w:p w14:paraId="50E263CA" w14:textId="2660546E" w:rsidR="0090184B" w:rsidRDefault="002309AC" w:rsidP="00D02770">
      <w:pPr>
        <w:pStyle w:val="OutlineNumbered1"/>
      </w:pPr>
      <w:r>
        <w:t>N</w:t>
      </w:r>
      <w:r w:rsidR="0090184B">
        <w:t xml:space="preserve">on-bank lenders that become large providers after 13 July 2025, </w:t>
      </w:r>
      <w:r>
        <w:t>are required or authorised to share CDR data, for product data requests under Part 2 of the CDR Rules—12 months after the day they became a large provider, and for consumer data requests under Part 4 other than complex requests—15 months after that day.</w:t>
      </w:r>
    </w:p>
    <w:p w14:paraId="55182BCF" w14:textId="38A3B873" w:rsidR="002309AC" w:rsidRDefault="002309AC" w:rsidP="00DB5934">
      <w:pPr>
        <w:pStyle w:val="OutlineNumbered1"/>
        <w:spacing w:after="0"/>
      </w:pPr>
      <w:r>
        <w:t>As explained above, it is not intended that non-bank lenders will need to comply with the CDR Rules in relation to complex requests</w:t>
      </w:r>
      <w:r w:rsidR="00922A20">
        <w:t>.</w:t>
      </w:r>
    </w:p>
    <w:p w14:paraId="6C990D5D" w14:textId="75118799" w:rsidR="00E641CB" w:rsidRPr="004C0E48" w:rsidRDefault="00E641CB" w:rsidP="00DB5934">
      <w:pPr>
        <w:pStyle w:val="Bullet"/>
        <w:numPr>
          <w:ilvl w:val="0"/>
          <w:numId w:val="0"/>
        </w:numPr>
        <w:spacing w:before="0"/>
        <w:ind w:left="567"/>
        <w:rPr>
          <w:b/>
          <w:bCs/>
          <w:i/>
          <w:iCs/>
        </w:rPr>
      </w:pPr>
      <w:r w:rsidRPr="004C0E48">
        <w:rPr>
          <w:b/>
          <w:bCs/>
          <w:i/>
          <w:iCs/>
        </w:rPr>
        <w:t>[Schedule 1, item 30</w:t>
      </w:r>
      <w:r>
        <w:rPr>
          <w:b/>
          <w:bCs/>
          <w:i/>
          <w:iCs/>
        </w:rPr>
        <w:t>,</w:t>
      </w:r>
      <w:r w:rsidRPr="004C0E48">
        <w:rPr>
          <w:b/>
          <w:bCs/>
          <w:i/>
          <w:iCs/>
        </w:rPr>
        <w:t xml:space="preserve"> clause 6.5 of Schedule 3 to the CDR Rules]</w:t>
      </w:r>
    </w:p>
    <w:p w14:paraId="6D0FDFD6" w14:textId="374FD6DF" w:rsidR="00BC01DC" w:rsidRDefault="00BC01DC" w:rsidP="00D02770">
      <w:pPr>
        <w:pStyle w:val="OutlineNumbered1"/>
      </w:pPr>
      <w:r>
        <w:t>The CDR Rules will apply to a</w:t>
      </w:r>
      <w:r w:rsidR="002F0054">
        <w:t xml:space="preserve">n entity that becomes </w:t>
      </w:r>
      <w:r w:rsidR="00DD066D">
        <w:t xml:space="preserve">an </w:t>
      </w:r>
      <w:r w:rsidR="00DB0797">
        <w:t xml:space="preserve">unrestricted </w:t>
      </w:r>
      <w:r w:rsidR="00DD066D">
        <w:t>ADI</w:t>
      </w:r>
      <w:r w:rsidR="002F0054">
        <w:t xml:space="preserve"> </w:t>
      </w:r>
      <w:r w:rsidR="003C5B92">
        <w:t xml:space="preserve">after the commencement of the Amending Rules </w:t>
      </w:r>
      <w:r>
        <w:t>as follows:</w:t>
      </w:r>
    </w:p>
    <w:p w14:paraId="054277B7" w14:textId="0CF2FECF" w:rsidR="00BC01DC" w:rsidRDefault="00BC01DC" w:rsidP="00BC01DC">
      <w:pPr>
        <w:pStyle w:val="Bullet"/>
      </w:pPr>
      <w:r>
        <w:t xml:space="preserve">in respect of a product data request—on and after the day that is 12 months after that </w:t>
      </w:r>
      <w:proofErr w:type="gramStart"/>
      <w:r>
        <w:t>commencement;</w:t>
      </w:r>
      <w:proofErr w:type="gramEnd"/>
    </w:p>
    <w:p w14:paraId="61F74C6B" w14:textId="1D08B5C6" w:rsidR="00BC01DC" w:rsidRDefault="00BC01DC" w:rsidP="00BC01DC">
      <w:pPr>
        <w:pStyle w:val="Bullet"/>
      </w:pPr>
      <w:r>
        <w:t xml:space="preserve">in respect of a consumer data request made by an accredited person, other than a complex request—on and after the day that is 15 months after that </w:t>
      </w:r>
      <w:proofErr w:type="gramStart"/>
      <w:r>
        <w:t>commencement;</w:t>
      </w:r>
      <w:proofErr w:type="gramEnd"/>
    </w:p>
    <w:p w14:paraId="5259983B" w14:textId="72323DD9" w:rsidR="00477F36" w:rsidRDefault="00BC01DC" w:rsidP="00BC01DC">
      <w:pPr>
        <w:pStyle w:val="Bullet"/>
      </w:pPr>
      <w:r>
        <w:lastRenderedPageBreak/>
        <w:t>in respect of a complex request made by an accredited person—on and after the day that is 18 months after that commencement.</w:t>
      </w:r>
    </w:p>
    <w:p w14:paraId="3D0C81BA" w14:textId="67480E4D" w:rsidR="00C63D4D" w:rsidRPr="00EE520A" w:rsidRDefault="00C63D4D" w:rsidP="00B53F22">
      <w:pPr>
        <w:spacing w:before="240" w:after="200"/>
        <w:ind w:left="567"/>
        <w:rPr>
          <w:b/>
          <w:bCs/>
          <w:i/>
          <w:iCs/>
        </w:rPr>
      </w:pPr>
      <w:r w:rsidRPr="00EE520A">
        <w:rPr>
          <w:b/>
          <w:bCs/>
          <w:i/>
          <w:iCs/>
        </w:rPr>
        <w:t xml:space="preserve">[Schedule 1, item </w:t>
      </w:r>
      <w:r w:rsidR="0027594F">
        <w:rPr>
          <w:b/>
          <w:bCs/>
          <w:i/>
          <w:iCs/>
        </w:rPr>
        <w:t>30</w:t>
      </w:r>
      <w:r w:rsidR="00E641CB">
        <w:rPr>
          <w:b/>
          <w:bCs/>
          <w:i/>
          <w:iCs/>
        </w:rPr>
        <w:t>,</w:t>
      </w:r>
      <w:r w:rsidRPr="00EE520A">
        <w:rPr>
          <w:b/>
          <w:bCs/>
          <w:i/>
          <w:iCs/>
        </w:rPr>
        <w:t xml:space="preserve"> </w:t>
      </w:r>
      <w:r w:rsidR="00A83AB1">
        <w:rPr>
          <w:b/>
          <w:bCs/>
          <w:i/>
          <w:iCs/>
        </w:rPr>
        <w:t>clause</w:t>
      </w:r>
      <w:r w:rsidRPr="00EE520A">
        <w:rPr>
          <w:b/>
          <w:bCs/>
          <w:i/>
          <w:iCs/>
        </w:rPr>
        <w:t xml:space="preserve"> </w:t>
      </w:r>
      <w:r w:rsidR="002A7899">
        <w:rPr>
          <w:b/>
          <w:bCs/>
          <w:i/>
          <w:iCs/>
        </w:rPr>
        <w:t>6.9</w:t>
      </w:r>
      <w:r w:rsidRPr="00EE520A">
        <w:rPr>
          <w:b/>
          <w:bCs/>
          <w:i/>
          <w:iCs/>
        </w:rPr>
        <w:t xml:space="preserve"> of Schedule 3</w:t>
      </w:r>
      <w:r>
        <w:rPr>
          <w:b/>
          <w:bCs/>
          <w:i/>
          <w:iCs/>
        </w:rPr>
        <w:t xml:space="preserve"> </w:t>
      </w:r>
      <w:r>
        <w:rPr>
          <w:b/>
          <w:i/>
        </w:rPr>
        <w:t>to the CDR Rules</w:t>
      </w:r>
      <w:r w:rsidRPr="00EE520A">
        <w:rPr>
          <w:b/>
          <w:bCs/>
          <w:i/>
          <w:iCs/>
        </w:rPr>
        <w:t>]</w:t>
      </w:r>
    </w:p>
    <w:p w14:paraId="42C4CABE" w14:textId="0BFC78F7" w:rsidR="00FF7553" w:rsidRPr="007E0766" w:rsidRDefault="00FF7553" w:rsidP="00DD066D">
      <w:pPr>
        <w:pStyle w:val="Bullet"/>
        <w:numPr>
          <w:ilvl w:val="0"/>
          <w:numId w:val="0"/>
        </w:numPr>
        <w:rPr>
          <w:u w:val="single"/>
        </w:rPr>
      </w:pPr>
      <w:r w:rsidRPr="007E0766">
        <w:rPr>
          <w:u w:val="single"/>
        </w:rPr>
        <w:t xml:space="preserve">Compliance </w:t>
      </w:r>
      <w:r w:rsidR="00E1602F">
        <w:rPr>
          <w:u w:val="single"/>
        </w:rPr>
        <w:t xml:space="preserve">schedule </w:t>
      </w:r>
      <w:r w:rsidR="00F5723B">
        <w:rPr>
          <w:u w:val="single"/>
        </w:rPr>
        <w:t>for</w:t>
      </w:r>
      <w:r w:rsidR="00B8140A" w:rsidRPr="007E0766">
        <w:rPr>
          <w:u w:val="single"/>
        </w:rPr>
        <w:t xml:space="preserve"> providers of </w:t>
      </w:r>
      <w:r w:rsidR="00CE16F2">
        <w:rPr>
          <w:u w:val="single"/>
        </w:rPr>
        <w:t>BNPL</w:t>
      </w:r>
      <w:r w:rsidR="00B8140A" w:rsidRPr="007E0766">
        <w:rPr>
          <w:u w:val="single"/>
        </w:rPr>
        <w:t xml:space="preserve"> products</w:t>
      </w:r>
    </w:p>
    <w:p w14:paraId="7F9675CF" w14:textId="67C7243C" w:rsidR="00B8140A" w:rsidRDefault="00DF1379" w:rsidP="00D02770">
      <w:pPr>
        <w:pStyle w:val="OutlineNumbered1"/>
      </w:pPr>
      <w:r>
        <w:t xml:space="preserve">The Amending Rules set out </w:t>
      </w:r>
      <w:r w:rsidR="00701D64">
        <w:t xml:space="preserve">new </w:t>
      </w:r>
      <w:r>
        <w:t xml:space="preserve">data sharing obligations </w:t>
      </w:r>
      <w:r w:rsidR="002D084F">
        <w:t xml:space="preserve">for banking data holders </w:t>
      </w:r>
      <w:r w:rsidR="006E171F">
        <w:t xml:space="preserve">that </w:t>
      </w:r>
      <w:r w:rsidR="002D084F">
        <w:t>offer</w:t>
      </w:r>
      <w:r w:rsidR="00620F4A">
        <w:t xml:space="preserve"> </w:t>
      </w:r>
      <w:r w:rsidR="00BF6CC1">
        <w:t>BNPL</w:t>
      </w:r>
      <w:r w:rsidR="006F63D7">
        <w:t xml:space="preserve"> </w:t>
      </w:r>
      <w:r w:rsidR="001255ED">
        <w:t>products.</w:t>
      </w:r>
      <w:r w:rsidR="00B970F5">
        <w:t xml:space="preserve"> </w:t>
      </w:r>
      <w:r w:rsidR="002E7306">
        <w:t xml:space="preserve">The commencement of data sharing obligations for these data holders </w:t>
      </w:r>
      <w:r w:rsidR="006E171F">
        <w:t xml:space="preserve">depends on when </w:t>
      </w:r>
      <w:r w:rsidR="0099663A">
        <w:t xml:space="preserve">the data holder </w:t>
      </w:r>
      <w:r w:rsidR="006F63D7">
        <w:t>starts offering BNPL products</w:t>
      </w:r>
      <w:r w:rsidR="007B640B">
        <w:t xml:space="preserve">. </w:t>
      </w:r>
    </w:p>
    <w:p w14:paraId="084ABFB5" w14:textId="136FDF07" w:rsidR="005E1C32" w:rsidRDefault="005E1C32" w:rsidP="00D02770">
      <w:pPr>
        <w:pStyle w:val="OutlineNumbered1"/>
      </w:pPr>
      <w:r>
        <w:t xml:space="preserve">If a banking data holder has </w:t>
      </w:r>
      <w:r w:rsidR="00C361CA">
        <w:t xml:space="preserve">offered BNPL products </w:t>
      </w:r>
      <w:r w:rsidR="00BE34AB">
        <w:t>on or before 13 July 2026 (that is, the tranche 1 date)</w:t>
      </w:r>
      <w:r w:rsidR="00C361CA">
        <w:t xml:space="preserve">, </w:t>
      </w:r>
      <w:r w:rsidR="00F5347D">
        <w:t>it must share data from the following dates</w:t>
      </w:r>
      <w:r w:rsidR="00DA6BFA">
        <w:t>:</w:t>
      </w:r>
    </w:p>
    <w:p w14:paraId="7968D0E9" w14:textId="18A590C5" w:rsidR="00534FC1" w:rsidRDefault="00B766B2" w:rsidP="00534FC1">
      <w:pPr>
        <w:pStyle w:val="Bullet"/>
      </w:pPr>
      <w:r>
        <w:t>for product data requests under Part 2</w:t>
      </w:r>
      <w:r w:rsidR="00581408">
        <w:t xml:space="preserve"> of the CDR Rules</w:t>
      </w:r>
      <w:r w:rsidR="003D7657">
        <w:t xml:space="preserve"> </w:t>
      </w:r>
      <w:r w:rsidR="003D7657" w:rsidRPr="009A3564">
        <w:rPr>
          <w:b/>
          <w:bCs/>
          <w:i/>
          <w:iCs/>
        </w:rPr>
        <w:t>–</w:t>
      </w:r>
      <w:r>
        <w:t xml:space="preserve"> </w:t>
      </w:r>
      <w:r w:rsidR="003059BC">
        <w:t>t</w:t>
      </w:r>
      <w:r w:rsidR="0022752B">
        <w:t xml:space="preserve">he </w:t>
      </w:r>
      <w:r w:rsidR="00083099">
        <w:t>t</w:t>
      </w:r>
      <w:r w:rsidR="0022752B">
        <w:t xml:space="preserve">ranche 1 </w:t>
      </w:r>
      <w:proofErr w:type="gramStart"/>
      <w:r w:rsidR="0022752B">
        <w:t>date</w:t>
      </w:r>
      <w:r w:rsidR="00AB6BC8">
        <w:t>;</w:t>
      </w:r>
      <w:proofErr w:type="gramEnd"/>
    </w:p>
    <w:p w14:paraId="3BC1CD36" w14:textId="2C48AB7F" w:rsidR="006E77E2" w:rsidRDefault="00B766B2" w:rsidP="00534FC1">
      <w:pPr>
        <w:pStyle w:val="Bullet"/>
      </w:pPr>
      <w:r>
        <w:t xml:space="preserve">for consumer data requests under Part 4 of the CDR Rules, other than complex requests </w:t>
      </w:r>
      <w:r w:rsidR="003D7657" w:rsidRPr="009A3564">
        <w:rPr>
          <w:b/>
          <w:bCs/>
          <w:i/>
          <w:iCs/>
        </w:rPr>
        <w:t>–</w:t>
      </w:r>
      <w:r>
        <w:t xml:space="preserve"> </w:t>
      </w:r>
      <w:r w:rsidR="003059BC">
        <w:t>t</w:t>
      </w:r>
      <w:r w:rsidR="006E77E2">
        <w:t xml:space="preserve">he </w:t>
      </w:r>
      <w:r w:rsidR="00083099" w:rsidDel="00BE34AB">
        <w:t>t</w:t>
      </w:r>
      <w:r w:rsidR="006E77E2" w:rsidDel="00BE34AB">
        <w:t>ranche</w:t>
      </w:r>
      <w:r w:rsidR="00D45A4D" w:rsidDel="00BE34AB">
        <w:t xml:space="preserve"> </w:t>
      </w:r>
      <w:r w:rsidR="00BE34AB">
        <w:t>2</w:t>
      </w:r>
      <w:r w:rsidR="00D45A4D">
        <w:t xml:space="preserve"> date</w:t>
      </w:r>
      <w:r w:rsidR="00EC505D">
        <w:t>.</w:t>
      </w:r>
    </w:p>
    <w:p w14:paraId="634A2298" w14:textId="19534D01" w:rsidR="006D5C9D" w:rsidRDefault="006D5C9D" w:rsidP="00D02770">
      <w:pPr>
        <w:pStyle w:val="OutlineNumbered1"/>
      </w:pPr>
      <w:r>
        <w:t>If a banking data holder</w:t>
      </w:r>
      <w:r w:rsidR="00C202F7">
        <w:t xml:space="preserve"> starts to offer </w:t>
      </w:r>
      <w:r w:rsidR="00852D01">
        <w:t xml:space="preserve">a </w:t>
      </w:r>
      <w:r w:rsidR="00C202F7">
        <w:t xml:space="preserve">BNPL product </w:t>
      </w:r>
      <w:r w:rsidR="006C6A5F">
        <w:t xml:space="preserve">after </w:t>
      </w:r>
      <w:r w:rsidR="006C6A5F" w:rsidDel="00BE34AB">
        <w:t>1</w:t>
      </w:r>
      <w:r w:rsidR="00B23937">
        <w:t>3</w:t>
      </w:r>
      <w:r w:rsidR="00BE34AB">
        <w:t xml:space="preserve"> July 2026 (that is, the tranche 1 date)</w:t>
      </w:r>
      <w:r w:rsidR="006C6A5F">
        <w:t xml:space="preserve">, the data sharing obligations </w:t>
      </w:r>
      <w:r w:rsidR="008C1081">
        <w:t xml:space="preserve">depend on </w:t>
      </w:r>
      <w:r w:rsidR="00E958EA">
        <w:t>when the data holder started to off</w:t>
      </w:r>
      <w:r w:rsidR="00B110A0">
        <w:t>er th</w:t>
      </w:r>
      <w:r w:rsidR="00852D01">
        <w:t>at pr</w:t>
      </w:r>
      <w:r w:rsidR="00B110A0">
        <w:t>oduct</w:t>
      </w:r>
      <w:r w:rsidR="00DB3DDE">
        <w:t xml:space="preserve">. It </w:t>
      </w:r>
      <w:r w:rsidR="00FF5386">
        <w:t xml:space="preserve">may or </w:t>
      </w:r>
      <w:r w:rsidR="00DB3DDE">
        <w:t>must share such data from the following dates</w:t>
      </w:r>
      <w:r w:rsidR="006C6A5F">
        <w:t>:</w:t>
      </w:r>
    </w:p>
    <w:p w14:paraId="4449A4CA" w14:textId="35F00C03" w:rsidR="006C6A5F" w:rsidRDefault="00AC7AE4" w:rsidP="006C6A5F">
      <w:pPr>
        <w:pStyle w:val="Bullet"/>
      </w:pPr>
      <w:r>
        <w:t xml:space="preserve">for product data requests under Part 2 of the CDR Rules </w:t>
      </w:r>
      <w:r w:rsidR="003D7657" w:rsidRPr="009A3564">
        <w:rPr>
          <w:b/>
          <w:bCs/>
          <w:i/>
          <w:iCs/>
        </w:rPr>
        <w:t>–</w:t>
      </w:r>
      <w:r>
        <w:t xml:space="preserve"> </w:t>
      </w:r>
      <w:r w:rsidR="006C6A5F">
        <w:t xml:space="preserve">12 months after the </w:t>
      </w:r>
      <w:r w:rsidR="008A3584">
        <w:t>da</w:t>
      </w:r>
      <w:r w:rsidR="0066745A">
        <w:t xml:space="preserve">y it first offered </w:t>
      </w:r>
      <w:r w:rsidR="00433C5C">
        <w:t xml:space="preserve">the </w:t>
      </w:r>
      <w:r w:rsidR="0066745A">
        <w:t xml:space="preserve">BNPL </w:t>
      </w:r>
      <w:proofErr w:type="gramStart"/>
      <w:r w:rsidR="0066745A">
        <w:t>product</w:t>
      </w:r>
      <w:r w:rsidR="008A2BA8">
        <w:t>;</w:t>
      </w:r>
      <w:proofErr w:type="gramEnd"/>
    </w:p>
    <w:p w14:paraId="09FC9D13" w14:textId="4FD1C618" w:rsidR="0066745A" w:rsidRDefault="00A00E52" w:rsidP="006C6A5F">
      <w:pPr>
        <w:pStyle w:val="Bullet"/>
      </w:pPr>
      <w:r>
        <w:t xml:space="preserve">for consumer data requests under Part 4 of the CDR Rules, other than complex requests </w:t>
      </w:r>
      <w:r w:rsidR="003D7657" w:rsidRPr="009A3564">
        <w:rPr>
          <w:b/>
          <w:bCs/>
          <w:i/>
          <w:iCs/>
        </w:rPr>
        <w:t>–</w:t>
      </w:r>
      <w:r>
        <w:t xml:space="preserve"> </w:t>
      </w:r>
      <w:r w:rsidR="0066745A">
        <w:t xml:space="preserve">15 months after the day it first offered </w:t>
      </w:r>
      <w:r w:rsidR="00433C5C">
        <w:t xml:space="preserve">the </w:t>
      </w:r>
      <w:r w:rsidR="0066745A">
        <w:t>BNPL</w:t>
      </w:r>
      <w:r w:rsidR="00433C5C">
        <w:t xml:space="preserve"> product</w:t>
      </w:r>
      <w:r w:rsidR="001A6DAE">
        <w:t>.</w:t>
      </w:r>
    </w:p>
    <w:p w14:paraId="59D61C84" w14:textId="45BDE974" w:rsidR="00ED145D" w:rsidRDefault="00ED145D" w:rsidP="00D02770">
      <w:pPr>
        <w:pStyle w:val="OutlineNumbered1"/>
      </w:pPr>
      <w:r>
        <w:t xml:space="preserve">However, </w:t>
      </w:r>
      <w:r w:rsidR="00EF6F56">
        <w:t xml:space="preserve">the deferred compliance </w:t>
      </w:r>
      <w:r w:rsidR="00095853">
        <w:t xml:space="preserve">arrangements cease on the tranche </w:t>
      </w:r>
      <w:r w:rsidR="00700411">
        <w:t>3</w:t>
      </w:r>
      <w:r w:rsidR="00095853">
        <w:t xml:space="preserve"> date. That is, </w:t>
      </w:r>
      <w:r w:rsidR="00EF6F56">
        <w:t xml:space="preserve">for a banking data holder that </w:t>
      </w:r>
      <w:r w:rsidR="00095853">
        <w:t>starts offering BNPL products after 1</w:t>
      </w:r>
      <w:r w:rsidR="00700411">
        <w:t>0</w:t>
      </w:r>
      <w:r w:rsidR="00EC5F5E">
        <w:t> </w:t>
      </w:r>
      <w:r w:rsidR="00700411">
        <w:t>May</w:t>
      </w:r>
      <w:r w:rsidR="00EC5F5E">
        <w:t> </w:t>
      </w:r>
      <w:r w:rsidR="00095853">
        <w:t>2027</w:t>
      </w:r>
      <w:r w:rsidR="00EC5F5E">
        <w:t>, all data sharing obligations apply immediately</w:t>
      </w:r>
      <w:r w:rsidR="002347D3">
        <w:t xml:space="preserve"> as they do for other new products offere</w:t>
      </w:r>
      <w:r w:rsidR="00FE0FCB">
        <w:t xml:space="preserve">d by </w:t>
      </w:r>
      <w:r w:rsidR="006376A7">
        <w:t>banking data holders</w:t>
      </w:r>
      <w:r w:rsidR="00095853">
        <w:t>.</w:t>
      </w:r>
    </w:p>
    <w:p w14:paraId="20D842D5" w14:textId="5B606438" w:rsidR="00CC19DB" w:rsidRDefault="004A3756" w:rsidP="00D02770">
      <w:pPr>
        <w:pStyle w:val="OutlineNumbered1"/>
      </w:pPr>
      <w:r>
        <w:t>As with non-bank lenders</w:t>
      </w:r>
      <w:r w:rsidR="00F96BB0">
        <w:t xml:space="preserve"> obligations outlined above</w:t>
      </w:r>
      <w:r>
        <w:t>, i</w:t>
      </w:r>
      <w:r w:rsidR="00CC19DB">
        <w:t>t is not intended that data holders should be required to comply with complex requests under Part 4 of the CDR Rules in relation to BNPL products.</w:t>
      </w:r>
    </w:p>
    <w:p w14:paraId="739385C6" w14:textId="6754BA87" w:rsidR="00370410" w:rsidRPr="004A714C" w:rsidRDefault="00370410" w:rsidP="00370410">
      <w:pPr>
        <w:pStyle w:val="OutlineNumbered1"/>
        <w:rPr>
          <w:rFonts w:ascii="Arial" w:hAnsi="Arial" w:cs="Arial"/>
          <w:sz w:val="20"/>
        </w:rPr>
      </w:pPr>
      <w:r w:rsidRPr="00370410">
        <w:t xml:space="preserve">Obligations for the compulsory sharing of CDR data in relation to BNPL products is aligned with the phased implementation of the CDR in non-bank lending. </w:t>
      </w:r>
    </w:p>
    <w:p w14:paraId="7672EF1B" w14:textId="790E586D" w:rsidR="007817DC" w:rsidRDefault="007817DC" w:rsidP="00DB5934">
      <w:pPr>
        <w:pStyle w:val="OutlineNumbered1"/>
        <w:spacing w:after="0"/>
      </w:pPr>
      <w:r>
        <w:t xml:space="preserve">The CDR rules do not apply to a </w:t>
      </w:r>
      <w:r w:rsidR="00DB3EA9">
        <w:t xml:space="preserve">request made by an </w:t>
      </w:r>
      <w:r w:rsidR="004651AF">
        <w:t>accredited person</w:t>
      </w:r>
      <w:r>
        <w:t xml:space="preserve"> </w:t>
      </w:r>
      <w:r w:rsidR="00DB3EA9">
        <w:t xml:space="preserve">for CDR data </w:t>
      </w:r>
      <w:r w:rsidR="00E76D25">
        <w:t xml:space="preserve">in relation to a data holder in respect of CDR data that relates to a BNPL product. </w:t>
      </w:r>
    </w:p>
    <w:p w14:paraId="3F91A86D" w14:textId="45CBC9FD" w:rsidR="00FD4575" w:rsidRPr="00D87F15" w:rsidRDefault="00FD4575" w:rsidP="00DB5934">
      <w:pPr>
        <w:spacing w:before="0" w:after="200"/>
        <w:ind w:left="567"/>
        <w:rPr>
          <w:b/>
          <w:bCs/>
          <w:i/>
          <w:iCs/>
        </w:rPr>
      </w:pPr>
      <w:r w:rsidRPr="00D87F15">
        <w:rPr>
          <w:b/>
          <w:bCs/>
          <w:i/>
          <w:iCs/>
        </w:rPr>
        <w:t>[Schedule 1, item 30</w:t>
      </w:r>
      <w:r w:rsidR="00B5348C">
        <w:rPr>
          <w:b/>
          <w:bCs/>
          <w:i/>
          <w:iCs/>
        </w:rPr>
        <w:t>,</w:t>
      </w:r>
      <w:r w:rsidRPr="00D87F15">
        <w:rPr>
          <w:b/>
          <w:bCs/>
          <w:i/>
          <w:iCs/>
        </w:rPr>
        <w:t xml:space="preserve"> clause</w:t>
      </w:r>
      <w:r w:rsidR="00DB0797">
        <w:rPr>
          <w:b/>
          <w:bCs/>
          <w:i/>
          <w:iCs/>
        </w:rPr>
        <w:t xml:space="preserve"> 6.10</w:t>
      </w:r>
      <w:r w:rsidRPr="00D87F15">
        <w:rPr>
          <w:b/>
          <w:bCs/>
          <w:i/>
          <w:iCs/>
        </w:rPr>
        <w:t xml:space="preserve"> of Schedule 3 to the CDR Rules]</w:t>
      </w:r>
    </w:p>
    <w:p w14:paraId="32B2B277" w14:textId="4DB61FCA" w:rsidR="003C1945" w:rsidRPr="001B2C6D" w:rsidRDefault="003D14E0" w:rsidP="00DB5934">
      <w:pPr>
        <w:keepNext/>
        <w:spacing w:before="240"/>
        <w:rPr>
          <w:u w:val="single"/>
        </w:rPr>
      </w:pPr>
      <w:r w:rsidRPr="00DC030C">
        <w:rPr>
          <w:u w:val="single"/>
        </w:rPr>
        <w:lastRenderedPageBreak/>
        <w:t>Voluntary participation by non-bank lenders</w:t>
      </w:r>
    </w:p>
    <w:p w14:paraId="1CD81ED1" w14:textId="3B1AD4A2" w:rsidR="002F08AD" w:rsidRDefault="00097348" w:rsidP="00D02770">
      <w:pPr>
        <w:pStyle w:val="OutlineNumbered1"/>
      </w:pPr>
      <w:r>
        <w:t xml:space="preserve">Non-bank lenders </w:t>
      </w:r>
      <w:r w:rsidR="00DC030C">
        <w:t>that</w:t>
      </w:r>
      <w:r>
        <w:t xml:space="preserve"> do not </w:t>
      </w:r>
      <w:r w:rsidR="00C53D49">
        <w:t xml:space="preserve">qualify as </w:t>
      </w:r>
      <w:r>
        <w:t>‘</w:t>
      </w:r>
      <w:r w:rsidR="00C33659">
        <w:t xml:space="preserve">initial </w:t>
      </w:r>
      <w:r>
        <w:t>provider</w:t>
      </w:r>
      <w:r w:rsidR="00C53D49">
        <w:t>s</w:t>
      </w:r>
      <w:r>
        <w:t>’ or ‘</w:t>
      </w:r>
      <w:r w:rsidDel="00C33659">
        <w:t xml:space="preserve">large </w:t>
      </w:r>
      <w:r>
        <w:t>provider</w:t>
      </w:r>
      <w:r w:rsidR="00C53D49">
        <w:t>s</w:t>
      </w:r>
      <w:r>
        <w:t>’</w:t>
      </w:r>
      <w:r w:rsidR="00C53D49">
        <w:t>,</w:t>
      </w:r>
      <w:r w:rsidR="008815DD">
        <w:t xml:space="preserve"> are not ‘excluded data holders’</w:t>
      </w:r>
      <w:r w:rsidR="00C53D49">
        <w:t>,</w:t>
      </w:r>
      <w:r w:rsidR="008815DD">
        <w:t xml:space="preserve"> </w:t>
      </w:r>
      <w:r w:rsidR="00761ABE">
        <w:t xml:space="preserve">and are not accredited, </w:t>
      </w:r>
      <w:r>
        <w:t xml:space="preserve">are </w:t>
      </w:r>
      <w:r w:rsidR="008815DD">
        <w:t xml:space="preserve">exempt from having to provide product and consumer </w:t>
      </w:r>
      <w:proofErr w:type="gramStart"/>
      <w:r w:rsidR="004A3D74">
        <w:t>data</w:t>
      </w:r>
      <w:r w:rsidR="00206F22">
        <w:t>,</w:t>
      </w:r>
      <w:r w:rsidR="004A3D74">
        <w:t xml:space="preserve"> but</w:t>
      </w:r>
      <w:proofErr w:type="gramEnd"/>
      <w:r w:rsidR="008815DD">
        <w:t xml:space="preserve"> can do so voluntarily. </w:t>
      </w:r>
    </w:p>
    <w:p w14:paraId="51EC9D50" w14:textId="49D669BF" w:rsidR="00832082" w:rsidRDefault="00BA200F" w:rsidP="00D02770">
      <w:pPr>
        <w:pStyle w:val="OutlineNumbered1"/>
      </w:pPr>
      <w:r>
        <w:t xml:space="preserve">If a non-bank lender chooses to participate in the CDR, it must comply with all relevant CDR obligations. </w:t>
      </w:r>
    </w:p>
    <w:p w14:paraId="2FF187AD" w14:textId="77777777" w:rsidR="00DB5934" w:rsidRPr="00DB5934" w:rsidRDefault="00433777" w:rsidP="00DB5934">
      <w:pPr>
        <w:pStyle w:val="OutlineNumbered1"/>
        <w:spacing w:after="0"/>
        <w:rPr>
          <w:bCs/>
          <w:iCs/>
        </w:rPr>
      </w:pPr>
      <w:r>
        <w:t xml:space="preserve">Non-bank lenders in all classes may choose to disclose data in accordance with the CDR Rules before their compliance date. For example, early data sharing may be undertaken for testing purposes. </w:t>
      </w:r>
    </w:p>
    <w:p w14:paraId="472EBF34" w14:textId="6036C35C" w:rsidR="00E2295D" w:rsidRPr="00D02770" w:rsidRDefault="00F01741" w:rsidP="00DB5934">
      <w:pPr>
        <w:pStyle w:val="OutlineNumbered1"/>
        <w:numPr>
          <w:ilvl w:val="0"/>
          <w:numId w:val="0"/>
        </w:numPr>
        <w:spacing w:before="0"/>
        <w:ind w:left="567"/>
        <w:rPr>
          <w:bCs/>
          <w:iCs/>
        </w:rPr>
      </w:pPr>
      <w:r w:rsidRPr="00EE520A">
        <w:rPr>
          <w:b/>
          <w:bCs/>
          <w:i/>
          <w:iCs/>
        </w:rPr>
        <w:t xml:space="preserve">[Schedule 1, item </w:t>
      </w:r>
      <w:r w:rsidR="00E80EE3">
        <w:rPr>
          <w:b/>
          <w:bCs/>
          <w:i/>
          <w:iCs/>
        </w:rPr>
        <w:t>30</w:t>
      </w:r>
      <w:r w:rsidR="0075321C">
        <w:rPr>
          <w:b/>
          <w:bCs/>
          <w:i/>
          <w:iCs/>
        </w:rPr>
        <w:t>,</w:t>
      </w:r>
      <w:r w:rsidRPr="00EE520A">
        <w:rPr>
          <w:b/>
          <w:bCs/>
          <w:i/>
          <w:iCs/>
        </w:rPr>
        <w:t xml:space="preserve"> </w:t>
      </w:r>
      <w:r w:rsidR="00424F1F">
        <w:rPr>
          <w:b/>
          <w:bCs/>
          <w:i/>
          <w:iCs/>
        </w:rPr>
        <w:t>clause</w:t>
      </w:r>
      <w:r w:rsidRPr="00EE520A">
        <w:rPr>
          <w:b/>
          <w:bCs/>
          <w:i/>
          <w:iCs/>
        </w:rPr>
        <w:t xml:space="preserve"> </w:t>
      </w:r>
      <w:r>
        <w:rPr>
          <w:b/>
          <w:bCs/>
          <w:i/>
          <w:iCs/>
        </w:rPr>
        <w:t>6</w:t>
      </w:r>
      <w:r w:rsidR="0076599D">
        <w:rPr>
          <w:b/>
          <w:bCs/>
          <w:i/>
          <w:iCs/>
        </w:rPr>
        <w:t>.11</w:t>
      </w:r>
      <w:r w:rsidRPr="00EE520A">
        <w:rPr>
          <w:b/>
          <w:bCs/>
          <w:i/>
          <w:iCs/>
        </w:rPr>
        <w:t xml:space="preserve"> of Schedule 3</w:t>
      </w:r>
      <w:r>
        <w:rPr>
          <w:b/>
          <w:bCs/>
          <w:i/>
          <w:iCs/>
        </w:rPr>
        <w:t xml:space="preserve"> </w:t>
      </w:r>
      <w:r>
        <w:rPr>
          <w:b/>
          <w:i/>
        </w:rPr>
        <w:t>to the CDR Rules</w:t>
      </w:r>
      <w:r w:rsidRPr="00EE520A">
        <w:rPr>
          <w:b/>
          <w:bCs/>
          <w:i/>
          <w:iCs/>
        </w:rPr>
        <w:t>]</w:t>
      </w:r>
    </w:p>
    <w:p w14:paraId="745F25AE" w14:textId="7B856047" w:rsidR="000542D0" w:rsidRDefault="00050F78" w:rsidP="00D02770">
      <w:pPr>
        <w:pStyle w:val="OutlineNumbered1"/>
      </w:pPr>
      <w:r>
        <w:t xml:space="preserve">The </w:t>
      </w:r>
      <w:r w:rsidR="008B48AB">
        <w:t>A</w:t>
      </w:r>
      <w:r>
        <w:t xml:space="preserve">mending </w:t>
      </w:r>
      <w:r w:rsidR="008B48AB">
        <w:t>R</w:t>
      </w:r>
      <w:r>
        <w:t xml:space="preserve">ules clarify that </w:t>
      </w:r>
      <w:r w:rsidR="00FB441E">
        <w:t xml:space="preserve">the CDR rules </w:t>
      </w:r>
      <w:r w:rsidR="000542D0">
        <w:t>will</w:t>
      </w:r>
      <w:r w:rsidR="00FB441E">
        <w:t xml:space="preserve"> only apply to a relevant non-bank lender</w:t>
      </w:r>
      <w:r w:rsidR="00EC64C1">
        <w:t xml:space="preserve"> </w:t>
      </w:r>
      <w:r w:rsidR="00A8421E">
        <w:t>that</w:t>
      </w:r>
      <w:r w:rsidR="006F09CA">
        <w:t>:</w:t>
      </w:r>
    </w:p>
    <w:p w14:paraId="65F3CDDB" w14:textId="7DABDFE4" w:rsidR="000542D0" w:rsidRDefault="000542D0" w:rsidP="000542D0">
      <w:pPr>
        <w:pStyle w:val="Bullet"/>
      </w:pPr>
      <w:r>
        <w:t>is</w:t>
      </w:r>
      <w:r w:rsidR="00A8421E" w:rsidDel="000542D0">
        <w:t xml:space="preserve"> </w:t>
      </w:r>
      <w:r w:rsidR="00A8421E">
        <w:t xml:space="preserve">an initial </w:t>
      </w:r>
      <w:proofErr w:type="gramStart"/>
      <w:r w:rsidR="00A8421E">
        <w:t>provider</w:t>
      </w:r>
      <w:r w:rsidR="00034CCD">
        <w:t>;</w:t>
      </w:r>
      <w:proofErr w:type="gramEnd"/>
      <w:r w:rsidR="00A8421E">
        <w:t xml:space="preserve"> </w:t>
      </w:r>
    </w:p>
    <w:p w14:paraId="1AAFCF61" w14:textId="45B92903" w:rsidR="000542D0" w:rsidRDefault="000542D0" w:rsidP="000542D0">
      <w:pPr>
        <w:pStyle w:val="Bullet"/>
      </w:pPr>
      <w:r>
        <w:t xml:space="preserve">is </w:t>
      </w:r>
      <w:r w:rsidR="00A8421E">
        <w:t>a large provider</w:t>
      </w:r>
      <w:r w:rsidR="006F09CA">
        <w:t>;</w:t>
      </w:r>
      <w:r w:rsidR="00A8421E">
        <w:t xml:space="preserve"> or </w:t>
      </w:r>
    </w:p>
    <w:p w14:paraId="7C0E9073" w14:textId="6B67233E" w:rsidR="000542D0" w:rsidRDefault="001F0317" w:rsidP="000542D0">
      <w:pPr>
        <w:pStyle w:val="Bullet"/>
      </w:pPr>
      <w:r>
        <w:t>has</w:t>
      </w:r>
      <w:r w:rsidR="00A8421E">
        <w:t xml:space="preserve"> </w:t>
      </w:r>
      <w:r w:rsidR="00B458D0">
        <w:t xml:space="preserve">voluntarily </w:t>
      </w:r>
      <w:r w:rsidR="007943C9">
        <w:t xml:space="preserve">chosen to comply with relevant CDR rules by notifying the ACCC that </w:t>
      </w:r>
      <w:r w:rsidR="004C678E">
        <w:t xml:space="preserve">it wises Part 2 or Part 4 of the CDR rules to apply to it from a specified date. </w:t>
      </w:r>
    </w:p>
    <w:p w14:paraId="5EA64C42" w14:textId="6EBFE27A" w:rsidR="003B13A6" w:rsidRPr="00CA1D0F" w:rsidRDefault="004C678E" w:rsidP="00F9164E">
      <w:pPr>
        <w:pStyle w:val="Bullet"/>
        <w:numPr>
          <w:ilvl w:val="0"/>
          <w:numId w:val="0"/>
        </w:numPr>
        <w:ind w:left="567"/>
      </w:pPr>
      <w:r>
        <w:rPr>
          <w:b/>
          <w:bCs/>
          <w:i/>
          <w:iCs/>
        </w:rPr>
        <w:t>[Schedule 1, item 30, clause 6.6 of Schedule 3 to the CDR Rules]</w:t>
      </w:r>
      <w:r>
        <w:t xml:space="preserve"> </w:t>
      </w:r>
      <w:r w:rsidR="007943C9">
        <w:t xml:space="preserve"> </w:t>
      </w:r>
    </w:p>
    <w:p w14:paraId="7E73EB69" w14:textId="219CB8DD" w:rsidR="009D48FD" w:rsidRPr="001B2C6D" w:rsidRDefault="0032223C" w:rsidP="00F72212">
      <w:pPr>
        <w:spacing w:before="240"/>
        <w:rPr>
          <w:i/>
          <w:iCs/>
        </w:rPr>
      </w:pPr>
      <w:r w:rsidRPr="00281C80">
        <w:rPr>
          <w:i/>
          <w:iCs/>
        </w:rPr>
        <w:t xml:space="preserve">Non-applicability of </w:t>
      </w:r>
      <w:r w:rsidR="009D48FD" w:rsidRPr="007811CE">
        <w:rPr>
          <w:i/>
          <w:iCs/>
        </w:rPr>
        <w:t>Part</w:t>
      </w:r>
      <w:r w:rsidR="009D48FD" w:rsidRPr="001B2C6D">
        <w:rPr>
          <w:i/>
          <w:iCs/>
        </w:rPr>
        <w:t xml:space="preserve"> 3 of the CDR Rules</w:t>
      </w:r>
    </w:p>
    <w:p w14:paraId="2122EC42" w14:textId="77777777" w:rsidR="00DB5934" w:rsidRPr="00DB5934" w:rsidRDefault="001D358A" w:rsidP="00DB5934">
      <w:pPr>
        <w:pStyle w:val="OutlineNumbered1"/>
        <w:spacing w:after="0"/>
        <w:rPr>
          <w:bCs/>
          <w:iCs/>
        </w:rPr>
      </w:pPr>
      <w:r>
        <w:t>As is the case with the energy sector, direct-to-consumer data sharing is not enabled for the banking and NBL sectors.</w:t>
      </w:r>
      <w:r w:rsidR="0089409F">
        <w:t xml:space="preserve"> </w:t>
      </w:r>
    </w:p>
    <w:p w14:paraId="38203C74" w14:textId="08C24D7A" w:rsidR="001D358A" w:rsidRPr="00D02770" w:rsidRDefault="009D4977" w:rsidP="00DB5934">
      <w:pPr>
        <w:pStyle w:val="OutlineNumbered1"/>
        <w:numPr>
          <w:ilvl w:val="0"/>
          <w:numId w:val="0"/>
        </w:numPr>
        <w:spacing w:before="0"/>
        <w:ind w:left="567"/>
        <w:rPr>
          <w:bCs/>
          <w:iCs/>
        </w:rPr>
      </w:pPr>
      <w:r>
        <w:rPr>
          <w:b/>
          <w:bCs/>
          <w:i/>
          <w:iCs/>
        </w:rPr>
        <w:t>[Schedule 1, item 30, clauses 6.7 and 6.8 of Schedule 3 to the CDR Rules]</w:t>
      </w:r>
    </w:p>
    <w:p w14:paraId="46267802" w14:textId="2C6B04F5" w:rsidR="0039741C" w:rsidRPr="001B2C6D" w:rsidRDefault="00EA64DD" w:rsidP="00F72212">
      <w:pPr>
        <w:spacing w:before="240"/>
        <w:rPr>
          <w:i/>
          <w:iCs/>
        </w:rPr>
      </w:pPr>
      <w:r w:rsidRPr="001B2C6D">
        <w:rPr>
          <w:i/>
          <w:iCs/>
        </w:rPr>
        <w:t xml:space="preserve">Other rules and modifications </w:t>
      </w:r>
      <w:r w:rsidR="003855F6">
        <w:rPr>
          <w:i/>
          <w:iCs/>
        </w:rPr>
        <w:t xml:space="preserve">relating to </w:t>
      </w:r>
      <w:r w:rsidRPr="001B2C6D">
        <w:rPr>
          <w:i/>
          <w:iCs/>
        </w:rPr>
        <w:t>the banking and non-bank lend</w:t>
      </w:r>
      <w:r w:rsidR="00B97548">
        <w:rPr>
          <w:i/>
          <w:iCs/>
        </w:rPr>
        <w:t>ers</w:t>
      </w:r>
      <w:r w:rsidRPr="001B2C6D">
        <w:rPr>
          <w:i/>
          <w:iCs/>
        </w:rPr>
        <w:t xml:space="preserve"> sector</w:t>
      </w:r>
      <w:r w:rsidR="00B97548">
        <w:rPr>
          <w:i/>
          <w:iCs/>
        </w:rPr>
        <w:t>s</w:t>
      </w:r>
    </w:p>
    <w:p w14:paraId="38D8CAC3" w14:textId="77777777" w:rsidR="005E68BB" w:rsidRDefault="0039741C" w:rsidP="00D02770">
      <w:pPr>
        <w:pStyle w:val="OutlineNumbered1"/>
      </w:pPr>
      <w:r w:rsidRPr="001B2C6D">
        <w:t>P</w:t>
      </w:r>
      <w:r w:rsidR="00FB7512">
        <w:t xml:space="preserve">art 7 </w:t>
      </w:r>
      <w:r w:rsidR="00810CAF">
        <w:t xml:space="preserve">of </w:t>
      </w:r>
      <w:r w:rsidR="000B06B1">
        <w:t>S</w:t>
      </w:r>
      <w:r w:rsidR="00810CAF">
        <w:t xml:space="preserve">chedule 3 </w:t>
      </w:r>
      <w:r w:rsidR="004B591E">
        <w:t>to the CDR Rules</w:t>
      </w:r>
      <w:r w:rsidR="00810CAF">
        <w:t xml:space="preserve"> sets out </w:t>
      </w:r>
      <w:r w:rsidR="00FB7512">
        <w:t>modifications of the</w:t>
      </w:r>
      <w:r w:rsidR="000B06B1">
        <w:t xml:space="preserve"> CDR Rules </w:t>
      </w:r>
      <w:r w:rsidR="00FB7512">
        <w:t xml:space="preserve">for the banking </w:t>
      </w:r>
      <w:r w:rsidR="00820881">
        <w:t xml:space="preserve">sector </w:t>
      </w:r>
      <w:r w:rsidR="00FB7512">
        <w:t xml:space="preserve">and </w:t>
      </w:r>
      <w:r w:rsidR="004C3443">
        <w:t>contains other miscellaneous provisions.</w:t>
      </w:r>
      <w:r w:rsidR="007D3F64">
        <w:t xml:space="preserve"> </w:t>
      </w:r>
    </w:p>
    <w:p w14:paraId="7429333C" w14:textId="613D1C58" w:rsidR="0029767C" w:rsidRDefault="00FD0B8B" w:rsidP="00D02770">
      <w:pPr>
        <w:pStyle w:val="OutlineNumbered1"/>
      </w:pPr>
      <w:r>
        <w:t xml:space="preserve">The </w:t>
      </w:r>
      <w:r w:rsidR="0015549C">
        <w:t xml:space="preserve">heading </w:t>
      </w:r>
      <w:r w:rsidR="00F64693">
        <w:t>of Part 7 and</w:t>
      </w:r>
      <w:r>
        <w:t xml:space="preserve"> </w:t>
      </w:r>
      <w:r w:rsidR="004F4C90">
        <w:t>the heading and text of clause 7.1 (</w:t>
      </w:r>
      <w:r w:rsidR="00A03F2D">
        <w:t xml:space="preserve">about </w:t>
      </w:r>
      <w:r w:rsidR="00C317E8">
        <w:t xml:space="preserve">laws relevant to management </w:t>
      </w:r>
      <w:r w:rsidR="00F309B6">
        <w:t>of CDR data) are amended by adding “</w:t>
      </w:r>
      <w:r w:rsidR="00A2363A">
        <w:t>NBL sector”</w:t>
      </w:r>
      <w:r w:rsidR="00C9362A">
        <w:t xml:space="preserve"> to existing references to “banking sector”. </w:t>
      </w:r>
      <w:r w:rsidR="00CA1D0F">
        <w:t xml:space="preserve">                                                      </w:t>
      </w:r>
      <w:r w:rsidR="005E68BB">
        <w:rPr>
          <w:b/>
          <w:bCs/>
          <w:i/>
          <w:iCs/>
        </w:rPr>
        <w:t>[Schedule 1, item 31, Part 7 (heading) of Schedule 3 to the CDR Rules]</w:t>
      </w:r>
    </w:p>
    <w:p w14:paraId="5FA02F3D" w14:textId="76B3677E" w:rsidR="00B26058" w:rsidRPr="001B2C6D" w:rsidRDefault="00C6602E" w:rsidP="00261DDF">
      <w:pPr>
        <w:pStyle w:val="OutlineNumbered1"/>
        <w:spacing w:after="0"/>
      </w:pPr>
      <w:r>
        <w:t xml:space="preserve">In addition, </w:t>
      </w:r>
      <w:r w:rsidR="00956777">
        <w:t xml:space="preserve">clause </w:t>
      </w:r>
      <w:r w:rsidR="007C0623">
        <w:t>7.2</w:t>
      </w:r>
      <w:r w:rsidR="00EB3971">
        <w:t>,</w:t>
      </w:r>
      <w:r w:rsidR="007C0623">
        <w:t xml:space="preserve"> </w:t>
      </w:r>
      <w:r w:rsidR="00D76D8C">
        <w:t>which</w:t>
      </w:r>
      <w:r w:rsidR="00F9001A">
        <w:t xml:space="preserve"> sets out </w:t>
      </w:r>
      <w:r w:rsidR="001D358A">
        <w:t xml:space="preserve">conditions </w:t>
      </w:r>
      <w:r w:rsidR="008E1637">
        <w:t xml:space="preserve">that </w:t>
      </w:r>
      <w:r w:rsidR="001D358A">
        <w:t xml:space="preserve">accredited persons </w:t>
      </w:r>
      <w:r w:rsidR="008E1637">
        <w:t xml:space="preserve">must meet in order </w:t>
      </w:r>
      <w:r w:rsidR="001D358A">
        <w:t>to become data holders</w:t>
      </w:r>
      <w:r w:rsidR="00FE1B76">
        <w:t xml:space="preserve"> for the purposes of </w:t>
      </w:r>
      <w:r w:rsidR="00FA7922">
        <w:t>sub</w:t>
      </w:r>
      <w:r w:rsidR="00FE1B76">
        <w:t>section 56</w:t>
      </w:r>
      <w:proofErr w:type="gramStart"/>
      <w:r w:rsidR="00FE1B76">
        <w:t>AJ(</w:t>
      </w:r>
      <w:proofErr w:type="gramEnd"/>
      <w:r w:rsidR="00FE1B76">
        <w:t xml:space="preserve">4) of the </w:t>
      </w:r>
      <w:r w:rsidR="00A57E3E">
        <w:t>Act</w:t>
      </w:r>
      <w:r w:rsidR="00307E18">
        <w:t xml:space="preserve">, </w:t>
      </w:r>
      <w:r w:rsidR="004764C3">
        <w:t>is</w:t>
      </w:r>
      <w:r w:rsidR="00307E18">
        <w:t xml:space="preserve"> amended to include</w:t>
      </w:r>
      <w:r w:rsidR="004764C3">
        <w:t xml:space="preserve"> non-bank lender</w:t>
      </w:r>
      <w:r w:rsidR="00BF39AE">
        <w:t>s</w:t>
      </w:r>
      <w:r w:rsidR="004D18AD">
        <w:t>. The Amending Rules also</w:t>
      </w:r>
      <w:r w:rsidR="008434C2">
        <w:t xml:space="preserve"> </w:t>
      </w:r>
      <w:r w:rsidR="00B6181D">
        <w:t xml:space="preserve">clarify </w:t>
      </w:r>
      <w:r w:rsidR="000448CA">
        <w:t xml:space="preserve">that this mechanism </w:t>
      </w:r>
      <w:r w:rsidR="00B10059">
        <w:t xml:space="preserve">only applies if </w:t>
      </w:r>
      <w:r w:rsidR="002C4ACD">
        <w:t xml:space="preserve">the ADI or non-bank lender in question </w:t>
      </w:r>
      <w:r w:rsidR="00F330E4">
        <w:t xml:space="preserve">is already subject to data sharing obligations </w:t>
      </w:r>
      <w:r w:rsidR="006E04BB">
        <w:t>under Part 6 of Schedule</w:t>
      </w:r>
      <w:r w:rsidR="00B953F7">
        <w:t> </w:t>
      </w:r>
      <w:r w:rsidR="006E04BB">
        <w:t xml:space="preserve">3 to the CDR Rules </w:t>
      </w:r>
      <w:r w:rsidR="00F330E4">
        <w:t>in their capacity as a data holder of other CDR data.</w:t>
      </w:r>
      <w:r w:rsidR="008434C2">
        <w:t xml:space="preserve"> </w:t>
      </w:r>
      <w:r w:rsidR="006E04BB">
        <w:t>The ADI or</w:t>
      </w:r>
      <w:r w:rsidR="00AC6A74">
        <w:t xml:space="preserve"> non-bank lender will be subject to the privacy obligations that </w:t>
      </w:r>
      <w:r w:rsidR="006E04BB">
        <w:t xml:space="preserve">ordinarily apply to </w:t>
      </w:r>
      <w:r w:rsidR="00AC6A74">
        <w:t xml:space="preserve">a </w:t>
      </w:r>
      <w:r w:rsidR="001020B9">
        <w:t xml:space="preserve">data holder </w:t>
      </w:r>
      <w:r w:rsidR="006E04BB">
        <w:t>in such a situation</w:t>
      </w:r>
      <w:r w:rsidR="00084A41">
        <w:t>.</w:t>
      </w:r>
    </w:p>
    <w:p w14:paraId="2CD8E770" w14:textId="7C6C322A" w:rsidR="000E2A0E" w:rsidRDefault="00A924B4" w:rsidP="00261DDF">
      <w:pPr>
        <w:pStyle w:val="Bullet"/>
        <w:numPr>
          <w:ilvl w:val="0"/>
          <w:numId w:val="0"/>
        </w:numPr>
        <w:spacing w:before="0"/>
        <w:ind w:left="567"/>
        <w:rPr>
          <w:b/>
          <w:bCs/>
          <w:i/>
          <w:iCs/>
        </w:rPr>
      </w:pPr>
      <w:r w:rsidRPr="00A84984">
        <w:rPr>
          <w:b/>
          <w:bCs/>
          <w:i/>
          <w:iCs/>
        </w:rPr>
        <w:lastRenderedPageBreak/>
        <w:t xml:space="preserve">[Schedule 1, </w:t>
      </w:r>
      <w:r>
        <w:rPr>
          <w:b/>
          <w:bCs/>
          <w:i/>
          <w:iCs/>
        </w:rPr>
        <w:t>items 33 to 35</w:t>
      </w:r>
      <w:r w:rsidR="006E6EFA">
        <w:rPr>
          <w:b/>
          <w:bCs/>
          <w:i/>
          <w:iCs/>
        </w:rPr>
        <w:t>,</w:t>
      </w:r>
      <w:r>
        <w:rPr>
          <w:b/>
          <w:bCs/>
          <w:i/>
          <w:iCs/>
        </w:rPr>
        <w:t xml:space="preserve"> clauses 7.1 and 7.2 </w:t>
      </w:r>
      <w:r w:rsidRPr="00A84984">
        <w:rPr>
          <w:b/>
          <w:bCs/>
          <w:i/>
          <w:iCs/>
        </w:rPr>
        <w:t>of Sche</w:t>
      </w:r>
      <w:r>
        <w:rPr>
          <w:b/>
          <w:bCs/>
          <w:i/>
          <w:iCs/>
        </w:rPr>
        <w:t>d</w:t>
      </w:r>
      <w:r w:rsidRPr="00A84984">
        <w:rPr>
          <w:b/>
          <w:bCs/>
          <w:i/>
          <w:iCs/>
        </w:rPr>
        <w:t xml:space="preserve">ule </w:t>
      </w:r>
      <w:r w:rsidRPr="002F29CA">
        <w:rPr>
          <w:b/>
          <w:bCs/>
          <w:i/>
          <w:iCs/>
        </w:rPr>
        <w:t>3</w:t>
      </w:r>
      <w:r>
        <w:rPr>
          <w:b/>
          <w:bCs/>
          <w:i/>
          <w:iCs/>
        </w:rPr>
        <w:t xml:space="preserve"> </w:t>
      </w:r>
      <w:r>
        <w:rPr>
          <w:b/>
          <w:i/>
        </w:rPr>
        <w:t>to the CDR Rules</w:t>
      </w:r>
      <w:r w:rsidRPr="00A84984">
        <w:rPr>
          <w:b/>
          <w:bCs/>
          <w:i/>
          <w:iCs/>
        </w:rPr>
        <w:t>]</w:t>
      </w:r>
    </w:p>
    <w:p w14:paraId="7ECF8CC8" w14:textId="08D0E165" w:rsidR="003239CF" w:rsidRPr="001E6784" w:rsidRDefault="00805CB6" w:rsidP="004C0E48">
      <w:pPr>
        <w:pStyle w:val="Bullet"/>
        <w:keepNext/>
        <w:numPr>
          <w:ilvl w:val="0"/>
          <w:numId w:val="0"/>
        </w:numPr>
        <w:rPr>
          <w:u w:val="single"/>
        </w:rPr>
      </w:pPr>
      <w:r w:rsidRPr="001E6784">
        <w:rPr>
          <w:u w:val="single"/>
        </w:rPr>
        <w:t>Data holder</w:t>
      </w:r>
      <w:r w:rsidR="009226F5" w:rsidRPr="001E6784">
        <w:rPr>
          <w:u w:val="single"/>
        </w:rPr>
        <w:t xml:space="preserve"> may </w:t>
      </w:r>
      <w:r w:rsidRPr="001E6784">
        <w:rPr>
          <w:u w:val="single"/>
        </w:rPr>
        <w:t>comply on behalf of another data holder</w:t>
      </w:r>
      <w:r w:rsidR="00EE35CC">
        <w:rPr>
          <w:u w:val="single"/>
        </w:rPr>
        <w:t xml:space="preserve"> in banking and NBL sectors</w:t>
      </w:r>
    </w:p>
    <w:p w14:paraId="000188E3" w14:textId="30C4291A" w:rsidR="005738C1" w:rsidRDefault="00D41CB3" w:rsidP="00D02770">
      <w:pPr>
        <w:pStyle w:val="OutlineNumbered1"/>
      </w:pPr>
      <w:r>
        <w:t xml:space="preserve">A new clause is added </w:t>
      </w:r>
      <w:r w:rsidR="00F844AA">
        <w:t xml:space="preserve">to </w:t>
      </w:r>
      <w:r w:rsidR="00F55D47">
        <w:t xml:space="preserve">allow </w:t>
      </w:r>
      <w:r w:rsidR="00A902E9">
        <w:t xml:space="preserve">a </w:t>
      </w:r>
      <w:r w:rsidR="001D66F6">
        <w:t xml:space="preserve">data holder in the banking </w:t>
      </w:r>
      <w:r w:rsidR="00585247">
        <w:t>or</w:t>
      </w:r>
      <w:r w:rsidR="001D66F6">
        <w:t xml:space="preserve"> NBL sector</w:t>
      </w:r>
      <w:r w:rsidR="00C64D34">
        <w:t xml:space="preserve"> </w:t>
      </w:r>
      <w:r w:rsidR="00A902E9">
        <w:t xml:space="preserve">to elect to </w:t>
      </w:r>
      <w:r w:rsidR="008C1847">
        <w:t xml:space="preserve">comply with </w:t>
      </w:r>
      <w:r w:rsidR="00C3195C">
        <w:t xml:space="preserve">the CDR rules in </w:t>
      </w:r>
      <w:r w:rsidR="007C33CA">
        <w:t xml:space="preserve">the place of </w:t>
      </w:r>
      <w:r w:rsidR="00F65260">
        <w:t>another data holder</w:t>
      </w:r>
      <w:r w:rsidR="009B567F">
        <w:t xml:space="preserve"> </w:t>
      </w:r>
      <w:r w:rsidR="008B5FF5">
        <w:t xml:space="preserve">in the </w:t>
      </w:r>
      <w:r w:rsidR="009D716D">
        <w:t xml:space="preserve">banking or NBL </w:t>
      </w:r>
      <w:r w:rsidR="008B5FF5">
        <w:t xml:space="preserve">sector </w:t>
      </w:r>
      <w:r w:rsidR="009B567F">
        <w:t>in relation to a covered product, where either</w:t>
      </w:r>
      <w:r w:rsidR="005738C1">
        <w:t>:</w:t>
      </w:r>
    </w:p>
    <w:p w14:paraId="276F0FD6" w14:textId="31EF17CA" w:rsidR="00BD4F1A" w:rsidRDefault="0050448D" w:rsidP="00193174">
      <w:pPr>
        <w:pStyle w:val="Bullet"/>
      </w:pPr>
      <w:r>
        <w:t>the first-mentioned data holder</w:t>
      </w:r>
      <w:r w:rsidR="00192535">
        <w:t xml:space="preserve"> </w:t>
      </w:r>
      <w:proofErr w:type="gramStart"/>
      <w:r w:rsidR="00192535">
        <w:t>enters into</w:t>
      </w:r>
      <w:proofErr w:type="gramEnd"/>
      <w:r w:rsidR="00192535">
        <w:t xml:space="preserve"> </w:t>
      </w:r>
      <w:r w:rsidR="000E4BC0">
        <w:t>th</w:t>
      </w:r>
      <w:r w:rsidR="00F07E3C">
        <w:t xml:space="preserve">e </w:t>
      </w:r>
      <w:r w:rsidR="001E0AF3">
        <w:t xml:space="preserve">contract </w:t>
      </w:r>
      <w:r w:rsidR="00A7759F">
        <w:t xml:space="preserve">with the consumer </w:t>
      </w:r>
      <w:r w:rsidR="001E0AF3">
        <w:t xml:space="preserve">to provide the </w:t>
      </w:r>
      <w:r w:rsidR="00D21C4C">
        <w:t>product</w:t>
      </w:r>
      <w:r w:rsidR="00A41F96">
        <w:t>, but the second-mentioned data holder</w:t>
      </w:r>
      <w:r w:rsidR="00A7759F">
        <w:t xml:space="preserve"> </w:t>
      </w:r>
      <w:r w:rsidR="00F73BDC">
        <w:t xml:space="preserve">offers the product on behalf of the </w:t>
      </w:r>
      <w:r w:rsidR="00877447">
        <w:t xml:space="preserve">first-mentioned </w:t>
      </w:r>
      <w:r w:rsidR="00AA1974">
        <w:t>data holder; or</w:t>
      </w:r>
    </w:p>
    <w:p w14:paraId="43C951FD" w14:textId="39F63894" w:rsidR="005738C1" w:rsidRDefault="00F24F1A" w:rsidP="00193174">
      <w:pPr>
        <w:pStyle w:val="Bullet"/>
      </w:pPr>
      <w:r>
        <w:t xml:space="preserve">both data holders </w:t>
      </w:r>
      <w:r w:rsidR="00E94C83">
        <w:t xml:space="preserve">are </w:t>
      </w:r>
      <w:r w:rsidR="00A116D2">
        <w:t>related bodies corporate for the purposes of the Act</w:t>
      </w:r>
      <w:r w:rsidR="000553B9">
        <w:t>.</w:t>
      </w:r>
    </w:p>
    <w:p w14:paraId="320E86D2" w14:textId="77777777" w:rsidR="00261DDF" w:rsidRDefault="00DD03A2" w:rsidP="00261DDF">
      <w:pPr>
        <w:pStyle w:val="OutlineNumbered1"/>
        <w:spacing w:after="0"/>
      </w:pPr>
      <w:r>
        <w:t>Such an election must be made in writing</w:t>
      </w:r>
      <w:r w:rsidR="00CD0F83">
        <w:t xml:space="preserve">, and once made, </w:t>
      </w:r>
      <w:r w:rsidR="001A6514">
        <w:t xml:space="preserve">the CDR Rules </w:t>
      </w:r>
      <w:r w:rsidR="00675248">
        <w:t xml:space="preserve">apply to the </w:t>
      </w:r>
      <w:r w:rsidR="004D599B">
        <w:t xml:space="preserve">first-mentioned data holder </w:t>
      </w:r>
      <w:r w:rsidR="001563EB">
        <w:t xml:space="preserve">in relation to the product as if it were the second-mentioned data holder. </w:t>
      </w:r>
    </w:p>
    <w:p w14:paraId="6EC47B9D" w14:textId="476969D9" w:rsidR="009D36EE" w:rsidRPr="00D02770" w:rsidRDefault="001563EB" w:rsidP="00261DDF">
      <w:pPr>
        <w:pStyle w:val="OutlineNumbered1"/>
        <w:numPr>
          <w:ilvl w:val="0"/>
          <w:numId w:val="0"/>
        </w:numPr>
        <w:spacing w:before="0"/>
        <w:ind w:left="567"/>
      </w:pPr>
      <w:r w:rsidRPr="00A84984">
        <w:rPr>
          <w:b/>
          <w:bCs/>
          <w:i/>
          <w:iCs/>
        </w:rPr>
        <w:t>[Schedule 1, item</w:t>
      </w:r>
      <w:r>
        <w:rPr>
          <w:b/>
          <w:bCs/>
          <w:i/>
          <w:iCs/>
        </w:rPr>
        <w:t xml:space="preserve"> </w:t>
      </w:r>
      <w:r w:rsidR="00D61097">
        <w:rPr>
          <w:b/>
          <w:bCs/>
          <w:i/>
          <w:iCs/>
        </w:rPr>
        <w:t>32</w:t>
      </w:r>
      <w:r w:rsidR="007A333D">
        <w:rPr>
          <w:b/>
          <w:bCs/>
          <w:i/>
          <w:iCs/>
        </w:rPr>
        <w:t>,</w:t>
      </w:r>
      <w:r w:rsidRPr="00A84984">
        <w:rPr>
          <w:b/>
          <w:bCs/>
          <w:i/>
          <w:iCs/>
        </w:rPr>
        <w:t xml:space="preserve"> </w:t>
      </w:r>
      <w:r w:rsidR="00C93128">
        <w:rPr>
          <w:b/>
          <w:bCs/>
          <w:i/>
          <w:iCs/>
        </w:rPr>
        <w:t>clause 7</w:t>
      </w:r>
      <w:r w:rsidR="00D7630C">
        <w:rPr>
          <w:b/>
          <w:bCs/>
          <w:i/>
          <w:iCs/>
        </w:rPr>
        <w:t>.1A</w:t>
      </w:r>
      <w:r w:rsidRPr="00A84984">
        <w:rPr>
          <w:b/>
          <w:bCs/>
          <w:i/>
          <w:iCs/>
        </w:rPr>
        <w:t xml:space="preserve"> of Schedule </w:t>
      </w:r>
      <w:r w:rsidRPr="002F29CA">
        <w:rPr>
          <w:b/>
          <w:bCs/>
          <w:i/>
          <w:iCs/>
        </w:rPr>
        <w:t>3</w:t>
      </w:r>
      <w:r>
        <w:rPr>
          <w:b/>
          <w:bCs/>
          <w:i/>
          <w:iCs/>
        </w:rPr>
        <w:t xml:space="preserve"> </w:t>
      </w:r>
      <w:r>
        <w:rPr>
          <w:b/>
          <w:i/>
        </w:rPr>
        <w:t>to the CDR Rules</w:t>
      </w:r>
      <w:r w:rsidRPr="00A84984">
        <w:rPr>
          <w:b/>
          <w:bCs/>
          <w:i/>
          <w:iCs/>
        </w:rPr>
        <w:t>]</w:t>
      </w:r>
    </w:p>
    <w:p w14:paraId="59AF3FB9" w14:textId="77777777" w:rsidR="00260EC5" w:rsidRDefault="00260EC5" w:rsidP="00D02770">
      <w:pPr>
        <w:pStyle w:val="OutlineNumbered1"/>
      </w:pPr>
      <w:r>
        <w:t>This clause provides data holders with the ability to transfer obligations in situations where the consumer facing entity would not ordinarily be required to comply with the relevant data holder obligations, but where it is more appropriate that they are the entity that complies.</w:t>
      </w:r>
    </w:p>
    <w:p w14:paraId="5D89DCB3" w14:textId="4ED00233" w:rsidR="00182D4A" w:rsidRDefault="007D70B4" w:rsidP="00D02770">
      <w:pPr>
        <w:pStyle w:val="OutlineNumbered1"/>
      </w:pPr>
      <w:r>
        <w:t xml:space="preserve">The </w:t>
      </w:r>
      <w:r w:rsidR="002044AB">
        <w:t>mechanism</w:t>
      </w:r>
      <w:r w:rsidDel="00435C8C">
        <w:t xml:space="preserve"> </w:t>
      </w:r>
      <w:r>
        <w:t>is intended to be available</w:t>
      </w:r>
      <w:r w:rsidR="00C836EC">
        <w:t>, for example,</w:t>
      </w:r>
      <w:r>
        <w:t xml:space="preserve"> </w:t>
      </w:r>
      <w:r w:rsidR="003907FF">
        <w:t>where</w:t>
      </w:r>
      <w:r w:rsidR="00A22F1A">
        <w:t xml:space="preserve"> </w:t>
      </w:r>
      <w:r w:rsidR="00450A5D">
        <w:t>one entity (</w:t>
      </w:r>
      <w:r w:rsidR="00C328B6">
        <w:t xml:space="preserve">the </w:t>
      </w:r>
      <w:r w:rsidR="000E2F25">
        <w:t>lender of record)</w:t>
      </w:r>
      <w:r w:rsidR="00A029B3">
        <w:t xml:space="preserve"> issues a product to a CDR consumer that is branded, marketed</w:t>
      </w:r>
      <w:r w:rsidR="005056A1">
        <w:t>,</w:t>
      </w:r>
      <w:r w:rsidR="00A029B3">
        <w:t xml:space="preserve"> and retailed to </w:t>
      </w:r>
      <w:r w:rsidR="00CE4BF1">
        <w:t>the</w:t>
      </w:r>
      <w:r w:rsidR="00A029B3">
        <w:t xml:space="preserve"> CDR consumer by another entity (</w:t>
      </w:r>
      <w:r w:rsidR="002A783F">
        <w:t xml:space="preserve">manager of </w:t>
      </w:r>
      <w:r w:rsidR="00BF33C9">
        <w:t xml:space="preserve">the </w:t>
      </w:r>
      <w:r w:rsidR="002A783F">
        <w:t>loan)</w:t>
      </w:r>
      <w:r>
        <w:t xml:space="preserve">. </w:t>
      </w:r>
      <w:r w:rsidR="00552049">
        <w:t>In this situation</w:t>
      </w:r>
      <w:r w:rsidR="00B559AF">
        <w:t>,</w:t>
      </w:r>
      <w:r w:rsidR="00552049">
        <w:t xml:space="preserve"> </w:t>
      </w:r>
      <w:r w:rsidR="00BF33C9">
        <w:t>provided both entities are data holders</w:t>
      </w:r>
      <w:r w:rsidR="00357538">
        <w:t xml:space="preserve"> in either the banking or non-bank lenders sector</w:t>
      </w:r>
      <w:r w:rsidR="009423EC">
        <w:t xml:space="preserve"> and are </w:t>
      </w:r>
      <w:r w:rsidR="00FE14E4">
        <w:t>related bodies corporate</w:t>
      </w:r>
      <w:r w:rsidR="00BF33C9">
        <w:t xml:space="preserve">, </w:t>
      </w:r>
      <w:r w:rsidR="00552049">
        <w:t>it</w:t>
      </w:r>
      <w:r w:rsidR="00C14827">
        <w:t xml:space="preserve"> is intended that </w:t>
      </w:r>
      <w:r w:rsidR="00BF33C9">
        <w:t xml:space="preserve">the entities can agree </w:t>
      </w:r>
      <w:r w:rsidR="00C14827">
        <w:t xml:space="preserve">that </w:t>
      </w:r>
      <w:r w:rsidR="00E80E3C">
        <w:t xml:space="preserve">the </w:t>
      </w:r>
      <w:r w:rsidR="0082006D">
        <w:t>manager of the loan</w:t>
      </w:r>
      <w:r w:rsidR="00B559AF">
        <w:t xml:space="preserve"> takes on</w:t>
      </w:r>
      <w:r w:rsidR="000626D8">
        <w:t xml:space="preserve"> the</w:t>
      </w:r>
      <w:r w:rsidR="00B559AF">
        <w:t xml:space="preserve"> data sharing obligations</w:t>
      </w:r>
      <w:r w:rsidR="000626D8">
        <w:t xml:space="preserve"> that would otherwise apply to the lender of record</w:t>
      </w:r>
      <w:r w:rsidR="00F23631">
        <w:t>.</w:t>
      </w:r>
      <w:r w:rsidR="00CE4BF1">
        <w:t xml:space="preserve"> </w:t>
      </w:r>
    </w:p>
    <w:p w14:paraId="7F9B2777" w14:textId="0E286333" w:rsidR="002D1326" w:rsidRDefault="004A5DF4" w:rsidP="00D02770">
      <w:pPr>
        <w:pStyle w:val="OutlineNumbered1"/>
      </w:pPr>
      <w:r>
        <w:t xml:space="preserve">The </w:t>
      </w:r>
      <w:r w:rsidR="00581BED">
        <w:t>mechanism</w:t>
      </w:r>
      <w:r>
        <w:t xml:space="preserve"> is also available </w:t>
      </w:r>
      <w:r w:rsidR="00581BED">
        <w:t xml:space="preserve">for transfer of data sharing obligations between </w:t>
      </w:r>
      <w:r w:rsidR="00C11648">
        <w:t xml:space="preserve">a </w:t>
      </w:r>
      <w:r w:rsidR="00581BED">
        <w:t xml:space="preserve">data holder </w:t>
      </w:r>
      <w:r w:rsidR="00C11648">
        <w:t>in</w:t>
      </w:r>
      <w:r>
        <w:t xml:space="preserve"> the NBL</w:t>
      </w:r>
      <w:r w:rsidR="00C11648">
        <w:t xml:space="preserve"> sector</w:t>
      </w:r>
      <w:r>
        <w:t xml:space="preserve"> and </w:t>
      </w:r>
      <w:r w:rsidR="00C11648">
        <w:t>a data holder in the</w:t>
      </w:r>
      <w:r>
        <w:t xml:space="preserve"> banking </w:t>
      </w:r>
      <w:r w:rsidR="00B36CE6">
        <w:t>sector</w:t>
      </w:r>
      <w:r>
        <w:t xml:space="preserve">. </w:t>
      </w:r>
      <w:r w:rsidR="00C11648">
        <w:t xml:space="preserve">This is to </w:t>
      </w:r>
      <w:r w:rsidR="00AB66EB">
        <w:t>make the mechanism available to</w:t>
      </w:r>
      <w:r w:rsidR="00C11648">
        <w:t xml:space="preserve"> data holders </w:t>
      </w:r>
      <w:r w:rsidR="00745AAB">
        <w:t>which are related bod</w:t>
      </w:r>
      <w:r w:rsidR="00E340A9">
        <w:t xml:space="preserve">ies corporate </w:t>
      </w:r>
      <w:r w:rsidR="00D042AF">
        <w:t>for the purposes of the Act</w:t>
      </w:r>
      <w:r w:rsidR="00750E4A">
        <w:t xml:space="preserve"> b</w:t>
      </w:r>
      <w:r w:rsidR="00B05CF1">
        <w:t xml:space="preserve">ut </w:t>
      </w:r>
      <w:r w:rsidR="00152A99">
        <w:t xml:space="preserve">are </w:t>
      </w:r>
      <w:r w:rsidR="00BE0A7C">
        <w:t xml:space="preserve">different types of entities and </w:t>
      </w:r>
      <w:r w:rsidR="00AB66EB">
        <w:t xml:space="preserve">therefore </w:t>
      </w:r>
      <w:r w:rsidR="00A77DC3">
        <w:t xml:space="preserve">captured in scope of the CDR </w:t>
      </w:r>
      <w:r w:rsidR="0009287E">
        <w:t>in different sectors</w:t>
      </w:r>
      <w:r w:rsidR="00467958">
        <w:t>.</w:t>
      </w:r>
    </w:p>
    <w:p w14:paraId="7865BD5A" w14:textId="5058B71A" w:rsidR="00045EA6" w:rsidRPr="00CA1D0F" w:rsidRDefault="0003438B" w:rsidP="00D02770">
      <w:pPr>
        <w:pStyle w:val="OutlineNumbered1"/>
      </w:pPr>
      <w:r>
        <w:t xml:space="preserve">Note </w:t>
      </w:r>
      <w:r w:rsidR="00D16A46">
        <w:t>that</w:t>
      </w:r>
      <w:r w:rsidR="002D1326">
        <w:t xml:space="preserve"> this </w:t>
      </w:r>
      <w:r w:rsidR="00415B19">
        <w:t xml:space="preserve">mechanism </w:t>
      </w:r>
      <w:r w:rsidR="00EE35CC">
        <w:t xml:space="preserve">has not been extended </w:t>
      </w:r>
      <w:r w:rsidR="002D1326">
        <w:t>to data holders in the energy sector.</w:t>
      </w:r>
    </w:p>
    <w:p w14:paraId="3B3EF35A" w14:textId="77777777" w:rsidR="00261DDF" w:rsidRDefault="00C17641" w:rsidP="00261DDF">
      <w:pPr>
        <w:pStyle w:val="OutlineNumbered1"/>
        <w:spacing w:after="0"/>
      </w:pPr>
      <w:r>
        <w:t xml:space="preserve">Where data holders have </w:t>
      </w:r>
      <w:r w:rsidR="004D1A29">
        <w:t>agreed to an</w:t>
      </w:r>
      <w:r>
        <w:t xml:space="preserve"> election </w:t>
      </w:r>
      <w:r w:rsidR="00231B7E">
        <w:t xml:space="preserve">as </w:t>
      </w:r>
      <w:r>
        <w:t>described above</w:t>
      </w:r>
      <w:r w:rsidR="00231B7E">
        <w:t xml:space="preserve">, </w:t>
      </w:r>
      <w:r w:rsidR="00A857EC">
        <w:t xml:space="preserve">the first-mentioned data holder must </w:t>
      </w:r>
      <w:r w:rsidR="00EF262E">
        <w:t xml:space="preserve">keep a </w:t>
      </w:r>
      <w:r w:rsidR="00623C5D">
        <w:t>record</w:t>
      </w:r>
      <w:r w:rsidR="00EF262E">
        <w:t xml:space="preserve"> of</w:t>
      </w:r>
      <w:r w:rsidR="0023523C">
        <w:t xml:space="preserve"> the election in accordance with </w:t>
      </w:r>
      <w:r w:rsidR="006B04D1">
        <w:t>the</w:t>
      </w:r>
      <w:r w:rsidR="00E07455">
        <w:t>ir</w:t>
      </w:r>
      <w:r w:rsidR="006B04D1">
        <w:t xml:space="preserve"> record-keeping</w:t>
      </w:r>
      <w:r w:rsidR="0023523C">
        <w:t xml:space="preserve"> obligations </w:t>
      </w:r>
      <w:r w:rsidR="006B04D1">
        <w:t>under rule 9.3</w:t>
      </w:r>
      <w:r w:rsidR="008A2BFA">
        <w:t>.</w:t>
      </w:r>
    </w:p>
    <w:p w14:paraId="43450F27" w14:textId="507F35C7" w:rsidR="00C17641" w:rsidRPr="00C17641" w:rsidRDefault="009252D2" w:rsidP="00261DDF">
      <w:pPr>
        <w:pStyle w:val="OutlineNumbered1"/>
        <w:numPr>
          <w:ilvl w:val="0"/>
          <w:numId w:val="0"/>
        </w:numPr>
        <w:spacing w:before="0"/>
        <w:ind w:left="567"/>
      </w:pPr>
      <w:r w:rsidRPr="00A84984">
        <w:rPr>
          <w:b/>
          <w:bCs/>
          <w:i/>
          <w:iCs/>
        </w:rPr>
        <w:t>[Schedule 1, item</w:t>
      </w:r>
      <w:r>
        <w:rPr>
          <w:b/>
          <w:bCs/>
          <w:i/>
          <w:iCs/>
        </w:rPr>
        <w:t xml:space="preserve"> </w:t>
      </w:r>
      <w:r w:rsidR="0089340A">
        <w:rPr>
          <w:b/>
          <w:bCs/>
          <w:i/>
          <w:iCs/>
        </w:rPr>
        <w:t>2</w:t>
      </w:r>
      <w:r w:rsidR="00BF736A">
        <w:rPr>
          <w:b/>
          <w:bCs/>
          <w:i/>
          <w:iCs/>
        </w:rPr>
        <w:t>1</w:t>
      </w:r>
      <w:r w:rsidR="0089340A">
        <w:rPr>
          <w:b/>
          <w:bCs/>
          <w:i/>
          <w:iCs/>
        </w:rPr>
        <w:t xml:space="preserve">, </w:t>
      </w:r>
      <w:r w:rsidR="00777399">
        <w:rPr>
          <w:b/>
          <w:bCs/>
          <w:i/>
          <w:iCs/>
        </w:rPr>
        <w:t>paragraph</w:t>
      </w:r>
      <w:r w:rsidR="00F855E5">
        <w:rPr>
          <w:b/>
          <w:bCs/>
          <w:i/>
          <w:iCs/>
        </w:rPr>
        <w:t> </w:t>
      </w:r>
      <w:r w:rsidR="00777399">
        <w:rPr>
          <w:b/>
          <w:bCs/>
          <w:i/>
          <w:iCs/>
        </w:rPr>
        <w:t>9.3(</w:t>
      </w:r>
      <w:proofErr w:type="gramStart"/>
      <w:r w:rsidR="00777399">
        <w:rPr>
          <w:b/>
          <w:bCs/>
          <w:i/>
          <w:iCs/>
        </w:rPr>
        <w:t>1)(</w:t>
      </w:r>
      <w:proofErr w:type="spellStart"/>
      <w:proofErr w:type="gramEnd"/>
      <w:r w:rsidR="00777399">
        <w:rPr>
          <w:b/>
          <w:bCs/>
          <w:i/>
          <w:iCs/>
        </w:rPr>
        <w:t>d</w:t>
      </w:r>
      <w:r w:rsidR="00BA3773">
        <w:rPr>
          <w:b/>
          <w:bCs/>
          <w:i/>
          <w:iCs/>
        </w:rPr>
        <w:t>b</w:t>
      </w:r>
      <w:proofErr w:type="spellEnd"/>
      <w:r w:rsidR="00BA3773">
        <w:rPr>
          <w:b/>
          <w:bCs/>
          <w:i/>
          <w:iCs/>
        </w:rPr>
        <w:t>)</w:t>
      </w:r>
      <w:r w:rsidRPr="00A84984">
        <w:rPr>
          <w:b/>
          <w:bCs/>
          <w:i/>
          <w:iCs/>
        </w:rPr>
        <w:t>]</w:t>
      </w:r>
    </w:p>
    <w:p w14:paraId="36CBA525" w14:textId="43E9DAC8" w:rsidR="00B2591C" w:rsidRDefault="00B2591C" w:rsidP="00F72212">
      <w:pPr>
        <w:spacing w:before="240"/>
        <w:rPr>
          <w:i/>
          <w:iCs/>
        </w:rPr>
      </w:pPr>
      <w:r w:rsidRPr="00281C80">
        <w:rPr>
          <w:i/>
          <w:iCs/>
        </w:rPr>
        <w:t>New Part 8 – entities transitioning</w:t>
      </w:r>
      <w:r w:rsidR="00906219" w:rsidRPr="00281C80">
        <w:rPr>
          <w:i/>
          <w:iCs/>
        </w:rPr>
        <w:t xml:space="preserve"> from NBL </w:t>
      </w:r>
      <w:r w:rsidR="00AC4FD6" w:rsidRPr="00281C80">
        <w:rPr>
          <w:i/>
          <w:iCs/>
        </w:rPr>
        <w:t xml:space="preserve">sector </w:t>
      </w:r>
      <w:r w:rsidR="00906219" w:rsidRPr="00281C80">
        <w:rPr>
          <w:i/>
          <w:iCs/>
        </w:rPr>
        <w:t>to banking sector</w:t>
      </w:r>
    </w:p>
    <w:p w14:paraId="78F510A4" w14:textId="72E1EFD4" w:rsidR="00882ABC" w:rsidRPr="00D02770" w:rsidRDefault="00BE0B97" w:rsidP="00D02770">
      <w:pPr>
        <w:pStyle w:val="OutlineNumbered1"/>
      </w:pPr>
      <w:r>
        <w:t xml:space="preserve">The </w:t>
      </w:r>
      <w:r w:rsidR="00221A90">
        <w:t>Amending Rules</w:t>
      </w:r>
      <w:r w:rsidR="006624DC">
        <w:t xml:space="preserve"> </w:t>
      </w:r>
      <w:r w:rsidR="00965C97">
        <w:t xml:space="preserve">add a new Part 8 to Schedule 3 to the CDR Rules to clarify </w:t>
      </w:r>
      <w:r w:rsidR="000D14AE">
        <w:t xml:space="preserve">the CDR obligations of </w:t>
      </w:r>
      <w:r w:rsidR="009308B1">
        <w:t xml:space="preserve">an entity </w:t>
      </w:r>
      <w:r w:rsidR="000D14AE">
        <w:t xml:space="preserve">that </w:t>
      </w:r>
      <w:r w:rsidR="00426694">
        <w:t>ceases to be a non-bank lender in</w:t>
      </w:r>
      <w:r w:rsidR="008F6BF6">
        <w:t xml:space="preserve"> </w:t>
      </w:r>
      <w:r w:rsidR="008F6BF6">
        <w:lastRenderedPageBreak/>
        <w:t xml:space="preserve">the NBL </w:t>
      </w:r>
      <w:r w:rsidR="00426694">
        <w:t>sector and</w:t>
      </w:r>
      <w:r w:rsidR="009E33B2">
        <w:t>,</w:t>
      </w:r>
      <w:r w:rsidR="00426694">
        <w:t xml:space="preserve"> immediately </w:t>
      </w:r>
      <w:r w:rsidR="00E14102">
        <w:t xml:space="preserve">afterwards, </w:t>
      </w:r>
      <w:r w:rsidR="00426694">
        <w:t xml:space="preserve">becomes a data holder in </w:t>
      </w:r>
      <w:r w:rsidR="008F6BF6">
        <w:t xml:space="preserve">the </w:t>
      </w:r>
      <w:r w:rsidR="00426694">
        <w:t>banking sector</w:t>
      </w:r>
      <w:r w:rsidR="00426694" w:rsidRPr="0081432E">
        <w:t xml:space="preserve">. </w:t>
      </w:r>
    </w:p>
    <w:p w14:paraId="57CAE642" w14:textId="508CFEAE" w:rsidR="00426694" w:rsidRPr="00BE0B97" w:rsidRDefault="00437A9A" w:rsidP="00D02770">
      <w:pPr>
        <w:pStyle w:val="OutlineNumbered1"/>
      </w:pPr>
      <w:r>
        <w:t>In these cir</w:t>
      </w:r>
      <w:r w:rsidR="00836EF3">
        <w:t>cumstances</w:t>
      </w:r>
      <w:r w:rsidR="00C36E48">
        <w:t xml:space="preserve">, </w:t>
      </w:r>
      <w:r w:rsidR="00E14102">
        <w:t xml:space="preserve">if </w:t>
      </w:r>
      <w:r w:rsidR="00C36E48">
        <w:t>a product or consumer</w:t>
      </w:r>
      <w:r w:rsidR="00870FEB">
        <w:t xml:space="preserve"> data</w:t>
      </w:r>
      <w:r w:rsidR="003E45B4">
        <w:t xml:space="preserve"> request was in progress in the NBL sector</w:t>
      </w:r>
      <w:r w:rsidR="00061ED2">
        <w:t xml:space="preserve">, </w:t>
      </w:r>
      <w:r w:rsidR="00683BFC">
        <w:t xml:space="preserve">that request </w:t>
      </w:r>
      <w:r w:rsidR="0080484B">
        <w:t>is taken</w:t>
      </w:r>
      <w:r w:rsidR="00C81664">
        <w:t xml:space="preserve"> to relate to </w:t>
      </w:r>
      <w:r w:rsidR="001F7499">
        <w:t>t</w:t>
      </w:r>
      <w:r w:rsidR="00283CDE">
        <w:t>he</w:t>
      </w:r>
      <w:r w:rsidR="001F7499">
        <w:t xml:space="preserve"> banking sector data of the data holder and must be dealt with </w:t>
      </w:r>
      <w:r w:rsidR="001338D2">
        <w:t xml:space="preserve">accordingly. </w:t>
      </w:r>
      <w:r w:rsidR="00A86E73">
        <w:t xml:space="preserve">That is, </w:t>
      </w:r>
      <w:r w:rsidR="00C460C6">
        <w:t>i</w:t>
      </w:r>
      <w:r w:rsidR="00C46F13">
        <w:t xml:space="preserve">f </w:t>
      </w:r>
      <w:r w:rsidR="001338D2">
        <w:t>a consent or authorisation relates to such a request, th</w:t>
      </w:r>
      <w:r w:rsidR="00F95537">
        <w:t>e</w:t>
      </w:r>
      <w:r w:rsidR="001338D2">
        <w:t xml:space="preserve"> consent or authorisation does not expire </w:t>
      </w:r>
      <w:r w:rsidR="00AA0DCD">
        <w:t xml:space="preserve">merely </w:t>
      </w:r>
      <w:r w:rsidR="001338D2">
        <w:t>because</w:t>
      </w:r>
      <w:r w:rsidR="00283CDE">
        <w:t xml:space="preserve"> the </w:t>
      </w:r>
      <w:r w:rsidR="001338D2">
        <w:t xml:space="preserve">entity has become a data holder in the </w:t>
      </w:r>
      <w:r w:rsidR="00EB073E">
        <w:t>banking</w:t>
      </w:r>
      <w:r w:rsidR="001338D2">
        <w:t xml:space="preserve"> sector. </w:t>
      </w:r>
    </w:p>
    <w:p w14:paraId="0227B239" w14:textId="05FBBA50" w:rsidR="001338D2" w:rsidRPr="00BE0B97" w:rsidRDefault="008F1786" w:rsidP="00D02770">
      <w:pPr>
        <w:pStyle w:val="OutlineNumbered1"/>
      </w:pPr>
      <w:r>
        <w:t>As soon as practicable after an entity become</w:t>
      </w:r>
      <w:r w:rsidR="00DA4BD3">
        <w:t>s</w:t>
      </w:r>
      <w:r>
        <w:t xml:space="preserve"> a data holder in the banking sector, </w:t>
      </w:r>
      <w:r w:rsidR="00B30EF4">
        <w:t xml:space="preserve">it </w:t>
      </w:r>
      <w:r>
        <w:t xml:space="preserve">must notify </w:t>
      </w:r>
      <w:r w:rsidR="00722E12">
        <w:t xml:space="preserve">its </w:t>
      </w:r>
      <w:r>
        <w:t>CDR consumer</w:t>
      </w:r>
      <w:r w:rsidR="00722E12">
        <w:t>s</w:t>
      </w:r>
      <w:r>
        <w:t xml:space="preserve"> that </w:t>
      </w:r>
      <w:r w:rsidR="00722E12">
        <w:t>it</w:t>
      </w:r>
      <w:r>
        <w:t xml:space="preserve"> has ceased to operate in the NBL sector, is now operating in the banking sector</w:t>
      </w:r>
      <w:r w:rsidR="00722E12">
        <w:t>,</w:t>
      </w:r>
      <w:r>
        <w:t xml:space="preserve"> and that consumer</w:t>
      </w:r>
      <w:r w:rsidR="00722E12">
        <w:t>s</w:t>
      </w:r>
      <w:r>
        <w:t xml:space="preserve"> may</w:t>
      </w:r>
      <w:r w:rsidR="00EE35CC">
        <w:t>, under rules 4.13, 4.20J and 4.25 of the CDR Rules,</w:t>
      </w:r>
      <w:r>
        <w:t xml:space="preserve"> choose to withdraw an</w:t>
      </w:r>
      <w:r w:rsidR="00722E12">
        <w:t>y</w:t>
      </w:r>
      <w:r>
        <w:t xml:space="preserve"> </w:t>
      </w:r>
      <w:r w:rsidR="00B4467C">
        <w:t xml:space="preserve">consents and </w:t>
      </w:r>
      <w:r>
        <w:t>authorisation</w:t>
      </w:r>
      <w:r w:rsidR="00722E12">
        <w:t>s</w:t>
      </w:r>
      <w:r>
        <w:t xml:space="preserve"> given in respect of existing consumer data request</w:t>
      </w:r>
      <w:r w:rsidR="00722E12">
        <w:t>s</w:t>
      </w:r>
      <w:r>
        <w:t>.</w:t>
      </w:r>
      <w:r w:rsidR="00022149">
        <w:t xml:space="preserve"> </w:t>
      </w:r>
      <w:r w:rsidR="001050DA" w:rsidRPr="00A84984">
        <w:rPr>
          <w:b/>
          <w:bCs/>
          <w:i/>
          <w:iCs/>
        </w:rPr>
        <w:t>[Schedule 1, item</w:t>
      </w:r>
      <w:r w:rsidR="003F4924">
        <w:rPr>
          <w:b/>
          <w:bCs/>
          <w:i/>
          <w:iCs/>
        </w:rPr>
        <w:t>s</w:t>
      </w:r>
      <w:r w:rsidR="00B00C27">
        <w:rPr>
          <w:b/>
          <w:bCs/>
          <w:i/>
          <w:iCs/>
        </w:rPr>
        <w:t xml:space="preserve"> </w:t>
      </w:r>
      <w:r w:rsidR="00E21346">
        <w:rPr>
          <w:b/>
          <w:bCs/>
          <w:i/>
          <w:iCs/>
        </w:rPr>
        <w:t>1</w:t>
      </w:r>
      <w:r w:rsidR="00EE35CC">
        <w:rPr>
          <w:b/>
          <w:bCs/>
          <w:i/>
          <w:iCs/>
        </w:rPr>
        <w:t>4</w:t>
      </w:r>
      <w:r w:rsidR="00E21346">
        <w:rPr>
          <w:b/>
          <w:bCs/>
          <w:i/>
          <w:iCs/>
        </w:rPr>
        <w:t xml:space="preserve"> and</w:t>
      </w:r>
      <w:r w:rsidR="001050DA">
        <w:rPr>
          <w:b/>
          <w:bCs/>
          <w:i/>
          <w:iCs/>
        </w:rPr>
        <w:t xml:space="preserve"> </w:t>
      </w:r>
      <w:r w:rsidR="007C3D26">
        <w:rPr>
          <w:b/>
          <w:bCs/>
          <w:i/>
          <w:iCs/>
        </w:rPr>
        <w:t>3</w:t>
      </w:r>
      <w:r w:rsidR="0052688D">
        <w:rPr>
          <w:b/>
          <w:bCs/>
          <w:i/>
          <w:iCs/>
        </w:rPr>
        <w:t>6</w:t>
      </w:r>
      <w:r w:rsidR="002915EE">
        <w:rPr>
          <w:b/>
          <w:bCs/>
          <w:i/>
          <w:iCs/>
        </w:rPr>
        <w:t>,</w:t>
      </w:r>
      <w:r w:rsidR="001050DA" w:rsidRPr="00A84984">
        <w:rPr>
          <w:b/>
          <w:bCs/>
          <w:i/>
          <w:iCs/>
        </w:rPr>
        <w:t xml:space="preserve"> </w:t>
      </w:r>
      <w:r w:rsidR="003F67EE">
        <w:rPr>
          <w:b/>
          <w:bCs/>
          <w:i/>
          <w:iCs/>
        </w:rPr>
        <w:t xml:space="preserve">rule 4.1 and </w:t>
      </w:r>
      <w:r w:rsidR="00965C97">
        <w:rPr>
          <w:b/>
          <w:bCs/>
          <w:i/>
          <w:iCs/>
        </w:rPr>
        <w:t xml:space="preserve">clause 8.1 </w:t>
      </w:r>
      <w:r w:rsidR="001050DA" w:rsidRPr="00A84984">
        <w:rPr>
          <w:b/>
          <w:bCs/>
          <w:i/>
          <w:iCs/>
        </w:rPr>
        <w:t xml:space="preserve">of Schedule </w:t>
      </w:r>
      <w:r w:rsidR="001050DA" w:rsidRPr="002F29CA">
        <w:rPr>
          <w:b/>
          <w:bCs/>
          <w:i/>
          <w:iCs/>
        </w:rPr>
        <w:t>3</w:t>
      </w:r>
      <w:r w:rsidR="001050DA">
        <w:rPr>
          <w:b/>
          <w:bCs/>
          <w:i/>
          <w:iCs/>
        </w:rPr>
        <w:t xml:space="preserve"> </w:t>
      </w:r>
      <w:r w:rsidR="001050DA">
        <w:rPr>
          <w:b/>
          <w:i/>
        </w:rPr>
        <w:t>to the CDR Rules</w:t>
      </w:r>
      <w:r w:rsidR="001050DA" w:rsidRPr="00A84984">
        <w:rPr>
          <w:b/>
          <w:bCs/>
          <w:i/>
          <w:iCs/>
        </w:rPr>
        <w:t>]</w:t>
      </w:r>
      <w:r w:rsidR="0071594C">
        <w:t xml:space="preserve"> </w:t>
      </w:r>
    </w:p>
    <w:p w14:paraId="5E353562" w14:textId="55CB831D" w:rsidR="00637368" w:rsidRDefault="00637368" w:rsidP="008C56F5">
      <w:pPr>
        <w:spacing w:before="0" w:after="0"/>
      </w:pPr>
    </w:p>
    <w:p w14:paraId="039C1985" w14:textId="6AB4A2C1" w:rsidR="00376AFD" w:rsidRDefault="00376AFD">
      <w:pPr>
        <w:spacing w:before="0" w:after="0"/>
      </w:pPr>
      <w:r>
        <w:br w:type="page"/>
      </w:r>
    </w:p>
    <w:p w14:paraId="0C9796EC" w14:textId="59F3CF08" w:rsidR="00E47ED2" w:rsidRPr="003C5719" w:rsidRDefault="00E47ED2" w:rsidP="00E47ED2">
      <w:pPr>
        <w:pageBreakBefore/>
        <w:spacing w:before="240"/>
        <w:jc w:val="right"/>
        <w:rPr>
          <w:b/>
          <w:u w:val="single"/>
        </w:rPr>
      </w:pPr>
      <w:r w:rsidRPr="003C5719">
        <w:rPr>
          <w:b/>
          <w:u w:val="single"/>
        </w:rPr>
        <w:lastRenderedPageBreak/>
        <w:t xml:space="preserve">ATTACHMENT </w:t>
      </w:r>
      <w:r>
        <w:rPr>
          <w:b/>
          <w:u w:val="single"/>
        </w:rPr>
        <w:t>B</w:t>
      </w:r>
    </w:p>
    <w:p w14:paraId="2D85683F" w14:textId="77777777" w:rsidR="00E47ED2" w:rsidRPr="003C5719" w:rsidRDefault="00E47ED2" w:rsidP="00E47ED2">
      <w:pPr>
        <w:pStyle w:val="Heading3"/>
        <w:jc w:val="center"/>
      </w:pPr>
      <w:r w:rsidRPr="003C5719">
        <w:t>Statement of Compatibility with Human Rights</w:t>
      </w:r>
    </w:p>
    <w:p w14:paraId="71FD03BD" w14:textId="77777777" w:rsidR="00E47ED2" w:rsidRPr="003C5719" w:rsidRDefault="00E47ED2" w:rsidP="00E47ED2">
      <w:pPr>
        <w:spacing w:before="240"/>
        <w:jc w:val="center"/>
        <w:rPr>
          <w:i/>
        </w:rPr>
      </w:pPr>
      <w:r w:rsidRPr="003C5719">
        <w:rPr>
          <w:i/>
        </w:rPr>
        <w:t>Prepared in accordance with Part 3 of the Human Rights (Parliamentary Scrutiny) Act</w:t>
      </w:r>
      <w:r>
        <w:rPr>
          <w:i/>
        </w:rPr>
        <w:t> </w:t>
      </w:r>
      <w:r w:rsidRPr="003C5719">
        <w:rPr>
          <w:i/>
        </w:rPr>
        <w:t>2011</w:t>
      </w:r>
    </w:p>
    <w:p w14:paraId="1285551C" w14:textId="0D5B7938" w:rsidR="00E47ED2" w:rsidRPr="003C5719" w:rsidRDefault="0027193D" w:rsidP="0027193D">
      <w:pPr>
        <w:pStyle w:val="Heading3"/>
        <w:jc w:val="center"/>
      </w:pPr>
      <w:r>
        <w:t>Competition and Consumer (Consumer Data Right) Amendment (2025 Measures No. 1) Rules 2025</w:t>
      </w:r>
    </w:p>
    <w:p w14:paraId="201ED8EF" w14:textId="77777777" w:rsidR="00E47ED2" w:rsidRPr="003C5719" w:rsidRDefault="00E47ED2" w:rsidP="00E47ED2">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A75006B" w14:textId="77777777" w:rsidR="00E47ED2" w:rsidRPr="003C5719" w:rsidRDefault="00E47ED2" w:rsidP="00E47ED2">
      <w:pPr>
        <w:pStyle w:val="Heading3"/>
      </w:pPr>
      <w:r w:rsidRPr="003C5719">
        <w:t>Overview of the Legislative Instrument</w:t>
      </w:r>
    </w:p>
    <w:p w14:paraId="559E0088" w14:textId="0C137FB3" w:rsidR="00E47ED2" w:rsidRDefault="00946868" w:rsidP="00946868">
      <w:pPr>
        <w:spacing w:before="240"/>
      </w:pPr>
      <w:r>
        <w:t xml:space="preserve">The </w:t>
      </w:r>
      <w:r w:rsidRPr="00946868">
        <w:rPr>
          <w:i/>
          <w:iCs/>
        </w:rPr>
        <w:t>Competition and Consumer (Consumer Data Right) Amendment (2025 Measures No. 1) Rules 2025</w:t>
      </w:r>
      <w:r>
        <w:t xml:space="preserve"> (the Amending Rules)</w:t>
      </w:r>
      <w:r w:rsidR="00477EE1">
        <w:t xml:space="preserve"> extend the</w:t>
      </w:r>
      <w:r w:rsidR="00266076">
        <w:t xml:space="preserve"> consumer data right</w:t>
      </w:r>
      <w:r w:rsidR="00477EE1">
        <w:t xml:space="preserve"> </w:t>
      </w:r>
      <w:r w:rsidR="00266076">
        <w:t>(</w:t>
      </w:r>
      <w:r w:rsidR="00477EE1">
        <w:t>CDR</w:t>
      </w:r>
      <w:r w:rsidR="00ED5267">
        <w:t>)</w:t>
      </w:r>
      <w:r w:rsidR="00477EE1">
        <w:t xml:space="preserve"> to the non-bank lending sector</w:t>
      </w:r>
      <w:r w:rsidR="00882FF6">
        <w:t>. They also</w:t>
      </w:r>
      <w:r w:rsidR="00477EE1">
        <w:t xml:space="preserve"> narrow the scope of CDR data for the banking sector.</w:t>
      </w:r>
    </w:p>
    <w:p w14:paraId="54EE6728" w14:textId="40ED3C61" w:rsidR="006C2921" w:rsidRDefault="006C2921" w:rsidP="006C2921">
      <w:pPr>
        <w:spacing w:before="240"/>
      </w:pPr>
      <w:r>
        <w:t xml:space="preserve">The CDR </w:t>
      </w:r>
      <w:r w:rsidRPr="00D3705B">
        <w:t>framework</w:t>
      </w:r>
      <w:r>
        <w:t xml:space="preserve"> is set out in Part IVD of the </w:t>
      </w:r>
      <w:r w:rsidR="005A5826">
        <w:rPr>
          <w:i/>
          <w:iCs/>
        </w:rPr>
        <w:t>Competition and Consumer Act 2010</w:t>
      </w:r>
      <w:r>
        <w:t xml:space="preserve"> </w:t>
      </w:r>
      <w:r w:rsidR="00CD3247">
        <w:t xml:space="preserve">(the Act) </w:t>
      </w:r>
      <w:r>
        <w:t xml:space="preserve">and the </w:t>
      </w:r>
      <w:r w:rsidRPr="008C56F5">
        <w:rPr>
          <w:i/>
        </w:rPr>
        <w:t>Competition and Consumer (Consumer Data Right) Rules 2020</w:t>
      </w:r>
      <w:r>
        <w:t xml:space="preserve"> (‘CDR Rules’). </w:t>
      </w:r>
    </w:p>
    <w:p w14:paraId="58F8452B" w14:textId="77777777" w:rsidR="006C2921" w:rsidRDefault="006C2921" w:rsidP="006C2921">
      <w:pPr>
        <w:spacing w:before="240"/>
        <w:rPr>
          <w:color w:val="000000"/>
          <w:szCs w:val="24"/>
        </w:rPr>
      </w:pPr>
      <w:r w:rsidRPr="00E153D2">
        <w:rPr>
          <w:color w:val="000000"/>
          <w:szCs w:val="24"/>
        </w:rPr>
        <w:t>Under the CDR, individuals</w:t>
      </w:r>
      <w:r>
        <w:rPr>
          <w:color w:val="000000"/>
          <w:szCs w:val="24"/>
        </w:rPr>
        <w:t xml:space="preserve"> and businesses (‘CDR consumers’) may, through trusted third parties, request access to certain data sets relating to them. Data holders are required or authorised to provide access to the data, subject to controls ensuring the data’s quality, security and confidentiality. Data holders are also required or authorised to provide access, on request, to publicly available information on specified products that they offer.</w:t>
      </w:r>
    </w:p>
    <w:p w14:paraId="1F98C6F8" w14:textId="46337D4D" w:rsidR="006C2921" w:rsidRDefault="00F161C2" w:rsidP="00946868">
      <w:pPr>
        <w:spacing w:before="240"/>
      </w:pPr>
      <w:r>
        <w:t>Extending the CDR to the non-bank lenders sector is expected to facilitate more informed consumer engagement with both banks and non-bank lenders, leading to improved financial outcomes</w:t>
      </w:r>
      <w:r w:rsidDel="00977B9E">
        <w:t xml:space="preserve"> for individuals and businesses</w:t>
      </w:r>
      <w:r>
        <w:t>. From a broader perspective, expansion of the CDR to non-bank lenders will increase the availability of data, encouraging innovation in financial technology and helping consumers to better understand and manage their finances.</w:t>
      </w:r>
    </w:p>
    <w:p w14:paraId="417E2783" w14:textId="37890D17" w:rsidR="009E7709" w:rsidRDefault="009E7709" w:rsidP="009E7709">
      <w:pPr>
        <w:spacing w:before="240"/>
      </w:pPr>
      <w:r>
        <w:t xml:space="preserve">The Amending Rules apply the following </w:t>
      </w:r>
      <w:r w:rsidDel="00155183">
        <w:t xml:space="preserve">to </w:t>
      </w:r>
      <w:r>
        <w:t xml:space="preserve">non-bank lenders: </w:t>
      </w:r>
    </w:p>
    <w:p w14:paraId="1FBEAE60" w14:textId="77777777" w:rsidR="009E7709" w:rsidRDefault="009E7709" w:rsidP="009E7709">
      <w:pPr>
        <w:pStyle w:val="Bullet"/>
      </w:pPr>
      <w:r>
        <w:t xml:space="preserve">eligibility requirements for consumers seeking to make requests for CDR </w:t>
      </w:r>
      <w:proofErr w:type="gramStart"/>
      <w:r>
        <w:t>data;</w:t>
      </w:r>
      <w:proofErr w:type="gramEnd"/>
    </w:p>
    <w:p w14:paraId="71344DEC" w14:textId="77777777" w:rsidR="009E7709" w:rsidRDefault="009E7709" w:rsidP="009E7709">
      <w:pPr>
        <w:pStyle w:val="Bullet"/>
      </w:pPr>
      <w:r>
        <w:t xml:space="preserve">criteria setting out the scope of non-bank lenders subject to CDR data sharing </w:t>
      </w:r>
      <w:proofErr w:type="gramStart"/>
      <w:r>
        <w:t>obligations;</w:t>
      </w:r>
      <w:proofErr w:type="gramEnd"/>
    </w:p>
    <w:p w14:paraId="7E9E47A6" w14:textId="77777777" w:rsidR="009E7709" w:rsidRDefault="009E7709" w:rsidP="009E7709">
      <w:pPr>
        <w:pStyle w:val="Bullet"/>
      </w:pPr>
      <w:r>
        <w:t xml:space="preserve">the process for additional non-bank lenders to choose to participate in the </w:t>
      </w:r>
      <w:proofErr w:type="gramStart"/>
      <w:r>
        <w:t>CDR;</w:t>
      </w:r>
      <w:proofErr w:type="gramEnd"/>
    </w:p>
    <w:p w14:paraId="192FA152" w14:textId="77777777" w:rsidR="009E7709" w:rsidRDefault="009E7709" w:rsidP="009E7709">
      <w:pPr>
        <w:pStyle w:val="Bullet"/>
      </w:pPr>
      <w:r>
        <w:t xml:space="preserve">provisions specifying in-scope products and data sets that may, or must, be provided on </w:t>
      </w:r>
      <w:proofErr w:type="gramStart"/>
      <w:r>
        <w:t>request;</w:t>
      </w:r>
      <w:proofErr w:type="gramEnd"/>
    </w:p>
    <w:p w14:paraId="534C7D90" w14:textId="77777777" w:rsidR="009E7709" w:rsidRDefault="009E7709" w:rsidP="009E7709">
      <w:pPr>
        <w:pStyle w:val="Bullet"/>
      </w:pPr>
      <w:r>
        <w:lastRenderedPageBreak/>
        <w:t xml:space="preserve">requirements for internal and external dispute resolution. </w:t>
      </w:r>
    </w:p>
    <w:p w14:paraId="3879CEAF" w14:textId="61615161" w:rsidR="009E7709" w:rsidRPr="0009379A" w:rsidRDefault="009E7709" w:rsidP="009E7709">
      <w:pPr>
        <w:spacing w:before="240"/>
      </w:pPr>
      <w:r w:rsidRPr="0009379A">
        <w:t xml:space="preserve">The Amending Rules also make changes to the obligations of </w:t>
      </w:r>
      <w:r>
        <w:t xml:space="preserve">data holders </w:t>
      </w:r>
      <w:r w:rsidR="00942B78">
        <w:t>in the banking sector</w:t>
      </w:r>
      <w:r w:rsidR="00FA4CC0">
        <w:t xml:space="preserve"> (</w:t>
      </w:r>
      <w:r w:rsidR="00A52605">
        <w:t>some of which</w:t>
      </w:r>
      <w:r w:rsidR="00FA4CC0">
        <w:t xml:space="preserve"> correspondingly </w:t>
      </w:r>
      <w:r w:rsidR="00A52605">
        <w:t xml:space="preserve">apply </w:t>
      </w:r>
      <w:r w:rsidR="00FA4CC0">
        <w:t xml:space="preserve">to the </w:t>
      </w:r>
      <w:r w:rsidR="00A52605">
        <w:t>non-bank lenders sector)</w:t>
      </w:r>
      <w:r>
        <w:t>, including</w:t>
      </w:r>
      <w:r w:rsidRPr="0009379A">
        <w:t xml:space="preserve"> the following:</w:t>
      </w:r>
    </w:p>
    <w:p w14:paraId="33FAF374" w14:textId="77777777" w:rsidR="009E7709" w:rsidRDefault="009E7709" w:rsidP="009E7709">
      <w:pPr>
        <w:pStyle w:val="Bullet"/>
      </w:pPr>
      <w:r>
        <w:t xml:space="preserve">narrowing the scope of products and data sets that must be provided on </w:t>
      </w:r>
      <w:proofErr w:type="gramStart"/>
      <w:r>
        <w:t>request;</w:t>
      </w:r>
      <w:proofErr w:type="gramEnd"/>
    </w:p>
    <w:p w14:paraId="3D5A87DA" w14:textId="77777777" w:rsidR="009E7709" w:rsidRDefault="009E7709" w:rsidP="009E7709">
      <w:pPr>
        <w:pStyle w:val="Bullet"/>
      </w:pPr>
      <w:r>
        <w:t xml:space="preserve">enabling related data holders and data holders in white labelling arrangements to discharge each other’s data sharing </w:t>
      </w:r>
      <w:proofErr w:type="gramStart"/>
      <w:r>
        <w:t>obligations;</w:t>
      </w:r>
      <w:proofErr w:type="gramEnd"/>
    </w:p>
    <w:p w14:paraId="551A8073" w14:textId="13000D16" w:rsidR="009E7709" w:rsidRDefault="009E7709" w:rsidP="009E7709">
      <w:pPr>
        <w:pStyle w:val="Bullet"/>
      </w:pPr>
      <w:r>
        <w:t xml:space="preserve">introducing data sharing in relation to ‘buy now, pay later’ </w:t>
      </w:r>
      <w:proofErr w:type="gramStart"/>
      <w:r>
        <w:t>products;</w:t>
      </w:r>
      <w:proofErr w:type="gramEnd"/>
    </w:p>
    <w:p w14:paraId="4E873FAF" w14:textId="7D7C6967" w:rsidR="009E7709" w:rsidRDefault="003B3764" w:rsidP="0075263F">
      <w:pPr>
        <w:pStyle w:val="Bullet"/>
      </w:pPr>
      <w:r>
        <w:t xml:space="preserve">making certain exclusions </w:t>
      </w:r>
      <w:r w:rsidR="005B519A">
        <w:t>for</w:t>
      </w:r>
      <w:r w:rsidR="00221A95">
        <w:t xml:space="preserve"> information about</w:t>
      </w:r>
      <w:r w:rsidR="00183B41">
        <w:t xml:space="preserve"> </w:t>
      </w:r>
      <w:r w:rsidR="009E7709">
        <w:t>financial hardship</w:t>
      </w:r>
      <w:r w:rsidR="00B86DFD">
        <w:t>,</w:t>
      </w:r>
      <w:r w:rsidR="009E7709">
        <w:t xml:space="preserve"> repayment history</w:t>
      </w:r>
      <w:r w:rsidR="002B66ED">
        <w:t>,</w:t>
      </w:r>
      <w:r w:rsidR="00B86DFD">
        <w:t xml:space="preserve"> and debts bought by debt buyers or debt </w:t>
      </w:r>
      <w:proofErr w:type="gramStart"/>
      <w:r w:rsidR="00B86DFD">
        <w:t>collectors;</w:t>
      </w:r>
      <w:proofErr w:type="gramEnd"/>
      <w:r w:rsidR="00183B41">
        <w:t xml:space="preserve"> </w:t>
      </w:r>
    </w:p>
    <w:p w14:paraId="35A2E9AD" w14:textId="43B0F475" w:rsidR="009E7709" w:rsidRDefault="009E7709" w:rsidP="009E7709">
      <w:pPr>
        <w:pStyle w:val="Bullet"/>
      </w:pPr>
      <w:r>
        <w:t>deferring obligations for entities that become</w:t>
      </w:r>
      <w:r w:rsidR="001008CE">
        <w:t xml:space="preserve"> authorised deposit-taking institutions</w:t>
      </w:r>
      <w:r>
        <w:t xml:space="preserve"> </w:t>
      </w:r>
      <w:r w:rsidR="001008CE">
        <w:t>(</w:t>
      </w:r>
      <w:r>
        <w:t>ADIs</w:t>
      </w:r>
      <w:r w:rsidR="001008CE">
        <w:t>)</w:t>
      </w:r>
      <w:r>
        <w:t xml:space="preserve"> after the commencement of the Amending Rules, with the aim of allowing CDR consumers timely access to product data while permitting new ADIs to complete the IT uplift needed to facilitate banking data requests. </w:t>
      </w:r>
    </w:p>
    <w:p w14:paraId="446E8C42" w14:textId="77777777" w:rsidR="00E47ED2" w:rsidRDefault="00E47ED2" w:rsidP="00E47ED2">
      <w:pPr>
        <w:pStyle w:val="Heading3"/>
      </w:pPr>
      <w:r w:rsidRPr="003C5719">
        <w:t>Human rights implications</w:t>
      </w:r>
      <w:r>
        <w:t xml:space="preserve"> </w:t>
      </w:r>
    </w:p>
    <w:p w14:paraId="030CFF71" w14:textId="7DAD9013" w:rsidR="004F492C" w:rsidRDefault="004F492C" w:rsidP="004F492C">
      <w:pPr>
        <w:spacing w:before="240"/>
      </w:pPr>
      <w:r>
        <w:t xml:space="preserve">The Amending Rules engage the right to protection from unlawful or arbitrary interference </w:t>
      </w:r>
      <w:r w:rsidR="00E83AD8">
        <w:t xml:space="preserve">with privacy </w:t>
      </w:r>
      <w:r>
        <w:t>under Article 17 of the International Covenant on Civil and Political Rights (ICCPR) because they make amendments that impact on the disclosure of consumers’ CDR data.</w:t>
      </w:r>
      <w:r w:rsidR="00ED6B8E">
        <w:t xml:space="preserve"> </w:t>
      </w:r>
    </w:p>
    <w:p w14:paraId="787259AB" w14:textId="1776D418" w:rsidR="004F492C" w:rsidRDefault="004F492C" w:rsidP="004F492C">
      <w:pPr>
        <w:spacing w:before="240"/>
      </w:pPr>
      <w:r>
        <w:t xml:space="preserve">The right in Article 17 may be subject to permissible limitations, where these limitations are authorised by law and are not arbitrary. </w:t>
      </w:r>
      <w:proofErr w:type="gramStart"/>
      <w:r>
        <w:t>In order for</w:t>
      </w:r>
      <w:proofErr w:type="gramEnd"/>
      <w:r>
        <w:t xml:space="preserve">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w:t>
      </w:r>
    </w:p>
    <w:p w14:paraId="08A0C5FD" w14:textId="7A544399" w:rsidR="00020BBC" w:rsidRPr="00BA079A" w:rsidRDefault="00020BBC" w:rsidP="004F492C">
      <w:pPr>
        <w:spacing w:before="240"/>
        <w:rPr>
          <w:i/>
          <w:iCs/>
        </w:rPr>
      </w:pPr>
      <w:r>
        <w:rPr>
          <w:i/>
          <w:iCs/>
        </w:rPr>
        <w:t xml:space="preserve">Extension of the CDR to </w:t>
      </w:r>
      <w:r w:rsidR="00BA079A">
        <w:rPr>
          <w:i/>
          <w:iCs/>
        </w:rPr>
        <w:t>the non-bank lenders sector generally</w:t>
      </w:r>
    </w:p>
    <w:p w14:paraId="2AEF00A6" w14:textId="586FC9C0" w:rsidR="00332943" w:rsidRDefault="007D0899" w:rsidP="00332943">
      <w:pPr>
        <w:spacing w:before="240"/>
      </w:pPr>
      <w:r>
        <w:t>In</w:t>
      </w:r>
      <w:r w:rsidR="00332943">
        <w:t xml:space="preserve"> the context of the </w:t>
      </w:r>
      <w:r w:rsidR="00EB05C4">
        <w:t>non-bank lenders</w:t>
      </w:r>
      <w:r w:rsidR="00332943">
        <w:t xml:space="preserve"> sector, </w:t>
      </w:r>
      <w:r>
        <w:t xml:space="preserve">the Amending Rules enable </w:t>
      </w:r>
      <w:r w:rsidR="00332943">
        <w:t xml:space="preserve">a person to directly access or to direct another person or entity to </w:t>
      </w:r>
      <w:r w:rsidR="000B578A">
        <w:t>disclose</w:t>
      </w:r>
      <w:r w:rsidR="00332943">
        <w:t xml:space="preserve"> personal information about themselves to another person or entity.</w:t>
      </w:r>
    </w:p>
    <w:p w14:paraId="6A7002FC" w14:textId="3B759A9E" w:rsidR="00332943" w:rsidRDefault="00332943" w:rsidP="00332943">
      <w:pPr>
        <w:spacing w:before="240"/>
      </w:pPr>
      <w:r>
        <w:t xml:space="preserve">Under the existing CDR </w:t>
      </w:r>
      <w:r w:rsidR="00E76654">
        <w:t>R</w:t>
      </w:r>
      <w:r>
        <w:t>ules, data holders can disclose consumer data to accredited data recipients, where the consumer to whom the data pertains has provided consent for their data to be transferred. The privacy of the consumer is protected by several Privacy Safeguards and other obligations that require data holders and accredited data recipients to ensure the protection of the consumers for whom they hold data.</w:t>
      </w:r>
    </w:p>
    <w:p w14:paraId="662F653F" w14:textId="32DC545D" w:rsidR="00332943" w:rsidRDefault="00332943" w:rsidP="00332943">
      <w:pPr>
        <w:spacing w:before="240"/>
      </w:pPr>
      <w:r>
        <w:t xml:space="preserve">The </w:t>
      </w:r>
      <w:r w:rsidR="009119AC">
        <w:t>Amending Rules</w:t>
      </w:r>
      <w:r>
        <w:t xml:space="preserve"> provide for new data holders – being </w:t>
      </w:r>
      <w:r w:rsidR="009119AC">
        <w:t>non-bank lenders</w:t>
      </w:r>
      <w:r>
        <w:t xml:space="preserve"> – to disclose consumer data to accredited data recipients using the existing mechanisms in </w:t>
      </w:r>
      <w:r>
        <w:lastRenderedPageBreak/>
        <w:t xml:space="preserve">the CDR Rules. To the extent that privacy safeguards and civil penalties apply to accredited data recipients in the CDR, they will also apply to accredited data recipients when they deal with </w:t>
      </w:r>
      <w:r w:rsidR="009119AC">
        <w:t>non-bank lender</w:t>
      </w:r>
      <w:r>
        <w:t xml:space="preserve"> sector CDR data.</w:t>
      </w:r>
    </w:p>
    <w:p w14:paraId="403A8633" w14:textId="36F8257A" w:rsidR="00201F33" w:rsidRDefault="00201F33" w:rsidP="00201F33">
      <w:pPr>
        <w:spacing w:before="240"/>
      </w:pPr>
      <w:r>
        <w:t xml:space="preserve">The CDR is a right for consumers to authorise data sharing and use. Pursuant to the CDR framework, the disclosure of personal information is generally only permitted </w:t>
      </w:r>
      <w:r w:rsidR="00816F85">
        <w:t xml:space="preserve">if the party seeking to disclose information has obtained the agreement </w:t>
      </w:r>
      <w:r>
        <w:t>of the individual</w:t>
      </w:r>
      <w:r w:rsidR="00816F85">
        <w:t xml:space="preserve"> the information relates to</w:t>
      </w:r>
      <w:r>
        <w:t xml:space="preserve">. </w:t>
      </w:r>
    </w:p>
    <w:p w14:paraId="203B1956" w14:textId="77777777" w:rsidR="00201F33" w:rsidRDefault="00201F33" w:rsidP="00201F33">
      <w:pPr>
        <w:spacing w:before="240"/>
      </w:pPr>
      <w:r>
        <w:t>Part IVD of the Act protects against arbitrary interference with privacy by establishing a set of CDR-specific privacy safeguards, modelled on the existing Australian Privacy Principles but with additional obligations. The privacy safeguards included in the Act are the following:</w:t>
      </w:r>
    </w:p>
    <w:p w14:paraId="1647C4AC" w14:textId="6B042E1D" w:rsidR="00201F33" w:rsidRDefault="00201F33" w:rsidP="00F0150F">
      <w:pPr>
        <w:pStyle w:val="Bullet"/>
      </w:pPr>
      <w:r>
        <w:t xml:space="preserve">restrictions on the use, collection and disclosure of information received through the </w:t>
      </w:r>
      <w:r w:rsidR="00996032">
        <w:t>CDR Rules</w:t>
      </w:r>
      <w:r>
        <w:t>, including information derived from this information (in general, the consumer’s express consent is required</w:t>
      </w:r>
      <w:proofErr w:type="gramStart"/>
      <w:r>
        <w:t>);</w:t>
      </w:r>
      <w:proofErr w:type="gramEnd"/>
    </w:p>
    <w:p w14:paraId="5A50B873" w14:textId="6A071486" w:rsidR="00201F33" w:rsidRDefault="00201F33" w:rsidP="00F0150F">
      <w:pPr>
        <w:pStyle w:val="Bullet"/>
      </w:pPr>
      <w:r>
        <w:t xml:space="preserve">requirements to have in place privacy policies that </w:t>
      </w:r>
      <w:r w:rsidR="00F903BA">
        <w:t xml:space="preserve">are </w:t>
      </w:r>
      <w:r>
        <w:t xml:space="preserve">easily accessible and clearly set out a </w:t>
      </w:r>
      <w:proofErr w:type="gramStart"/>
      <w:r>
        <w:t>complaints</w:t>
      </w:r>
      <w:proofErr w:type="gramEnd"/>
      <w:r>
        <w:t xml:space="preserve"> handling process;</w:t>
      </w:r>
    </w:p>
    <w:p w14:paraId="65C0F5EE" w14:textId="0C920934" w:rsidR="00201F33" w:rsidRDefault="00201F33" w:rsidP="00F0150F">
      <w:pPr>
        <w:pStyle w:val="Bullet"/>
      </w:pPr>
      <w:r>
        <w:t xml:space="preserve">obligations on data holders and accredited data recipients to correct </w:t>
      </w:r>
      <w:proofErr w:type="gramStart"/>
      <w:r>
        <w:t>information;</w:t>
      </w:r>
      <w:proofErr w:type="gramEnd"/>
    </w:p>
    <w:p w14:paraId="36A7A9B7" w14:textId="659D1612" w:rsidR="00201F33" w:rsidRDefault="00201F33" w:rsidP="00F0150F">
      <w:pPr>
        <w:pStyle w:val="Bullet"/>
      </w:pPr>
      <w:r>
        <w:t xml:space="preserve">obligations on data holders and accredited data recipients to notify the consumer when information is </w:t>
      </w:r>
      <w:proofErr w:type="gramStart"/>
      <w:r>
        <w:t>disclosed;</w:t>
      </w:r>
      <w:proofErr w:type="gramEnd"/>
    </w:p>
    <w:p w14:paraId="3BE61632" w14:textId="5754646C" w:rsidR="00201F33" w:rsidRDefault="00201F33" w:rsidP="00F0150F">
      <w:pPr>
        <w:pStyle w:val="Bullet"/>
      </w:pPr>
      <w:r>
        <w:t xml:space="preserve">requirements to destroy information that is purportedly shared under the </w:t>
      </w:r>
      <w:r w:rsidR="005D4AA6">
        <w:t>CDR Rules</w:t>
      </w:r>
      <w:r>
        <w:t xml:space="preserve"> but has been disclosed in error;</w:t>
      </w:r>
      <w:r w:rsidR="008047B8">
        <w:t xml:space="preserve"> and</w:t>
      </w:r>
    </w:p>
    <w:p w14:paraId="04EE40A7" w14:textId="6CC876C6" w:rsidR="00201F33" w:rsidRDefault="00201F33" w:rsidP="00F0150F">
      <w:pPr>
        <w:pStyle w:val="Bullet"/>
      </w:pPr>
      <w:r>
        <w:t>restrictions on direct marketing</w:t>
      </w:r>
      <w:r w:rsidR="008047B8">
        <w:t>.</w:t>
      </w:r>
    </w:p>
    <w:p w14:paraId="09811A23" w14:textId="2BC4F134" w:rsidR="008047B8" w:rsidRDefault="008047B8" w:rsidP="00201F33">
      <w:pPr>
        <w:spacing w:before="240"/>
      </w:pPr>
      <w:r>
        <w:t>The CDR framework provides strong powers for regulators, including the Office of the Australian Information Commissioner (OAIC), and remedies for breaches, including through external dispute resolution arrangements.</w:t>
      </w:r>
    </w:p>
    <w:p w14:paraId="15CFEDD3" w14:textId="244320E8" w:rsidR="00201F33" w:rsidRDefault="00201F33" w:rsidP="00201F33">
      <w:pPr>
        <w:spacing w:before="240"/>
      </w:pPr>
      <w:r>
        <w:t xml:space="preserve">The OAIC will advise on and enforce privacy protections in relation to data sharing in the non-bank lenders </w:t>
      </w:r>
      <w:proofErr w:type="gramStart"/>
      <w:r>
        <w:t>sector, and</w:t>
      </w:r>
      <w:proofErr w:type="gramEnd"/>
      <w:r>
        <w:t xml:space="preserve"> will provide complaint handling for breaches of the privacy safeguards. Non-bank lender sector consumers will have a range of avenues to seek remedies for breaches of their privacy or confidentiality, including access to internal and external dispute resolution and direct rights of action.</w:t>
      </w:r>
    </w:p>
    <w:p w14:paraId="64E367D4" w14:textId="72538C2B" w:rsidR="00201F33" w:rsidRDefault="00201F33" w:rsidP="00201F33">
      <w:pPr>
        <w:spacing w:before="240"/>
      </w:pPr>
      <w:r>
        <w:t xml:space="preserve">Part IVD of the Act also creates an accreditation process that provides protection against arbitrary or unlawful interference with privacy. Only accredited data recipients and trusted third parties </w:t>
      </w:r>
      <w:proofErr w:type="gramStart"/>
      <w:r>
        <w:t>are able to</w:t>
      </w:r>
      <w:proofErr w:type="gramEnd"/>
      <w:r>
        <w:t xml:space="preserve"> access data from data holders at the c</w:t>
      </w:r>
      <w:r w:rsidR="0079002A">
        <w:t>onsumer</w:t>
      </w:r>
      <w:r>
        <w:t>’s direction. The ACCC is responsible for accrediting entities. The requirements that need to be met, set out in the CDR Rules, address matters such as:</w:t>
      </w:r>
    </w:p>
    <w:p w14:paraId="0313285B" w14:textId="7C685E86" w:rsidR="00201F33" w:rsidRDefault="00201F33" w:rsidP="0008411F">
      <w:pPr>
        <w:pStyle w:val="Bullet"/>
      </w:pPr>
      <w:r>
        <w:t>having systems, resources and procedures in place which enable an entity to comply with their consumer data right obligations including the security of information; and</w:t>
      </w:r>
    </w:p>
    <w:p w14:paraId="10FFD399" w14:textId="287BFEE8" w:rsidR="00201F33" w:rsidRDefault="00201F33" w:rsidP="0008411F">
      <w:pPr>
        <w:pStyle w:val="Bullet"/>
      </w:pPr>
      <w:r>
        <w:lastRenderedPageBreak/>
        <w:t>having internal dispute resolution procedures in place and being a member of a recognised external dispute resolution body.</w:t>
      </w:r>
    </w:p>
    <w:p w14:paraId="41655253" w14:textId="0124AC7E" w:rsidR="00201F33" w:rsidRDefault="00201F33" w:rsidP="00201F33">
      <w:pPr>
        <w:spacing w:before="240"/>
      </w:pPr>
      <w:r>
        <w:t>The limitations</w:t>
      </w:r>
      <w:r w:rsidR="00A55600">
        <w:t xml:space="preserve"> </w:t>
      </w:r>
      <w:r w:rsidR="002F3E40">
        <w:t>presented by the Amending Rules</w:t>
      </w:r>
      <w:r>
        <w:t xml:space="preserve"> are consistent with the prohibition on arbitrary interference with privacy as they seek to achieve legitimate objectives and are reasonable, proportionate and necessary to the attainment of those objectives.</w:t>
      </w:r>
    </w:p>
    <w:p w14:paraId="67141E68" w14:textId="77777777" w:rsidR="00201F33" w:rsidRPr="00C54DA1" w:rsidRDefault="00201F33" w:rsidP="00201F33">
      <w:pPr>
        <w:spacing w:before="240"/>
        <w:rPr>
          <w:i/>
          <w:iCs/>
        </w:rPr>
      </w:pPr>
      <w:r w:rsidRPr="00C54DA1">
        <w:rPr>
          <w:i/>
          <w:iCs/>
        </w:rPr>
        <w:t>Non-bank lenders sector trial products</w:t>
      </w:r>
    </w:p>
    <w:p w14:paraId="09DF56F9" w14:textId="4000E412" w:rsidR="00201F33" w:rsidRDefault="00201F33" w:rsidP="00201F33">
      <w:pPr>
        <w:spacing w:before="240"/>
      </w:pPr>
      <w:r>
        <w:t>The Amending Rules also engage Article 17 by exempting trial products in the non-bank lenders sector from the requirements under the CDR Rules. However, the following requirements ensure that consumers’ privacy protection will not be adversely affected:</w:t>
      </w:r>
    </w:p>
    <w:p w14:paraId="5818441B" w14:textId="1E67D6CC" w:rsidR="00201F33" w:rsidRDefault="00201F33" w:rsidP="00CE6813">
      <w:pPr>
        <w:pStyle w:val="Bullet"/>
      </w:pPr>
      <w:r>
        <w:t xml:space="preserve">the number of customers that may be supplied with a trial product is limited to 1,000 </w:t>
      </w:r>
      <w:proofErr w:type="gramStart"/>
      <w:r>
        <w:t>people;</w:t>
      </w:r>
      <w:proofErr w:type="gramEnd"/>
    </w:p>
    <w:p w14:paraId="35F99BBF" w14:textId="1ACC6E9D" w:rsidR="00201F33" w:rsidRDefault="00201F33" w:rsidP="00CE6813">
      <w:pPr>
        <w:pStyle w:val="Bullet"/>
      </w:pPr>
      <w:r>
        <w:t xml:space="preserve">when offering the product, the period of time for which it will operate as a trial product must be stated (the trial period), ending no more than 6 months after the initial </w:t>
      </w:r>
      <w:proofErr w:type="gramStart"/>
      <w:r>
        <w:t>offering;</w:t>
      </w:r>
      <w:proofErr w:type="gramEnd"/>
    </w:p>
    <w:p w14:paraId="43D8C35B" w14:textId="5D7AD34A" w:rsidR="00201F33" w:rsidRDefault="00201F33" w:rsidP="00CE6813">
      <w:pPr>
        <w:pStyle w:val="Bullet"/>
      </w:pPr>
      <w:r>
        <w:t xml:space="preserve">when offering the product, it must be fully disclosed that it is a ‘pilot’ or a ‘trial’, that the product may be terminated before the end of the trial period, and </w:t>
      </w:r>
      <w:r w:rsidR="00523AAF">
        <w:t xml:space="preserve">that </w:t>
      </w:r>
      <w:r>
        <w:t>in this event, any CDR data collected in relation to the trial product may not be available</w:t>
      </w:r>
      <w:r w:rsidR="00523AAF">
        <w:t xml:space="preserve"> for subsequent sharing</w:t>
      </w:r>
      <w:r>
        <w:t xml:space="preserve">. </w:t>
      </w:r>
    </w:p>
    <w:p w14:paraId="54A158D5" w14:textId="77777777" w:rsidR="005A28CB" w:rsidRDefault="00201F33" w:rsidP="00201F33">
      <w:pPr>
        <w:spacing w:before="240"/>
      </w:pPr>
      <w:r>
        <w:t xml:space="preserve">This ensures that before consumers agree to participate in a trial product in the non-bank lenders sector, they will be well-informed of the nature of the product and how it differs from products that are covered by the CDR. </w:t>
      </w:r>
    </w:p>
    <w:p w14:paraId="3F858773" w14:textId="03F0E708" w:rsidR="00C516C6" w:rsidRDefault="00C516C6" w:rsidP="00201F33">
      <w:pPr>
        <w:spacing w:before="240"/>
      </w:pPr>
      <w:r>
        <w:rPr>
          <w:i/>
          <w:iCs/>
        </w:rPr>
        <w:t>Amendments affecting the banking sector</w:t>
      </w:r>
    </w:p>
    <w:p w14:paraId="3F66725D" w14:textId="32434537" w:rsidR="00EC6DEA" w:rsidRDefault="00C516C6" w:rsidP="00201F33">
      <w:pPr>
        <w:spacing w:before="240"/>
      </w:pPr>
      <w:r>
        <w:t>The</w:t>
      </w:r>
      <w:r w:rsidR="00097DA6">
        <w:t xml:space="preserve"> </w:t>
      </w:r>
      <w:r w:rsidR="006004E8">
        <w:t>above analysis about the extension of the CDR to the non-bank lenders sector applies to the</w:t>
      </w:r>
      <w:r>
        <w:t xml:space="preserve"> introduction of data sharing </w:t>
      </w:r>
      <w:r w:rsidR="00284987">
        <w:t>for</w:t>
      </w:r>
      <w:r w:rsidR="00097DA6">
        <w:t xml:space="preserve"> ‘buy now, pay later’ products</w:t>
      </w:r>
      <w:r w:rsidR="006004E8">
        <w:t xml:space="preserve">, which </w:t>
      </w:r>
      <w:r w:rsidR="009D4498">
        <w:t>expands</w:t>
      </w:r>
      <w:r w:rsidR="001D6B50">
        <w:t xml:space="preserve"> the range of</w:t>
      </w:r>
      <w:r w:rsidR="009D4498">
        <w:t xml:space="preserve"> </w:t>
      </w:r>
      <w:r w:rsidR="00D37401">
        <w:t>personal information</w:t>
      </w:r>
      <w:r w:rsidR="00201F33">
        <w:t xml:space="preserve"> </w:t>
      </w:r>
      <w:r w:rsidR="00846CC6">
        <w:t>that</w:t>
      </w:r>
      <w:r w:rsidR="009D4498">
        <w:t xml:space="preserve"> </w:t>
      </w:r>
      <w:r w:rsidR="008D52DC">
        <w:t xml:space="preserve">a person </w:t>
      </w:r>
      <w:r w:rsidR="009D4498">
        <w:t>can</w:t>
      </w:r>
      <w:r w:rsidR="008D52DC">
        <w:t xml:space="preserve"> directly access or direct another entity to disclose to </w:t>
      </w:r>
      <w:r w:rsidR="001D6B50">
        <w:t>a third party</w:t>
      </w:r>
      <w:r w:rsidR="008D52DC">
        <w:t>.</w:t>
      </w:r>
      <w:r w:rsidR="00F31D85">
        <w:t xml:space="preserve"> Again, the legitimate objective </w:t>
      </w:r>
      <w:r w:rsidR="007E4A8C">
        <w:t>is</w:t>
      </w:r>
      <w:r w:rsidR="002E3E6A">
        <w:t xml:space="preserve"> increas</w:t>
      </w:r>
      <w:r w:rsidR="007E4A8C">
        <w:t>ing</w:t>
      </w:r>
      <w:r w:rsidR="002E3E6A">
        <w:t xml:space="preserve"> availability of data</w:t>
      </w:r>
      <w:r w:rsidR="00721169">
        <w:t xml:space="preserve"> to help</w:t>
      </w:r>
      <w:r w:rsidR="002E3E6A">
        <w:t xml:space="preserve"> consumers</w:t>
      </w:r>
      <w:r w:rsidR="002E3E6A" w:rsidDel="00721169">
        <w:t xml:space="preserve"> </w:t>
      </w:r>
      <w:r w:rsidR="002E3E6A">
        <w:t>better understand and manage their finances</w:t>
      </w:r>
      <w:r w:rsidR="007E4A8C">
        <w:t>.</w:t>
      </w:r>
    </w:p>
    <w:p w14:paraId="6683C315" w14:textId="5948B148" w:rsidR="0044521A" w:rsidRDefault="0044521A" w:rsidP="00201F33">
      <w:pPr>
        <w:spacing w:before="240"/>
      </w:pPr>
      <w:r>
        <w:t>The measure to enable related data holders and data holders in white labelling arrangements to discharge each other’s data sharing obligations</w:t>
      </w:r>
      <w:r w:rsidR="000508ED">
        <w:t xml:space="preserve"> could be considered to </w:t>
      </w:r>
      <w:r w:rsidR="004F18CF">
        <w:t xml:space="preserve">engage Article 17 </w:t>
      </w:r>
      <w:r w:rsidR="00FB4CF8">
        <w:t>by creating more flexibility</w:t>
      </w:r>
      <w:r w:rsidR="0036554F">
        <w:t xml:space="preserve"> in who performs </w:t>
      </w:r>
      <w:r w:rsidR="00CB083F">
        <w:t>data-handling roles.</w:t>
      </w:r>
      <w:r w:rsidR="001D4D71">
        <w:t xml:space="preserve"> </w:t>
      </w:r>
      <w:r w:rsidR="008660AF">
        <w:t xml:space="preserve">This mechanism </w:t>
      </w:r>
      <w:r w:rsidR="008660AF" w:rsidRPr="008660AF">
        <w:t xml:space="preserve">provides data holders with the ability to transfer obligations in situations where the consumer facing entity would not ordinarily be required to comply with the relevant data holder obligations, but where it is more appropriate </w:t>
      </w:r>
      <w:r w:rsidR="00682264">
        <w:t>in practice</w:t>
      </w:r>
      <w:r w:rsidR="008660AF" w:rsidRPr="008660AF">
        <w:t xml:space="preserve"> that they are the entity that complies</w:t>
      </w:r>
      <w:r w:rsidR="000508ED">
        <w:t>.</w:t>
      </w:r>
    </w:p>
    <w:p w14:paraId="701FCB4D" w14:textId="4A2DD3BD" w:rsidR="000508ED" w:rsidRDefault="000508ED" w:rsidP="00201F33">
      <w:pPr>
        <w:spacing w:before="240"/>
      </w:pPr>
      <w:r>
        <w:t xml:space="preserve">Importantly, this mechanism is only available where both </w:t>
      </w:r>
      <w:r w:rsidR="00F61F58">
        <w:t>parties are data holders</w:t>
      </w:r>
      <w:r w:rsidR="00192BA9">
        <w:t xml:space="preserve">, and thus </w:t>
      </w:r>
      <w:r w:rsidR="00343D56">
        <w:t xml:space="preserve">are </w:t>
      </w:r>
      <w:r w:rsidR="00192BA9">
        <w:t xml:space="preserve">both subject </w:t>
      </w:r>
      <w:r w:rsidR="00343D56">
        <w:t>to the Act’s privacy safeguards and other features of the CDR framework that protect consumer privacy.</w:t>
      </w:r>
    </w:p>
    <w:p w14:paraId="3E9F3441" w14:textId="03D0F6D1" w:rsidR="004459D3" w:rsidRDefault="00C17172" w:rsidP="00201F33">
      <w:pPr>
        <w:spacing w:before="240"/>
      </w:pPr>
      <w:r>
        <w:lastRenderedPageBreak/>
        <w:t xml:space="preserve">The following </w:t>
      </w:r>
      <w:r w:rsidR="00AE4DA6">
        <w:t>components of the Amending Rules</w:t>
      </w:r>
      <w:r>
        <w:t xml:space="preserve"> </w:t>
      </w:r>
      <w:r w:rsidR="00121CFC">
        <w:t>have the effect</w:t>
      </w:r>
      <w:r w:rsidR="007215A1">
        <w:t xml:space="preserve"> </w:t>
      </w:r>
      <w:r w:rsidR="00386C6D">
        <w:t xml:space="preserve">of </w:t>
      </w:r>
      <w:r w:rsidR="00121CFC" w:rsidRPr="007B0974">
        <w:rPr>
          <w:i/>
          <w:iCs/>
        </w:rPr>
        <w:t>reducing</w:t>
      </w:r>
      <w:r w:rsidR="00121CFC">
        <w:t xml:space="preserve"> the flow of personal information </w:t>
      </w:r>
      <w:r w:rsidR="007B0974">
        <w:t xml:space="preserve">through the CDR system, </w:t>
      </w:r>
      <w:r w:rsidR="00F042E4">
        <w:t xml:space="preserve">therefore </w:t>
      </w:r>
      <w:r w:rsidR="009901E7">
        <w:t>reducing the extent to which the CDR engages with</w:t>
      </w:r>
      <w:r w:rsidR="000804DE">
        <w:t xml:space="preserve"> consumers’ right to privacy:</w:t>
      </w:r>
    </w:p>
    <w:p w14:paraId="55EF711B" w14:textId="77777777" w:rsidR="00020AFD" w:rsidRDefault="00020AFD" w:rsidP="00020AFD">
      <w:pPr>
        <w:pStyle w:val="Bullet"/>
      </w:pPr>
      <w:r>
        <w:t xml:space="preserve">narrowing the scope of products and data sets that must be provided on </w:t>
      </w:r>
      <w:proofErr w:type="gramStart"/>
      <w:r>
        <w:t>request;</w:t>
      </w:r>
      <w:proofErr w:type="gramEnd"/>
    </w:p>
    <w:p w14:paraId="5046DCE2" w14:textId="77777777" w:rsidR="00020AFD" w:rsidRDefault="00020AFD" w:rsidP="00020AFD">
      <w:pPr>
        <w:pStyle w:val="Bullet"/>
      </w:pPr>
      <w:r>
        <w:t xml:space="preserve">making certain exclusions for information about financial hardship, repayment history, and debts bought by debt buyers or debt </w:t>
      </w:r>
      <w:proofErr w:type="gramStart"/>
      <w:r>
        <w:t>collectors;</w:t>
      </w:r>
      <w:proofErr w:type="gramEnd"/>
      <w:r>
        <w:t xml:space="preserve"> </w:t>
      </w:r>
    </w:p>
    <w:p w14:paraId="49949974" w14:textId="77777777" w:rsidR="00020AFD" w:rsidRDefault="00020AFD" w:rsidP="00020AFD">
      <w:pPr>
        <w:pStyle w:val="Bullet"/>
      </w:pPr>
      <w:r>
        <w:t xml:space="preserve">deferring obligations for entities that become authorised deposit-taking institutions (ADIs) after the commencement of the Amending Rules, with the aim of allowing CDR consumers timely access to product data while permitting new ADIs to complete the IT uplift needed to facilitate banking data requests. </w:t>
      </w:r>
    </w:p>
    <w:p w14:paraId="2F364DA9" w14:textId="77777777" w:rsidR="00542C80" w:rsidRPr="00C54DA1" w:rsidRDefault="00542C80" w:rsidP="00542C80">
      <w:pPr>
        <w:spacing w:before="240"/>
        <w:rPr>
          <w:i/>
          <w:iCs/>
        </w:rPr>
      </w:pPr>
      <w:r w:rsidRPr="00C54DA1">
        <w:rPr>
          <w:i/>
          <w:iCs/>
        </w:rPr>
        <w:t>Civil penalty provisions</w:t>
      </w:r>
    </w:p>
    <w:p w14:paraId="5FE0412C" w14:textId="3E4B9B66" w:rsidR="009E7709" w:rsidRPr="003C5719" w:rsidRDefault="00542C80" w:rsidP="00542C80">
      <w:pPr>
        <w:spacing w:before="240"/>
      </w:pPr>
      <w:r>
        <w:t xml:space="preserve">The Amending Rules introduce or alter some civil penalty provisions in the CDR Rules. These civil penalty provisions potentially invoke Articles 14 and 15 of the ICCPR. Although the Articles cover criminal process rights, in international human rights law, where a civil penalty is imposed, it must be determined whether it nevertheless amounts to a ‘criminal’ penalty. As with the existing civil penalties in the current CDR Rules, the new civil penalty provisions should not be considered ‘criminal’ for this purpose. While they are intended to deter non-compliance with CDR obligations, they are not directed at the </w:t>
      </w:r>
      <w:proofErr w:type="gramStart"/>
      <w:r>
        <w:t>general public</w:t>
      </w:r>
      <w:proofErr w:type="gramEnd"/>
      <w:r>
        <w:t>, but at a class of businesses that should be reasonably aware of their obligations under the CDR. In addition, none of the provisions carry a penalty of imprisonment for non-payment of a penalty.</w:t>
      </w:r>
    </w:p>
    <w:p w14:paraId="6FB48442" w14:textId="77777777" w:rsidR="00E47ED2" w:rsidRDefault="00E47ED2" w:rsidP="00E47ED2">
      <w:pPr>
        <w:pStyle w:val="Heading3"/>
      </w:pPr>
      <w:r w:rsidRPr="003C5719">
        <w:t>Conclusion</w:t>
      </w:r>
      <w:r>
        <w:t xml:space="preserve"> </w:t>
      </w:r>
    </w:p>
    <w:p w14:paraId="3EC099B6" w14:textId="363D1ACA" w:rsidR="00410CCF" w:rsidRPr="006B7EF5" w:rsidRDefault="00410CCF" w:rsidP="00410CCF">
      <w:pPr>
        <w:spacing w:before="240"/>
      </w:pPr>
      <w:r w:rsidRPr="00410CCF">
        <w:t xml:space="preserve">The Amending Rules are compatible with human rights </w:t>
      </w:r>
      <w:r>
        <w:t>because,</w:t>
      </w:r>
      <w:r w:rsidRPr="00410CCF">
        <w:t xml:space="preserve"> to the extent that they do engage the relevant human rights and freedoms, they are proportional to the ends sought and reasonable and necessary in the circumstances.</w:t>
      </w:r>
    </w:p>
    <w:p w14:paraId="2ED4A7F9" w14:textId="77777777" w:rsidR="00351AE2" w:rsidRPr="00503894" w:rsidRDefault="00351AE2" w:rsidP="008C56F5">
      <w:pPr>
        <w:spacing w:before="0" w:after="0"/>
      </w:pPr>
    </w:p>
    <w:sectPr w:rsidR="00351AE2" w:rsidRPr="00503894"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BF73" w14:textId="77777777" w:rsidR="00664ED0" w:rsidRDefault="00664ED0" w:rsidP="00954679">
      <w:pPr>
        <w:spacing w:before="0" w:after="0"/>
      </w:pPr>
      <w:r>
        <w:separator/>
      </w:r>
    </w:p>
  </w:endnote>
  <w:endnote w:type="continuationSeparator" w:id="0">
    <w:p w14:paraId="18825545" w14:textId="77777777" w:rsidR="00664ED0" w:rsidRDefault="00664ED0" w:rsidP="00954679">
      <w:pPr>
        <w:spacing w:before="0" w:after="0"/>
      </w:pPr>
      <w:r>
        <w:continuationSeparator/>
      </w:r>
    </w:p>
  </w:endnote>
  <w:endnote w:type="continuationNotice" w:id="1">
    <w:p w14:paraId="42D3C3C9" w14:textId="77777777" w:rsidR="00664ED0" w:rsidRDefault="00664E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4B2BBC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BBCC" w14:textId="77777777" w:rsidR="00664ED0" w:rsidRDefault="00664ED0" w:rsidP="00954679">
      <w:pPr>
        <w:spacing w:before="0" w:after="0"/>
      </w:pPr>
      <w:r>
        <w:separator/>
      </w:r>
    </w:p>
  </w:footnote>
  <w:footnote w:type="continuationSeparator" w:id="0">
    <w:p w14:paraId="14C1EFF7" w14:textId="77777777" w:rsidR="00664ED0" w:rsidRDefault="00664ED0" w:rsidP="00954679">
      <w:pPr>
        <w:spacing w:before="0" w:after="0"/>
      </w:pPr>
      <w:r>
        <w:continuationSeparator/>
      </w:r>
    </w:p>
  </w:footnote>
  <w:footnote w:type="continuationNotice" w:id="1">
    <w:p w14:paraId="29677505" w14:textId="77777777" w:rsidR="00664ED0" w:rsidRDefault="00664ED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1E8"/>
    <w:multiLevelType w:val="hybridMultilevel"/>
    <w:tmpl w:val="85B04CD4"/>
    <w:lvl w:ilvl="0" w:tplc="C9E61A6A">
      <w:start w:val="1"/>
      <w:numFmt w:val="bullet"/>
      <w:lvlText w:val=""/>
      <w:lvlJc w:val="left"/>
      <w:pPr>
        <w:ind w:left="720" w:hanging="360"/>
      </w:pPr>
      <w:rPr>
        <w:rFonts w:ascii="Symbol" w:hAnsi="Symbol"/>
      </w:rPr>
    </w:lvl>
    <w:lvl w:ilvl="1" w:tplc="A254E0F4">
      <w:start w:val="1"/>
      <w:numFmt w:val="bullet"/>
      <w:lvlText w:val=""/>
      <w:lvlJc w:val="left"/>
      <w:pPr>
        <w:ind w:left="720" w:hanging="360"/>
      </w:pPr>
      <w:rPr>
        <w:rFonts w:ascii="Symbol" w:hAnsi="Symbol"/>
      </w:rPr>
    </w:lvl>
    <w:lvl w:ilvl="2" w:tplc="6DFCFC5E">
      <w:start w:val="1"/>
      <w:numFmt w:val="bullet"/>
      <w:lvlText w:val=""/>
      <w:lvlJc w:val="left"/>
      <w:pPr>
        <w:ind w:left="720" w:hanging="360"/>
      </w:pPr>
      <w:rPr>
        <w:rFonts w:ascii="Symbol" w:hAnsi="Symbol"/>
      </w:rPr>
    </w:lvl>
    <w:lvl w:ilvl="3" w:tplc="42647D7A">
      <w:start w:val="1"/>
      <w:numFmt w:val="bullet"/>
      <w:lvlText w:val=""/>
      <w:lvlJc w:val="left"/>
      <w:pPr>
        <w:ind w:left="720" w:hanging="360"/>
      </w:pPr>
      <w:rPr>
        <w:rFonts w:ascii="Symbol" w:hAnsi="Symbol"/>
      </w:rPr>
    </w:lvl>
    <w:lvl w:ilvl="4" w:tplc="376CA09A">
      <w:start w:val="1"/>
      <w:numFmt w:val="bullet"/>
      <w:lvlText w:val=""/>
      <w:lvlJc w:val="left"/>
      <w:pPr>
        <w:ind w:left="720" w:hanging="360"/>
      </w:pPr>
      <w:rPr>
        <w:rFonts w:ascii="Symbol" w:hAnsi="Symbol"/>
      </w:rPr>
    </w:lvl>
    <w:lvl w:ilvl="5" w:tplc="BE704BE6">
      <w:start w:val="1"/>
      <w:numFmt w:val="bullet"/>
      <w:lvlText w:val=""/>
      <w:lvlJc w:val="left"/>
      <w:pPr>
        <w:ind w:left="720" w:hanging="360"/>
      </w:pPr>
      <w:rPr>
        <w:rFonts w:ascii="Symbol" w:hAnsi="Symbol"/>
      </w:rPr>
    </w:lvl>
    <w:lvl w:ilvl="6" w:tplc="21588326">
      <w:start w:val="1"/>
      <w:numFmt w:val="bullet"/>
      <w:lvlText w:val=""/>
      <w:lvlJc w:val="left"/>
      <w:pPr>
        <w:ind w:left="720" w:hanging="360"/>
      </w:pPr>
      <w:rPr>
        <w:rFonts w:ascii="Symbol" w:hAnsi="Symbol"/>
      </w:rPr>
    </w:lvl>
    <w:lvl w:ilvl="7" w:tplc="EA984C4E">
      <w:start w:val="1"/>
      <w:numFmt w:val="bullet"/>
      <w:lvlText w:val=""/>
      <w:lvlJc w:val="left"/>
      <w:pPr>
        <w:ind w:left="720" w:hanging="360"/>
      </w:pPr>
      <w:rPr>
        <w:rFonts w:ascii="Symbol" w:hAnsi="Symbol"/>
      </w:rPr>
    </w:lvl>
    <w:lvl w:ilvl="8" w:tplc="D9A060D2">
      <w:start w:val="1"/>
      <w:numFmt w:val="bullet"/>
      <w:lvlText w:val=""/>
      <w:lvlJc w:val="left"/>
      <w:pPr>
        <w:ind w:left="720" w:hanging="360"/>
      </w:pPr>
      <w:rPr>
        <w:rFonts w:ascii="Symbol" w:hAnsi="Symbol"/>
      </w:rPr>
    </w:lvl>
  </w:abstractNum>
  <w:abstractNum w:abstractNumId="1" w15:restartNumberingAfterBreak="0">
    <w:nsid w:val="0C0D02D4"/>
    <w:multiLevelType w:val="hybridMultilevel"/>
    <w:tmpl w:val="2876BE76"/>
    <w:lvl w:ilvl="0" w:tplc="B86C9FF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32A52D09"/>
    <w:multiLevelType w:val="hybridMultilevel"/>
    <w:tmpl w:val="31A4B38E"/>
    <w:lvl w:ilvl="0" w:tplc="6A4E9D7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D2E41AAC"/>
    <w:name w:val="StandardBulletedList"/>
    <w:lvl w:ilvl="0">
      <w:start w:val="1"/>
      <w:numFmt w:val="bullet"/>
      <w:pStyle w:val="Bullet"/>
      <w:lvlText w:val="•"/>
      <w:lvlJc w:val="left"/>
      <w:pPr>
        <w:tabs>
          <w:tab w:val="num" w:pos="1134"/>
        </w:tabs>
        <w:ind w:left="1134" w:hanging="567"/>
      </w:pPr>
      <w:rPr>
        <w:rFonts w:ascii="Times New Roman" w:hAnsi="Times New Roman" w:cs="Times New Roman"/>
      </w:rPr>
    </w:lvl>
    <w:lvl w:ilvl="1">
      <w:start w:val="1"/>
      <w:numFmt w:val="bullet"/>
      <w:pStyle w:val="Dash"/>
      <w:lvlText w:val="–"/>
      <w:lvlJc w:val="left"/>
      <w:pPr>
        <w:tabs>
          <w:tab w:val="num" w:pos="1701"/>
        </w:tabs>
        <w:ind w:left="1701" w:hanging="567"/>
      </w:pPr>
      <w:rPr>
        <w:rFonts w:ascii="Times New Roman" w:hAnsi="Times New Roman" w:cs="Times New Roman"/>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74D55DA4"/>
    <w:multiLevelType w:val="multilevel"/>
    <w:tmpl w:val="EC9A5C0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9AE50EC"/>
    <w:multiLevelType w:val="multilevel"/>
    <w:tmpl w:val="56B86930"/>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8262128">
    <w:abstractNumId w:val="3"/>
  </w:num>
  <w:num w:numId="2" w16cid:durableId="1343898691">
    <w:abstractNumId w:val="5"/>
  </w:num>
  <w:num w:numId="3" w16cid:durableId="838153019">
    <w:abstractNumId w:val="2"/>
  </w:num>
  <w:num w:numId="4" w16cid:durableId="28115658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205260">
    <w:abstractNumId w:val="5"/>
  </w:num>
  <w:num w:numId="6" w16cid:durableId="210510181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2266422">
    <w:abstractNumId w:val="7"/>
  </w:num>
  <w:num w:numId="8" w16cid:durableId="1944530197">
    <w:abstractNumId w:val="5"/>
  </w:num>
  <w:num w:numId="9" w16cid:durableId="1961912204">
    <w:abstractNumId w:val="5"/>
  </w:num>
  <w:num w:numId="10" w16cid:durableId="602693686">
    <w:abstractNumId w:val="5"/>
  </w:num>
  <w:num w:numId="11" w16cid:durableId="569080808">
    <w:abstractNumId w:val="5"/>
  </w:num>
  <w:num w:numId="12" w16cid:durableId="455375142">
    <w:abstractNumId w:val="5"/>
  </w:num>
  <w:num w:numId="13" w16cid:durableId="1021131280">
    <w:abstractNumId w:val="5"/>
  </w:num>
  <w:num w:numId="14" w16cid:durableId="769353459">
    <w:abstractNumId w:val="4"/>
  </w:num>
  <w:num w:numId="15" w16cid:durableId="1381591479">
    <w:abstractNumId w:val="4"/>
  </w:num>
  <w:num w:numId="16" w16cid:durableId="72889155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933183">
    <w:abstractNumId w:val="1"/>
  </w:num>
  <w:num w:numId="18" w16cid:durableId="1522234346">
    <w:abstractNumId w:val="5"/>
  </w:num>
  <w:num w:numId="19" w16cid:durableId="1090464121">
    <w:abstractNumId w:val="5"/>
  </w:num>
  <w:num w:numId="20" w16cid:durableId="1132403309">
    <w:abstractNumId w:val="5"/>
  </w:num>
  <w:num w:numId="21" w16cid:durableId="798960416">
    <w:abstractNumId w:val="5"/>
  </w:num>
  <w:num w:numId="22" w16cid:durableId="1099136323">
    <w:abstractNumId w:val="5"/>
  </w:num>
  <w:num w:numId="23" w16cid:durableId="1480608998">
    <w:abstractNumId w:val="0"/>
  </w:num>
  <w:num w:numId="24" w16cid:durableId="1175613702">
    <w:abstractNumId w:val="5"/>
  </w:num>
  <w:num w:numId="25" w16cid:durableId="1906262810">
    <w:abstractNumId w:val="5"/>
  </w:num>
  <w:num w:numId="26" w16cid:durableId="2099208799">
    <w:abstractNumId w:val="5"/>
  </w:num>
  <w:num w:numId="27" w16cid:durableId="1818647176">
    <w:abstractNumId w:val="5"/>
  </w:num>
  <w:num w:numId="28" w16cid:durableId="181405364">
    <w:abstractNumId w:val="5"/>
  </w:num>
  <w:num w:numId="29" w16cid:durableId="1671709747">
    <w:abstractNumId w:val="5"/>
  </w:num>
  <w:num w:numId="30" w16cid:durableId="104816158">
    <w:abstractNumId w:val="5"/>
  </w:num>
  <w:num w:numId="31" w16cid:durableId="1356006020">
    <w:abstractNumId w:val="5"/>
  </w:num>
  <w:num w:numId="32" w16cid:durableId="300156330">
    <w:abstractNumId w:val="5"/>
  </w:num>
  <w:num w:numId="33" w16cid:durableId="2071927233">
    <w:abstractNumId w:val="5"/>
  </w:num>
  <w:num w:numId="34" w16cid:durableId="801114435">
    <w:abstractNumId w:val="5"/>
  </w:num>
  <w:num w:numId="35" w16cid:durableId="547376349">
    <w:abstractNumId w:val="7"/>
  </w:num>
  <w:num w:numId="36" w16cid:durableId="944649938">
    <w:abstractNumId w:val="5"/>
  </w:num>
  <w:num w:numId="37" w16cid:durableId="1836068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EAB898-0C34-4CD3-A8CC-80693340A3D4}"/>
    <w:docVar w:name="dgnword-eventsink" w:val="1400442897040"/>
    <w:docVar w:name="dgnword-lastRevisionsView" w:val="0"/>
  </w:docVars>
  <w:rsids>
    <w:rsidRoot w:val="00AA7282"/>
    <w:rsid w:val="0000067C"/>
    <w:rsid w:val="0000077A"/>
    <w:rsid w:val="00000A77"/>
    <w:rsid w:val="00000AAC"/>
    <w:rsid w:val="00000CA5"/>
    <w:rsid w:val="00000E19"/>
    <w:rsid w:val="000010BE"/>
    <w:rsid w:val="00001190"/>
    <w:rsid w:val="00001406"/>
    <w:rsid w:val="000016A7"/>
    <w:rsid w:val="0000172F"/>
    <w:rsid w:val="00001847"/>
    <w:rsid w:val="00001AA6"/>
    <w:rsid w:val="00001C42"/>
    <w:rsid w:val="00001ED1"/>
    <w:rsid w:val="00001FCA"/>
    <w:rsid w:val="0000214D"/>
    <w:rsid w:val="00002159"/>
    <w:rsid w:val="00002197"/>
    <w:rsid w:val="000024DD"/>
    <w:rsid w:val="00002830"/>
    <w:rsid w:val="00002838"/>
    <w:rsid w:val="00002875"/>
    <w:rsid w:val="00002A21"/>
    <w:rsid w:val="00002A40"/>
    <w:rsid w:val="00002C74"/>
    <w:rsid w:val="00002C76"/>
    <w:rsid w:val="00002C7F"/>
    <w:rsid w:val="00002CCA"/>
    <w:rsid w:val="0000304F"/>
    <w:rsid w:val="0000306D"/>
    <w:rsid w:val="000031CF"/>
    <w:rsid w:val="000035B1"/>
    <w:rsid w:val="00003893"/>
    <w:rsid w:val="00003B09"/>
    <w:rsid w:val="00003BA2"/>
    <w:rsid w:val="00003E4D"/>
    <w:rsid w:val="00003F2E"/>
    <w:rsid w:val="00004020"/>
    <w:rsid w:val="000040F7"/>
    <w:rsid w:val="000043E3"/>
    <w:rsid w:val="000045C1"/>
    <w:rsid w:val="00004601"/>
    <w:rsid w:val="00004703"/>
    <w:rsid w:val="00004B85"/>
    <w:rsid w:val="00004D3C"/>
    <w:rsid w:val="00004D69"/>
    <w:rsid w:val="00004DBC"/>
    <w:rsid w:val="00004F71"/>
    <w:rsid w:val="00005094"/>
    <w:rsid w:val="000051FC"/>
    <w:rsid w:val="000052C1"/>
    <w:rsid w:val="000053C2"/>
    <w:rsid w:val="000056EF"/>
    <w:rsid w:val="000061F2"/>
    <w:rsid w:val="00006522"/>
    <w:rsid w:val="0000655F"/>
    <w:rsid w:val="0000665B"/>
    <w:rsid w:val="0000685B"/>
    <w:rsid w:val="0000686E"/>
    <w:rsid w:val="00006894"/>
    <w:rsid w:val="000069BE"/>
    <w:rsid w:val="00006BCD"/>
    <w:rsid w:val="00006D13"/>
    <w:rsid w:val="0000706B"/>
    <w:rsid w:val="00007172"/>
    <w:rsid w:val="000071BA"/>
    <w:rsid w:val="000073FC"/>
    <w:rsid w:val="000074A7"/>
    <w:rsid w:val="00007521"/>
    <w:rsid w:val="000075C6"/>
    <w:rsid w:val="0000765F"/>
    <w:rsid w:val="0000786B"/>
    <w:rsid w:val="00007B62"/>
    <w:rsid w:val="00007CB8"/>
    <w:rsid w:val="00007E07"/>
    <w:rsid w:val="00007EB5"/>
    <w:rsid w:val="00007F68"/>
    <w:rsid w:val="00010006"/>
    <w:rsid w:val="0001001E"/>
    <w:rsid w:val="0001030B"/>
    <w:rsid w:val="000103EC"/>
    <w:rsid w:val="00010765"/>
    <w:rsid w:val="00010828"/>
    <w:rsid w:val="00010996"/>
    <w:rsid w:val="00010B40"/>
    <w:rsid w:val="00010B45"/>
    <w:rsid w:val="00010DB1"/>
    <w:rsid w:val="00010DDF"/>
    <w:rsid w:val="00010E11"/>
    <w:rsid w:val="00010E27"/>
    <w:rsid w:val="0001115B"/>
    <w:rsid w:val="00011332"/>
    <w:rsid w:val="00011355"/>
    <w:rsid w:val="000113AB"/>
    <w:rsid w:val="0001143C"/>
    <w:rsid w:val="0001148D"/>
    <w:rsid w:val="000114E3"/>
    <w:rsid w:val="0001168A"/>
    <w:rsid w:val="000117F2"/>
    <w:rsid w:val="00011849"/>
    <w:rsid w:val="0001195C"/>
    <w:rsid w:val="000119D0"/>
    <w:rsid w:val="00011AE6"/>
    <w:rsid w:val="00011DB3"/>
    <w:rsid w:val="00011DC4"/>
    <w:rsid w:val="00011E44"/>
    <w:rsid w:val="00011E50"/>
    <w:rsid w:val="00011F43"/>
    <w:rsid w:val="0001210F"/>
    <w:rsid w:val="000121B2"/>
    <w:rsid w:val="000121E0"/>
    <w:rsid w:val="000122DF"/>
    <w:rsid w:val="000123B3"/>
    <w:rsid w:val="000123BD"/>
    <w:rsid w:val="00012A64"/>
    <w:rsid w:val="00012A7D"/>
    <w:rsid w:val="00012AAA"/>
    <w:rsid w:val="00012AAE"/>
    <w:rsid w:val="00012D09"/>
    <w:rsid w:val="00012D2A"/>
    <w:rsid w:val="00013032"/>
    <w:rsid w:val="000130A3"/>
    <w:rsid w:val="000130D1"/>
    <w:rsid w:val="000130E5"/>
    <w:rsid w:val="000132E1"/>
    <w:rsid w:val="00013390"/>
    <w:rsid w:val="000133B8"/>
    <w:rsid w:val="000135B5"/>
    <w:rsid w:val="0001376D"/>
    <w:rsid w:val="000138B3"/>
    <w:rsid w:val="00013A37"/>
    <w:rsid w:val="00013B08"/>
    <w:rsid w:val="00013BE8"/>
    <w:rsid w:val="00013D25"/>
    <w:rsid w:val="00013D8D"/>
    <w:rsid w:val="00013EC1"/>
    <w:rsid w:val="00013FD8"/>
    <w:rsid w:val="00014260"/>
    <w:rsid w:val="00014686"/>
    <w:rsid w:val="000146B1"/>
    <w:rsid w:val="000149A6"/>
    <w:rsid w:val="00014A24"/>
    <w:rsid w:val="00014ABF"/>
    <w:rsid w:val="00014E35"/>
    <w:rsid w:val="0001526C"/>
    <w:rsid w:val="0001552A"/>
    <w:rsid w:val="00015592"/>
    <w:rsid w:val="00015A75"/>
    <w:rsid w:val="00015D59"/>
    <w:rsid w:val="00015D9C"/>
    <w:rsid w:val="00015E67"/>
    <w:rsid w:val="0001611D"/>
    <w:rsid w:val="00016147"/>
    <w:rsid w:val="00016210"/>
    <w:rsid w:val="0001693A"/>
    <w:rsid w:val="000169D5"/>
    <w:rsid w:val="00016AB7"/>
    <w:rsid w:val="00016C59"/>
    <w:rsid w:val="00016CBA"/>
    <w:rsid w:val="00016D9B"/>
    <w:rsid w:val="00016EA2"/>
    <w:rsid w:val="000170FF"/>
    <w:rsid w:val="0001710E"/>
    <w:rsid w:val="0001727C"/>
    <w:rsid w:val="00017290"/>
    <w:rsid w:val="0001748C"/>
    <w:rsid w:val="000175BF"/>
    <w:rsid w:val="00017679"/>
    <w:rsid w:val="0001779C"/>
    <w:rsid w:val="0001779F"/>
    <w:rsid w:val="000177B9"/>
    <w:rsid w:val="0001784A"/>
    <w:rsid w:val="00017937"/>
    <w:rsid w:val="00017D6D"/>
    <w:rsid w:val="00020060"/>
    <w:rsid w:val="000203E8"/>
    <w:rsid w:val="00020562"/>
    <w:rsid w:val="00020829"/>
    <w:rsid w:val="00020988"/>
    <w:rsid w:val="00020A3B"/>
    <w:rsid w:val="00020AFD"/>
    <w:rsid w:val="00020BBC"/>
    <w:rsid w:val="00020F7F"/>
    <w:rsid w:val="0002109D"/>
    <w:rsid w:val="000210E4"/>
    <w:rsid w:val="000211A0"/>
    <w:rsid w:val="000212C1"/>
    <w:rsid w:val="00021724"/>
    <w:rsid w:val="00021843"/>
    <w:rsid w:val="0002184A"/>
    <w:rsid w:val="000219C4"/>
    <w:rsid w:val="00021BB5"/>
    <w:rsid w:val="00021D60"/>
    <w:rsid w:val="00021E95"/>
    <w:rsid w:val="00021F54"/>
    <w:rsid w:val="000220E9"/>
    <w:rsid w:val="00022149"/>
    <w:rsid w:val="0002244D"/>
    <w:rsid w:val="0002256D"/>
    <w:rsid w:val="0002266B"/>
    <w:rsid w:val="000226D2"/>
    <w:rsid w:val="000229E3"/>
    <w:rsid w:val="000229F7"/>
    <w:rsid w:val="00022BF2"/>
    <w:rsid w:val="00022C41"/>
    <w:rsid w:val="00022CB1"/>
    <w:rsid w:val="00022E68"/>
    <w:rsid w:val="00023199"/>
    <w:rsid w:val="00023255"/>
    <w:rsid w:val="0002326D"/>
    <w:rsid w:val="000234CC"/>
    <w:rsid w:val="000235DE"/>
    <w:rsid w:val="000235F1"/>
    <w:rsid w:val="00023833"/>
    <w:rsid w:val="000238B8"/>
    <w:rsid w:val="000238C8"/>
    <w:rsid w:val="0002396B"/>
    <w:rsid w:val="00023A05"/>
    <w:rsid w:val="00023A59"/>
    <w:rsid w:val="00023A9F"/>
    <w:rsid w:val="00023C62"/>
    <w:rsid w:val="00023D8C"/>
    <w:rsid w:val="00024045"/>
    <w:rsid w:val="000242F0"/>
    <w:rsid w:val="000244E3"/>
    <w:rsid w:val="00024592"/>
    <w:rsid w:val="000246C2"/>
    <w:rsid w:val="00024A40"/>
    <w:rsid w:val="00024C22"/>
    <w:rsid w:val="00024C53"/>
    <w:rsid w:val="00024CE3"/>
    <w:rsid w:val="00024E53"/>
    <w:rsid w:val="00025004"/>
    <w:rsid w:val="000251DE"/>
    <w:rsid w:val="0002531A"/>
    <w:rsid w:val="0002538E"/>
    <w:rsid w:val="0002552B"/>
    <w:rsid w:val="00025551"/>
    <w:rsid w:val="00025561"/>
    <w:rsid w:val="000255D4"/>
    <w:rsid w:val="000255ED"/>
    <w:rsid w:val="000256FE"/>
    <w:rsid w:val="000257FB"/>
    <w:rsid w:val="0002583D"/>
    <w:rsid w:val="00025B61"/>
    <w:rsid w:val="00025FA5"/>
    <w:rsid w:val="00025FF3"/>
    <w:rsid w:val="0002651D"/>
    <w:rsid w:val="000266A5"/>
    <w:rsid w:val="000267DE"/>
    <w:rsid w:val="0002688D"/>
    <w:rsid w:val="000269F0"/>
    <w:rsid w:val="00026A47"/>
    <w:rsid w:val="00026B39"/>
    <w:rsid w:val="00026E72"/>
    <w:rsid w:val="00026EDE"/>
    <w:rsid w:val="00027058"/>
    <w:rsid w:val="00027151"/>
    <w:rsid w:val="00027360"/>
    <w:rsid w:val="00027383"/>
    <w:rsid w:val="000273AA"/>
    <w:rsid w:val="00027446"/>
    <w:rsid w:val="000276C8"/>
    <w:rsid w:val="00027811"/>
    <w:rsid w:val="00027952"/>
    <w:rsid w:val="0002796A"/>
    <w:rsid w:val="000279D9"/>
    <w:rsid w:val="00027A6B"/>
    <w:rsid w:val="00027BCC"/>
    <w:rsid w:val="00027BEE"/>
    <w:rsid w:val="00030429"/>
    <w:rsid w:val="00030697"/>
    <w:rsid w:val="000307CA"/>
    <w:rsid w:val="00030879"/>
    <w:rsid w:val="00030A7B"/>
    <w:rsid w:val="00030D60"/>
    <w:rsid w:val="00030DA4"/>
    <w:rsid w:val="00030E7B"/>
    <w:rsid w:val="00031096"/>
    <w:rsid w:val="000313C2"/>
    <w:rsid w:val="0003142A"/>
    <w:rsid w:val="000318EA"/>
    <w:rsid w:val="00031A06"/>
    <w:rsid w:val="00031A2E"/>
    <w:rsid w:val="00031C09"/>
    <w:rsid w:val="00031E3F"/>
    <w:rsid w:val="0003223F"/>
    <w:rsid w:val="000326B2"/>
    <w:rsid w:val="0003287A"/>
    <w:rsid w:val="00032AAC"/>
    <w:rsid w:val="00032CB3"/>
    <w:rsid w:val="00032D8E"/>
    <w:rsid w:val="00032F2A"/>
    <w:rsid w:val="000330CF"/>
    <w:rsid w:val="00033115"/>
    <w:rsid w:val="0003316E"/>
    <w:rsid w:val="000331BC"/>
    <w:rsid w:val="000332E8"/>
    <w:rsid w:val="0003338F"/>
    <w:rsid w:val="000333A7"/>
    <w:rsid w:val="000333E4"/>
    <w:rsid w:val="000335FA"/>
    <w:rsid w:val="000336F5"/>
    <w:rsid w:val="0003370C"/>
    <w:rsid w:val="0003371B"/>
    <w:rsid w:val="00033882"/>
    <w:rsid w:val="00033D59"/>
    <w:rsid w:val="00034230"/>
    <w:rsid w:val="000342BA"/>
    <w:rsid w:val="0003438B"/>
    <w:rsid w:val="00034400"/>
    <w:rsid w:val="0003454B"/>
    <w:rsid w:val="00034685"/>
    <w:rsid w:val="00034948"/>
    <w:rsid w:val="00034ADA"/>
    <w:rsid w:val="00034CCD"/>
    <w:rsid w:val="00034DE7"/>
    <w:rsid w:val="00034E15"/>
    <w:rsid w:val="000351B5"/>
    <w:rsid w:val="000352CE"/>
    <w:rsid w:val="00035711"/>
    <w:rsid w:val="000357ED"/>
    <w:rsid w:val="000358E6"/>
    <w:rsid w:val="00035920"/>
    <w:rsid w:val="00035931"/>
    <w:rsid w:val="00035AA8"/>
    <w:rsid w:val="00035BBC"/>
    <w:rsid w:val="00035EA8"/>
    <w:rsid w:val="00035F88"/>
    <w:rsid w:val="00036066"/>
    <w:rsid w:val="0003619C"/>
    <w:rsid w:val="0003629D"/>
    <w:rsid w:val="000365D2"/>
    <w:rsid w:val="00036CBC"/>
    <w:rsid w:val="0003724A"/>
    <w:rsid w:val="0003732C"/>
    <w:rsid w:val="000374B8"/>
    <w:rsid w:val="00037861"/>
    <w:rsid w:val="00037B58"/>
    <w:rsid w:val="00037C81"/>
    <w:rsid w:val="0004008D"/>
    <w:rsid w:val="00040308"/>
    <w:rsid w:val="00040419"/>
    <w:rsid w:val="00040657"/>
    <w:rsid w:val="000406D1"/>
    <w:rsid w:val="00040ABC"/>
    <w:rsid w:val="00040BEF"/>
    <w:rsid w:val="00040CDA"/>
    <w:rsid w:val="00040E4B"/>
    <w:rsid w:val="00041246"/>
    <w:rsid w:val="00041290"/>
    <w:rsid w:val="00041799"/>
    <w:rsid w:val="00041D2A"/>
    <w:rsid w:val="00041EF5"/>
    <w:rsid w:val="00041F07"/>
    <w:rsid w:val="00041FD1"/>
    <w:rsid w:val="000420EB"/>
    <w:rsid w:val="0004221B"/>
    <w:rsid w:val="000423D9"/>
    <w:rsid w:val="00042506"/>
    <w:rsid w:val="000425B1"/>
    <w:rsid w:val="00042636"/>
    <w:rsid w:val="000426A9"/>
    <w:rsid w:val="00042763"/>
    <w:rsid w:val="00042A39"/>
    <w:rsid w:val="00042AA5"/>
    <w:rsid w:val="00042C21"/>
    <w:rsid w:val="000431C9"/>
    <w:rsid w:val="00043217"/>
    <w:rsid w:val="00043250"/>
    <w:rsid w:val="00043368"/>
    <w:rsid w:val="00043704"/>
    <w:rsid w:val="000437DD"/>
    <w:rsid w:val="00043873"/>
    <w:rsid w:val="00043C7F"/>
    <w:rsid w:val="00043CF8"/>
    <w:rsid w:val="00043DC4"/>
    <w:rsid w:val="00043EE3"/>
    <w:rsid w:val="00043F5E"/>
    <w:rsid w:val="00044419"/>
    <w:rsid w:val="0004445C"/>
    <w:rsid w:val="0004464B"/>
    <w:rsid w:val="00044695"/>
    <w:rsid w:val="000448CA"/>
    <w:rsid w:val="00044908"/>
    <w:rsid w:val="00044ACF"/>
    <w:rsid w:val="00044BAF"/>
    <w:rsid w:val="00044D4A"/>
    <w:rsid w:val="00044D54"/>
    <w:rsid w:val="00044D71"/>
    <w:rsid w:val="00044DD2"/>
    <w:rsid w:val="00044ED2"/>
    <w:rsid w:val="00044FDA"/>
    <w:rsid w:val="00045031"/>
    <w:rsid w:val="00045044"/>
    <w:rsid w:val="0004583E"/>
    <w:rsid w:val="00045893"/>
    <w:rsid w:val="00045A70"/>
    <w:rsid w:val="00045EA6"/>
    <w:rsid w:val="00045F9D"/>
    <w:rsid w:val="0004604A"/>
    <w:rsid w:val="00046491"/>
    <w:rsid w:val="000464F3"/>
    <w:rsid w:val="000467FB"/>
    <w:rsid w:val="00046946"/>
    <w:rsid w:val="000469C2"/>
    <w:rsid w:val="00046AB3"/>
    <w:rsid w:val="00046D48"/>
    <w:rsid w:val="00046D67"/>
    <w:rsid w:val="00046E52"/>
    <w:rsid w:val="0004725D"/>
    <w:rsid w:val="00047343"/>
    <w:rsid w:val="00047436"/>
    <w:rsid w:val="00047667"/>
    <w:rsid w:val="0004779D"/>
    <w:rsid w:val="000477A0"/>
    <w:rsid w:val="000477E1"/>
    <w:rsid w:val="0004795F"/>
    <w:rsid w:val="00047BB5"/>
    <w:rsid w:val="00047CEB"/>
    <w:rsid w:val="00047E81"/>
    <w:rsid w:val="00050510"/>
    <w:rsid w:val="000506A7"/>
    <w:rsid w:val="000508BF"/>
    <w:rsid w:val="000508ED"/>
    <w:rsid w:val="00050926"/>
    <w:rsid w:val="00050CBE"/>
    <w:rsid w:val="00050F2A"/>
    <w:rsid w:val="00050F78"/>
    <w:rsid w:val="000512E4"/>
    <w:rsid w:val="000514D0"/>
    <w:rsid w:val="00051509"/>
    <w:rsid w:val="00051596"/>
    <w:rsid w:val="0005163E"/>
    <w:rsid w:val="000516C5"/>
    <w:rsid w:val="000516DC"/>
    <w:rsid w:val="000517D6"/>
    <w:rsid w:val="00051A4A"/>
    <w:rsid w:val="00051B34"/>
    <w:rsid w:val="00051B4C"/>
    <w:rsid w:val="00051E2B"/>
    <w:rsid w:val="00051F6D"/>
    <w:rsid w:val="0005219B"/>
    <w:rsid w:val="00052220"/>
    <w:rsid w:val="0005222E"/>
    <w:rsid w:val="00052397"/>
    <w:rsid w:val="00052A79"/>
    <w:rsid w:val="00052BB2"/>
    <w:rsid w:val="00052FEC"/>
    <w:rsid w:val="00053254"/>
    <w:rsid w:val="000534B5"/>
    <w:rsid w:val="0005360F"/>
    <w:rsid w:val="0005373D"/>
    <w:rsid w:val="000537D3"/>
    <w:rsid w:val="00053B80"/>
    <w:rsid w:val="00053C1C"/>
    <w:rsid w:val="00053FB8"/>
    <w:rsid w:val="00054159"/>
    <w:rsid w:val="00054296"/>
    <w:rsid w:val="000542D0"/>
    <w:rsid w:val="000542D4"/>
    <w:rsid w:val="00054687"/>
    <w:rsid w:val="00054808"/>
    <w:rsid w:val="00054AAA"/>
    <w:rsid w:val="00054BA5"/>
    <w:rsid w:val="00054BB9"/>
    <w:rsid w:val="00054D83"/>
    <w:rsid w:val="0005505D"/>
    <w:rsid w:val="000550D9"/>
    <w:rsid w:val="00055377"/>
    <w:rsid w:val="000553B9"/>
    <w:rsid w:val="00055647"/>
    <w:rsid w:val="000556A4"/>
    <w:rsid w:val="0005574E"/>
    <w:rsid w:val="0005588A"/>
    <w:rsid w:val="00055DEF"/>
    <w:rsid w:val="00055E11"/>
    <w:rsid w:val="00055E67"/>
    <w:rsid w:val="00055EEC"/>
    <w:rsid w:val="0005602F"/>
    <w:rsid w:val="000561C7"/>
    <w:rsid w:val="0005630E"/>
    <w:rsid w:val="0005646C"/>
    <w:rsid w:val="00056846"/>
    <w:rsid w:val="00056900"/>
    <w:rsid w:val="00056A38"/>
    <w:rsid w:val="00056B78"/>
    <w:rsid w:val="00056C48"/>
    <w:rsid w:val="00056E27"/>
    <w:rsid w:val="00056E43"/>
    <w:rsid w:val="00056FC2"/>
    <w:rsid w:val="00057211"/>
    <w:rsid w:val="00057256"/>
    <w:rsid w:val="0005756C"/>
    <w:rsid w:val="00057619"/>
    <w:rsid w:val="00057621"/>
    <w:rsid w:val="00057DDC"/>
    <w:rsid w:val="00057E6F"/>
    <w:rsid w:val="00057EBA"/>
    <w:rsid w:val="00057EC5"/>
    <w:rsid w:val="000601E1"/>
    <w:rsid w:val="00060286"/>
    <w:rsid w:val="000603C3"/>
    <w:rsid w:val="0006048A"/>
    <w:rsid w:val="0006070D"/>
    <w:rsid w:val="00060804"/>
    <w:rsid w:val="00060808"/>
    <w:rsid w:val="00060AAF"/>
    <w:rsid w:val="00060AFD"/>
    <w:rsid w:val="00060E7B"/>
    <w:rsid w:val="000610B6"/>
    <w:rsid w:val="000610E3"/>
    <w:rsid w:val="000613DD"/>
    <w:rsid w:val="0006145E"/>
    <w:rsid w:val="000614A6"/>
    <w:rsid w:val="00061538"/>
    <w:rsid w:val="0006183E"/>
    <w:rsid w:val="000619DA"/>
    <w:rsid w:val="00061B66"/>
    <w:rsid w:val="00061C4E"/>
    <w:rsid w:val="00061C5B"/>
    <w:rsid w:val="00061E56"/>
    <w:rsid w:val="00061ED2"/>
    <w:rsid w:val="00062134"/>
    <w:rsid w:val="0006213B"/>
    <w:rsid w:val="00062194"/>
    <w:rsid w:val="0006235E"/>
    <w:rsid w:val="0006248E"/>
    <w:rsid w:val="000624B5"/>
    <w:rsid w:val="000626D8"/>
    <w:rsid w:val="000628DD"/>
    <w:rsid w:val="000628F0"/>
    <w:rsid w:val="00062E07"/>
    <w:rsid w:val="00062E94"/>
    <w:rsid w:val="00062FC6"/>
    <w:rsid w:val="00063010"/>
    <w:rsid w:val="00063067"/>
    <w:rsid w:val="000632D3"/>
    <w:rsid w:val="000634B9"/>
    <w:rsid w:val="0006357E"/>
    <w:rsid w:val="000636CB"/>
    <w:rsid w:val="00063773"/>
    <w:rsid w:val="00063801"/>
    <w:rsid w:val="0006382B"/>
    <w:rsid w:val="000638E3"/>
    <w:rsid w:val="00063B4E"/>
    <w:rsid w:val="00063CE5"/>
    <w:rsid w:val="00063E57"/>
    <w:rsid w:val="00063E60"/>
    <w:rsid w:val="00063F7B"/>
    <w:rsid w:val="00064417"/>
    <w:rsid w:val="000645A2"/>
    <w:rsid w:val="00064873"/>
    <w:rsid w:val="000648A9"/>
    <w:rsid w:val="000649AA"/>
    <w:rsid w:val="00064AE1"/>
    <w:rsid w:val="00064B4C"/>
    <w:rsid w:val="00065199"/>
    <w:rsid w:val="000655F5"/>
    <w:rsid w:val="000657BE"/>
    <w:rsid w:val="00065814"/>
    <w:rsid w:val="000658A9"/>
    <w:rsid w:val="000659C5"/>
    <w:rsid w:val="00065BAA"/>
    <w:rsid w:val="00065BBA"/>
    <w:rsid w:val="00065D44"/>
    <w:rsid w:val="00065F15"/>
    <w:rsid w:val="00065FC6"/>
    <w:rsid w:val="00066122"/>
    <w:rsid w:val="00066158"/>
    <w:rsid w:val="00066225"/>
    <w:rsid w:val="00066406"/>
    <w:rsid w:val="000664F6"/>
    <w:rsid w:val="00066B18"/>
    <w:rsid w:val="00066D07"/>
    <w:rsid w:val="00066DC3"/>
    <w:rsid w:val="000670A6"/>
    <w:rsid w:val="0006746C"/>
    <w:rsid w:val="0006752C"/>
    <w:rsid w:val="0006756C"/>
    <w:rsid w:val="000675EA"/>
    <w:rsid w:val="000676C7"/>
    <w:rsid w:val="00067782"/>
    <w:rsid w:val="000677D6"/>
    <w:rsid w:val="00067802"/>
    <w:rsid w:val="00067ADA"/>
    <w:rsid w:val="00067B69"/>
    <w:rsid w:val="00067BBE"/>
    <w:rsid w:val="00067C4F"/>
    <w:rsid w:val="00067C55"/>
    <w:rsid w:val="00067C65"/>
    <w:rsid w:val="00070031"/>
    <w:rsid w:val="0007009E"/>
    <w:rsid w:val="000701BE"/>
    <w:rsid w:val="000702EA"/>
    <w:rsid w:val="000703A5"/>
    <w:rsid w:val="000705A6"/>
    <w:rsid w:val="000707A8"/>
    <w:rsid w:val="000707D5"/>
    <w:rsid w:val="000707E3"/>
    <w:rsid w:val="00070B18"/>
    <w:rsid w:val="00070E30"/>
    <w:rsid w:val="00070EE6"/>
    <w:rsid w:val="00070EFA"/>
    <w:rsid w:val="00071120"/>
    <w:rsid w:val="0007115B"/>
    <w:rsid w:val="0007121E"/>
    <w:rsid w:val="0007173E"/>
    <w:rsid w:val="000717C4"/>
    <w:rsid w:val="0007191E"/>
    <w:rsid w:val="000719CA"/>
    <w:rsid w:val="000719FE"/>
    <w:rsid w:val="00071BDA"/>
    <w:rsid w:val="00071C7D"/>
    <w:rsid w:val="00071D9B"/>
    <w:rsid w:val="00071DD2"/>
    <w:rsid w:val="00071F49"/>
    <w:rsid w:val="000722C2"/>
    <w:rsid w:val="000722E3"/>
    <w:rsid w:val="00072896"/>
    <w:rsid w:val="0007289E"/>
    <w:rsid w:val="00072992"/>
    <w:rsid w:val="000729E9"/>
    <w:rsid w:val="00072A7D"/>
    <w:rsid w:val="00072CA4"/>
    <w:rsid w:val="00072D7C"/>
    <w:rsid w:val="00072DE6"/>
    <w:rsid w:val="00072E7D"/>
    <w:rsid w:val="000731F5"/>
    <w:rsid w:val="00073265"/>
    <w:rsid w:val="000732AD"/>
    <w:rsid w:val="0007348B"/>
    <w:rsid w:val="000734AB"/>
    <w:rsid w:val="000735FC"/>
    <w:rsid w:val="00073603"/>
    <w:rsid w:val="00073A67"/>
    <w:rsid w:val="00073AD9"/>
    <w:rsid w:val="00073C60"/>
    <w:rsid w:val="00073D48"/>
    <w:rsid w:val="00073E3A"/>
    <w:rsid w:val="00073E4E"/>
    <w:rsid w:val="00073F00"/>
    <w:rsid w:val="000740A8"/>
    <w:rsid w:val="000741CD"/>
    <w:rsid w:val="000742DC"/>
    <w:rsid w:val="00074352"/>
    <w:rsid w:val="0007458B"/>
    <w:rsid w:val="0007459F"/>
    <w:rsid w:val="000748BB"/>
    <w:rsid w:val="00074AB7"/>
    <w:rsid w:val="00074BA0"/>
    <w:rsid w:val="00074F71"/>
    <w:rsid w:val="00075257"/>
    <w:rsid w:val="0007541C"/>
    <w:rsid w:val="00075C30"/>
    <w:rsid w:val="00075D4E"/>
    <w:rsid w:val="00075D7F"/>
    <w:rsid w:val="0007607B"/>
    <w:rsid w:val="00076178"/>
    <w:rsid w:val="00076318"/>
    <w:rsid w:val="000764AB"/>
    <w:rsid w:val="00076582"/>
    <w:rsid w:val="0007668A"/>
    <w:rsid w:val="000766EF"/>
    <w:rsid w:val="000767F5"/>
    <w:rsid w:val="00076821"/>
    <w:rsid w:val="00076824"/>
    <w:rsid w:val="00076AAA"/>
    <w:rsid w:val="00076AEC"/>
    <w:rsid w:val="00076F06"/>
    <w:rsid w:val="000770C8"/>
    <w:rsid w:val="00077141"/>
    <w:rsid w:val="00077288"/>
    <w:rsid w:val="0007769D"/>
    <w:rsid w:val="000777C4"/>
    <w:rsid w:val="0007782E"/>
    <w:rsid w:val="00077905"/>
    <w:rsid w:val="00077A08"/>
    <w:rsid w:val="00077A15"/>
    <w:rsid w:val="00077C2F"/>
    <w:rsid w:val="00077DE7"/>
    <w:rsid w:val="0008015B"/>
    <w:rsid w:val="00080240"/>
    <w:rsid w:val="000802B4"/>
    <w:rsid w:val="0008032A"/>
    <w:rsid w:val="000804DE"/>
    <w:rsid w:val="00080538"/>
    <w:rsid w:val="0008057B"/>
    <w:rsid w:val="000805F2"/>
    <w:rsid w:val="00080736"/>
    <w:rsid w:val="00080DC4"/>
    <w:rsid w:val="00080F56"/>
    <w:rsid w:val="000810DB"/>
    <w:rsid w:val="0008180A"/>
    <w:rsid w:val="000819AE"/>
    <w:rsid w:val="000819C1"/>
    <w:rsid w:val="00081A62"/>
    <w:rsid w:val="00081CA3"/>
    <w:rsid w:val="00081D31"/>
    <w:rsid w:val="00081DF5"/>
    <w:rsid w:val="00081F07"/>
    <w:rsid w:val="00082320"/>
    <w:rsid w:val="00082545"/>
    <w:rsid w:val="0008254B"/>
    <w:rsid w:val="0008265A"/>
    <w:rsid w:val="00082CB7"/>
    <w:rsid w:val="00082CCE"/>
    <w:rsid w:val="0008301B"/>
    <w:rsid w:val="00083099"/>
    <w:rsid w:val="0008315F"/>
    <w:rsid w:val="00083362"/>
    <w:rsid w:val="0008372C"/>
    <w:rsid w:val="00083745"/>
    <w:rsid w:val="000837FE"/>
    <w:rsid w:val="00083A69"/>
    <w:rsid w:val="00083E88"/>
    <w:rsid w:val="0008405C"/>
    <w:rsid w:val="000840F1"/>
    <w:rsid w:val="0008411F"/>
    <w:rsid w:val="00084309"/>
    <w:rsid w:val="00084412"/>
    <w:rsid w:val="00084445"/>
    <w:rsid w:val="00084A41"/>
    <w:rsid w:val="00084A5E"/>
    <w:rsid w:val="00084B53"/>
    <w:rsid w:val="00084E10"/>
    <w:rsid w:val="00085140"/>
    <w:rsid w:val="00085406"/>
    <w:rsid w:val="000855A8"/>
    <w:rsid w:val="000856FC"/>
    <w:rsid w:val="0008571F"/>
    <w:rsid w:val="00085938"/>
    <w:rsid w:val="00085A52"/>
    <w:rsid w:val="00085ADC"/>
    <w:rsid w:val="00085D70"/>
    <w:rsid w:val="00085E55"/>
    <w:rsid w:val="00085E60"/>
    <w:rsid w:val="00085EB8"/>
    <w:rsid w:val="00085FE8"/>
    <w:rsid w:val="00086120"/>
    <w:rsid w:val="0008638F"/>
    <w:rsid w:val="00086419"/>
    <w:rsid w:val="00086447"/>
    <w:rsid w:val="0008659D"/>
    <w:rsid w:val="0008663A"/>
    <w:rsid w:val="00086D60"/>
    <w:rsid w:val="00086E44"/>
    <w:rsid w:val="00086FEC"/>
    <w:rsid w:val="00087268"/>
    <w:rsid w:val="000876EF"/>
    <w:rsid w:val="000878F6"/>
    <w:rsid w:val="00087CFF"/>
    <w:rsid w:val="00087EB1"/>
    <w:rsid w:val="00087EE7"/>
    <w:rsid w:val="00087F66"/>
    <w:rsid w:val="00090011"/>
    <w:rsid w:val="0009008A"/>
    <w:rsid w:val="00090287"/>
    <w:rsid w:val="00090439"/>
    <w:rsid w:val="00090537"/>
    <w:rsid w:val="000905D8"/>
    <w:rsid w:val="000905FC"/>
    <w:rsid w:val="00090682"/>
    <w:rsid w:val="0009070E"/>
    <w:rsid w:val="000907A0"/>
    <w:rsid w:val="00090917"/>
    <w:rsid w:val="00090D8C"/>
    <w:rsid w:val="00090EB3"/>
    <w:rsid w:val="0009120F"/>
    <w:rsid w:val="0009158A"/>
    <w:rsid w:val="000916B6"/>
    <w:rsid w:val="000916F1"/>
    <w:rsid w:val="00091A4F"/>
    <w:rsid w:val="00091A96"/>
    <w:rsid w:val="00091AB0"/>
    <w:rsid w:val="00091AE4"/>
    <w:rsid w:val="00091BFF"/>
    <w:rsid w:val="00091D19"/>
    <w:rsid w:val="00091DD9"/>
    <w:rsid w:val="00091EB6"/>
    <w:rsid w:val="00091F9B"/>
    <w:rsid w:val="0009233C"/>
    <w:rsid w:val="000923B1"/>
    <w:rsid w:val="00092410"/>
    <w:rsid w:val="0009244C"/>
    <w:rsid w:val="000925AC"/>
    <w:rsid w:val="00092673"/>
    <w:rsid w:val="000926AC"/>
    <w:rsid w:val="0009276B"/>
    <w:rsid w:val="0009287E"/>
    <w:rsid w:val="00092E1D"/>
    <w:rsid w:val="00092E59"/>
    <w:rsid w:val="00092EAF"/>
    <w:rsid w:val="00092ED8"/>
    <w:rsid w:val="00092F02"/>
    <w:rsid w:val="00092FD7"/>
    <w:rsid w:val="000930B5"/>
    <w:rsid w:val="0009318D"/>
    <w:rsid w:val="00093215"/>
    <w:rsid w:val="000936FC"/>
    <w:rsid w:val="0009379A"/>
    <w:rsid w:val="00093960"/>
    <w:rsid w:val="00093C59"/>
    <w:rsid w:val="00093D34"/>
    <w:rsid w:val="00093D71"/>
    <w:rsid w:val="000941E3"/>
    <w:rsid w:val="00094416"/>
    <w:rsid w:val="0009468D"/>
    <w:rsid w:val="0009469A"/>
    <w:rsid w:val="00094795"/>
    <w:rsid w:val="00094A86"/>
    <w:rsid w:val="00094CE6"/>
    <w:rsid w:val="00094D1E"/>
    <w:rsid w:val="00094E54"/>
    <w:rsid w:val="0009511B"/>
    <w:rsid w:val="00095211"/>
    <w:rsid w:val="0009550C"/>
    <w:rsid w:val="00095551"/>
    <w:rsid w:val="00095572"/>
    <w:rsid w:val="000955E1"/>
    <w:rsid w:val="00095693"/>
    <w:rsid w:val="0009577A"/>
    <w:rsid w:val="00095853"/>
    <w:rsid w:val="000958B1"/>
    <w:rsid w:val="000958C1"/>
    <w:rsid w:val="000958DF"/>
    <w:rsid w:val="000959F3"/>
    <w:rsid w:val="00095BE0"/>
    <w:rsid w:val="00095C33"/>
    <w:rsid w:val="00095D4D"/>
    <w:rsid w:val="000960CD"/>
    <w:rsid w:val="000960EE"/>
    <w:rsid w:val="00096481"/>
    <w:rsid w:val="000964D3"/>
    <w:rsid w:val="000964EE"/>
    <w:rsid w:val="00096593"/>
    <w:rsid w:val="0009688D"/>
    <w:rsid w:val="00096A7F"/>
    <w:rsid w:val="00096BD9"/>
    <w:rsid w:val="00097019"/>
    <w:rsid w:val="00097348"/>
    <w:rsid w:val="0009736E"/>
    <w:rsid w:val="000973EA"/>
    <w:rsid w:val="00097516"/>
    <w:rsid w:val="00097524"/>
    <w:rsid w:val="0009765F"/>
    <w:rsid w:val="00097831"/>
    <w:rsid w:val="00097841"/>
    <w:rsid w:val="000978C1"/>
    <w:rsid w:val="00097961"/>
    <w:rsid w:val="00097B6F"/>
    <w:rsid w:val="00097BA7"/>
    <w:rsid w:val="00097DA6"/>
    <w:rsid w:val="00097F4D"/>
    <w:rsid w:val="000A011A"/>
    <w:rsid w:val="000A06D3"/>
    <w:rsid w:val="000A08C5"/>
    <w:rsid w:val="000A09E7"/>
    <w:rsid w:val="000A0C87"/>
    <w:rsid w:val="000A0CE7"/>
    <w:rsid w:val="000A0D5D"/>
    <w:rsid w:val="000A0E6F"/>
    <w:rsid w:val="000A118E"/>
    <w:rsid w:val="000A123F"/>
    <w:rsid w:val="000A1286"/>
    <w:rsid w:val="000A12FB"/>
    <w:rsid w:val="000A1334"/>
    <w:rsid w:val="000A1359"/>
    <w:rsid w:val="000A14D2"/>
    <w:rsid w:val="000A1885"/>
    <w:rsid w:val="000A1B22"/>
    <w:rsid w:val="000A1C0B"/>
    <w:rsid w:val="000A1C52"/>
    <w:rsid w:val="000A1C6E"/>
    <w:rsid w:val="000A1F0A"/>
    <w:rsid w:val="000A1FE2"/>
    <w:rsid w:val="000A1FF4"/>
    <w:rsid w:val="000A223E"/>
    <w:rsid w:val="000A22D8"/>
    <w:rsid w:val="000A2589"/>
    <w:rsid w:val="000A260E"/>
    <w:rsid w:val="000A26D3"/>
    <w:rsid w:val="000A27A0"/>
    <w:rsid w:val="000A27F6"/>
    <w:rsid w:val="000A2878"/>
    <w:rsid w:val="000A2991"/>
    <w:rsid w:val="000A2AF6"/>
    <w:rsid w:val="000A2AF7"/>
    <w:rsid w:val="000A2B13"/>
    <w:rsid w:val="000A2B7E"/>
    <w:rsid w:val="000A2BC8"/>
    <w:rsid w:val="000A2F02"/>
    <w:rsid w:val="000A2F4A"/>
    <w:rsid w:val="000A3188"/>
    <w:rsid w:val="000A32BD"/>
    <w:rsid w:val="000A3393"/>
    <w:rsid w:val="000A35FB"/>
    <w:rsid w:val="000A36F4"/>
    <w:rsid w:val="000A3874"/>
    <w:rsid w:val="000A3A36"/>
    <w:rsid w:val="000A3E47"/>
    <w:rsid w:val="000A405B"/>
    <w:rsid w:val="000A411F"/>
    <w:rsid w:val="000A4187"/>
    <w:rsid w:val="000A41E5"/>
    <w:rsid w:val="000A4246"/>
    <w:rsid w:val="000A42C7"/>
    <w:rsid w:val="000A44D2"/>
    <w:rsid w:val="000A477D"/>
    <w:rsid w:val="000A4925"/>
    <w:rsid w:val="000A4968"/>
    <w:rsid w:val="000A4B2D"/>
    <w:rsid w:val="000A4BC1"/>
    <w:rsid w:val="000A4D8A"/>
    <w:rsid w:val="000A4DED"/>
    <w:rsid w:val="000A5277"/>
    <w:rsid w:val="000A529F"/>
    <w:rsid w:val="000A533B"/>
    <w:rsid w:val="000A5356"/>
    <w:rsid w:val="000A53F7"/>
    <w:rsid w:val="000A55A6"/>
    <w:rsid w:val="000A5711"/>
    <w:rsid w:val="000A5898"/>
    <w:rsid w:val="000A5AC7"/>
    <w:rsid w:val="000A5BF8"/>
    <w:rsid w:val="000A5D4D"/>
    <w:rsid w:val="000A620A"/>
    <w:rsid w:val="000A621C"/>
    <w:rsid w:val="000A62F5"/>
    <w:rsid w:val="000A6346"/>
    <w:rsid w:val="000A6734"/>
    <w:rsid w:val="000A6745"/>
    <w:rsid w:val="000A6865"/>
    <w:rsid w:val="000A68B3"/>
    <w:rsid w:val="000A6B38"/>
    <w:rsid w:val="000A6B5A"/>
    <w:rsid w:val="000A7294"/>
    <w:rsid w:val="000A7456"/>
    <w:rsid w:val="000A74CE"/>
    <w:rsid w:val="000A7516"/>
    <w:rsid w:val="000A7614"/>
    <w:rsid w:val="000A766D"/>
    <w:rsid w:val="000A79D2"/>
    <w:rsid w:val="000A79D9"/>
    <w:rsid w:val="000A7A1E"/>
    <w:rsid w:val="000A7BBA"/>
    <w:rsid w:val="000A7C56"/>
    <w:rsid w:val="000A7CE7"/>
    <w:rsid w:val="000A7D8D"/>
    <w:rsid w:val="000A7E02"/>
    <w:rsid w:val="000A7E36"/>
    <w:rsid w:val="000A7EF6"/>
    <w:rsid w:val="000B00A0"/>
    <w:rsid w:val="000B00C4"/>
    <w:rsid w:val="000B01BD"/>
    <w:rsid w:val="000B0565"/>
    <w:rsid w:val="000B06B1"/>
    <w:rsid w:val="000B087C"/>
    <w:rsid w:val="000B0A95"/>
    <w:rsid w:val="000B0C1C"/>
    <w:rsid w:val="000B1415"/>
    <w:rsid w:val="000B1D2F"/>
    <w:rsid w:val="000B1DCC"/>
    <w:rsid w:val="000B1E22"/>
    <w:rsid w:val="000B1E29"/>
    <w:rsid w:val="000B1F09"/>
    <w:rsid w:val="000B1F7C"/>
    <w:rsid w:val="000B23A6"/>
    <w:rsid w:val="000B25E3"/>
    <w:rsid w:val="000B283D"/>
    <w:rsid w:val="000B2A21"/>
    <w:rsid w:val="000B2A88"/>
    <w:rsid w:val="000B2CE5"/>
    <w:rsid w:val="000B2F3D"/>
    <w:rsid w:val="000B32CC"/>
    <w:rsid w:val="000B33AA"/>
    <w:rsid w:val="000B33FF"/>
    <w:rsid w:val="000B350D"/>
    <w:rsid w:val="000B36AA"/>
    <w:rsid w:val="000B36AD"/>
    <w:rsid w:val="000B39A1"/>
    <w:rsid w:val="000B3A70"/>
    <w:rsid w:val="000B3B3F"/>
    <w:rsid w:val="000B3D49"/>
    <w:rsid w:val="000B3E23"/>
    <w:rsid w:val="000B3F29"/>
    <w:rsid w:val="000B3F4D"/>
    <w:rsid w:val="000B3FB9"/>
    <w:rsid w:val="000B4103"/>
    <w:rsid w:val="000B4439"/>
    <w:rsid w:val="000B48D0"/>
    <w:rsid w:val="000B4916"/>
    <w:rsid w:val="000B49F4"/>
    <w:rsid w:val="000B4A8B"/>
    <w:rsid w:val="000B4F4A"/>
    <w:rsid w:val="000B4F7C"/>
    <w:rsid w:val="000B4FAD"/>
    <w:rsid w:val="000B5154"/>
    <w:rsid w:val="000B51E1"/>
    <w:rsid w:val="000B5637"/>
    <w:rsid w:val="000B578A"/>
    <w:rsid w:val="000B588C"/>
    <w:rsid w:val="000B5921"/>
    <w:rsid w:val="000B5DAD"/>
    <w:rsid w:val="000B5EBF"/>
    <w:rsid w:val="000B6047"/>
    <w:rsid w:val="000B60DC"/>
    <w:rsid w:val="000B63D9"/>
    <w:rsid w:val="000B6552"/>
    <w:rsid w:val="000B657F"/>
    <w:rsid w:val="000B6938"/>
    <w:rsid w:val="000B69A6"/>
    <w:rsid w:val="000B69B6"/>
    <w:rsid w:val="000B6D7D"/>
    <w:rsid w:val="000B6DAF"/>
    <w:rsid w:val="000B6EE4"/>
    <w:rsid w:val="000B731E"/>
    <w:rsid w:val="000B7350"/>
    <w:rsid w:val="000B774F"/>
    <w:rsid w:val="000B7882"/>
    <w:rsid w:val="000B7B2E"/>
    <w:rsid w:val="000B7FD8"/>
    <w:rsid w:val="000C009A"/>
    <w:rsid w:val="000C01F4"/>
    <w:rsid w:val="000C0227"/>
    <w:rsid w:val="000C0434"/>
    <w:rsid w:val="000C0472"/>
    <w:rsid w:val="000C047F"/>
    <w:rsid w:val="000C05CA"/>
    <w:rsid w:val="000C06C2"/>
    <w:rsid w:val="000C0840"/>
    <w:rsid w:val="000C08AB"/>
    <w:rsid w:val="000C0AC3"/>
    <w:rsid w:val="000C0CD1"/>
    <w:rsid w:val="000C0CF3"/>
    <w:rsid w:val="000C0DC9"/>
    <w:rsid w:val="000C0FBA"/>
    <w:rsid w:val="000C10DF"/>
    <w:rsid w:val="000C1239"/>
    <w:rsid w:val="000C12E9"/>
    <w:rsid w:val="000C1333"/>
    <w:rsid w:val="000C15B4"/>
    <w:rsid w:val="000C162B"/>
    <w:rsid w:val="000C16EC"/>
    <w:rsid w:val="000C16F4"/>
    <w:rsid w:val="000C1751"/>
    <w:rsid w:val="000C186A"/>
    <w:rsid w:val="000C1991"/>
    <w:rsid w:val="000C1C1E"/>
    <w:rsid w:val="000C1C7A"/>
    <w:rsid w:val="000C1CC4"/>
    <w:rsid w:val="000C1CD7"/>
    <w:rsid w:val="000C1E7B"/>
    <w:rsid w:val="000C21A9"/>
    <w:rsid w:val="000C264C"/>
    <w:rsid w:val="000C269B"/>
    <w:rsid w:val="000C2950"/>
    <w:rsid w:val="000C2AFE"/>
    <w:rsid w:val="000C2BC2"/>
    <w:rsid w:val="000C2BF0"/>
    <w:rsid w:val="000C2D64"/>
    <w:rsid w:val="000C2E5C"/>
    <w:rsid w:val="000C2EDC"/>
    <w:rsid w:val="000C301B"/>
    <w:rsid w:val="000C30F2"/>
    <w:rsid w:val="000C30F3"/>
    <w:rsid w:val="000C354E"/>
    <w:rsid w:val="000C3BFE"/>
    <w:rsid w:val="000C3C17"/>
    <w:rsid w:val="000C3EA7"/>
    <w:rsid w:val="000C3F38"/>
    <w:rsid w:val="000C3FF2"/>
    <w:rsid w:val="000C4008"/>
    <w:rsid w:val="000C401F"/>
    <w:rsid w:val="000C41E4"/>
    <w:rsid w:val="000C4332"/>
    <w:rsid w:val="000C4570"/>
    <w:rsid w:val="000C46AF"/>
    <w:rsid w:val="000C488D"/>
    <w:rsid w:val="000C48F6"/>
    <w:rsid w:val="000C4925"/>
    <w:rsid w:val="000C49A9"/>
    <w:rsid w:val="000C4D5F"/>
    <w:rsid w:val="000C4DC1"/>
    <w:rsid w:val="000C4DEB"/>
    <w:rsid w:val="000C5130"/>
    <w:rsid w:val="000C5235"/>
    <w:rsid w:val="000C5369"/>
    <w:rsid w:val="000C5412"/>
    <w:rsid w:val="000C5777"/>
    <w:rsid w:val="000C5A1E"/>
    <w:rsid w:val="000C5B11"/>
    <w:rsid w:val="000C5C7C"/>
    <w:rsid w:val="000C5FBB"/>
    <w:rsid w:val="000C6054"/>
    <w:rsid w:val="000C626F"/>
    <w:rsid w:val="000C684D"/>
    <w:rsid w:val="000C684E"/>
    <w:rsid w:val="000C68A7"/>
    <w:rsid w:val="000C6935"/>
    <w:rsid w:val="000C6A7B"/>
    <w:rsid w:val="000C6CD5"/>
    <w:rsid w:val="000C6D2D"/>
    <w:rsid w:val="000C6D49"/>
    <w:rsid w:val="000C6E56"/>
    <w:rsid w:val="000C6ED8"/>
    <w:rsid w:val="000C6F5D"/>
    <w:rsid w:val="000C7074"/>
    <w:rsid w:val="000C71F1"/>
    <w:rsid w:val="000C72BF"/>
    <w:rsid w:val="000C7374"/>
    <w:rsid w:val="000C7511"/>
    <w:rsid w:val="000C76D4"/>
    <w:rsid w:val="000C7872"/>
    <w:rsid w:val="000C793B"/>
    <w:rsid w:val="000C7E00"/>
    <w:rsid w:val="000C7F32"/>
    <w:rsid w:val="000C7F49"/>
    <w:rsid w:val="000C7F4D"/>
    <w:rsid w:val="000C7F8B"/>
    <w:rsid w:val="000D0107"/>
    <w:rsid w:val="000D022A"/>
    <w:rsid w:val="000D0368"/>
    <w:rsid w:val="000D03C4"/>
    <w:rsid w:val="000D03D6"/>
    <w:rsid w:val="000D05F5"/>
    <w:rsid w:val="000D070B"/>
    <w:rsid w:val="000D0B07"/>
    <w:rsid w:val="000D0B90"/>
    <w:rsid w:val="000D0C81"/>
    <w:rsid w:val="000D0E6C"/>
    <w:rsid w:val="000D14AE"/>
    <w:rsid w:val="000D1595"/>
    <w:rsid w:val="000D18A2"/>
    <w:rsid w:val="000D1A47"/>
    <w:rsid w:val="000D1CB9"/>
    <w:rsid w:val="000D1E3A"/>
    <w:rsid w:val="000D2016"/>
    <w:rsid w:val="000D2054"/>
    <w:rsid w:val="000D20C5"/>
    <w:rsid w:val="000D21F3"/>
    <w:rsid w:val="000D2395"/>
    <w:rsid w:val="000D2625"/>
    <w:rsid w:val="000D27EB"/>
    <w:rsid w:val="000D2831"/>
    <w:rsid w:val="000D2860"/>
    <w:rsid w:val="000D293E"/>
    <w:rsid w:val="000D2F43"/>
    <w:rsid w:val="000D2FA7"/>
    <w:rsid w:val="000D2FB7"/>
    <w:rsid w:val="000D33BF"/>
    <w:rsid w:val="000D359C"/>
    <w:rsid w:val="000D3754"/>
    <w:rsid w:val="000D3987"/>
    <w:rsid w:val="000D3A95"/>
    <w:rsid w:val="000D3AE5"/>
    <w:rsid w:val="000D3CA9"/>
    <w:rsid w:val="000D3E6B"/>
    <w:rsid w:val="000D3F16"/>
    <w:rsid w:val="000D4190"/>
    <w:rsid w:val="000D431A"/>
    <w:rsid w:val="000D43B2"/>
    <w:rsid w:val="000D4445"/>
    <w:rsid w:val="000D446B"/>
    <w:rsid w:val="000D4486"/>
    <w:rsid w:val="000D4679"/>
    <w:rsid w:val="000D4861"/>
    <w:rsid w:val="000D4A1E"/>
    <w:rsid w:val="000D4EB9"/>
    <w:rsid w:val="000D4F8F"/>
    <w:rsid w:val="000D500E"/>
    <w:rsid w:val="000D513E"/>
    <w:rsid w:val="000D5344"/>
    <w:rsid w:val="000D559D"/>
    <w:rsid w:val="000D567D"/>
    <w:rsid w:val="000D57F7"/>
    <w:rsid w:val="000D57FC"/>
    <w:rsid w:val="000D5809"/>
    <w:rsid w:val="000D5A28"/>
    <w:rsid w:val="000D5B88"/>
    <w:rsid w:val="000D5F20"/>
    <w:rsid w:val="000D5F90"/>
    <w:rsid w:val="000D5FF2"/>
    <w:rsid w:val="000D63AF"/>
    <w:rsid w:val="000D645A"/>
    <w:rsid w:val="000D64BF"/>
    <w:rsid w:val="000D6545"/>
    <w:rsid w:val="000D6623"/>
    <w:rsid w:val="000D6840"/>
    <w:rsid w:val="000D699C"/>
    <w:rsid w:val="000D6A17"/>
    <w:rsid w:val="000D6B4A"/>
    <w:rsid w:val="000D6E77"/>
    <w:rsid w:val="000D6E9D"/>
    <w:rsid w:val="000D6EA5"/>
    <w:rsid w:val="000D7035"/>
    <w:rsid w:val="000D7159"/>
    <w:rsid w:val="000D76A9"/>
    <w:rsid w:val="000D7724"/>
    <w:rsid w:val="000D792B"/>
    <w:rsid w:val="000D7D5F"/>
    <w:rsid w:val="000E000D"/>
    <w:rsid w:val="000E0420"/>
    <w:rsid w:val="000E07D1"/>
    <w:rsid w:val="000E089A"/>
    <w:rsid w:val="000E08C1"/>
    <w:rsid w:val="000E099D"/>
    <w:rsid w:val="000E0A80"/>
    <w:rsid w:val="000E0AF7"/>
    <w:rsid w:val="000E0D93"/>
    <w:rsid w:val="000E0FA7"/>
    <w:rsid w:val="000E103F"/>
    <w:rsid w:val="000E1117"/>
    <w:rsid w:val="000E1221"/>
    <w:rsid w:val="000E14EF"/>
    <w:rsid w:val="000E199C"/>
    <w:rsid w:val="000E1B36"/>
    <w:rsid w:val="000E1CC9"/>
    <w:rsid w:val="000E1E18"/>
    <w:rsid w:val="000E1E96"/>
    <w:rsid w:val="000E1FA3"/>
    <w:rsid w:val="000E20CF"/>
    <w:rsid w:val="000E2488"/>
    <w:rsid w:val="000E25B2"/>
    <w:rsid w:val="000E25ED"/>
    <w:rsid w:val="000E2A0E"/>
    <w:rsid w:val="000E2C6B"/>
    <w:rsid w:val="000E2D93"/>
    <w:rsid w:val="000E2DB6"/>
    <w:rsid w:val="000E2E2D"/>
    <w:rsid w:val="000E2EB7"/>
    <w:rsid w:val="000E2F1A"/>
    <w:rsid w:val="000E2F25"/>
    <w:rsid w:val="000E2FBC"/>
    <w:rsid w:val="000E32E3"/>
    <w:rsid w:val="000E37E7"/>
    <w:rsid w:val="000E39A5"/>
    <w:rsid w:val="000E39C4"/>
    <w:rsid w:val="000E39C9"/>
    <w:rsid w:val="000E3AAA"/>
    <w:rsid w:val="000E3AE8"/>
    <w:rsid w:val="000E3D43"/>
    <w:rsid w:val="000E3E01"/>
    <w:rsid w:val="000E3E36"/>
    <w:rsid w:val="000E43A2"/>
    <w:rsid w:val="000E4434"/>
    <w:rsid w:val="000E451A"/>
    <w:rsid w:val="000E472B"/>
    <w:rsid w:val="000E47EA"/>
    <w:rsid w:val="000E47F9"/>
    <w:rsid w:val="000E495A"/>
    <w:rsid w:val="000E4A29"/>
    <w:rsid w:val="000E4AC6"/>
    <w:rsid w:val="000E4BC0"/>
    <w:rsid w:val="000E4E7A"/>
    <w:rsid w:val="000E4E98"/>
    <w:rsid w:val="000E4F08"/>
    <w:rsid w:val="000E4F72"/>
    <w:rsid w:val="000E507E"/>
    <w:rsid w:val="000E50AA"/>
    <w:rsid w:val="000E50DE"/>
    <w:rsid w:val="000E5244"/>
    <w:rsid w:val="000E5298"/>
    <w:rsid w:val="000E55A1"/>
    <w:rsid w:val="000E560E"/>
    <w:rsid w:val="000E58F6"/>
    <w:rsid w:val="000E59C4"/>
    <w:rsid w:val="000E5AF1"/>
    <w:rsid w:val="000E5B52"/>
    <w:rsid w:val="000E6061"/>
    <w:rsid w:val="000E60B7"/>
    <w:rsid w:val="000E610A"/>
    <w:rsid w:val="000E61E0"/>
    <w:rsid w:val="000E628C"/>
    <w:rsid w:val="000E642A"/>
    <w:rsid w:val="000E652A"/>
    <w:rsid w:val="000E67CC"/>
    <w:rsid w:val="000E694F"/>
    <w:rsid w:val="000E69D3"/>
    <w:rsid w:val="000E69D7"/>
    <w:rsid w:val="000E69F5"/>
    <w:rsid w:val="000E6A73"/>
    <w:rsid w:val="000E6AB5"/>
    <w:rsid w:val="000E6B74"/>
    <w:rsid w:val="000E6DBF"/>
    <w:rsid w:val="000E6F64"/>
    <w:rsid w:val="000E74C8"/>
    <w:rsid w:val="000E7743"/>
    <w:rsid w:val="000E7959"/>
    <w:rsid w:val="000E796D"/>
    <w:rsid w:val="000E7B82"/>
    <w:rsid w:val="000E7BDC"/>
    <w:rsid w:val="000E7C43"/>
    <w:rsid w:val="000E7D69"/>
    <w:rsid w:val="000E7E15"/>
    <w:rsid w:val="000F0086"/>
    <w:rsid w:val="000F00FB"/>
    <w:rsid w:val="000F011F"/>
    <w:rsid w:val="000F06EB"/>
    <w:rsid w:val="000F073B"/>
    <w:rsid w:val="000F0861"/>
    <w:rsid w:val="000F097B"/>
    <w:rsid w:val="000F09EA"/>
    <w:rsid w:val="000F0B75"/>
    <w:rsid w:val="000F0BFC"/>
    <w:rsid w:val="000F101D"/>
    <w:rsid w:val="000F10F2"/>
    <w:rsid w:val="000F115A"/>
    <w:rsid w:val="000F126F"/>
    <w:rsid w:val="000F162E"/>
    <w:rsid w:val="000F1D66"/>
    <w:rsid w:val="000F1D8B"/>
    <w:rsid w:val="000F1DFA"/>
    <w:rsid w:val="000F1E17"/>
    <w:rsid w:val="000F1EDC"/>
    <w:rsid w:val="000F1F4C"/>
    <w:rsid w:val="000F204D"/>
    <w:rsid w:val="000F24BB"/>
    <w:rsid w:val="000F24E2"/>
    <w:rsid w:val="000F252A"/>
    <w:rsid w:val="000F265A"/>
    <w:rsid w:val="000F2734"/>
    <w:rsid w:val="000F2784"/>
    <w:rsid w:val="000F2AB6"/>
    <w:rsid w:val="000F2B40"/>
    <w:rsid w:val="000F2B50"/>
    <w:rsid w:val="000F2C58"/>
    <w:rsid w:val="000F34B3"/>
    <w:rsid w:val="000F360C"/>
    <w:rsid w:val="000F36F8"/>
    <w:rsid w:val="000F3773"/>
    <w:rsid w:val="000F37E6"/>
    <w:rsid w:val="000F3843"/>
    <w:rsid w:val="000F3A34"/>
    <w:rsid w:val="000F3C3B"/>
    <w:rsid w:val="000F3E43"/>
    <w:rsid w:val="000F3EAD"/>
    <w:rsid w:val="000F3EBF"/>
    <w:rsid w:val="000F3EFA"/>
    <w:rsid w:val="000F44E8"/>
    <w:rsid w:val="000F45F0"/>
    <w:rsid w:val="000F4A56"/>
    <w:rsid w:val="000F4B1B"/>
    <w:rsid w:val="000F4B41"/>
    <w:rsid w:val="000F4BCA"/>
    <w:rsid w:val="000F4FF1"/>
    <w:rsid w:val="000F50A6"/>
    <w:rsid w:val="000F527F"/>
    <w:rsid w:val="000F533B"/>
    <w:rsid w:val="000F5363"/>
    <w:rsid w:val="000F54DE"/>
    <w:rsid w:val="000F55A8"/>
    <w:rsid w:val="000F5981"/>
    <w:rsid w:val="000F5F46"/>
    <w:rsid w:val="000F6117"/>
    <w:rsid w:val="000F62C3"/>
    <w:rsid w:val="000F6686"/>
    <w:rsid w:val="000F6AD5"/>
    <w:rsid w:val="000F6C9C"/>
    <w:rsid w:val="000F6DC5"/>
    <w:rsid w:val="000F6ECC"/>
    <w:rsid w:val="000F6F9F"/>
    <w:rsid w:val="000F7096"/>
    <w:rsid w:val="000F73C9"/>
    <w:rsid w:val="000F73D8"/>
    <w:rsid w:val="000F73F2"/>
    <w:rsid w:val="000F74BB"/>
    <w:rsid w:val="000F7764"/>
    <w:rsid w:val="000F790B"/>
    <w:rsid w:val="000F7AB7"/>
    <w:rsid w:val="000F7EC2"/>
    <w:rsid w:val="000F7F5F"/>
    <w:rsid w:val="00100010"/>
    <w:rsid w:val="00100083"/>
    <w:rsid w:val="001000B0"/>
    <w:rsid w:val="0010065E"/>
    <w:rsid w:val="001008CE"/>
    <w:rsid w:val="00100913"/>
    <w:rsid w:val="00100D95"/>
    <w:rsid w:val="00100F30"/>
    <w:rsid w:val="00100F63"/>
    <w:rsid w:val="00100FF7"/>
    <w:rsid w:val="00101192"/>
    <w:rsid w:val="001011FF"/>
    <w:rsid w:val="001012D1"/>
    <w:rsid w:val="001013A1"/>
    <w:rsid w:val="0010161E"/>
    <w:rsid w:val="001017A2"/>
    <w:rsid w:val="00101934"/>
    <w:rsid w:val="00101A74"/>
    <w:rsid w:val="00101C49"/>
    <w:rsid w:val="00101CC0"/>
    <w:rsid w:val="00101CD9"/>
    <w:rsid w:val="00101D14"/>
    <w:rsid w:val="00101D35"/>
    <w:rsid w:val="00101E9E"/>
    <w:rsid w:val="001020B9"/>
    <w:rsid w:val="001021EE"/>
    <w:rsid w:val="0010261A"/>
    <w:rsid w:val="00102833"/>
    <w:rsid w:val="00102DDF"/>
    <w:rsid w:val="00102E72"/>
    <w:rsid w:val="00103067"/>
    <w:rsid w:val="00103081"/>
    <w:rsid w:val="0010317A"/>
    <w:rsid w:val="00103290"/>
    <w:rsid w:val="001034C4"/>
    <w:rsid w:val="00103A76"/>
    <w:rsid w:val="00103DC3"/>
    <w:rsid w:val="00103EEF"/>
    <w:rsid w:val="00103F65"/>
    <w:rsid w:val="00103FC7"/>
    <w:rsid w:val="00103FE8"/>
    <w:rsid w:val="00104017"/>
    <w:rsid w:val="0010442D"/>
    <w:rsid w:val="00104463"/>
    <w:rsid w:val="0010459A"/>
    <w:rsid w:val="00104721"/>
    <w:rsid w:val="00104A1C"/>
    <w:rsid w:val="00104B7A"/>
    <w:rsid w:val="00104B90"/>
    <w:rsid w:val="00104C18"/>
    <w:rsid w:val="00104EEC"/>
    <w:rsid w:val="00104F6F"/>
    <w:rsid w:val="00104F77"/>
    <w:rsid w:val="00105093"/>
    <w:rsid w:val="001050DA"/>
    <w:rsid w:val="00105627"/>
    <w:rsid w:val="0010565D"/>
    <w:rsid w:val="001057E0"/>
    <w:rsid w:val="00105A1A"/>
    <w:rsid w:val="00105ADC"/>
    <w:rsid w:val="00105C73"/>
    <w:rsid w:val="00106021"/>
    <w:rsid w:val="0010608F"/>
    <w:rsid w:val="001060C2"/>
    <w:rsid w:val="00106390"/>
    <w:rsid w:val="001064B4"/>
    <w:rsid w:val="0010698E"/>
    <w:rsid w:val="001069D9"/>
    <w:rsid w:val="00106A5B"/>
    <w:rsid w:val="00106EA3"/>
    <w:rsid w:val="00107031"/>
    <w:rsid w:val="001072B0"/>
    <w:rsid w:val="001072D0"/>
    <w:rsid w:val="001072F8"/>
    <w:rsid w:val="00107592"/>
    <w:rsid w:val="00107628"/>
    <w:rsid w:val="00107753"/>
    <w:rsid w:val="0010779C"/>
    <w:rsid w:val="0010780D"/>
    <w:rsid w:val="00107A1E"/>
    <w:rsid w:val="00107A77"/>
    <w:rsid w:val="00107AE6"/>
    <w:rsid w:val="00107B09"/>
    <w:rsid w:val="00107C33"/>
    <w:rsid w:val="00107D30"/>
    <w:rsid w:val="00107E02"/>
    <w:rsid w:val="00110331"/>
    <w:rsid w:val="00110432"/>
    <w:rsid w:val="00110618"/>
    <w:rsid w:val="00110638"/>
    <w:rsid w:val="00110C3A"/>
    <w:rsid w:val="00111094"/>
    <w:rsid w:val="001111A7"/>
    <w:rsid w:val="00111500"/>
    <w:rsid w:val="00111546"/>
    <w:rsid w:val="001115CB"/>
    <w:rsid w:val="00111812"/>
    <w:rsid w:val="0011181B"/>
    <w:rsid w:val="00111A01"/>
    <w:rsid w:val="00111B0A"/>
    <w:rsid w:val="00111B59"/>
    <w:rsid w:val="00111C1A"/>
    <w:rsid w:val="00111CC6"/>
    <w:rsid w:val="00111CE2"/>
    <w:rsid w:val="00111E68"/>
    <w:rsid w:val="00111F42"/>
    <w:rsid w:val="00111F65"/>
    <w:rsid w:val="001121F4"/>
    <w:rsid w:val="00112234"/>
    <w:rsid w:val="00112741"/>
    <w:rsid w:val="00112A24"/>
    <w:rsid w:val="00112A81"/>
    <w:rsid w:val="00112A83"/>
    <w:rsid w:val="00112ABB"/>
    <w:rsid w:val="00112BE0"/>
    <w:rsid w:val="00112C1D"/>
    <w:rsid w:val="00112C5E"/>
    <w:rsid w:val="00112D1F"/>
    <w:rsid w:val="00112DA3"/>
    <w:rsid w:val="00112E5F"/>
    <w:rsid w:val="00113021"/>
    <w:rsid w:val="00113171"/>
    <w:rsid w:val="0011322E"/>
    <w:rsid w:val="00113273"/>
    <w:rsid w:val="00113310"/>
    <w:rsid w:val="00113354"/>
    <w:rsid w:val="001133FF"/>
    <w:rsid w:val="00113713"/>
    <w:rsid w:val="00113783"/>
    <w:rsid w:val="0011395C"/>
    <w:rsid w:val="0011397E"/>
    <w:rsid w:val="00113A3F"/>
    <w:rsid w:val="00113B45"/>
    <w:rsid w:val="00113D68"/>
    <w:rsid w:val="00113E1F"/>
    <w:rsid w:val="001140F3"/>
    <w:rsid w:val="00114189"/>
    <w:rsid w:val="001144A4"/>
    <w:rsid w:val="00114547"/>
    <w:rsid w:val="00114685"/>
    <w:rsid w:val="00114730"/>
    <w:rsid w:val="001148E6"/>
    <w:rsid w:val="00114B28"/>
    <w:rsid w:val="00114B71"/>
    <w:rsid w:val="00114C02"/>
    <w:rsid w:val="00114DBE"/>
    <w:rsid w:val="00114FA9"/>
    <w:rsid w:val="0011511D"/>
    <w:rsid w:val="00115169"/>
    <w:rsid w:val="001153BB"/>
    <w:rsid w:val="001153F5"/>
    <w:rsid w:val="0011557F"/>
    <w:rsid w:val="00115611"/>
    <w:rsid w:val="0011567C"/>
    <w:rsid w:val="001157F2"/>
    <w:rsid w:val="00115B3C"/>
    <w:rsid w:val="00115BF2"/>
    <w:rsid w:val="00115DF8"/>
    <w:rsid w:val="0011614F"/>
    <w:rsid w:val="00116299"/>
    <w:rsid w:val="0011638D"/>
    <w:rsid w:val="0011646E"/>
    <w:rsid w:val="00116541"/>
    <w:rsid w:val="00116545"/>
    <w:rsid w:val="00116A4D"/>
    <w:rsid w:val="00116AB5"/>
    <w:rsid w:val="00116B6F"/>
    <w:rsid w:val="00116EE4"/>
    <w:rsid w:val="0011710E"/>
    <w:rsid w:val="00117221"/>
    <w:rsid w:val="00117242"/>
    <w:rsid w:val="001172A6"/>
    <w:rsid w:val="001173AC"/>
    <w:rsid w:val="0011748F"/>
    <w:rsid w:val="001174A2"/>
    <w:rsid w:val="001176FE"/>
    <w:rsid w:val="001178C0"/>
    <w:rsid w:val="00117956"/>
    <w:rsid w:val="00117A0A"/>
    <w:rsid w:val="00117B92"/>
    <w:rsid w:val="00117C02"/>
    <w:rsid w:val="00117C48"/>
    <w:rsid w:val="00117E93"/>
    <w:rsid w:val="00117FF7"/>
    <w:rsid w:val="001200F7"/>
    <w:rsid w:val="00120660"/>
    <w:rsid w:val="00120662"/>
    <w:rsid w:val="00120739"/>
    <w:rsid w:val="00120755"/>
    <w:rsid w:val="00120969"/>
    <w:rsid w:val="00120A86"/>
    <w:rsid w:val="00120C7A"/>
    <w:rsid w:val="00120D3A"/>
    <w:rsid w:val="00120D74"/>
    <w:rsid w:val="00120D88"/>
    <w:rsid w:val="00120F54"/>
    <w:rsid w:val="00120FFE"/>
    <w:rsid w:val="0012107F"/>
    <w:rsid w:val="001210DA"/>
    <w:rsid w:val="00121191"/>
    <w:rsid w:val="001211D9"/>
    <w:rsid w:val="001211FC"/>
    <w:rsid w:val="001212BB"/>
    <w:rsid w:val="00121335"/>
    <w:rsid w:val="0012148F"/>
    <w:rsid w:val="001214E9"/>
    <w:rsid w:val="001215DB"/>
    <w:rsid w:val="0012160D"/>
    <w:rsid w:val="0012167C"/>
    <w:rsid w:val="0012170E"/>
    <w:rsid w:val="001219E4"/>
    <w:rsid w:val="001219F0"/>
    <w:rsid w:val="00121AE3"/>
    <w:rsid w:val="00121CFC"/>
    <w:rsid w:val="00121D41"/>
    <w:rsid w:val="00121D69"/>
    <w:rsid w:val="00121DE0"/>
    <w:rsid w:val="00122086"/>
    <w:rsid w:val="001220E2"/>
    <w:rsid w:val="001220EB"/>
    <w:rsid w:val="0012210E"/>
    <w:rsid w:val="00122150"/>
    <w:rsid w:val="00122347"/>
    <w:rsid w:val="00122386"/>
    <w:rsid w:val="001223CA"/>
    <w:rsid w:val="0012244B"/>
    <w:rsid w:val="001227E1"/>
    <w:rsid w:val="00122849"/>
    <w:rsid w:val="00122B95"/>
    <w:rsid w:val="00122BDA"/>
    <w:rsid w:val="00122CC3"/>
    <w:rsid w:val="00122E5B"/>
    <w:rsid w:val="00123176"/>
    <w:rsid w:val="0012333C"/>
    <w:rsid w:val="00123629"/>
    <w:rsid w:val="00123A1C"/>
    <w:rsid w:val="00123A50"/>
    <w:rsid w:val="00123B67"/>
    <w:rsid w:val="00123CA4"/>
    <w:rsid w:val="00123D3D"/>
    <w:rsid w:val="00123D5F"/>
    <w:rsid w:val="00123F01"/>
    <w:rsid w:val="00124029"/>
    <w:rsid w:val="001245CC"/>
    <w:rsid w:val="00124921"/>
    <w:rsid w:val="00124C31"/>
    <w:rsid w:val="00124E22"/>
    <w:rsid w:val="00124F0F"/>
    <w:rsid w:val="00124F85"/>
    <w:rsid w:val="00125024"/>
    <w:rsid w:val="00125044"/>
    <w:rsid w:val="001254F2"/>
    <w:rsid w:val="001255ED"/>
    <w:rsid w:val="0012563B"/>
    <w:rsid w:val="00125662"/>
    <w:rsid w:val="001256C3"/>
    <w:rsid w:val="00125861"/>
    <w:rsid w:val="001259E4"/>
    <w:rsid w:val="00125A68"/>
    <w:rsid w:val="00125B01"/>
    <w:rsid w:val="00125CFA"/>
    <w:rsid w:val="00125D22"/>
    <w:rsid w:val="00125E4C"/>
    <w:rsid w:val="00125F1B"/>
    <w:rsid w:val="0012622E"/>
    <w:rsid w:val="00126262"/>
    <w:rsid w:val="0012652F"/>
    <w:rsid w:val="001265A0"/>
    <w:rsid w:val="00126647"/>
    <w:rsid w:val="001267D0"/>
    <w:rsid w:val="001269EC"/>
    <w:rsid w:val="00126CFA"/>
    <w:rsid w:val="00126D74"/>
    <w:rsid w:val="00126EAB"/>
    <w:rsid w:val="00126EF2"/>
    <w:rsid w:val="00127013"/>
    <w:rsid w:val="0012741F"/>
    <w:rsid w:val="001274F2"/>
    <w:rsid w:val="00127532"/>
    <w:rsid w:val="00127784"/>
    <w:rsid w:val="001277A6"/>
    <w:rsid w:val="001277BC"/>
    <w:rsid w:val="0012780A"/>
    <w:rsid w:val="00127985"/>
    <w:rsid w:val="00127AE9"/>
    <w:rsid w:val="00127D3F"/>
    <w:rsid w:val="00127E1D"/>
    <w:rsid w:val="00127E42"/>
    <w:rsid w:val="00127EAF"/>
    <w:rsid w:val="00127F55"/>
    <w:rsid w:val="00130099"/>
    <w:rsid w:val="0013011E"/>
    <w:rsid w:val="001301AB"/>
    <w:rsid w:val="001304DB"/>
    <w:rsid w:val="001304FA"/>
    <w:rsid w:val="0013076A"/>
    <w:rsid w:val="00130C7B"/>
    <w:rsid w:val="00130DE9"/>
    <w:rsid w:val="00130F46"/>
    <w:rsid w:val="001310E7"/>
    <w:rsid w:val="00131107"/>
    <w:rsid w:val="0013130F"/>
    <w:rsid w:val="00131329"/>
    <w:rsid w:val="001317F4"/>
    <w:rsid w:val="00131AD1"/>
    <w:rsid w:val="00131AF9"/>
    <w:rsid w:val="00131B8E"/>
    <w:rsid w:val="00131C03"/>
    <w:rsid w:val="00131C24"/>
    <w:rsid w:val="00131C85"/>
    <w:rsid w:val="00131EB7"/>
    <w:rsid w:val="00132025"/>
    <w:rsid w:val="001321C3"/>
    <w:rsid w:val="001325F4"/>
    <w:rsid w:val="00132663"/>
    <w:rsid w:val="001329D3"/>
    <w:rsid w:val="00132B4B"/>
    <w:rsid w:val="00132B67"/>
    <w:rsid w:val="00132C77"/>
    <w:rsid w:val="00132E37"/>
    <w:rsid w:val="00132F1B"/>
    <w:rsid w:val="00132FAB"/>
    <w:rsid w:val="00132FE8"/>
    <w:rsid w:val="0013301B"/>
    <w:rsid w:val="0013314F"/>
    <w:rsid w:val="001331B3"/>
    <w:rsid w:val="001332DE"/>
    <w:rsid w:val="001332E0"/>
    <w:rsid w:val="00133491"/>
    <w:rsid w:val="001335EF"/>
    <w:rsid w:val="001338D2"/>
    <w:rsid w:val="00133994"/>
    <w:rsid w:val="00133A26"/>
    <w:rsid w:val="00133B0E"/>
    <w:rsid w:val="00133E28"/>
    <w:rsid w:val="00133EA2"/>
    <w:rsid w:val="00134095"/>
    <w:rsid w:val="001340A9"/>
    <w:rsid w:val="001343CE"/>
    <w:rsid w:val="001344EB"/>
    <w:rsid w:val="001346E9"/>
    <w:rsid w:val="0013470F"/>
    <w:rsid w:val="00134843"/>
    <w:rsid w:val="00134955"/>
    <w:rsid w:val="00134DAF"/>
    <w:rsid w:val="00134DB2"/>
    <w:rsid w:val="001350DF"/>
    <w:rsid w:val="00135321"/>
    <w:rsid w:val="0013543C"/>
    <w:rsid w:val="00135574"/>
    <w:rsid w:val="0013568E"/>
    <w:rsid w:val="001358CC"/>
    <w:rsid w:val="00135A53"/>
    <w:rsid w:val="00135B8B"/>
    <w:rsid w:val="00135BD5"/>
    <w:rsid w:val="00135CC6"/>
    <w:rsid w:val="00135D0A"/>
    <w:rsid w:val="001360D3"/>
    <w:rsid w:val="001361CC"/>
    <w:rsid w:val="00136700"/>
    <w:rsid w:val="001369A2"/>
    <w:rsid w:val="00136B64"/>
    <w:rsid w:val="00136B6B"/>
    <w:rsid w:val="00136BC8"/>
    <w:rsid w:val="00136BDF"/>
    <w:rsid w:val="00136E31"/>
    <w:rsid w:val="00136E45"/>
    <w:rsid w:val="00136F87"/>
    <w:rsid w:val="00137074"/>
    <w:rsid w:val="00137244"/>
    <w:rsid w:val="0013735F"/>
    <w:rsid w:val="00137386"/>
    <w:rsid w:val="00137743"/>
    <w:rsid w:val="0013779E"/>
    <w:rsid w:val="001377D1"/>
    <w:rsid w:val="00137B79"/>
    <w:rsid w:val="00137B8D"/>
    <w:rsid w:val="00137D1A"/>
    <w:rsid w:val="00137E18"/>
    <w:rsid w:val="00137F3C"/>
    <w:rsid w:val="0014042C"/>
    <w:rsid w:val="00140473"/>
    <w:rsid w:val="0014047F"/>
    <w:rsid w:val="001405F7"/>
    <w:rsid w:val="00140A0C"/>
    <w:rsid w:val="00140C29"/>
    <w:rsid w:val="00140CF0"/>
    <w:rsid w:val="00140D53"/>
    <w:rsid w:val="00140DF0"/>
    <w:rsid w:val="001410CF"/>
    <w:rsid w:val="0014120C"/>
    <w:rsid w:val="0014145F"/>
    <w:rsid w:val="00141470"/>
    <w:rsid w:val="001414D3"/>
    <w:rsid w:val="0014163A"/>
    <w:rsid w:val="00141939"/>
    <w:rsid w:val="001419FB"/>
    <w:rsid w:val="00141BDB"/>
    <w:rsid w:val="00141DB2"/>
    <w:rsid w:val="00141EC3"/>
    <w:rsid w:val="00141F79"/>
    <w:rsid w:val="00141FE0"/>
    <w:rsid w:val="001420BA"/>
    <w:rsid w:val="0014213A"/>
    <w:rsid w:val="00142460"/>
    <w:rsid w:val="001425C1"/>
    <w:rsid w:val="00142673"/>
    <w:rsid w:val="0014278A"/>
    <w:rsid w:val="001428A3"/>
    <w:rsid w:val="001428B6"/>
    <w:rsid w:val="00142CB5"/>
    <w:rsid w:val="00142E26"/>
    <w:rsid w:val="0014303A"/>
    <w:rsid w:val="00143256"/>
    <w:rsid w:val="00143309"/>
    <w:rsid w:val="0014339D"/>
    <w:rsid w:val="00143488"/>
    <w:rsid w:val="001436D0"/>
    <w:rsid w:val="00143705"/>
    <w:rsid w:val="0014374E"/>
    <w:rsid w:val="00143CB3"/>
    <w:rsid w:val="00143CE5"/>
    <w:rsid w:val="00143D91"/>
    <w:rsid w:val="00143F54"/>
    <w:rsid w:val="0014403B"/>
    <w:rsid w:val="0014406C"/>
    <w:rsid w:val="00144437"/>
    <w:rsid w:val="00144473"/>
    <w:rsid w:val="0014473F"/>
    <w:rsid w:val="0014497B"/>
    <w:rsid w:val="00144F6C"/>
    <w:rsid w:val="0014501B"/>
    <w:rsid w:val="001455DD"/>
    <w:rsid w:val="00145633"/>
    <w:rsid w:val="0014591A"/>
    <w:rsid w:val="00145AAD"/>
    <w:rsid w:val="00145B0E"/>
    <w:rsid w:val="00145BF8"/>
    <w:rsid w:val="00145FF6"/>
    <w:rsid w:val="001463EC"/>
    <w:rsid w:val="0014658F"/>
    <w:rsid w:val="001465A9"/>
    <w:rsid w:val="001465FC"/>
    <w:rsid w:val="0014662F"/>
    <w:rsid w:val="00146775"/>
    <w:rsid w:val="001467AA"/>
    <w:rsid w:val="00146919"/>
    <w:rsid w:val="00146C4B"/>
    <w:rsid w:val="00146C80"/>
    <w:rsid w:val="00146D1C"/>
    <w:rsid w:val="00146D49"/>
    <w:rsid w:val="00146DB4"/>
    <w:rsid w:val="00146DEA"/>
    <w:rsid w:val="00146E1D"/>
    <w:rsid w:val="00146E8D"/>
    <w:rsid w:val="00146E9B"/>
    <w:rsid w:val="00147017"/>
    <w:rsid w:val="00147085"/>
    <w:rsid w:val="0014709C"/>
    <w:rsid w:val="001470DB"/>
    <w:rsid w:val="00147478"/>
    <w:rsid w:val="001474A5"/>
    <w:rsid w:val="001474C2"/>
    <w:rsid w:val="0014763C"/>
    <w:rsid w:val="00147667"/>
    <w:rsid w:val="00147A68"/>
    <w:rsid w:val="00147E6D"/>
    <w:rsid w:val="00147F27"/>
    <w:rsid w:val="00147F4F"/>
    <w:rsid w:val="00150173"/>
    <w:rsid w:val="001505F4"/>
    <w:rsid w:val="001507F0"/>
    <w:rsid w:val="00150897"/>
    <w:rsid w:val="00150AE8"/>
    <w:rsid w:val="00150EE7"/>
    <w:rsid w:val="0015110A"/>
    <w:rsid w:val="00151482"/>
    <w:rsid w:val="0015172D"/>
    <w:rsid w:val="001517DF"/>
    <w:rsid w:val="001519AD"/>
    <w:rsid w:val="00151D2B"/>
    <w:rsid w:val="00151DB9"/>
    <w:rsid w:val="001520AE"/>
    <w:rsid w:val="00152124"/>
    <w:rsid w:val="00152207"/>
    <w:rsid w:val="0015236E"/>
    <w:rsid w:val="001523D6"/>
    <w:rsid w:val="001526FC"/>
    <w:rsid w:val="00152816"/>
    <w:rsid w:val="00152970"/>
    <w:rsid w:val="001529D4"/>
    <w:rsid w:val="00152A99"/>
    <w:rsid w:val="00152EF5"/>
    <w:rsid w:val="0015307E"/>
    <w:rsid w:val="001535D0"/>
    <w:rsid w:val="001535EB"/>
    <w:rsid w:val="00153AD7"/>
    <w:rsid w:val="00153B68"/>
    <w:rsid w:val="00153BDA"/>
    <w:rsid w:val="00153C5E"/>
    <w:rsid w:val="00153D97"/>
    <w:rsid w:val="00153E13"/>
    <w:rsid w:val="00154246"/>
    <w:rsid w:val="0015437D"/>
    <w:rsid w:val="001546A3"/>
    <w:rsid w:val="0015484A"/>
    <w:rsid w:val="001549E1"/>
    <w:rsid w:val="00154A35"/>
    <w:rsid w:val="00154A8B"/>
    <w:rsid w:val="00154D28"/>
    <w:rsid w:val="001550B8"/>
    <w:rsid w:val="00155183"/>
    <w:rsid w:val="00155197"/>
    <w:rsid w:val="00155276"/>
    <w:rsid w:val="0015549C"/>
    <w:rsid w:val="001554BC"/>
    <w:rsid w:val="001554FA"/>
    <w:rsid w:val="0015553B"/>
    <w:rsid w:val="0015557F"/>
    <w:rsid w:val="001556B7"/>
    <w:rsid w:val="00155833"/>
    <w:rsid w:val="00155BE3"/>
    <w:rsid w:val="00155E97"/>
    <w:rsid w:val="00155FAA"/>
    <w:rsid w:val="001562CF"/>
    <w:rsid w:val="001563EB"/>
    <w:rsid w:val="00156A15"/>
    <w:rsid w:val="00156AD6"/>
    <w:rsid w:val="00156BFD"/>
    <w:rsid w:val="00156C93"/>
    <w:rsid w:val="00156FDA"/>
    <w:rsid w:val="0015731C"/>
    <w:rsid w:val="00157454"/>
    <w:rsid w:val="0015760C"/>
    <w:rsid w:val="001577B8"/>
    <w:rsid w:val="0015786A"/>
    <w:rsid w:val="00157C50"/>
    <w:rsid w:val="00157DD3"/>
    <w:rsid w:val="00157E16"/>
    <w:rsid w:val="00157E81"/>
    <w:rsid w:val="00157EAD"/>
    <w:rsid w:val="00157ED8"/>
    <w:rsid w:val="00157FDD"/>
    <w:rsid w:val="0016002F"/>
    <w:rsid w:val="00160058"/>
    <w:rsid w:val="001600FD"/>
    <w:rsid w:val="001605FF"/>
    <w:rsid w:val="00160602"/>
    <w:rsid w:val="0016064D"/>
    <w:rsid w:val="0016070D"/>
    <w:rsid w:val="00160798"/>
    <w:rsid w:val="001608E0"/>
    <w:rsid w:val="0016092F"/>
    <w:rsid w:val="00160E12"/>
    <w:rsid w:val="00160FD5"/>
    <w:rsid w:val="00161174"/>
    <w:rsid w:val="001614CE"/>
    <w:rsid w:val="001615E2"/>
    <w:rsid w:val="00161BB5"/>
    <w:rsid w:val="00161CE5"/>
    <w:rsid w:val="00161CF8"/>
    <w:rsid w:val="00161D19"/>
    <w:rsid w:val="00161E78"/>
    <w:rsid w:val="00161F60"/>
    <w:rsid w:val="00162078"/>
    <w:rsid w:val="00162486"/>
    <w:rsid w:val="001625A8"/>
    <w:rsid w:val="001625E3"/>
    <w:rsid w:val="0016283E"/>
    <w:rsid w:val="00162878"/>
    <w:rsid w:val="00162AB0"/>
    <w:rsid w:val="00162C86"/>
    <w:rsid w:val="00162D17"/>
    <w:rsid w:val="00162EEB"/>
    <w:rsid w:val="00163377"/>
    <w:rsid w:val="001635D1"/>
    <w:rsid w:val="0016378E"/>
    <w:rsid w:val="00163847"/>
    <w:rsid w:val="00163984"/>
    <w:rsid w:val="001639C9"/>
    <w:rsid w:val="00163B75"/>
    <w:rsid w:val="00163D24"/>
    <w:rsid w:val="00163D31"/>
    <w:rsid w:val="00163D7C"/>
    <w:rsid w:val="00163D89"/>
    <w:rsid w:val="00164484"/>
    <w:rsid w:val="001644AD"/>
    <w:rsid w:val="001645F9"/>
    <w:rsid w:val="00164A43"/>
    <w:rsid w:val="00164AA3"/>
    <w:rsid w:val="00164B60"/>
    <w:rsid w:val="00164D8B"/>
    <w:rsid w:val="00164FCC"/>
    <w:rsid w:val="0016514D"/>
    <w:rsid w:val="0016525C"/>
    <w:rsid w:val="00165429"/>
    <w:rsid w:val="00165549"/>
    <w:rsid w:val="00165568"/>
    <w:rsid w:val="001656B4"/>
    <w:rsid w:val="001657C8"/>
    <w:rsid w:val="0016584E"/>
    <w:rsid w:val="00165C2C"/>
    <w:rsid w:val="00165E44"/>
    <w:rsid w:val="00165F36"/>
    <w:rsid w:val="00166078"/>
    <w:rsid w:val="001660D7"/>
    <w:rsid w:val="0016625E"/>
    <w:rsid w:val="00166349"/>
    <w:rsid w:val="001663ED"/>
    <w:rsid w:val="0016648D"/>
    <w:rsid w:val="00166520"/>
    <w:rsid w:val="0016672F"/>
    <w:rsid w:val="00166947"/>
    <w:rsid w:val="001669FD"/>
    <w:rsid w:val="00166B46"/>
    <w:rsid w:val="00166B64"/>
    <w:rsid w:val="00166CEB"/>
    <w:rsid w:val="0016713D"/>
    <w:rsid w:val="0016721D"/>
    <w:rsid w:val="00167313"/>
    <w:rsid w:val="00167475"/>
    <w:rsid w:val="001677DB"/>
    <w:rsid w:val="0016783D"/>
    <w:rsid w:val="00167EBE"/>
    <w:rsid w:val="00167EEB"/>
    <w:rsid w:val="001701CD"/>
    <w:rsid w:val="0017021C"/>
    <w:rsid w:val="001702DA"/>
    <w:rsid w:val="001702E9"/>
    <w:rsid w:val="0017075F"/>
    <w:rsid w:val="0017088D"/>
    <w:rsid w:val="00170B00"/>
    <w:rsid w:val="00170B60"/>
    <w:rsid w:val="00170D0D"/>
    <w:rsid w:val="00170E02"/>
    <w:rsid w:val="00170E53"/>
    <w:rsid w:val="00170F75"/>
    <w:rsid w:val="0017117F"/>
    <w:rsid w:val="001715BF"/>
    <w:rsid w:val="00171616"/>
    <w:rsid w:val="00171AB5"/>
    <w:rsid w:val="00171B55"/>
    <w:rsid w:val="00171B9B"/>
    <w:rsid w:val="0017210C"/>
    <w:rsid w:val="0017228E"/>
    <w:rsid w:val="001722BA"/>
    <w:rsid w:val="001723A2"/>
    <w:rsid w:val="00172525"/>
    <w:rsid w:val="00172541"/>
    <w:rsid w:val="0017263C"/>
    <w:rsid w:val="001727DD"/>
    <w:rsid w:val="0017295E"/>
    <w:rsid w:val="001738A8"/>
    <w:rsid w:val="001738AE"/>
    <w:rsid w:val="00173A51"/>
    <w:rsid w:val="00173C68"/>
    <w:rsid w:val="00173D57"/>
    <w:rsid w:val="00173EE9"/>
    <w:rsid w:val="00173F54"/>
    <w:rsid w:val="00173F60"/>
    <w:rsid w:val="001740DC"/>
    <w:rsid w:val="00174316"/>
    <w:rsid w:val="00174488"/>
    <w:rsid w:val="0017469E"/>
    <w:rsid w:val="00174721"/>
    <w:rsid w:val="00174909"/>
    <w:rsid w:val="001749CF"/>
    <w:rsid w:val="00174B38"/>
    <w:rsid w:val="00174CEE"/>
    <w:rsid w:val="00174D84"/>
    <w:rsid w:val="00174EB6"/>
    <w:rsid w:val="0017537F"/>
    <w:rsid w:val="001754A4"/>
    <w:rsid w:val="00175662"/>
    <w:rsid w:val="001757D3"/>
    <w:rsid w:val="00175881"/>
    <w:rsid w:val="001758EA"/>
    <w:rsid w:val="00175A29"/>
    <w:rsid w:val="00175A49"/>
    <w:rsid w:val="00175AB1"/>
    <w:rsid w:val="00175DD5"/>
    <w:rsid w:val="00175F9E"/>
    <w:rsid w:val="00176167"/>
    <w:rsid w:val="001761A9"/>
    <w:rsid w:val="00176288"/>
    <w:rsid w:val="00176337"/>
    <w:rsid w:val="00176477"/>
    <w:rsid w:val="001765E2"/>
    <w:rsid w:val="00176915"/>
    <w:rsid w:val="00176923"/>
    <w:rsid w:val="00176A3E"/>
    <w:rsid w:val="00176C48"/>
    <w:rsid w:val="00176D4A"/>
    <w:rsid w:val="00176F7D"/>
    <w:rsid w:val="00177070"/>
    <w:rsid w:val="001771C9"/>
    <w:rsid w:val="001777AC"/>
    <w:rsid w:val="00177829"/>
    <w:rsid w:val="00177902"/>
    <w:rsid w:val="00177A98"/>
    <w:rsid w:val="00177F20"/>
    <w:rsid w:val="0018030C"/>
    <w:rsid w:val="00180363"/>
    <w:rsid w:val="00180599"/>
    <w:rsid w:val="00180681"/>
    <w:rsid w:val="00180767"/>
    <w:rsid w:val="00180B1B"/>
    <w:rsid w:val="00180B6A"/>
    <w:rsid w:val="00180D44"/>
    <w:rsid w:val="00180E62"/>
    <w:rsid w:val="001812DB"/>
    <w:rsid w:val="0018130B"/>
    <w:rsid w:val="00181362"/>
    <w:rsid w:val="0018138F"/>
    <w:rsid w:val="001813A0"/>
    <w:rsid w:val="0018146A"/>
    <w:rsid w:val="0018154E"/>
    <w:rsid w:val="00181593"/>
    <w:rsid w:val="001815E7"/>
    <w:rsid w:val="0018168E"/>
    <w:rsid w:val="00181795"/>
    <w:rsid w:val="0018197E"/>
    <w:rsid w:val="00181AC7"/>
    <w:rsid w:val="00181B8E"/>
    <w:rsid w:val="00181BB4"/>
    <w:rsid w:val="00181C5C"/>
    <w:rsid w:val="00181C98"/>
    <w:rsid w:val="00181CD4"/>
    <w:rsid w:val="00181CDE"/>
    <w:rsid w:val="00181EBC"/>
    <w:rsid w:val="00181FA6"/>
    <w:rsid w:val="00181FEA"/>
    <w:rsid w:val="00182382"/>
    <w:rsid w:val="001824CB"/>
    <w:rsid w:val="00182A70"/>
    <w:rsid w:val="00182A91"/>
    <w:rsid w:val="00182D4A"/>
    <w:rsid w:val="00182DC3"/>
    <w:rsid w:val="0018321E"/>
    <w:rsid w:val="001837DD"/>
    <w:rsid w:val="00183945"/>
    <w:rsid w:val="00183AC9"/>
    <w:rsid w:val="00183B41"/>
    <w:rsid w:val="00183C31"/>
    <w:rsid w:val="00183E15"/>
    <w:rsid w:val="00183EB6"/>
    <w:rsid w:val="00183F06"/>
    <w:rsid w:val="0018427F"/>
    <w:rsid w:val="001844CA"/>
    <w:rsid w:val="001847F8"/>
    <w:rsid w:val="00184829"/>
    <w:rsid w:val="001848E5"/>
    <w:rsid w:val="00184998"/>
    <w:rsid w:val="00184ACD"/>
    <w:rsid w:val="00184B64"/>
    <w:rsid w:val="0018500A"/>
    <w:rsid w:val="001852AF"/>
    <w:rsid w:val="00185361"/>
    <w:rsid w:val="00185427"/>
    <w:rsid w:val="0018553F"/>
    <w:rsid w:val="0018580D"/>
    <w:rsid w:val="00185895"/>
    <w:rsid w:val="001859D1"/>
    <w:rsid w:val="00185A83"/>
    <w:rsid w:val="00185BFB"/>
    <w:rsid w:val="00185E8F"/>
    <w:rsid w:val="00185F9B"/>
    <w:rsid w:val="00185FDE"/>
    <w:rsid w:val="001861E8"/>
    <w:rsid w:val="0018633E"/>
    <w:rsid w:val="001864F7"/>
    <w:rsid w:val="001865A5"/>
    <w:rsid w:val="00186607"/>
    <w:rsid w:val="00186610"/>
    <w:rsid w:val="0018673F"/>
    <w:rsid w:val="001868CE"/>
    <w:rsid w:val="001868E2"/>
    <w:rsid w:val="00186A9F"/>
    <w:rsid w:val="00186B17"/>
    <w:rsid w:val="00186C8F"/>
    <w:rsid w:val="00186E84"/>
    <w:rsid w:val="0018701C"/>
    <w:rsid w:val="001871FF"/>
    <w:rsid w:val="00187207"/>
    <w:rsid w:val="00187623"/>
    <w:rsid w:val="00187B72"/>
    <w:rsid w:val="00187B8D"/>
    <w:rsid w:val="001901BB"/>
    <w:rsid w:val="00190208"/>
    <w:rsid w:val="0019024B"/>
    <w:rsid w:val="00190254"/>
    <w:rsid w:val="00190475"/>
    <w:rsid w:val="00190510"/>
    <w:rsid w:val="00190693"/>
    <w:rsid w:val="0019073C"/>
    <w:rsid w:val="001909D5"/>
    <w:rsid w:val="00190B20"/>
    <w:rsid w:val="00190BF5"/>
    <w:rsid w:val="00190ED1"/>
    <w:rsid w:val="00191021"/>
    <w:rsid w:val="00191095"/>
    <w:rsid w:val="00191501"/>
    <w:rsid w:val="0019180D"/>
    <w:rsid w:val="00191915"/>
    <w:rsid w:val="00191AF1"/>
    <w:rsid w:val="00191BE6"/>
    <w:rsid w:val="00191E07"/>
    <w:rsid w:val="00191E68"/>
    <w:rsid w:val="00192304"/>
    <w:rsid w:val="00192535"/>
    <w:rsid w:val="001925A9"/>
    <w:rsid w:val="00192794"/>
    <w:rsid w:val="00192993"/>
    <w:rsid w:val="00192B10"/>
    <w:rsid w:val="00192BA9"/>
    <w:rsid w:val="00192C87"/>
    <w:rsid w:val="00192CED"/>
    <w:rsid w:val="00192D7E"/>
    <w:rsid w:val="00192FDB"/>
    <w:rsid w:val="00192FED"/>
    <w:rsid w:val="0019301F"/>
    <w:rsid w:val="00193034"/>
    <w:rsid w:val="0019304C"/>
    <w:rsid w:val="00193174"/>
    <w:rsid w:val="00193633"/>
    <w:rsid w:val="00193718"/>
    <w:rsid w:val="00193BE9"/>
    <w:rsid w:val="00193CD2"/>
    <w:rsid w:val="00193CEF"/>
    <w:rsid w:val="0019410E"/>
    <w:rsid w:val="00194275"/>
    <w:rsid w:val="001942FE"/>
    <w:rsid w:val="00194358"/>
    <w:rsid w:val="00194500"/>
    <w:rsid w:val="00194541"/>
    <w:rsid w:val="00194799"/>
    <w:rsid w:val="001948AB"/>
    <w:rsid w:val="001949F4"/>
    <w:rsid w:val="00194B56"/>
    <w:rsid w:val="00194BE6"/>
    <w:rsid w:val="00194D6F"/>
    <w:rsid w:val="00194DDE"/>
    <w:rsid w:val="00195091"/>
    <w:rsid w:val="001950F2"/>
    <w:rsid w:val="0019511E"/>
    <w:rsid w:val="00195124"/>
    <w:rsid w:val="00195626"/>
    <w:rsid w:val="00195963"/>
    <w:rsid w:val="001959C3"/>
    <w:rsid w:val="00195A91"/>
    <w:rsid w:val="00195E70"/>
    <w:rsid w:val="00195EB0"/>
    <w:rsid w:val="00195F57"/>
    <w:rsid w:val="00196064"/>
    <w:rsid w:val="00196084"/>
    <w:rsid w:val="001961E9"/>
    <w:rsid w:val="00196314"/>
    <w:rsid w:val="00196383"/>
    <w:rsid w:val="001964AE"/>
    <w:rsid w:val="00196B49"/>
    <w:rsid w:val="00196F3D"/>
    <w:rsid w:val="00196F4E"/>
    <w:rsid w:val="00196FFC"/>
    <w:rsid w:val="0019726C"/>
    <w:rsid w:val="00197383"/>
    <w:rsid w:val="00197483"/>
    <w:rsid w:val="0019758E"/>
    <w:rsid w:val="001978D9"/>
    <w:rsid w:val="00197928"/>
    <w:rsid w:val="0019792A"/>
    <w:rsid w:val="00197C4F"/>
    <w:rsid w:val="00197C52"/>
    <w:rsid w:val="00197D40"/>
    <w:rsid w:val="00197E43"/>
    <w:rsid w:val="00197E5D"/>
    <w:rsid w:val="001A0007"/>
    <w:rsid w:val="001A01BE"/>
    <w:rsid w:val="001A02C2"/>
    <w:rsid w:val="001A0412"/>
    <w:rsid w:val="001A0486"/>
    <w:rsid w:val="001A059F"/>
    <w:rsid w:val="001A07F9"/>
    <w:rsid w:val="001A0814"/>
    <w:rsid w:val="001A0999"/>
    <w:rsid w:val="001A09E9"/>
    <w:rsid w:val="001A0A69"/>
    <w:rsid w:val="001A0BAE"/>
    <w:rsid w:val="001A0E9C"/>
    <w:rsid w:val="001A1076"/>
    <w:rsid w:val="001A10C0"/>
    <w:rsid w:val="001A11AF"/>
    <w:rsid w:val="001A125E"/>
    <w:rsid w:val="001A134B"/>
    <w:rsid w:val="001A13BD"/>
    <w:rsid w:val="001A1462"/>
    <w:rsid w:val="001A1489"/>
    <w:rsid w:val="001A1581"/>
    <w:rsid w:val="001A1744"/>
    <w:rsid w:val="001A1800"/>
    <w:rsid w:val="001A1A05"/>
    <w:rsid w:val="001A1A0B"/>
    <w:rsid w:val="001A1A5C"/>
    <w:rsid w:val="001A1E13"/>
    <w:rsid w:val="001A2082"/>
    <w:rsid w:val="001A210A"/>
    <w:rsid w:val="001A21CB"/>
    <w:rsid w:val="001A23A3"/>
    <w:rsid w:val="001A23AE"/>
    <w:rsid w:val="001A2427"/>
    <w:rsid w:val="001A2546"/>
    <w:rsid w:val="001A2556"/>
    <w:rsid w:val="001A2E10"/>
    <w:rsid w:val="001A3091"/>
    <w:rsid w:val="001A3326"/>
    <w:rsid w:val="001A3A58"/>
    <w:rsid w:val="001A3BE6"/>
    <w:rsid w:val="001A3D37"/>
    <w:rsid w:val="001A433C"/>
    <w:rsid w:val="001A463E"/>
    <w:rsid w:val="001A4679"/>
    <w:rsid w:val="001A4BB9"/>
    <w:rsid w:val="001A4BE2"/>
    <w:rsid w:val="001A5242"/>
    <w:rsid w:val="001A5348"/>
    <w:rsid w:val="001A5433"/>
    <w:rsid w:val="001A5559"/>
    <w:rsid w:val="001A5618"/>
    <w:rsid w:val="001A5647"/>
    <w:rsid w:val="001A566D"/>
    <w:rsid w:val="001A5796"/>
    <w:rsid w:val="001A58EA"/>
    <w:rsid w:val="001A597D"/>
    <w:rsid w:val="001A5A3F"/>
    <w:rsid w:val="001A5F6A"/>
    <w:rsid w:val="001A5FE6"/>
    <w:rsid w:val="001A623F"/>
    <w:rsid w:val="001A62E5"/>
    <w:rsid w:val="001A62F1"/>
    <w:rsid w:val="001A631E"/>
    <w:rsid w:val="001A6498"/>
    <w:rsid w:val="001A6514"/>
    <w:rsid w:val="001A66D0"/>
    <w:rsid w:val="001A6AE5"/>
    <w:rsid w:val="001A6B1D"/>
    <w:rsid w:val="001A6C14"/>
    <w:rsid w:val="001A6C28"/>
    <w:rsid w:val="001A6DAE"/>
    <w:rsid w:val="001A6F1E"/>
    <w:rsid w:val="001A6F22"/>
    <w:rsid w:val="001A71DF"/>
    <w:rsid w:val="001A72CD"/>
    <w:rsid w:val="001A73B7"/>
    <w:rsid w:val="001A73DB"/>
    <w:rsid w:val="001A7609"/>
    <w:rsid w:val="001A7845"/>
    <w:rsid w:val="001A7AB4"/>
    <w:rsid w:val="001A7B2C"/>
    <w:rsid w:val="001A7C22"/>
    <w:rsid w:val="001A7F96"/>
    <w:rsid w:val="001B00A9"/>
    <w:rsid w:val="001B02C5"/>
    <w:rsid w:val="001B0311"/>
    <w:rsid w:val="001B0651"/>
    <w:rsid w:val="001B07CE"/>
    <w:rsid w:val="001B0847"/>
    <w:rsid w:val="001B0976"/>
    <w:rsid w:val="001B0981"/>
    <w:rsid w:val="001B09DE"/>
    <w:rsid w:val="001B0A2D"/>
    <w:rsid w:val="001B0A4F"/>
    <w:rsid w:val="001B0AB3"/>
    <w:rsid w:val="001B0C52"/>
    <w:rsid w:val="001B0DA8"/>
    <w:rsid w:val="001B1178"/>
    <w:rsid w:val="001B1366"/>
    <w:rsid w:val="001B13D3"/>
    <w:rsid w:val="001B1450"/>
    <w:rsid w:val="001B15B6"/>
    <w:rsid w:val="001B18CC"/>
    <w:rsid w:val="001B1952"/>
    <w:rsid w:val="001B195E"/>
    <w:rsid w:val="001B19EE"/>
    <w:rsid w:val="001B1CDA"/>
    <w:rsid w:val="001B1D29"/>
    <w:rsid w:val="001B2585"/>
    <w:rsid w:val="001B2816"/>
    <w:rsid w:val="001B2890"/>
    <w:rsid w:val="001B29A4"/>
    <w:rsid w:val="001B2AD3"/>
    <w:rsid w:val="001B2B72"/>
    <w:rsid w:val="001B2BE8"/>
    <w:rsid w:val="001B2C6D"/>
    <w:rsid w:val="001B2E23"/>
    <w:rsid w:val="001B2F0A"/>
    <w:rsid w:val="001B30CE"/>
    <w:rsid w:val="001B3163"/>
    <w:rsid w:val="001B31E5"/>
    <w:rsid w:val="001B3258"/>
    <w:rsid w:val="001B32B7"/>
    <w:rsid w:val="001B334B"/>
    <w:rsid w:val="001B366D"/>
    <w:rsid w:val="001B39A4"/>
    <w:rsid w:val="001B3BFB"/>
    <w:rsid w:val="001B3C70"/>
    <w:rsid w:val="001B3DF5"/>
    <w:rsid w:val="001B43E1"/>
    <w:rsid w:val="001B49D1"/>
    <w:rsid w:val="001B4BB2"/>
    <w:rsid w:val="001B4D9E"/>
    <w:rsid w:val="001B4EC7"/>
    <w:rsid w:val="001B4EE7"/>
    <w:rsid w:val="001B4F2D"/>
    <w:rsid w:val="001B504D"/>
    <w:rsid w:val="001B505F"/>
    <w:rsid w:val="001B51AC"/>
    <w:rsid w:val="001B51EB"/>
    <w:rsid w:val="001B524B"/>
    <w:rsid w:val="001B52D3"/>
    <w:rsid w:val="001B5555"/>
    <w:rsid w:val="001B5655"/>
    <w:rsid w:val="001B56D3"/>
    <w:rsid w:val="001B58B1"/>
    <w:rsid w:val="001B5925"/>
    <w:rsid w:val="001B593C"/>
    <w:rsid w:val="001B598A"/>
    <w:rsid w:val="001B5B10"/>
    <w:rsid w:val="001B5B5D"/>
    <w:rsid w:val="001B6052"/>
    <w:rsid w:val="001B60A8"/>
    <w:rsid w:val="001B6268"/>
    <w:rsid w:val="001B63D7"/>
    <w:rsid w:val="001B644A"/>
    <w:rsid w:val="001B66E6"/>
    <w:rsid w:val="001B693E"/>
    <w:rsid w:val="001B6960"/>
    <w:rsid w:val="001B6B44"/>
    <w:rsid w:val="001B6D08"/>
    <w:rsid w:val="001B6F69"/>
    <w:rsid w:val="001B7140"/>
    <w:rsid w:val="001B71DE"/>
    <w:rsid w:val="001B73F6"/>
    <w:rsid w:val="001B7535"/>
    <w:rsid w:val="001B7569"/>
    <w:rsid w:val="001B76F1"/>
    <w:rsid w:val="001B77AA"/>
    <w:rsid w:val="001B7817"/>
    <w:rsid w:val="001B7AF5"/>
    <w:rsid w:val="001B7BD3"/>
    <w:rsid w:val="001C0038"/>
    <w:rsid w:val="001C076F"/>
    <w:rsid w:val="001C0896"/>
    <w:rsid w:val="001C0B24"/>
    <w:rsid w:val="001C0D18"/>
    <w:rsid w:val="001C0D75"/>
    <w:rsid w:val="001C0F1D"/>
    <w:rsid w:val="001C13A8"/>
    <w:rsid w:val="001C13FD"/>
    <w:rsid w:val="001C15B1"/>
    <w:rsid w:val="001C1BA0"/>
    <w:rsid w:val="001C1C6F"/>
    <w:rsid w:val="001C1E33"/>
    <w:rsid w:val="001C1EC5"/>
    <w:rsid w:val="001C21F6"/>
    <w:rsid w:val="001C2223"/>
    <w:rsid w:val="001C2232"/>
    <w:rsid w:val="001C28C4"/>
    <w:rsid w:val="001C2D1C"/>
    <w:rsid w:val="001C2EFB"/>
    <w:rsid w:val="001C2EFF"/>
    <w:rsid w:val="001C3221"/>
    <w:rsid w:val="001C327C"/>
    <w:rsid w:val="001C32B1"/>
    <w:rsid w:val="001C32B6"/>
    <w:rsid w:val="001C355A"/>
    <w:rsid w:val="001C3719"/>
    <w:rsid w:val="001C383E"/>
    <w:rsid w:val="001C3A27"/>
    <w:rsid w:val="001C3AA7"/>
    <w:rsid w:val="001C3B08"/>
    <w:rsid w:val="001C3C96"/>
    <w:rsid w:val="001C4037"/>
    <w:rsid w:val="001C40AC"/>
    <w:rsid w:val="001C419A"/>
    <w:rsid w:val="001C4338"/>
    <w:rsid w:val="001C4339"/>
    <w:rsid w:val="001C4341"/>
    <w:rsid w:val="001C43FE"/>
    <w:rsid w:val="001C452F"/>
    <w:rsid w:val="001C4822"/>
    <w:rsid w:val="001C4940"/>
    <w:rsid w:val="001C4B15"/>
    <w:rsid w:val="001C4B34"/>
    <w:rsid w:val="001C4E98"/>
    <w:rsid w:val="001C4EE3"/>
    <w:rsid w:val="001C4F16"/>
    <w:rsid w:val="001C4FB0"/>
    <w:rsid w:val="001C529B"/>
    <w:rsid w:val="001C52BB"/>
    <w:rsid w:val="001C52CA"/>
    <w:rsid w:val="001C542A"/>
    <w:rsid w:val="001C54CD"/>
    <w:rsid w:val="001C55BA"/>
    <w:rsid w:val="001C55DC"/>
    <w:rsid w:val="001C5606"/>
    <w:rsid w:val="001C57E4"/>
    <w:rsid w:val="001C58D7"/>
    <w:rsid w:val="001C5B8D"/>
    <w:rsid w:val="001C5BD5"/>
    <w:rsid w:val="001C5BF5"/>
    <w:rsid w:val="001C5EA9"/>
    <w:rsid w:val="001C5EB7"/>
    <w:rsid w:val="001C61BF"/>
    <w:rsid w:val="001C61FD"/>
    <w:rsid w:val="001C631B"/>
    <w:rsid w:val="001C6390"/>
    <w:rsid w:val="001C6450"/>
    <w:rsid w:val="001C6562"/>
    <w:rsid w:val="001C65CD"/>
    <w:rsid w:val="001C67C9"/>
    <w:rsid w:val="001C685A"/>
    <w:rsid w:val="001C69F0"/>
    <w:rsid w:val="001C69FA"/>
    <w:rsid w:val="001C6D86"/>
    <w:rsid w:val="001C7109"/>
    <w:rsid w:val="001C7206"/>
    <w:rsid w:val="001C78AE"/>
    <w:rsid w:val="001C7915"/>
    <w:rsid w:val="001C7971"/>
    <w:rsid w:val="001C7B69"/>
    <w:rsid w:val="001C7C49"/>
    <w:rsid w:val="001C7D13"/>
    <w:rsid w:val="001C7EF7"/>
    <w:rsid w:val="001D0284"/>
    <w:rsid w:val="001D0417"/>
    <w:rsid w:val="001D04A1"/>
    <w:rsid w:val="001D07CF"/>
    <w:rsid w:val="001D09A0"/>
    <w:rsid w:val="001D09D7"/>
    <w:rsid w:val="001D0A78"/>
    <w:rsid w:val="001D0CB5"/>
    <w:rsid w:val="001D0ECD"/>
    <w:rsid w:val="001D0F2B"/>
    <w:rsid w:val="001D136D"/>
    <w:rsid w:val="001D13E7"/>
    <w:rsid w:val="001D14BC"/>
    <w:rsid w:val="001D15ED"/>
    <w:rsid w:val="001D175B"/>
    <w:rsid w:val="001D1826"/>
    <w:rsid w:val="001D184A"/>
    <w:rsid w:val="001D1901"/>
    <w:rsid w:val="001D19BF"/>
    <w:rsid w:val="001D1B55"/>
    <w:rsid w:val="001D1CCD"/>
    <w:rsid w:val="001D23C8"/>
    <w:rsid w:val="001D2579"/>
    <w:rsid w:val="001D25B0"/>
    <w:rsid w:val="001D290B"/>
    <w:rsid w:val="001D2B94"/>
    <w:rsid w:val="001D2F0C"/>
    <w:rsid w:val="001D3215"/>
    <w:rsid w:val="001D3236"/>
    <w:rsid w:val="001D3553"/>
    <w:rsid w:val="001D358A"/>
    <w:rsid w:val="001D35FA"/>
    <w:rsid w:val="001D3722"/>
    <w:rsid w:val="001D38BD"/>
    <w:rsid w:val="001D390A"/>
    <w:rsid w:val="001D3917"/>
    <w:rsid w:val="001D398C"/>
    <w:rsid w:val="001D3D36"/>
    <w:rsid w:val="001D3E9B"/>
    <w:rsid w:val="001D40BB"/>
    <w:rsid w:val="001D48E0"/>
    <w:rsid w:val="001D49A9"/>
    <w:rsid w:val="001D4B45"/>
    <w:rsid w:val="001D4D60"/>
    <w:rsid w:val="001D4D65"/>
    <w:rsid w:val="001D4D71"/>
    <w:rsid w:val="001D4F24"/>
    <w:rsid w:val="001D5292"/>
    <w:rsid w:val="001D57B4"/>
    <w:rsid w:val="001D59E5"/>
    <w:rsid w:val="001D5A64"/>
    <w:rsid w:val="001D5E02"/>
    <w:rsid w:val="001D5E76"/>
    <w:rsid w:val="001D6202"/>
    <w:rsid w:val="001D62D0"/>
    <w:rsid w:val="001D62F9"/>
    <w:rsid w:val="001D634A"/>
    <w:rsid w:val="001D6516"/>
    <w:rsid w:val="001D66F6"/>
    <w:rsid w:val="001D6802"/>
    <w:rsid w:val="001D6839"/>
    <w:rsid w:val="001D6B50"/>
    <w:rsid w:val="001D6C71"/>
    <w:rsid w:val="001D6C92"/>
    <w:rsid w:val="001D6CAD"/>
    <w:rsid w:val="001D6DB1"/>
    <w:rsid w:val="001D6E6A"/>
    <w:rsid w:val="001D6FFC"/>
    <w:rsid w:val="001D7105"/>
    <w:rsid w:val="001D7377"/>
    <w:rsid w:val="001D741D"/>
    <w:rsid w:val="001D74BA"/>
    <w:rsid w:val="001D76E8"/>
    <w:rsid w:val="001D7A40"/>
    <w:rsid w:val="001D7A80"/>
    <w:rsid w:val="001D7B2B"/>
    <w:rsid w:val="001D7CDC"/>
    <w:rsid w:val="001D7F47"/>
    <w:rsid w:val="001E0070"/>
    <w:rsid w:val="001E03FF"/>
    <w:rsid w:val="001E0647"/>
    <w:rsid w:val="001E068D"/>
    <w:rsid w:val="001E0695"/>
    <w:rsid w:val="001E07AB"/>
    <w:rsid w:val="001E07DA"/>
    <w:rsid w:val="001E0899"/>
    <w:rsid w:val="001E0AF3"/>
    <w:rsid w:val="001E10FD"/>
    <w:rsid w:val="001E115A"/>
    <w:rsid w:val="001E116A"/>
    <w:rsid w:val="001E128C"/>
    <w:rsid w:val="001E1488"/>
    <w:rsid w:val="001E14B2"/>
    <w:rsid w:val="001E14C4"/>
    <w:rsid w:val="001E1607"/>
    <w:rsid w:val="001E162D"/>
    <w:rsid w:val="001E1773"/>
    <w:rsid w:val="001E1846"/>
    <w:rsid w:val="001E18B3"/>
    <w:rsid w:val="001E1BD9"/>
    <w:rsid w:val="001E1CA5"/>
    <w:rsid w:val="001E1E0C"/>
    <w:rsid w:val="001E1F9D"/>
    <w:rsid w:val="001E1FB2"/>
    <w:rsid w:val="001E2000"/>
    <w:rsid w:val="001E20F7"/>
    <w:rsid w:val="001E2691"/>
    <w:rsid w:val="001E2811"/>
    <w:rsid w:val="001E284F"/>
    <w:rsid w:val="001E2AFA"/>
    <w:rsid w:val="001E2ECE"/>
    <w:rsid w:val="001E2FA8"/>
    <w:rsid w:val="001E32B3"/>
    <w:rsid w:val="001E332D"/>
    <w:rsid w:val="001E383C"/>
    <w:rsid w:val="001E39D5"/>
    <w:rsid w:val="001E3DB8"/>
    <w:rsid w:val="001E3DF1"/>
    <w:rsid w:val="001E427C"/>
    <w:rsid w:val="001E433A"/>
    <w:rsid w:val="001E441A"/>
    <w:rsid w:val="001E467B"/>
    <w:rsid w:val="001E49B7"/>
    <w:rsid w:val="001E49E2"/>
    <w:rsid w:val="001E4AC7"/>
    <w:rsid w:val="001E4BB9"/>
    <w:rsid w:val="001E4DE5"/>
    <w:rsid w:val="001E4F60"/>
    <w:rsid w:val="001E4FE0"/>
    <w:rsid w:val="001E52F9"/>
    <w:rsid w:val="001E538D"/>
    <w:rsid w:val="001E55E8"/>
    <w:rsid w:val="001E5603"/>
    <w:rsid w:val="001E563A"/>
    <w:rsid w:val="001E5744"/>
    <w:rsid w:val="001E57C5"/>
    <w:rsid w:val="001E582F"/>
    <w:rsid w:val="001E5A68"/>
    <w:rsid w:val="001E5B1D"/>
    <w:rsid w:val="001E5B72"/>
    <w:rsid w:val="001E5D6C"/>
    <w:rsid w:val="001E5DF4"/>
    <w:rsid w:val="001E5DF7"/>
    <w:rsid w:val="001E5E9E"/>
    <w:rsid w:val="001E5F40"/>
    <w:rsid w:val="001E602A"/>
    <w:rsid w:val="001E62BF"/>
    <w:rsid w:val="001E649D"/>
    <w:rsid w:val="001E6516"/>
    <w:rsid w:val="001E6784"/>
    <w:rsid w:val="001E67B7"/>
    <w:rsid w:val="001E680D"/>
    <w:rsid w:val="001E6A74"/>
    <w:rsid w:val="001E6B2A"/>
    <w:rsid w:val="001E6D45"/>
    <w:rsid w:val="001E713F"/>
    <w:rsid w:val="001E7354"/>
    <w:rsid w:val="001E761A"/>
    <w:rsid w:val="001E7757"/>
    <w:rsid w:val="001E7826"/>
    <w:rsid w:val="001E7871"/>
    <w:rsid w:val="001E78B1"/>
    <w:rsid w:val="001E7AED"/>
    <w:rsid w:val="001E7B59"/>
    <w:rsid w:val="001E7CEF"/>
    <w:rsid w:val="001E7E78"/>
    <w:rsid w:val="001E7FD1"/>
    <w:rsid w:val="001E7FEB"/>
    <w:rsid w:val="001F01B6"/>
    <w:rsid w:val="001F02E2"/>
    <w:rsid w:val="001F0317"/>
    <w:rsid w:val="001F040C"/>
    <w:rsid w:val="001F0528"/>
    <w:rsid w:val="001F056B"/>
    <w:rsid w:val="001F09C6"/>
    <w:rsid w:val="001F0A10"/>
    <w:rsid w:val="001F0A9C"/>
    <w:rsid w:val="001F0C48"/>
    <w:rsid w:val="001F0CA9"/>
    <w:rsid w:val="001F0EE4"/>
    <w:rsid w:val="001F0F7D"/>
    <w:rsid w:val="001F0FE4"/>
    <w:rsid w:val="001F1099"/>
    <w:rsid w:val="001F109A"/>
    <w:rsid w:val="001F10BC"/>
    <w:rsid w:val="001F1144"/>
    <w:rsid w:val="001F123A"/>
    <w:rsid w:val="001F1276"/>
    <w:rsid w:val="001F149F"/>
    <w:rsid w:val="001F15F6"/>
    <w:rsid w:val="001F1642"/>
    <w:rsid w:val="001F16BF"/>
    <w:rsid w:val="001F16EA"/>
    <w:rsid w:val="001F1864"/>
    <w:rsid w:val="001F1ABA"/>
    <w:rsid w:val="001F1BA4"/>
    <w:rsid w:val="001F1D1B"/>
    <w:rsid w:val="001F1D56"/>
    <w:rsid w:val="001F22B8"/>
    <w:rsid w:val="001F23BD"/>
    <w:rsid w:val="001F2B3D"/>
    <w:rsid w:val="001F2B9F"/>
    <w:rsid w:val="001F2C47"/>
    <w:rsid w:val="001F2F05"/>
    <w:rsid w:val="001F2FDD"/>
    <w:rsid w:val="001F31F8"/>
    <w:rsid w:val="001F3221"/>
    <w:rsid w:val="001F358C"/>
    <w:rsid w:val="001F35A1"/>
    <w:rsid w:val="001F3A50"/>
    <w:rsid w:val="001F3D3B"/>
    <w:rsid w:val="001F3EA8"/>
    <w:rsid w:val="001F3FB5"/>
    <w:rsid w:val="001F4174"/>
    <w:rsid w:val="001F41D0"/>
    <w:rsid w:val="001F42DC"/>
    <w:rsid w:val="001F4349"/>
    <w:rsid w:val="001F43F5"/>
    <w:rsid w:val="001F4580"/>
    <w:rsid w:val="001F46F7"/>
    <w:rsid w:val="001F4716"/>
    <w:rsid w:val="001F47A5"/>
    <w:rsid w:val="001F4998"/>
    <w:rsid w:val="001F4A4D"/>
    <w:rsid w:val="001F4A65"/>
    <w:rsid w:val="001F4B76"/>
    <w:rsid w:val="001F4B77"/>
    <w:rsid w:val="001F4BCC"/>
    <w:rsid w:val="001F4C68"/>
    <w:rsid w:val="001F4D63"/>
    <w:rsid w:val="001F4E12"/>
    <w:rsid w:val="001F530F"/>
    <w:rsid w:val="001F5347"/>
    <w:rsid w:val="001F540D"/>
    <w:rsid w:val="001F5498"/>
    <w:rsid w:val="001F54E9"/>
    <w:rsid w:val="001F5725"/>
    <w:rsid w:val="001F572D"/>
    <w:rsid w:val="001F573B"/>
    <w:rsid w:val="001F5B80"/>
    <w:rsid w:val="001F5CCD"/>
    <w:rsid w:val="001F5F33"/>
    <w:rsid w:val="001F60DB"/>
    <w:rsid w:val="001F6216"/>
    <w:rsid w:val="001F64FC"/>
    <w:rsid w:val="001F65DB"/>
    <w:rsid w:val="001F65F2"/>
    <w:rsid w:val="001F6A37"/>
    <w:rsid w:val="001F6D06"/>
    <w:rsid w:val="001F7088"/>
    <w:rsid w:val="001F713B"/>
    <w:rsid w:val="001F722D"/>
    <w:rsid w:val="001F7482"/>
    <w:rsid w:val="001F7499"/>
    <w:rsid w:val="001F749E"/>
    <w:rsid w:val="001F7A38"/>
    <w:rsid w:val="001F7A95"/>
    <w:rsid w:val="001F7AD7"/>
    <w:rsid w:val="001F7C20"/>
    <w:rsid w:val="001F7E46"/>
    <w:rsid w:val="001F7F45"/>
    <w:rsid w:val="00200110"/>
    <w:rsid w:val="002002AF"/>
    <w:rsid w:val="00200593"/>
    <w:rsid w:val="0020074D"/>
    <w:rsid w:val="002007C3"/>
    <w:rsid w:val="00200B0D"/>
    <w:rsid w:val="002010D8"/>
    <w:rsid w:val="00201187"/>
    <w:rsid w:val="0020122A"/>
    <w:rsid w:val="0020131B"/>
    <w:rsid w:val="0020136A"/>
    <w:rsid w:val="00201373"/>
    <w:rsid w:val="0020184C"/>
    <w:rsid w:val="00201904"/>
    <w:rsid w:val="002019CD"/>
    <w:rsid w:val="002019FD"/>
    <w:rsid w:val="00201A86"/>
    <w:rsid w:val="00201B82"/>
    <w:rsid w:val="00201D95"/>
    <w:rsid w:val="00201F33"/>
    <w:rsid w:val="00202081"/>
    <w:rsid w:val="002022F3"/>
    <w:rsid w:val="0020237E"/>
    <w:rsid w:val="00202479"/>
    <w:rsid w:val="00202644"/>
    <w:rsid w:val="002029C5"/>
    <w:rsid w:val="00202B3D"/>
    <w:rsid w:val="002031EE"/>
    <w:rsid w:val="0020320E"/>
    <w:rsid w:val="002032E0"/>
    <w:rsid w:val="002034D4"/>
    <w:rsid w:val="00203639"/>
    <w:rsid w:val="002036AD"/>
    <w:rsid w:val="002037D2"/>
    <w:rsid w:val="00203988"/>
    <w:rsid w:val="00203A5A"/>
    <w:rsid w:val="00203C74"/>
    <w:rsid w:val="00203DD1"/>
    <w:rsid w:val="00203DD9"/>
    <w:rsid w:val="00203F50"/>
    <w:rsid w:val="0020404B"/>
    <w:rsid w:val="002044AB"/>
    <w:rsid w:val="0020455F"/>
    <w:rsid w:val="002046B4"/>
    <w:rsid w:val="002048D6"/>
    <w:rsid w:val="00204B04"/>
    <w:rsid w:val="00204D07"/>
    <w:rsid w:val="00205033"/>
    <w:rsid w:val="002051CA"/>
    <w:rsid w:val="00205200"/>
    <w:rsid w:val="00205212"/>
    <w:rsid w:val="00205275"/>
    <w:rsid w:val="00205323"/>
    <w:rsid w:val="00205516"/>
    <w:rsid w:val="002056DE"/>
    <w:rsid w:val="00205760"/>
    <w:rsid w:val="00205781"/>
    <w:rsid w:val="00205993"/>
    <w:rsid w:val="00205B53"/>
    <w:rsid w:val="00205C25"/>
    <w:rsid w:val="00205C5C"/>
    <w:rsid w:val="00205E29"/>
    <w:rsid w:val="00205EAC"/>
    <w:rsid w:val="00206496"/>
    <w:rsid w:val="002065C0"/>
    <w:rsid w:val="0020670A"/>
    <w:rsid w:val="00206A4A"/>
    <w:rsid w:val="00206A4E"/>
    <w:rsid w:val="00206C3A"/>
    <w:rsid w:val="00206D22"/>
    <w:rsid w:val="00206F22"/>
    <w:rsid w:val="0020709D"/>
    <w:rsid w:val="00207A29"/>
    <w:rsid w:val="00207A55"/>
    <w:rsid w:val="00207ADD"/>
    <w:rsid w:val="00207C39"/>
    <w:rsid w:val="00207C8A"/>
    <w:rsid w:val="00207DB6"/>
    <w:rsid w:val="00207E7C"/>
    <w:rsid w:val="00207EFE"/>
    <w:rsid w:val="00210093"/>
    <w:rsid w:val="0021011F"/>
    <w:rsid w:val="00210221"/>
    <w:rsid w:val="0021027D"/>
    <w:rsid w:val="002102D4"/>
    <w:rsid w:val="002103BB"/>
    <w:rsid w:val="0021052F"/>
    <w:rsid w:val="002109C2"/>
    <w:rsid w:val="00210A67"/>
    <w:rsid w:val="00210BBE"/>
    <w:rsid w:val="00210BC6"/>
    <w:rsid w:val="00210DF7"/>
    <w:rsid w:val="00210EF7"/>
    <w:rsid w:val="00210FC6"/>
    <w:rsid w:val="00211171"/>
    <w:rsid w:val="0021130A"/>
    <w:rsid w:val="0021146F"/>
    <w:rsid w:val="0021149C"/>
    <w:rsid w:val="0021168D"/>
    <w:rsid w:val="002116EC"/>
    <w:rsid w:val="0021186B"/>
    <w:rsid w:val="00211CBC"/>
    <w:rsid w:val="00211F7B"/>
    <w:rsid w:val="00212045"/>
    <w:rsid w:val="00212270"/>
    <w:rsid w:val="00212A0D"/>
    <w:rsid w:val="00212A38"/>
    <w:rsid w:val="00212AC6"/>
    <w:rsid w:val="00212B1F"/>
    <w:rsid w:val="00212DBE"/>
    <w:rsid w:val="00212DED"/>
    <w:rsid w:val="00212E54"/>
    <w:rsid w:val="00212E83"/>
    <w:rsid w:val="002132B7"/>
    <w:rsid w:val="00213467"/>
    <w:rsid w:val="00213849"/>
    <w:rsid w:val="00213879"/>
    <w:rsid w:val="00213892"/>
    <w:rsid w:val="002139C0"/>
    <w:rsid w:val="00213B11"/>
    <w:rsid w:val="00213B6C"/>
    <w:rsid w:val="00213BB4"/>
    <w:rsid w:val="00213C19"/>
    <w:rsid w:val="00214109"/>
    <w:rsid w:val="0021448E"/>
    <w:rsid w:val="002147C4"/>
    <w:rsid w:val="00214844"/>
    <w:rsid w:val="0021494A"/>
    <w:rsid w:val="00214990"/>
    <w:rsid w:val="00214A02"/>
    <w:rsid w:val="00214A5A"/>
    <w:rsid w:val="00214B52"/>
    <w:rsid w:val="00214B79"/>
    <w:rsid w:val="00214D6A"/>
    <w:rsid w:val="0021516D"/>
    <w:rsid w:val="00215371"/>
    <w:rsid w:val="00215393"/>
    <w:rsid w:val="002153A7"/>
    <w:rsid w:val="002155B8"/>
    <w:rsid w:val="00215B0C"/>
    <w:rsid w:val="00215F97"/>
    <w:rsid w:val="00216026"/>
    <w:rsid w:val="0021636B"/>
    <w:rsid w:val="0021646F"/>
    <w:rsid w:val="0021654E"/>
    <w:rsid w:val="00216592"/>
    <w:rsid w:val="00216638"/>
    <w:rsid w:val="002166C7"/>
    <w:rsid w:val="002166CF"/>
    <w:rsid w:val="002167CC"/>
    <w:rsid w:val="00216872"/>
    <w:rsid w:val="00216C07"/>
    <w:rsid w:val="0021722F"/>
    <w:rsid w:val="002172A2"/>
    <w:rsid w:val="00217587"/>
    <w:rsid w:val="0021770D"/>
    <w:rsid w:val="00217B25"/>
    <w:rsid w:val="00217B2A"/>
    <w:rsid w:val="00217FB9"/>
    <w:rsid w:val="0022019D"/>
    <w:rsid w:val="00220527"/>
    <w:rsid w:val="00220683"/>
    <w:rsid w:val="00220843"/>
    <w:rsid w:val="002208E0"/>
    <w:rsid w:val="00220A8C"/>
    <w:rsid w:val="00220BDD"/>
    <w:rsid w:val="00220D27"/>
    <w:rsid w:val="00220DA2"/>
    <w:rsid w:val="00220DBA"/>
    <w:rsid w:val="00220F0A"/>
    <w:rsid w:val="00220F16"/>
    <w:rsid w:val="00220FA3"/>
    <w:rsid w:val="0022100E"/>
    <w:rsid w:val="00221051"/>
    <w:rsid w:val="00221127"/>
    <w:rsid w:val="00221230"/>
    <w:rsid w:val="00221540"/>
    <w:rsid w:val="0022170D"/>
    <w:rsid w:val="00221A90"/>
    <w:rsid w:val="00221A95"/>
    <w:rsid w:val="00221BAB"/>
    <w:rsid w:val="00221FAC"/>
    <w:rsid w:val="00222124"/>
    <w:rsid w:val="002221BD"/>
    <w:rsid w:val="0022248F"/>
    <w:rsid w:val="00222783"/>
    <w:rsid w:val="002227AE"/>
    <w:rsid w:val="00222823"/>
    <w:rsid w:val="00222A40"/>
    <w:rsid w:val="00222B0D"/>
    <w:rsid w:val="00222BE2"/>
    <w:rsid w:val="00222C82"/>
    <w:rsid w:val="00222DCF"/>
    <w:rsid w:val="00222FFE"/>
    <w:rsid w:val="002231D0"/>
    <w:rsid w:val="002231D8"/>
    <w:rsid w:val="002238C9"/>
    <w:rsid w:val="002239B3"/>
    <w:rsid w:val="00223B7A"/>
    <w:rsid w:val="00223BED"/>
    <w:rsid w:val="0022412B"/>
    <w:rsid w:val="0022420F"/>
    <w:rsid w:val="0022440B"/>
    <w:rsid w:val="00224558"/>
    <w:rsid w:val="0022484C"/>
    <w:rsid w:val="00224999"/>
    <w:rsid w:val="00224A43"/>
    <w:rsid w:val="00224A62"/>
    <w:rsid w:val="00224AF0"/>
    <w:rsid w:val="00224BEF"/>
    <w:rsid w:val="00224D38"/>
    <w:rsid w:val="00225281"/>
    <w:rsid w:val="00225343"/>
    <w:rsid w:val="0022537C"/>
    <w:rsid w:val="002254DC"/>
    <w:rsid w:val="00225518"/>
    <w:rsid w:val="002258BB"/>
    <w:rsid w:val="00225925"/>
    <w:rsid w:val="00225AD9"/>
    <w:rsid w:val="00225B5E"/>
    <w:rsid w:val="00225C5A"/>
    <w:rsid w:val="00225C63"/>
    <w:rsid w:val="00225C9C"/>
    <w:rsid w:val="00225D3E"/>
    <w:rsid w:val="00225DAA"/>
    <w:rsid w:val="00225E2B"/>
    <w:rsid w:val="002262BE"/>
    <w:rsid w:val="00226578"/>
    <w:rsid w:val="0022691E"/>
    <w:rsid w:val="00226B22"/>
    <w:rsid w:val="00226D34"/>
    <w:rsid w:val="00226F75"/>
    <w:rsid w:val="00226FD6"/>
    <w:rsid w:val="00227150"/>
    <w:rsid w:val="002273BE"/>
    <w:rsid w:val="0022752B"/>
    <w:rsid w:val="00227788"/>
    <w:rsid w:val="00227D01"/>
    <w:rsid w:val="00227D85"/>
    <w:rsid w:val="00227E14"/>
    <w:rsid w:val="00227EED"/>
    <w:rsid w:val="00230298"/>
    <w:rsid w:val="0023058C"/>
    <w:rsid w:val="0023078B"/>
    <w:rsid w:val="002309A5"/>
    <w:rsid w:val="002309AC"/>
    <w:rsid w:val="00230BB8"/>
    <w:rsid w:val="00230C53"/>
    <w:rsid w:val="0023105A"/>
    <w:rsid w:val="002314EF"/>
    <w:rsid w:val="00231782"/>
    <w:rsid w:val="00231809"/>
    <w:rsid w:val="00231A8E"/>
    <w:rsid w:val="00231B7E"/>
    <w:rsid w:val="00231C32"/>
    <w:rsid w:val="00231DB5"/>
    <w:rsid w:val="002320D0"/>
    <w:rsid w:val="00232143"/>
    <w:rsid w:val="0023219D"/>
    <w:rsid w:val="00232313"/>
    <w:rsid w:val="002324B5"/>
    <w:rsid w:val="0023254A"/>
    <w:rsid w:val="00232579"/>
    <w:rsid w:val="0023260C"/>
    <w:rsid w:val="002326BF"/>
    <w:rsid w:val="002327F6"/>
    <w:rsid w:val="00232DA1"/>
    <w:rsid w:val="00232F75"/>
    <w:rsid w:val="00232FB9"/>
    <w:rsid w:val="002333B3"/>
    <w:rsid w:val="0023386A"/>
    <w:rsid w:val="00233A88"/>
    <w:rsid w:val="00233F5E"/>
    <w:rsid w:val="00234243"/>
    <w:rsid w:val="0023424D"/>
    <w:rsid w:val="002342A7"/>
    <w:rsid w:val="00234558"/>
    <w:rsid w:val="002347D3"/>
    <w:rsid w:val="00234927"/>
    <w:rsid w:val="00234AF5"/>
    <w:rsid w:val="00234DA9"/>
    <w:rsid w:val="00234FC7"/>
    <w:rsid w:val="00234FEC"/>
    <w:rsid w:val="0023507F"/>
    <w:rsid w:val="00235136"/>
    <w:rsid w:val="00235155"/>
    <w:rsid w:val="0023523C"/>
    <w:rsid w:val="00235578"/>
    <w:rsid w:val="00235616"/>
    <w:rsid w:val="00235634"/>
    <w:rsid w:val="0023573F"/>
    <w:rsid w:val="00235D26"/>
    <w:rsid w:val="00235D38"/>
    <w:rsid w:val="00235F00"/>
    <w:rsid w:val="00235F3D"/>
    <w:rsid w:val="00235F72"/>
    <w:rsid w:val="00236110"/>
    <w:rsid w:val="002362E7"/>
    <w:rsid w:val="00236417"/>
    <w:rsid w:val="0023661E"/>
    <w:rsid w:val="00236759"/>
    <w:rsid w:val="0023679E"/>
    <w:rsid w:val="002369DC"/>
    <w:rsid w:val="00236ABC"/>
    <w:rsid w:val="00236D53"/>
    <w:rsid w:val="00236E98"/>
    <w:rsid w:val="00237000"/>
    <w:rsid w:val="002375DD"/>
    <w:rsid w:val="002376AF"/>
    <w:rsid w:val="002377CB"/>
    <w:rsid w:val="0023797D"/>
    <w:rsid w:val="002379B3"/>
    <w:rsid w:val="00237A60"/>
    <w:rsid w:val="00237F01"/>
    <w:rsid w:val="002400A6"/>
    <w:rsid w:val="00240135"/>
    <w:rsid w:val="0024047F"/>
    <w:rsid w:val="0024062A"/>
    <w:rsid w:val="00240A9E"/>
    <w:rsid w:val="00240BFB"/>
    <w:rsid w:val="00240C18"/>
    <w:rsid w:val="00240C1E"/>
    <w:rsid w:val="00240FF8"/>
    <w:rsid w:val="0024103E"/>
    <w:rsid w:val="00241267"/>
    <w:rsid w:val="0024133E"/>
    <w:rsid w:val="002416FE"/>
    <w:rsid w:val="002417C0"/>
    <w:rsid w:val="00241827"/>
    <w:rsid w:val="002419C1"/>
    <w:rsid w:val="00241DBD"/>
    <w:rsid w:val="0024215E"/>
    <w:rsid w:val="00242484"/>
    <w:rsid w:val="0024269A"/>
    <w:rsid w:val="0024273E"/>
    <w:rsid w:val="00242917"/>
    <w:rsid w:val="00242B01"/>
    <w:rsid w:val="00242B95"/>
    <w:rsid w:val="00242BBD"/>
    <w:rsid w:val="00242C60"/>
    <w:rsid w:val="00242DE5"/>
    <w:rsid w:val="00242E16"/>
    <w:rsid w:val="00242E38"/>
    <w:rsid w:val="00242E6D"/>
    <w:rsid w:val="00243145"/>
    <w:rsid w:val="002432F7"/>
    <w:rsid w:val="00243709"/>
    <w:rsid w:val="00243737"/>
    <w:rsid w:val="00243A8D"/>
    <w:rsid w:val="00243C39"/>
    <w:rsid w:val="00243CDF"/>
    <w:rsid w:val="00243CE0"/>
    <w:rsid w:val="00243CF6"/>
    <w:rsid w:val="00243D42"/>
    <w:rsid w:val="00243E55"/>
    <w:rsid w:val="002440F7"/>
    <w:rsid w:val="00244370"/>
    <w:rsid w:val="0024451A"/>
    <w:rsid w:val="0024491A"/>
    <w:rsid w:val="00244ECF"/>
    <w:rsid w:val="00244F33"/>
    <w:rsid w:val="00245232"/>
    <w:rsid w:val="00245476"/>
    <w:rsid w:val="0024557A"/>
    <w:rsid w:val="002455D4"/>
    <w:rsid w:val="0024572A"/>
    <w:rsid w:val="0024575F"/>
    <w:rsid w:val="002457A2"/>
    <w:rsid w:val="002457D5"/>
    <w:rsid w:val="00245862"/>
    <w:rsid w:val="002458A6"/>
    <w:rsid w:val="002458A9"/>
    <w:rsid w:val="002458CB"/>
    <w:rsid w:val="00245BB4"/>
    <w:rsid w:val="00245D11"/>
    <w:rsid w:val="00245EA5"/>
    <w:rsid w:val="00246552"/>
    <w:rsid w:val="0024693E"/>
    <w:rsid w:val="00246A76"/>
    <w:rsid w:val="00246B6F"/>
    <w:rsid w:val="00246D2F"/>
    <w:rsid w:val="00246F27"/>
    <w:rsid w:val="00246FAE"/>
    <w:rsid w:val="002470C7"/>
    <w:rsid w:val="002473D6"/>
    <w:rsid w:val="00247561"/>
    <w:rsid w:val="0024756C"/>
    <w:rsid w:val="00247683"/>
    <w:rsid w:val="002476A5"/>
    <w:rsid w:val="00247A69"/>
    <w:rsid w:val="00247A85"/>
    <w:rsid w:val="00247A89"/>
    <w:rsid w:val="00247AD1"/>
    <w:rsid w:val="00247B63"/>
    <w:rsid w:val="00247D90"/>
    <w:rsid w:val="0025005D"/>
    <w:rsid w:val="002503CA"/>
    <w:rsid w:val="0025040A"/>
    <w:rsid w:val="0025056B"/>
    <w:rsid w:val="00250636"/>
    <w:rsid w:val="002506A5"/>
    <w:rsid w:val="00250984"/>
    <w:rsid w:val="00250AB8"/>
    <w:rsid w:val="00250B6F"/>
    <w:rsid w:val="00250C35"/>
    <w:rsid w:val="00250D32"/>
    <w:rsid w:val="00250D9E"/>
    <w:rsid w:val="00250E0B"/>
    <w:rsid w:val="00250F3B"/>
    <w:rsid w:val="00250FFB"/>
    <w:rsid w:val="002511C0"/>
    <w:rsid w:val="0025127F"/>
    <w:rsid w:val="002513E2"/>
    <w:rsid w:val="00251458"/>
    <w:rsid w:val="0025151B"/>
    <w:rsid w:val="00251C40"/>
    <w:rsid w:val="00251D83"/>
    <w:rsid w:val="00252098"/>
    <w:rsid w:val="00252178"/>
    <w:rsid w:val="00252198"/>
    <w:rsid w:val="002523D1"/>
    <w:rsid w:val="002524F1"/>
    <w:rsid w:val="002527DE"/>
    <w:rsid w:val="00252822"/>
    <w:rsid w:val="002529D6"/>
    <w:rsid w:val="00252BD0"/>
    <w:rsid w:val="00252BF1"/>
    <w:rsid w:val="00252CFF"/>
    <w:rsid w:val="00252D0D"/>
    <w:rsid w:val="00252D4F"/>
    <w:rsid w:val="00252DBF"/>
    <w:rsid w:val="00253324"/>
    <w:rsid w:val="00253427"/>
    <w:rsid w:val="002536CB"/>
    <w:rsid w:val="0025381D"/>
    <w:rsid w:val="00253863"/>
    <w:rsid w:val="00253D3B"/>
    <w:rsid w:val="002541AE"/>
    <w:rsid w:val="0025442F"/>
    <w:rsid w:val="002545C7"/>
    <w:rsid w:val="00254AF8"/>
    <w:rsid w:val="00254B08"/>
    <w:rsid w:val="00254C5B"/>
    <w:rsid w:val="00254E0E"/>
    <w:rsid w:val="002551A4"/>
    <w:rsid w:val="002551BB"/>
    <w:rsid w:val="002551C2"/>
    <w:rsid w:val="00255211"/>
    <w:rsid w:val="00255397"/>
    <w:rsid w:val="0025539E"/>
    <w:rsid w:val="00255402"/>
    <w:rsid w:val="0025546B"/>
    <w:rsid w:val="00255471"/>
    <w:rsid w:val="00255752"/>
    <w:rsid w:val="00255943"/>
    <w:rsid w:val="00255977"/>
    <w:rsid w:val="00255B8C"/>
    <w:rsid w:val="00255C3E"/>
    <w:rsid w:val="00255CEA"/>
    <w:rsid w:val="00255D9A"/>
    <w:rsid w:val="00255FAF"/>
    <w:rsid w:val="00256167"/>
    <w:rsid w:val="002561ED"/>
    <w:rsid w:val="0025626C"/>
    <w:rsid w:val="00256393"/>
    <w:rsid w:val="0025648E"/>
    <w:rsid w:val="00256521"/>
    <w:rsid w:val="002568F5"/>
    <w:rsid w:val="00256A6D"/>
    <w:rsid w:val="00256AC8"/>
    <w:rsid w:val="00256B91"/>
    <w:rsid w:val="00256E5C"/>
    <w:rsid w:val="00256F57"/>
    <w:rsid w:val="0025727E"/>
    <w:rsid w:val="00257450"/>
    <w:rsid w:val="002574F4"/>
    <w:rsid w:val="00257B00"/>
    <w:rsid w:val="00257E33"/>
    <w:rsid w:val="00257F09"/>
    <w:rsid w:val="00257FDA"/>
    <w:rsid w:val="00257FDC"/>
    <w:rsid w:val="00257FEC"/>
    <w:rsid w:val="002600E4"/>
    <w:rsid w:val="002602B8"/>
    <w:rsid w:val="00260807"/>
    <w:rsid w:val="00260A84"/>
    <w:rsid w:val="00260AD9"/>
    <w:rsid w:val="00260B8A"/>
    <w:rsid w:val="00260C21"/>
    <w:rsid w:val="00260E7F"/>
    <w:rsid w:val="00260E8F"/>
    <w:rsid w:val="00260EAE"/>
    <w:rsid w:val="00260EC5"/>
    <w:rsid w:val="00260EDE"/>
    <w:rsid w:val="0026102C"/>
    <w:rsid w:val="0026127C"/>
    <w:rsid w:val="0026133D"/>
    <w:rsid w:val="002613E7"/>
    <w:rsid w:val="002616D3"/>
    <w:rsid w:val="002617A9"/>
    <w:rsid w:val="00261BD4"/>
    <w:rsid w:val="00261BF2"/>
    <w:rsid w:val="00261CA1"/>
    <w:rsid w:val="00261DC1"/>
    <w:rsid w:val="00261DDF"/>
    <w:rsid w:val="00261EDF"/>
    <w:rsid w:val="002620D8"/>
    <w:rsid w:val="0026213D"/>
    <w:rsid w:val="00262163"/>
    <w:rsid w:val="0026217A"/>
    <w:rsid w:val="002622A0"/>
    <w:rsid w:val="002622C3"/>
    <w:rsid w:val="00262943"/>
    <w:rsid w:val="00262E9C"/>
    <w:rsid w:val="00262F13"/>
    <w:rsid w:val="00262F91"/>
    <w:rsid w:val="00262FB5"/>
    <w:rsid w:val="00262FD7"/>
    <w:rsid w:val="0026304C"/>
    <w:rsid w:val="002630AA"/>
    <w:rsid w:val="002630B8"/>
    <w:rsid w:val="00263168"/>
    <w:rsid w:val="00263237"/>
    <w:rsid w:val="00263240"/>
    <w:rsid w:val="00263242"/>
    <w:rsid w:val="002632C0"/>
    <w:rsid w:val="00263411"/>
    <w:rsid w:val="002635B8"/>
    <w:rsid w:val="00263E7A"/>
    <w:rsid w:val="00263F30"/>
    <w:rsid w:val="0026401F"/>
    <w:rsid w:val="002640A9"/>
    <w:rsid w:val="002641C2"/>
    <w:rsid w:val="00264303"/>
    <w:rsid w:val="002645C3"/>
    <w:rsid w:val="00264C35"/>
    <w:rsid w:val="00264F0C"/>
    <w:rsid w:val="00264F6D"/>
    <w:rsid w:val="00264FC5"/>
    <w:rsid w:val="00265040"/>
    <w:rsid w:val="00265300"/>
    <w:rsid w:val="0026549E"/>
    <w:rsid w:val="00265724"/>
    <w:rsid w:val="0026575F"/>
    <w:rsid w:val="002657FC"/>
    <w:rsid w:val="00265CAE"/>
    <w:rsid w:val="00266076"/>
    <w:rsid w:val="00266318"/>
    <w:rsid w:val="00266363"/>
    <w:rsid w:val="002665D6"/>
    <w:rsid w:val="002665E0"/>
    <w:rsid w:val="00266935"/>
    <w:rsid w:val="00266DDB"/>
    <w:rsid w:val="00266EEA"/>
    <w:rsid w:val="00266F30"/>
    <w:rsid w:val="0026705D"/>
    <w:rsid w:val="0026707A"/>
    <w:rsid w:val="00267146"/>
    <w:rsid w:val="002671C8"/>
    <w:rsid w:val="00267345"/>
    <w:rsid w:val="0026736E"/>
    <w:rsid w:val="00267667"/>
    <w:rsid w:val="00267897"/>
    <w:rsid w:val="00267A3D"/>
    <w:rsid w:val="00267A47"/>
    <w:rsid w:val="00267B34"/>
    <w:rsid w:val="002700A9"/>
    <w:rsid w:val="002702C8"/>
    <w:rsid w:val="002704F4"/>
    <w:rsid w:val="00270664"/>
    <w:rsid w:val="002709A6"/>
    <w:rsid w:val="00270B57"/>
    <w:rsid w:val="00270B6A"/>
    <w:rsid w:val="00270BFF"/>
    <w:rsid w:val="00270C94"/>
    <w:rsid w:val="00270CF0"/>
    <w:rsid w:val="00270D65"/>
    <w:rsid w:val="00270FCF"/>
    <w:rsid w:val="00271006"/>
    <w:rsid w:val="0027110A"/>
    <w:rsid w:val="00271126"/>
    <w:rsid w:val="00271485"/>
    <w:rsid w:val="002714BA"/>
    <w:rsid w:val="00271546"/>
    <w:rsid w:val="0027188D"/>
    <w:rsid w:val="0027193D"/>
    <w:rsid w:val="00271B0A"/>
    <w:rsid w:val="00271C19"/>
    <w:rsid w:val="00271C48"/>
    <w:rsid w:val="00271E15"/>
    <w:rsid w:val="00271EAF"/>
    <w:rsid w:val="00271F7F"/>
    <w:rsid w:val="002720CC"/>
    <w:rsid w:val="0027232A"/>
    <w:rsid w:val="00272484"/>
    <w:rsid w:val="002724B1"/>
    <w:rsid w:val="00272526"/>
    <w:rsid w:val="0027255F"/>
    <w:rsid w:val="00272599"/>
    <w:rsid w:val="002727BC"/>
    <w:rsid w:val="00272837"/>
    <w:rsid w:val="00272A16"/>
    <w:rsid w:val="00272A8A"/>
    <w:rsid w:val="00272C89"/>
    <w:rsid w:val="00272D37"/>
    <w:rsid w:val="00272D87"/>
    <w:rsid w:val="00272F30"/>
    <w:rsid w:val="00273029"/>
    <w:rsid w:val="0027308F"/>
    <w:rsid w:val="0027323E"/>
    <w:rsid w:val="00273426"/>
    <w:rsid w:val="002737BE"/>
    <w:rsid w:val="0027383A"/>
    <w:rsid w:val="002738BD"/>
    <w:rsid w:val="002739AC"/>
    <w:rsid w:val="00273AA6"/>
    <w:rsid w:val="00273CBA"/>
    <w:rsid w:val="00273DD3"/>
    <w:rsid w:val="00274139"/>
    <w:rsid w:val="002742D0"/>
    <w:rsid w:val="00274307"/>
    <w:rsid w:val="00274506"/>
    <w:rsid w:val="00274719"/>
    <w:rsid w:val="002755D0"/>
    <w:rsid w:val="002755FA"/>
    <w:rsid w:val="0027562E"/>
    <w:rsid w:val="0027594F"/>
    <w:rsid w:val="00275B15"/>
    <w:rsid w:val="00275E29"/>
    <w:rsid w:val="00275EE0"/>
    <w:rsid w:val="00275EE5"/>
    <w:rsid w:val="00275FFB"/>
    <w:rsid w:val="00276343"/>
    <w:rsid w:val="00276654"/>
    <w:rsid w:val="0027690A"/>
    <w:rsid w:val="00276A07"/>
    <w:rsid w:val="00276A19"/>
    <w:rsid w:val="00276AEF"/>
    <w:rsid w:val="00276C70"/>
    <w:rsid w:val="00276E41"/>
    <w:rsid w:val="00276EE7"/>
    <w:rsid w:val="00277230"/>
    <w:rsid w:val="002772D4"/>
    <w:rsid w:val="00277444"/>
    <w:rsid w:val="00277765"/>
    <w:rsid w:val="00277817"/>
    <w:rsid w:val="002778A3"/>
    <w:rsid w:val="00277B72"/>
    <w:rsid w:val="00277B9E"/>
    <w:rsid w:val="00277E2B"/>
    <w:rsid w:val="00277F0F"/>
    <w:rsid w:val="00277F19"/>
    <w:rsid w:val="00280052"/>
    <w:rsid w:val="00280144"/>
    <w:rsid w:val="00280275"/>
    <w:rsid w:val="002804C9"/>
    <w:rsid w:val="002804D2"/>
    <w:rsid w:val="00280950"/>
    <w:rsid w:val="00280EBF"/>
    <w:rsid w:val="00280FA7"/>
    <w:rsid w:val="00281281"/>
    <w:rsid w:val="00281345"/>
    <w:rsid w:val="0028155C"/>
    <w:rsid w:val="00281656"/>
    <w:rsid w:val="002816C6"/>
    <w:rsid w:val="00281862"/>
    <w:rsid w:val="00281B0D"/>
    <w:rsid w:val="00281BAA"/>
    <w:rsid w:val="00281C06"/>
    <w:rsid w:val="00281C80"/>
    <w:rsid w:val="00281CAE"/>
    <w:rsid w:val="00281DFA"/>
    <w:rsid w:val="00281E22"/>
    <w:rsid w:val="00281F0B"/>
    <w:rsid w:val="0028221D"/>
    <w:rsid w:val="002822C3"/>
    <w:rsid w:val="00282542"/>
    <w:rsid w:val="00282719"/>
    <w:rsid w:val="002828F9"/>
    <w:rsid w:val="002828FC"/>
    <w:rsid w:val="00282A1B"/>
    <w:rsid w:val="00282AE5"/>
    <w:rsid w:val="00282DA9"/>
    <w:rsid w:val="00282E01"/>
    <w:rsid w:val="00282F74"/>
    <w:rsid w:val="00282F8E"/>
    <w:rsid w:val="00283042"/>
    <w:rsid w:val="0028307A"/>
    <w:rsid w:val="00283535"/>
    <w:rsid w:val="00283564"/>
    <w:rsid w:val="002836E5"/>
    <w:rsid w:val="00283845"/>
    <w:rsid w:val="00283860"/>
    <w:rsid w:val="002838FE"/>
    <w:rsid w:val="002839A7"/>
    <w:rsid w:val="00283A41"/>
    <w:rsid w:val="00283C2E"/>
    <w:rsid w:val="00283C34"/>
    <w:rsid w:val="00283CDE"/>
    <w:rsid w:val="00283F92"/>
    <w:rsid w:val="00284086"/>
    <w:rsid w:val="00284091"/>
    <w:rsid w:val="00284207"/>
    <w:rsid w:val="00284380"/>
    <w:rsid w:val="002848D0"/>
    <w:rsid w:val="00284987"/>
    <w:rsid w:val="00284CD5"/>
    <w:rsid w:val="00284D09"/>
    <w:rsid w:val="00284F85"/>
    <w:rsid w:val="002851E1"/>
    <w:rsid w:val="002857CB"/>
    <w:rsid w:val="002859D9"/>
    <w:rsid w:val="00285B76"/>
    <w:rsid w:val="00285C02"/>
    <w:rsid w:val="002861E8"/>
    <w:rsid w:val="00286253"/>
    <w:rsid w:val="00286314"/>
    <w:rsid w:val="00286377"/>
    <w:rsid w:val="00286646"/>
    <w:rsid w:val="00286801"/>
    <w:rsid w:val="002868FF"/>
    <w:rsid w:val="00286ABA"/>
    <w:rsid w:val="00286B92"/>
    <w:rsid w:val="00286C5C"/>
    <w:rsid w:val="00286E55"/>
    <w:rsid w:val="00286F2E"/>
    <w:rsid w:val="00286F52"/>
    <w:rsid w:val="0028701A"/>
    <w:rsid w:val="002871CD"/>
    <w:rsid w:val="002872AF"/>
    <w:rsid w:val="00287382"/>
    <w:rsid w:val="002874D9"/>
    <w:rsid w:val="0028762B"/>
    <w:rsid w:val="00287655"/>
    <w:rsid w:val="002877D9"/>
    <w:rsid w:val="0028780F"/>
    <w:rsid w:val="00287A11"/>
    <w:rsid w:val="00287DB0"/>
    <w:rsid w:val="00287EAA"/>
    <w:rsid w:val="00287F02"/>
    <w:rsid w:val="00287FA4"/>
    <w:rsid w:val="00290114"/>
    <w:rsid w:val="002901C3"/>
    <w:rsid w:val="0029061E"/>
    <w:rsid w:val="00290689"/>
    <w:rsid w:val="002906C4"/>
    <w:rsid w:val="00290B01"/>
    <w:rsid w:val="00290C30"/>
    <w:rsid w:val="00290C5E"/>
    <w:rsid w:val="00291196"/>
    <w:rsid w:val="002912BF"/>
    <w:rsid w:val="002912CB"/>
    <w:rsid w:val="002912E2"/>
    <w:rsid w:val="00291334"/>
    <w:rsid w:val="0029137B"/>
    <w:rsid w:val="00291440"/>
    <w:rsid w:val="002915EE"/>
    <w:rsid w:val="00291647"/>
    <w:rsid w:val="00291861"/>
    <w:rsid w:val="00291A10"/>
    <w:rsid w:val="00291A45"/>
    <w:rsid w:val="00291B1E"/>
    <w:rsid w:val="00291CB2"/>
    <w:rsid w:val="00291CCC"/>
    <w:rsid w:val="00291E01"/>
    <w:rsid w:val="00291E49"/>
    <w:rsid w:val="00291ED2"/>
    <w:rsid w:val="00291F29"/>
    <w:rsid w:val="002920B7"/>
    <w:rsid w:val="0029211A"/>
    <w:rsid w:val="002921CE"/>
    <w:rsid w:val="00292579"/>
    <w:rsid w:val="0029266C"/>
    <w:rsid w:val="002927F8"/>
    <w:rsid w:val="0029288D"/>
    <w:rsid w:val="002928EC"/>
    <w:rsid w:val="002933DF"/>
    <w:rsid w:val="00293539"/>
    <w:rsid w:val="002935AA"/>
    <w:rsid w:val="002937C6"/>
    <w:rsid w:val="00293856"/>
    <w:rsid w:val="0029388C"/>
    <w:rsid w:val="00293A48"/>
    <w:rsid w:val="00294284"/>
    <w:rsid w:val="002942F9"/>
    <w:rsid w:val="002943CB"/>
    <w:rsid w:val="00294415"/>
    <w:rsid w:val="0029484D"/>
    <w:rsid w:val="002949A5"/>
    <w:rsid w:val="00294ADD"/>
    <w:rsid w:val="00294C3A"/>
    <w:rsid w:val="00294E55"/>
    <w:rsid w:val="00294E5E"/>
    <w:rsid w:val="00294E89"/>
    <w:rsid w:val="00294FCB"/>
    <w:rsid w:val="00294FED"/>
    <w:rsid w:val="00295196"/>
    <w:rsid w:val="00295237"/>
    <w:rsid w:val="0029530C"/>
    <w:rsid w:val="00295366"/>
    <w:rsid w:val="00295696"/>
    <w:rsid w:val="002956BC"/>
    <w:rsid w:val="002956DF"/>
    <w:rsid w:val="0029571F"/>
    <w:rsid w:val="002957F8"/>
    <w:rsid w:val="00295874"/>
    <w:rsid w:val="00295ACD"/>
    <w:rsid w:val="00295D2E"/>
    <w:rsid w:val="0029610B"/>
    <w:rsid w:val="00296119"/>
    <w:rsid w:val="0029638B"/>
    <w:rsid w:val="00296666"/>
    <w:rsid w:val="002966E8"/>
    <w:rsid w:val="0029688B"/>
    <w:rsid w:val="00296958"/>
    <w:rsid w:val="00296990"/>
    <w:rsid w:val="00296B20"/>
    <w:rsid w:val="00296BC3"/>
    <w:rsid w:val="00296D50"/>
    <w:rsid w:val="00296E0D"/>
    <w:rsid w:val="00296FD4"/>
    <w:rsid w:val="002972F3"/>
    <w:rsid w:val="00297383"/>
    <w:rsid w:val="00297455"/>
    <w:rsid w:val="0029767C"/>
    <w:rsid w:val="00297A36"/>
    <w:rsid w:val="00297D3C"/>
    <w:rsid w:val="00297F70"/>
    <w:rsid w:val="0029CF62"/>
    <w:rsid w:val="002A025D"/>
    <w:rsid w:val="002A02E6"/>
    <w:rsid w:val="002A04DB"/>
    <w:rsid w:val="002A08F0"/>
    <w:rsid w:val="002A0986"/>
    <w:rsid w:val="002A0AEB"/>
    <w:rsid w:val="002A0B60"/>
    <w:rsid w:val="002A0CEA"/>
    <w:rsid w:val="002A0F04"/>
    <w:rsid w:val="002A12DE"/>
    <w:rsid w:val="002A13E0"/>
    <w:rsid w:val="002A143F"/>
    <w:rsid w:val="002A1524"/>
    <w:rsid w:val="002A16B4"/>
    <w:rsid w:val="002A181C"/>
    <w:rsid w:val="002A1948"/>
    <w:rsid w:val="002A1B24"/>
    <w:rsid w:val="002A1E2C"/>
    <w:rsid w:val="002A1E77"/>
    <w:rsid w:val="002A1F1B"/>
    <w:rsid w:val="002A1F51"/>
    <w:rsid w:val="002A202B"/>
    <w:rsid w:val="002A21C0"/>
    <w:rsid w:val="002A233A"/>
    <w:rsid w:val="002A239C"/>
    <w:rsid w:val="002A2656"/>
    <w:rsid w:val="002A280B"/>
    <w:rsid w:val="002A289E"/>
    <w:rsid w:val="002A2A8E"/>
    <w:rsid w:val="002A2B52"/>
    <w:rsid w:val="002A2B94"/>
    <w:rsid w:val="002A2CFE"/>
    <w:rsid w:val="002A2DB8"/>
    <w:rsid w:val="002A2F40"/>
    <w:rsid w:val="002A2FB0"/>
    <w:rsid w:val="002A31D0"/>
    <w:rsid w:val="002A3568"/>
    <w:rsid w:val="002A3615"/>
    <w:rsid w:val="002A3741"/>
    <w:rsid w:val="002A383B"/>
    <w:rsid w:val="002A39CC"/>
    <w:rsid w:val="002A3A2A"/>
    <w:rsid w:val="002A3A6F"/>
    <w:rsid w:val="002A3ACE"/>
    <w:rsid w:val="002A3D77"/>
    <w:rsid w:val="002A3E65"/>
    <w:rsid w:val="002A3FA8"/>
    <w:rsid w:val="002A4016"/>
    <w:rsid w:val="002A4138"/>
    <w:rsid w:val="002A423C"/>
    <w:rsid w:val="002A4384"/>
    <w:rsid w:val="002A442B"/>
    <w:rsid w:val="002A45F8"/>
    <w:rsid w:val="002A46B8"/>
    <w:rsid w:val="002A4891"/>
    <w:rsid w:val="002A48B4"/>
    <w:rsid w:val="002A493E"/>
    <w:rsid w:val="002A4FF6"/>
    <w:rsid w:val="002A5253"/>
    <w:rsid w:val="002A5400"/>
    <w:rsid w:val="002A559D"/>
    <w:rsid w:val="002A57A9"/>
    <w:rsid w:val="002A57CD"/>
    <w:rsid w:val="002A58AB"/>
    <w:rsid w:val="002A58B2"/>
    <w:rsid w:val="002A5E10"/>
    <w:rsid w:val="002A5E21"/>
    <w:rsid w:val="002A60F3"/>
    <w:rsid w:val="002A638D"/>
    <w:rsid w:val="002A6619"/>
    <w:rsid w:val="002A6692"/>
    <w:rsid w:val="002A67DA"/>
    <w:rsid w:val="002A67F8"/>
    <w:rsid w:val="002A696B"/>
    <w:rsid w:val="002A6A29"/>
    <w:rsid w:val="002A6BF8"/>
    <w:rsid w:val="002A6C12"/>
    <w:rsid w:val="002A6CBA"/>
    <w:rsid w:val="002A6E43"/>
    <w:rsid w:val="002A7014"/>
    <w:rsid w:val="002A73DA"/>
    <w:rsid w:val="002A747F"/>
    <w:rsid w:val="002A7774"/>
    <w:rsid w:val="002A783F"/>
    <w:rsid w:val="002A7862"/>
    <w:rsid w:val="002A7899"/>
    <w:rsid w:val="002A78F0"/>
    <w:rsid w:val="002A7A71"/>
    <w:rsid w:val="002A7A7F"/>
    <w:rsid w:val="002A7E1F"/>
    <w:rsid w:val="002B0256"/>
    <w:rsid w:val="002B02D6"/>
    <w:rsid w:val="002B042E"/>
    <w:rsid w:val="002B05EA"/>
    <w:rsid w:val="002B0833"/>
    <w:rsid w:val="002B0A07"/>
    <w:rsid w:val="002B0B6E"/>
    <w:rsid w:val="002B0D42"/>
    <w:rsid w:val="002B0DC6"/>
    <w:rsid w:val="002B1012"/>
    <w:rsid w:val="002B10C0"/>
    <w:rsid w:val="002B11BF"/>
    <w:rsid w:val="002B1376"/>
    <w:rsid w:val="002B16DA"/>
    <w:rsid w:val="002B171C"/>
    <w:rsid w:val="002B1941"/>
    <w:rsid w:val="002B1953"/>
    <w:rsid w:val="002B19A1"/>
    <w:rsid w:val="002B1A8C"/>
    <w:rsid w:val="002B1B88"/>
    <w:rsid w:val="002B1D1E"/>
    <w:rsid w:val="002B1DDF"/>
    <w:rsid w:val="002B1F26"/>
    <w:rsid w:val="002B1F2D"/>
    <w:rsid w:val="002B2042"/>
    <w:rsid w:val="002B23AD"/>
    <w:rsid w:val="002B2683"/>
    <w:rsid w:val="002B2B88"/>
    <w:rsid w:val="002B2D88"/>
    <w:rsid w:val="002B2E58"/>
    <w:rsid w:val="002B2FC7"/>
    <w:rsid w:val="002B3054"/>
    <w:rsid w:val="002B307A"/>
    <w:rsid w:val="002B31EF"/>
    <w:rsid w:val="002B3434"/>
    <w:rsid w:val="002B3605"/>
    <w:rsid w:val="002B3635"/>
    <w:rsid w:val="002B37A9"/>
    <w:rsid w:val="002B3883"/>
    <w:rsid w:val="002B3A9D"/>
    <w:rsid w:val="002B3AA4"/>
    <w:rsid w:val="002B3ECE"/>
    <w:rsid w:val="002B4063"/>
    <w:rsid w:val="002B4145"/>
    <w:rsid w:val="002B46F8"/>
    <w:rsid w:val="002B4817"/>
    <w:rsid w:val="002B49A8"/>
    <w:rsid w:val="002B49B3"/>
    <w:rsid w:val="002B4D77"/>
    <w:rsid w:val="002B4E52"/>
    <w:rsid w:val="002B50BE"/>
    <w:rsid w:val="002B5102"/>
    <w:rsid w:val="002B52D5"/>
    <w:rsid w:val="002B56D6"/>
    <w:rsid w:val="002B5886"/>
    <w:rsid w:val="002B5A1D"/>
    <w:rsid w:val="002B5A6C"/>
    <w:rsid w:val="002B5C10"/>
    <w:rsid w:val="002B5C84"/>
    <w:rsid w:val="002B5DC6"/>
    <w:rsid w:val="002B5E35"/>
    <w:rsid w:val="002B5EB5"/>
    <w:rsid w:val="002B6228"/>
    <w:rsid w:val="002B62C2"/>
    <w:rsid w:val="002B651F"/>
    <w:rsid w:val="002B6553"/>
    <w:rsid w:val="002B66ED"/>
    <w:rsid w:val="002B694C"/>
    <w:rsid w:val="002B696C"/>
    <w:rsid w:val="002B69AA"/>
    <w:rsid w:val="002B6A46"/>
    <w:rsid w:val="002B6B08"/>
    <w:rsid w:val="002B6EF3"/>
    <w:rsid w:val="002B6FE1"/>
    <w:rsid w:val="002B72D8"/>
    <w:rsid w:val="002B74AF"/>
    <w:rsid w:val="002B76F9"/>
    <w:rsid w:val="002B7760"/>
    <w:rsid w:val="002B78A7"/>
    <w:rsid w:val="002B790B"/>
    <w:rsid w:val="002B79A9"/>
    <w:rsid w:val="002B7D24"/>
    <w:rsid w:val="002B7F13"/>
    <w:rsid w:val="002C003F"/>
    <w:rsid w:val="002C01FE"/>
    <w:rsid w:val="002C061B"/>
    <w:rsid w:val="002C0651"/>
    <w:rsid w:val="002C0A81"/>
    <w:rsid w:val="002C0AFE"/>
    <w:rsid w:val="002C0E55"/>
    <w:rsid w:val="002C0ECF"/>
    <w:rsid w:val="002C0F54"/>
    <w:rsid w:val="002C1041"/>
    <w:rsid w:val="002C129D"/>
    <w:rsid w:val="002C13B4"/>
    <w:rsid w:val="002C1609"/>
    <w:rsid w:val="002C175F"/>
    <w:rsid w:val="002C1945"/>
    <w:rsid w:val="002C1A54"/>
    <w:rsid w:val="002C1AD2"/>
    <w:rsid w:val="002C1BE5"/>
    <w:rsid w:val="002C20FD"/>
    <w:rsid w:val="002C2148"/>
    <w:rsid w:val="002C21D8"/>
    <w:rsid w:val="002C21E1"/>
    <w:rsid w:val="002C226C"/>
    <w:rsid w:val="002C23C3"/>
    <w:rsid w:val="002C2698"/>
    <w:rsid w:val="002C2711"/>
    <w:rsid w:val="002C2E08"/>
    <w:rsid w:val="002C2F9A"/>
    <w:rsid w:val="002C3046"/>
    <w:rsid w:val="002C3174"/>
    <w:rsid w:val="002C327A"/>
    <w:rsid w:val="002C32EE"/>
    <w:rsid w:val="002C334B"/>
    <w:rsid w:val="002C35A3"/>
    <w:rsid w:val="002C365F"/>
    <w:rsid w:val="002C37F7"/>
    <w:rsid w:val="002C3954"/>
    <w:rsid w:val="002C3C64"/>
    <w:rsid w:val="002C4358"/>
    <w:rsid w:val="002C4813"/>
    <w:rsid w:val="002C481E"/>
    <w:rsid w:val="002C4887"/>
    <w:rsid w:val="002C4ACD"/>
    <w:rsid w:val="002C4C0D"/>
    <w:rsid w:val="002C4C21"/>
    <w:rsid w:val="002C4E80"/>
    <w:rsid w:val="002C514F"/>
    <w:rsid w:val="002C51F3"/>
    <w:rsid w:val="002C5464"/>
    <w:rsid w:val="002C553A"/>
    <w:rsid w:val="002C59F7"/>
    <w:rsid w:val="002C5B69"/>
    <w:rsid w:val="002C5B78"/>
    <w:rsid w:val="002C6133"/>
    <w:rsid w:val="002C650A"/>
    <w:rsid w:val="002C665E"/>
    <w:rsid w:val="002C6722"/>
    <w:rsid w:val="002C6754"/>
    <w:rsid w:val="002C6849"/>
    <w:rsid w:val="002C69DA"/>
    <w:rsid w:val="002C6DC9"/>
    <w:rsid w:val="002C702A"/>
    <w:rsid w:val="002C733D"/>
    <w:rsid w:val="002C7423"/>
    <w:rsid w:val="002C7566"/>
    <w:rsid w:val="002C756A"/>
    <w:rsid w:val="002C75D7"/>
    <w:rsid w:val="002C778A"/>
    <w:rsid w:val="002C78EE"/>
    <w:rsid w:val="002C7ADC"/>
    <w:rsid w:val="002C7D0E"/>
    <w:rsid w:val="002C7ED4"/>
    <w:rsid w:val="002D0070"/>
    <w:rsid w:val="002D0625"/>
    <w:rsid w:val="002D065C"/>
    <w:rsid w:val="002D06BA"/>
    <w:rsid w:val="002D07AA"/>
    <w:rsid w:val="002D084F"/>
    <w:rsid w:val="002D0953"/>
    <w:rsid w:val="002D095F"/>
    <w:rsid w:val="002D0DA1"/>
    <w:rsid w:val="002D0EC9"/>
    <w:rsid w:val="002D0F91"/>
    <w:rsid w:val="002D1105"/>
    <w:rsid w:val="002D1326"/>
    <w:rsid w:val="002D14F9"/>
    <w:rsid w:val="002D16CD"/>
    <w:rsid w:val="002D1777"/>
    <w:rsid w:val="002D1873"/>
    <w:rsid w:val="002D18BE"/>
    <w:rsid w:val="002D18D4"/>
    <w:rsid w:val="002D1D6E"/>
    <w:rsid w:val="002D1E65"/>
    <w:rsid w:val="002D218D"/>
    <w:rsid w:val="002D2272"/>
    <w:rsid w:val="002D23F5"/>
    <w:rsid w:val="002D2484"/>
    <w:rsid w:val="002D26D4"/>
    <w:rsid w:val="002D28B5"/>
    <w:rsid w:val="002D29DC"/>
    <w:rsid w:val="002D2B72"/>
    <w:rsid w:val="002D2BF1"/>
    <w:rsid w:val="002D2DC9"/>
    <w:rsid w:val="002D2ED2"/>
    <w:rsid w:val="002D31D6"/>
    <w:rsid w:val="002D31D8"/>
    <w:rsid w:val="002D352B"/>
    <w:rsid w:val="002D35ED"/>
    <w:rsid w:val="002D36B5"/>
    <w:rsid w:val="002D3977"/>
    <w:rsid w:val="002D3B87"/>
    <w:rsid w:val="002D3CED"/>
    <w:rsid w:val="002D3E73"/>
    <w:rsid w:val="002D40E9"/>
    <w:rsid w:val="002D4166"/>
    <w:rsid w:val="002D46AF"/>
    <w:rsid w:val="002D4934"/>
    <w:rsid w:val="002D4AEF"/>
    <w:rsid w:val="002D4C05"/>
    <w:rsid w:val="002D4C46"/>
    <w:rsid w:val="002D4CCC"/>
    <w:rsid w:val="002D4E65"/>
    <w:rsid w:val="002D4FC2"/>
    <w:rsid w:val="002D5419"/>
    <w:rsid w:val="002D5511"/>
    <w:rsid w:val="002D56CB"/>
    <w:rsid w:val="002D56D2"/>
    <w:rsid w:val="002D5801"/>
    <w:rsid w:val="002D5953"/>
    <w:rsid w:val="002D5E77"/>
    <w:rsid w:val="002D5EEB"/>
    <w:rsid w:val="002D6060"/>
    <w:rsid w:val="002D60E7"/>
    <w:rsid w:val="002D60E9"/>
    <w:rsid w:val="002D61D7"/>
    <w:rsid w:val="002D6211"/>
    <w:rsid w:val="002D6214"/>
    <w:rsid w:val="002D6262"/>
    <w:rsid w:val="002D6491"/>
    <w:rsid w:val="002D65C6"/>
    <w:rsid w:val="002D667C"/>
    <w:rsid w:val="002D6BDB"/>
    <w:rsid w:val="002D6C38"/>
    <w:rsid w:val="002D6FBF"/>
    <w:rsid w:val="002D710B"/>
    <w:rsid w:val="002D7416"/>
    <w:rsid w:val="002D77C9"/>
    <w:rsid w:val="002D7942"/>
    <w:rsid w:val="002D7A35"/>
    <w:rsid w:val="002D7C24"/>
    <w:rsid w:val="002D7EA7"/>
    <w:rsid w:val="002E0198"/>
    <w:rsid w:val="002E032B"/>
    <w:rsid w:val="002E036A"/>
    <w:rsid w:val="002E037D"/>
    <w:rsid w:val="002E046B"/>
    <w:rsid w:val="002E0708"/>
    <w:rsid w:val="002E086C"/>
    <w:rsid w:val="002E08E2"/>
    <w:rsid w:val="002E08F1"/>
    <w:rsid w:val="002E091C"/>
    <w:rsid w:val="002E0A5B"/>
    <w:rsid w:val="002E0B3B"/>
    <w:rsid w:val="002E1223"/>
    <w:rsid w:val="002E13A3"/>
    <w:rsid w:val="002E1494"/>
    <w:rsid w:val="002E1964"/>
    <w:rsid w:val="002E1B40"/>
    <w:rsid w:val="002E1C2A"/>
    <w:rsid w:val="002E1C2E"/>
    <w:rsid w:val="002E1F92"/>
    <w:rsid w:val="002E2038"/>
    <w:rsid w:val="002E20C5"/>
    <w:rsid w:val="002E219F"/>
    <w:rsid w:val="002E2585"/>
    <w:rsid w:val="002E27E9"/>
    <w:rsid w:val="002E2836"/>
    <w:rsid w:val="002E297C"/>
    <w:rsid w:val="002E2B23"/>
    <w:rsid w:val="002E2B44"/>
    <w:rsid w:val="002E2C83"/>
    <w:rsid w:val="002E2CF9"/>
    <w:rsid w:val="002E2D0E"/>
    <w:rsid w:val="002E2F46"/>
    <w:rsid w:val="002E2FFA"/>
    <w:rsid w:val="002E3106"/>
    <w:rsid w:val="002E31A6"/>
    <w:rsid w:val="002E3378"/>
    <w:rsid w:val="002E35EF"/>
    <w:rsid w:val="002E3717"/>
    <w:rsid w:val="002E3762"/>
    <w:rsid w:val="002E3947"/>
    <w:rsid w:val="002E3B49"/>
    <w:rsid w:val="002E3E6A"/>
    <w:rsid w:val="002E3FF5"/>
    <w:rsid w:val="002E4105"/>
    <w:rsid w:val="002E43E6"/>
    <w:rsid w:val="002E47AF"/>
    <w:rsid w:val="002E4C72"/>
    <w:rsid w:val="002E4CBC"/>
    <w:rsid w:val="002E4D44"/>
    <w:rsid w:val="002E4D56"/>
    <w:rsid w:val="002E4E92"/>
    <w:rsid w:val="002E5148"/>
    <w:rsid w:val="002E540F"/>
    <w:rsid w:val="002E55DD"/>
    <w:rsid w:val="002E5906"/>
    <w:rsid w:val="002E596B"/>
    <w:rsid w:val="002E5B06"/>
    <w:rsid w:val="002E5CC5"/>
    <w:rsid w:val="002E5D0A"/>
    <w:rsid w:val="002E6060"/>
    <w:rsid w:val="002E6103"/>
    <w:rsid w:val="002E6433"/>
    <w:rsid w:val="002E64B8"/>
    <w:rsid w:val="002E66A4"/>
    <w:rsid w:val="002E6AD8"/>
    <w:rsid w:val="002E6B68"/>
    <w:rsid w:val="002E6C4D"/>
    <w:rsid w:val="002E6CE8"/>
    <w:rsid w:val="002E6D2F"/>
    <w:rsid w:val="002E7060"/>
    <w:rsid w:val="002E7175"/>
    <w:rsid w:val="002E7241"/>
    <w:rsid w:val="002E7306"/>
    <w:rsid w:val="002E7575"/>
    <w:rsid w:val="002E7592"/>
    <w:rsid w:val="002E7623"/>
    <w:rsid w:val="002E76A2"/>
    <w:rsid w:val="002E775A"/>
    <w:rsid w:val="002E7839"/>
    <w:rsid w:val="002E7B3A"/>
    <w:rsid w:val="002E7C05"/>
    <w:rsid w:val="002E7CFA"/>
    <w:rsid w:val="002F0054"/>
    <w:rsid w:val="002F00D6"/>
    <w:rsid w:val="002F0139"/>
    <w:rsid w:val="002F01FF"/>
    <w:rsid w:val="002F022D"/>
    <w:rsid w:val="002F0420"/>
    <w:rsid w:val="002F0443"/>
    <w:rsid w:val="002F04FD"/>
    <w:rsid w:val="002F0695"/>
    <w:rsid w:val="002F0741"/>
    <w:rsid w:val="002F0802"/>
    <w:rsid w:val="002F08AD"/>
    <w:rsid w:val="002F0A0C"/>
    <w:rsid w:val="002F0AF3"/>
    <w:rsid w:val="002F0B07"/>
    <w:rsid w:val="002F0C53"/>
    <w:rsid w:val="002F0E2A"/>
    <w:rsid w:val="002F0E97"/>
    <w:rsid w:val="002F11DD"/>
    <w:rsid w:val="002F132B"/>
    <w:rsid w:val="002F15C9"/>
    <w:rsid w:val="002F1637"/>
    <w:rsid w:val="002F1685"/>
    <w:rsid w:val="002F17B5"/>
    <w:rsid w:val="002F192F"/>
    <w:rsid w:val="002F1A1E"/>
    <w:rsid w:val="002F1ADC"/>
    <w:rsid w:val="002F1C3A"/>
    <w:rsid w:val="002F1CE3"/>
    <w:rsid w:val="002F1D5D"/>
    <w:rsid w:val="002F1D86"/>
    <w:rsid w:val="002F1E8D"/>
    <w:rsid w:val="002F1EE0"/>
    <w:rsid w:val="002F2046"/>
    <w:rsid w:val="002F243F"/>
    <w:rsid w:val="002F251D"/>
    <w:rsid w:val="002F2680"/>
    <w:rsid w:val="002F2961"/>
    <w:rsid w:val="002F29CA"/>
    <w:rsid w:val="002F2A98"/>
    <w:rsid w:val="002F2B1C"/>
    <w:rsid w:val="002F2CB2"/>
    <w:rsid w:val="002F2D4C"/>
    <w:rsid w:val="002F2F07"/>
    <w:rsid w:val="002F2F7B"/>
    <w:rsid w:val="002F32CB"/>
    <w:rsid w:val="002F335D"/>
    <w:rsid w:val="002F339E"/>
    <w:rsid w:val="002F3415"/>
    <w:rsid w:val="002F3499"/>
    <w:rsid w:val="002F35B2"/>
    <w:rsid w:val="002F36B3"/>
    <w:rsid w:val="002F3782"/>
    <w:rsid w:val="002F37DF"/>
    <w:rsid w:val="002F3CD5"/>
    <w:rsid w:val="002F3E40"/>
    <w:rsid w:val="002F3EE1"/>
    <w:rsid w:val="002F3FD9"/>
    <w:rsid w:val="002F4045"/>
    <w:rsid w:val="002F40E8"/>
    <w:rsid w:val="002F42F4"/>
    <w:rsid w:val="002F46A9"/>
    <w:rsid w:val="002F4D0D"/>
    <w:rsid w:val="002F4D91"/>
    <w:rsid w:val="002F4E58"/>
    <w:rsid w:val="002F5036"/>
    <w:rsid w:val="002F5090"/>
    <w:rsid w:val="002F5424"/>
    <w:rsid w:val="002F55FA"/>
    <w:rsid w:val="002F573D"/>
    <w:rsid w:val="002F57A6"/>
    <w:rsid w:val="002F57B6"/>
    <w:rsid w:val="002F582A"/>
    <w:rsid w:val="002F59B4"/>
    <w:rsid w:val="002F5B5F"/>
    <w:rsid w:val="002F5B60"/>
    <w:rsid w:val="002F5BC8"/>
    <w:rsid w:val="002F5D15"/>
    <w:rsid w:val="002F5E8F"/>
    <w:rsid w:val="002F617C"/>
    <w:rsid w:val="002F6274"/>
    <w:rsid w:val="002F627A"/>
    <w:rsid w:val="002F64AB"/>
    <w:rsid w:val="002F64AE"/>
    <w:rsid w:val="002F679F"/>
    <w:rsid w:val="002F68C5"/>
    <w:rsid w:val="002F699C"/>
    <w:rsid w:val="002F6B9D"/>
    <w:rsid w:val="002F6D82"/>
    <w:rsid w:val="002F70BB"/>
    <w:rsid w:val="002F719F"/>
    <w:rsid w:val="002F731E"/>
    <w:rsid w:val="002F73DE"/>
    <w:rsid w:val="002F74D3"/>
    <w:rsid w:val="002F7625"/>
    <w:rsid w:val="002F76AC"/>
    <w:rsid w:val="002F7838"/>
    <w:rsid w:val="002F7A92"/>
    <w:rsid w:val="002F7AD6"/>
    <w:rsid w:val="002F7BCC"/>
    <w:rsid w:val="002F7BDD"/>
    <w:rsid w:val="002F7BE2"/>
    <w:rsid w:val="002F7CF4"/>
    <w:rsid w:val="002F7E21"/>
    <w:rsid w:val="002F7E69"/>
    <w:rsid w:val="0030018A"/>
    <w:rsid w:val="003002D9"/>
    <w:rsid w:val="0030036B"/>
    <w:rsid w:val="0030037D"/>
    <w:rsid w:val="003003F3"/>
    <w:rsid w:val="003004B2"/>
    <w:rsid w:val="003006DA"/>
    <w:rsid w:val="0030080B"/>
    <w:rsid w:val="003008C5"/>
    <w:rsid w:val="00300C96"/>
    <w:rsid w:val="00300FBB"/>
    <w:rsid w:val="00301002"/>
    <w:rsid w:val="003013F7"/>
    <w:rsid w:val="00301452"/>
    <w:rsid w:val="0030149C"/>
    <w:rsid w:val="0030155A"/>
    <w:rsid w:val="0030158E"/>
    <w:rsid w:val="003018D4"/>
    <w:rsid w:val="0030191A"/>
    <w:rsid w:val="00301980"/>
    <w:rsid w:val="00301CFE"/>
    <w:rsid w:val="003020E8"/>
    <w:rsid w:val="00302408"/>
    <w:rsid w:val="003025B9"/>
    <w:rsid w:val="0030265D"/>
    <w:rsid w:val="00302666"/>
    <w:rsid w:val="003026B7"/>
    <w:rsid w:val="00302907"/>
    <w:rsid w:val="00302AAE"/>
    <w:rsid w:val="00302AF1"/>
    <w:rsid w:val="00302DF3"/>
    <w:rsid w:val="00302EED"/>
    <w:rsid w:val="00302F72"/>
    <w:rsid w:val="00303090"/>
    <w:rsid w:val="00303116"/>
    <w:rsid w:val="003036F0"/>
    <w:rsid w:val="00303B02"/>
    <w:rsid w:val="00303BD7"/>
    <w:rsid w:val="00303FE6"/>
    <w:rsid w:val="003040E8"/>
    <w:rsid w:val="003041FA"/>
    <w:rsid w:val="00304300"/>
    <w:rsid w:val="0030448F"/>
    <w:rsid w:val="00304581"/>
    <w:rsid w:val="00304607"/>
    <w:rsid w:val="003046A3"/>
    <w:rsid w:val="00304BB3"/>
    <w:rsid w:val="00304DBF"/>
    <w:rsid w:val="00304E59"/>
    <w:rsid w:val="00304EB2"/>
    <w:rsid w:val="0030565F"/>
    <w:rsid w:val="00305668"/>
    <w:rsid w:val="003059BC"/>
    <w:rsid w:val="00305A5A"/>
    <w:rsid w:val="00305D9D"/>
    <w:rsid w:val="003061CC"/>
    <w:rsid w:val="00306281"/>
    <w:rsid w:val="003062CF"/>
    <w:rsid w:val="00306326"/>
    <w:rsid w:val="00306463"/>
    <w:rsid w:val="00306510"/>
    <w:rsid w:val="0030666D"/>
    <w:rsid w:val="003066CD"/>
    <w:rsid w:val="00306919"/>
    <w:rsid w:val="0030693B"/>
    <w:rsid w:val="00306B69"/>
    <w:rsid w:val="00306BF3"/>
    <w:rsid w:val="00306CA6"/>
    <w:rsid w:val="00307231"/>
    <w:rsid w:val="003074A0"/>
    <w:rsid w:val="0030757E"/>
    <w:rsid w:val="0030781C"/>
    <w:rsid w:val="003078A1"/>
    <w:rsid w:val="003079D5"/>
    <w:rsid w:val="00307AA7"/>
    <w:rsid w:val="00307C11"/>
    <w:rsid w:val="00307D24"/>
    <w:rsid w:val="00307DDF"/>
    <w:rsid w:val="00307DF6"/>
    <w:rsid w:val="00307E18"/>
    <w:rsid w:val="00307EDD"/>
    <w:rsid w:val="00307FF6"/>
    <w:rsid w:val="00310072"/>
    <w:rsid w:val="00310396"/>
    <w:rsid w:val="003103B0"/>
    <w:rsid w:val="003103E1"/>
    <w:rsid w:val="00310736"/>
    <w:rsid w:val="003108CF"/>
    <w:rsid w:val="003108E5"/>
    <w:rsid w:val="00310AAB"/>
    <w:rsid w:val="00310AD5"/>
    <w:rsid w:val="00310BA5"/>
    <w:rsid w:val="00310C28"/>
    <w:rsid w:val="00310EA7"/>
    <w:rsid w:val="00311069"/>
    <w:rsid w:val="003111D2"/>
    <w:rsid w:val="003111E2"/>
    <w:rsid w:val="0031128E"/>
    <w:rsid w:val="00311564"/>
    <w:rsid w:val="003115B7"/>
    <w:rsid w:val="003115C5"/>
    <w:rsid w:val="0031160E"/>
    <w:rsid w:val="003116C0"/>
    <w:rsid w:val="00311AD0"/>
    <w:rsid w:val="00311D41"/>
    <w:rsid w:val="003120F1"/>
    <w:rsid w:val="00312291"/>
    <w:rsid w:val="0031231F"/>
    <w:rsid w:val="00312437"/>
    <w:rsid w:val="003124A3"/>
    <w:rsid w:val="0031266B"/>
    <w:rsid w:val="0031294A"/>
    <w:rsid w:val="003129FA"/>
    <w:rsid w:val="00312A62"/>
    <w:rsid w:val="00312B25"/>
    <w:rsid w:val="00312B88"/>
    <w:rsid w:val="00312CB0"/>
    <w:rsid w:val="00312CC0"/>
    <w:rsid w:val="00312DBA"/>
    <w:rsid w:val="00312E22"/>
    <w:rsid w:val="00312F92"/>
    <w:rsid w:val="0031309F"/>
    <w:rsid w:val="003131CD"/>
    <w:rsid w:val="00313367"/>
    <w:rsid w:val="003133B1"/>
    <w:rsid w:val="003133C9"/>
    <w:rsid w:val="0031347C"/>
    <w:rsid w:val="0031354D"/>
    <w:rsid w:val="00313666"/>
    <w:rsid w:val="0031393A"/>
    <w:rsid w:val="00313AB9"/>
    <w:rsid w:val="00313CBC"/>
    <w:rsid w:val="00313CFF"/>
    <w:rsid w:val="00313EE9"/>
    <w:rsid w:val="003140B8"/>
    <w:rsid w:val="0031422E"/>
    <w:rsid w:val="0031435B"/>
    <w:rsid w:val="003143E9"/>
    <w:rsid w:val="003145EF"/>
    <w:rsid w:val="00314692"/>
    <w:rsid w:val="0031475D"/>
    <w:rsid w:val="003147C5"/>
    <w:rsid w:val="003149C6"/>
    <w:rsid w:val="00314A70"/>
    <w:rsid w:val="00314A88"/>
    <w:rsid w:val="00314DCD"/>
    <w:rsid w:val="00314DE2"/>
    <w:rsid w:val="00314E4A"/>
    <w:rsid w:val="00314FAF"/>
    <w:rsid w:val="00315193"/>
    <w:rsid w:val="0031528F"/>
    <w:rsid w:val="00315440"/>
    <w:rsid w:val="003154BF"/>
    <w:rsid w:val="00315570"/>
    <w:rsid w:val="00315B18"/>
    <w:rsid w:val="00315BAF"/>
    <w:rsid w:val="00315CD2"/>
    <w:rsid w:val="00315CF7"/>
    <w:rsid w:val="00315DD7"/>
    <w:rsid w:val="00315F9D"/>
    <w:rsid w:val="0031609E"/>
    <w:rsid w:val="003160D7"/>
    <w:rsid w:val="00316171"/>
    <w:rsid w:val="003162E2"/>
    <w:rsid w:val="003165E4"/>
    <w:rsid w:val="0031670C"/>
    <w:rsid w:val="00316773"/>
    <w:rsid w:val="00316D78"/>
    <w:rsid w:val="003170D0"/>
    <w:rsid w:val="003170DA"/>
    <w:rsid w:val="0031720C"/>
    <w:rsid w:val="00317519"/>
    <w:rsid w:val="003175DD"/>
    <w:rsid w:val="0031781D"/>
    <w:rsid w:val="003178CD"/>
    <w:rsid w:val="0031794F"/>
    <w:rsid w:val="00317AAA"/>
    <w:rsid w:val="00317AE5"/>
    <w:rsid w:val="00317BBD"/>
    <w:rsid w:val="00317C7A"/>
    <w:rsid w:val="00317F6C"/>
    <w:rsid w:val="00320162"/>
    <w:rsid w:val="003201BD"/>
    <w:rsid w:val="003202DA"/>
    <w:rsid w:val="0032050D"/>
    <w:rsid w:val="00320B4C"/>
    <w:rsid w:val="00320C48"/>
    <w:rsid w:val="003210FA"/>
    <w:rsid w:val="0032113A"/>
    <w:rsid w:val="00321336"/>
    <w:rsid w:val="003213FF"/>
    <w:rsid w:val="00321410"/>
    <w:rsid w:val="003214B6"/>
    <w:rsid w:val="003215F3"/>
    <w:rsid w:val="00321B5D"/>
    <w:rsid w:val="00321C45"/>
    <w:rsid w:val="00321CF2"/>
    <w:rsid w:val="00321EAE"/>
    <w:rsid w:val="00321F6E"/>
    <w:rsid w:val="0032223C"/>
    <w:rsid w:val="0032241A"/>
    <w:rsid w:val="00322507"/>
    <w:rsid w:val="00322594"/>
    <w:rsid w:val="003226AD"/>
    <w:rsid w:val="00322AAA"/>
    <w:rsid w:val="00322BC3"/>
    <w:rsid w:val="00322DD5"/>
    <w:rsid w:val="00323036"/>
    <w:rsid w:val="0032325D"/>
    <w:rsid w:val="0032338F"/>
    <w:rsid w:val="0032352F"/>
    <w:rsid w:val="003235FA"/>
    <w:rsid w:val="00323886"/>
    <w:rsid w:val="003238D2"/>
    <w:rsid w:val="00323989"/>
    <w:rsid w:val="003239CF"/>
    <w:rsid w:val="00323A87"/>
    <w:rsid w:val="00323B64"/>
    <w:rsid w:val="00323CAE"/>
    <w:rsid w:val="00323CD9"/>
    <w:rsid w:val="00323D52"/>
    <w:rsid w:val="00324001"/>
    <w:rsid w:val="003241A1"/>
    <w:rsid w:val="003241CF"/>
    <w:rsid w:val="0032436B"/>
    <w:rsid w:val="003243D8"/>
    <w:rsid w:val="0032447A"/>
    <w:rsid w:val="003244C2"/>
    <w:rsid w:val="0032490F"/>
    <w:rsid w:val="003249D7"/>
    <w:rsid w:val="00324A1A"/>
    <w:rsid w:val="00324A25"/>
    <w:rsid w:val="00324CC6"/>
    <w:rsid w:val="00324E95"/>
    <w:rsid w:val="00324FE4"/>
    <w:rsid w:val="003250E9"/>
    <w:rsid w:val="00325241"/>
    <w:rsid w:val="0032538E"/>
    <w:rsid w:val="0032538F"/>
    <w:rsid w:val="003256A7"/>
    <w:rsid w:val="00325A7A"/>
    <w:rsid w:val="00325C11"/>
    <w:rsid w:val="00325D44"/>
    <w:rsid w:val="003260A7"/>
    <w:rsid w:val="0032650D"/>
    <w:rsid w:val="00326814"/>
    <w:rsid w:val="003268AD"/>
    <w:rsid w:val="00326AF5"/>
    <w:rsid w:val="00326D89"/>
    <w:rsid w:val="00326EAF"/>
    <w:rsid w:val="0032700D"/>
    <w:rsid w:val="0032710C"/>
    <w:rsid w:val="003272C1"/>
    <w:rsid w:val="003275C9"/>
    <w:rsid w:val="00327906"/>
    <w:rsid w:val="00327BD5"/>
    <w:rsid w:val="00327C8B"/>
    <w:rsid w:val="00327CA4"/>
    <w:rsid w:val="00327ED6"/>
    <w:rsid w:val="00330058"/>
    <w:rsid w:val="00330266"/>
    <w:rsid w:val="00330327"/>
    <w:rsid w:val="003305AF"/>
    <w:rsid w:val="00330727"/>
    <w:rsid w:val="003309E9"/>
    <w:rsid w:val="00330C78"/>
    <w:rsid w:val="00330C99"/>
    <w:rsid w:val="00330F3E"/>
    <w:rsid w:val="00330F74"/>
    <w:rsid w:val="00331060"/>
    <w:rsid w:val="00331318"/>
    <w:rsid w:val="0033140C"/>
    <w:rsid w:val="00331969"/>
    <w:rsid w:val="00331B9D"/>
    <w:rsid w:val="00331D22"/>
    <w:rsid w:val="00332028"/>
    <w:rsid w:val="00332314"/>
    <w:rsid w:val="00332943"/>
    <w:rsid w:val="00332C63"/>
    <w:rsid w:val="00332D08"/>
    <w:rsid w:val="00332D2C"/>
    <w:rsid w:val="00332E14"/>
    <w:rsid w:val="00332EDE"/>
    <w:rsid w:val="00332F9E"/>
    <w:rsid w:val="00332FE0"/>
    <w:rsid w:val="00333271"/>
    <w:rsid w:val="00333306"/>
    <w:rsid w:val="0033354C"/>
    <w:rsid w:val="0033360A"/>
    <w:rsid w:val="0033397F"/>
    <w:rsid w:val="003339AA"/>
    <w:rsid w:val="00333D2B"/>
    <w:rsid w:val="00333E94"/>
    <w:rsid w:val="00333EC1"/>
    <w:rsid w:val="00333F00"/>
    <w:rsid w:val="0033400B"/>
    <w:rsid w:val="003342CD"/>
    <w:rsid w:val="003345D8"/>
    <w:rsid w:val="00334900"/>
    <w:rsid w:val="00334D40"/>
    <w:rsid w:val="00335042"/>
    <w:rsid w:val="003350ED"/>
    <w:rsid w:val="0033516B"/>
    <w:rsid w:val="0033556C"/>
    <w:rsid w:val="003355CD"/>
    <w:rsid w:val="00335793"/>
    <w:rsid w:val="003358EA"/>
    <w:rsid w:val="003359A4"/>
    <w:rsid w:val="003359F1"/>
    <w:rsid w:val="003360F6"/>
    <w:rsid w:val="003361A8"/>
    <w:rsid w:val="003368A4"/>
    <w:rsid w:val="003369A0"/>
    <w:rsid w:val="00336DA7"/>
    <w:rsid w:val="00336EC5"/>
    <w:rsid w:val="003371EF"/>
    <w:rsid w:val="003372A9"/>
    <w:rsid w:val="0033735C"/>
    <w:rsid w:val="00337364"/>
    <w:rsid w:val="0033768A"/>
    <w:rsid w:val="00337A41"/>
    <w:rsid w:val="00337A53"/>
    <w:rsid w:val="003401C6"/>
    <w:rsid w:val="003404D1"/>
    <w:rsid w:val="0034062D"/>
    <w:rsid w:val="00340735"/>
    <w:rsid w:val="00340CBD"/>
    <w:rsid w:val="00340E6D"/>
    <w:rsid w:val="00341259"/>
    <w:rsid w:val="0034129B"/>
    <w:rsid w:val="003415A7"/>
    <w:rsid w:val="0034161B"/>
    <w:rsid w:val="003417A4"/>
    <w:rsid w:val="0034196E"/>
    <w:rsid w:val="0034197B"/>
    <w:rsid w:val="00341A0B"/>
    <w:rsid w:val="00341BF8"/>
    <w:rsid w:val="00341E50"/>
    <w:rsid w:val="00341E83"/>
    <w:rsid w:val="00341ECA"/>
    <w:rsid w:val="00341F3A"/>
    <w:rsid w:val="00341F62"/>
    <w:rsid w:val="00341F6A"/>
    <w:rsid w:val="00341FC5"/>
    <w:rsid w:val="00342039"/>
    <w:rsid w:val="003420C9"/>
    <w:rsid w:val="00342156"/>
    <w:rsid w:val="00342485"/>
    <w:rsid w:val="003426EE"/>
    <w:rsid w:val="003426F3"/>
    <w:rsid w:val="0034280A"/>
    <w:rsid w:val="00342828"/>
    <w:rsid w:val="00342880"/>
    <w:rsid w:val="0034288B"/>
    <w:rsid w:val="00342AB7"/>
    <w:rsid w:val="00342CE7"/>
    <w:rsid w:val="00342CF8"/>
    <w:rsid w:val="00342E8C"/>
    <w:rsid w:val="00342E8E"/>
    <w:rsid w:val="0034317D"/>
    <w:rsid w:val="003431BB"/>
    <w:rsid w:val="00343272"/>
    <w:rsid w:val="00343325"/>
    <w:rsid w:val="00343435"/>
    <w:rsid w:val="0034356E"/>
    <w:rsid w:val="00343619"/>
    <w:rsid w:val="003437F9"/>
    <w:rsid w:val="00343860"/>
    <w:rsid w:val="003438A6"/>
    <w:rsid w:val="003438E5"/>
    <w:rsid w:val="00343B16"/>
    <w:rsid w:val="00343B57"/>
    <w:rsid w:val="00343BAD"/>
    <w:rsid w:val="00343D56"/>
    <w:rsid w:val="00343F0D"/>
    <w:rsid w:val="003441D9"/>
    <w:rsid w:val="00344520"/>
    <w:rsid w:val="003448A0"/>
    <w:rsid w:val="0034497F"/>
    <w:rsid w:val="003449AB"/>
    <w:rsid w:val="00344B33"/>
    <w:rsid w:val="00344D99"/>
    <w:rsid w:val="00345522"/>
    <w:rsid w:val="0034590C"/>
    <w:rsid w:val="00345DEE"/>
    <w:rsid w:val="00345F4D"/>
    <w:rsid w:val="003460D2"/>
    <w:rsid w:val="0034620C"/>
    <w:rsid w:val="003468A2"/>
    <w:rsid w:val="003469B9"/>
    <w:rsid w:val="003469DF"/>
    <w:rsid w:val="00346A87"/>
    <w:rsid w:val="00346C82"/>
    <w:rsid w:val="00346DC4"/>
    <w:rsid w:val="00346E31"/>
    <w:rsid w:val="00346F7B"/>
    <w:rsid w:val="003471A0"/>
    <w:rsid w:val="0034742A"/>
    <w:rsid w:val="00347518"/>
    <w:rsid w:val="00347840"/>
    <w:rsid w:val="00347D52"/>
    <w:rsid w:val="00347EF3"/>
    <w:rsid w:val="00347F1C"/>
    <w:rsid w:val="00347FDF"/>
    <w:rsid w:val="0035004B"/>
    <w:rsid w:val="003500C6"/>
    <w:rsid w:val="003500E5"/>
    <w:rsid w:val="003501AD"/>
    <w:rsid w:val="003503CA"/>
    <w:rsid w:val="00350549"/>
    <w:rsid w:val="00350555"/>
    <w:rsid w:val="00350616"/>
    <w:rsid w:val="00350714"/>
    <w:rsid w:val="003508F8"/>
    <w:rsid w:val="00350BDF"/>
    <w:rsid w:val="00351075"/>
    <w:rsid w:val="0035159E"/>
    <w:rsid w:val="00351810"/>
    <w:rsid w:val="00351931"/>
    <w:rsid w:val="00351AE2"/>
    <w:rsid w:val="00351E44"/>
    <w:rsid w:val="00352071"/>
    <w:rsid w:val="0035218D"/>
    <w:rsid w:val="00352489"/>
    <w:rsid w:val="0035252B"/>
    <w:rsid w:val="00352634"/>
    <w:rsid w:val="00352823"/>
    <w:rsid w:val="00352828"/>
    <w:rsid w:val="003528D8"/>
    <w:rsid w:val="00352B4E"/>
    <w:rsid w:val="00352B84"/>
    <w:rsid w:val="00352C95"/>
    <w:rsid w:val="00352D79"/>
    <w:rsid w:val="00353078"/>
    <w:rsid w:val="00353120"/>
    <w:rsid w:val="00353194"/>
    <w:rsid w:val="003531D4"/>
    <w:rsid w:val="0035330A"/>
    <w:rsid w:val="00353614"/>
    <w:rsid w:val="0035387D"/>
    <w:rsid w:val="003539B9"/>
    <w:rsid w:val="003539DD"/>
    <w:rsid w:val="00353A8C"/>
    <w:rsid w:val="00353E11"/>
    <w:rsid w:val="0035405B"/>
    <w:rsid w:val="00354210"/>
    <w:rsid w:val="00354291"/>
    <w:rsid w:val="0035429A"/>
    <w:rsid w:val="003543F1"/>
    <w:rsid w:val="00354502"/>
    <w:rsid w:val="00354617"/>
    <w:rsid w:val="00354A3A"/>
    <w:rsid w:val="00354D2A"/>
    <w:rsid w:val="00354D64"/>
    <w:rsid w:val="00354E2C"/>
    <w:rsid w:val="003550A2"/>
    <w:rsid w:val="0035529F"/>
    <w:rsid w:val="003553FD"/>
    <w:rsid w:val="0035547F"/>
    <w:rsid w:val="0035564B"/>
    <w:rsid w:val="003556A5"/>
    <w:rsid w:val="00355814"/>
    <w:rsid w:val="00355960"/>
    <w:rsid w:val="00355A3B"/>
    <w:rsid w:val="00355A75"/>
    <w:rsid w:val="00355CF2"/>
    <w:rsid w:val="00356618"/>
    <w:rsid w:val="0035677D"/>
    <w:rsid w:val="00356E32"/>
    <w:rsid w:val="00356E7B"/>
    <w:rsid w:val="003570B3"/>
    <w:rsid w:val="00357408"/>
    <w:rsid w:val="00357538"/>
    <w:rsid w:val="00357605"/>
    <w:rsid w:val="0035772D"/>
    <w:rsid w:val="00357B86"/>
    <w:rsid w:val="00357D69"/>
    <w:rsid w:val="00357EFD"/>
    <w:rsid w:val="0036047D"/>
    <w:rsid w:val="00360C26"/>
    <w:rsid w:val="00360C2B"/>
    <w:rsid w:val="00361148"/>
    <w:rsid w:val="0036163A"/>
    <w:rsid w:val="003619AD"/>
    <w:rsid w:val="00361A97"/>
    <w:rsid w:val="00361B5A"/>
    <w:rsid w:val="00361C6D"/>
    <w:rsid w:val="00361E46"/>
    <w:rsid w:val="00361E60"/>
    <w:rsid w:val="00362064"/>
    <w:rsid w:val="003621E9"/>
    <w:rsid w:val="003623BB"/>
    <w:rsid w:val="0036244B"/>
    <w:rsid w:val="00362494"/>
    <w:rsid w:val="003629A9"/>
    <w:rsid w:val="00362B70"/>
    <w:rsid w:val="0036309C"/>
    <w:rsid w:val="003630C7"/>
    <w:rsid w:val="00363259"/>
    <w:rsid w:val="003635E1"/>
    <w:rsid w:val="003635F0"/>
    <w:rsid w:val="00363787"/>
    <w:rsid w:val="0036385A"/>
    <w:rsid w:val="00363A4A"/>
    <w:rsid w:val="00363ADC"/>
    <w:rsid w:val="00363D50"/>
    <w:rsid w:val="00363F32"/>
    <w:rsid w:val="0036409B"/>
    <w:rsid w:val="00364217"/>
    <w:rsid w:val="0036424C"/>
    <w:rsid w:val="00364269"/>
    <w:rsid w:val="00364328"/>
    <w:rsid w:val="00364363"/>
    <w:rsid w:val="0036454E"/>
    <w:rsid w:val="0036456D"/>
    <w:rsid w:val="00364973"/>
    <w:rsid w:val="00364996"/>
    <w:rsid w:val="00364AA3"/>
    <w:rsid w:val="00364B26"/>
    <w:rsid w:val="00364C86"/>
    <w:rsid w:val="00364C9A"/>
    <w:rsid w:val="00364CF7"/>
    <w:rsid w:val="00364D63"/>
    <w:rsid w:val="00364DBD"/>
    <w:rsid w:val="00364DDC"/>
    <w:rsid w:val="00365015"/>
    <w:rsid w:val="003653E0"/>
    <w:rsid w:val="00365447"/>
    <w:rsid w:val="0036554F"/>
    <w:rsid w:val="00365572"/>
    <w:rsid w:val="003655AF"/>
    <w:rsid w:val="00365631"/>
    <w:rsid w:val="00365937"/>
    <w:rsid w:val="00365A57"/>
    <w:rsid w:val="00365B89"/>
    <w:rsid w:val="00365FA0"/>
    <w:rsid w:val="0036619B"/>
    <w:rsid w:val="003662C7"/>
    <w:rsid w:val="00366450"/>
    <w:rsid w:val="00366579"/>
    <w:rsid w:val="003666CB"/>
    <w:rsid w:val="00366768"/>
    <w:rsid w:val="003669CC"/>
    <w:rsid w:val="00366B63"/>
    <w:rsid w:val="00366C78"/>
    <w:rsid w:val="00367242"/>
    <w:rsid w:val="00367318"/>
    <w:rsid w:val="00367370"/>
    <w:rsid w:val="003673B9"/>
    <w:rsid w:val="003674ED"/>
    <w:rsid w:val="003676AC"/>
    <w:rsid w:val="00367758"/>
    <w:rsid w:val="003677FB"/>
    <w:rsid w:val="003678C1"/>
    <w:rsid w:val="00367AB6"/>
    <w:rsid w:val="00367B60"/>
    <w:rsid w:val="00367BD7"/>
    <w:rsid w:val="00367BEE"/>
    <w:rsid w:val="00367F0A"/>
    <w:rsid w:val="00367F4C"/>
    <w:rsid w:val="003703F3"/>
    <w:rsid w:val="00370410"/>
    <w:rsid w:val="0037041C"/>
    <w:rsid w:val="00370428"/>
    <w:rsid w:val="00370645"/>
    <w:rsid w:val="00370647"/>
    <w:rsid w:val="0037087C"/>
    <w:rsid w:val="00370A71"/>
    <w:rsid w:val="00370AD6"/>
    <w:rsid w:val="00371392"/>
    <w:rsid w:val="0037150B"/>
    <w:rsid w:val="003718A0"/>
    <w:rsid w:val="00371995"/>
    <w:rsid w:val="003719DC"/>
    <w:rsid w:val="00371AC5"/>
    <w:rsid w:val="00371C17"/>
    <w:rsid w:val="00371C79"/>
    <w:rsid w:val="00371D30"/>
    <w:rsid w:val="00371DEC"/>
    <w:rsid w:val="00371E61"/>
    <w:rsid w:val="00371F7A"/>
    <w:rsid w:val="00372258"/>
    <w:rsid w:val="00372333"/>
    <w:rsid w:val="00372486"/>
    <w:rsid w:val="003725B1"/>
    <w:rsid w:val="003726AC"/>
    <w:rsid w:val="003726AD"/>
    <w:rsid w:val="00372925"/>
    <w:rsid w:val="00372B45"/>
    <w:rsid w:val="00372BF7"/>
    <w:rsid w:val="00372CE8"/>
    <w:rsid w:val="00373382"/>
    <w:rsid w:val="00373491"/>
    <w:rsid w:val="0037380C"/>
    <w:rsid w:val="003738C7"/>
    <w:rsid w:val="00373D4B"/>
    <w:rsid w:val="00373DF8"/>
    <w:rsid w:val="00373E33"/>
    <w:rsid w:val="00373F24"/>
    <w:rsid w:val="003740CA"/>
    <w:rsid w:val="003741A7"/>
    <w:rsid w:val="00374240"/>
    <w:rsid w:val="0037437C"/>
    <w:rsid w:val="003743AB"/>
    <w:rsid w:val="00374941"/>
    <w:rsid w:val="0037496F"/>
    <w:rsid w:val="00374D3D"/>
    <w:rsid w:val="00374D5F"/>
    <w:rsid w:val="003751D5"/>
    <w:rsid w:val="0037568A"/>
    <w:rsid w:val="003756F0"/>
    <w:rsid w:val="0037570D"/>
    <w:rsid w:val="003759BE"/>
    <w:rsid w:val="00375C8A"/>
    <w:rsid w:val="00375D81"/>
    <w:rsid w:val="00375E2A"/>
    <w:rsid w:val="00376066"/>
    <w:rsid w:val="0037614C"/>
    <w:rsid w:val="0037629B"/>
    <w:rsid w:val="00376519"/>
    <w:rsid w:val="003766E9"/>
    <w:rsid w:val="003767D1"/>
    <w:rsid w:val="00376851"/>
    <w:rsid w:val="003768C1"/>
    <w:rsid w:val="003768C6"/>
    <w:rsid w:val="00376A82"/>
    <w:rsid w:val="00376AB8"/>
    <w:rsid w:val="00376AFD"/>
    <w:rsid w:val="00377125"/>
    <w:rsid w:val="003771FA"/>
    <w:rsid w:val="0037723F"/>
    <w:rsid w:val="00377365"/>
    <w:rsid w:val="00377602"/>
    <w:rsid w:val="0037777D"/>
    <w:rsid w:val="00377836"/>
    <w:rsid w:val="00377C7E"/>
    <w:rsid w:val="00377CCD"/>
    <w:rsid w:val="00377EA1"/>
    <w:rsid w:val="00377EB9"/>
    <w:rsid w:val="0038015D"/>
    <w:rsid w:val="003801F4"/>
    <w:rsid w:val="0038020C"/>
    <w:rsid w:val="003802EB"/>
    <w:rsid w:val="0038031A"/>
    <w:rsid w:val="0038035C"/>
    <w:rsid w:val="0038056E"/>
    <w:rsid w:val="0038060D"/>
    <w:rsid w:val="003806A2"/>
    <w:rsid w:val="00380896"/>
    <w:rsid w:val="00380B30"/>
    <w:rsid w:val="00380C99"/>
    <w:rsid w:val="0038105A"/>
    <w:rsid w:val="0038133B"/>
    <w:rsid w:val="003813BF"/>
    <w:rsid w:val="003813C5"/>
    <w:rsid w:val="00381417"/>
    <w:rsid w:val="0038149C"/>
    <w:rsid w:val="0038178F"/>
    <w:rsid w:val="00381867"/>
    <w:rsid w:val="0038187C"/>
    <w:rsid w:val="003819C4"/>
    <w:rsid w:val="003819DD"/>
    <w:rsid w:val="00381B07"/>
    <w:rsid w:val="00381B9F"/>
    <w:rsid w:val="00381C02"/>
    <w:rsid w:val="00381CD2"/>
    <w:rsid w:val="00381EAF"/>
    <w:rsid w:val="00381F2D"/>
    <w:rsid w:val="00381F53"/>
    <w:rsid w:val="00382076"/>
    <w:rsid w:val="0038235E"/>
    <w:rsid w:val="00382414"/>
    <w:rsid w:val="0038292C"/>
    <w:rsid w:val="003829FE"/>
    <w:rsid w:val="00382D0F"/>
    <w:rsid w:val="00382D34"/>
    <w:rsid w:val="00382DB9"/>
    <w:rsid w:val="00382DC8"/>
    <w:rsid w:val="00382FF0"/>
    <w:rsid w:val="003833A7"/>
    <w:rsid w:val="003837BA"/>
    <w:rsid w:val="00383A17"/>
    <w:rsid w:val="00383C08"/>
    <w:rsid w:val="00383C3E"/>
    <w:rsid w:val="00383C6F"/>
    <w:rsid w:val="00383EFC"/>
    <w:rsid w:val="00383F87"/>
    <w:rsid w:val="0038410D"/>
    <w:rsid w:val="00384134"/>
    <w:rsid w:val="0038417E"/>
    <w:rsid w:val="003846E6"/>
    <w:rsid w:val="003848D5"/>
    <w:rsid w:val="00384E67"/>
    <w:rsid w:val="00384FCD"/>
    <w:rsid w:val="0038500E"/>
    <w:rsid w:val="00385048"/>
    <w:rsid w:val="003851CE"/>
    <w:rsid w:val="0038548E"/>
    <w:rsid w:val="003854CA"/>
    <w:rsid w:val="0038550B"/>
    <w:rsid w:val="003855B6"/>
    <w:rsid w:val="003855F6"/>
    <w:rsid w:val="0038588F"/>
    <w:rsid w:val="003858CB"/>
    <w:rsid w:val="00385B7A"/>
    <w:rsid w:val="00385B89"/>
    <w:rsid w:val="00385BD3"/>
    <w:rsid w:val="00385EF6"/>
    <w:rsid w:val="00386075"/>
    <w:rsid w:val="0038624E"/>
    <w:rsid w:val="003867C1"/>
    <w:rsid w:val="00386975"/>
    <w:rsid w:val="00386AB0"/>
    <w:rsid w:val="00386AFF"/>
    <w:rsid w:val="00386C6D"/>
    <w:rsid w:val="00386CA8"/>
    <w:rsid w:val="00386DE8"/>
    <w:rsid w:val="00386FF0"/>
    <w:rsid w:val="0038775D"/>
    <w:rsid w:val="003878D6"/>
    <w:rsid w:val="00387CAD"/>
    <w:rsid w:val="00387CFC"/>
    <w:rsid w:val="00387E7F"/>
    <w:rsid w:val="00387EFE"/>
    <w:rsid w:val="00387FAF"/>
    <w:rsid w:val="0039016B"/>
    <w:rsid w:val="003901C3"/>
    <w:rsid w:val="00390508"/>
    <w:rsid w:val="003907FF"/>
    <w:rsid w:val="00390B1D"/>
    <w:rsid w:val="00390B91"/>
    <w:rsid w:val="00390CFB"/>
    <w:rsid w:val="00390F50"/>
    <w:rsid w:val="003911AC"/>
    <w:rsid w:val="00391427"/>
    <w:rsid w:val="0039149F"/>
    <w:rsid w:val="00391613"/>
    <w:rsid w:val="00391631"/>
    <w:rsid w:val="003916D2"/>
    <w:rsid w:val="003917CD"/>
    <w:rsid w:val="00391872"/>
    <w:rsid w:val="00391F0A"/>
    <w:rsid w:val="003921F6"/>
    <w:rsid w:val="00392427"/>
    <w:rsid w:val="003924AF"/>
    <w:rsid w:val="00392522"/>
    <w:rsid w:val="003926B1"/>
    <w:rsid w:val="0039280E"/>
    <w:rsid w:val="0039293B"/>
    <w:rsid w:val="0039299B"/>
    <w:rsid w:val="00392A97"/>
    <w:rsid w:val="00392BBA"/>
    <w:rsid w:val="00392CBD"/>
    <w:rsid w:val="00392E5A"/>
    <w:rsid w:val="00393181"/>
    <w:rsid w:val="00393259"/>
    <w:rsid w:val="0039333B"/>
    <w:rsid w:val="003935A4"/>
    <w:rsid w:val="003938C1"/>
    <w:rsid w:val="00393C0A"/>
    <w:rsid w:val="00394033"/>
    <w:rsid w:val="0039405F"/>
    <w:rsid w:val="0039458D"/>
    <w:rsid w:val="00394B24"/>
    <w:rsid w:val="00394C02"/>
    <w:rsid w:val="00394F09"/>
    <w:rsid w:val="00394F69"/>
    <w:rsid w:val="00394F6F"/>
    <w:rsid w:val="00394F75"/>
    <w:rsid w:val="00394F90"/>
    <w:rsid w:val="003951A0"/>
    <w:rsid w:val="00395201"/>
    <w:rsid w:val="0039524A"/>
    <w:rsid w:val="0039524D"/>
    <w:rsid w:val="003952EA"/>
    <w:rsid w:val="0039540F"/>
    <w:rsid w:val="00395469"/>
    <w:rsid w:val="003954FD"/>
    <w:rsid w:val="00395578"/>
    <w:rsid w:val="00395636"/>
    <w:rsid w:val="00395762"/>
    <w:rsid w:val="0039599D"/>
    <w:rsid w:val="00395C5C"/>
    <w:rsid w:val="00395D1F"/>
    <w:rsid w:val="00395D6D"/>
    <w:rsid w:val="00396118"/>
    <w:rsid w:val="003961DC"/>
    <w:rsid w:val="003961DF"/>
    <w:rsid w:val="003962AD"/>
    <w:rsid w:val="0039631B"/>
    <w:rsid w:val="00396344"/>
    <w:rsid w:val="00396392"/>
    <w:rsid w:val="003964C3"/>
    <w:rsid w:val="00396771"/>
    <w:rsid w:val="00396970"/>
    <w:rsid w:val="003969B0"/>
    <w:rsid w:val="00396F10"/>
    <w:rsid w:val="00396F3A"/>
    <w:rsid w:val="00396FE9"/>
    <w:rsid w:val="00397153"/>
    <w:rsid w:val="00397224"/>
    <w:rsid w:val="0039741C"/>
    <w:rsid w:val="00397474"/>
    <w:rsid w:val="00397476"/>
    <w:rsid w:val="0039754C"/>
    <w:rsid w:val="003975DC"/>
    <w:rsid w:val="00397699"/>
    <w:rsid w:val="003976D5"/>
    <w:rsid w:val="00397975"/>
    <w:rsid w:val="00397B5D"/>
    <w:rsid w:val="003A0468"/>
    <w:rsid w:val="003A060D"/>
    <w:rsid w:val="003A0696"/>
    <w:rsid w:val="003A0B18"/>
    <w:rsid w:val="003A0D0F"/>
    <w:rsid w:val="003A0D25"/>
    <w:rsid w:val="003A0E2B"/>
    <w:rsid w:val="003A12FA"/>
    <w:rsid w:val="003A1307"/>
    <w:rsid w:val="003A15AF"/>
    <w:rsid w:val="003A15F6"/>
    <w:rsid w:val="003A1785"/>
    <w:rsid w:val="003A1794"/>
    <w:rsid w:val="003A19A9"/>
    <w:rsid w:val="003A1A01"/>
    <w:rsid w:val="003A1B0B"/>
    <w:rsid w:val="003A1D84"/>
    <w:rsid w:val="003A1F90"/>
    <w:rsid w:val="003A219D"/>
    <w:rsid w:val="003A21AD"/>
    <w:rsid w:val="003A21E7"/>
    <w:rsid w:val="003A26BD"/>
    <w:rsid w:val="003A29E2"/>
    <w:rsid w:val="003A29F4"/>
    <w:rsid w:val="003A29FC"/>
    <w:rsid w:val="003A2B5B"/>
    <w:rsid w:val="003A2D9E"/>
    <w:rsid w:val="003A2DA4"/>
    <w:rsid w:val="003A2DD6"/>
    <w:rsid w:val="003A2E1A"/>
    <w:rsid w:val="003A2F54"/>
    <w:rsid w:val="003A330C"/>
    <w:rsid w:val="003A3536"/>
    <w:rsid w:val="003A381B"/>
    <w:rsid w:val="003A38F2"/>
    <w:rsid w:val="003A392E"/>
    <w:rsid w:val="003A3C12"/>
    <w:rsid w:val="003A3D2E"/>
    <w:rsid w:val="003A3E0C"/>
    <w:rsid w:val="003A3F7B"/>
    <w:rsid w:val="003A3FBD"/>
    <w:rsid w:val="003A4207"/>
    <w:rsid w:val="003A4468"/>
    <w:rsid w:val="003A4660"/>
    <w:rsid w:val="003A477B"/>
    <w:rsid w:val="003A4844"/>
    <w:rsid w:val="003A4876"/>
    <w:rsid w:val="003A4877"/>
    <w:rsid w:val="003A48D4"/>
    <w:rsid w:val="003A4A39"/>
    <w:rsid w:val="003A4BCF"/>
    <w:rsid w:val="003A4DFD"/>
    <w:rsid w:val="003A4F85"/>
    <w:rsid w:val="003A5005"/>
    <w:rsid w:val="003A504E"/>
    <w:rsid w:val="003A517F"/>
    <w:rsid w:val="003A547E"/>
    <w:rsid w:val="003A54AC"/>
    <w:rsid w:val="003A56FB"/>
    <w:rsid w:val="003A57E7"/>
    <w:rsid w:val="003A5BC3"/>
    <w:rsid w:val="003A5C2D"/>
    <w:rsid w:val="003A5F57"/>
    <w:rsid w:val="003A6093"/>
    <w:rsid w:val="003A60B3"/>
    <w:rsid w:val="003A61AE"/>
    <w:rsid w:val="003A6645"/>
    <w:rsid w:val="003A67FB"/>
    <w:rsid w:val="003A6C59"/>
    <w:rsid w:val="003A6E67"/>
    <w:rsid w:val="003A6FBC"/>
    <w:rsid w:val="003A720D"/>
    <w:rsid w:val="003A72FE"/>
    <w:rsid w:val="003A774E"/>
    <w:rsid w:val="003A77F9"/>
    <w:rsid w:val="003A786E"/>
    <w:rsid w:val="003A7B33"/>
    <w:rsid w:val="003A7BDF"/>
    <w:rsid w:val="003A7D40"/>
    <w:rsid w:val="003A7E4A"/>
    <w:rsid w:val="003A7F9F"/>
    <w:rsid w:val="003B0054"/>
    <w:rsid w:val="003B00CA"/>
    <w:rsid w:val="003B00CC"/>
    <w:rsid w:val="003B039B"/>
    <w:rsid w:val="003B05A6"/>
    <w:rsid w:val="003B05BC"/>
    <w:rsid w:val="003B0668"/>
    <w:rsid w:val="003B0907"/>
    <w:rsid w:val="003B0B72"/>
    <w:rsid w:val="003B0D9C"/>
    <w:rsid w:val="003B0E5F"/>
    <w:rsid w:val="003B0FA1"/>
    <w:rsid w:val="003B0FDE"/>
    <w:rsid w:val="003B102C"/>
    <w:rsid w:val="003B12B8"/>
    <w:rsid w:val="003B12E1"/>
    <w:rsid w:val="003B13A6"/>
    <w:rsid w:val="003B13DC"/>
    <w:rsid w:val="003B1488"/>
    <w:rsid w:val="003B14E5"/>
    <w:rsid w:val="003B152D"/>
    <w:rsid w:val="003B186B"/>
    <w:rsid w:val="003B1B8E"/>
    <w:rsid w:val="003B1EF1"/>
    <w:rsid w:val="003B1F9C"/>
    <w:rsid w:val="003B208F"/>
    <w:rsid w:val="003B22F9"/>
    <w:rsid w:val="003B2580"/>
    <w:rsid w:val="003B2678"/>
    <w:rsid w:val="003B28A2"/>
    <w:rsid w:val="003B2D4C"/>
    <w:rsid w:val="003B2E1F"/>
    <w:rsid w:val="003B2EBE"/>
    <w:rsid w:val="003B2ED6"/>
    <w:rsid w:val="003B2FEE"/>
    <w:rsid w:val="003B3200"/>
    <w:rsid w:val="003B323F"/>
    <w:rsid w:val="003B34A7"/>
    <w:rsid w:val="003B3764"/>
    <w:rsid w:val="003B3864"/>
    <w:rsid w:val="003B3941"/>
    <w:rsid w:val="003B3BB9"/>
    <w:rsid w:val="003B3D15"/>
    <w:rsid w:val="003B3E26"/>
    <w:rsid w:val="003B3EC5"/>
    <w:rsid w:val="003B3F9B"/>
    <w:rsid w:val="003B420B"/>
    <w:rsid w:val="003B4218"/>
    <w:rsid w:val="003B4324"/>
    <w:rsid w:val="003B4808"/>
    <w:rsid w:val="003B4839"/>
    <w:rsid w:val="003B49A3"/>
    <w:rsid w:val="003B4AF6"/>
    <w:rsid w:val="003B4C38"/>
    <w:rsid w:val="003B4D20"/>
    <w:rsid w:val="003B4D56"/>
    <w:rsid w:val="003B4E38"/>
    <w:rsid w:val="003B4FEF"/>
    <w:rsid w:val="003B50EA"/>
    <w:rsid w:val="003B5146"/>
    <w:rsid w:val="003B5174"/>
    <w:rsid w:val="003B525B"/>
    <w:rsid w:val="003B5577"/>
    <w:rsid w:val="003B56AB"/>
    <w:rsid w:val="003B56D4"/>
    <w:rsid w:val="003B58E2"/>
    <w:rsid w:val="003B5D3E"/>
    <w:rsid w:val="003B5DFD"/>
    <w:rsid w:val="003B5E4E"/>
    <w:rsid w:val="003B5F1E"/>
    <w:rsid w:val="003B605D"/>
    <w:rsid w:val="003B6523"/>
    <w:rsid w:val="003B6569"/>
    <w:rsid w:val="003B6618"/>
    <w:rsid w:val="003B67EF"/>
    <w:rsid w:val="003B690D"/>
    <w:rsid w:val="003B6BB6"/>
    <w:rsid w:val="003B709C"/>
    <w:rsid w:val="003B7622"/>
    <w:rsid w:val="003B765A"/>
    <w:rsid w:val="003B7875"/>
    <w:rsid w:val="003B79F9"/>
    <w:rsid w:val="003B7B0A"/>
    <w:rsid w:val="003B7B67"/>
    <w:rsid w:val="003B7C33"/>
    <w:rsid w:val="003C0507"/>
    <w:rsid w:val="003C0562"/>
    <w:rsid w:val="003C057E"/>
    <w:rsid w:val="003C06E1"/>
    <w:rsid w:val="003C0881"/>
    <w:rsid w:val="003C0900"/>
    <w:rsid w:val="003C0A8E"/>
    <w:rsid w:val="003C0BB4"/>
    <w:rsid w:val="003C0C68"/>
    <w:rsid w:val="003C0D0C"/>
    <w:rsid w:val="003C0EB2"/>
    <w:rsid w:val="003C107F"/>
    <w:rsid w:val="003C1380"/>
    <w:rsid w:val="003C1892"/>
    <w:rsid w:val="003C1945"/>
    <w:rsid w:val="003C19F3"/>
    <w:rsid w:val="003C1A78"/>
    <w:rsid w:val="003C1DF3"/>
    <w:rsid w:val="003C1E8C"/>
    <w:rsid w:val="003C1F24"/>
    <w:rsid w:val="003C1F54"/>
    <w:rsid w:val="003C219D"/>
    <w:rsid w:val="003C21B0"/>
    <w:rsid w:val="003C2254"/>
    <w:rsid w:val="003C2318"/>
    <w:rsid w:val="003C2460"/>
    <w:rsid w:val="003C246A"/>
    <w:rsid w:val="003C254F"/>
    <w:rsid w:val="003C271C"/>
    <w:rsid w:val="003C27A5"/>
    <w:rsid w:val="003C2BE2"/>
    <w:rsid w:val="003C2EC6"/>
    <w:rsid w:val="003C2F0D"/>
    <w:rsid w:val="003C3337"/>
    <w:rsid w:val="003C340B"/>
    <w:rsid w:val="003C34BC"/>
    <w:rsid w:val="003C3501"/>
    <w:rsid w:val="003C360A"/>
    <w:rsid w:val="003C372D"/>
    <w:rsid w:val="003C3819"/>
    <w:rsid w:val="003C386F"/>
    <w:rsid w:val="003C3C2C"/>
    <w:rsid w:val="003C3E91"/>
    <w:rsid w:val="003C3EAC"/>
    <w:rsid w:val="003C4023"/>
    <w:rsid w:val="003C43C4"/>
    <w:rsid w:val="003C43CC"/>
    <w:rsid w:val="003C4403"/>
    <w:rsid w:val="003C4630"/>
    <w:rsid w:val="003C4696"/>
    <w:rsid w:val="003C46B8"/>
    <w:rsid w:val="003C49F0"/>
    <w:rsid w:val="003C4B9F"/>
    <w:rsid w:val="003C4E3D"/>
    <w:rsid w:val="003C4EA8"/>
    <w:rsid w:val="003C4FFC"/>
    <w:rsid w:val="003C5174"/>
    <w:rsid w:val="003C53A9"/>
    <w:rsid w:val="003C53D1"/>
    <w:rsid w:val="003C551D"/>
    <w:rsid w:val="003C580C"/>
    <w:rsid w:val="003C5A8E"/>
    <w:rsid w:val="003C5B10"/>
    <w:rsid w:val="003C5B92"/>
    <w:rsid w:val="003C5D8C"/>
    <w:rsid w:val="003C5F63"/>
    <w:rsid w:val="003C6147"/>
    <w:rsid w:val="003C6161"/>
    <w:rsid w:val="003C62AC"/>
    <w:rsid w:val="003C66E8"/>
    <w:rsid w:val="003C6727"/>
    <w:rsid w:val="003C6751"/>
    <w:rsid w:val="003C6BD5"/>
    <w:rsid w:val="003C6C32"/>
    <w:rsid w:val="003C700C"/>
    <w:rsid w:val="003C7273"/>
    <w:rsid w:val="003C742B"/>
    <w:rsid w:val="003C7509"/>
    <w:rsid w:val="003C76D6"/>
    <w:rsid w:val="003C7765"/>
    <w:rsid w:val="003C7907"/>
    <w:rsid w:val="003C7B68"/>
    <w:rsid w:val="003C7D90"/>
    <w:rsid w:val="003C7EBF"/>
    <w:rsid w:val="003C7F41"/>
    <w:rsid w:val="003D0239"/>
    <w:rsid w:val="003D0283"/>
    <w:rsid w:val="003D02FE"/>
    <w:rsid w:val="003D0573"/>
    <w:rsid w:val="003D0858"/>
    <w:rsid w:val="003D09BF"/>
    <w:rsid w:val="003D0C24"/>
    <w:rsid w:val="003D0C61"/>
    <w:rsid w:val="003D0E85"/>
    <w:rsid w:val="003D1240"/>
    <w:rsid w:val="003D1252"/>
    <w:rsid w:val="003D14AB"/>
    <w:rsid w:val="003D14E0"/>
    <w:rsid w:val="003D188C"/>
    <w:rsid w:val="003D18DC"/>
    <w:rsid w:val="003D1AB5"/>
    <w:rsid w:val="003D1C57"/>
    <w:rsid w:val="003D1C9C"/>
    <w:rsid w:val="003D1D4F"/>
    <w:rsid w:val="003D1FAF"/>
    <w:rsid w:val="003D1FD1"/>
    <w:rsid w:val="003D2286"/>
    <w:rsid w:val="003D24A6"/>
    <w:rsid w:val="003D25FE"/>
    <w:rsid w:val="003D2654"/>
    <w:rsid w:val="003D2660"/>
    <w:rsid w:val="003D2667"/>
    <w:rsid w:val="003D2679"/>
    <w:rsid w:val="003D26B8"/>
    <w:rsid w:val="003D28B7"/>
    <w:rsid w:val="003D2915"/>
    <w:rsid w:val="003D2984"/>
    <w:rsid w:val="003D2D17"/>
    <w:rsid w:val="003D2DB9"/>
    <w:rsid w:val="003D300F"/>
    <w:rsid w:val="003D3206"/>
    <w:rsid w:val="003D3275"/>
    <w:rsid w:val="003D347F"/>
    <w:rsid w:val="003D3636"/>
    <w:rsid w:val="003D3746"/>
    <w:rsid w:val="003D37FE"/>
    <w:rsid w:val="003D3828"/>
    <w:rsid w:val="003D3964"/>
    <w:rsid w:val="003D401E"/>
    <w:rsid w:val="003D433F"/>
    <w:rsid w:val="003D43F3"/>
    <w:rsid w:val="003D43F7"/>
    <w:rsid w:val="003D4748"/>
    <w:rsid w:val="003D4DB2"/>
    <w:rsid w:val="003D50FD"/>
    <w:rsid w:val="003D5722"/>
    <w:rsid w:val="003D5750"/>
    <w:rsid w:val="003D57AE"/>
    <w:rsid w:val="003D5A55"/>
    <w:rsid w:val="003D5DBF"/>
    <w:rsid w:val="003D6090"/>
    <w:rsid w:val="003D60D7"/>
    <w:rsid w:val="003D6196"/>
    <w:rsid w:val="003D61C4"/>
    <w:rsid w:val="003D62A1"/>
    <w:rsid w:val="003D6459"/>
    <w:rsid w:val="003D6587"/>
    <w:rsid w:val="003D6ADA"/>
    <w:rsid w:val="003D6D40"/>
    <w:rsid w:val="003D6DD9"/>
    <w:rsid w:val="003D6F60"/>
    <w:rsid w:val="003D704B"/>
    <w:rsid w:val="003D72B6"/>
    <w:rsid w:val="003D73AD"/>
    <w:rsid w:val="003D7657"/>
    <w:rsid w:val="003D768E"/>
    <w:rsid w:val="003D769F"/>
    <w:rsid w:val="003D7C0A"/>
    <w:rsid w:val="003D7D79"/>
    <w:rsid w:val="003D7E70"/>
    <w:rsid w:val="003E03D6"/>
    <w:rsid w:val="003E0462"/>
    <w:rsid w:val="003E0540"/>
    <w:rsid w:val="003E066E"/>
    <w:rsid w:val="003E078E"/>
    <w:rsid w:val="003E0943"/>
    <w:rsid w:val="003E0A3B"/>
    <w:rsid w:val="003E0BA5"/>
    <w:rsid w:val="003E0F47"/>
    <w:rsid w:val="003E0F60"/>
    <w:rsid w:val="003E1A25"/>
    <w:rsid w:val="003E1AC3"/>
    <w:rsid w:val="003E1CDF"/>
    <w:rsid w:val="003E1CE3"/>
    <w:rsid w:val="003E1F79"/>
    <w:rsid w:val="003E2195"/>
    <w:rsid w:val="003E23D3"/>
    <w:rsid w:val="003E2464"/>
    <w:rsid w:val="003E24A4"/>
    <w:rsid w:val="003E2631"/>
    <w:rsid w:val="003E289F"/>
    <w:rsid w:val="003E2BE7"/>
    <w:rsid w:val="003E2D0D"/>
    <w:rsid w:val="003E3027"/>
    <w:rsid w:val="003E327D"/>
    <w:rsid w:val="003E334A"/>
    <w:rsid w:val="003E3807"/>
    <w:rsid w:val="003E3A57"/>
    <w:rsid w:val="003E405D"/>
    <w:rsid w:val="003E45B4"/>
    <w:rsid w:val="003E45FF"/>
    <w:rsid w:val="003E4814"/>
    <w:rsid w:val="003E485D"/>
    <w:rsid w:val="003E4952"/>
    <w:rsid w:val="003E4963"/>
    <w:rsid w:val="003E4A88"/>
    <w:rsid w:val="003E4AE8"/>
    <w:rsid w:val="003E4BF8"/>
    <w:rsid w:val="003E4CD5"/>
    <w:rsid w:val="003E4D69"/>
    <w:rsid w:val="003E4E30"/>
    <w:rsid w:val="003E5160"/>
    <w:rsid w:val="003E5165"/>
    <w:rsid w:val="003E51D7"/>
    <w:rsid w:val="003E559F"/>
    <w:rsid w:val="003E58FE"/>
    <w:rsid w:val="003E5B91"/>
    <w:rsid w:val="003E5CFB"/>
    <w:rsid w:val="003E5E97"/>
    <w:rsid w:val="003E613F"/>
    <w:rsid w:val="003E6249"/>
    <w:rsid w:val="003E62EC"/>
    <w:rsid w:val="003E63E9"/>
    <w:rsid w:val="003E63F7"/>
    <w:rsid w:val="003E6415"/>
    <w:rsid w:val="003E6451"/>
    <w:rsid w:val="003E6559"/>
    <w:rsid w:val="003E6664"/>
    <w:rsid w:val="003E6852"/>
    <w:rsid w:val="003E6881"/>
    <w:rsid w:val="003E6D73"/>
    <w:rsid w:val="003E6E27"/>
    <w:rsid w:val="003E6F61"/>
    <w:rsid w:val="003E703A"/>
    <w:rsid w:val="003E708E"/>
    <w:rsid w:val="003E7116"/>
    <w:rsid w:val="003E71FB"/>
    <w:rsid w:val="003E724F"/>
    <w:rsid w:val="003E74A2"/>
    <w:rsid w:val="003E75B8"/>
    <w:rsid w:val="003E75F2"/>
    <w:rsid w:val="003E7970"/>
    <w:rsid w:val="003E7A7A"/>
    <w:rsid w:val="003E7B2F"/>
    <w:rsid w:val="003E7B4F"/>
    <w:rsid w:val="003E7BE9"/>
    <w:rsid w:val="003E7D4F"/>
    <w:rsid w:val="003E7DBA"/>
    <w:rsid w:val="003E7DC0"/>
    <w:rsid w:val="003E7E82"/>
    <w:rsid w:val="003F017F"/>
    <w:rsid w:val="003F02B7"/>
    <w:rsid w:val="003F0387"/>
    <w:rsid w:val="003F03C9"/>
    <w:rsid w:val="003F04FC"/>
    <w:rsid w:val="003F062C"/>
    <w:rsid w:val="003F0772"/>
    <w:rsid w:val="003F09F2"/>
    <w:rsid w:val="003F0BAF"/>
    <w:rsid w:val="003F10F0"/>
    <w:rsid w:val="003F1203"/>
    <w:rsid w:val="003F120A"/>
    <w:rsid w:val="003F1483"/>
    <w:rsid w:val="003F15D0"/>
    <w:rsid w:val="003F1690"/>
    <w:rsid w:val="003F170E"/>
    <w:rsid w:val="003F19FA"/>
    <w:rsid w:val="003F19FF"/>
    <w:rsid w:val="003F1BED"/>
    <w:rsid w:val="003F1C53"/>
    <w:rsid w:val="003F1CD7"/>
    <w:rsid w:val="003F1E29"/>
    <w:rsid w:val="003F1E97"/>
    <w:rsid w:val="003F2543"/>
    <w:rsid w:val="003F268D"/>
    <w:rsid w:val="003F2799"/>
    <w:rsid w:val="003F288D"/>
    <w:rsid w:val="003F28BA"/>
    <w:rsid w:val="003F2955"/>
    <w:rsid w:val="003F2D3D"/>
    <w:rsid w:val="003F2F2A"/>
    <w:rsid w:val="003F32D7"/>
    <w:rsid w:val="003F34CF"/>
    <w:rsid w:val="003F36D3"/>
    <w:rsid w:val="003F36FD"/>
    <w:rsid w:val="003F37ED"/>
    <w:rsid w:val="003F3B64"/>
    <w:rsid w:val="003F3DB4"/>
    <w:rsid w:val="003F3F42"/>
    <w:rsid w:val="003F4010"/>
    <w:rsid w:val="003F4049"/>
    <w:rsid w:val="003F4303"/>
    <w:rsid w:val="003F4360"/>
    <w:rsid w:val="003F43F9"/>
    <w:rsid w:val="003F4456"/>
    <w:rsid w:val="003F4674"/>
    <w:rsid w:val="003F46CB"/>
    <w:rsid w:val="003F4924"/>
    <w:rsid w:val="003F4A65"/>
    <w:rsid w:val="003F4A7A"/>
    <w:rsid w:val="003F4B93"/>
    <w:rsid w:val="003F4C8F"/>
    <w:rsid w:val="003F4DC1"/>
    <w:rsid w:val="003F4FB1"/>
    <w:rsid w:val="003F5089"/>
    <w:rsid w:val="003F51DA"/>
    <w:rsid w:val="003F537E"/>
    <w:rsid w:val="003F54B2"/>
    <w:rsid w:val="003F574F"/>
    <w:rsid w:val="003F57B1"/>
    <w:rsid w:val="003F585E"/>
    <w:rsid w:val="003F5F83"/>
    <w:rsid w:val="003F61A8"/>
    <w:rsid w:val="003F6228"/>
    <w:rsid w:val="003F63E2"/>
    <w:rsid w:val="003F65F8"/>
    <w:rsid w:val="003F6779"/>
    <w:rsid w:val="003F67E3"/>
    <w:rsid w:val="003F67EE"/>
    <w:rsid w:val="003F6A29"/>
    <w:rsid w:val="003F6A75"/>
    <w:rsid w:val="003F6B5B"/>
    <w:rsid w:val="003F6BB5"/>
    <w:rsid w:val="003F6F3A"/>
    <w:rsid w:val="003F70CF"/>
    <w:rsid w:val="003F734B"/>
    <w:rsid w:val="003F7475"/>
    <w:rsid w:val="003F74DE"/>
    <w:rsid w:val="003F7508"/>
    <w:rsid w:val="003F7946"/>
    <w:rsid w:val="003F7A68"/>
    <w:rsid w:val="003F7C1F"/>
    <w:rsid w:val="003F7DD5"/>
    <w:rsid w:val="003F7FD8"/>
    <w:rsid w:val="00400033"/>
    <w:rsid w:val="00400452"/>
    <w:rsid w:val="004004DE"/>
    <w:rsid w:val="004004F5"/>
    <w:rsid w:val="00400615"/>
    <w:rsid w:val="0040071F"/>
    <w:rsid w:val="00400D7C"/>
    <w:rsid w:val="00400E88"/>
    <w:rsid w:val="00400FA6"/>
    <w:rsid w:val="004010ED"/>
    <w:rsid w:val="00401140"/>
    <w:rsid w:val="0040130E"/>
    <w:rsid w:val="004013F9"/>
    <w:rsid w:val="00401419"/>
    <w:rsid w:val="0040148D"/>
    <w:rsid w:val="00401832"/>
    <w:rsid w:val="00401921"/>
    <w:rsid w:val="0040194F"/>
    <w:rsid w:val="00401A8A"/>
    <w:rsid w:val="00401DCA"/>
    <w:rsid w:val="00401E40"/>
    <w:rsid w:val="00401ECE"/>
    <w:rsid w:val="00401ED6"/>
    <w:rsid w:val="00402112"/>
    <w:rsid w:val="004023CB"/>
    <w:rsid w:val="0040241A"/>
    <w:rsid w:val="004025EB"/>
    <w:rsid w:val="004025ED"/>
    <w:rsid w:val="0040267B"/>
    <w:rsid w:val="004026C9"/>
    <w:rsid w:val="00402AFA"/>
    <w:rsid w:val="00402C33"/>
    <w:rsid w:val="00402C83"/>
    <w:rsid w:val="00402D2C"/>
    <w:rsid w:val="00402D4C"/>
    <w:rsid w:val="00402E89"/>
    <w:rsid w:val="0040304D"/>
    <w:rsid w:val="00403148"/>
    <w:rsid w:val="0040337D"/>
    <w:rsid w:val="004035B0"/>
    <w:rsid w:val="00403727"/>
    <w:rsid w:val="0040379E"/>
    <w:rsid w:val="00403B61"/>
    <w:rsid w:val="00403BDC"/>
    <w:rsid w:val="00403E17"/>
    <w:rsid w:val="00403F01"/>
    <w:rsid w:val="00403F5F"/>
    <w:rsid w:val="004040CF"/>
    <w:rsid w:val="004040E2"/>
    <w:rsid w:val="00404105"/>
    <w:rsid w:val="0040421B"/>
    <w:rsid w:val="004042A7"/>
    <w:rsid w:val="004042C3"/>
    <w:rsid w:val="00404762"/>
    <w:rsid w:val="004047CC"/>
    <w:rsid w:val="004049AB"/>
    <w:rsid w:val="00404BEC"/>
    <w:rsid w:val="00404CE9"/>
    <w:rsid w:val="00404F1F"/>
    <w:rsid w:val="004050E6"/>
    <w:rsid w:val="0040517A"/>
    <w:rsid w:val="00405181"/>
    <w:rsid w:val="004052DD"/>
    <w:rsid w:val="004052EA"/>
    <w:rsid w:val="004055D1"/>
    <w:rsid w:val="00405AD4"/>
    <w:rsid w:val="00405C13"/>
    <w:rsid w:val="00405C28"/>
    <w:rsid w:val="00405C38"/>
    <w:rsid w:val="00405DED"/>
    <w:rsid w:val="00405EEF"/>
    <w:rsid w:val="00406418"/>
    <w:rsid w:val="004065A5"/>
    <w:rsid w:val="00406648"/>
    <w:rsid w:val="00406969"/>
    <w:rsid w:val="00406AB6"/>
    <w:rsid w:val="00406BDB"/>
    <w:rsid w:val="00406BE0"/>
    <w:rsid w:val="00406D79"/>
    <w:rsid w:val="00406E03"/>
    <w:rsid w:val="00407016"/>
    <w:rsid w:val="00407068"/>
    <w:rsid w:val="0040711D"/>
    <w:rsid w:val="004071B6"/>
    <w:rsid w:val="00407353"/>
    <w:rsid w:val="00407886"/>
    <w:rsid w:val="00407A4B"/>
    <w:rsid w:val="00407CFD"/>
    <w:rsid w:val="00407E8E"/>
    <w:rsid w:val="004100D2"/>
    <w:rsid w:val="0041012A"/>
    <w:rsid w:val="00410146"/>
    <w:rsid w:val="00410358"/>
    <w:rsid w:val="004107E5"/>
    <w:rsid w:val="004108B8"/>
    <w:rsid w:val="004109E3"/>
    <w:rsid w:val="00410A50"/>
    <w:rsid w:val="00410A9D"/>
    <w:rsid w:val="00410CCF"/>
    <w:rsid w:val="00410DE2"/>
    <w:rsid w:val="00410FD4"/>
    <w:rsid w:val="00411223"/>
    <w:rsid w:val="0041146F"/>
    <w:rsid w:val="004115B9"/>
    <w:rsid w:val="0041184C"/>
    <w:rsid w:val="00411896"/>
    <w:rsid w:val="0041190C"/>
    <w:rsid w:val="004119E2"/>
    <w:rsid w:val="00411C67"/>
    <w:rsid w:val="00411DCA"/>
    <w:rsid w:val="00412021"/>
    <w:rsid w:val="0041216C"/>
    <w:rsid w:val="00412A2D"/>
    <w:rsid w:val="00412C23"/>
    <w:rsid w:val="004130CC"/>
    <w:rsid w:val="00413143"/>
    <w:rsid w:val="00413556"/>
    <w:rsid w:val="00413596"/>
    <w:rsid w:val="00413770"/>
    <w:rsid w:val="004137D0"/>
    <w:rsid w:val="00413870"/>
    <w:rsid w:val="00413B4C"/>
    <w:rsid w:val="00413CCD"/>
    <w:rsid w:val="00413EC1"/>
    <w:rsid w:val="00414027"/>
    <w:rsid w:val="00414669"/>
    <w:rsid w:val="00414A63"/>
    <w:rsid w:val="00414B4D"/>
    <w:rsid w:val="00414B90"/>
    <w:rsid w:val="00414DDB"/>
    <w:rsid w:val="00414DF9"/>
    <w:rsid w:val="004152BF"/>
    <w:rsid w:val="004152E2"/>
    <w:rsid w:val="0041537A"/>
    <w:rsid w:val="00415435"/>
    <w:rsid w:val="004154AC"/>
    <w:rsid w:val="00415531"/>
    <w:rsid w:val="004155EF"/>
    <w:rsid w:val="004158FC"/>
    <w:rsid w:val="004159B3"/>
    <w:rsid w:val="00415B19"/>
    <w:rsid w:val="00415C51"/>
    <w:rsid w:val="00415D14"/>
    <w:rsid w:val="00415F9A"/>
    <w:rsid w:val="0041616E"/>
    <w:rsid w:val="004162EF"/>
    <w:rsid w:val="00416527"/>
    <w:rsid w:val="00416785"/>
    <w:rsid w:val="00416829"/>
    <w:rsid w:val="00416906"/>
    <w:rsid w:val="00416927"/>
    <w:rsid w:val="00416AA3"/>
    <w:rsid w:val="00416B91"/>
    <w:rsid w:val="00416BFF"/>
    <w:rsid w:val="00416D69"/>
    <w:rsid w:val="00416F87"/>
    <w:rsid w:val="004170C5"/>
    <w:rsid w:val="004171EB"/>
    <w:rsid w:val="004172ED"/>
    <w:rsid w:val="004175A7"/>
    <w:rsid w:val="00417762"/>
    <w:rsid w:val="004177F2"/>
    <w:rsid w:val="0041798E"/>
    <w:rsid w:val="00417CC0"/>
    <w:rsid w:val="00417DB0"/>
    <w:rsid w:val="00417DE2"/>
    <w:rsid w:val="00417EAD"/>
    <w:rsid w:val="004200D8"/>
    <w:rsid w:val="004202B9"/>
    <w:rsid w:val="00420385"/>
    <w:rsid w:val="0042045C"/>
    <w:rsid w:val="004204B2"/>
    <w:rsid w:val="00420735"/>
    <w:rsid w:val="0042075B"/>
    <w:rsid w:val="004209DC"/>
    <w:rsid w:val="00420AC9"/>
    <w:rsid w:val="00420B46"/>
    <w:rsid w:val="00420DB2"/>
    <w:rsid w:val="00420ECF"/>
    <w:rsid w:val="00420FFD"/>
    <w:rsid w:val="00421132"/>
    <w:rsid w:val="0042153D"/>
    <w:rsid w:val="00421544"/>
    <w:rsid w:val="00421AEC"/>
    <w:rsid w:val="00421B56"/>
    <w:rsid w:val="00421E15"/>
    <w:rsid w:val="00421F5E"/>
    <w:rsid w:val="004220AC"/>
    <w:rsid w:val="00422164"/>
    <w:rsid w:val="00422208"/>
    <w:rsid w:val="00422360"/>
    <w:rsid w:val="004223A1"/>
    <w:rsid w:val="00422589"/>
    <w:rsid w:val="0042286C"/>
    <w:rsid w:val="00422914"/>
    <w:rsid w:val="00422A82"/>
    <w:rsid w:val="00422AEB"/>
    <w:rsid w:val="00422F9C"/>
    <w:rsid w:val="00422FBF"/>
    <w:rsid w:val="00423133"/>
    <w:rsid w:val="00423201"/>
    <w:rsid w:val="004232FE"/>
    <w:rsid w:val="0042346A"/>
    <w:rsid w:val="00423503"/>
    <w:rsid w:val="00423718"/>
    <w:rsid w:val="00423C74"/>
    <w:rsid w:val="00423DD6"/>
    <w:rsid w:val="00423E39"/>
    <w:rsid w:val="00423E71"/>
    <w:rsid w:val="00423EE9"/>
    <w:rsid w:val="004240AA"/>
    <w:rsid w:val="0042421F"/>
    <w:rsid w:val="00424529"/>
    <w:rsid w:val="0042487D"/>
    <w:rsid w:val="004248E6"/>
    <w:rsid w:val="00424DD5"/>
    <w:rsid w:val="00424E00"/>
    <w:rsid w:val="00424F1F"/>
    <w:rsid w:val="0042534B"/>
    <w:rsid w:val="00425415"/>
    <w:rsid w:val="00425433"/>
    <w:rsid w:val="00425509"/>
    <w:rsid w:val="00425520"/>
    <w:rsid w:val="0042566D"/>
    <w:rsid w:val="004256E7"/>
    <w:rsid w:val="004257FE"/>
    <w:rsid w:val="004260A4"/>
    <w:rsid w:val="004263CF"/>
    <w:rsid w:val="00426623"/>
    <w:rsid w:val="00426694"/>
    <w:rsid w:val="00426908"/>
    <w:rsid w:val="00426BFF"/>
    <w:rsid w:val="00426E44"/>
    <w:rsid w:val="00426FA1"/>
    <w:rsid w:val="004272D0"/>
    <w:rsid w:val="0042746B"/>
    <w:rsid w:val="0042746C"/>
    <w:rsid w:val="0042799B"/>
    <w:rsid w:val="00427C4F"/>
    <w:rsid w:val="00427FA5"/>
    <w:rsid w:val="0043006D"/>
    <w:rsid w:val="00430495"/>
    <w:rsid w:val="004305DA"/>
    <w:rsid w:val="004309AD"/>
    <w:rsid w:val="00430AA5"/>
    <w:rsid w:val="00430B40"/>
    <w:rsid w:val="00430BBE"/>
    <w:rsid w:val="0043106F"/>
    <w:rsid w:val="004311A7"/>
    <w:rsid w:val="00431209"/>
    <w:rsid w:val="00431220"/>
    <w:rsid w:val="00431520"/>
    <w:rsid w:val="00431528"/>
    <w:rsid w:val="00431813"/>
    <w:rsid w:val="00431873"/>
    <w:rsid w:val="00431B8F"/>
    <w:rsid w:val="00431CBB"/>
    <w:rsid w:val="00431D9D"/>
    <w:rsid w:val="00431DCE"/>
    <w:rsid w:val="00431E64"/>
    <w:rsid w:val="00431F2C"/>
    <w:rsid w:val="00432196"/>
    <w:rsid w:val="004322E9"/>
    <w:rsid w:val="004322FA"/>
    <w:rsid w:val="00432486"/>
    <w:rsid w:val="004324ED"/>
    <w:rsid w:val="00432A00"/>
    <w:rsid w:val="00432BE3"/>
    <w:rsid w:val="00432BF7"/>
    <w:rsid w:val="00432C05"/>
    <w:rsid w:val="00432C20"/>
    <w:rsid w:val="00432C65"/>
    <w:rsid w:val="00432CDB"/>
    <w:rsid w:val="00432DB9"/>
    <w:rsid w:val="00432DC2"/>
    <w:rsid w:val="00432FD2"/>
    <w:rsid w:val="004330D3"/>
    <w:rsid w:val="00433149"/>
    <w:rsid w:val="00433693"/>
    <w:rsid w:val="00433777"/>
    <w:rsid w:val="00433A09"/>
    <w:rsid w:val="00433A26"/>
    <w:rsid w:val="00433A76"/>
    <w:rsid w:val="00433AE9"/>
    <w:rsid w:val="00433BB4"/>
    <w:rsid w:val="00433C3A"/>
    <w:rsid w:val="00433C5C"/>
    <w:rsid w:val="00433EAA"/>
    <w:rsid w:val="00433F31"/>
    <w:rsid w:val="00434437"/>
    <w:rsid w:val="004344C9"/>
    <w:rsid w:val="0043472C"/>
    <w:rsid w:val="004347D3"/>
    <w:rsid w:val="004347FF"/>
    <w:rsid w:val="00434CE0"/>
    <w:rsid w:val="00434F46"/>
    <w:rsid w:val="00435136"/>
    <w:rsid w:val="0043520F"/>
    <w:rsid w:val="004356CA"/>
    <w:rsid w:val="004357DA"/>
    <w:rsid w:val="00435904"/>
    <w:rsid w:val="00435937"/>
    <w:rsid w:val="00435946"/>
    <w:rsid w:val="00435BFD"/>
    <w:rsid w:val="00435C8C"/>
    <w:rsid w:val="00435DC5"/>
    <w:rsid w:val="00435F02"/>
    <w:rsid w:val="004360E5"/>
    <w:rsid w:val="00436170"/>
    <w:rsid w:val="00436310"/>
    <w:rsid w:val="004364F1"/>
    <w:rsid w:val="0043652E"/>
    <w:rsid w:val="004366CC"/>
    <w:rsid w:val="004367C6"/>
    <w:rsid w:val="0043685D"/>
    <w:rsid w:val="0043696F"/>
    <w:rsid w:val="00436B4B"/>
    <w:rsid w:val="00436BAD"/>
    <w:rsid w:val="00436C4D"/>
    <w:rsid w:val="00436DC7"/>
    <w:rsid w:val="00436E05"/>
    <w:rsid w:val="00437118"/>
    <w:rsid w:val="0043730F"/>
    <w:rsid w:val="004378FD"/>
    <w:rsid w:val="00437A0E"/>
    <w:rsid w:val="00437A9A"/>
    <w:rsid w:val="00437B06"/>
    <w:rsid w:val="00437BAE"/>
    <w:rsid w:val="00437BC7"/>
    <w:rsid w:val="00437D5D"/>
    <w:rsid w:val="00437E0A"/>
    <w:rsid w:val="00437FBF"/>
    <w:rsid w:val="00440069"/>
    <w:rsid w:val="0044022A"/>
    <w:rsid w:val="004402A0"/>
    <w:rsid w:val="004405A4"/>
    <w:rsid w:val="00440AB3"/>
    <w:rsid w:val="00440CC0"/>
    <w:rsid w:val="00440D3C"/>
    <w:rsid w:val="00440D58"/>
    <w:rsid w:val="00440D75"/>
    <w:rsid w:val="00440DE7"/>
    <w:rsid w:val="00440F5E"/>
    <w:rsid w:val="00441028"/>
    <w:rsid w:val="004414CE"/>
    <w:rsid w:val="0044159D"/>
    <w:rsid w:val="004415AC"/>
    <w:rsid w:val="00441678"/>
    <w:rsid w:val="004417BE"/>
    <w:rsid w:val="004418F7"/>
    <w:rsid w:val="00441CAD"/>
    <w:rsid w:val="00441E3D"/>
    <w:rsid w:val="00441FE4"/>
    <w:rsid w:val="004420E9"/>
    <w:rsid w:val="0044226D"/>
    <w:rsid w:val="004428F6"/>
    <w:rsid w:val="00442911"/>
    <w:rsid w:val="00442B0A"/>
    <w:rsid w:val="00442B95"/>
    <w:rsid w:val="00442BEA"/>
    <w:rsid w:val="00442C8E"/>
    <w:rsid w:val="00442DBC"/>
    <w:rsid w:val="00442DD1"/>
    <w:rsid w:val="00442E05"/>
    <w:rsid w:val="0044303F"/>
    <w:rsid w:val="004430A9"/>
    <w:rsid w:val="0044331D"/>
    <w:rsid w:val="004433E3"/>
    <w:rsid w:val="00443539"/>
    <w:rsid w:val="0044368F"/>
    <w:rsid w:val="004436CC"/>
    <w:rsid w:val="004438A6"/>
    <w:rsid w:val="004438AB"/>
    <w:rsid w:val="00443940"/>
    <w:rsid w:val="00443C77"/>
    <w:rsid w:val="00443F7B"/>
    <w:rsid w:val="0044452A"/>
    <w:rsid w:val="00444574"/>
    <w:rsid w:val="004446AA"/>
    <w:rsid w:val="00444805"/>
    <w:rsid w:val="00444900"/>
    <w:rsid w:val="00444DB3"/>
    <w:rsid w:val="0044502B"/>
    <w:rsid w:val="0044521A"/>
    <w:rsid w:val="004453BF"/>
    <w:rsid w:val="0044594B"/>
    <w:rsid w:val="004459B9"/>
    <w:rsid w:val="004459D1"/>
    <w:rsid w:val="004459D3"/>
    <w:rsid w:val="00445BFC"/>
    <w:rsid w:val="00445EAA"/>
    <w:rsid w:val="004462BE"/>
    <w:rsid w:val="00446303"/>
    <w:rsid w:val="004463EE"/>
    <w:rsid w:val="00446603"/>
    <w:rsid w:val="00446661"/>
    <w:rsid w:val="004466B3"/>
    <w:rsid w:val="00446BB0"/>
    <w:rsid w:val="00446C4B"/>
    <w:rsid w:val="00446DD5"/>
    <w:rsid w:val="00446F1E"/>
    <w:rsid w:val="00447078"/>
    <w:rsid w:val="00447089"/>
    <w:rsid w:val="004472EE"/>
    <w:rsid w:val="0044761B"/>
    <w:rsid w:val="00447789"/>
    <w:rsid w:val="0044791A"/>
    <w:rsid w:val="00447AEC"/>
    <w:rsid w:val="00447B1D"/>
    <w:rsid w:val="00447BC6"/>
    <w:rsid w:val="00447DC0"/>
    <w:rsid w:val="00447E30"/>
    <w:rsid w:val="00447E85"/>
    <w:rsid w:val="00450373"/>
    <w:rsid w:val="00450A5D"/>
    <w:rsid w:val="00450BCA"/>
    <w:rsid w:val="00450D2D"/>
    <w:rsid w:val="00450F92"/>
    <w:rsid w:val="00450FEB"/>
    <w:rsid w:val="004510FA"/>
    <w:rsid w:val="004511F2"/>
    <w:rsid w:val="00451203"/>
    <w:rsid w:val="0045136C"/>
    <w:rsid w:val="004513E2"/>
    <w:rsid w:val="00451C9A"/>
    <w:rsid w:val="00451E68"/>
    <w:rsid w:val="00452027"/>
    <w:rsid w:val="004520BB"/>
    <w:rsid w:val="0045221C"/>
    <w:rsid w:val="00452261"/>
    <w:rsid w:val="00452269"/>
    <w:rsid w:val="0045248D"/>
    <w:rsid w:val="00452616"/>
    <w:rsid w:val="00452670"/>
    <w:rsid w:val="004526C7"/>
    <w:rsid w:val="004526D8"/>
    <w:rsid w:val="00452767"/>
    <w:rsid w:val="00452980"/>
    <w:rsid w:val="00452B6A"/>
    <w:rsid w:val="00452F97"/>
    <w:rsid w:val="00452FD1"/>
    <w:rsid w:val="00453030"/>
    <w:rsid w:val="004531CB"/>
    <w:rsid w:val="00453628"/>
    <w:rsid w:val="0045367C"/>
    <w:rsid w:val="004536A6"/>
    <w:rsid w:val="00453814"/>
    <w:rsid w:val="004538CD"/>
    <w:rsid w:val="00453915"/>
    <w:rsid w:val="00453AD4"/>
    <w:rsid w:val="004541CE"/>
    <w:rsid w:val="00454315"/>
    <w:rsid w:val="004543AB"/>
    <w:rsid w:val="0045456B"/>
    <w:rsid w:val="004545AD"/>
    <w:rsid w:val="004546A7"/>
    <w:rsid w:val="00454713"/>
    <w:rsid w:val="00454966"/>
    <w:rsid w:val="00454B46"/>
    <w:rsid w:val="00454BBC"/>
    <w:rsid w:val="00454F12"/>
    <w:rsid w:val="004550D3"/>
    <w:rsid w:val="004550F0"/>
    <w:rsid w:val="0045513B"/>
    <w:rsid w:val="004552B6"/>
    <w:rsid w:val="0045557F"/>
    <w:rsid w:val="004555CE"/>
    <w:rsid w:val="00455664"/>
    <w:rsid w:val="004557BC"/>
    <w:rsid w:val="004558CE"/>
    <w:rsid w:val="00455A26"/>
    <w:rsid w:val="00455CD6"/>
    <w:rsid w:val="00455E01"/>
    <w:rsid w:val="00455E4F"/>
    <w:rsid w:val="00455E6A"/>
    <w:rsid w:val="00456001"/>
    <w:rsid w:val="0045607D"/>
    <w:rsid w:val="00456402"/>
    <w:rsid w:val="00456508"/>
    <w:rsid w:val="00456535"/>
    <w:rsid w:val="004565DE"/>
    <w:rsid w:val="00456646"/>
    <w:rsid w:val="00456C78"/>
    <w:rsid w:val="00456C90"/>
    <w:rsid w:val="00456E26"/>
    <w:rsid w:val="00456E55"/>
    <w:rsid w:val="004571A5"/>
    <w:rsid w:val="00457213"/>
    <w:rsid w:val="004572D2"/>
    <w:rsid w:val="0045788B"/>
    <w:rsid w:val="00457C7C"/>
    <w:rsid w:val="00457EDC"/>
    <w:rsid w:val="00457F06"/>
    <w:rsid w:val="00457F6C"/>
    <w:rsid w:val="00457FAA"/>
    <w:rsid w:val="00460156"/>
    <w:rsid w:val="00460263"/>
    <w:rsid w:val="00460275"/>
    <w:rsid w:val="004602A7"/>
    <w:rsid w:val="004602C6"/>
    <w:rsid w:val="00460403"/>
    <w:rsid w:val="00460753"/>
    <w:rsid w:val="00460B16"/>
    <w:rsid w:val="00460B64"/>
    <w:rsid w:val="00460D61"/>
    <w:rsid w:val="00460DD3"/>
    <w:rsid w:val="0046123A"/>
    <w:rsid w:val="00461367"/>
    <w:rsid w:val="004613E6"/>
    <w:rsid w:val="004613FB"/>
    <w:rsid w:val="00461562"/>
    <w:rsid w:val="00461657"/>
    <w:rsid w:val="0046170D"/>
    <w:rsid w:val="00461838"/>
    <w:rsid w:val="00461983"/>
    <w:rsid w:val="00461A9A"/>
    <w:rsid w:val="00461AE5"/>
    <w:rsid w:val="00461AE8"/>
    <w:rsid w:val="00461F6D"/>
    <w:rsid w:val="00461FC2"/>
    <w:rsid w:val="00462095"/>
    <w:rsid w:val="0046210F"/>
    <w:rsid w:val="004621A8"/>
    <w:rsid w:val="004622F6"/>
    <w:rsid w:val="004622FD"/>
    <w:rsid w:val="00462461"/>
    <w:rsid w:val="004627CC"/>
    <w:rsid w:val="004627FD"/>
    <w:rsid w:val="004629C7"/>
    <w:rsid w:val="00462E32"/>
    <w:rsid w:val="00462E3F"/>
    <w:rsid w:val="00462F23"/>
    <w:rsid w:val="00462FBB"/>
    <w:rsid w:val="0046312A"/>
    <w:rsid w:val="00463196"/>
    <w:rsid w:val="004631DE"/>
    <w:rsid w:val="004632B4"/>
    <w:rsid w:val="004632BB"/>
    <w:rsid w:val="00463313"/>
    <w:rsid w:val="00463346"/>
    <w:rsid w:val="0046365D"/>
    <w:rsid w:val="004636FA"/>
    <w:rsid w:val="004638A8"/>
    <w:rsid w:val="00463A19"/>
    <w:rsid w:val="00463BA3"/>
    <w:rsid w:val="00463E3F"/>
    <w:rsid w:val="0046431C"/>
    <w:rsid w:val="004643FE"/>
    <w:rsid w:val="004643FF"/>
    <w:rsid w:val="00464412"/>
    <w:rsid w:val="004649A9"/>
    <w:rsid w:val="00464A55"/>
    <w:rsid w:val="00464C55"/>
    <w:rsid w:val="00464C68"/>
    <w:rsid w:val="00464EF5"/>
    <w:rsid w:val="00465196"/>
    <w:rsid w:val="004651AF"/>
    <w:rsid w:val="004652E8"/>
    <w:rsid w:val="004653F9"/>
    <w:rsid w:val="0046561A"/>
    <w:rsid w:val="00465648"/>
    <w:rsid w:val="004656B6"/>
    <w:rsid w:val="00465794"/>
    <w:rsid w:val="004658C2"/>
    <w:rsid w:val="004658FE"/>
    <w:rsid w:val="00465AC1"/>
    <w:rsid w:val="00465BCA"/>
    <w:rsid w:val="00465D4B"/>
    <w:rsid w:val="00465E52"/>
    <w:rsid w:val="00465FDF"/>
    <w:rsid w:val="00466358"/>
    <w:rsid w:val="004664A1"/>
    <w:rsid w:val="004666C5"/>
    <w:rsid w:val="00466825"/>
    <w:rsid w:val="00466AD8"/>
    <w:rsid w:val="00466DA4"/>
    <w:rsid w:val="00466E08"/>
    <w:rsid w:val="00466F31"/>
    <w:rsid w:val="004671C2"/>
    <w:rsid w:val="0046722D"/>
    <w:rsid w:val="00467284"/>
    <w:rsid w:val="004672F8"/>
    <w:rsid w:val="00467434"/>
    <w:rsid w:val="00467456"/>
    <w:rsid w:val="00467733"/>
    <w:rsid w:val="00467958"/>
    <w:rsid w:val="004679DD"/>
    <w:rsid w:val="00467B3C"/>
    <w:rsid w:val="00467D62"/>
    <w:rsid w:val="00470096"/>
    <w:rsid w:val="004700F3"/>
    <w:rsid w:val="00470129"/>
    <w:rsid w:val="00470151"/>
    <w:rsid w:val="00470264"/>
    <w:rsid w:val="0047026F"/>
    <w:rsid w:val="004706C7"/>
    <w:rsid w:val="004706DD"/>
    <w:rsid w:val="004706FB"/>
    <w:rsid w:val="004707D5"/>
    <w:rsid w:val="00470817"/>
    <w:rsid w:val="00470CCD"/>
    <w:rsid w:val="004710E5"/>
    <w:rsid w:val="00471255"/>
    <w:rsid w:val="00471274"/>
    <w:rsid w:val="00471314"/>
    <w:rsid w:val="00471701"/>
    <w:rsid w:val="00471A35"/>
    <w:rsid w:val="00471B0A"/>
    <w:rsid w:val="00471C90"/>
    <w:rsid w:val="00471CF5"/>
    <w:rsid w:val="00472496"/>
    <w:rsid w:val="004727DA"/>
    <w:rsid w:val="00472FAC"/>
    <w:rsid w:val="004730E9"/>
    <w:rsid w:val="0047325D"/>
    <w:rsid w:val="004732A1"/>
    <w:rsid w:val="004733CF"/>
    <w:rsid w:val="004736F2"/>
    <w:rsid w:val="0047378B"/>
    <w:rsid w:val="004737FA"/>
    <w:rsid w:val="004738A4"/>
    <w:rsid w:val="00473918"/>
    <w:rsid w:val="00473A3D"/>
    <w:rsid w:val="00473B60"/>
    <w:rsid w:val="00473CE8"/>
    <w:rsid w:val="00473D63"/>
    <w:rsid w:val="00473E71"/>
    <w:rsid w:val="00473FD4"/>
    <w:rsid w:val="00474080"/>
    <w:rsid w:val="00474275"/>
    <w:rsid w:val="004744D5"/>
    <w:rsid w:val="004746A2"/>
    <w:rsid w:val="00474708"/>
    <w:rsid w:val="00474735"/>
    <w:rsid w:val="004748A4"/>
    <w:rsid w:val="004748CB"/>
    <w:rsid w:val="00474A98"/>
    <w:rsid w:val="00474DEB"/>
    <w:rsid w:val="00474E83"/>
    <w:rsid w:val="00474EAD"/>
    <w:rsid w:val="0047514B"/>
    <w:rsid w:val="00475451"/>
    <w:rsid w:val="004758DB"/>
    <w:rsid w:val="004759D0"/>
    <w:rsid w:val="00475B7E"/>
    <w:rsid w:val="00475CC4"/>
    <w:rsid w:val="00475D1C"/>
    <w:rsid w:val="00475D30"/>
    <w:rsid w:val="00475ED1"/>
    <w:rsid w:val="00475F9C"/>
    <w:rsid w:val="004763DD"/>
    <w:rsid w:val="004764C3"/>
    <w:rsid w:val="00476550"/>
    <w:rsid w:val="0047663E"/>
    <w:rsid w:val="004766C4"/>
    <w:rsid w:val="00476851"/>
    <w:rsid w:val="00476863"/>
    <w:rsid w:val="00476902"/>
    <w:rsid w:val="00476F27"/>
    <w:rsid w:val="00476F32"/>
    <w:rsid w:val="00477378"/>
    <w:rsid w:val="004774C8"/>
    <w:rsid w:val="00477571"/>
    <w:rsid w:val="004775CA"/>
    <w:rsid w:val="004777BC"/>
    <w:rsid w:val="00477831"/>
    <w:rsid w:val="00477A1F"/>
    <w:rsid w:val="00477AB7"/>
    <w:rsid w:val="00477C66"/>
    <w:rsid w:val="00477EE1"/>
    <w:rsid w:val="00477F36"/>
    <w:rsid w:val="00477F74"/>
    <w:rsid w:val="0048003C"/>
    <w:rsid w:val="00480088"/>
    <w:rsid w:val="00480193"/>
    <w:rsid w:val="0048024C"/>
    <w:rsid w:val="004805C7"/>
    <w:rsid w:val="00480601"/>
    <w:rsid w:val="00480735"/>
    <w:rsid w:val="00480895"/>
    <w:rsid w:val="004808B8"/>
    <w:rsid w:val="00480B4E"/>
    <w:rsid w:val="00480B74"/>
    <w:rsid w:val="00480EAB"/>
    <w:rsid w:val="00480EFB"/>
    <w:rsid w:val="00481241"/>
    <w:rsid w:val="00481262"/>
    <w:rsid w:val="004813EC"/>
    <w:rsid w:val="0048142A"/>
    <w:rsid w:val="0048145F"/>
    <w:rsid w:val="00481465"/>
    <w:rsid w:val="0048146D"/>
    <w:rsid w:val="0048151F"/>
    <w:rsid w:val="00481731"/>
    <w:rsid w:val="00481866"/>
    <w:rsid w:val="00481BCC"/>
    <w:rsid w:val="00481E41"/>
    <w:rsid w:val="00482193"/>
    <w:rsid w:val="004821FD"/>
    <w:rsid w:val="0048252F"/>
    <w:rsid w:val="004827AE"/>
    <w:rsid w:val="004827DC"/>
    <w:rsid w:val="0048281C"/>
    <w:rsid w:val="00482B81"/>
    <w:rsid w:val="00482BB4"/>
    <w:rsid w:val="00482C5B"/>
    <w:rsid w:val="00482D4C"/>
    <w:rsid w:val="00482D93"/>
    <w:rsid w:val="00482DDD"/>
    <w:rsid w:val="00483199"/>
    <w:rsid w:val="004832CE"/>
    <w:rsid w:val="00483334"/>
    <w:rsid w:val="00483367"/>
    <w:rsid w:val="004833FA"/>
    <w:rsid w:val="0048347D"/>
    <w:rsid w:val="004835A4"/>
    <w:rsid w:val="004835A8"/>
    <w:rsid w:val="004839B9"/>
    <w:rsid w:val="004839DE"/>
    <w:rsid w:val="004839E8"/>
    <w:rsid w:val="00483A3E"/>
    <w:rsid w:val="00483D30"/>
    <w:rsid w:val="00484077"/>
    <w:rsid w:val="00484141"/>
    <w:rsid w:val="004845CA"/>
    <w:rsid w:val="00484694"/>
    <w:rsid w:val="00484AF9"/>
    <w:rsid w:val="00484BB0"/>
    <w:rsid w:val="00484DD7"/>
    <w:rsid w:val="00485309"/>
    <w:rsid w:val="0048578F"/>
    <w:rsid w:val="00485DBC"/>
    <w:rsid w:val="00485DC5"/>
    <w:rsid w:val="004862DA"/>
    <w:rsid w:val="004863A0"/>
    <w:rsid w:val="00486562"/>
    <w:rsid w:val="0048665D"/>
    <w:rsid w:val="004866F5"/>
    <w:rsid w:val="00486717"/>
    <w:rsid w:val="00486917"/>
    <w:rsid w:val="00486B26"/>
    <w:rsid w:val="00486E99"/>
    <w:rsid w:val="00486FBB"/>
    <w:rsid w:val="004874BB"/>
    <w:rsid w:val="004874D1"/>
    <w:rsid w:val="0048797E"/>
    <w:rsid w:val="00487992"/>
    <w:rsid w:val="00487A27"/>
    <w:rsid w:val="00487B6B"/>
    <w:rsid w:val="00487C00"/>
    <w:rsid w:val="004903AF"/>
    <w:rsid w:val="00490762"/>
    <w:rsid w:val="004908A4"/>
    <w:rsid w:val="0049091A"/>
    <w:rsid w:val="0049091E"/>
    <w:rsid w:val="0049098B"/>
    <w:rsid w:val="00490B12"/>
    <w:rsid w:val="00490C40"/>
    <w:rsid w:val="00490CF6"/>
    <w:rsid w:val="00490F0C"/>
    <w:rsid w:val="00490F30"/>
    <w:rsid w:val="004910D4"/>
    <w:rsid w:val="004911E5"/>
    <w:rsid w:val="004913EE"/>
    <w:rsid w:val="004915A9"/>
    <w:rsid w:val="0049174B"/>
    <w:rsid w:val="004917D3"/>
    <w:rsid w:val="0049187C"/>
    <w:rsid w:val="00491BA5"/>
    <w:rsid w:val="00491D53"/>
    <w:rsid w:val="00492323"/>
    <w:rsid w:val="0049236C"/>
    <w:rsid w:val="00492426"/>
    <w:rsid w:val="004924CE"/>
    <w:rsid w:val="00492540"/>
    <w:rsid w:val="00492817"/>
    <w:rsid w:val="00492862"/>
    <w:rsid w:val="0049293E"/>
    <w:rsid w:val="00492966"/>
    <w:rsid w:val="00492987"/>
    <w:rsid w:val="004929FF"/>
    <w:rsid w:val="00492A0B"/>
    <w:rsid w:val="00492A17"/>
    <w:rsid w:val="00492B11"/>
    <w:rsid w:val="00492EA7"/>
    <w:rsid w:val="00492F09"/>
    <w:rsid w:val="00492FBE"/>
    <w:rsid w:val="0049307C"/>
    <w:rsid w:val="00493096"/>
    <w:rsid w:val="004933E0"/>
    <w:rsid w:val="0049353D"/>
    <w:rsid w:val="0049378C"/>
    <w:rsid w:val="004939AD"/>
    <w:rsid w:val="00493CE1"/>
    <w:rsid w:val="00493F4B"/>
    <w:rsid w:val="00493FA7"/>
    <w:rsid w:val="00494208"/>
    <w:rsid w:val="004943EC"/>
    <w:rsid w:val="0049443A"/>
    <w:rsid w:val="0049463B"/>
    <w:rsid w:val="00494884"/>
    <w:rsid w:val="00494A89"/>
    <w:rsid w:val="00494BBE"/>
    <w:rsid w:val="00494CA5"/>
    <w:rsid w:val="00494E06"/>
    <w:rsid w:val="00494FED"/>
    <w:rsid w:val="0049504B"/>
    <w:rsid w:val="004951C9"/>
    <w:rsid w:val="0049540B"/>
    <w:rsid w:val="00495555"/>
    <w:rsid w:val="0049557B"/>
    <w:rsid w:val="004955CE"/>
    <w:rsid w:val="004955F2"/>
    <w:rsid w:val="00495674"/>
    <w:rsid w:val="004956E5"/>
    <w:rsid w:val="0049570D"/>
    <w:rsid w:val="0049598B"/>
    <w:rsid w:val="00495B2B"/>
    <w:rsid w:val="00496432"/>
    <w:rsid w:val="00496630"/>
    <w:rsid w:val="004966E9"/>
    <w:rsid w:val="00496803"/>
    <w:rsid w:val="00496856"/>
    <w:rsid w:val="0049688B"/>
    <w:rsid w:val="00496980"/>
    <w:rsid w:val="004969F0"/>
    <w:rsid w:val="00496A0C"/>
    <w:rsid w:val="00496A11"/>
    <w:rsid w:val="00497171"/>
    <w:rsid w:val="00497210"/>
    <w:rsid w:val="004972F1"/>
    <w:rsid w:val="00497376"/>
    <w:rsid w:val="004974DD"/>
    <w:rsid w:val="00497698"/>
    <w:rsid w:val="00497883"/>
    <w:rsid w:val="004978C6"/>
    <w:rsid w:val="00497AE7"/>
    <w:rsid w:val="00497D8D"/>
    <w:rsid w:val="00497DA0"/>
    <w:rsid w:val="00497DF6"/>
    <w:rsid w:val="004A003C"/>
    <w:rsid w:val="004A0212"/>
    <w:rsid w:val="004A0528"/>
    <w:rsid w:val="004A0558"/>
    <w:rsid w:val="004A08AF"/>
    <w:rsid w:val="004A0B1C"/>
    <w:rsid w:val="004A0CB2"/>
    <w:rsid w:val="004A0F95"/>
    <w:rsid w:val="004A118C"/>
    <w:rsid w:val="004A13FB"/>
    <w:rsid w:val="004A1423"/>
    <w:rsid w:val="004A146E"/>
    <w:rsid w:val="004A14C1"/>
    <w:rsid w:val="004A14C5"/>
    <w:rsid w:val="004A164E"/>
    <w:rsid w:val="004A1774"/>
    <w:rsid w:val="004A18FC"/>
    <w:rsid w:val="004A1A7B"/>
    <w:rsid w:val="004A1B66"/>
    <w:rsid w:val="004A1B9E"/>
    <w:rsid w:val="004A1C81"/>
    <w:rsid w:val="004A1E3C"/>
    <w:rsid w:val="004A1EBD"/>
    <w:rsid w:val="004A23FF"/>
    <w:rsid w:val="004A2420"/>
    <w:rsid w:val="004A24B4"/>
    <w:rsid w:val="004A260E"/>
    <w:rsid w:val="004A26F3"/>
    <w:rsid w:val="004A278E"/>
    <w:rsid w:val="004A2858"/>
    <w:rsid w:val="004A2874"/>
    <w:rsid w:val="004A2B40"/>
    <w:rsid w:val="004A2B48"/>
    <w:rsid w:val="004A2ED5"/>
    <w:rsid w:val="004A31E9"/>
    <w:rsid w:val="004A331B"/>
    <w:rsid w:val="004A33E0"/>
    <w:rsid w:val="004A36A5"/>
    <w:rsid w:val="004A3756"/>
    <w:rsid w:val="004A3922"/>
    <w:rsid w:val="004A3A0A"/>
    <w:rsid w:val="004A3D74"/>
    <w:rsid w:val="004A3F09"/>
    <w:rsid w:val="004A3F51"/>
    <w:rsid w:val="004A3FCD"/>
    <w:rsid w:val="004A4559"/>
    <w:rsid w:val="004A476B"/>
    <w:rsid w:val="004A47E8"/>
    <w:rsid w:val="004A4B73"/>
    <w:rsid w:val="004A4E0C"/>
    <w:rsid w:val="004A5208"/>
    <w:rsid w:val="004A5265"/>
    <w:rsid w:val="004A5362"/>
    <w:rsid w:val="004A54EF"/>
    <w:rsid w:val="004A55DD"/>
    <w:rsid w:val="004A577A"/>
    <w:rsid w:val="004A57FC"/>
    <w:rsid w:val="004A59F2"/>
    <w:rsid w:val="004A5A93"/>
    <w:rsid w:val="004A5D5F"/>
    <w:rsid w:val="004A5DF4"/>
    <w:rsid w:val="004A6491"/>
    <w:rsid w:val="004A658B"/>
    <w:rsid w:val="004A6676"/>
    <w:rsid w:val="004A6762"/>
    <w:rsid w:val="004A67A2"/>
    <w:rsid w:val="004A6A65"/>
    <w:rsid w:val="004A6CBB"/>
    <w:rsid w:val="004A6E62"/>
    <w:rsid w:val="004A6FF7"/>
    <w:rsid w:val="004A714C"/>
    <w:rsid w:val="004A71A5"/>
    <w:rsid w:val="004A73FD"/>
    <w:rsid w:val="004A754C"/>
    <w:rsid w:val="004A7562"/>
    <w:rsid w:val="004A756D"/>
    <w:rsid w:val="004A7591"/>
    <w:rsid w:val="004A76B0"/>
    <w:rsid w:val="004A7727"/>
    <w:rsid w:val="004A77B8"/>
    <w:rsid w:val="004A789E"/>
    <w:rsid w:val="004A7B7B"/>
    <w:rsid w:val="004B0019"/>
    <w:rsid w:val="004B0020"/>
    <w:rsid w:val="004B013D"/>
    <w:rsid w:val="004B03D5"/>
    <w:rsid w:val="004B0535"/>
    <w:rsid w:val="004B0597"/>
    <w:rsid w:val="004B08FA"/>
    <w:rsid w:val="004B0917"/>
    <w:rsid w:val="004B09EE"/>
    <w:rsid w:val="004B0B1A"/>
    <w:rsid w:val="004B0D0C"/>
    <w:rsid w:val="004B0E2E"/>
    <w:rsid w:val="004B0FC4"/>
    <w:rsid w:val="004B12D7"/>
    <w:rsid w:val="004B140D"/>
    <w:rsid w:val="004B14AE"/>
    <w:rsid w:val="004B1632"/>
    <w:rsid w:val="004B1865"/>
    <w:rsid w:val="004B1A4E"/>
    <w:rsid w:val="004B1B49"/>
    <w:rsid w:val="004B1BC4"/>
    <w:rsid w:val="004B1C6A"/>
    <w:rsid w:val="004B1D4D"/>
    <w:rsid w:val="004B1DCE"/>
    <w:rsid w:val="004B1E64"/>
    <w:rsid w:val="004B1FC2"/>
    <w:rsid w:val="004B22A6"/>
    <w:rsid w:val="004B22FF"/>
    <w:rsid w:val="004B243D"/>
    <w:rsid w:val="004B25DE"/>
    <w:rsid w:val="004B287C"/>
    <w:rsid w:val="004B297E"/>
    <w:rsid w:val="004B2996"/>
    <w:rsid w:val="004B2C84"/>
    <w:rsid w:val="004B2EBE"/>
    <w:rsid w:val="004B2FDA"/>
    <w:rsid w:val="004B30C1"/>
    <w:rsid w:val="004B30D7"/>
    <w:rsid w:val="004B3236"/>
    <w:rsid w:val="004B3307"/>
    <w:rsid w:val="004B34A4"/>
    <w:rsid w:val="004B356C"/>
    <w:rsid w:val="004B37EE"/>
    <w:rsid w:val="004B39C6"/>
    <w:rsid w:val="004B3A18"/>
    <w:rsid w:val="004B3B95"/>
    <w:rsid w:val="004B3C0F"/>
    <w:rsid w:val="004B3F96"/>
    <w:rsid w:val="004B3FE6"/>
    <w:rsid w:val="004B40EF"/>
    <w:rsid w:val="004B4123"/>
    <w:rsid w:val="004B4163"/>
    <w:rsid w:val="004B42B9"/>
    <w:rsid w:val="004B4302"/>
    <w:rsid w:val="004B43CF"/>
    <w:rsid w:val="004B458E"/>
    <w:rsid w:val="004B485A"/>
    <w:rsid w:val="004B4A48"/>
    <w:rsid w:val="004B4A5B"/>
    <w:rsid w:val="004B4D1B"/>
    <w:rsid w:val="004B4D6B"/>
    <w:rsid w:val="004B4DDB"/>
    <w:rsid w:val="004B4DFB"/>
    <w:rsid w:val="004B5047"/>
    <w:rsid w:val="004B516B"/>
    <w:rsid w:val="004B5309"/>
    <w:rsid w:val="004B53FF"/>
    <w:rsid w:val="004B541C"/>
    <w:rsid w:val="004B5649"/>
    <w:rsid w:val="004B56E5"/>
    <w:rsid w:val="004B5747"/>
    <w:rsid w:val="004B5754"/>
    <w:rsid w:val="004B591E"/>
    <w:rsid w:val="004B59DD"/>
    <w:rsid w:val="004B5B5F"/>
    <w:rsid w:val="004B5D31"/>
    <w:rsid w:val="004B5D3D"/>
    <w:rsid w:val="004B5EDA"/>
    <w:rsid w:val="004B609F"/>
    <w:rsid w:val="004B611B"/>
    <w:rsid w:val="004B6369"/>
    <w:rsid w:val="004B64C1"/>
    <w:rsid w:val="004B6696"/>
    <w:rsid w:val="004B6762"/>
    <w:rsid w:val="004B677B"/>
    <w:rsid w:val="004B6854"/>
    <w:rsid w:val="004B69CD"/>
    <w:rsid w:val="004B6A99"/>
    <w:rsid w:val="004B6C0D"/>
    <w:rsid w:val="004B6E4D"/>
    <w:rsid w:val="004B7075"/>
    <w:rsid w:val="004B71F7"/>
    <w:rsid w:val="004B721C"/>
    <w:rsid w:val="004B7279"/>
    <w:rsid w:val="004B731C"/>
    <w:rsid w:val="004B7486"/>
    <w:rsid w:val="004B75A4"/>
    <w:rsid w:val="004B75ED"/>
    <w:rsid w:val="004B77E3"/>
    <w:rsid w:val="004B7AF3"/>
    <w:rsid w:val="004B7DD0"/>
    <w:rsid w:val="004B7F6C"/>
    <w:rsid w:val="004C00BA"/>
    <w:rsid w:val="004C01B0"/>
    <w:rsid w:val="004C02E7"/>
    <w:rsid w:val="004C0351"/>
    <w:rsid w:val="004C0389"/>
    <w:rsid w:val="004C047E"/>
    <w:rsid w:val="004C051A"/>
    <w:rsid w:val="004C0558"/>
    <w:rsid w:val="004C05E4"/>
    <w:rsid w:val="004C081A"/>
    <w:rsid w:val="004C0A02"/>
    <w:rsid w:val="004C0A0F"/>
    <w:rsid w:val="004C0E2F"/>
    <w:rsid w:val="004C0E48"/>
    <w:rsid w:val="004C11FE"/>
    <w:rsid w:val="004C1745"/>
    <w:rsid w:val="004C175E"/>
    <w:rsid w:val="004C17E0"/>
    <w:rsid w:val="004C18EF"/>
    <w:rsid w:val="004C1992"/>
    <w:rsid w:val="004C1AA5"/>
    <w:rsid w:val="004C1B91"/>
    <w:rsid w:val="004C1CE5"/>
    <w:rsid w:val="004C1DAB"/>
    <w:rsid w:val="004C1DDA"/>
    <w:rsid w:val="004C1F25"/>
    <w:rsid w:val="004C1F77"/>
    <w:rsid w:val="004C2141"/>
    <w:rsid w:val="004C2233"/>
    <w:rsid w:val="004C2841"/>
    <w:rsid w:val="004C2B94"/>
    <w:rsid w:val="004C2C2D"/>
    <w:rsid w:val="004C2E7F"/>
    <w:rsid w:val="004C31F7"/>
    <w:rsid w:val="004C33EC"/>
    <w:rsid w:val="004C3443"/>
    <w:rsid w:val="004C3597"/>
    <w:rsid w:val="004C3881"/>
    <w:rsid w:val="004C3AA7"/>
    <w:rsid w:val="004C3B78"/>
    <w:rsid w:val="004C4181"/>
    <w:rsid w:val="004C4460"/>
    <w:rsid w:val="004C462B"/>
    <w:rsid w:val="004C4664"/>
    <w:rsid w:val="004C469F"/>
    <w:rsid w:val="004C4932"/>
    <w:rsid w:val="004C4AF9"/>
    <w:rsid w:val="004C4CCF"/>
    <w:rsid w:val="004C4F8F"/>
    <w:rsid w:val="004C51CC"/>
    <w:rsid w:val="004C5400"/>
    <w:rsid w:val="004C5586"/>
    <w:rsid w:val="004C5646"/>
    <w:rsid w:val="004C57A4"/>
    <w:rsid w:val="004C5931"/>
    <w:rsid w:val="004C595F"/>
    <w:rsid w:val="004C59A1"/>
    <w:rsid w:val="004C5A1B"/>
    <w:rsid w:val="004C5A4D"/>
    <w:rsid w:val="004C5A55"/>
    <w:rsid w:val="004C5D4E"/>
    <w:rsid w:val="004C5F3D"/>
    <w:rsid w:val="004C6439"/>
    <w:rsid w:val="004C66CA"/>
    <w:rsid w:val="004C66F3"/>
    <w:rsid w:val="004C66F7"/>
    <w:rsid w:val="004C678E"/>
    <w:rsid w:val="004C6835"/>
    <w:rsid w:val="004C6898"/>
    <w:rsid w:val="004C68B8"/>
    <w:rsid w:val="004C6A33"/>
    <w:rsid w:val="004C6DBB"/>
    <w:rsid w:val="004C7084"/>
    <w:rsid w:val="004C718A"/>
    <w:rsid w:val="004C71DD"/>
    <w:rsid w:val="004C7621"/>
    <w:rsid w:val="004C76BB"/>
    <w:rsid w:val="004C78DD"/>
    <w:rsid w:val="004C7961"/>
    <w:rsid w:val="004C7AA1"/>
    <w:rsid w:val="004C7AF5"/>
    <w:rsid w:val="004C7CE8"/>
    <w:rsid w:val="004C7D91"/>
    <w:rsid w:val="004C7D9E"/>
    <w:rsid w:val="004C7E48"/>
    <w:rsid w:val="004C7E6E"/>
    <w:rsid w:val="004C7EF6"/>
    <w:rsid w:val="004C7F9B"/>
    <w:rsid w:val="004D05A8"/>
    <w:rsid w:val="004D086C"/>
    <w:rsid w:val="004D0874"/>
    <w:rsid w:val="004D08CE"/>
    <w:rsid w:val="004D090A"/>
    <w:rsid w:val="004D09C6"/>
    <w:rsid w:val="004D0AC8"/>
    <w:rsid w:val="004D0AF6"/>
    <w:rsid w:val="004D112C"/>
    <w:rsid w:val="004D156E"/>
    <w:rsid w:val="004D1645"/>
    <w:rsid w:val="004D173D"/>
    <w:rsid w:val="004D1824"/>
    <w:rsid w:val="004D18AD"/>
    <w:rsid w:val="004D1A29"/>
    <w:rsid w:val="004D1D92"/>
    <w:rsid w:val="004D1D9C"/>
    <w:rsid w:val="004D1DA7"/>
    <w:rsid w:val="004D1DED"/>
    <w:rsid w:val="004D21B2"/>
    <w:rsid w:val="004D2241"/>
    <w:rsid w:val="004D2422"/>
    <w:rsid w:val="004D2458"/>
    <w:rsid w:val="004D24EF"/>
    <w:rsid w:val="004D26C2"/>
    <w:rsid w:val="004D2796"/>
    <w:rsid w:val="004D28A2"/>
    <w:rsid w:val="004D28FC"/>
    <w:rsid w:val="004D2A03"/>
    <w:rsid w:val="004D2B82"/>
    <w:rsid w:val="004D2BD1"/>
    <w:rsid w:val="004D2D49"/>
    <w:rsid w:val="004D2E81"/>
    <w:rsid w:val="004D2E8F"/>
    <w:rsid w:val="004D302C"/>
    <w:rsid w:val="004D3181"/>
    <w:rsid w:val="004D31AB"/>
    <w:rsid w:val="004D3234"/>
    <w:rsid w:val="004D335E"/>
    <w:rsid w:val="004D337A"/>
    <w:rsid w:val="004D33B5"/>
    <w:rsid w:val="004D362A"/>
    <w:rsid w:val="004D38E6"/>
    <w:rsid w:val="004D3B11"/>
    <w:rsid w:val="004D3E80"/>
    <w:rsid w:val="004D4336"/>
    <w:rsid w:val="004D44F5"/>
    <w:rsid w:val="004D465C"/>
    <w:rsid w:val="004D48C5"/>
    <w:rsid w:val="004D4AB6"/>
    <w:rsid w:val="004D4CA0"/>
    <w:rsid w:val="004D4EA7"/>
    <w:rsid w:val="004D4F00"/>
    <w:rsid w:val="004D4FD5"/>
    <w:rsid w:val="004D520D"/>
    <w:rsid w:val="004D52F0"/>
    <w:rsid w:val="004D5447"/>
    <w:rsid w:val="004D55DD"/>
    <w:rsid w:val="004D5605"/>
    <w:rsid w:val="004D573F"/>
    <w:rsid w:val="004D599B"/>
    <w:rsid w:val="004D5AD1"/>
    <w:rsid w:val="004D5B17"/>
    <w:rsid w:val="004D5F18"/>
    <w:rsid w:val="004D5FA0"/>
    <w:rsid w:val="004D6096"/>
    <w:rsid w:val="004D629D"/>
    <w:rsid w:val="004D62F5"/>
    <w:rsid w:val="004D6330"/>
    <w:rsid w:val="004D6409"/>
    <w:rsid w:val="004D6580"/>
    <w:rsid w:val="004D6695"/>
    <w:rsid w:val="004D6796"/>
    <w:rsid w:val="004D67C5"/>
    <w:rsid w:val="004D6A17"/>
    <w:rsid w:val="004D6DD7"/>
    <w:rsid w:val="004D6EA9"/>
    <w:rsid w:val="004D6EAB"/>
    <w:rsid w:val="004D6F91"/>
    <w:rsid w:val="004D6FAF"/>
    <w:rsid w:val="004D705E"/>
    <w:rsid w:val="004D7060"/>
    <w:rsid w:val="004D7382"/>
    <w:rsid w:val="004D7396"/>
    <w:rsid w:val="004D7436"/>
    <w:rsid w:val="004D749F"/>
    <w:rsid w:val="004D7692"/>
    <w:rsid w:val="004D77E6"/>
    <w:rsid w:val="004D79CA"/>
    <w:rsid w:val="004D7A91"/>
    <w:rsid w:val="004D7D38"/>
    <w:rsid w:val="004D7D91"/>
    <w:rsid w:val="004D7FD8"/>
    <w:rsid w:val="004E02BB"/>
    <w:rsid w:val="004E02D2"/>
    <w:rsid w:val="004E05CF"/>
    <w:rsid w:val="004E06B5"/>
    <w:rsid w:val="004E07FB"/>
    <w:rsid w:val="004E0AB3"/>
    <w:rsid w:val="004E0ABD"/>
    <w:rsid w:val="004E0B16"/>
    <w:rsid w:val="004E0F8E"/>
    <w:rsid w:val="004E10E8"/>
    <w:rsid w:val="004E1164"/>
    <w:rsid w:val="004E1298"/>
    <w:rsid w:val="004E1375"/>
    <w:rsid w:val="004E13A7"/>
    <w:rsid w:val="004E14C4"/>
    <w:rsid w:val="004E1936"/>
    <w:rsid w:val="004E1966"/>
    <w:rsid w:val="004E1997"/>
    <w:rsid w:val="004E1ACE"/>
    <w:rsid w:val="004E1B78"/>
    <w:rsid w:val="004E1BDE"/>
    <w:rsid w:val="004E1CB0"/>
    <w:rsid w:val="004E1D75"/>
    <w:rsid w:val="004E1FEB"/>
    <w:rsid w:val="004E201E"/>
    <w:rsid w:val="004E23A1"/>
    <w:rsid w:val="004E24FF"/>
    <w:rsid w:val="004E278B"/>
    <w:rsid w:val="004E2854"/>
    <w:rsid w:val="004E2ABC"/>
    <w:rsid w:val="004E2BB1"/>
    <w:rsid w:val="004E2C3A"/>
    <w:rsid w:val="004E2C6C"/>
    <w:rsid w:val="004E3090"/>
    <w:rsid w:val="004E3270"/>
    <w:rsid w:val="004E33A1"/>
    <w:rsid w:val="004E36DA"/>
    <w:rsid w:val="004E3808"/>
    <w:rsid w:val="004E39E1"/>
    <w:rsid w:val="004E3D3D"/>
    <w:rsid w:val="004E3E80"/>
    <w:rsid w:val="004E3F2F"/>
    <w:rsid w:val="004E404F"/>
    <w:rsid w:val="004E40FD"/>
    <w:rsid w:val="004E426D"/>
    <w:rsid w:val="004E42D9"/>
    <w:rsid w:val="004E45D8"/>
    <w:rsid w:val="004E468A"/>
    <w:rsid w:val="004E49F5"/>
    <w:rsid w:val="004E4B9D"/>
    <w:rsid w:val="004E4BAA"/>
    <w:rsid w:val="004E4F18"/>
    <w:rsid w:val="004E50E3"/>
    <w:rsid w:val="004E52FE"/>
    <w:rsid w:val="004E53C6"/>
    <w:rsid w:val="004E53CA"/>
    <w:rsid w:val="004E53F9"/>
    <w:rsid w:val="004E55B4"/>
    <w:rsid w:val="004E56FB"/>
    <w:rsid w:val="004E59D4"/>
    <w:rsid w:val="004E5CE6"/>
    <w:rsid w:val="004E628C"/>
    <w:rsid w:val="004E6418"/>
    <w:rsid w:val="004E6425"/>
    <w:rsid w:val="004E6510"/>
    <w:rsid w:val="004E68C5"/>
    <w:rsid w:val="004E6A07"/>
    <w:rsid w:val="004E6C30"/>
    <w:rsid w:val="004E6EA3"/>
    <w:rsid w:val="004E7404"/>
    <w:rsid w:val="004E7495"/>
    <w:rsid w:val="004E75C4"/>
    <w:rsid w:val="004E77D5"/>
    <w:rsid w:val="004E78BD"/>
    <w:rsid w:val="004E7904"/>
    <w:rsid w:val="004E7EC1"/>
    <w:rsid w:val="004E7F9A"/>
    <w:rsid w:val="004F0036"/>
    <w:rsid w:val="004F018E"/>
    <w:rsid w:val="004F0292"/>
    <w:rsid w:val="004F02BC"/>
    <w:rsid w:val="004F04DF"/>
    <w:rsid w:val="004F051C"/>
    <w:rsid w:val="004F09E5"/>
    <w:rsid w:val="004F0A34"/>
    <w:rsid w:val="004F0AFE"/>
    <w:rsid w:val="004F0DB7"/>
    <w:rsid w:val="004F0FDA"/>
    <w:rsid w:val="004F1050"/>
    <w:rsid w:val="004F1277"/>
    <w:rsid w:val="004F12AF"/>
    <w:rsid w:val="004F1341"/>
    <w:rsid w:val="004F13E2"/>
    <w:rsid w:val="004F1423"/>
    <w:rsid w:val="004F1672"/>
    <w:rsid w:val="004F17DA"/>
    <w:rsid w:val="004F18CF"/>
    <w:rsid w:val="004F1BE4"/>
    <w:rsid w:val="004F1E52"/>
    <w:rsid w:val="004F1F89"/>
    <w:rsid w:val="004F20F3"/>
    <w:rsid w:val="004F2269"/>
    <w:rsid w:val="004F2586"/>
    <w:rsid w:val="004F25B1"/>
    <w:rsid w:val="004F261A"/>
    <w:rsid w:val="004F26E0"/>
    <w:rsid w:val="004F2922"/>
    <w:rsid w:val="004F2B1F"/>
    <w:rsid w:val="004F2C69"/>
    <w:rsid w:val="004F2CC6"/>
    <w:rsid w:val="004F2E0D"/>
    <w:rsid w:val="004F2F99"/>
    <w:rsid w:val="004F3152"/>
    <w:rsid w:val="004F3814"/>
    <w:rsid w:val="004F38D5"/>
    <w:rsid w:val="004F39FB"/>
    <w:rsid w:val="004F3A87"/>
    <w:rsid w:val="004F3B99"/>
    <w:rsid w:val="004F3D06"/>
    <w:rsid w:val="004F3D0F"/>
    <w:rsid w:val="004F3F94"/>
    <w:rsid w:val="004F3FE8"/>
    <w:rsid w:val="004F4018"/>
    <w:rsid w:val="004F4103"/>
    <w:rsid w:val="004F414C"/>
    <w:rsid w:val="004F44EA"/>
    <w:rsid w:val="004F450F"/>
    <w:rsid w:val="004F4672"/>
    <w:rsid w:val="004F4753"/>
    <w:rsid w:val="004F48CA"/>
    <w:rsid w:val="004F492C"/>
    <w:rsid w:val="004F4974"/>
    <w:rsid w:val="004F4AA4"/>
    <w:rsid w:val="004F4C90"/>
    <w:rsid w:val="004F516D"/>
    <w:rsid w:val="004F51A8"/>
    <w:rsid w:val="004F51AB"/>
    <w:rsid w:val="004F51F6"/>
    <w:rsid w:val="004F543F"/>
    <w:rsid w:val="004F56D0"/>
    <w:rsid w:val="004F576F"/>
    <w:rsid w:val="004F5C7B"/>
    <w:rsid w:val="004F5CEF"/>
    <w:rsid w:val="004F5CFB"/>
    <w:rsid w:val="004F5D39"/>
    <w:rsid w:val="004F5D58"/>
    <w:rsid w:val="004F5DEC"/>
    <w:rsid w:val="004F5E4D"/>
    <w:rsid w:val="004F5EA5"/>
    <w:rsid w:val="004F5EED"/>
    <w:rsid w:val="004F5F78"/>
    <w:rsid w:val="004F6117"/>
    <w:rsid w:val="004F6183"/>
    <w:rsid w:val="004F6391"/>
    <w:rsid w:val="004F63C6"/>
    <w:rsid w:val="004F648E"/>
    <w:rsid w:val="004F69D9"/>
    <w:rsid w:val="004F69EA"/>
    <w:rsid w:val="004F6A74"/>
    <w:rsid w:val="004F6A77"/>
    <w:rsid w:val="004F6C49"/>
    <w:rsid w:val="004F6DF3"/>
    <w:rsid w:val="004F6E33"/>
    <w:rsid w:val="004F7133"/>
    <w:rsid w:val="004F746C"/>
    <w:rsid w:val="004F7F17"/>
    <w:rsid w:val="004F7F8C"/>
    <w:rsid w:val="0050007C"/>
    <w:rsid w:val="00500336"/>
    <w:rsid w:val="005007D1"/>
    <w:rsid w:val="00500A45"/>
    <w:rsid w:val="00500B1A"/>
    <w:rsid w:val="00500B4A"/>
    <w:rsid w:val="00500CB5"/>
    <w:rsid w:val="00501014"/>
    <w:rsid w:val="005015EB"/>
    <w:rsid w:val="0050199E"/>
    <w:rsid w:val="00501A82"/>
    <w:rsid w:val="00501B1D"/>
    <w:rsid w:val="00501BC7"/>
    <w:rsid w:val="00501E35"/>
    <w:rsid w:val="00501E89"/>
    <w:rsid w:val="00501F44"/>
    <w:rsid w:val="00502188"/>
    <w:rsid w:val="0050231B"/>
    <w:rsid w:val="00502B1C"/>
    <w:rsid w:val="00502E48"/>
    <w:rsid w:val="00502E61"/>
    <w:rsid w:val="005030D3"/>
    <w:rsid w:val="0050326B"/>
    <w:rsid w:val="005034CD"/>
    <w:rsid w:val="00503517"/>
    <w:rsid w:val="00503715"/>
    <w:rsid w:val="00503894"/>
    <w:rsid w:val="005038B5"/>
    <w:rsid w:val="00503AD9"/>
    <w:rsid w:val="00503AE8"/>
    <w:rsid w:val="00503C14"/>
    <w:rsid w:val="00503CD2"/>
    <w:rsid w:val="00503D2F"/>
    <w:rsid w:val="00503D82"/>
    <w:rsid w:val="00503E44"/>
    <w:rsid w:val="00504247"/>
    <w:rsid w:val="005042E5"/>
    <w:rsid w:val="0050448D"/>
    <w:rsid w:val="0050473F"/>
    <w:rsid w:val="00504A2A"/>
    <w:rsid w:val="00504AC8"/>
    <w:rsid w:val="00504B54"/>
    <w:rsid w:val="00504E03"/>
    <w:rsid w:val="00504FBF"/>
    <w:rsid w:val="005050E4"/>
    <w:rsid w:val="005051F8"/>
    <w:rsid w:val="005054AD"/>
    <w:rsid w:val="00505594"/>
    <w:rsid w:val="00505692"/>
    <w:rsid w:val="005056A1"/>
    <w:rsid w:val="005056C2"/>
    <w:rsid w:val="00505A8B"/>
    <w:rsid w:val="00505A98"/>
    <w:rsid w:val="00505BF1"/>
    <w:rsid w:val="00505DA8"/>
    <w:rsid w:val="00505DE2"/>
    <w:rsid w:val="0050624F"/>
    <w:rsid w:val="005062FF"/>
    <w:rsid w:val="00506685"/>
    <w:rsid w:val="00506861"/>
    <w:rsid w:val="0050686C"/>
    <w:rsid w:val="00506953"/>
    <w:rsid w:val="00506BFA"/>
    <w:rsid w:val="00506CA5"/>
    <w:rsid w:val="00507025"/>
    <w:rsid w:val="0050738B"/>
    <w:rsid w:val="00507563"/>
    <w:rsid w:val="0050787A"/>
    <w:rsid w:val="005078AF"/>
    <w:rsid w:val="00507A1E"/>
    <w:rsid w:val="00507A75"/>
    <w:rsid w:val="00510108"/>
    <w:rsid w:val="0051019C"/>
    <w:rsid w:val="00510393"/>
    <w:rsid w:val="005106F3"/>
    <w:rsid w:val="005107F1"/>
    <w:rsid w:val="0051084F"/>
    <w:rsid w:val="005109E8"/>
    <w:rsid w:val="00510B3E"/>
    <w:rsid w:val="00510ED7"/>
    <w:rsid w:val="00510FA6"/>
    <w:rsid w:val="00511429"/>
    <w:rsid w:val="0051147B"/>
    <w:rsid w:val="0051155F"/>
    <w:rsid w:val="005115E6"/>
    <w:rsid w:val="0051167F"/>
    <w:rsid w:val="005116FE"/>
    <w:rsid w:val="00511871"/>
    <w:rsid w:val="005118CE"/>
    <w:rsid w:val="00511A35"/>
    <w:rsid w:val="00511B90"/>
    <w:rsid w:val="00511E94"/>
    <w:rsid w:val="00512007"/>
    <w:rsid w:val="00512612"/>
    <w:rsid w:val="005127DB"/>
    <w:rsid w:val="00512908"/>
    <w:rsid w:val="00512B83"/>
    <w:rsid w:val="00512FE3"/>
    <w:rsid w:val="00513222"/>
    <w:rsid w:val="0051327F"/>
    <w:rsid w:val="005132E4"/>
    <w:rsid w:val="005134E9"/>
    <w:rsid w:val="00513B28"/>
    <w:rsid w:val="00513B37"/>
    <w:rsid w:val="00513C7E"/>
    <w:rsid w:val="00513FA2"/>
    <w:rsid w:val="005142F5"/>
    <w:rsid w:val="00514325"/>
    <w:rsid w:val="005143EC"/>
    <w:rsid w:val="00514412"/>
    <w:rsid w:val="0051448B"/>
    <w:rsid w:val="00514B0C"/>
    <w:rsid w:val="00514B0D"/>
    <w:rsid w:val="00514DBC"/>
    <w:rsid w:val="00514DFB"/>
    <w:rsid w:val="00514E75"/>
    <w:rsid w:val="00515246"/>
    <w:rsid w:val="00515283"/>
    <w:rsid w:val="005156A4"/>
    <w:rsid w:val="005156B6"/>
    <w:rsid w:val="00515718"/>
    <w:rsid w:val="00515827"/>
    <w:rsid w:val="00515927"/>
    <w:rsid w:val="00515982"/>
    <w:rsid w:val="00515A1E"/>
    <w:rsid w:val="00515A2D"/>
    <w:rsid w:val="00515AD9"/>
    <w:rsid w:val="00515B60"/>
    <w:rsid w:val="00515E3B"/>
    <w:rsid w:val="00516075"/>
    <w:rsid w:val="005163CE"/>
    <w:rsid w:val="00516527"/>
    <w:rsid w:val="00516966"/>
    <w:rsid w:val="005169A1"/>
    <w:rsid w:val="00516ABE"/>
    <w:rsid w:val="00516DDD"/>
    <w:rsid w:val="00516EEE"/>
    <w:rsid w:val="00517101"/>
    <w:rsid w:val="00517158"/>
    <w:rsid w:val="0051720E"/>
    <w:rsid w:val="005172EA"/>
    <w:rsid w:val="00517515"/>
    <w:rsid w:val="00517654"/>
    <w:rsid w:val="00517830"/>
    <w:rsid w:val="00517926"/>
    <w:rsid w:val="00517970"/>
    <w:rsid w:val="005179CE"/>
    <w:rsid w:val="00517C1F"/>
    <w:rsid w:val="00520054"/>
    <w:rsid w:val="00520111"/>
    <w:rsid w:val="005201B4"/>
    <w:rsid w:val="00520250"/>
    <w:rsid w:val="005203A5"/>
    <w:rsid w:val="0052045C"/>
    <w:rsid w:val="005204E8"/>
    <w:rsid w:val="00520A75"/>
    <w:rsid w:val="00520BDC"/>
    <w:rsid w:val="00520C1B"/>
    <w:rsid w:val="00520E75"/>
    <w:rsid w:val="00520F69"/>
    <w:rsid w:val="00521297"/>
    <w:rsid w:val="005212F9"/>
    <w:rsid w:val="0052149E"/>
    <w:rsid w:val="0052183A"/>
    <w:rsid w:val="00521886"/>
    <w:rsid w:val="00521896"/>
    <w:rsid w:val="005218F9"/>
    <w:rsid w:val="0052193B"/>
    <w:rsid w:val="005219BA"/>
    <w:rsid w:val="00521B24"/>
    <w:rsid w:val="00521BBF"/>
    <w:rsid w:val="00521BF6"/>
    <w:rsid w:val="00521F49"/>
    <w:rsid w:val="005223D0"/>
    <w:rsid w:val="0052247B"/>
    <w:rsid w:val="005224A1"/>
    <w:rsid w:val="005224BB"/>
    <w:rsid w:val="00522732"/>
    <w:rsid w:val="00522776"/>
    <w:rsid w:val="00522BCB"/>
    <w:rsid w:val="00522D17"/>
    <w:rsid w:val="00522DD1"/>
    <w:rsid w:val="00522F81"/>
    <w:rsid w:val="005230C3"/>
    <w:rsid w:val="00523465"/>
    <w:rsid w:val="0052350F"/>
    <w:rsid w:val="00523A19"/>
    <w:rsid w:val="00523AAF"/>
    <w:rsid w:val="00523B6A"/>
    <w:rsid w:val="00524427"/>
    <w:rsid w:val="00524458"/>
    <w:rsid w:val="005244AA"/>
    <w:rsid w:val="005244C8"/>
    <w:rsid w:val="005245F0"/>
    <w:rsid w:val="00524A36"/>
    <w:rsid w:val="00524AFC"/>
    <w:rsid w:val="00524E91"/>
    <w:rsid w:val="00524E94"/>
    <w:rsid w:val="00525129"/>
    <w:rsid w:val="005254B1"/>
    <w:rsid w:val="00525868"/>
    <w:rsid w:val="00525D40"/>
    <w:rsid w:val="00525DD5"/>
    <w:rsid w:val="00525E4A"/>
    <w:rsid w:val="00525EDF"/>
    <w:rsid w:val="00525F44"/>
    <w:rsid w:val="005261FA"/>
    <w:rsid w:val="005264E1"/>
    <w:rsid w:val="005265EB"/>
    <w:rsid w:val="0052688D"/>
    <w:rsid w:val="005269EC"/>
    <w:rsid w:val="00526A4E"/>
    <w:rsid w:val="00526B03"/>
    <w:rsid w:val="00526CC7"/>
    <w:rsid w:val="00526D51"/>
    <w:rsid w:val="00526E10"/>
    <w:rsid w:val="00526E3F"/>
    <w:rsid w:val="00526FE3"/>
    <w:rsid w:val="00527035"/>
    <w:rsid w:val="0052733E"/>
    <w:rsid w:val="0052748D"/>
    <w:rsid w:val="0052753D"/>
    <w:rsid w:val="00527569"/>
    <w:rsid w:val="00527768"/>
    <w:rsid w:val="0052784A"/>
    <w:rsid w:val="0052792A"/>
    <w:rsid w:val="00527ACB"/>
    <w:rsid w:val="00527C19"/>
    <w:rsid w:val="00527E96"/>
    <w:rsid w:val="00527EB6"/>
    <w:rsid w:val="00527F22"/>
    <w:rsid w:val="00527FD9"/>
    <w:rsid w:val="005300FC"/>
    <w:rsid w:val="00530234"/>
    <w:rsid w:val="005303CB"/>
    <w:rsid w:val="005303D6"/>
    <w:rsid w:val="005303F5"/>
    <w:rsid w:val="005305D9"/>
    <w:rsid w:val="00530602"/>
    <w:rsid w:val="005306DF"/>
    <w:rsid w:val="00530D11"/>
    <w:rsid w:val="005310B6"/>
    <w:rsid w:val="005315DB"/>
    <w:rsid w:val="005316B7"/>
    <w:rsid w:val="0053181B"/>
    <w:rsid w:val="00531A71"/>
    <w:rsid w:val="00531B39"/>
    <w:rsid w:val="00531C27"/>
    <w:rsid w:val="00531E21"/>
    <w:rsid w:val="00531FED"/>
    <w:rsid w:val="0053232C"/>
    <w:rsid w:val="00532466"/>
    <w:rsid w:val="00532583"/>
    <w:rsid w:val="00532914"/>
    <w:rsid w:val="00532B35"/>
    <w:rsid w:val="00532D44"/>
    <w:rsid w:val="00532DC3"/>
    <w:rsid w:val="0053310E"/>
    <w:rsid w:val="0053328C"/>
    <w:rsid w:val="00533370"/>
    <w:rsid w:val="0053349F"/>
    <w:rsid w:val="00533694"/>
    <w:rsid w:val="0053381A"/>
    <w:rsid w:val="00533926"/>
    <w:rsid w:val="00533C6E"/>
    <w:rsid w:val="00533E20"/>
    <w:rsid w:val="00534248"/>
    <w:rsid w:val="0053441D"/>
    <w:rsid w:val="00534494"/>
    <w:rsid w:val="005344CE"/>
    <w:rsid w:val="00534511"/>
    <w:rsid w:val="0053459C"/>
    <w:rsid w:val="0053470F"/>
    <w:rsid w:val="005347F5"/>
    <w:rsid w:val="0053487E"/>
    <w:rsid w:val="00534898"/>
    <w:rsid w:val="005348E0"/>
    <w:rsid w:val="0053494B"/>
    <w:rsid w:val="00534D09"/>
    <w:rsid w:val="00534E77"/>
    <w:rsid w:val="00534FC1"/>
    <w:rsid w:val="00535005"/>
    <w:rsid w:val="0053523B"/>
    <w:rsid w:val="0053530A"/>
    <w:rsid w:val="005353BE"/>
    <w:rsid w:val="005353D0"/>
    <w:rsid w:val="0053552A"/>
    <w:rsid w:val="00535549"/>
    <w:rsid w:val="00535638"/>
    <w:rsid w:val="005358A5"/>
    <w:rsid w:val="00535B40"/>
    <w:rsid w:val="00535BAB"/>
    <w:rsid w:val="00535CEB"/>
    <w:rsid w:val="00535F1E"/>
    <w:rsid w:val="00535FAB"/>
    <w:rsid w:val="00535FF9"/>
    <w:rsid w:val="005360C0"/>
    <w:rsid w:val="00536328"/>
    <w:rsid w:val="005364EF"/>
    <w:rsid w:val="005365B2"/>
    <w:rsid w:val="005365ED"/>
    <w:rsid w:val="005365FD"/>
    <w:rsid w:val="005367C5"/>
    <w:rsid w:val="00536836"/>
    <w:rsid w:val="00536975"/>
    <w:rsid w:val="0053697F"/>
    <w:rsid w:val="005369D4"/>
    <w:rsid w:val="005369F2"/>
    <w:rsid w:val="00536C72"/>
    <w:rsid w:val="00536E1E"/>
    <w:rsid w:val="0053716F"/>
    <w:rsid w:val="00537175"/>
    <w:rsid w:val="005371BB"/>
    <w:rsid w:val="00537250"/>
    <w:rsid w:val="0053736D"/>
    <w:rsid w:val="005374E2"/>
    <w:rsid w:val="00537511"/>
    <w:rsid w:val="0053767C"/>
    <w:rsid w:val="0053771D"/>
    <w:rsid w:val="0053787E"/>
    <w:rsid w:val="005378B5"/>
    <w:rsid w:val="00537D29"/>
    <w:rsid w:val="00537D47"/>
    <w:rsid w:val="00537DC2"/>
    <w:rsid w:val="005401AA"/>
    <w:rsid w:val="0054037F"/>
    <w:rsid w:val="00540393"/>
    <w:rsid w:val="00540485"/>
    <w:rsid w:val="005406EA"/>
    <w:rsid w:val="0054076F"/>
    <w:rsid w:val="005407C5"/>
    <w:rsid w:val="00540953"/>
    <w:rsid w:val="005409A6"/>
    <w:rsid w:val="00540A3E"/>
    <w:rsid w:val="00540B37"/>
    <w:rsid w:val="00540D22"/>
    <w:rsid w:val="00540D25"/>
    <w:rsid w:val="00540EC8"/>
    <w:rsid w:val="00540EF9"/>
    <w:rsid w:val="00540F8E"/>
    <w:rsid w:val="00541007"/>
    <w:rsid w:val="00541329"/>
    <w:rsid w:val="005415B6"/>
    <w:rsid w:val="00541A46"/>
    <w:rsid w:val="00541B44"/>
    <w:rsid w:val="00541EC4"/>
    <w:rsid w:val="005420E5"/>
    <w:rsid w:val="005420EF"/>
    <w:rsid w:val="005422B6"/>
    <w:rsid w:val="005422D7"/>
    <w:rsid w:val="00542520"/>
    <w:rsid w:val="00542608"/>
    <w:rsid w:val="005426F8"/>
    <w:rsid w:val="005428CD"/>
    <w:rsid w:val="00542C80"/>
    <w:rsid w:val="00542F0E"/>
    <w:rsid w:val="00543006"/>
    <w:rsid w:val="00543147"/>
    <w:rsid w:val="005434F1"/>
    <w:rsid w:val="005436BB"/>
    <w:rsid w:val="005437C3"/>
    <w:rsid w:val="00543813"/>
    <w:rsid w:val="00543826"/>
    <w:rsid w:val="005438E9"/>
    <w:rsid w:val="00543937"/>
    <w:rsid w:val="00543A38"/>
    <w:rsid w:val="00543F0F"/>
    <w:rsid w:val="0054418E"/>
    <w:rsid w:val="0054427C"/>
    <w:rsid w:val="0054440C"/>
    <w:rsid w:val="00544A78"/>
    <w:rsid w:val="0054529D"/>
    <w:rsid w:val="005452D6"/>
    <w:rsid w:val="00545387"/>
    <w:rsid w:val="005453A2"/>
    <w:rsid w:val="005454AB"/>
    <w:rsid w:val="0054551C"/>
    <w:rsid w:val="0054554D"/>
    <w:rsid w:val="00545B02"/>
    <w:rsid w:val="00545BBC"/>
    <w:rsid w:val="00546131"/>
    <w:rsid w:val="0054634F"/>
    <w:rsid w:val="0054639D"/>
    <w:rsid w:val="0054653A"/>
    <w:rsid w:val="005467DB"/>
    <w:rsid w:val="005468CE"/>
    <w:rsid w:val="00546EF5"/>
    <w:rsid w:val="00547055"/>
    <w:rsid w:val="0054755B"/>
    <w:rsid w:val="0054762C"/>
    <w:rsid w:val="0054781C"/>
    <w:rsid w:val="0054785D"/>
    <w:rsid w:val="00547ABC"/>
    <w:rsid w:val="00547F11"/>
    <w:rsid w:val="0055003D"/>
    <w:rsid w:val="00550171"/>
    <w:rsid w:val="00550292"/>
    <w:rsid w:val="0055029D"/>
    <w:rsid w:val="005502E6"/>
    <w:rsid w:val="0055082C"/>
    <w:rsid w:val="00550DE7"/>
    <w:rsid w:val="00550E2B"/>
    <w:rsid w:val="00550E39"/>
    <w:rsid w:val="00550F78"/>
    <w:rsid w:val="0055122F"/>
    <w:rsid w:val="00551375"/>
    <w:rsid w:val="00551826"/>
    <w:rsid w:val="00551959"/>
    <w:rsid w:val="00551A7F"/>
    <w:rsid w:val="00551AAF"/>
    <w:rsid w:val="00551D75"/>
    <w:rsid w:val="00551DBF"/>
    <w:rsid w:val="00551DD8"/>
    <w:rsid w:val="00551F6C"/>
    <w:rsid w:val="00552035"/>
    <w:rsid w:val="00552049"/>
    <w:rsid w:val="005521D2"/>
    <w:rsid w:val="00552349"/>
    <w:rsid w:val="0055248A"/>
    <w:rsid w:val="00552822"/>
    <w:rsid w:val="0055282E"/>
    <w:rsid w:val="005529D6"/>
    <w:rsid w:val="00552A4C"/>
    <w:rsid w:val="00552C66"/>
    <w:rsid w:val="00552C83"/>
    <w:rsid w:val="00552DD6"/>
    <w:rsid w:val="00552F6A"/>
    <w:rsid w:val="00552FF9"/>
    <w:rsid w:val="005531EA"/>
    <w:rsid w:val="0055338C"/>
    <w:rsid w:val="005533CE"/>
    <w:rsid w:val="0055340E"/>
    <w:rsid w:val="0055343B"/>
    <w:rsid w:val="005534F0"/>
    <w:rsid w:val="00553655"/>
    <w:rsid w:val="0055389F"/>
    <w:rsid w:val="00553C83"/>
    <w:rsid w:val="00553DE2"/>
    <w:rsid w:val="00553F69"/>
    <w:rsid w:val="00553FDB"/>
    <w:rsid w:val="00554152"/>
    <w:rsid w:val="00554299"/>
    <w:rsid w:val="005545BF"/>
    <w:rsid w:val="005546C7"/>
    <w:rsid w:val="00554722"/>
    <w:rsid w:val="00554777"/>
    <w:rsid w:val="00554780"/>
    <w:rsid w:val="00554864"/>
    <w:rsid w:val="00554911"/>
    <w:rsid w:val="00554B40"/>
    <w:rsid w:val="00554C3C"/>
    <w:rsid w:val="00554D24"/>
    <w:rsid w:val="00554DB7"/>
    <w:rsid w:val="00554F1C"/>
    <w:rsid w:val="00554F21"/>
    <w:rsid w:val="005550F6"/>
    <w:rsid w:val="0055510C"/>
    <w:rsid w:val="00555575"/>
    <w:rsid w:val="00555580"/>
    <w:rsid w:val="00555644"/>
    <w:rsid w:val="00555825"/>
    <w:rsid w:val="0055589A"/>
    <w:rsid w:val="00555912"/>
    <w:rsid w:val="005559B0"/>
    <w:rsid w:val="00555AB7"/>
    <w:rsid w:val="00555AC1"/>
    <w:rsid w:val="00555FA8"/>
    <w:rsid w:val="0055634F"/>
    <w:rsid w:val="0055641F"/>
    <w:rsid w:val="00556702"/>
    <w:rsid w:val="0055675D"/>
    <w:rsid w:val="00556976"/>
    <w:rsid w:val="00556B3E"/>
    <w:rsid w:val="00556C03"/>
    <w:rsid w:val="005570CF"/>
    <w:rsid w:val="0055725C"/>
    <w:rsid w:val="00557266"/>
    <w:rsid w:val="00557285"/>
    <w:rsid w:val="0055745F"/>
    <w:rsid w:val="005574B7"/>
    <w:rsid w:val="00557562"/>
    <w:rsid w:val="00557604"/>
    <w:rsid w:val="00557984"/>
    <w:rsid w:val="005601E3"/>
    <w:rsid w:val="0056020E"/>
    <w:rsid w:val="0056032D"/>
    <w:rsid w:val="0056099C"/>
    <w:rsid w:val="00560B4F"/>
    <w:rsid w:val="00560BB4"/>
    <w:rsid w:val="00560C0B"/>
    <w:rsid w:val="00560C42"/>
    <w:rsid w:val="00560FAA"/>
    <w:rsid w:val="005610F3"/>
    <w:rsid w:val="005611E3"/>
    <w:rsid w:val="00561231"/>
    <w:rsid w:val="005613E0"/>
    <w:rsid w:val="00561416"/>
    <w:rsid w:val="0056148F"/>
    <w:rsid w:val="0056186D"/>
    <w:rsid w:val="005619B2"/>
    <w:rsid w:val="00561AB7"/>
    <w:rsid w:val="00561B05"/>
    <w:rsid w:val="00562041"/>
    <w:rsid w:val="00562122"/>
    <w:rsid w:val="005621CB"/>
    <w:rsid w:val="0056223A"/>
    <w:rsid w:val="00562282"/>
    <w:rsid w:val="00562555"/>
    <w:rsid w:val="005627F1"/>
    <w:rsid w:val="00562A84"/>
    <w:rsid w:val="00562CBD"/>
    <w:rsid w:val="0056300F"/>
    <w:rsid w:val="005630B2"/>
    <w:rsid w:val="0056345A"/>
    <w:rsid w:val="00563870"/>
    <w:rsid w:val="00563933"/>
    <w:rsid w:val="0056393E"/>
    <w:rsid w:val="00563A2B"/>
    <w:rsid w:val="00563AAC"/>
    <w:rsid w:val="00563EC3"/>
    <w:rsid w:val="00563FC7"/>
    <w:rsid w:val="005643B2"/>
    <w:rsid w:val="0056460A"/>
    <w:rsid w:val="00564827"/>
    <w:rsid w:val="00564828"/>
    <w:rsid w:val="0056490D"/>
    <w:rsid w:val="00564B09"/>
    <w:rsid w:val="00564B6A"/>
    <w:rsid w:val="00564BDA"/>
    <w:rsid w:val="00564CB4"/>
    <w:rsid w:val="00564D74"/>
    <w:rsid w:val="00564D7D"/>
    <w:rsid w:val="00564D80"/>
    <w:rsid w:val="00565029"/>
    <w:rsid w:val="005650F3"/>
    <w:rsid w:val="00565354"/>
    <w:rsid w:val="00565427"/>
    <w:rsid w:val="0056562F"/>
    <w:rsid w:val="005657C5"/>
    <w:rsid w:val="00565B34"/>
    <w:rsid w:val="00565B55"/>
    <w:rsid w:val="00565BE2"/>
    <w:rsid w:val="00565C49"/>
    <w:rsid w:val="00565CCD"/>
    <w:rsid w:val="00565DB5"/>
    <w:rsid w:val="0056622B"/>
    <w:rsid w:val="00566593"/>
    <w:rsid w:val="00566666"/>
    <w:rsid w:val="005666B1"/>
    <w:rsid w:val="0056683F"/>
    <w:rsid w:val="005669BD"/>
    <w:rsid w:val="00566C05"/>
    <w:rsid w:val="00566C20"/>
    <w:rsid w:val="00566CC1"/>
    <w:rsid w:val="00566D63"/>
    <w:rsid w:val="00566E8F"/>
    <w:rsid w:val="00566E98"/>
    <w:rsid w:val="00566FC7"/>
    <w:rsid w:val="00566FE6"/>
    <w:rsid w:val="00567061"/>
    <w:rsid w:val="005671FF"/>
    <w:rsid w:val="0056723C"/>
    <w:rsid w:val="005674FD"/>
    <w:rsid w:val="00567595"/>
    <w:rsid w:val="00567736"/>
    <w:rsid w:val="005677DB"/>
    <w:rsid w:val="00567A13"/>
    <w:rsid w:val="00567CEC"/>
    <w:rsid w:val="00567F2C"/>
    <w:rsid w:val="00570097"/>
    <w:rsid w:val="0057016E"/>
    <w:rsid w:val="005703FA"/>
    <w:rsid w:val="0057056F"/>
    <w:rsid w:val="00570790"/>
    <w:rsid w:val="0057079D"/>
    <w:rsid w:val="005707F4"/>
    <w:rsid w:val="00570843"/>
    <w:rsid w:val="005709F3"/>
    <w:rsid w:val="00570DD2"/>
    <w:rsid w:val="005714D4"/>
    <w:rsid w:val="0057176D"/>
    <w:rsid w:val="005717FF"/>
    <w:rsid w:val="00571A70"/>
    <w:rsid w:val="00571E5A"/>
    <w:rsid w:val="00571E61"/>
    <w:rsid w:val="00572153"/>
    <w:rsid w:val="005722E6"/>
    <w:rsid w:val="005722F6"/>
    <w:rsid w:val="005723D8"/>
    <w:rsid w:val="00572426"/>
    <w:rsid w:val="00572839"/>
    <w:rsid w:val="00572A69"/>
    <w:rsid w:val="00572E82"/>
    <w:rsid w:val="00572F7A"/>
    <w:rsid w:val="00573152"/>
    <w:rsid w:val="00573439"/>
    <w:rsid w:val="00573531"/>
    <w:rsid w:val="005737FA"/>
    <w:rsid w:val="005738C1"/>
    <w:rsid w:val="0057399B"/>
    <w:rsid w:val="00573C4F"/>
    <w:rsid w:val="00573C87"/>
    <w:rsid w:val="00574214"/>
    <w:rsid w:val="0057422E"/>
    <w:rsid w:val="00574295"/>
    <w:rsid w:val="005742CF"/>
    <w:rsid w:val="005743A5"/>
    <w:rsid w:val="00574471"/>
    <w:rsid w:val="005745C3"/>
    <w:rsid w:val="00574A7B"/>
    <w:rsid w:val="00574AD6"/>
    <w:rsid w:val="0057507C"/>
    <w:rsid w:val="005753EF"/>
    <w:rsid w:val="0057564F"/>
    <w:rsid w:val="005756AF"/>
    <w:rsid w:val="0057579E"/>
    <w:rsid w:val="00575818"/>
    <w:rsid w:val="00575984"/>
    <w:rsid w:val="00575A5B"/>
    <w:rsid w:val="00575CEB"/>
    <w:rsid w:val="00576119"/>
    <w:rsid w:val="005764DF"/>
    <w:rsid w:val="005764EB"/>
    <w:rsid w:val="00576668"/>
    <w:rsid w:val="005767AD"/>
    <w:rsid w:val="005768EA"/>
    <w:rsid w:val="0057695D"/>
    <w:rsid w:val="005769A3"/>
    <w:rsid w:val="005769BC"/>
    <w:rsid w:val="005769BF"/>
    <w:rsid w:val="00576A52"/>
    <w:rsid w:val="00576B33"/>
    <w:rsid w:val="00576BB7"/>
    <w:rsid w:val="00576F92"/>
    <w:rsid w:val="005773F8"/>
    <w:rsid w:val="005774C9"/>
    <w:rsid w:val="0057753B"/>
    <w:rsid w:val="0057755B"/>
    <w:rsid w:val="005778DB"/>
    <w:rsid w:val="0057792F"/>
    <w:rsid w:val="00577949"/>
    <w:rsid w:val="0057796B"/>
    <w:rsid w:val="00577A9D"/>
    <w:rsid w:val="00577AAE"/>
    <w:rsid w:val="00577BFE"/>
    <w:rsid w:val="00577D59"/>
    <w:rsid w:val="0058010C"/>
    <w:rsid w:val="005802DE"/>
    <w:rsid w:val="005803A8"/>
    <w:rsid w:val="005803BF"/>
    <w:rsid w:val="0058040A"/>
    <w:rsid w:val="00580521"/>
    <w:rsid w:val="005806D9"/>
    <w:rsid w:val="00580732"/>
    <w:rsid w:val="005808F0"/>
    <w:rsid w:val="005809C3"/>
    <w:rsid w:val="00580AE6"/>
    <w:rsid w:val="00580BD8"/>
    <w:rsid w:val="00580DB8"/>
    <w:rsid w:val="00580F0D"/>
    <w:rsid w:val="00580F1B"/>
    <w:rsid w:val="005810E9"/>
    <w:rsid w:val="0058112A"/>
    <w:rsid w:val="005812BB"/>
    <w:rsid w:val="00581408"/>
    <w:rsid w:val="00581472"/>
    <w:rsid w:val="005815A9"/>
    <w:rsid w:val="005815FA"/>
    <w:rsid w:val="0058179A"/>
    <w:rsid w:val="00581864"/>
    <w:rsid w:val="00581986"/>
    <w:rsid w:val="005819C5"/>
    <w:rsid w:val="00581BED"/>
    <w:rsid w:val="00581C7D"/>
    <w:rsid w:val="00581D3F"/>
    <w:rsid w:val="00581F12"/>
    <w:rsid w:val="00581F86"/>
    <w:rsid w:val="005820DC"/>
    <w:rsid w:val="005824BF"/>
    <w:rsid w:val="005825A6"/>
    <w:rsid w:val="005827EA"/>
    <w:rsid w:val="00582A51"/>
    <w:rsid w:val="00582A57"/>
    <w:rsid w:val="00582E01"/>
    <w:rsid w:val="00583099"/>
    <w:rsid w:val="005830B9"/>
    <w:rsid w:val="005832D7"/>
    <w:rsid w:val="005832F4"/>
    <w:rsid w:val="005833BE"/>
    <w:rsid w:val="00583630"/>
    <w:rsid w:val="00583B29"/>
    <w:rsid w:val="00583FA1"/>
    <w:rsid w:val="00583FCA"/>
    <w:rsid w:val="00584007"/>
    <w:rsid w:val="0058416A"/>
    <w:rsid w:val="00584490"/>
    <w:rsid w:val="0058467E"/>
    <w:rsid w:val="0058475B"/>
    <w:rsid w:val="005847C1"/>
    <w:rsid w:val="005848F9"/>
    <w:rsid w:val="00584A8B"/>
    <w:rsid w:val="00584ADD"/>
    <w:rsid w:val="00584B38"/>
    <w:rsid w:val="00584C0B"/>
    <w:rsid w:val="00584D06"/>
    <w:rsid w:val="00584F89"/>
    <w:rsid w:val="00584F8B"/>
    <w:rsid w:val="005850F7"/>
    <w:rsid w:val="00585247"/>
    <w:rsid w:val="00585756"/>
    <w:rsid w:val="005857B3"/>
    <w:rsid w:val="0058592B"/>
    <w:rsid w:val="005859C1"/>
    <w:rsid w:val="00585B0A"/>
    <w:rsid w:val="00585BB2"/>
    <w:rsid w:val="00585E59"/>
    <w:rsid w:val="00585E9A"/>
    <w:rsid w:val="00585F74"/>
    <w:rsid w:val="00585F8E"/>
    <w:rsid w:val="00585FD3"/>
    <w:rsid w:val="00586043"/>
    <w:rsid w:val="00586047"/>
    <w:rsid w:val="0058641B"/>
    <w:rsid w:val="00586744"/>
    <w:rsid w:val="005868C5"/>
    <w:rsid w:val="00586BE0"/>
    <w:rsid w:val="00586C5C"/>
    <w:rsid w:val="00587101"/>
    <w:rsid w:val="00587121"/>
    <w:rsid w:val="0058761A"/>
    <w:rsid w:val="005878C6"/>
    <w:rsid w:val="00587A77"/>
    <w:rsid w:val="00587C68"/>
    <w:rsid w:val="00587E0F"/>
    <w:rsid w:val="00590052"/>
    <w:rsid w:val="005900AB"/>
    <w:rsid w:val="00590136"/>
    <w:rsid w:val="00590156"/>
    <w:rsid w:val="0059015B"/>
    <w:rsid w:val="00590354"/>
    <w:rsid w:val="005905B1"/>
    <w:rsid w:val="00590605"/>
    <w:rsid w:val="00590694"/>
    <w:rsid w:val="005908C8"/>
    <w:rsid w:val="005908F1"/>
    <w:rsid w:val="0059094C"/>
    <w:rsid w:val="00590E1F"/>
    <w:rsid w:val="00590EFF"/>
    <w:rsid w:val="0059116A"/>
    <w:rsid w:val="005911A0"/>
    <w:rsid w:val="005913D9"/>
    <w:rsid w:val="0059187B"/>
    <w:rsid w:val="005918D9"/>
    <w:rsid w:val="00591C2F"/>
    <w:rsid w:val="00591D9B"/>
    <w:rsid w:val="0059228D"/>
    <w:rsid w:val="005922B7"/>
    <w:rsid w:val="00592335"/>
    <w:rsid w:val="00592867"/>
    <w:rsid w:val="0059295C"/>
    <w:rsid w:val="00592A18"/>
    <w:rsid w:val="00592B69"/>
    <w:rsid w:val="00592E6F"/>
    <w:rsid w:val="00592EC9"/>
    <w:rsid w:val="005930EB"/>
    <w:rsid w:val="0059312F"/>
    <w:rsid w:val="0059336A"/>
    <w:rsid w:val="00593387"/>
    <w:rsid w:val="005935F4"/>
    <w:rsid w:val="005938FF"/>
    <w:rsid w:val="00593AD9"/>
    <w:rsid w:val="00593B2E"/>
    <w:rsid w:val="00593D67"/>
    <w:rsid w:val="00593E8B"/>
    <w:rsid w:val="00594007"/>
    <w:rsid w:val="005940DA"/>
    <w:rsid w:val="005941F1"/>
    <w:rsid w:val="005947AD"/>
    <w:rsid w:val="0059496A"/>
    <w:rsid w:val="00594DFB"/>
    <w:rsid w:val="005951B0"/>
    <w:rsid w:val="005951D4"/>
    <w:rsid w:val="0059523E"/>
    <w:rsid w:val="005953A7"/>
    <w:rsid w:val="0059555F"/>
    <w:rsid w:val="00595621"/>
    <w:rsid w:val="0059563E"/>
    <w:rsid w:val="00595782"/>
    <w:rsid w:val="00595935"/>
    <w:rsid w:val="00595987"/>
    <w:rsid w:val="00595996"/>
    <w:rsid w:val="005959E6"/>
    <w:rsid w:val="00595FDD"/>
    <w:rsid w:val="00596428"/>
    <w:rsid w:val="0059647B"/>
    <w:rsid w:val="005964B5"/>
    <w:rsid w:val="00596506"/>
    <w:rsid w:val="005967B0"/>
    <w:rsid w:val="00596841"/>
    <w:rsid w:val="00596A23"/>
    <w:rsid w:val="00596A2B"/>
    <w:rsid w:val="00596A9C"/>
    <w:rsid w:val="00596B05"/>
    <w:rsid w:val="00596F30"/>
    <w:rsid w:val="00597233"/>
    <w:rsid w:val="0059729F"/>
    <w:rsid w:val="005972D4"/>
    <w:rsid w:val="00597442"/>
    <w:rsid w:val="00597467"/>
    <w:rsid w:val="005974D7"/>
    <w:rsid w:val="005976B5"/>
    <w:rsid w:val="005976EB"/>
    <w:rsid w:val="0059793D"/>
    <w:rsid w:val="00597C9B"/>
    <w:rsid w:val="005A0181"/>
    <w:rsid w:val="005A030B"/>
    <w:rsid w:val="005A03D0"/>
    <w:rsid w:val="005A04E7"/>
    <w:rsid w:val="005A055A"/>
    <w:rsid w:val="005A07BD"/>
    <w:rsid w:val="005A090C"/>
    <w:rsid w:val="005A09CB"/>
    <w:rsid w:val="005A0A3A"/>
    <w:rsid w:val="005A0FE8"/>
    <w:rsid w:val="005A1393"/>
    <w:rsid w:val="005A1394"/>
    <w:rsid w:val="005A13B6"/>
    <w:rsid w:val="005A1627"/>
    <w:rsid w:val="005A18A8"/>
    <w:rsid w:val="005A1997"/>
    <w:rsid w:val="005A1B9C"/>
    <w:rsid w:val="005A1C2E"/>
    <w:rsid w:val="005A1DCD"/>
    <w:rsid w:val="005A1FDF"/>
    <w:rsid w:val="005A221B"/>
    <w:rsid w:val="005A222B"/>
    <w:rsid w:val="005A22DF"/>
    <w:rsid w:val="005A2652"/>
    <w:rsid w:val="005A27D2"/>
    <w:rsid w:val="005A27EC"/>
    <w:rsid w:val="005A28CB"/>
    <w:rsid w:val="005A2963"/>
    <w:rsid w:val="005A29AA"/>
    <w:rsid w:val="005A2A30"/>
    <w:rsid w:val="005A2C59"/>
    <w:rsid w:val="005A2EB3"/>
    <w:rsid w:val="005A2EFC"/>
    <w:rsid w:val="005A310C"/>
    <w:rsid w:val="005A323B"/>
    <w:rsid w:val="005A3363"/>
    <w:rsid w:val="005A3394"/>
    <w:rsid w:val="005A34F5"/>
    <w:rsid w:val="005A3583"/>
    <w:rsid w:val="005A3614"/>
    <w:rsid w:val="005A3647"/>
    <w:rsid w:val="005A3797"/>
    <w:rsid w:val="005A37A1"/>
    <w:rsid w:val="005A37F1"/>
    <w:rsid w:val="005A39C8"/>
    <w:rsid w:val="005A3A11"/>
    <w:rsid w:val="005A3C82"/>
    <w:rsid w:val="005A3E2E"/>
    <w:rsid w:val="005A41B3"/>
    <w:rsid w:val="005A4493"/>
    <w:rsid w:val="005A48DF"/>
    <w:rsid w:val="005A4ACB"/>
    <w:rsid w:val="005A4BC1"/>
    <w:rsid w:val="005A4C2E"/>
    <w:rsid w:val="005A4F9B"/>
    <w:rsid w:val="005A507C"/>
    <w:rsid w:val="005A5104"/>
    <w:rsid w:val="005A52DD"/>
    <w:rsid w:val="005A5384"/>
    <w:rsid w:val="005A54B6"/>
    <w:rsid w:val="005A56B5"/>
    <w:rsid w:val="005A5826"/>
    <w:rsid w:val="005A5B23"/>
    <w:rsid w:val="005A5BB3"/>
    <w:rsid w:val="005A5F3D"/>
    <w:rsid w:val="005A5FF1"/>
    <w:rsid w:val="005A6082"/>
    <w:rsid w:val="005A634C"/>
    <w:rsid w:val="005A6395"/>
    <w:rsid w:val="005A64B6"/>
    <w:rsid w:val="005A6686"/>
    <w:rsid w:val="005A67AC"/>
    <w:rsid w:val="005A67CC"/>
    <w:rsid w:val="005A698D"/>
    <w:rsid w:val="005A6B24"/>
    <w:rsid w:val="005A6B65"/>
    <w:rsid w:val="005A6C15"/>
    <w:rsid w:val="005A6DE5"/>
    <w:rsid w:val="005A6F09"/>
    <w:rsid w:val="005A713A"/>
    <w:rsid w:val="005A734B"/>
    <w:rsid w:val="005A7491"/>
    <w:rsid w:val="005A76A9"/>
    <w:rsid w:val="005A771F"/>
    <w:rsid w:val="005A77BF"/>
    <w:rsid w:val="005A7A2D"/>
    <w:rsid w:val="005A7BF7"/>
    <w:rsid w:val="005A7D28"/>
    <w:rsid w:val="005B0378"/>
    <w:rsid w:val="005B0577"/>
    <w:rsid w:val="005B05A5"/>
    <w:rsid w:val="005B07F8"/>
    <w:rsid w:val="005B0F32"/>
    <w:rsid w:val="005B14CA"/>
    <w:rsid w:val="005B1B22"/>
    <w:rsid w:val="005B1CE6"/>
    <w:rsid w:val="005B1E6C"/>
    <w:rsid w:val="005B1F5D"/>
    <w:rsid w:val="005B21D5"/>
    <w:rsid w:val="005B21F3"/>
    <w:rsid w:val="005B22A1"/>
    <w:rsid w:val="005B2CC5"/>
    <w:rsid w:val="005B2F81"/>
    <w:rsid w:val="005B3477"/>
    <w:rsid w:val="005B3504"/>
    <w:rsid w:val="005B38BD"/>
    <w:rsid w:val="005B39C0"/>
    <w:rsid w:val="005B3B71"/>
    <w:rsid w:val="005B3D0E"/>
    <w:rsid w:val="005B3E7C"/>
    <w:rsid w:val="005B3F97"/>
    <w:rsid w:val="005B3FA9"/>
    <w:rsid w:val="005B4209"/>
    <w:rsid w:val="005B425E"/>
    <w:rsid w:val="005B42EF"/>
    <w:rsid w:val="005B438B"/>
    <w:rsid w:val="005B4428"/>
    <w:rsid w:val="005B44C9"/>
    <w:rsid w:val="005B45DD"/>
    <w:rsid w:val="005B4878"/>
    <w:rsid w:val="005B4AEA"/>
    <w:rsid w:val="005B4BFE"/>
    <w:rsid w:val="005B4C23"/>
    <w:rsid w:val="005B4D30"/>
    <w:rsid w:val="005B4EF3"/>
    <w:rsid w:val="005B4F2C"/>
    <w:rsid w:val="005B519A"/>
    <w:rsid w:val="005B5364"/>
    <w:rsid w:val="005B55F1"/>
    <w:rsid w:val="005B57C1"/>
    <w:rsid w:val="005B596F"/>
    <w:rsid w:val="005B5A48"/>
    <w:rsid w:val="005B5BA6"/>
    <w:rsid w:val="005B5BF0"/>
    <w:rsid w:val="005B5C3B"/>
    <w:rsid w:val="005B5CCE"/>
    <w:rsid w:val="005B5CF8"/>
    <w:rsid w:val="005B611E"/>
    <w:rsid w:val="005B650A"/>
    <w:rsid w:val="005B67E7"/>
    <w:rsid w:val="005B6854"/>
    <w:rsid w:val="005B688E"/>
    <w:rsid w:val="005B6907"/>
    <w:rsid w:val="005B6B52"/>
    <w:rsid w:val="005B6CB5"/>
    <w:rsid w:val="005B6E45"/>
    <w:rsid w:val="005B6F98"/>
    <w:rsid w:val="005B7051"/>
    <w:rsid w:val="005B7080"/>
    <w:rsid w:val="005B726C"/>
    <w:rsid w:val="005B7429"/>
    <w:rsid w:val="005B7447"/>
    <w:rsid w:val="005B74E9"/>
    <w:rsid w:val="005B753E"/>
    <w:rsid w:val="005B7A66"/>
    <w:rsid w:val="005C00A9"/>
    <w:rsid w:val="005C011E"/>
    <w:rsid w:val="005C05D4"/>
    <w:rsid w:val="005C06E4"/>
    <w:rsid w:val="005C07BA"/>
    <w:rsid w:val="005C08D1"/>
    <w:rsid w:val="005C09D4"/>
    <w:rsid w:val="005C09FE"/>
    <w:rsid w:val="005C0B07"/>
    <w:rsid w:val="005C0E1E"/>
    <w:rsid w:val="005C0F02"/>
    <w:rsid w:val="005C0F0C"/>
    <w:rsid w:val="005C0FEA"/>
    <w:rsid w:val="005C10EE"/>
    <w:rsid w:val="005C11DE"/>
    <w:rsid w:val="005C12DA"/>
    <w:rsid w:val="005C14B1"/>
    <w:rsid w:val="005C14B8"/>
    <w:rsid w:val="005C15FD"/>
    <w:rsid w:val="005C16A5"/>
    <w:rsid w:val="005C182A"/>
    <w:rsid w:val="005C1C21"/>
    <w:rsid w:val="005C1EB2"/>
    <w:rsid w:val="005C200F"/>
    <w:rsid w:val="005C21A8"/>
    <w:rsid w:val="005C22F3"/>
    <w:rsid w:val="005C2542"/>
    <w:rsid w:val="005C2594"/>
    <w:rsid w:val="005C2660"/>
    <w:rsid w:val="005C2666"/>
    <w:rsid w:val="005C2864"/>
    <w:rsid w:val="005C2A85"/>
    <w:rsid w:val="005C2AC7"/>
    <w:rsid w:val="005C2AE7"/>
    <w:rsid w:val="005C2B84"/>
    <w:rsid w:val="005C2D05"/>
    <w:rsid w:val="005C2E08"/>
    <w:rsid w:val="005C2EB2"/>
    <w:rsid w:val="005C2F48"/>
    <w:rsid w:val="005C3019"/>
    <w:rsid w:val="005C313A"/>
    <w:rsid w:val="005C31F4"/>
    <w:rsid w:val="005C3221"/>
    <w:rsid w:val="005C3540"/>
    <w:rsid w:val="005C355A"/>
    <w:rsid w:val="005C3630"/>
    <w:rsid w:val="005C37D0"/>
    <w:rsid w:val="005C38BC"/>
    <w:rsid w:val="005C391B"/>
    <w:rsid w:val="005C3AE3"/>
    <w:rsid w:val="005C3F68"/>
    <w:rsid w:val="005C412F"/>
    <w:rsid w:val="005C4325"/>
    <w:rsid w:val="005C4416"/>
    <w:rsid w:val="005C4496"/>
    <w:rsid w:val="005C4601"/>
    <w:rsid w:val="005C4746"/>
    <w:rsid w:val="005C4812"/>
    <w:rsid w:val="005C4ABD"/>
    <w:rsid w:val="005C51E4"/>
    <w:rsid w:val="005C5262"/>
    <w:rsid w:val="005C54AA"/>
    <w:rsid w:val="005C5592"/>
    <w:rsid w:val="005C577D"/>
    <w:rsid w:val="005C5910"/>
    <w:rsid w:val="005C5975"/>
    <w:rsid w:val="005C5C15"/>
    <w:rsid w:val="005C5DB3"/>
    <w:rsid w:val="005C6015"/>
    <w:rsid w:val="005C601D"/>
    <w:rsid w:val="005C60F2"/>
    <w:rsid w:val="005C616F"/>
    <w:rsid w:val="005C6252"/>
    <w:rsid w:val="005C6697"/>
    <w:rsid w:val="005C6A09"/>
    <w:rsid w:val="005C6A78"/>
    <w:rsid w:val="005C6B1E"/>
    <w:rsid w:val="005C6C53"/>
    <w:rsid w:val="005C6F3E"/>
    <w:rsid w:val="005C6FD3"/>
    <w:rsid w:val="005C707D"/>
    <w:rsid w:val="005C7273"/>
    <w:rsid w:val="005C7418"/>
    <w:rsid w:val="005C75A1"/>
    <w:rsid w:val="005C78E2"/>
    <w:rsid w:val="005C7907"/>
    <w:rsid w:val="005C790B"/>
    <w:rsid w:val="005C7A44"/>
    <w:rsid w:val="005C7F68"/>
    <w:rsid w:val="005D0118"/>
    <w:rsid w:val="005D04B6"/>
    <w:rsid w:val="005D0501"/>
    <w:rsid w:val="005D0750"/>
    <w:rsid w:val="005D080B"/>
    <w:rsid w:val="005D09F5"/>
    <w:rsid w:val="005D0A1B"/>
    <w:rsid w:val="005D0BB7"/>
    <w:rsid w:val="005D0FB4"/>
    <w:rsid w:val="005D0FB7"/>
    <w:rsid w:val="005D104D"/>
    <w:rsid w:val="005D136B"/>
    <w:rsid w:val="005D1599"/>
    <w:rsid w:val="005D15A2"/>
    <w:rsid w:val="005D1AFE"/>
    <w:rsid w:val="005D1B55"/>
    <w:rsid w:val="005D1C7A"/>
    <w:rsid w:val="005D1E97"/>
    <w:rsid w:val="005D1EA8"/>
    <w:rsid w:val="005D200B"/>
    <w:rsid w:val="005D215B"/>
    <w:rsid w:val="005D2569"/>
    <w:rsid w:val="005D2728"/>
    <w:rsid w:val="005D289F"/>
    <w:rsid w:val="005D2928"/>
    <w:rsid w:val="005D2AB1"/>
    <w:rsid w:val="005D2B56"/>
    <w:rsid w:val="005D2D37"/>
    <w:rsid w:val="005D2FBB"/>
    <w:rsid w:val="005D3053"/>
    <w:rsid w:val="005D323C"/>
    <w:rsid w:val="005D349D"/>
    <w:rsid w:val="005D3707"/>
    <w:rsid w:val="005D37B5"/>
    <w:rsid w:val="005D385E"/>
    <w:rsid w:val="005D3ACA"/>
    <w:rsid w:val="005D3AD8"/>
    <w:rsid w:val="005D3C62"/>
    <w:rsid w:val="005D3E3B"/>
    <w:rsid w:val="005D3E4D"/>
    <w:rsid w:val="005D409E"/>
    <w:rsid w:val="005D410A"/>
    <w:rsid w:val="005D430A"/>
    <w:rsid w:val="005D43C5"/>
    <w:rsid w:val="005D457B"/>
    <w:rsid w:val="005D45B5"/>
    <w:rsid w:val="005D4A0D"/>
    <w:rsid w:val="005D4AA6"/>
    <w:rsid w:val="005D4BAD"/>
    <w:rsid w:val="005D4D05"/>
    <w:rsid w:val="005D4DDE"/>
    <w:rsid w:val="005D4F93"/>
    <w:rsid w:val="005D5182"/>
    <w:rsid w:val="005D53BE"/>
    <w:rsid w:val="005D53E1"/>
    <w:rsid w:val="005D550F"/>
    <w:rsid w:val="005D5585"/>
    <w:rsid w:val="005D58E3"/>
    <w:rsid w:val="005D59DC"/>
    <w:rsid w:val="005D5B57"/>
    <w:rsid w:val="005D5DBB"/>
    <w:rsid w:val="005D5DF0"/>
    <w:rsid w:val="005D60A6"/>
    <w:rsid w:val="005D6164"/>
    <w:rsid w:val="005D61BC"/>
    <w:rsid w:val="005D625B"/>
    <w:rsid w:val="005D62E4"/>
    <w:rsid w:val="005D670D"/>
    <w:rsid w:val="005D6914"/>
    <w:rsid w:val="005D69B3"/>
    <w:rsid w:val="005D6BCE"/>
    <w:rsid w:val="005D6E15"/>
    <w:rsid w:val="005D71A1"/>
    <w:rsid w:val="005D7240"/>
    <w:rsid w:val="005D7285"/>
    <w:rsid w:val="005D7290"/>
    <w:rsid w:val="005D73B1"/>
    <w:rsid w:val="005D7567"/>
    <w:rsid w:val="005D77CF"/>
    <w:rsid w:val="005D7CC8"/>
    <w:rsid w:val="005D7D5A"/>
    <w:rsid w:val="005E009E"/>
    <w:rsid w:val="005E02BF"/>
    <w:rsid w:val="005E034D"/>
    <w:rsid w:val="005E0607"/>
    <w:rsid w:val="005E075C"/>
    <w:rsid w:val="005E09B9"/>
    <w:rsid w:val="005E0AF6"/>
    <w:rsid w:val="005E0B7E"/>
    <w:rsid w:val="005E0BA9"/>
    <w:rsid w:val="005E0BCE"/>
    <w:rsid w:val="005E0D57"/>
    <w:rsid w:val="005E0F9F"/>
    <w:rsid w:val="005E0FB7"/>
    <w:rsid w:val="005E0FE4"/>
    <w:rsid w:val="005E11DC"/>
    <w:rsid w:val="005E12FF"/>
    <w:rsid w:val="005E149A"/>
    <w:rsid w:val="005E159B"/>
    <w:rsid w:val="005E15C4"/>
    <w:rsid w:val="005E15DE"/>
    <w:rsid w:val="005E163B"/>
    <w:rsid w:val="005E1649"/>
    <w:rsid w:val="005E16F6"/>
    <w:rsid w:val="005E1746"/>
    <w:rsid w:val="005E1901"/>
    <w:rsid w:val="005E1927"/>
    <w:rsid w:val="005E1C32"/>
    <w:rsid w:val="005E1F3F"/>
    <w:rsid w:val="005E1F6C"/>
    <w:rsid w:val="005E20DC"/>
    <w:rsid w:val="005E230C"/>
    <w:rsid w:val="005E2630"/>
    <w:rsid w:val="005E27A1"/>
    <w:rsid w:val="005E28A9"/>
    <w:rsid w:val="005E2933"/>
    <w:rsid w:val="005E2943"/>
    <w:rsid w:val="005E2A5B"/>
    <w:rsid w:val="005E2B74"/>
    <w:rsid w:val="005E2F24"/>
    <w:rsid w:val="005E3068"/>
    <w:rsid w:val="005E3094"/>
    <w:rsid w:val="005E34CA"/>
    <w:rsid w:val="005E3575"/>
    <w:rsid w:val="005E36AC"/>
    <w:rsid w:val="005E36CF"/>
    <w:rsid w:val="005E3890"/>
    <w:rsid w:val="005E38A7"/>
    <w:rsid w:val="005E3A34"/>
    <w:rsid w:val="005E3C71"/>
    <w:rsid w:val="005E3D77"/>
    <w:rsid w:val="005E3E36"/>
    <w:rsid w:val="005E418A"/>
    <w:rsid w:val="005E43A4"/>
    <w:rsid w:val="005E440F"/>
    <w:rsid w:val="005E4448"/>
    <w:rsid w:val="005E4654"/>
    <w:rsid w:val="005E48CB"/>
    <w:rsid w:val="005E4A6B"/>
    <w:rsid w:val="005E4BAC"/>
    <w:rsid w:val="005E4F3B"/>
    <w:rsid w:val="005E4F74"/>
    <w:rsid w:val="005E5206"/>
    <w:rsid w:val="005E53BC"/>
    <w:rsid w:val="005E53C2"/>
    <w:rsid w:val="005E540B"/>
    <w:rsid w:val="005E552D"/>
    <w:rsid w:val="005E580B"/>
    <w:rsid w:val="005E586F"/>
    <w:rsid w:val="005E5A35"/>
    <w:rsid w:val="005E5CE0"/>
    <w:rsid w:val="005E5D36"/>
    <w:rsid w:val="005E5E6A"/>
    <w:rsid w:val="005E5F72"/>
    <w:rsid w:val="005E603C"/>
    <w:rsid w:val="005E6163"/>
    <w:rsid w:val="005E6346"/>
    <w:rsid w:val="005E6409"/>
    <w:rsid w:val="005E6432"/>
    <w:rsid w:val="005E653B"/>
    <w:rsid w:val="005E6603"/>
    <w:rsid w:val="005E6718"/>
    <w:rsid w:val="005E6817"/>
    <w:rsid w:val="005E68BB"/>
    <w:rsid w:val="005E692A"/>
    <w:rsid w:val="005E6E7D"/>
    <w:rsid w:val="005E6FB8"/>
    <w:rsid w:val="005E6FFD"/>
    <w:rsid w:val="005E707C"/>
    <w:rsid w:val="005E70D0"/>
    <w:rsid w:val="005E76EE"/>
    <w:rsid w:val="005E79AB"/>
    <w:rsid w:val="005E7A6B"/>
    <w:rsid w:val="005E7F84"/>
    <w:rsid w:val="005F024E"/>
    <w:rsid w:val="005F0335"/>
    <w:rsid w:val="005F0445"/>
    <w:rsid w:val="005F047D"/>
    <w:rsid w:val="005F0566"/>
    <w:rsid w:val="005F0598"/>
    <w:rsid w:val="005F05C1"/>
    <w:rsid w:val="005F0648"/>
    <w:rsid w:val="005F0685"/>
    <w:rsid w:val="005F079F"/>
    <w:rsid w:val="005F0885"/>
    <w:rsid w:val="005F08AC"/>
    <w:rsid w:val="005F08DD"/>
    <w:rsid w:val="005F0912"/>
    <w:rsid w:val="005F0A20"/>
    <w:rsid w:val="005F0B7A"/>
    <w:rsid w:val="005F0C5F"/>
    <w:rsid w:val="005F0E68"/>
    <w:rsid w:val="005F0F4B"/>
    <w:rsid w:val="005F0FF3"/>
    <w:rsid w:val="005F1129"/>
    <w:rsid w:val="005F11FA"/>
    <w:rsid w:val="005F12D7"/>
    <w:rsid w:val="005F1415"/>
    <w:rsid w:val="005F152F"/>
    <w:rsid w:val="005F17C9"/>
    <w:rsid w:val="005F1988"/>
    <w:rsid w:val="005F19D1"/>
    <w:rsid w:val="005F2100"/>
    <w:rsid w:val="005F21F9"/>
    <w:rsid w:val="005F2383"/>
    <w:rsid w:val="005F274B"/>
    <w:rsid w:val="005F28A8"/>
    <w:rsid w:val="005F28FB"/>
    <w:rsid w:val="005F29FC"/>
    <w:rsid w:val="005F2B5C"/>
    <w:rsid w:val="005F2CF8"/>
    <w:rsid w:val="005F2EF0"/>
    <w:rsid w:val="005F35F0"/>
    <w:rsid w:val="005F3839"/>
    <w:rsid w:val="005F384D"/>
    <w:rsid w:val="005F394B"/>
    <w:rsid w:val="005F3A9F"/>
    <w:rsid w:val="005F3B02"/>
    <w:rsid w:val="005F3D00"/>
    <w:rsid w:val="005F3FAE"/>
    <w:rsid w:val="005F46E7"/>
    <w:rsid w:val="005F46E8"/>
    <w:rsid w:val="005F480C"/>
    <w:rsid w:val="005F52A1"/>
    <w:rsid w:val="005F52CE"/>
    <w:rsid w:val="005F5403"/>
    <w:rsid w:val="005F558C"/>
    <w:rsid w:val="005F5757"/>
    <w:rsid w:val="005F5A20"/>
    <w:rsid w:val="005F5BA0"/>
    <w:rsid w:val="005F5C7E"/>
    <w:rsid w:val="005F5DAA"/>
    <w:rsid w:val="005F5DF3"/>
    <w:rsid w:val="005F6329"/>
    <w:rsid w:val="005F6389"/>
    <w:rsid w:val="005F6618"/>
    <w:rsid w:val="005F6886"/>
    <w:rsid w:val="005F6B45"/>
    <w:rsid w:val="005F6EF9"/>
    <w:rsid w:val="005F70A3"/>
    <w:rsid w:val="005F72F5"/>
    <w:rsid w:val="005F749E"/>
    <w:rsid w:val="005F74D8"/>
    <w:rsid w:val="005F772C"/>
    <w:rsid w:val="005F7A0F"/>
    <w:rsid w:val="005F7AC9"/>
    <w:rsid w:val="0060006D"/>
    <w:rsid w:val="00600258"/>
    <w:rsid w:val="00600388"/>
    <w:rsid w:val="006004E8"/>
    <w:rsid w:val="00600608"/>
    <w:rsid w:val="00600662"/>
    <w:rsid w:val="006006F9"/>
    <w:rsid w:val="00600782"/>
    <w:rsid w:val="00600858"/>
    <w:rsid w:val="00600889"/>
    <w:rsid w:val="006008CF"/>
    <w:rsid w:val="00600A79"/>
    <w:rsid w:val="00600ABE"/>
    <w:rsid w:val="00600CFC"/>
    <w:rsid w:val="00600DA7"/>
    <w:rsid w:val="00600ED6"/>
    <w:rsid w:val="00600F01"/>
    <w:rsid w:val="00601188"/>
    <w:rsid w:val="00601247"/>
    <w:rsid w:val="0060130D"/>
    <w:rsid w:val="0060190E"/>
    <w:rsid w:val="00601959"/>
    <w:rsid w:val="006019FE"/>
    <w:rsid w:val="00601A59"/>
    <w:rsid w:val="00601CC9"/>
    <w:rsid w:val="00601CED"/>
    <w:rsid w:val="00601E00"/>
    <w:rsid w:val="00602201"/>
    <w:rsid w:val="00602448"/>
    <w:rsid w:val="0060257A"/>
    <w:rsid w:val="0060271C"/>
    <w:rsid w:val="0060278C"/>
    <w:rsid w:val="006027D5"/>
    <w:rsid w:val="00602821"/>
    <w:rsid w:val="00602C25"/>
    <w:rsid w:val="00602CAB"/>
    <w:rsid w:val="00602E93"/>
    <w:rsid w:val="00602F55"/>
    <w:rsid w:val="00602FCA"/>
    <w:rsid w:val="00603107"/>
    <w:rsid w:val="006032A1"/>
    <w:rsid w:val="006032EE"/>
    <w:rsid w:val="00603413"/>
    <w:rsid w:val="00603531"/>
    <w:rsid w:val="0060361B"/>
    <w:rsid w:val="00603A22"/>
    <w:rsid w:val="00603A64"/>
    <w:rsid w:val="00603B65"/>
    <w:rsid w:val="00604060"/>
    <w:rsid w:val="006041CC"/>
    <w:rsid w:val="006043BB"/>
    <w:rsid w:val="0060485F"/>
    <w:rsid w:val="0060486D"/>
    <w:rsid w:val="0060488F"/>
    <w:rsid w:val="00604B44"/>
    <w:rsid w:val="00604BCC"/>
    <w:rsid w:val="00604DDA"/>
    <w:rsid w:val="00604EC4"/>
    <w:rsid w:val="006050D5"/>
    <w:rsid w:val="006052C6"/>
    <w:rsid w:val="006054C8"/>
    <w:rsid w:val="00605544"/>
    <w:rsid w:val="00605587"/>
    <w:rsid w:val="006055A0"/>
    <w:rsid w:val="00605D02"/>
    <w:rsid w:val="00605F16"/>
    <w:rsid w:val="006060C2"/>
    <w:rsid w:val="00606247"/>
    <w:rsid w:val="006063ED"/>
    <w:rsid w:val="00606BD5"/>
    <w:rsid w:val="00606DF0"/>
    <w:rsid w:val="00606E54"/>
    <w:rsid w:val="00606ED8"/>
    <w:rsid w:val="006070EB"/>
    <w:rsid w:val="00607387"/>
    <w:rsid w:val="00607598"/>
    <w:rsid w:val="006076C0"/>
    <w:rsid w:val="006077EE"/>
    <w:rsid w:val="00607A6F"/>
    <w:rsid w:val="00607B21"/>
    <w:rsid w:val="00607C61"/>
    <w:rsid w:val="00607EC0"/>
    <w:rsid w:val="00607EF0"/>
    <w:rsid w:val="00607F24"/>
    <w:rsid w:val="00610048"/>
    <w:rsid w:val="006100E5"/>
    <w:rsid w:val="006100EA"/>
    <w:rsid w:val="00610557"/>
    <w:rsid w:val="0061057D"/>
    <w:rsid w:val="006108AD"/>
    <w:rsid w:val="00610922"/>
    <w:rsid w:val="006109DA"/>
    <w:rsid w:val="00610AF0"/>
    <w:rsid w:val="00610C9C"/>
    <w:rsid w:val="00610E52"/>
    <w:rsid w:val="00610EDE"/>
    <w:rsid w:val="006110AD"/>
    <w:rsid w:val="00611158"/>
    <w:rsid w:val="00611175"/>
    <w:rsid w:val="00611354"/>
    <w:rsid w:val="0061161F"/>
    <w:rsid w:val="006116E1"/>
    <w:rsid w:val="00611791"/>
    <w:rsid w:val="006119D2"/>
    <w:rsid w:val="00611D46"/>
    <w:rsid w:val="00611DFA"/>
    <w:rsid w:val="00611E5F"/>
    <w:rsid w:val="00611EDA"/>
    <w:rsid w:val="00611FCD"/>
    <w:rsid w:val="006120AB"/>
    <w:rsid w:val="00612130"/>
    <w:rsid w:val="0061256E"/>
    <w:rsid w:val="00612658"/>
    <w:rsid w:val="00612801"/>
    <w:rsid w:val="00612A5D"/>
    <w:rsid w:val="00612A74"/>
    <w:rsid w:val="00612AA2"/>
    <w:rsid w:val="00612B18"/>
    <w:rsid w:val="00612C67"/>
    <w:rsid w:val="00612D61"/>
    <w:rsid w:val="00612DA2"/>
    <w:rsid w:val="00612EC8"/>
    <w:rsid w:val="00612F27"/>
    <w:rsid w:val="00612F9C"/>
    <w:rsid w:val="00613311"/>
    <w:rsid w:val="006134E4"/>
    <w:rsid w:val="00613633"/>
    <w:rsid w:val="00613808"/>
    <w:rsid w:val="00613822"/>
    <w:rsid w:val="0061385F"/>
    <w:rsid w:val="0061390A"/>
    <w:rsid w:val="00613977"/>
    <w:rsid w:val="00613B2E"/>
    <w:rsid w:val="00613CE4"/>
    <w:rsid w:val="00613E2A"/>
    <w:rsid w:val="00613ECC"/>
    <w:rsid w:val="00613F51"/>
    <w:rsid w:val="0061409A"/>
    <w:rsid w:val="00614185"/>
    <w:rsid w:val="006141F2"/>
    <w:rsid w:val="0061464A"/>
    <w:rsid w:val="00614705"/>
    <w:rsid w:val="00614787"/>
    <w:rsid w:val="0061488A"/>
    <w:rsid w:val="006148EE"/>
    <w:rsid w:val="00614B5B"/>
    <w:rsid w:val="00614D51"/>
    <w:rsid w:val="00614FB7"/>
    <w:rsid w:val="00615112"/>
    <w:rsid w:val="0061520E"/>
    <w:rsid w:val="006154FC"/>
    <w:rsid w:val="006155AB"/>
    <w:rsid w:val="006155E6"/>
    <w:rsid w:val="006156B3"/>
    <w:rsid w:val="00615927"/>
    <w:rsid w:val="00615EAD"/>
    <w:rsid w:val="00616097"/>
    <w:rsid w:val="006162D4"/>
    <w:rsid w:val="00616529"/>
    <w:rsid w:val="006165A1"/>
    <w:rsid w:val="0061666F"/>
    <w:rsid w:val="00616684"/>
    <w:rsid w:val="006169FD"/>
    <w:rsid w:val="00616C9D"/>
    <w:rsid w:val="00616DB5"/>
    <w:rsid w:val="00616E67"/>
    <w:rsid w:val="00617008"/>
    <w:rsid w:val="00617292"/>
    <w:rsid w:val="006172D2"/>
    <w:rsid w:val="006173C9"/>
    <w:rsid w:val="00617442"/>
    <w:rsid w:val="00617484"/>
    <w:rsid w:val="006176BB"/>
    <w:rsid w:val="006177D8"/>
    <w:rsid w:val="0061784D"/>
    <w:rsid w:val="00617C2C"/>
    <w:rsid w:val="00617C33"/>
    <w:rsid w:val="00617D1A"/>
    <w:rsid w:val="00617F4E"/>
    <w:rsid w:val="00617F9B"/>
    <w:rsid w:val="00620028"/>
    <w:rsid w:val="0062027F"/>
    <w:rsid w:val="00620501"/>
    <w:rsid w:val="006206D0"/>
    <w:rsid w:val="006207B2"/>
    <w:rsid w:val="00620968"/>
    <w:rsid w:val="006209DC"/>
    <w:rsid w:val="00620CA0"/>
    <w:rsid w:val="00620CB2"/>
    <w:rsid w:val="00620E89"/>
    <w:rsid w:val="00620EFA"/>
    <w:rsid w:val="00620F16"/>
    <w:rsid w:val="00620F4A"/>
    <w:rsid w:val="00620F86"/>
    <w:rsid w:val="00621086"/>
    <w:rsid w:val="0062130A"/>
    <w:rsid w:val="006213C0"/>
    <w:rsid w:val="006213E2"/>
    <w:rsid w:val="00621606"/>
    <w:rsid w:val="00621631"/>
    <w:rsid w:val="0062163F"/>
    <w:rsid w:val="00621854"/>
    <w:rsid w:val="0062188B"/>
    <w:rsid w:val="006219C9"/>
    <w:rsid w:val="00621B87"/>
    <w:rsid w:val="00621BDD"/>
    <w:rsid w:val="00621BFA"/>
    <w:rsid w:val="00621DA4"/>
    <w:rsid w:val="00621F2D"/>
    <w:rsid w:val="00621F33"/>
    <w:rsid w:val="00622035"/>
    <w:rsid w:val="006222B7"/>
    <w:rsid w:val="00622754"/>
    <w:rsid w:val="00622C65"/>
    <w:rsid w:val="00622CF8"/>
    <w:rsid w:val="00622FAF"/>
    <w:rsid w:val="0062300E"/>
    <w:rsid w:val="00623025"/>
    <w:rsid w:val="006232E0"/>
    <w:rsid w:val="00623342"/>
    <w:rsid w:val="0062338D"/>
    <w:rsid w:val="0062342F"/>
    <w:rsid w:val="0062357F"/>
    <w:rsid w:val="00623696"/>
    <w:rsid w:val="00623800"/>
    <w:rsid w:val="006238FA"/>
    <w:rsid w:val="0062398E"/>
    <w:rsid w:val="006239E1"/>
    <w:rsid w:val="00623A1E"/>
    <w:rsid w:val="00623B11"/>
    <w:rsid w:val="00623B15"/>
    <w:rsid w:val="00623C5D"/>
    <w:rsid w:val="00623EBE"/>
    <w:rsid w:val="00623FB1"/>
    <w:rsid w:val="006240B8"/>
    <w:rsid w:val="0062416E"/>
    <w:rsid w:val="006243CC"/>
    <w:rsid w:val="00624B5F"/>
    <w:rsid w:val="00624BF7"/>
    <w:rsid w:val="00624CCE"/>
    <w:rsid w:val="00624FE8"/>
    <w:rsid w:val="00625085"/>
    <w:rsid w:val="006250DF"/>
    <w:rsid w:val="00625137"/>
    <w:rsid w:val="0062517E"/>
    <w:rsid w:val="006251D4"/>
    <w:rsid w:val="00625391"/>
    <w:rsid w:val="00625493"/>
    <w:rsid w:val="00625877"/>
    <w:rsid w:val="00625A76"/>
    <w:rsid w:val="00625C12"/>
    <w:rsid w:val="00625C18"/>
    <w:rsid w:val="00625C79"/>
    <w:rsid w:val="00625CCF"/>
    <w:rsid w:val="00625DB1"/>
    <w:rsid w:val="00625F21"/>
    <w:rsid w:val="0062604F"/>
    <w:rsid w:val="00626380"/>
    <w:rsid w:val="006263C9"/>
    <w:rsid w:val="00626418"/>
    <w:rsid w:val="0062644D"/>
    <w:rsid w:val="0062662C"/>
    <w:rsid w:val="00626698"/>
    <w:rsid w:val="006267D1"/>
    <w:rsid w:val="0062686B"/>
    <w:rsid w:val="00626A31"/>
    <w:rsid w:val="00626A68"/>
    <w:rsid w:val="00626CDE"/>
    <w:rsid w:val="00626D46"/>
    <w:rsid w:val="00626E28"/>
    <w:rsid w:val="00626FCD"/>
    <w:rsid w:val="0062711F"/>
    <w:rsid w:val="006272A4"/>
    <w:rsid w:val="0062730D"/>
    <w:rsid w:val="006277DE"/>
    <w:rsid w:val="00627C21"/>
    <w:rsid w:val="00627DDF"/>
    <w:rsid w:val="00627DF7"/>
    <w:rsid w:val="00627E41"/>
    <w:rsid w:val="00627EF9"/>
    <w:rsid w:val="006301A5"/>
    <w:rsid w:val="00630278"/>
    <w:rsid w:val="0063029D"/>
    <w:rsid w:val="0063038D"/>
    <w:rsid w:val="006304EB"/>
    <w:rsid w:val="006305AF"/>
    <w:rsid w:val="00630712"/>
    <w:rsid w:val="00630725"/>
    <w:rsid w:val="00630889"/>
    <w:rsid w:val="006308CA"/>
    <w:rsid w:val="00630990"/>
    <w:rsid w:val="00630DCB"/>
    <w:rsid w:val="00630F5E"/>
    <w:rsid w:val="00631059"/>
    <w:rsid w:val="00631109"/>
    <w:rsid w:val="006311ED"/>
    <w:rsid w:val="00631613"/>
    <w:rsid w:val="00631A9A"/>
    <w:rsid w:val="00631D58"/>
    <w:rsid w:val="00631F28"/>
    <w:rsid w:val="0063210C"/>
    <w:rsid w:val="00632239"/>
    <w:rsid w:val="006322B3"/>
    <w:rsid w:val="006323E6"/>
    <w:rsid w:val="006324F3"/>
    <w:rsid w:val="006327A9"/>
    <w:rsid w:val="006327C4"/>
    <w:rsid w:val="006327C6"/>
    <w:rsid w:val="006327F2"/>
    <w:rsid w:val="00632B0D"/>
    <w:rsid w:val="00632BBB"/>
    <w:rsid w:val="00632BE7"/>
    <w:rsid w:val="00632D5E"/>
    <w:rsid w:val="00632DA5"/>
    <w:rsid w:val="00632DD7"/>
    <w:rsid w:val="0063309E"/>
    <w:rsid w:val="00633112"/>
    <w:rsid w:val="006331EE"/>
    <w:rsid w:val="0063347C"/>
    <w:rsid w:val="006337FC"/>
    <w:rsid w:val="00633976"/>
    <w:rsid w:val="00633C21"/>
    <w:rsid w:val="00633CED"/>
    <w:rsid w:val="00633F1B"/>
    <w:rsid w:val="0063429B"/>
    <w:rsid w:val="00634391"/>
    <w:rsid w:val="006344E6"/>
    <w:rsid w:val="00634937"/>
    <w:rsid w:val="00634EE8"/>
    <w:rsid w:val="00635112"/>
    <w:rsid w:val="0063524B"/>
    <w:rsid w:val="0063561B"/>
    <w:rsid w:val="0063570B"/>
    <w:rsid w:val="0063597E"/>
    <w:rsid w:val="00635A37"/>
    <w:rsid w:val="00635DC6"/>
    <w:rsid w:val="00635EB0"/>
    <w:rsid w:val="00636420"/>
    <w:rsid w:val="006369DE"/>
    <w:rsid w:val="00636CA6"/>
    <w:rsid w:val="00637368"/>
    <w:rsid w:val="006373B6"/>
    <w:rsid w:val="0063751D"/>
    <w:rsid w:val="006376A7"/>
    <w:rsid w:val="00637A7B"/>
    <w:rsid w:val="00637B9A"/>
    <w:rsid w:val="00637BBD"/>
    <w:rsid w:val="00637EA6"/>
    <w:rsid w:val="006400D2"/>
    <w:rsid w:val="00640180"/>
    <w:rsid w:val="00640187"/>
    <w:rsid w:val="006404B4"/>
    <w:rsid w:val="006404B6"/>
    <w:rsid w:val="006405D7"/>
    <w:rsid w:val="006405F7"/>
    <w:rsid w:val="0064064E"/>
    <w:rsid w:val="00640754"/>
    <w:rsid w:val="00640BC4"/>
    <w:rsid w:val="00640CBC"/>
    <w:rsid w:val="00640F37"/>
    <w:rsid w:val="00641084"/>
    <w:rsid w:val="0064129F"/>
    <w:rsid w:val="00641883"/>
    <w:rsid w:val="0064191C"/>
    <w:rsid w:val="00641AD4"/>
    <w:rsid w:val="00641D53"/>
    <w:rsid w:val="00641F0B"/>
    <w:rsid w:val="006421B4"/>
    <w:rsid w:val="00642208"/>
    <w:rsid w:val="0064224F"/>
    <w:rsid w:val="0064230A"/>
    <w:rsid w:val="0064238E"/>
    <w:rsid w:val="006424AA"/>
    <w:rsid w:val="006426D8"/>
    <w:rsid w:val="00642A87"/>
    <w:rsid w:val="00642F4B"/>
    <w:rsid w:val="00643102"/>
    <w:rsid w:val="006432B4"/>
    <w:rsid w:val="00643559"/>
    <w:rsid w:val="0064365A"/>
    <w:rsid w:val="00643779"/>
    <w:rsid w:val="006437BA"/>
    <w:rsid w:val="00643845"/>
    <w:rsid w:val="0064398B"/>
    <w:rsid w:val="006439B4"/>
    <w:rsid w:val="00643C9A"/>
    <w:rsid w:val="00643D07"/>
    <w:rsid w:val="00643EDF"/>
    <w:rsid w:val="00644013"/>
    <w:rsid w:val="006440D3"/>
    <w:rsid w:val="0064420D"/>
    <w:rsid w:val="0064428F"/>
    <w:rsid w:val="006445E8"/>
    <w:rsid w:val="00644602"/>
    <w:rsid w:val="0064462C"/>
    <w:rsid w:val="0064488B"/>
    <w:rsid w:val="006448B5"/>
    <w:rsid w:val="00644C2C"/>
    <w:rsid w:val="00644DAC"/>
    <w:rsid w:val="00644E12"/>
    <w:rsid w:val="00644E20"/>
    <w:rsid w:val="006450D2"/>
    <w:rsid w:val="006453E5"/>
    <w:rsid w:val="006455C0"/>
    <w:rsid w:val="006455D0"/>
    <w:rsid w:val="00645650"/>
    <w:rsid w:val="006458CE"/>
    <w:rsid w:val="00645A50"/>
    <w:rsid w:val="00645A55"/>
    <w:rsid w:val="00645CE7"/>
    <w:rsid w:val="00646000"/>
    <w:rsid w:val="0064607C"/>
    <w:rsid w:val="006461DB"/>
    <w:rsid w:val="006462B7"/>
    <w:rsid w:val="006462D0"/>
    <w:rsid w:val="00646307"/>
    <w:rsid w:val="0064637E"/>
    <w:rsid w:val="006466F2"/>
    <w:rsid w:val="00646A52"/>
    <w:rsid w:val="00646BC4"/>
    <w:rsid w:val="00646DE1"/>
    <w:rsid w:val="00646E25"/>
    <w:rsid w:val="00646FAD"/>
    <w:rsid w:val="0064720A"/>
    <w:rsid w:val="0064726F"/>
    <w:rsid w:val="006472BA"/>
    <w:rsid w:val="0064757B"/>
    <w:rsid w:val="006478BE"/>
    <w:rsid w:val="00647A23"/>
    <w:rsid w:val="00647A8B"/>
    <w:rsid w:val="00647A9D"/>
    <w:rsid w:val="00647BB7"/>
    <w:rsid w:val="00647C7A"/>
    <w:rsid w:val="00647E74"/>
    <w:rsid w:val="00647FE1"/>
    <w:rsid w:val="00650010"/>
    <w:rsid w:val="006500CE"/>
    <w:rsid w:val="00650111"/>
    <w:rsid w:val="006502F9"/>
    <w:rsid w:val="00650454"/>
    <w:rsid w:val="00650895"/>
    <w:rsid w:val="00650F73"/>
    <w:rsid w:val="00651170"/>
    <w:rsid w:val="0065118E"/>
    <w:rsid w:val="00651192"/>
    <w:rsid w:val="0065133C"/>
    <w:rsid w:val="0065154D"/>
    <w:rsid w:val="00651658"/>
    <w:rsid w:val="0065167C"/>
    <w:rsid w:val="00651853"/>
    <w:rsid w:val="0065188A"/>
    <w:rsid w:val="006519B3"/>
    <w:rsid w:val="00651C84"/>
    <w:rsid w:val="00651E32"/>
    <w:rsid w:val="00651F09"/>
    <w:rsid w:val="00652078"/>
    <w:rsid w:val="00652342"/>
    <w:rsid w:val="006524FA"/>
    <w:rsid w:val="0065279A"/>
    <w:rsid w:val="006527E1"/>
    <w:rsid w:val="0065297A"/>
    <w:rsid w:val="00652CE4"/>
    <w:rsid w:val="00652F69"/>
    <w:rsid w:val="00652F6A"/>
    <w:rsid w:val="006531A1"/>
    <w:rsid w:val="006531F0"/>
    <w:rsid w:val="00653207"/>
    <w:rsid w:val="00653395"/>
    <w:rsid w:val="006536BD"/>
    <w:rsid w:val="00653741"/>
    <w:rsid w:val="00653A03"/>
    <w:rsid w:val="00653BC4"/>
    <w:rsid w:val="00653D1C"/>
    <w:rsid w:val="00653D24"/>
    <w:rsid w:val="00653D91"/>
    <w:rsid w:val="0065451A"/>
    <w:rsid w:val="00654999"/>
    <w:rsid w:val="006550AF"/>
    <w:rsid w:val="00655123"/>
    <w:rsid w:val="00655206"/>
    <w:rsid w:val="0065521B"/>
    <w:rsid w:val="00655578"/>
    <w:rsid w:val="006556EB"/>
    <w:rsid w:val="00655824"/>
    <w:rsid w:val="00655C08"/>
    <w:rsid w:val="00655E78"/>
    <w:rsid w:val="00655F4A"/>
    <w:rsid w:val="00655F87"/>
    <w:rsid w:val="00655FFA"/>
    <w:rsid w:val="0065620C"/>
    <w:rsid w:val="006563C0"/>
    <w:rsid w:val="00656486"/>
    <w:rsid w:val="006564EF"/>
    <w:rsid w:val="00656537"/>
    <w:rsid w:val="006566BD"/>
    <w:rsid w:val="00656BB0"/>
    <w:rsid w:val="00657044"/>
    <w:rsid w:val="006576C2"/>
    <w:rsid w:val="00657724"/>
    <w:rsid w:val="006577E3"/>
    <w:rsid w:val="00657A5F"/>
    <w:rsid w:val="00657BA1"/>
    <w:rsid w:val="00657E20"/>
    <w:rsid w:val="00657E49"/>
    <w:rsid w:val="00657F65"/>
    <w:rsid w:val="0066010F"/>
    <w:rsid w:val="00660400"/>
    <w:rsid w:val="0066046E"/>
    <w:rsid w:val="006606C3"/>
    <w:rsid w:val="00660717"/>
    <w:rsid w:val="006607AD"/>
    <w:rsid w:val="006607C1"/>
    <w:rsid w:val="00660943"/>
    <w:rsid w:val="00660C94"/>
    <w:rsid w:val="00660C9A"/>
    <w:rsid w:val="00660FCF"/>
    <w:rsid w:val="00661001"/>
    <w:rsid w:val="006612AA"/>
    <w:rsid w:val="00661B81"/>
    <w:rsid w:val="00661E5F"/>
    <w:rsid w:val="00661EF6"/>
    <w:rsid w:val="00661FFB"/>
    <w:rsid w:val="00662020"/>
    <w:rsid w:val="00662210"/>
    <w:rsid w:val="006624DC"/>
    <w:rsid w:val="0066262D"/>
    <w:rsid w:val="0066271E"/>
    <w:rsid w:val="00662922"/>
    <w:rsid w:val="00662976"/>
    <w:rsid w:val="00662B16"/>
    <w:rsid w:val="00662BA7"/>
    <w:rsid w:val="00662EC6"/>
    <w:rsid w:val="00663066"/>
    <w:rsid w:val="00663151"/>
    <w:rsid w:val="006632A6"/>
    <w:rsid w:val="006632F0"/>
    <w:rsid w:val="00663386"/>
    <w:rsid w:val="00663732"/>
    <w:rsid w:val="00663821"/>
    <w:rsid w:val="00663C62"/>
    <w:rsid w:val="00663E8B"/>
    <w:rsid w:val="00663F1D"/>
    <w:rsid w:val="0066401C"/>
    <w:rsid w:val="00664038"/>
    <w:rsid w:val="00664179"/>
    <w:rsid w:val="006641E8"/>
    <w:rsid w:val="00664385"/>
    <w:rsid w:val="006643BD"/>
    <w:rsid w:val="006643C0"/>
    <w:rsid w:val="00664601"/>
    <w:rsid w:val="0066466A"/>
    <w:rsid w:val="006646D0"/>
    <w:rsid w:val="006648AD"/>
    <w:rsid w:val="00664AD8"/>
    <w:rsid w:val="00664AE6"/>
    <w:rsid w:val="00664B4C"/>
    <w:rsid w:val="00664B70"/>
    <w:rsid w:val="00664CEC"/>
    <w:rsid w:val="00664DAF"/>
    <w:rsid w:val="00664ED0"/>
    <w:rsid w:val="00664F2E"/>
    <w:rsid w:val="006650BB"/>
    <w:rsid w:val="00665134"/>
    <w:rsid w:val="00665459"/>
    <w:rsid w:val="006655A6"/>
    <w:rsid w:val="00665793"/>
    <w:rsid w:val="00665AFC"/>
    <w:rsid w:val="00666290"/>
    <w:rsid w:val="0066640F"/>
    <w:rsid w:val="00666527"/>
    <w:rsid w:val="00666652"/>
    <w:rsid w:val="00666D32"/>
    <w:rsid w:val="006671A0"/>
    <w:rsid w:val="0066723A"/>
    <w:rsid w:val="0066724F"/>
    <w:rsid w:val="006672C3"/>
    <w:rsid w:val="0066745A"/>
    <w:rsid w:val="006674A8"/>
    <w:rsid w:val="00667AB3"/>
    <w:rsid w:val="00667AE9"/>
    <w:rsid w:val="006700E3"/>
    <w:rsid w:val="006700EF"/>
    <w:rsid w:val="00670100"/>
    <w:rsid w:val="006702C5"/>
    <w:rsid w:val="006703C1"/>
    <w:rsid w:val="006703CE"/>
    <w:rsid w:val="00670427"/>
    <w:rsid w:val="006704E7"/>
    <w:rsid w:val="00670749"/>
    <w:rsid w:val="00670756"/>
    <w:rsid w:val="00670A73"/>
    <w:rsid w:val="00670AB6"/>
    <w:rsid w:val="00670C83"/>
    <w:rsid w:val="00670EF5"/>
    <w:rsid w:val="00671007"/>
    <w:rsid w:val="006710FC"/>
    <w:rsid w:val="0067141C"/>
    <w:rsid w:val="00671926"/>
    <w:rsid w:val="00671B58"/>
    <w:rsid w:val="00671C46"/>
    <w:rsid w:val="00671CFF"/>
    <w:rsid w:val="00671D16"/>
    <w:rsid w:val="00671DAE"/>
    <w:rsid w:val="00671DAF"/>
    <w:rsid w:val="006722FE"/>
    <w:rsid w:val="006723A4"/>
    <w:rsid w:val="0067241C"/>
    <w:rsid w:val="0067255C"/>
    <w:rsid w:val="0067258F"/>
    <w:rsid w:val="006725FE"/>
    <w:rsid w:val="00672852"/>
    <w:rsid w:val="00672929"/>
    <w:rsid w:val="00672AF0"/>
    <w:rsid w:val="00672F35"/>
    <w:rsid w:val="00672FE5"/>
    <w:rsid w:val="006730A4"/>
    <w:rsid w:val="006732F4"/>
    <w:rsid w:val="00673315"/>
    <w:rsid w:val="00673501"/>
    <w:rsid w:val="00673530"/>
    <w:rsid w:val="006735D0"/>
    <w:rsid w:val="006736EB"/>
    <w:rsid w:val="0067394C"/>
    <w:rsid w:val="00673B85"/>
    <w:rsid w:val="00673F54"/>
    <w:rsid w:val="00674040"/>
    <w:rsid w:val="0067411C"/>
    <w:rsid w:val="00674382"/>
    <w:rsid w:val="006744C7"/>
    <w:rsid w:val="006746E4"/>
    <w:rsid w:val="00674828"/>
    <w:rsid w:val="006749BF"/>
    <w:rsid w:val="00674A96"/>
    <w:rsid w:val="00674DB5"/>
    <w:rsid w:val="00674E15"/>
    <w:rsid w:val="00674FF5"/>
    <w:rsid w:val="006751AD"/>
    <w:rsid w:val="00675248"/>
    <w:rsid w:val="00675573"/>
    <w:rsid w:val="00675578"/>
    <w:rsid w:val="0067576D"/>
    <w:rsid w:val="00675A52"/>
    <w:rsid w:val="00675B65"/>
    <w:rsid w:val="00675B96"/>
    <w:rsid w:val="0067605D"/>
    <w:rsid w:val="00676401"/>
    <w:rsid w:val="00676406"/>
    <w:rsid w:val="00676444"/>
    <w:rsid w:val="00676613"/>
    <w:rsid w:val="0067662D"/>
    <w:rsid w:val="00676659"/>
    <w:rsid w:val="00676670"/>
    <w:rsid w:val="00676721"/>
    <w:rsid w:val="006767F5"/>
    <w:rsid w:val="006768CE"/>
    <w:rsid w:val="00676A48"/>
    <w:rsid w:val="00676A70"/>
    <w:rsid w:val="00676D2B"/>
    <w:rsid w:val="00676D38"/>
    <w:rsid w:val="00676D7F"/>
    <w:rsid w:val="00676E20"/>
    <w:rsid w:val="006774F1"/>
    <w:rsid w:val="00677614"/>
    <w:rsid w:val="006776F8"/>
    <w:rsid w:val="006777A6"/>
    <w:rsid w:val="00677868"/>
    <w:rsid w:val="00677A6C"/>
    <w:rsid w:val="00680021"/>
    <w:rsid w:val="00680297"/>
    <w:rsid w:val="00680560"/>
    <w:rsid w:val="006805D8"/>
    <w:rsid w:val="0068068F"/>
    <w:rsid w:val="00680723"/>
    <w:rsid w:val="006807AD"/>
    <w:rsid w:val="00680A05"/>
    <w:rsid w:val="00680BC4"/>
    <w:rsid w:val="00680C47"/>
    <w:rsid w:val="00680D4C"/>
    <w:rsid w:val="00680F55"/>
    <w:rsid w:val="00680FEF"/>
    <w:rsid w:val="0068109B"/>
    <w:rsid w:val="006810C9"/>
    <w:rsid w:val="00681192"/>
    <w:rsid w:val="006816A9"/>
    <w:rsid w:val="0068199E"/>
    <w:rsid w:val="00681A7B"/>
    <w:rsid w:val="00681B20"/>
    <w:rsid w:val="00681C74"/>
    <w:rsid w:val="00681EB1"/>
    <w:rsid w:val="00681EF7"/>
    <w:rsid w:val="006821AB"/>
    <w:rsid w:val="00682264"/>
    <w:rsid w:val="00682372"/>
    <w:rsid w:val="0068247A"/>
    <w:rsid w:val="00682486"/>
    <w:rsid w:val="006826C6"/>
    <w:rsid w:val="006827EA"/>
    <w:rsid w:val="006827F4"/>
    <w:rsid w:val="00682826"/>
    <w:rsid w:val="00682B6A"/>
    <w:rsid w:val="00682BE9"/>
    <w:rsid w:val="00682C9A"/>
    <w:rsid w:val="00682DD1"/>
    <w:rsid w:val="00682F71"/>
    <w:rsid w:val="006833B6"/>
    <w:rsid w:val="0068359F"/>
    <w:rsid w:val="0068372A"/>
    <w:rsid w:val="00683A14"/>
    <w:rsid w:val="00683B09"/>
    <w:rsid w:val="00683BFC"/>
    <w:rsid w:val="00683C0C"/>
    <w:rsid w:val="00683F5C"/>
    <w:rsid w:val="00683FDC"/>
    <w:rsid w:val="0068427B"/>
    <w:rsid w:val="0068431F"/>
    <w:rsid w:val="0068433E"/>
    <w:rsid w:val="0068449E"/>
    <w:rsid w:val="0068487A"/>
    <w:rsid w:val="00684905"/>
    <w:rsid w:val="00684AE7"/>
    <w:rsid w:val="00684CA2"/>
    <w:rsid w:val="00684DE2"/>
    <w:rsid w:val="00685319"/>
    <w:rsid w:val="00685442"/>
    <w:rsid w:val="006856CC"/>
    <w:rsid w:val="00685998"/>
    <w:rsid w:val="00685BC3"/>
    <w:rsid w:val="00685BD4"/>
    <w:rsid w:val="00685D61"/>
    <w:rsid w:val="00685F22"/>
    <w:rsid w:val="00685F73"/>
    <w:rsid w:val="00685FC5"/>
    <w:rsid w:val="00686055"/>
    <w:rsid w:val="0068615E"/>
    <w:rsid w:val="006861F8"/>
    <w:rsid w:val="00686294"/>
    <w:rsid w:val="0068629E"/>
    <w:rsid w:val="00686391"/>
    <w:rsid w:val="0068640C"/>
    <w:rsid w:val="00686438"/>
    <w:rsid w:val="0068657F"/>
    <w:rsid w:val="0068666E"/>
    <w:rsid w:val="006866B5"/>
    <w:rsid w:val="0068670F"/>
    <w:rsid w:val="00686808"/>
    <w:rsid w:val="00686A04"/>
    <w:rsid w:val="00686AE4"/>
    <w:rsid w:val="00686D1F"/>
    <w:rsid w:val="006871F2"/>
    <w:rsid w:val="006872D7"/>
    <w:rsid w:val="006873CE"/>
    <w:rsid w:val="00687853"/>
    <w:rsid w:val="00687C7E"/>
    <w:rsid w:val="00687CEA"/>
    <w:rsid w:val="00687EA0"/>
    <w:rsid w:val="00687FA0"/>
    <w:rsid w:val="006900AB"/>
    <w:rsid w:val="0069040E"/>
    <w:rsid w:val="006904AC"/>
    <w:rsid w:val="00690528"/>
    <w:rsid w:val="0069090C"/>
    <w:rsid w:val="00690D33"/>
    <w:rsid w:val="00691051"/>
    <w:rsid w:val="00691168"/>
    <w:rsid w:val="0069129A"/>
    <w:rsid w:val="00691A4B"/>
    <w:rsid w:val="00691AC6"/>
    <w:rsid w:val="00691C60"/>
    <w:rsid w:val="00691CC8"/>
    <w:rsid w:val="00691CEF"/>
    <w:rsid w:val="00691D2D"/>
    <w:rsid w:val="00691F84"/>
    <w:rsid w:val="0069205C"/>
    <w:rsid w:val="006920F6"/>
    <w:rsid w:val="0069221F"/>
    <w:rsid w:val="006924C3"/>
    <w:rsid w:val="00692560"/>
    <w:rsid w:val="00692689"/>
    <w:rsid w:val="00692B29"/>
    <w:rsid w:val="00692B34"/>
    <w:rsid w:val="00692D37"/>
    <w:rsid w:val="00693178"/>
    <w:rsid w:val="00693287"/>
    <w:rsid w:val="006933C3"/>
    <w:rsid w:val="0069350D"/>
    <w:rsid w:val="0069362E"/>
    <w:rsid w:val="006936F9"/>
    <w:rsid w:val="006937D9"/>
    <w:rsid w:val="00693A16"/>
    <w:rsid w:val="00693D17"/>
    <w:rsid w:val="00693DA5"/>
    <w:rsid w:val="00693DBC"/>
    <w:rsid w:val="00693E6A"/>
    <w:rsid w:val="00693E95"/>
    <w:rsid w:val="0069405E"/>
    <w:rsid w:val="00694375"/>
    <w:rsid w:val="006948B5"/>
    <w:rsid w:val="00694A33"/>
    <w:rsid w:val="00694A72"/>
    <w:rsid w:val="00694B9D"/>
    <w:rsid w:val="00694BBE"/>
    <w:rsid w:val="00694F9A"/>
    <w:rsid w:val="00695099"/>
    <w:rsid w:val="006950DC"/>
    <w:rsid w:val="00695474"/>
    <w:rsid w:val="00695603"/>
    <w:rsid w:val="006956FB"/>
    <w:rsid w:val="006956FF"/>
    <w:rsid w:val="00695708"/>
    <w:rsid w:val="00695CC6"/>
    <w:rsid w:val="00695E84"/>
    <w:rsid w:val="006960D7"/>
    <w:rsid w:val="00696108"/>
    <w:rsid w:val="006962C9"/>
    <w:rsid w:val="00696328"/>
    <w:rsid w:val="00696597"/>
    <w:rsid w:val="006965C7"/>
    <w:rsid w:val="006965DE"/>
    <w:rsid w:val="0069673D"/>
    <w:rsid w:val="006967AD"/>
    <w:rsid w:val="0069693E"/>
    <w:rsid w:val="006969DA"/>
    <w:rsid w:val="00696AB9"/>
    <w:rsid w:val="00697595"/>
    <w:rsid w:val="00697A9C"/>
    <w:rsid w:val="00697EE6"/>
    <w:rsid w:val="00697FA3"/>
    <w:rsid w:val="006A00A1"/>
    <w:rsid w:val="006A028C"/>
    <w:rsid w:val="006A0305"/>
    <w:rsid w:val="006A0332"/>
    <w:rsid w:val="006A033C"/>
    <w:rsid w:val="006A0539"/>
    <w:rsid w:val="006A0786"/>
    <w:rsid w:val="006A0DBC"/>
    <w:rsid w:val="006A0DCC"/>
    <w:rsid w:val="006A0E70"/>
    <w:rsid w:val="006A0ECF"/>
    <w:rsid w:val="006A0EE5"/>
    <w:rsid w:val="006A117A"/>
    <w:rsid w:val="006A13AB"/>
    <w:rsid w:val="006A158A"/>
    <w:rsid w:val="006A19A6"/>
    <w:rsid w:val="006A19E1"/>
    <w:rsid w:val="006A1C65"/>
    <w:rsid w:val="006A1CD1"/>
    <w:rsid w:val="006A1D53"/>
    <w:rsid w:val="006A1E24"/>
    <w:rsid w:val="006A1F33"/>
    <w:rsid w:val="006A2263"/>
    <w:rsid w:val="006A22C7"/>
    <w:rsid w:val="006A2324"/>
    <w:rsid w:val="006A2653"/>
    <w:rsid w:val="006A2677"/>
    <w:rsid w:val="006A2A47"/>
    <w:rsid w:val="006A2D64"/>
    <w:rsid w:val="006A2E72"/>
    <w:rsid w:val="006A3289"/>
    <w:rsid w:val="006A32F1"/>
    <w:rsid w:val="006A34A5"/>
    <w:rsid w:val="006A34F6"/>
    <w:rsid w:val="006A37C3"/>
    <w:rsid w:val="006A40CD"/>
    <w:rsid w:val="006A4157"/>
    <w:rsid w:val="006A4871"/>
    <w:rsid w:val="006A498C"/>
    <w:rsid w:val="006A4ABF"/>
    <w:rsid w:val="006A50BF"/>
    <w:rsid w:val="006A50DD"/>
    <w:rsid w:val="006A5128"/>
    <w:rsid w:val="006A52AF"/>
    <w:rsid w:val="006A5372"/>
    <w:rsid w:val="006A55AA"/>
    <w:rsid w:val="006A5641"/>
    <w:rsid w:val="006A5A1E"/>
    <w:rsid w:val="006A5DA5"/>
    <w:rsid w:val="006A5F9B"/>
    <w:rsid w:val="006A60EE"/>
    <w:rsid w:val="006A62C2"/>
    <w:rsid w:val="006A6819"/>
    <w:rsid w:val="006A6843"/>
    <w:rsid w:val="006A68AE"/>
    <w:rsid w:val="006A6C70"/>
    <w:rsid w:val="006A6CC6"/>
    <w:rsid w:val="006A6D0D"/>
    <w:rsid w:val="006A6D94"/>
    <w:rsid w:val="006A6DDC"/>
    <w:rsid w:val="006A70D7"/>
    <w:rsid w:val="006A740C"/>
    <w:rsid w:val="006A7427"/>
    <w:rsid w:val="006A7850"/>
    <w:rsid w:val="006A796F"/>
    <w:rsid w:val="006A7CA2"/>
    <w:rsid w:val="006B0032"/>
    <w:rsid w:val="006B00B1"/>
    <w:rsid w:val="006B0166"/>
    <w:rsid w:val="006B0240"/>
    <w:rsid w:val="006B02DC"/>
    <w:rsid w:val="006B0365"/>
    <w:rsid w:val="006B04D1"/>
    <w:rsid w:val="006B0689"/>
    <w:rsid w:val="006B0876"/>
    <w:rsid w:val="006B08EC"/>
    <w:rsid w:val="006B0A79"/>
    <w:rsid w:val="006B101E"/>
    <w:rsid w:val="006B1053"/>
    <w:rsid w:val="006B10B0"/>
    <w:rsid w:val="006B111E"/>
    <w:rsid w:val="006B12A4"/>
    <w:rsid w:val="006B1311"/>
    <w:rsid w:val="006B134A"/>
    <w:rsid w:val="006B146F"/>
    <w:rsid w:val="006B1539"/>
    <w:rsid w:val="006B17FF"/>
    <w:rsid w:val="006B1CE4"/>
    <w:rsid w:val="006B1FDE"/>
    <w:rsid w:val="006B23E8"/>
    <w:rsid w:val="006B23EE"/>
    <w:rsid w:val="006B2646"/>
    <w:rsid w:val="006B2674"/>
    <w:rsid w:val="006B277C"/>
    <w:rsid w:val="006B2A05"/>
    <w:rsid w:val="006B2CB7"/>
    <w:rsid w:val="006B2E03"/>
    <w:rsid w:val="006B3020"/>
    <w:rsid w:val="006B3166"/>
    <w:rsid w:val="006B31A3"/>
    <w:rsid w:val="006B3546"/>
    <w:rsid w:val="006B35B8"/>
    <w:rsid w:val="006B35E0"/>
    <w:rsid w:val="006B365B"/>
    <w:rsid w:val="006B3808"/>
    <w:rsid w:val="006B387C"/>
    <w:rsid w:val="006B3903"/>
    <w:rsid w:val="006B3BA6"/>
    <w:rsid w:val="006B3CD5"/>
    <w:rsid w:val="006B3D04"/>
    <w:rsid w:val="006B4534"/>
    <w:rsid w:val="006B4585"/>
    <w:rsid w:val="006B4700"/>
    <w:rsid w:val="006B4743"/>
    <w:rsid w:val="006B4832"/>
    <w:rsid w:val="006B4962"/>
    <w:rsid w:val="006B49E9"/>
    <w:rsid w:val="006B5046"/>
    <w:rsid w:val="006B53A0"/>
    <w:rsid w:val="006B568F"/>
    <w:rsid w:val="006B569A"/>
    <w:rsid w:val="006B574A"/>
    <w:rsid w:val="006B58CC"/>
    <w:rsid w:val="006B599F"/>
    <w:rsid w:val="006B5A10"/>
    <w:rsid w:val="006B5C70"/>
    <w:rsid w:val="006B5C79"/>
    <w:rsid w:val="006B5F57"/>
    <w:rsid w:val="006B606E"/>
    <w:rsid w:val="006B6093"/>
    <w:rsid w:val="006B6359"/>
    <w:rsid w:val="006B69D9"/>
    <w:rsid w:val="006B6A06"/>
    <w:rsid w:val="006B6AC2"/>
    <w:rsid w:val="006B6E65"/>
    <w:rsid w:val="006B6F7A"/>
    <w:rsid w:val="006B70D9"/>
    <w:rsid w:val="006B73BB"/>
    <w:rsid w:val="006B758A"/>
    <w:rsid w:val="006B75B0"/>
    <w:rsid w:val="006B765D"/>
    <w:rsid w:val="006B779F"/>
    <w:rsid w:val="006B7A3D"/>
    <w:rsid w:val="006B7A6D"/>
    <w:rsid w:val="006B7B25"/>
    <w:rsid w:val="006B7B5F"/>
    <w:rsid w:val="006B7C3F"/>
    <w:rsid w:val="006B7E18"/>
    <w:rsid w:val="006B7EF5"/>
    <w:rsid w:val="006B7F0B"/>
    <w:rsid w:val="006C0438"/>
    <w:rsid w:val="006C04AA"/>
    <w:rsid w:val="006C055C"/>
    <w:rsid w:val="006C0ACD"/>
    <w:rsid w:val="006C0BBF"/>
    <w:rsid w:val="006C0CAF"/>
    <w:rsid w:val="006C0EF5"/>
    <w:rsid w:val="006C0F0B"/>
    <w:rsid w:val="006C113F"/>
    <w:rsid w:val="006C1482"/>
    <w:rsid w:val="006C1794"/>
    <w:rsid w:val="006C17AA"/>
    <w:rsid w:val="006C1D1E"/>
    <w:rsid w:val="006C201F"/>
    <w:rsid w:val="006C2360"/>
    <w:rsid w:val="006C23E8"/>
    <w:rsid w:val="006C263C"/>
    <w:rsid w:val="006C28A7"/>
    <w:rsid w:val="006C28AE"/>
    <w:rsid w:val="006C2921"/>
    <w:rsid w:val="006C2986"/>
    <w:rsid w:val="006C29D1"/>
    <w:rsid w:val="006C2C39"/>
    <w:rsid w:val="006C2C65"/>
    <w:rsid w:val="006C2DDD"/>
    <w:rsid w:val="006C2EB6"/>
    <w:rsid w:val="006C2EB9"/>
    <w:rsid w:val="006C2FD0"/>
    <w:rsid w:val="006C32AA"/>
    <w:rsid w:val="006C3369"/>
    <w:rsid w:val="006C3386"/>
    <w:rsid w:val="006C3399"/>
    <w:rsid w:val="006C37FB"/>
    <w:rsid w:val="006C37FC"/>
    <w:rsid w:val="006C392E"/>
    <w:rsid w:val="006C39C2"/>
    <w:rsid w:val="006C3B73"/>
    <w:rsid w:val="006C43D6"/>
    <w:rsid w:val="006C44B7"/>
    <w:rsid w:val="006C4888"/>
    <w:rsid w:val="006C4955"/>
    <w:rsid w:val="006C4A6A"/>
    <w:rsid w:val="006C4B42"/>
    <w:rsid w:val="006C4B60"/>
    <w:rsid w:val="006C4D24"/>
    <w:rsid w:val="006C5088"/>
    <w:rsid w:val="006C51E2"/>
    <w:rsid w:val="006C52FB"/>
    <w:rsid w:val="006C5384"/>
    <w:rsid w:val="006C53A4"/>
    <w:rsid w:val="006C5471"/>
    <w:rsid w:val="006C55E9"/>
    <w:rsid w:val="006C56DD"/>
    <w:rsid w:val="006C5873"/>
    <w:rsid w:val="006C58FA"/>
    <w:rsid w:val="006C59A0"/>
    <w:rsid w:val="006C5A51"/>
    <w:rsid w:val="006C5C21"/>
    <w:rsid w:val="006C5E5C"/>
    <w:rsid w:val="006C5E78"/>
    <w:rsid w:val="006C5F36"/>
    <w:rsid w:val="006C60F4"/>
    <w:rsid w:val="006C643D"/>
    <w:rsid w:val="006C6632"/>
    <w:rsid w:val="006C676B"/>
    <w:rsid w:val="006C6862"/>
    <w:rsid w:val="006C6894"/>
    <w:rsid w:val="006C6A5F"/>
    <w:rsid w:val="006C6B18"/>
    <w:rsid w:val="006C6BBC"/>
    <w:rsid w:val="006C6D4D"/>
    <w:rsid w:val="006C6ECC"/>
    <w:rsid w:val="006C73F5"/>
    <w:rsid w:val="006C7550"/>
    <w:rsid w:val="006C766F"/>
    <w:rsid w:val="006C77B1"/>
    <w:rsid w:val="006C78B4"/>
    <w:rsid w:val="006D0048"/>
    <w:rsid w:val="006D00BD"/>
    <w:rsid w:val="006D0137"/>
    <w:rsid w:val="006D02FC"/>
    <w:rsid w:val="006D0301"/>
    <w:rsid w:val="006D0396"/>
    <w:rsid w:val="006D03C9"/>
    <w:rsid w:val="006D0586"/>
    <w:rsid w:val="006D0694"/>
    <w:rsid w:val="006D0732"/>
    <w:rsid w:val="006D07C5"/>
    <w:rsid w:val="006D08DA"/>
    <w:rsid w:val="006D0905"/>
    <w:rsid w:val="006D0ADB"/>
    <w:rsid w:val="006D0B1B"/>
    <w:rsid w:val="006D0B77"/>
    <w:rsid w:val="006D0B8A"/>
    <w:rsid w:val="006D0E4C"/>
    <w:rsid w:val="006D0ED3"/>
    <w:rsid w:val="006D104A"/>
    <w:rsid w:val="006D1124"/>
    <w:rsid w:val="006D14D0"/>
    <w:rsid w:val="006D15ED"/>
    <w:rsid w:val="006D1703"/>
    <w:rsid w:val="006D1B02"/>
    <w:rsid w:val="006D1C9E"/>
    <w:rsid w:val="006D1D5E"/>
    <w:rsid w:val="006D1D85"/>
    <w:rsid w:val="006D1E69"/>
    <w:rsid w:val="006D1E81"/>
    <w:rsid w:val="006D203C"/>
    <w:rsid w:val="006D222E"/>
    <w:rsid w:val="006D240E"/>
    <w:rsid w:val="006D2679"/>
    <w:rsid w:val="006D2765"/>
    <w:rsid w:val="006D2774"/>
    <w:rsid w:val="006D2A7C"/>
    <w:rsid w:val="006D2C3C"/>
    <w:rsid w:val="006D2CF1"/>
    <w:rsid w:val="006D2E6B"/>
    <w:rsid w:val="006D3169"/>
    <w:rsid w:val="006D31A9"/>
    <w:rsid w:val="006D338E"/>
    <w:rsid w:val="006D33F1"/>
    <w:rsid w:val="006D3BA7"/>
    <w:rsid w:val="006D3D77"/>
    <w:rsid w:val="006D3DFE"/>
    <w:rsid w:val="006D3EF1"/>
    <w:rsid w:val="006D422D"/>
    <w:rsid w:val="006D4351"/>
    <w:rsid w:val="006D44CF"/>
    <w:rsid w:val="006D477D"/>
    <w:rsid w:val="006D47F2"/>
    <w:rsid w:val="006D4915"/>
    <w:rsid w:val="006D4997"/>
    <w:rsid w:val="006D49AE"/>
    <w:rsid w:val="006D4AA3"/>
    <w:rsid w:val="006D50D5"/>
    <w:rsid w:val="006D525A"/>
    <w:rsid w:val="006D5403"/>
    <w:rsid w:val="006D54A5"/>
    <w:rsid w:val="006D5833"/>
    <w:rsid w:val="006D5B52"/>
    <w:rsid w:val="006D5C2A"/>
    <w:rsid w:val="006D5C68"/>
    <w:rsid w:val="006D5C9D"/>
    <w:rsid w:val="006D5D40"/>
    <w:rsid w:val="006D602F"/>
    <w:rsid w:val="006D6291"/>
    <w:rsid w:val="006D6470"/>
    <w:rsid w:val="006D6745"/>
    <w:rsid w:val="006D67CE"/>
    <w:rsid w:val="006D68E8"/>
    <w:rsid w:val="006D6A92"/>
    <w:rsid w:val="006D6AA3"/>
    <w:rsid w:val="006D6BC7"/>
    <w:rsid w:val="006D6CDE"/>
    <w:rsid w:val="006D6E86"/>
    <w:rsid w:val="006D6EC3"/>
    <w:rsid w:val="006D7141"/>
    <w:rsid w:val="006D71AE"/>
    <w:rsid w:val="006D71C2"/>
    <w:rsid w:val="006D71EC"/>
    <w:rsid w:val="006D73BE"/>
    <w:rsid w:val="006D7534"/>
    <w:rsid w:val="006D77C4"/>
    <w:rsid w:val="006D7E9C"/>
    <w:rsid w:val="006D7EEC"/>
    <w:rsid w:val="006E030E"/>
    <w:rsid w:val="006E033D"/>
    <w:rsid w:val="006E04BB"/>
    <w:rsid w:val="006E05F8"/>
    <w:rsid w:val="006E07E9"/>
    <w:rsid w:val="006E0A90"/>
    <w:rsid w:val="006E0B80"/>
    <w:rsid w:val="006E0BC7"/>
    <w:rsid w:val="006E0D2E"/>
    <w:rsid w:val="006E0E85"/>
    <w:rsid w:val="006E0EC8"/>
    <w:rsid w:val="006E1118"/>
    <w:rsid w:val="006E1159"/>
    <w:rsid w:val="006E1396"/>
    <w:rsid w:val="006E146B"/>
    <w:rsid w:val="006E14CD"/>
    <w:rsid w:val="006E1580"/>
    <w:rsid w:val="006E171F"/>
    <w:rsid w:val="006E19D5"/>
    <w:rsid w:val="006E1AA7"/>
    <w:rsid w:val="006E1B05"/>
    <w:rsid w:val="006E1DD3"/>
    <w:rsid w:val="006E1FD5"/>
    <w:rsid w:val="006E20ED"/>
    <w:rsid w:val="006E2476"/>
    <w:rsid w:val="006E2611"/>
    <w:rsid w:val="006E26A4"/>
    <w:rsid w:val="006E2751"/>
    <w:rsid w:val="006E2A59"/>
    <w:rsid w:val="006E2A81"/>
    <w:rsid w:val="006E2A85"/>
    <w:rsid w:val="006E2AD8"/>
    <w:rsid w:val="006E2FE8"/>
    <w:rsid w:val="006E2FF9"/>
    <w:rsid w:val="006E3057"/>
    <w:rsid w:val="006E3082"/>
    <w:rsid w:val="006E3129"/>
    <w:rsid w:val="006E353D"/>
    <w:rsid w:val="006E3608"/>
    <w:rsid w:val="006E366D"/>
    <w:rsid w:val="006E3848"/>
    <w:rsid w:val="006E384E"/>
    <w:rsid w:val="006E3882"/>
    <w:rsid w:val="006E38CE"/>
    <w:rsid w:val="006E3D94"/>
    <w:rsid w:val="006E3F42"/>
    <w:rsid w:val="006E3F6E"/>
    <w:rsid w:val="006E3F88"/>
    <w:rsid w:val="006E4184"/>
    <w:rsid w:val="006E424D"/>
    <w:rsid w:val="006E42EB"/>
    <w:rsid w:val="006E444A"/>
    <w:rsid w:val="006E46B5"/>
    <w:rsid w:val="006E4815"/>
    <w:rsid w:val="006E48B2"/>
    <w:rsid w:val="006E4920"/>
    <w:rsid w:val="006E4C71"/>
    <w:rsid w:val="006E4C8C"/>
    <w:rsid w:val="006E4D24"/>
    <w:rsid w:val="006E4E6B"/>
    <w:rsid w:val="006E5101"/>
    <w:rsid w:val="006E53E1"/>
    <w:rsid w:val="006E53F7"/>
    <w:rsid w:val="006E54EB"/>
    <w:rsid w:val="006E5A07"/>
    <w:rsid w:val="006E5A34"/>
    <w:rsid w:val="006E5EBE"/>
    <w:rsid w:val="006E5F7E"/>
    <w:rsid w:val="006E5FA0"/>
    <w:rsid w:val="006E6145"/>
    <w:rsid w:val="006E6235"/>
    <w:rsid w:val="006E6378"/>
    <w:rsid w:val="006E69A9"/>
    <w:rsid w:val="006E6A6D"/>
    <w:rsid w:val="006E6CC1"/>
    <w:rsid w:val="006E6D85"/>
    <w:rsid w:val="006E6D8A"/>
    <w:rsid w:val="006E6D98"/>
    <w:rsid w:val="006E6DEE"/>
    <w:rsid w:val="006E6EFA"/>
    <w:rsid w:val="006E6FF2"/>
    <w:rsid w:val="006E723B"/>
    <w:rsid w:val="006E7280"/>
    <w:rsid w:val="006E7284"/>
    <w:rsid w:val="006E72C7"/>
    <w:rsid w:val="006E74A2"/>
    <w:rsid w:val="006E74E8"/>
    <w:rsid w:val="006E77E2"/>
    <w:rsid w:val="006E7A12"/>
    <w:rsid w:val="006E7D09"/>
    <w:rsid w:val="006E7E56"/>
    <w:rsid w:val="006E7E63"/>
    <w:rsid w:val="006E7F09"/>
    <w:rsid w:val="006F0057"/>
    <w:rsid w:val="006F00A2"/>
    <w:rsid w:val="006F015B"/>
    <w:rsid w:val="006F04E7"/>
    <w:rsid w:val="006F059B"/>
    <w:rsid w:val="006F0639"/>
    <w:rsid w:val="006F06BD"/>
    <w:rsid w:val="006F07F2"/>
    <w:rsid w:val="006F081A"/>
    <w:rsid w:val="006F08B4"/>
    <w:rsid w:val="006F09CA"/>
    <w:rsid w:val="006F0A12"/>
    <w:rsid w:val="006F0CC2"/>
    <w:rsid w:val="006F0EDB"/>
    <w:rsid w:val="006F0FD4"/>
    <w:rsid w:val="006F1160"/>
    <w:rsid w:val="006F1268"/>
    <w:rsid w:val="006F1286"/>
    <w:rsid w:val="006F133D"/>
    <w:rsid w:val="006F134E"/>
    <w:rsid w:val="006F16A5"/>
    <w:rsid w:val="006F16F6"/>
    <w:rsid w:val="006F1B6E"/>
    <w:rsid w:val="006F1BC8"/>
    <w:rsid w:val="006F1CAB"/>
    <w:rsid w:val="006F1E20"/>
    <w:rsid w:val="006F21C2"/>
    <w:rsid w:val="006F2482"/>
    <w:rsid w:val="006F24C5"/>
    <w:rsid w:val="006F253C"/>
    <w:rsid w:val="006F25F3"/>
    <w:rsid w:val="006F2645"/>
    <w:rsid w:val="006F26AC"/>
    <w:rsid w:val="006F2725"/>
    <w:rsid w:val="006F2751"/>
    <w:rsid w:val="006F2755"/>
    <w:rsid w:val="006F27E1"/>
    <w:rsid w:val="006F2934"/>
    <w:rsid w:val="006F2EB9"/>
    <w:rsid w:val="006F2F36"/>
    <w:rsid w:val="006F2F8C"/>
    <w:rsid w:val="006F301C"/>
    <w:rsid w:val="006F3536"/>
    <w:rsid w:val="006F3538"/>
    <w:rsid w:val="006F35A9"/>
    <w:rsid w:val="006F35FB"/>
    <w:rsid w:val="006F3895"/>
    <w:rsid w:val="006F39B4"/>
    <w:rsid w:val="006F3C94"/>
    <w:rsid w:val="006F3DA0"/>
    <w:rsid w:val="006F3EC6"/>
    <w:rsid w:val="006F3F30"/>
    <w:rsid w:val="006F3F57"/>
    <w:rsid w:val="006F4214"/>
    <w:rsid w:val="006F427F"/>
    <w:rsid w:val="006F4425"/>
    <w:rsid w:val="006F473F"/>
    <w:rsid w:val="006F4783"/>
    <w:rsid w:val="006F49AF"/>
    <w:rsid w:val="006F49D1"/>
    <w:rsid w:val="006F49D4"/>
    <w:rsid w:val="006F4B99"/>
    <w:rsid w:val="006F4DF7"/>
    <w:rsid w:val="006F4E4B"/>
    <w:rsid w:val="006F5032"/>
    <w:rsid w:val="006F510B"/>
    <w:rsid w:val="006F56E3"/>
    <w:rsid w:val="006F5B09"/>
    <w:rsid w:val="006F5DC8"/>
    <w:rsid w:val="006F5EBC"/>
    <w:rsid w:val="006F5F3A"/>
    <w:rsid w:val="006F617E"/>
    <w:rsid w:val="006F61B5"/>
    <w:rsid w:val="006F62D1"/>
    <w:rsid w:val="006F62EE"/>
    <w:rsid w:val="006F62FF"/>
    <w:rsid w:val="006F63D7"/>
    <w:rsid w:val="006F64CD"/>
    <w:rsid w:val="006F6A57"/>
    <w:rsid w:val="006F6A9A"/>
    <w:rsid w:val="006F6EB6"/>
    <w:rsid w:val="006F6F35"/>
    <w:rsid w:val="006F74D7"/>
    <w:rsid w:val="006F74E5"/>
    <w:rsid w:val="006F766F"/>
    <w:rsid w:val="006F78DA"/>
    <w:rsid w:val="006F7A78"/>
    <w:rsid w:val="006F7AC8"/>
    <w:rsid w:val="007000F9"/>
    <w:rsid w:val="0070024C"/>
    <w:rsid w:val="00700411"/>
    <w:rsid w:val="0070064A"/>
    <w:rsid w:val="00700754"/>
    <w:rsid w:val="0070087E"/>
    <w:rsid w:val="00700DC1"/>
    <w:rsid w:val="00700F6F"/>
    <w:rsid w:val="00700FD5"/>
    <w:rsid w:val="0070106E"/>
    <w:rsid w:val="00701220"/>
    <w:rsid w:val="007012E9"/>
    <w:rsid w:val="007012FB"/>
    <w:rsid w:val="0070142E"/>
    <w:rsid w:val="00701543"/>
    <w:rsid w:val="00701572"/>
    <w:rsid w:val="007017FE"/>
    <w:rsid w:val="0070195B"/>
    <w:rsid w:val="00701B46"/>
    <w:rsid w:val="00701BC6"/>
    <w:rsid w:val="00701D64"/>
    <w:rsid w:val="00701EFC"/>
    <w:rsid w:val="00702330"/>
    <w:rsid w:val="00702362"/>
    <w:rsid w:val="007025F3"/>
    <w:rsid w:val="0070270E"/>
    <w:rsid w:val="007029B6"/>
    <w:rsid w:val="00702CA4"/>
    <w:rsid w:val="00702E00"/>
    <w:rsid w:val="00702E19"/>
    <w:rsid w:val="00703013"/>
    <w:rsid w:val="007030CC"/>
    <w:rsid w:val="007031D8"/>
    <w:rsid w:val="00703359"/>
    <w:rsid w:val="00703435"/>
    <w:rsid w:val="00703A5D"/>
    <w:rsid w:val="00703B34"/>
    <w:rsid w:val="00703FAA"/>
    <w:rsid w:val="00704226"/>
    <w:rsid w:val="00704242"/>
    <w:rsid w:val="00704396"/>
    <w:rsid w:val="007043E0"/>
    <w:rsid w:val="007043FB"/>
    <w:rsid w:val="007044B1"/>
    <w:rsid w:val="00704C00"/>
    <w:rsid w:val="00704CBA"/>
    <w:rsid w:val="00704CC9"/>
    <w:rsid w:val="00704E1D"/>
    <w:rsid w:val="00704EAE"/>
    <w:rsid w:val="00705062"/>
    <w:rsid w:val="0070524C"/>
    <w:rsid w:val="0070542E"/>
    <w:rsid w:val="00705754"/>
    <w:rsid w:val="007059BA"/>
    <w:rsid w:val="00705E14"/>
    <w:rsid w:val="00705EAB"/>
    <w:rsid w:val="00705F43"/>
    <w:rsid w:val="0070618A"/>
    <w:rsid w:val="007066C5"/>
    <w:rsid w:val="007068CD"/>
    <w:rsid w:val="00706A0F"/>
    <w:rsid w:val="00706A2E"/>
    <w:rsid w:val="00706B8E"/>
    <w:rsid w:val="00706CB3"/>
    <w:rsid w:val="00706E32"/>
    <w:rsid w:val="00706FE6"/>
    <w:rsid w:val="00706FF6"/>
    <w:rsid w:val="0070719B"/>
    <w:rsid w:val="007072D7"/>
    <w:rsid w:val="007075D0"/>
    <w:rsid w:val="0070777D"/>
    <w:rsid w:val="00707AFE"/>
    <w:rsid w:val="00707BEF"/>
    <w:rsid w:val="00707E6A"/>
    <w:rsid w:val="00707F91"/>
    <w:rsid w:val="00707F9F"/>
    <w:rsid w:val="00707FF1"/>
    <w:rsid w:val="00710064"/>
    <w:rsid w:val="0071035B"/>
    <w:rsid w:val="007104F4"/>
    <w:rsid w:val="0071050B"/>
    <w:rsid w:val="00710536"/>
    <w:rsid w:val="007105EE"/>
    <w:rsid w:val="007106E0"/>
    <w:rsid w:val="007107CA"/>
    <w:rsid w:val="007107D1"/>
    <w:rsid w:val="00710B68"/>
    <w:rsid w:val="00710D21"/>
    <w:rsid w:val="00710E94"/>
    <w:rsid w:val="00710E9B"/>
    <w:rsid w:val="00710FFD"/>
    <w:rsid w:val="00711003"/>
    <w:rsid w:val="007112CA"/>
    <w:rsid w:val="0071179C"/>
    <w:rsid w:val="00711A7E"/>
    <w:rsid w:val="00711C70"/>
    <w:rsid w:val="00711CE1"/>
    <w:rsid w:val="00711EB7"/>
    <w:rsid w:val="00711F5F"/>
    <w:rsid w:val="00712480"/>
    <w:rsid w:val="00712539"/>
    <w:rsid w:val="00712601"/>
    <w:rsid w:val="007127E6"/>
    <w:rsid w:val="007128F9"/>
    <w:rsid w:val="00712ECC"/>
    <w:rsid w:val="00713033"/>
    <w:rsid w:val="0071303C"/>
    <w:rsid w:val="007131E5"/>
    <w:rsid w:val="00713497"/>
    <w:rsid w:val="0071352F"/>
    <w:rsid w:val="0071354E"/>
    <w:rsid w:val="0071356A"/>
    <w:rsid w:val="0071370C"/>
    <w:rsid w:val="00713732"/>
    <w:rsid w:val="0071394C"/>
    <w:rsid w:val="007139F1"/>
    <w:rsid w:val="00713ED8"/>
    <w:rsid w:val="00713F0C"/>
    <w:rsid w:val="0071408E"/>
    <w:rsid w:val="0071419C"/>
    <w:rsid w:val="007141EB"/>
    <w:rsid w:val="00714321"/>
    <w:rsid w:val="007143D3"/>
    <w:rsid w:val="0071479D"/>
    <w:rsid w:val="00714AAE"/>
    <w:rsid w:val="00714D9C"/>
    <w:rsid w:val="00714E3E"/>
    <w:rsid w:val="00714EC2"/>
    <w:rsid w:val="00714EE4"/>
    <w:rsid w:val="00715044"/>
    <w:rsid w:val="007151C7"/>
    <w:rsid w:val="00715389"/>
    <w:rsid w:val="007153C4"/>
    <w:rsid w:val="0071542A"/>
    <w:rsid w:val="00715434"/>
    <w:rsid w:val="00715435"/>
    <w:rsid w:val="007155B4"/>
    <w:rsid w:val="007157ED"/>
    <w:rsid w:val="00715801"/>
    <w:rsid w:val="00715889"/>
    <w:rsid w:val="00715916"/>
    <w:rsid w:val="0071594C"/>
    <w:rsid w:val="00715AC6"/>
    <w:rsid w:val="00715C53"/>
    <w:rsid w:val="00715D60"/>
    <w:rsid w:val="0071635E"/>
    <w:rsid w:val="00716554"/>
    <w:rsid w:val="00716699"/>
    <w:rsid w:val="007167F6"/>
    <w:rsid w:val="00716A79"/>
    <w:rsid w:val="00716E2A"/>
    <w:rsid w:val="00716EB4"/>
    <w:rsid w:val="00716F4C"/>
    <w:rsid w:val="00717256"/>
    <w:rsid w:val="0071756B"/>
    <w:rsid w:val="00717772"/>
    <w:rsid w:val="007179AA"/>
    <w:rsid w:val="007179B5"/>
    <w:rsid w:val="00717B2F"/>
    <w:rsid w:val="00717E1B"/>
    <w:rsid w:val="00720082"/>
    <w:rsid w:val="0072049C"/>
    <w:rsid w:val="00720542"/>
    <w:rsid w:val="007205A1"/>
    <w:rsid w:val="00720A5C"/>
    <w:rsid w:val="00720CE5"/>
    <w:rsid w:val="00720D09"/>
    <w:rsid w:val="00720DA7"/>
    <w:rsid w:val="00720FAE"/>
    <w:rsid w:val="007210B3"/>
    <w:rsid w:val="00721169"/>
    <w:rsid w:val="007212A7"/>
    <w:rsid w:val="007214BE"/>
    <w:rsid w:val="007215A1"/>
    <w:rsid w:val="0072163D"/>
    <w:rsid w:val="007216EE"/>
    <w:rsid w:val="00721743"/>
    <w:rsid w:val="007218AE"/>
    <w:rsid w:val="00721ADB"/>
    <w:rsid w:val="00721CD9"/>
    <w:rsid w:val="00721D8B"/>
    <w:rsid w:val="00721E51"/>
    <w:rsid w:val="0072210C"/>
    <w:rsid w:val="0072245A"/>
    <w:rsid w:val="00722529"/>
    <w:rsid w:val="0072260B"/>
    <w:rsid w:val="0072278D"/>
    <w:rsid w:val="007229EF"/>
    <w:rsid w:val="00722E12"/>
    <w:rsid w:val="00723006"/>
    <w:rsid w:val="0072329E"/>
    <w:rsid w:val="007232A8"/>
    <w:rsid w:val="007236BD"/>
    <w:rsid w:val="00723910"/>
    <w:rsid w:val="00723912"/>
    <w:rsid w:val="00723BDE"/>
    <w:rsid w:val="00723C33"/>
    <w:rsid w:val="00723D1B"/>
    <w:rsid w:val="00723D7A"/>
    <w:rsid w:val="00723D8D"/>
    <w:rsid w:val="00724039"/>
    <w:rsid w:val="0072408E"/>
    <w:rsid w:val="007242A8"/>
    <w:rsid w:val="00724562"/>
    <w:rsid w:val="007245A9"/>
    <w:rsid w:val="007246BF"/>
    <w:rsid w:val="0072483E"/>
    <w:rsid w:val="00724A5E"/>
    <w:rsid w:val="00724C6E"/>
    <w:rsid w:val="00724D20"/>
    <w:rsid w:val="0072522D"/>
    <w:rsid w:val="007252AB"/>
    <w:rsid w:val="007252EC"/>
    <w:rsid w:val="00725469"/>
    <w:rsid w:val="007255F3"/>
    <w:rsid w:val="0072560F"/>
    <w:rsid w:val="007259A0"/>
    <w:rsid w:val="007259DC"/>
    <w:rsid w:val="00725B9B"/>
    <w:rsid w:val="00725BF0"/>
    <w:rsid w:val="00725E25"/>
    <w:rsid w:val="00725F39"/>
    <w:rsid w:val="00726526"/>
    <w:rsid w:val="00726547"/>
    <w:rsid w:val="00726610"/>
    <w:rsid w:val="007267A4"/>
    <w:rsid w:val="00726BAA"/>
    <w:rsid w:val="0072708A"/>
    <w:rsid w:val="0072717E"/>
    <w:rsid w:val="007271E5"/>
    <w:rsid w:val="0072728C"/>
    <w:rsid w:val="007272F2"/>
    <w:rsid w:val="00727581"/>
    <w:rsid w:val="0072768B"/>
    <w:rsid w:val="007276CA"/>
    <w:rsid w:val="00727753"/>
    <w:rsid w:val="00727AA5"/>
    <w:rsid w:val="00727AF1"/>
    <w:rsid w:val="00727D8A"/>
    <w:rsid w:val="00730536"/>
    <w:rsid w:val="00730554"/>
    <w:rsid w:val="00730846"/>
    <w:rsid w:val="007308CC"/>
    <w:rsid w:val="00730934"/>
    <w:rsid w:val="00730958"/>
    <w:rsid w:val="00730ACB"/>
    <w:rsid w:val="00730BD3"/>
    <w:rsid w:val="00730CD3"/>
    <w:rsid w:val="00730D06"/>
    <w:rsid w:val="00731045"/>
    <w:rsid w:val="007310D1"/>
    <w:rsid w:val="00731215"/>
    <w:rsid w:val="0073148E"/>
    <w:rsid w:val="007314C0"/>
    <w:rsid w:val="00731539"/>
    <w:rsid w:val="007315A1"/>
    <w:rsid w:val="007315CA"/>
    <w:rsid w:val="007315EF"/>
    <w:rsid w:val="00731654"/>
    <w:rsid w:val="007316D0"/>
    <w:rsid w:val="00731777"/>
    <w:rsid w:val="00731991"/>
    <w:rsid w:val="00731A19"/>
    <w:rsid w:val="00731D08"/>
    <w:rsid w:val="00731D2C"/>
    <w:rsid w:val="00731D54"/>
    <w:rsid w:val="00731DB8"/>
    <w:rsid w:val="00731FEA"/>
    <w:rsid w:val="0073225F"/>
    <w:rsid w:val="00732320"/>
    <w:rsid w:val="00732458"/>
    <w:rsid w:val="0073255A"/>
    <w:rsid w:val="0073284D"/>
    <w:rsid w:val="00732957"/>
    <w:rsid w:val="00732A79"/>
    <w:rsid w:val="00732BB8"/>
    <w:rsid w:val="00732E41"/>
    <w:rsid w:val="00732F9F"/>
    <w:rsid w:val="0073320A"/>
    <w:rsid w:val="0073354B"/>
    <w:rsid w:val="00733574"/>
    <w:rsid w:val="00733609"/>
    <w:rsid w:val="007336CC"/>
    <w:rsid w:val="00733851"/>
    <w:rsid w:val="007338DA"/>
    <w:rsid w:val="00733A54"/>
    <w:rsid w:val="00733A6B"/>
    <w:rsid w:val="00733ACE"/>
    <w:rsid w:val="00733E00"/>
    <w:rsid w:val="00733EBD"/>
    <w:rsid w:val="00733F95"/>
    <w:rsid w:val="007340DC"/>
    <w:rsid w:val="0073464A"/>
    <w:rsid w:val="007346CF"/>
    <w:rsid w:val="00734825"/>
    <w:rsid w:val="00734BE3"/>
    <w:rsid w:val="00734C52"/>
    <w:rsid w:val="00734CB5"/>
    <w:rsid w:val="00734FA9"/>
    <w:rsid w:val="00734FC4"/>
    <w:rsid w:val="00734FC9"/>
    <w:rsid w:val="007350A6"/>
    <w:rsid w:val="0073518A"/>
    <w:rsid w:val="0073520F"/>
    <w:rsid w:val="00735231"/>
    <w:rsid w:val="00735241"/>
    <w:rsid w:val="00735266"/>
    <w:rsid w:val="0073537A"/>
    <w:rsid w:val="007353DD"/>
    <w:rsid w:val="00735544"/>
    <w:rsid w:val="0073555D"/>
    <w:rsid w:val="00735689"/>
    <w:rsid w:val="00735711"/>
    <w:rsid w:val="007357CB"/>
    <w:rsid w:val="00735824"/>
    <w:rsid w:val="00735920"/>
    <w:rsid w:val="00735A00"/>
    <w:rsid w:val="00735A86"/>
    <w:rsid w:val="00735B6D"/>
    <w:rsid w:val="00735EFA"/>
    <w:rsid w:val="00735F06"/>
    <w:rsid w:val="00735F22"/>
    <w:rsid w:val="007360D3"/>
    <w:rsid w:val="007361F7"/>
    <w:rsid w:val="00736333"/>
    <w:rsid w:val="00736407"/>
    <w:rsid w:val="0073665F"/>
    <w:rsid w:val="007367EA"/>
    <w:rsid w:val="0073699A"/>
    <w:rsid w:val="00736A35"/>
    <w:rsid w:val="00736B64"/>
    <w:rsid w:val="00736BFA"/>
    <w:rsid w:val="00736CB4"/>
    <w:rsid w:val="00736CDF"/>
    <w:rsid w:val="00736E15"/>
    <w:rsid w:val="00736E49"/>
    <w:rsid w:val="00736F61"/>
    <w:rsid w:val="0073707C"/>
    <w:rsid w:val="00737408"/>
    <w:rsid w:val="007374E2"/>
    <w:rsid w:val="0073753B"/>
    <w:rsid w:val="007375E1"/>
    <w:rsid w:val="00737668"/>
    <w:rsid w:val="007376F5"/>
    <w:rsid w:val="007377B0"/>
    <w:rsid w:val="00737A66"/>
    <w:rsid w:val="00737BB7"/>
    <w:rsid w:val="00737F71"/>
    <w:rsid w:val="00740258"/>
    <w:rsid w:val="007404CB"/>
    <w:rsid w:val="007406E3"/>
    <w:rsid w:val="00740867"/>
    <w:rsid w:val="007408F6"/>
    <w:rsid w:val="00740A91"/>
    <w:rsid w:val="00740B49"/>
    <w:rsid w:val="00740C58"/>
    <w:rsid w:val="00740CE0"/>
    <w:rsid w:val="00740D0A"/>
    <w:rsid w:val="00740F0C"/>
    <w:rsid w:val="00740F1E"/>
    <w:rsid w:val="00740F55"/>
    <w:rsid w:val="0074104E"/>
    <w:rsid w:val="007411AE"/>
    <w:rsid w:val="00741277"/>
    <w:rsid w:val="0074133C"/>
    <w:rsid w:val="00741400"/>
    <w:rsid w:val="00741491"/>
    <w:rsid w:val="007416BA"/>
    <w:rsid w:val="007417DE"/>
    <w:rsid w:val="007417F5"/>
    <w:rsid w:val="00741B28"/>
    <w:rsid w:val="00741E0D"/>
    <w:rsid w:val="00741F2F"/>
    <w:rsid w:val="0074213B"/>
    <w:rsid w:val="007421D4"/>
    <w:rsid w:val="00742253"/>
    <w:rsid w:val="007422AB"/>
    <w:rsid w:val="007425C0"/>
    <w:rsid w:val="0074295C"/>
    <w:rsid w:val="00742E01"/>
    <w:rsid w:val="00742E7A"/>
    <w:rsid w:val="00742ED6"/>
    <w:rsid w:val="00742F43"/>
    <w:rsid w:val="007431EC"/>
    <w:rsid w:val="007438BB"/>
    <w:rsid w:val="0074394F"/>
    <w:rsid w:val="00743951"/>
    <w:rsid w:val="00743FA7"/>
    <w:rsid w:val="0074417E"/>
    <w:rsid w:val="00744859"/>
    <w:rsid w:val="00744B6B"/>
    <w:rsid w:val="00744C84"/>
    <w:rsid w:val="00744E5F"/>
    <w:rsid w:val="007450E7"/>
    <w:rsid w:val="00745408"/>
    <w:rsid w:val="0074544B"/>
    <w:rsid w:val="00745746"/>
    <w:rsid w:val="00745A45"/>
    <w:rsid w:val="00745AAB"/>
    <w:rsid w:val="00745FE8"/>
    <w:rsid w:val="00746076"/>
    <w:rsid w:val="007461A5"/>
    <w:rsid w:val="007463FF"/>
    <w:rsid w:val="00746440"/>
    <w:rsid w:val="0074649B"/>
    <w:rsid w:val="00746819"/>
    <w:rsid w:val="007468AE"/>
    <w:rsid w:val="0074697E"/>
    <w:rsid w:val="00746FEB"/>
    <w:rsid w:val="00746FF6"/>
    <w:rsid w:val="0074709A"/>
    <w:rsid w:val="0074792A"/>
    <w:rsid w:val="00747B18"/>
    <w:rsid w:val="00747CAE"/>
    <w:rsid w:val="00747DE1"/>
    <w:rsid w:val="00750174"/>
    <w:rsid w:val="0075025E"/>
    <w:rsid w:val="007503C2"/>
    <w:rsid w:val="007503D6"/>
    <w:rsid w:val="0075061C"/>
    <w:rsid w:val="0075069D"/>
    <w:rsid w:val="007508A5"/>
    <w:rsid w:val="007508B4"/>
    <w:rsid w:val="00750C21"/>
    <w:rsid w:val="00750C78"/>
    <w:rsid w:val="00750CCD"/>
    <w:rsid w:val="00750E4A"/>
    <w:rsid w:val="00750F1B"/>
    <w:rsid w:val="00750FC2"/>
    <w:rsid w:val="007513DB"/>
    <w:rsid w:val="007514DE"/>
    <w:rsid w:val="007516AF"/>
    <w:rsid w:val="007518A8"/>
    <w:rsid w:val="00751924"/>
    <w:rsid w:val="00751944"/>
    <w:rsid w:val="00751959"/>
    <w:rsid w:val="00751A3A"/>
    <w:rsid w:val="00751D15"/>
    <w:rsid w:val="00751D2B"/>
    <w:rsid w:val="00751E3A"/>
    <w:rsid w:val="007520DA"/>
    <w:rsid w:val="00752398"/>
    <w:rsid w:val="0075247D"/>
    <w:rsid w:val="00752485"/>
    <w:rsid w:val="00752560"/>
    <w:rsid w:val="0075261B"/>
    <w:rsid w:val="0075263F"/>
    <w:rsid w:val="00752643"/>
    <w:rsid w:val="00752724"/>
    <w:rsid w:val="007529A2"/>
    <w:rsid w:val="00752C22"/>
    <w:rsid w:val="00753199"/>
    <w:rsid w:val="0075321C"/>
    <w:rsid w:val="00753355"/>
    <w:rsid w:val="007533D9"/>
    <w:rsid w:val="0075364E"/>
    <w:rsid w:val="00753968"/>
    <w:rsid w:val="00753978"/>
    <w:rsid w:val="00753AB4"/>
    <w:rsid w:val="00753EA5"/>
    <w:rsid w:val="00754292"/>
    <w:rsid w:val="00754457"/>
    <w:rsid w:val="007544C9"/>
    <w:rsid w:val="00754573"/>
    <w:rsid w:val="00754628"/>
    <w:rsid w:val="00754687"/>
    <w:rsid w:val="00754AEA"/>
    <w:rsid w:val="00754B93"/>
    <w:rsid w:val="00754D14"/>
    <w:rsid w:val="00754F9A"/>
    <w:rsid w:val="00755081"/>
    <w:rsid w:val="00755187"/>
    <w:rsid w:val="007551AE"/>
    <w:rsid w:val="00755456"/>
    <w:rsid w:val="0075553F"/>
    <w:rsid w:val="007556FB"/>
    <w:rsid w:val="007558F1"/>
    <w:rsid w:val="00755958"/>
    <w:rsid w:val="00755C60"/>
    <w:rsid w:val="00755D3A"/>
    <w:rsid w:val="00755E55"/>
    <w:rsid w:val="00755FAC"/>
    <w:rsid w:val="0075625D"/>
    <w:rsid w:val="007562CE"/>
    <w:rsid w:val="00756605"/>
    <w:rsid w:val="007568A7"/>
    <w:rsid w:val="00756C05"/>
    <w:rsid w:val="00756F6C"/>
    <w:rsid w:val="00756FDF"/>
    <w:rsid w:val="0075705B"/>
    <w:rsid w:val="0075734A"/>
    <w:rsid w:val="007578E2"/>
    <w:rsid w:val="00757B74"/>
    <w:rsid w:val="00757D63"/>
    <w:rsid w:val="0076008D"/>
    <w:rsid w:val="007600B0"/>
    <w:rsid w:val="0076026F"/>
    <w:rsid w:val="00760335"/>
    <w:rsid w:val="0076037A"/>
    <w:rsid w:val="00760770"/>
    <w:rsid w:val="007609FE"/>
    <w:rsid w:val="00760C94"/>
    <w:rsid w:val="0076117D"/>
    <w:rsid w:val="007611A4"/>
    <w:rsid w:val="007611A5"/>
    <w:rsid w:val="007611D7"/>
    <w:rsid w:val="00761334"/>
    <w:rsid w:val="00761378"/>
    <w:rsid w:val="0076189E"/>
    <w:rsid w:val="00761966"/>
    <w:rsid w:val="0076197E"/>
    <w:rsid w:val="00761ABE"/>
    <w:rsid w:val="00761B3F"/>
    <w:rsid w:val="00761CA3"/>
    <w:rsid w:val="00761D01"/>
    <w:rsid w:val="00761D8C"/>
    <w:rsid w:val="00761EC5"/>
    <w:rsid w:val="0076277F"/>
    <w:rsid w:val="007628D4"/>
    <w:rsid w:val="00762A1B"/>
    <w:rsid w:val="00762B5A"/>
    <w:rsid w:val="00762DDD"/>
    <w:rsid w:val="00762F2B"/>
    <w:rsid w:val="00762FF9"/>
    <w:rsid w:val="007636AD"/>
    <w:rsid w:val="007636C6"/>
    <w:rsid w:val="007637F0"/>
    <w:rsid w:val="0076383D"/>
    <w:rsid w:val="0076384C"/>
    <w:rsid w:val="00763975"/>
    <w:rsid w:val="00764137"/>
    <w:rsid w:val="00764289"/>
    <w:rsid w:val="0076446E"/>
    <w:rsid w:val="007645A3"/>
    <w:rsid w:val="007645AF"/>
    <w:rsid w:val="00764692"/>
    <w:rsid w:val="0076487B"/>
    <w:rsid w:val="00764945"/>
    <w:rsid w:val="00764C33"/>
    <w:rsid w:val="00764E67"/>
    <w:rsid w:val="00764E94"/>
    <w:rsid w:val="00765130"/>
    <w:rsid w:val="007653A0"/>
    <w:rsid w:val="00765448"/>
    <w:rsid w:val="00765789"/>
    <w:rsid w:val="00765937"/>
    <w:rsid w:val="0076599D"/>
    <w:rsid w:val="00765A4E"/>
    <w:rsid w:val="00765B8B"/>
    <w:rsid w:val="00765D93"/>
    <w:rsid w:val="0076608F"/>
    <w:rsid w:val="00766288"/>
    <w:rsid w:val="007662C7"/>
    <w:rsid w:val="00766734"/>
    <w:rsid w:val="00766991"/>
    <w:rsid w:val="00766A43"/>
    <w:rsid w:val="00766D2B"/>
    <w:rsid w:val="0076700A"/>
    <w:rsid w:val="0076713E"/>
    <w:rsid w:val="00767223"/>
    <w:rsid w:val="00767399"/>
    <w:rsid w:val="0076749E"/>
    <w:rsid w:val="007674D9"/>
    <w:rsid w:val="0076750C"/>
    <w:rsid w:val="007675A3"/>
    <w:rsid w:val="007675D3"/>
    <w:rsid w:val="00767924"/>
    <w:rsid w:val="00767954"/>
    <w:rsid w:val="00767A05"/>
    <w:rsid w:val="00767B69"/>
    <w:rsid w:val="00767CBB"/>
    <w:rsid w:val="00767E80"/>
    <w:rsid w:val="0077011C"/>
    <w:rsid w:val="00770188"/>
    <w:rsid w:val="007701C0"/>
    <w:rsid w:val="007702C4"/>
    <w:rsid w:val="0077072A"/>
    <w:rsid w:val="0077091E"/>
    <w:rsid w:val="00770A9E"/>
    <w:rsid w:val="00770AEF"/>
    <w:rsid w:val="007711EA"/>
    <w:rsid w:val="007713A1"/>
    <w:rsid w:val="007713F8"/>
    <w:rsid w:val="00771585"/>
    <w:rsid w:val="00771861"/>
    <w:rsid w:val="007719B4"/>
    <w:rsid w:val="007719B6"/>
    <w:rsid w:val="00771B2C"/>
    <w:rsid w:val="00771B4F"/>
    <w:rsid w:val="00771C84"/>
    <w:rsid w:val="00771D92"/>
    <w:rsid w:val="007720AC"/>
    <w:rsid w:val="007721A9"/>
    <w:rsid w:val="00772288"/>
    <w:rsid w:val="0077242D"/>
    <w:rsid w:val="0077244D"/>
    <w:rsid w:val="007725E1"/>
    <w:rsid w:val="007726DB"/>
    <w:rsid w:val="007726F1"/>
    <w:rsid w:val="0077272D"/>
    <w:rsid w:val="00772CEA"/>
    <w:rsid w:val="00772DF6"/>
    <w:rsid w:val="00773132"/>
    <w:rsid w:val="0077316E"/>
    <w:rsid w:val="0077329C"/>
    <w:rsid w:val="0077345C"/>
    <w:rsid w:val="0077348F"/>
    <w:rsid w:val="00773500"/>
    <w:rsid w:val="00773678"/>
    <w:rsid w:val="0077385C"/>
    <w:rsid w:val="00773AD1"/>
    <w:rsid w:val="00773F07"/>
    <w:rsid w:val="00773FC3"/>
    <w:rsid w:val="00774346"/>
    <w:rsid w:val="007743D4"/>
    <w:rsid w:val="00774565"/>
    <w:rsid w:val="00774816"/>
    <w:rsid w:val="00774878"/>
    <w:rsid w:val="007748FA"/>
    <w:rsid w:val="00774AC8"/>
    <w:rsid w:val="00774B43"/>
    <w:rsid w:val="00774B8A"/>
    <w:rsid w:val="00774DDF"/>
    <w:rsid w:val="00774F37"/>
    <w:rsid w:val="00774F86"/>
    <w:rsid w:val="00774FFE"/>
    <w:rsid w:val="007752D3"/>
    <w:rsid w:val="007752F3"/>
    <w:rsid w:val="00775361"/>
    <w:rsid w:val="007755FF"/>
    <w:rsid w:val="00775833"/>
    <w:rsid w:val="007758E6"/>
    <w:rsid w:val="00775A61"/>
    <w:rsid w:val="00775AE0"/>
    <w:rsid w:val="00775BA2"/>
    <w:rsid w:val="00775D04"/>
    <w:rsid w:val="00775DDC"/>
    <w:rsid w:val="00775F2A"/>
    <w:rsid w:val="00776006"/>
    <w:rsid w:val="00776030"/>
    <w:rsid w:val="00776045"/>
    <w:rsid w:val="007761A3"/>
    <w:rsid w:val="00776306"/>
    <w:rsid w:val="00776536"/>
    <w:rsid w:val="0077657E"/>
    <w:rsid w:val="007767F7"/>
    <w:rsid w:val="007769E4"/>
    <w:rsid w:val="007769E7"/>
    <w:rsid w:val="00776A34"/>
    <w:rsid w:val="00776F3B"/>
    <w:rsid w:val="0077707E"/>
    <w:rsid w:val="007770E5"/>
    <w:rsid w:val="00777399"/>
    <w:rsid w:val="007773B8"/>
    <w:rsid w:val="0077777F"/>
    <w:rsid w:val="00777974"/>
    <w:rsid w:val="007779A5"/>
    <w:rsid w:val="00777C1C"/>
    <w:rsid w:val="00777DBA"/>
    <w:rsid w:val="00777DE5"/>
    <w:rsid w:val="00780084"/>
    <w:rsid w:val="007801C5"/>
    <w:rsid w:val="007801C6"/>
    <w:rsid w:val="007802F1"/>
    <w:rsid w:val="007803A0"/>
    <w:rsid w:val="007807C9"/>
    <w:rsid w:val="0078098B"/>
    <w:rsid w:val="00780AD1"/>
    <w:rsid w:val="00780E1D"/>
    <w:rsid w:val="00780E49"/>
    <w:rsid w:val="00780EE7"/>
    <w:rsid w:val="00780F43"/>
    <w:rsid w:val="00780F5B"/>
    <w:rsid w:val="00781121"/>
    <w:rsid w:val="007811CE"/>
    <w:rsid w:val="00781281"/>
    <w:rsid w:val="00781284"/>
    <w:rsid w:val="00781593"/>
    <w:rsid w:val="00781742"/>
    <w:rsid w:val="007817DC"/>
    <w:rsid w:val="0078181B"/>
    <w:rsid w:val="00781864"/>
    <w:rsid w:val="00781874"/>
    <w:rsid w:val="00781959"/>
    <w:rsid w:val="00781B85"/>
    <w:rsid w:val="00781C22"/>
    <w:rsid w:val="00781CDB"/>
    <w:rsid w:val="00781CFD"/>
    <w:rsid w:val="00781E08"/>
    <w:rsid w:val="00781E6A"/>
    <w:rsid w:val="00781FA1"/>
    <w:rsid w:val="007821A5"/>
    <w:rsid w:val="00782AD4"/>
    <w:rsid w:val="00782B2B"/>
    <w:rsid w:val="00782BAC"/>
    <w:rsid w:val="00782BBD"/>
    <w:rsid w:val="00782CFD"/>
    <w:rsid w:val="00782E7E"/>
    <w:rsid w:val="00783159"/>
    <w:rsid w:val="007831CC"/>
    <w:rsid w:val="00783547"/>
    <w:rsid w:val="007837FD"/>
    <w:rsid w:val="00783896"/>
    <w:rsid w:val="007839DD"/>
    <w:rsid w:val="00783AC4"/>
    <w:rsid w:val="00783B40"/>
    <w:rsid w:val="00783F0F"/>
    <w:rsid w:val="00783F98"/>
    <w:rsid w:val="00783FE9"/>
    <w:rsid w:val="007845A2"/>
    <w:rsid w:val="00784612"/>
    <w:rsid w:val="007848CE"/>
    <w:rsid w:val="007848D5"/>
    <w:rsid w:val="00784A70"/>
    <w:rsid w:val="00784ACF"/>
    <w:rsid w:val="00784C9B"/>
    <w:rsid w:val="00784D95"/>
    <w:rsid w:val="00784DA8"/>
    <w:rsid w:val="00784F4C"/>
    <w:rsid w:val="00785066"/>
    <w:rsid w:val="007856E6"/>
    <w:rsid w:val="007858D6"/>
    <w:rsid w:val="00785BA2"/>
    <w:rsid w:val="00785E49"/>
    <w:rsid w:val="00785E84"/>
    <w:rsid w:val="007862D0"/>
    <w:rsid w:val="007863D8"/>
    <w:rsid w:val="007868E3"/>
    <w:rsid w:val="00786A2F"/>
    <w:rsid w:val="00786EF4"/>
    <w:rsid w:val="0078727B"/>
    <w:rsid w:val="007872C9"/>
    <w:rsid w:val="00787405"/>
    <w:rsid w:val="007875C5"/>
    <w:rsid w:val="00787808"/>
    <w:rsid w:val="00787F0C"/>
    <w:rsid w:val="00787F23"/>
    <w:rsid w:val="0079002A"/>
    <w:rsid w:val="00790048"/>
    <w:rsid w:val="00790065"/>
    <w:rsid w:val="00790169"/>
    <w:rsid w:val="00790388"/>
    <w:rsid w:val="00790A19"/>
    <w:rsid w:val="00790A2C"/>
    <w:rsid w:val="00790BAD"/>
    <w:rsid w:val="00790D1F"/>
    <w:rsid w:val="00790D92"/>
    <w:rsid w:val="00790E46"/>
    <w:rsid w:val="00790E6B"/>
    <w:rsid w:val="00791069"/>
    <w:rsid w:val="007911DA"/>
    <w:rsid w:val="00791788"/>
    <w:rsid w:val="007919DA"/>
    <w:rsid w:val="00791B77"/>
    <w:rsid w:val="00791C22"/>
    <w:rsid w:val="00791C97"/>
    <w:rsid w:val="00791EC1"/>
    <w:rsid w:val="00791ED1"/>
    <w:rsid w:val="007923CA"/>
    <w:rsid w:val="007925F4"/>
    <w:rsid w:val="00792617"/>
    <w:rsid w:val="007927FB"/>
    <w:rsid w:val="0079284B"/>
    <w:rsid w:val="007929F1"/>
    <w:rsid w:val="00792A08"/>
    <w:rsid w:val="00792A28"/>
    <w:rsid w:val="00792BA0"/>
    <w:rsid w:val="00792BE4"/>
    <w:rsid w:val="00792CB9"/>
    <w:rsid w:val="00792DC0"/>
    <w:rsid w:val="007932F9"/>
    <w:rsid w:val="00793368"/>
    <w:rsid w:val="007935F7"/>
    <w:rsid w:val="007935F8"/>
    <w:rsid w:val="0079363E"/>
    <w:rsid w:val="007937AD"/>
    <w:rsid w:val="007938AC"/>
    <w:rsid w:val="00793B50"/>
    <w:rsid w:val="00793C04"/>
    <w:rsid w:val="00793D41"/>
    <w:rsid w:val="00793E57"/>
    <w:rsid w:val="00793F17"/>
    <w:rsid w:val="00794056"/>
    <w:rsid w:val="00794282"/>
    <w:rsid w:val="007942E5"/>
    <w:rsid w:val="00794300"/>
    <w:rsid w:val="00794321"/>
    <w:rsid w:val="007943C0"/>
    <w:rsid w:val="007943C9"/>
    <w:rsid w:val="00794424"/>
    <w:rsid w:val="00794CAF"/>
    <w:rsid w:val="00794D5D"/>
    <w:rsid w:val="00794DF7"/>
    <w:rsid w:val="00794EB4"/>
    <w:rsid w:val="007951D3"/>
    <w:rsid w:val="007951DC"/>
    <w:rsid w:val="0079521E"/>
    <w:rsid w:val="0079527D"/>
    <w:rsid w:val="0079528F"/>
    <w:rsid w:val="0079539F"/>
    <w:rsid w:val="00795438"/>
    <w:rsid w:val="00795440"/>
    <w:rsid w:val="007955E5"/>
    <w:rsid w:val="00795A98"/>
    <w:rsid w:val="00795D8F"/>
    <w:rsid w:val="00795D9A"/>
    <w:rsid w:val="00795DF1"/>
    <w:rsid w:val="00796419"/>
    <w:rsid w:val="0079679C"/>
    <w:rsid w:val="00796A92"/>
    <w:rsid w:val="00796AA9"/>
    <w:rsid w:val="00796BB5"/>
    <w:rsid w:val="00796C7B"/>
    <w:rsid w:val="00796CB4"/>
    <w:rsid w:val="00796F26"/>
    <w:rsid w:val="00796F8C"/>
    <w:rsid w:val="0079709E"/>
    <w:rsid w:val="0079719A"/>
    <w:rsid w:val="007971EF"/>
    <w:rsid w:val="00797396"/>
    <w:rsid w:val="007973A8"/>
    <w:rsid w:val="00797549"/>
    <w:rsid w:val="007A000C"/>
    <w:rsid w:val="007A00E7"/>
    <w:rsid w:val="007A03B6"/>
    <w:rsid w:val="007A03C2"/>
    <w:rsid w:val="007A0A40"/>
    <w:rsid w:val="007A0A92"/>
    <w:rsid w:val="007A0FB4"/>
    <w:rsid w:val="007A0FFD"/>
    <w:rsid w:val="007A11B4"/>
    <w:rsid w:val="007A1230"/>
    <w:rsid w:val="007A12EF"/>
    <w:rsid w:val="007A1629"/>
    <w:rsid w:val="007A1645"/>
    <w:rsid w:val="007A164E"/>
    <w:rsid w:val="007A168E"/>
    <w:rsid w:val="007A1702"/>
    <w:rsid w:val="007A19DD"/>
    <w:rsid w:val="007A1C38"/>
    <w:rsid w:val="007A1D11"/>
    <w:rsid w:val="007A1E24"/>
    <w:rsid w:val="007A2193"/>
    <w:rsid w:val="007A2294"/>
    <w:rsid w:val="007A2410"/>
    <w:rsid w:val="007A24DD"/>
    <w:rsid w:val="007A25D5"/>
    <w:rsid w:val="007A28B2"/>
    <w:rsid w:val="007A28E8"/>
    <w:rsid w:val="007A297F"/>
    <w:rsid w:val="007A2A38"/>
    <w:rsid w:val="007A2BC5"/>
    <w:rsid w:val="007A2C8C"/>
    <w:rsid w:val="007A2D06"/>
    <w:rsid w:val="007A2E95"/>
    <w:rsid w:val="007A312D"/>
    <w:rsid w:val="007A333D"/>
    <w:rsid w:val="007A33CC"/>
    <w:rsid w:val="007A3526"/>
    <w:rsid w:val="007A3674"/>
    <w:rsid w:val="007A3851"/>
    <w:rsid w:val="007A3913"/>
    <w:rsid w:val="007A39AF"/>
    <w:rsid w:val="007A3A05"/>
    <w:rsid w:val="007A3F34"/>
    <w:rsid w:val="007A44B9"/>
    <w:rsid w:val="007A461A"/>
    <w:rsid w:val="007A47D4"/>
    <w:rsid w:val="007A486E"/>
    <w:rsid w:val="007A4A9B"/>
    <w:rsid w:val="007A4C82"/>
    <w:rsid w:val="007A4CA5"/>
    <w:rsid w:val="007A4F88"/>
    <w:rsid w:val="007A50E8"/>
    <w:rsid w:val="007A517B"/>
    <w:rsid w:val="007A5319"/>
    <w:rsid w:val="007A5417"/>
    <w:rsid w:val="007A54E4"/>
    <w:rsid w:val="007A55A7"/>
    <w:rsid w:val="007A57D1"/>
    <w:rsid w:val="007A59B3"/>
    <w:rsid w:val="007A5B00"/>
    <w:rsid w:val="007A5C77"/>
    <w:rsid w:val="007A5FAC"/>
    <w:rsid w:val="007A613F"/>
    <w:rsid w:val="007A61EE"/>
    <w:rsid w:val="007A61FE"/>
    <w:rsid w:val="007A628B"/>
    <w:rsid w:val="007A629B"/>
    <w:rsid w:val="007A630C"/>
    <w:rsid w:val="007A6555"/>
    <w:rsid w:val="007A663B"/>
    <w:rsid w:val="007A6651"/>
    <w:rsid w:val="007A66A0"/>
    <w:rsid w:val="007A6711"/>
    <w:rsid w:val="007A6768"/>
    <w:rsid w:val="007A684E"/>
    <w:rsid w:val="007A6863"/>
    <w:rsid w:val="007A69FA"/>
    <w:rsid w:val="007A6ACE"/>
    <w:rsid w:val="007A6D4F"/>
    <w:rsid w:val="007A6E01"/>
    <w:rsid w:val="007A6EE1"/>
    <w:rsid w:val="007A71A6"/>
    <w:rsid w:val="007A7352"/>
    <w:rsid w:val="007A7363"/>
    <w:rsid w:val="007A73ED"/>
    <w:rsid w:val="007A74FA"/>
    <w:rsid w:val="007A7584"/>
    <w:rsid w:val="007A75F0"/>
    <w:rsid w:val="007A7625"/>
    <w:rsid w:val="007A7627"/>
    <w:rsid w:val="007A7642"/>
    <w:rsid w:val="007A78D9"/>
    <w:rsid w:val="007A7E62"/>
    <w:rsid w:val="007B00FA"/>
    <w:rsid w:val="007B0138"/>
    <w:rsid w:val="007B018F"/>
    <w:rsid w:val="007B0909"/>
    <w:rsid w:val="007B0974"/>
    <w:rsid w:val="007B09AB"/>
    <w:rsid w:val="007B0A40"/>
    <w:rsid w:val="007B0B5C"/>
    <w:rsid w:val="007B0EEA"/>
    <w:rsid w:val="007B1131"/>
    <w:rsid w:val="007B1519"/>
    <w:rsid w:val="007B163C"/>
    <w:rsid w:val="007B17A4"/>
    <w:rsid w:val="007B1DE1"/>
    <w:rsid w:val="007B1F10"/>
    <w:rsid w:val="007B1F6D"/>
    <w:rsid w:val="007B1F7D"/>
    <w:rsid w:val="007B1F9C"/>
    <w:rsid w:val="007B1FAE"/>
    <w:rsid w:val="007B20BD"/>
    <w:rsid w:val="007B20D7"/>
    <w:rsid w:val="007B227B"/>
    <w:rsid w:val="007B22A8"/>
    <w:rsid w:val="007B2319"/>
    <w:rsid w:val="007B23FF"/>
    <w:rsid w:val="007B2448"/>
    <w:rsid w:val="007B256B"/>
    <w:rsid w:val="007B2717"/>
    <w:rsid w:val="007B2A2C"/>
    <w:rsid w:val="007B2AD7"/>
    <w:rsid w:val="007B2DFE"/>
    <w:rsid w:val="007B30E3"/>
    <w:rsid w:val="007B335E"/>
    <w:rsid w:val="007B36B9"/>
    <w:rsid w:val="007B3765"/>
    <w:rsid w:val="007B3AD7"/>
    <w:rsid w:val="007B3B7B"/>
    <w:rsid w:val="007B3BD4"/>
    <w:rsid w:val="007B42D3"/>
    <w:rsid w:val="007B4835"/>
    <w:rsid w:val="007B4945"/>
    <w:rsid w:val="007B49B0"/>
    <w:rsid w:val="007B4D4D"/>
    <w:rsid w:val="007B51DE"/>
    <w:rsid w:val="007B522F"/>
    <w:rsid w:val="007B535F"/>
    <w:rsid w:val="007B5467"/>
    <w:rsid w:val="007B54B2"/>
    <w:rsid w:val="007B55F9"/>
    <w:rsid w:val="007B5619"/>
    <w:rsid w:val="007B58DB"/>
    <w:rsid w:val="007B58E8"/>
    <w:rsid w:val="007B5A47"/>
    <w:rsid w:val="007B5A7E"/>
    <w:rsid w:val="007B5AC0"/>
    <w:rsid w:val="007B5B22"/>
    <w:rsid w:val="007B5BA6"/>
    <w:rsid w:val="007B5BC5"/>
    <w:rsid w:val="007B5D68"/>
    <w:rsid w:val="007B5FB6"/>
    <w:rsid w:val="007B6039"/>
    <w:rsid w:val="007B61AA"/>
    <w:rsid w:val="007B6356"/>
    <w:rsid w:val="007B640B"/>
    <w:rsid w:val="007B6526"/>
    <w:rsid w:val="007B6613"/>
    <w:rsid w:val="007B66CB"/>
    <w:rsid w:val="007B67DB"/>
    <w:rsid w:val="007B6AE9"/>
    <w:rsid w:val="007B6DB4"/>
    <w:rsid w:val="007B6DE8"/>
    <w:rsid w:val="007B70D4"/>
    <w:rsid w:val="007B7268"/>
    <w:rsid w:val="007B75B4"/>
    <w:rsid w:val="007B7743"/>
    <w:rsid w:val="007B7797"/>
    <w:rsid w:val="007B7A8B"/>
    <w:rsid w:val="007C007F"/>
    <w:rsid w:val="007C01D4"/>
    <w:rsid w:val="007C01F1"/>
    <w:rsid w:val="007C025F"/>
    <w:rsid w:val="007C0399"/>
    <w:rsid w:val="007C03F0"/>
    <w:rsid w:val="007C045C"/>
    <w:rsid w:val="007C054E"/>
    <w:rsid w:val="007C057C"/>
    <w:rsid w:val="007C0623"/>
    <w:rsid w:val="007C0727"/>
    <w:rsid w:val="007C0A5D"/>
    <w:rsid w:val="007C0B28"/>
    <w:rsid w:val="007C0C6B"/>
    <w:rsid w:val="007C0E14"/>
    <w:rsid w:val="007C116C"/>
    <w:rsid w:val="007C139E"/>
    <w:rsid w:val="007C17F3"/>
    <w:rsid w:val="007C1A0D"/>
    <w:rsid w:val="007C1D4B"/>
    <w:rsid w:val="007C200A"/>
    <w:rsid w:val="007C207D"/>
    <w:rsid w:val="007C2180"/>
    <w:rsid w:val="007C2397"/>
    <w:rsid w:val="007C276B"/>
    <w:rsid w:val="007C283F"/>
    <w:rsid w:val="007C28FB"/>
    <w:rsid w:val="007C2A69"/>
    <w:rsid w:val="007C2D92"/>
    <w:rsid w:val="007C2F89"/>
    <w:rsid w:val="007C2FB6"/>
    <w:rsid w:val="007C3150"/>
    <w:rsid w:val="007C31C4"/>
    <w:rsid w:val="007C33CA"/>
    <w:rsid w:val="007C35A0"/>
    <w:rsid w:val="007C3673"/>
    <w:rsid w:val="007C3706"/>
    <w:rsid w:val="007C3B6D"/>
    <w:rsid w:val="007C3CBF"/>
    <w:rsid w:val="007C3D10"/>
    <w:rsid w:val="007C3D26"/>
    <w:rsid w:val="007C3D91"/>
    <w:rsid w:val="007C3FD5"/>
    <w:rsid w:val="007C3FE5"/>
    <w:rsid w:val="007C410B"/>
    <w:rsid w:val="007C422F"/>
    <w:rsid w:val="007C4443"/>
    <w:rsid w:val="007C48EE"/>
    <w:rsid w:val="007C4CB7"/>
    <w:rsid w:val="007C4CF6"/>
    <w:rsid w:val="007C514C"/>
    <w:rsid w:val="007C51FF"/>
    <w:rsid w:val="007C58A3"/>
    <w:rsid w:val="007C5A62"/>
    <w:rsid w:val="007C5A86"/>
    <w:rsid w:val="007C5AB1"/>
    <w:rsid w:val="007C5CAF"/>
    <w:rsid w:val="007C6039"/>
    <w:rsid w:val="007C6094"/>
    <w:rsid w:val="007C6446"/>
    <w:rsid w:val="007C65AB"/>
    <w:rsid w:val="007C6648"/>
    <w:rsid w:val="007C6679"/>
    <w:rsid w:val="007C67A2"/>
    <w:rsid w:val="007C6D4D"/>
    <w:rsid w:val="007C6EAC"/>
    <w:rsid w:val="007C7022"/>
    <w:rsid w:val="007C758D"/>
    <w:rsid w:val="007C7756"/>
    <w:rsid w:val="007C792E"/>
    <w:rsid w:val="007C795B"/>
    <w:rsid w:val="007C7B3D"/>
    <w:rsid w:val="007C7C7C"/>
    <w:rsid w:val="007C7D64"/>
    <w:rsid w:val="007C7F52"/>
    <w:rsid w:val="007C7FC9"/>
    <w:rsid w:val="007C7FEC"/>
    <w:rsid w:val="007D0503"/>
    <w:rsid w:val="007D0536"/>
    <w:rsid w:val="007D056A"/>
    <w:rsid w:val="007D0697"/>
    <w:rsid w:val="007D06B7"/>
    <w:rsid w:val="007D07AB"/>
    <w:rsid w:val="007D0899"/>
    <w:rsid w:val="007D08AD"/>
    <w:rsid w:val="007D0BAC"/>
    <w:rsid w:val="007D1087"/>
    <w:rsid w:val="007D11DB"/>
    <w:rsid w:val="007D131D"/>
    <w:rsid w:val="007D1451"/>
    <w:rsid w:val="007D156E"/>
    <w:rsid w:val="007D15F7"/>
    <w:rsid w:val="007D1B13"/>
    <w:rsid w:val="007D1C07"/>
    <w:rsid w:val="007D1FEA"/>
    <w:rsid w:val="007D2087"/>
    <w:rsid w:val="007D2110"/>
    <w:rsid w:val="007D2364"/>
    <w:rsid w:val="007D24F9"/>
    <w:rsid w:val="007D2648"/>
    <w:rsid w:val="007D2791"/>
    <w:rsid w:val="007D2D0E"/>
    <w:rsid w:val="007D2D9C"/>
    <w:rsid w:val="007D2DEF"/>
    <w:rsid w:val="007D2E8E"/>
    <w:rsid w:val="007D2EF0"/>
    <w:rsid w:val="007D2F1A"/>
    <w:rsid w:val="007D2F5E"/>
    <w:rsid w:val="007D32A4"/>
    <w:rsid w:val="007D344C"/>
    <w:rsid w:val="007D358D"/>
    <w:rsid w:val="007D3842"/>
    <w:rsid w:val="007D38F9"/>
    <w:rsid w:val="007D3AFC"/>
    <w:rsid w:val="007D3BD5"/>
    <w:rsid w:val="007D3DF8"/>
    <w:rsid w:val="007D3F64"/>
    <w:rsid w:val="007D427C"/>
    <w:rsid w:val="007D4735"/>
    <w:rsid w:val="007D49B6"/>
    <w:rsid w:val="007D4C69"/>
    <w:rsid w:val="007D4E34"/>
    <w:rsid w:val="007D4FCB"/>
    <w:rsid w:val="007D4FDA"/>
    <w:rsid w:val="007D4FE8"/>
    <w:rsid w:val="007D50E9"/>
    <w:rsid w:val="007D51E1"/>
    <w:rsid w:val="007D526D"/>
    <w:rsid w:val="007D52AF"/>
    <w:rsid w:val="007D540B"/>
    <w:rsid w:val="007D5773"/>
    <w:rsid w:val="007D584C"/>
    <w:rsid w:val="007D590A"/>
    <w:rsid w:val="007D59A5"/>
    <w:rsid w:val="007D63C8"/>
    <w:rsid w:val="007D6552"/>
    <w:rsid w:val="007D66D5"/>
    <w:rsid w:val="007D6748"/>
    <w:rsid w:val="007D6762"/>
    <w:rsid w:val="007D6A98"/>
    <w:rsid w:val="007D6AFA"/>
    <w:rsid w:val="007D6B8C"/>
    <w:rsid w:val="007D6D33"/>
    <w:rsid w:val="007D6F4C"/>
    <w:rsid w:val="007D70B4"/>
    <w:rsid w:val="007D72C0"/>
    <w:rsid w:val="007D7335"/>
    <w:rsid w:val="007D7754"/>
    <w:rsid w:val="007D7821"/>
    <w:rsid w:val="007D7943"/>
    <w:rsid w:val="007D79A8"/>
    <w:rsid w:val="007D7B39"/>
    <w:rsid w:val="007D7E0D"/>
    <w:rsid w:val="007D7F2E"/>
    <w:rsid w:val="007E0071"/>
    <w:rsid w:val="007E018D"/>
    <w:rsid w:val="007E06F8"/>
    <w:rsid w:val="007E0766"/>
    <w:rsid w:val="007E078F"/>
    <w:rsid w:val="007E099C"/>
    <w:rsid w:val="007E0D53"/>
    <w:rsid w:val="007E101F"/>
    <w:rsid w:val="007E1458"/>
    <w:rsid w:val="007E15B0"/>
    <w:rsid w:val="007E184F"/>
    <w:rsid w:val="007E1A01"/>
    <w:rsid w:val="007E1AC6"/>
    <w:rsid w:val="007E1C1D"/>
    <w:rsid w:val="007E2172"/>
    <w:rsid w:val="007E233D"/>
    <w:rsid w:val="007E242E"/>
    <w:rsid w:val="007E24ED"/>
    <w:rsid w:val="007E24F7"/>
    <w:rsid w:val="007E25B3"/>
    <w:rsid w:val="007E2651"/>
    <w:rsid w:val="007E2B19"/>
    <w:rsid w:val="007E2B31"/>
    <w:rsid w:val="007E2E63"/>
    <w:rsid w:val="007E2E7F"/>
    <w:rsid w:val="007E2EAD"/>
    <w:rsid w:val="007E2FC8"/>
    <w:rsid w:val="007E2FF1"/>
    <w:rsid w:val="007E3010"/>
    <w:rsid w:val="007E30D1"/>
    <w:rsid w:val="007E3168"/>
    <w:rsid w:val="007E31BD"/>
    <w:rsid w:val="007E36D2"/>
    <w:rsid w:val="007E3898"/>
    <w:rsid w:val="007E38AE"/>
    <w:rsid w:val="007E4251"/>
    <w:rsid w:val="007E4856"/>
    <w:rsid w:val="007E48AE"/>
    <w:rsid w:val="007E4A58"/>
    <w:rsid w:val="007E4A8C"/>
    <w:rsid w:val="007E4E76"/>
    <w:rsid w:val="007E5291"/>
    <w:rsid w:val="007E52CA"/>
    <w:rsid w:val="007E52DD"/>
    <w:rsid w:val="007E549F"/>
    <w:rsid w:val="007E5730"/>
    <w:rsid w:val="007E58B7"/>
    <w:rsid w:val="007E5988"/>
    <w:rsid w:val="007E5CCE"/>
    <w:rsid w:val="007E5D10"/>
    <w:rsid w:val="007E5D4D"/>
    <w:rsid w:val="007E60F0"/>
    <w:rsid w:val="007E613F"/>
    <w:rsid w:val="007E648C"/>
    <w:rsid w:val="007E64D9"/>
    <w:rsid w:val="007E64DF"/>
    <w:rsid w:val="007E64FF"/>
    <w:rsid w:val="007E687C"/>
    <w:rsid w:val="007E6891"/>
    <w:rsid w:val="007E6BB2"/>
    <w:rsid w:val="007E6CB1"/>
    <w:rsid w:val="007E6DB9"/>
    <w:rsid w:val="007E6E36"/>
    <w:rsid w:val="007E7167"/>
    <w:rsid w:val="007E72B1"/>
    <w:rsid w:val="007E75DE"/>
    <w:rsid w:val="007E78AB"/>
    <w:rsid w:val="007E7B05"/>
    <w:rsid w:val="007E7F2D"/>
    <w:rsid w:val="007F0084"/>
    <w:rsid w:val="007F015B"/>
    <w:rsid w:val="007F03D2"/>
    <w:rsid w:val="007F03E7"/>
    <w:rsid w:val="007F03E8"/>
    <w:rsid w:val="007F0405"/>
    <w:rsid w:val="007F082B"/>
    <w:rsid w:val="007F0BC8"/>
    <w:rsid w:val="007F0C97"/>
    <w:rsid w:val="007F0E05"/>
    <w:rsid w:val="007F0E92"/>
    <w:rsid w:val="007F0F20"/>
    <w:rsid w:val="007F0F23"/>
    <w:rsid w:val="007F12E5"/>
    <w:rsid w:val="007F142F"/>
    <w:rsid w:val="007F161B"/>
    <w:rsid w:val="007F1833"/>
    <w:rsid w:val="007F1A7E"/>
    <w:rsid w:val="007F1B71"/>
    <w:rsid w:val="007F1C44"/>
    <w:rsid w:val="007F1D8D"/>
    <w:rsid w:val="007F1F8B"/>
    <w:rsid w:val="007F1FCA"/>
    <w:rsid w:val="007F204C"/>
    <w:rsid w:val="007F20BF"/>
    <w:rsid w:val="007F22DE"/>
    <w:rsid w:val="007F2344"/>
    <w:rsid w:val="007F2388"/>
    <w:rsid w:val="007F239C"/>
    <w:rsid w:val="007F23B9"/>
    <w:rsid w:val="007F25D9"/>
    <w:rsid w:val="007F286A"/>
    <w:rsid w:val="007F29BB"/>
    <w:rsid w:val="007F2C0D"/>
    <w:rsid w:val="007F2C60"/>
    <w:rsid w:val="007F2C67"/>
    <w:rsid w:val="007F2E69"/>
    <w:rsid w:val="007F2FD8"/>
    <w:rsid w:val="007F30B8"/>
    <w:rsid w:val="007F32D4"/>
    <w:rsid w:val="007F358C"/>
    <w:rsid w:val="007F3650"/>
    <w:rsid w:val="007F3743"/>
    <w:rsid w:val="007F37D5"/>
    <w:rsid w:val="007F3A35"/>
    <w:rsid w:val="007F3A9C"/>
    <w:rsid w:val="007F3CE9"/>
    <w:rsid w:val="007F3FFE"/>
    <w:rsid w:val="007F4263"/>
    <w:rsid w:val="007F432F"/>
    <w:rsid w:val="007F4480"/>
    <w:rsid w:val="007F4699"/>
    <w:rsid w:val="007F4740"/>
    <w:rsid w:val="007F4771"/>
    <w:rsid w:val="007F4882"/>
    <w:rsid w:val="007F4A44"/>
    <w:rsid w:val="007F4A7B"/>
    <w:rsid w:val="007F4C14"/>
    <w:rsid w:val="007F4E83"/>
    <w:rsid w:val="007F50D4"/>
    <w:rsid w:val="007F50D5"/>
    <w:rsid w:val="007F51C0"/>
    <w:rsid w:val="007F5259"/>
    <w:rsid w:val="007F53ED"/>
    <w:rsid w:val="007F5809"/>
    <w:rsid w:val="007F589F"/>
    <w:rsid w:val="007F5F34"/>
    <w:rsid w:val="007F5FA7"/>
    <w:rsid w:val="007F622F"/>
    <w:rsid w:val="007F62F5"/>
    <w:rsid w:val="007F63E8"/>
    <w:rsid w:val="007F6510"/>
    <w:rsid w:val="007F6655"/>
    <w:rsid w:val="007F6715"/>
    <w:rsid w:val="007F6816"/>
    <w:rsid w:val="007F6994"/>
    <w:rsid w:val="007F6B37"/>
    <w:rsid w:val="007F6BB6"/>
    <w:rsid w:val="007F6CCB"/>
    <w:rsid w:val="007F6EFE"/>
    <w:rsid w:val="007F6FF5"/>
    <w:rsid w:val="007F70EC"/>
    <w:rsid w:val="007F778F"/>
    <w:rsid w:val="007F7925"/>
    <w:rsid w:val="007F798B"/>
    <w:rsid w:val="007F7E1D"/>
    <w:rsid w:val="007F7F74"/>
    <w:rsid w:val="007F7FBC"/>
    <w:rsid w:val="00800026"/>
    <w:rsid w:val="00800229"/>
    <w:rsid w:val="00800412"/>
    <w:rsid w:val="0080042B"/>
    <w:rsid w:val="00800492"/>
    <w:rsid w:val="0080063D"/>
    <w:rsid w:val="0080066B"/>
    <w:rsid w:val="008006C2"/>
    <w:rsid w:val="0080076D"/>
    <w:rsid w:val="00800797"/>
    <w:rsid w:val="008008AA"/>
    <w:rsid w:val="00800911"/>
    <w:rsid w:val="00800F7F"/>
    <w:rsid w:val="008010B0"/>
    <w:rsid w:val="008016DC"/>
    <w:rsid w:val="008019C6"/>
    <w:rsid w:val="008019FF"/>
    <w:rsid w:val="00801A1B"/>
    <w:rsid w:val="00801AB0"/>
    <w:rsid w:val="00801B48"/>
    <w:rsid w:val="0080227F"/>
    <w:rsid w:val="008024B3"/>
    <w:rsid w:val="00802523"/>
    <w:rsid w:val="00802558"/>
    <w:rsid w:val="0080255D"/>
    <w:rsid w:val="00802578"/>
    <w:rsid w:val="008026F5"/>
    <w:rsid w:val="0080288D"/>
    <w:rsid w:val="008029A6"/>
    <w:rsid w:val="00802A12"/>
    <w:rsid w:val="00802C27"/>
    <w:rsid w:val="00802D98"/>
    <w:rsid w:val="00802E2F"/>
    <w:rsid w:val="00802E84"/>
    <w:rsid w:val="00803084"/>
    <w:rsid w:val="00803171"/>
    <w:rsid w:val="0080330D"/>
    <w:rsid w:val="00803552"/>
    <w:rsid w:val="008035DD"/>
    <w:rsid w:val="0080360B"/>
    <w:rsid w:val="008038D5"/>
    <w:rsid w:val="00803CE2"/>
    <w:rsid w:val="00803E58"/>
    <w:rsid w:val="00803E69"/>
    <w:rsid w:val="00803EF2"/>
    <w:rsid w:val="00803F04"/>
    <w:rsid w:val="0080412D"/>
    <w:rsid w:val="0080425F"/>
    <w:rsid w:val="0080427B"/>
    <w:rsid w:val="008042E5"/>
    <w:rsid w:val="008047B8"/>
    <w:rsid w:val="0080484B"/>
    <w:rsid w:val="00804975"/>
    <w:rsid w:val="008049AE"/>
    <w:rsid w:val="00804BE9"/>
    <w:rsid w:val="00804C19"/>
    <w:rsid w:val="00804D5A"/>
    <w:rsid w:val="00804E34"/>
    <w:rsid w:val="00804E63"/>
    <w:rsid w:val="00804FC0"/>
    <w:rsid w:val="00805086"/>
    <w:rsid w:val="008054FD"/>
    <w:rsid w:val="008055B3"/>
    <w:rsid w:val="00805829"/>
    <w:rsid w:val="00805A5B"/>
    <w:rsid w:val="00805A99"/>
    <w:rsid w:val="00805AA8"/>
    <w:rsid w:val="00805B5B"/>
    <w:rsid w:val="00805BE1"/>
    <w:rsid w:val="00805CB6"/>
    <w:rsid w:val="00805D2F"/>
    <w:rsid w:val="00805DAD"/>
    <w:rsid w:val="00805F0B"/>
    <w:rsid w:val="00805F60"/>
    <w:rsid w:val="0080601C"/>
    <w:rsid w:val="008062AC"/>
    <w:rsid w:val="00806356"/>
    <w:rsid w:val="008063A8"/>
    <w:rsid w:val="008065BE"/>
    <w:rsid w:val="008066BA"/>
    <w:rsid w:val="0080679C"/>
    <w:rsid w:val="00806C29"/>
    <w:rsid w:val="00806C3B"/>
    <w:rsid w:val="00806D26"/>
    <w:rsid w:val="00806D51"/>
    <w:rsid w:val="00806D52"/>
    <w:rsid w:val="00806E79"/>
    <w:rsid w:val="00806FA7"/>
    <w:rsid w:val="008070BB"/>
    <w:rsid w:val="008070CF"/>
    <w:rsid w:val="0080723D"/>
    <w:rsid w:val="0080789C"/>
    <w:rsid w:val="00807A46"/>
    <w:rsid w:val="00807B84"/>
    <w:rsid w:val="00807E7D"/>
    <w:rsid w:val="00807E9D"/>
    <w:rsid w:val="0081017A"/>
    <w:rsid w:val="00810249"/>
    <w:rsid w:val="008102DB"/>
    <w:rsid w:val="008103D5"/>
    <w:rsid w:val="00810433"/>
    <w:rsid w:val="008105FA"/>
    <w:rsid w:val="00810923"/>
    <w:rsid w:val="00810A5A"/>
    <w:rsid w:val="00810CAF"/>
    <w:rsid w:val="00810CFF"/>
    <w:rsid w:val="00810D0C"/>
    <w:rsid w:val="00811096"/>
    <w:rsid w:val="00811267"/>
    <w:rsid w:val="00811272"/>
    <w:rsid w:val="008113E6"/>
    <w:rsid w:val="008114CF"/>
    <w:rsid w:val="008115A1"/>
    <w:rsid w:val="0081165D"/>
    <w:rsid w:val="00811709"/>
    <w:rsid w:val="00811AAC"/>
    <w:rsid w:val="00811DB9"/>
    <w:rsid w:val="00811ECE"/>
    <w:rsid w:val="0081227E"/>
    <w:rsid w:val="0081228D"/>
    <w:rsid w:val="00812319"/>
    <w:rsid w:val="0081251C"/>
    <w:rsid w:val="008126F1"/>
    <w:rsid w:val="00812A64"/>
    <w:rsid w:val="00812AD1"/>
    <w:rsid w:val="00812F8F"/>
    <w:rsid w:val="00812FBF"/>
    <w:rsid w:val="00813013"/>
    <w:rsid w:val="008130EE"/>
    <w:rsid w:val="008131A5"/>
    <w:rsid w:val="00813553"/>
    <w:rsid w:val="008135AE"/>
    <w:rsid w:val="008138FA"/>
    <w:rsid w:val="00813C03"/>
    <w:rsid w:val="00813D82"/>
    <w:rsid w:val="00813DEE"/>
    <w:rsid w:val="00813E06"/>
    <w:rsid w:val="00813EAD"/>
    <w:rsid w:val="0081419D"/>
    <w:rsid w:val="00814212"/>
    <w:rsid w:val="0081432E"/>
    <w:rsid w:val="0081441E"/>
    <w:rsid w:val="00814729"/>
    <w:rsid w:val="00814775"/>
    <w:rsid w:val="0081482E"/>
    <w:rsid w:val="008148BF"/>
    <w:rsid w:val="00814BB2"/>
    <w:rsid w:val="00814E2C"/>
    <w:rsid w:val="00815374"/>
    <w:rsid w:val="00815515"/>
    <w:rsid w:val="00815766"/>
    <w:rsid w:val="00815909"/>
    <w:rsid w:val="00815A28"/>
    <w:rsid w:val="00815B15"/>
    <w:rsid w:val="00815EFB"/>
    <w:rsid w:val="008161E9"/>
    <w:rsid w:val="0081668F"/>
    <w:rsid w:val="00816A63"/>
    <w:rsid w:val="00816BFA"/>
    <w:rsid w:val="00816DE6"/>
    <w:rsid w:val="00816F85"/>
    <w:rsid w:val="00817052"/>
    <w:rsid w:val="00817289"/>
    <w:rsid w:val="00817374"/>
    <w:rsid w:val="008173BB"/>
    <w:rsid w:val="00817455"/>
    <w:rsid w:val="00817563"/>
    <w:rsid w:val="008177B0"/>
    <w:rsid w:val="008179E9"/>
    <w:rsid w:val="00817A02"/>
    <w:rsid w:val="00817EF3"/>
    <w:rsid w:val="0082006D"/>
    <w:rsid w:val="00820163"/>
    <w:rsid w:val="0082025B"/>
    <w:rsid w:val="00820304"/>
    <w:rsid w:val="008204CE"/>
    <w:rsid w:val="008205C6"/>
    <w:rsid w:val="00820881"/>
    <w:rsid w:val="0082093C"/>
    <w:rsid w:val="008209BF"/>
    <w:rsid w:val="00820A0E"/>
    <w:rsid w:val="00820E3C"/>
    <w:rsid w:val="008211A3"/>
    <w:rsid w:val="008211D6"/>
    <w:rsid w:val="0082135A"/>
    <w:rsid w:val="0082148F"/>
    <w:rsid w:val="008214A6"/>
    <w:rsid w:val="008217CF"/>
    <w:rsid w:val="008219E1"/>
    <w:rsid w:val="00821B44"/>
    <w:rsid w:val="00821C06"/>
    <w:rsid w:val="00821CC7"/>
    <w:rsid w:val="00821CD0"/>
    <w:rsid w:val="00821DD4"/>
    <w:rsid w:val="00821F1B"/>
    <w:rsid w:val="00822074"/>
    <w:rsid w:val="008221D2"/>
    <w:rsid w:val="00822494"/>
    <w:rsid w:val="00822B82"/>
    <w:rsid w:val="00822C0C"/>
    <w:rsid w:val="00823266"/>
    <w:rsid w:val="00823381"/>
    <w:rsid w:val="0082386E"/>
    <w:rsid w:val="008238D5"/>
    <w:rsid w:val="00823915"/>
    <w:rsid w:val="00823DF8"/>
    <w:rsid w:val="00823FD8"/>
    <w:rsid w:val="0082404D"/>
    <w:rsid w:val="008240D6"/>
    <w:rsid w:val="00824115"/>
    <w:rsid w:val="0082419A"/>
    <w:rsid w:val="008241D9"/>
    <w:rsid w:val="0082429A"/>
    <w:rsid w:val="0082438C"/>
    <w:rsid w:val="0082453A"/>
    <w:rsid w:val="008245C6"/>
    <w:rsid w:val="0082480B"/>
    <w:rsid w:val="00824CA6"/>
    <w:rsid w:val="00824E3C"/>
    <w:rsid w:val="00824EF3"/>
    <w:rsid w:val="0082527B"/>
    <w:rsid w:val="0082529C"/>
    <w:rsid w:val="00825459"/>
    <w:rsid w:val="00825664"/>
    <w:rsid w:val="008256A2"/>
    <w:rsid w:val="008256B8"/>
    <w:rsid w:val="00825849"/>
    <w:rsid w:val="0082590E"/>
    <w:rsid w:val="008259BE"/>
    <w:rsid w:val="008259C0"/>
    <w:rsid w:val="00825A84"/>
    <w:rsid w:val="00825D93"/>
    <w:rsid w:val="00825DE1"/>
    <w:rsid w:val="00825EAA"/>
    <w:rsid w:val="00825EB3"/>
    <w:rsid w:val="0082611D"/>
    <w:rsid w:val="0082623F"/>
    <w:rsid w:val="0082637D"/>
    <w:rsid w:val="00826429"/>
    <w:rsid w:val="008264BB"/>
    <w:rsid w:val="00826557"/>
    <w:rsid w:val="00826690"/>
    <w:rsid w:val="0082690B"/>
    <w:rsid w:val="0082693E"/>
    <w:rsid w:val="008269ED"/>
    <w:rsid w:val="00826ACD"/>
    <w:rsid w:val="00826B10"/>
    <w:rsid w:val="00827335"/>
    <w:rsid w:val="00827346"/>
    <w:rsid w:val="0082756A"/>
    <w:rsid w:val="008276B2"/>
    <w:rsid w:val="008276F2"/>
    <w:rsid w:val="00827988"/>
    <w:rsid w:val="00827F43"/>
    <w:rsid w:val="00827F87"/>
    <w:rsid w:val="0083005A"/>
    <w:rsid w:val="008300B2"/>
    <w:rsid w:val="008300C9"/>
    <w:rsid w:val="008300D6"/>
    <w:rsid w:val="0083012D"/>
    <w:rsid w:val="00830306"/>
    <w:rsid w:val="008307CC"/>
    <w:rsid w:val="00830B43"/>
    <w:rsid w:val="00830C1A"/>
    <w:rsid w:val="00830D08"/>
    <w:rsid w:val="00831067"/>
    <w:rsid w:val="0083117F"/>
    <w:rsid w:val="0083132D"/>
    <w:rsid w:val="00831439"/>
    <w:rsid w:val="00831675"/>
    <w:rsid w:val="008318E8"/>
    <w:rsid w:val="00831A10"/>
    <w:rsid w:val="00831AA4"/>
    <w:rsid w:val="00831AB3"/>
    <w:rsid w:val="00831B3E"/>
    <w:rsid w:val="00831B88"/>
    <w:rsid w:val="00831C87"/>
    <w:rsid w:val="00831CE4"/>
    <w:rsid w:val="00831D28"/>
    <w:rsid w:val="00832082"/>
    <w:rsid w:val="0083216B"/>
    <w:rsid w:val="008323F9"/>
    <w:rsid w:val="00832471"/>
    <w:rsid w:val="008325FC"/>
    <w:rsid w:val="008326A0"/>
    <w:rsid w:val="00832737"/>
    <w:rsid w:val="008328E9"/>
    <w:rsid w:val="0083291B"/>
    <w:rsid w:val="008329E6"/>
    <w:rsid w:val="00832A0E"/>
    <w:rsid w:val="00832AC5"/>
    <w:rsid w:val="00832C85"/>
    <w:rsid w:val="00832D73"/>
    <w:rsid w:val="00832D91"/>
    <w:rsid w:val="00832E67"/>
    <w:rsid w:val="00833094"/>
    <w:rsid w:val="008330C7"/>
    <w:rsid w:val="008331A3"/>
    <w:rsid w:val="008332FD"/>
    <w:rsid w:val="0083342D"/>
    <w:rsid w:val="00833483"/>
    <w:rsid w:val="008337C8"/>
    <w:rsid w:val="00833811"/>
    <w:rsid w:val="0083389E"/>
    <w:rsid w:val="00833B97"/>
    <w:rsid w:val="00833D66"/>
    <w:rsid w:val="00833F64"/>
    <w:rsid w:val="0083414D"/>
    <w:rsid w:val="00834168"/>
    <w:rsid w:val="0083443E"/>
    <w:rsid w:val="008345CB"/>
    <w:rsid w:val="00834692"/>
    <w:rsid w:val="00834839"/>
    <w:rsid w:val="008349F6"/>
    <w:rsid w:val="00834A48"/>
    <w:rsid w:val="00834AA7"/>
    <w:rsid w:val="00834B51"/>
    <w:rsid w:val="00834DEA"/>
    <w:rsid w:val="00834DF1"/>
    <w:rsid w:val="00835126"/>
    <w:rsid w:val="008355D2"/>
    <w:rsid w:val="0083560D"/>
    <w:rsid w:val="008356B8"/>
    <w:rsid w:val="00835913"/>
    <w:rsid w:val="00835CB4"/>
    <w:rsid w:val="00836276"/>
    <w:rsid w:val="00836361"/>
    <w:rsid w:val="008365AD"/>
    <w:rsid w:val="008366D1"/>
    <w:rsid w:val="00836935"/>
    <w:rsid w:val="0083694C"/>
    <w:rsid w:val="00836A4A"/>
    <w:rsid w:val="00836C57"/>
    <w:rsid w:val="00836EF3"/>
    <w:rsid w:val="008375E0"/>
    <w:rsid w:val="00837A47"/>
    <w:rsid w:val="00837B42"/>
    <w:rsid w:val="00837BAC"/>
    <w:rsid w:val="00837C36"/>
    <w:rsid w:val="0084015B"/>
    <w:rsid w:val="008403CC"/>
    <w:rsid w:val="008405D4"/>
    <w:rsid w:val="00840690"/>
    <w:rsid w:val="008408EC"/>
    <w:rsid w:val="00840998"/>
    <w:rsid w:val="00840B04"/>
    <w:rsid w:val="00840BBE"/>
    <w:rsid w:val="00840E08"/>
    <w:rsid w:val="00840F2E"/>
    <w:rsid w:val="0084105F"/>
    <w:rsid w:val="00841542"/>
    <w:rsid w:val="0084156C"/>
    <w:rsid w:val="00841841"/>
    <w:rsid w:val="00841A2F"/>
    <w:rsid w:val="0084207A"/>
    <w:rsid w:val="0084242C"/>
    <w:rsid w:val="00842502"/>
    <w:rsid w:val="00842529"/>
    <w:rsid w:val="008425FB"/>
    <w:rsid w:val="00842678"/>
    <w:rsid w:val="008428BB"/>
    <w:rsid w:val="00842A01"/>
    <w:rsid w:val="00842D3B"/>
    <w:rsid w:val="00842DBF"/>
    <w:rsid w:val="00842F43"/>
    <w:rsid w:val="00842FA1"/>
    <w:rsid w:val="00843145"/>
    <w:rsid w:val="0084315B"/>
    <w:rsid w:val="0084334E"/>
    <w:rsid w:val="008434C2"/>
    <w:rsid w:val="00843685"/>
    <w:rsid w:val="00843714"/>
    <w:rsid w:val="00843ACC"/>
    <w:rsid w:val="00843CA0"/>
    <w:rsid w:val="00843DE5"/>
    <w:rsid w:val="00843E80"/>
    <w:rsid w:val="00843F2B"/>
    <w:rsid w:val="00843F5F"/>
    <w:rsid w:val="00844355"/>
    <w:rsid w:val="00844370"/>
    <w:rsid w:val="008444BD"/>
    <w:rsid w:val="0084459E"/>
    <w:rsid w:val="0084468A"/>
    <w:rsid w:val="0084485B"/>
    <w:rsid w:val="00844AAD"/>
    <w:rsid w:val="00844B70"/>
    <w:rsid w:val="00844BCF"/>
    <w:rsid w:val="00844C0C"/>
    <w:rsid w:val="00844D6E"/>
    <w:rsid w:val="0084513A"/>
    <w:rsid w:val="00845733"/>
    <w:rsid w:val="00845796"/>
    <w:rsid w:val="008458C2"/>
    <w:rsid w:val="008459A7"/>
    <w:rsid w:val="00845A7D"/>
    <w:rsid w:val="00845D21"/>
    <w:rsid w:val="00845FB0"/>
    <w:rsid w:val="008460AE"/>
    <w:rsid w:val="0084616E"/>
    <w:rsid w:val="00846221"/>
    <w:rsid w:val="0084630C"/>
    <w:rsid w:val="0084655D"/>
    <w:rsid w:val="008466F5"/>
    <w:rsid w:val="008467E3"/>
    <w:rsid w:val="0084699B"/>
    <w:rsid w:val="00846A50"/>
    <w:rsid w:val="00846B1F"/>
    <w:rsid w:val="00846CC6"/>
    <w:rsid w:val="00846E19"/>
    <w:rsid w:val="00846E31"/>
    <w:rsid w:val="00846E56"/>
    <w:rsid w:val="00847044"/>
    <w:rsid w:val="00847121"/>
    <w:rsid w:val="008471B4"/>
    <w:rsid w:val="0084732B"/>
    <w:rsid w:val="0084759E"/>
    <w:rsid w:val="008475C9"/>
    <w:rsid w:val="008475CD"/>
    <w:rsid w:val="00847618"/>
    <w:rsid w:val="008476EC"/>
    <w:rsid w:val="008478ED"/>
    <w:rsid w:val="00847A56"/>
    <w:rsid w:val="00847E7A"/>
    <w:rsid w:val="00850177"/>
    <w:rsid w:val="00850327"/>
    <w:rsid w:val="008503D1"/>
    <w:rsid w:val="0085078E"/>
    <w:rsid w:val="00850A53"/>
    <w:rsid w:val="00850AD9"/>
    <w:rsid w:val="00850B13"/>
    <w:rsid w:val="00850B4A"/>
    <w:rsid w:val="00850E65"/>
    <w:rsid w:val="00850F05"/>
    <w:rsid w:val="00850F69"/>
    <w:rsid w:val="00850FD4"/>
    <w:rsid w:val="008510C0"/>
    <w:rsid w:val="0085113F"/>
    <w:rsid w:val="00851427"/>
    <w:rsid w:val="008514FD"/>
    <w:rsid w:val="0085171B"/>
    <w:rsid w:val="00851B3C"/>
    <w:rsid w:val="00851D7F"/>
    <w:rsid w:val="00851E4F"/>
    <w:rsid w:val="00851F9E"/>
    <w:rsid w:val="00852007"/>
    <w:rsid w:val="008527C0"/>
    <w:rsid w:val="00852913"/>
    <w:rsid w:val="00852AD3"/>
    <w:rsid w:val="00852BDF"/>
    <w:rsid w:val="00852C3C"/>
    <w:rsid w:val="00852D01"/>
    <w:rsid w:val="00852DA5"/>
    <w:rsid w:val="008532C0"/>
    <w:rsid w:val="00853370"/>
    <w:rsid w:val="0085357A"/>
    <w:rsid w:val="0085357F"/>
    <w:rsid w:val="008537F4"/>
    <w:rsid w:val="00853896"/>
    <w:rsid w:val="008539C9"/>
    <w:rsid w:val="00853E77"/>
    <w:rsid w:val="008543BB"/>
    <w:rsid w:val="008544FE"/>
    <w:rsid w:val="00854502"/>
    <w:rsid w:val="00854551"/>
    <w:rsid w:val="008546CF"/>
    <w:rsid w:val="00854D7D"/>
    <w:rsid w:val="00854D8A"/>
    <w:rsid w:val="00855355"/>
    <w:rsid w:val="00855391"/>
    <w:rsid w:val="008553BF"/>
    <w:rsid w:val="008555B3"/>
    <w:rsid w:val="0085569D"/>
    <w:rsid w:val="0085570A"/>
    <w:rsid w:val="00855860"/>
    <w:rsid w:val="00855916"/>
    <w:rsid w:val="00855A89"/>
    <w:rsid w:val="00855C62"/>
    <w:rsid w:val="00855CFC"/>
    <w:rsid w:val="00855E43"/>
    <w:rsid w:val="00855F87"/>
    <w:rsid w:val="008564D5"/>
    <w:rsid w:val="008565ED"/>
    <w:rsid w:val="008566A5"/>
    <w:rsid w:val="008568A3"/>
    <w:rsid w:val="008568C4"/>
    <w:rsid w:val="00856AF9"/>
    <w:rsid w:val="00856C10"/>
    <w:rsid w:val="00856C2F"/>
    <w:rsid w:val="00856CD9"/>
    <w:rsid w:val="00856F67"/>
    <w:rsid w:val="00856FB0"/>
    <w:rsid w:val="00856FFD"/>
    <w:rsid w:val="00857005"/>
    <w:rsid w:val="00857138"/>
    <w:rsid w:val="008571D8"/>
    <w:rsid w:val="008572A0"/>
    <w:rsid w:val="008572D6"/>
    <w:rsid w:val="00857556"/>
    <w:rsid w:val="008579CE"/>
    <w:rsid w:val="00857A4A"/>
    <w:rsid w:val="00857ABA"/>
    <w:rsid w:val="00857B38"/>
    <w:rsid w:val="00857C5D"/>
    <w:rsid w:val="00857DAC"/>
    <w:rsid w:val="00857DBA"/>
    <w:rsid w:val="00860147"/>
    <w:rsid w:val="00860236"/>
    <w:rsid w:val="00860321"/>
    <w:rsid w:val="0086034F"/>
    <w:rsid w:val="00860416"/>
    <w:rsid w:val="00860557"/>
    <w:rsid w:val="00860680"/>
    <w:rsid w:val="00860789"/>
    <w:rsid w:val="00860D24"/>
    <w:rsid w:val="00861135"/>
    <w:rsid w:val="00861261"/>
    <w:rsid w:val="0086127D"/>
    <w:rsid w:val="00861430"/>
    <w:rsid w:val="00861493"/>
    <w:rsid w:val="00861589"/>
    <w:rsid w:val="00861632"/>
    <w:rsid w:val="0086174A"/>
    <w:rsid w:val="008617F4"/>
    <w:rsid w:val="00861927"/>
    <w:rsid w:val="00861C62"/>
    <w:rsid w:val="008621E2"/>
    <w:rsid w:val="0086227B"/>
    <w:rsid w:val="00862370"/>
    <w:rsid w:val="0086247E"/>
    <w:rsid w:val="008629A1"/>
    <w:rsid w:val="00862C76"/>
    <w:rsid w:val="00862CC1"/>
    <w:rsid w:val="00862E0C"/>
    <w:rsid w:val="00862E84"/>
    <w:rsid w:val="00862F63"/>
    <w:rsid w:val="00863158"/>
    <w:rsid w:val="0086330D"/>
    <w:rsid w:val="00863500"/>
    <w:rsid w:val="00863687"/>
    <w:rsid w:val="008636F3"/>
    <w:rsid w:val="00863887"/>
    <w:rsid w:val="0086389C"/>
    <w:rsid w:val="008638BF"/>
    <w:rsid w:val="00863A3A"/>
    <w:rsid w:val="00863B95"/>
    <w:rsid w:val="00863CA4"/>
    <w:rsid w:val="00863D09"/>
    <w:rsid w:val="00863D2A"/>
    <w:rsid w:val="00863F00"/>
    <w:rsid w:val="00863F43"/>
    <w:rsid w:val="00864237"/>
    <w:rsid w:val="00864260"/>
    <w:rsid w:val="00864489"/>
    <w:rsid w:val="008644B1"/>
    <w:rsid w:val="008645DD"/>
    <w:rsid w:val="00864605"/>
    <w:rsid w:val="008647C2"/>
    <w:rsid w:val="00864A28"/>
    <w:rsid w:val="00864A66"/>
    <w:rsid w:val="00864AC5"/>
    <w:rsid w:val="00864AF6"/>
    <w:rsid w:val="00864CCF"/>
    <w:rsid w:val="00864F85"/>
    <w:rsid w:val="00865143"/>
    <w:rsid w:val="008652B7"/>
    <w:rsid w:val="00865577"/>
    <w:rsid w:val="00865682"/>
    <w:rsid w:val="008657E0"/>
    <w:rsid w:val="00865AAF"/>
    <w:rsid w:val="00865BEA"/>
    <w:rsid w:val="00865CA1"/>
    <w:rsid w:val="00865CD2"/>
    <w:rsid w:val="00865F1E"/>
    <w:rsid w:val="0086603B"/>
    <w:rsid w:val="008660AF"/>
    <w:rsid w:val="008661CC"/>
    <w:rsid w:val="00866500"/>
    <w:rsid w:val="0086664D"/>
    <w:rsid w:val="008666E5"/>
    <w:rsid w:val="00866706"/>
    <w:rsid w:val="0086685C"/>
    <w:rsid w:val="00866872"/>
    <w:rsid w:val="00866EE3"/>
    <w:rsid w:val="00866EF0"/>
    <w:rsid w:val="0086708A"/>
    <w:rsid w:val="00867556"/>
    <w:rsid w:val="00867606"/>
    <w:rsid w:val="00867689"/>
    <w:rsid w:val="00867A83"/>
    <w:rsid w:val="00867C86"/>
    <w:rsid w:val="00867DC0"/>
    <w:rsid w:val="00867FA8"/>
    <w:rsid w:val="00870066"/>
    <w:rsid w:val="0087013E"/>
    <w:rsid w:val="008701E2"/>
    <w:rsid w:val="0087048A"/>
    <w:rsid w:val="00870564"/>
    <w:rsid w:val="00870705"/>
    <w:rsid w:val="0087086E"/>
    <w:rsid w:val="00870A8D"/>
    <w:rsid w:val="00870FC6"/>
    <w:rsid w:val="00870FEB"/>
    <w:rsid w:val="008710EB"/>
    <w:rsid w:val="00871146"/>
    <w:rsid w:val="0087117C"/>
    <w:rsid w:val="008716B0"/>
    <w:rsid w:val="008716CB"/>
    <w:rsid w:val="00871B7F"/>
    <w:rsid w:val="00871BDF"/>
    <w:rsid w:val="00871C21"/>
    <w:rsid w:val="00871E3E"/>
    <w:rsid w:val="0087205C"/>
    <w:rsid w:val="0087222E"/>
    <w:rsid w:val="00872322"/>
    <w:rsid w:val="008724ED"/>
    <w:rsid w:val="00872AA1"/>
    <w:rsid w:val="00872BEA"/>
    <w:rsid w:val="00872BF4"/>
    <w:rsid w:val="00872D96"/>
    <w:rsid w:val="00872DB6"/>
    <w:rsid w:val="00872E8D"/>
    <w:rsid w:val="0087336C"/>
    <w:rsid w:val="00873421"/>
    <w:rsid w:val="0087353A"/>
    <w:rsid w:val="008735DF"/>
    <w:rsid w:val="00873634"/>
    <w:rsid w:val="0087383C"/>
    <w:rsid w:val="00873A76"/>
    <w:rsid w:val="00873CB9"/>
    <w:rsid w:val="00873D4D"/>
    <w:rsid w:val="00873E12"/>
    <w:rsid w:val="00874204"/>
    <w:rsid w:val="00874711"/>
    <w:rsid w:val="00874758"/>
    <w:rsid w:val="008748D5"/>
    <w:rsid w:val="0087491C"/>
    <w:rsid w:val="008749CC"/>
    <w:rsid w:val="008749EC"/>
    <w:rsid w:val="00874A6D"/>
    <w:rsid w:val="00874DB0"/>
    <w:rsid w:val="00874E0B"/>
    <w:rsid w:val="00874E8F"/>
    <w:rsid w:val="00874F49"/>
    <w:rsid w:val="00875157"/>
    <w:rsid w:val="0087520A"/>
    <w:rsid w:val="008753A9"/>
    <w:rsid w:val="00875556"/>
    <w:rsid w:val="008757FF"/>
    <w:rsid w:val="00875AAA"/>
    <w:rsid w:val="00875D4E"/>
    <w:rsid w:val="00875E0D"/>
    <w:rsid w:val="008761A7"/>
    <w:rsid w:val="0087622B"/>
    <w:rsid w:val="00876497"/>
    <w:rsid w:val="008764FD"/>
    <w:rsid w:val="00876544"/>
    <w:rsid w:val="00876BC2"/>
    <w:rsid w:val="00876C84"/>
    <w:rsid w:val="00876DE7"/>
    <w:rsid w:val="00876DE9"/>
    <w:rsid w:val="00876E33"/>
    <w:rsid w:val="00876EE7"/>
    <w:rsid w:val="00876EEA"/>
    <w:rsid w:val="00876F25"/>
    <w:rsid w:val="00876F40"/>
    <w:rsid w:val="0087715D"/>
    <w:rsid w:val="008771C4"/>
    <w:rsid w:val="0087734F"/>
    <w:rsid w:val="00877447"/>
    <w:rsid w:val="00877698"/>
    <w:rsid w:val="0087798B"/>
    <w:rsid w:val="00880017"/>
    <w:rsid w:val="008801AA"/>
    <w:rsid w:val="008802D2"/>
    <w:rsid w:val="008802E5"/>
    <w:rsid w:val="00880BFD"/>
    <w:rsid w:val="00880C48"/>
    <w:rsid w:val="00880D8F"/>
    <w:rsid w:val="00880DD4"/>
    <w:rsid w:val="00880F3D"/>
    <w:rsid w:val="0088101D"/>
    <w:rsid w:val="008810D4"/>
    <w:rsid w:val="00881363"/>
    <w:rsid w:val="0088142A"/>
    <w:rsid w:val="0088151E"/>
    <w:rsid w:val="008815DD"/>
    <w:rsid w:val="0088162E"/>
    <w:rsid w:val="00881A33"/>
    <w:rsid w:val="00881A96"/>
    <w:rsid w:val="00881DD2"/>
    <w:rsid w:val="00881FA6"/>
    <w:rsid w:val="00882134"/>
    <w:rsid w:val="0088223A"/>
    <w:rsid w:val="00882565"/>
    <w:rsid w:val="00882688"/>
    <w:rsid w:val="00882943"/>
    <w:rsid w:val="00882967"/>
    <w:rsid w:val="00882A8D"/>
    <w:rsid w:val="00882ABC"/>
    <w:rsid w:val="00882BDF"/>
    <w:rsid w:val="00882D50"/>
    <w:rsid w:val="00882DA4"/>
    <w:rsid w:val="00882F3E"/>
    <w:rsid w:val="00882FF6"/>
    <w:rsid w:val="00883081"/>
    <w:rsid w:val="008830BF"/>
    <w:rsid w:val="0088349F"/>
    <w:rsid w:val="008834C6"/>
    <w:rsid w:val="0088367B"/>
    <w:rsid w:val="008838C7"/>
    <w:rsid w:val="00883B8C"/>
    <w:rsid w:val="00883C57"/>
    <w:rsid w:val="00883CA6"/>
    <w:rsid w:val="00883E2F"/>
    <w:rsid w:val="00883FB6"/>
    <w:rsid w:val="00883FB9"/>
    <w:rsid w:val="00883FD3"/>
    <w:rsid w:val="00884016"/>
    <w:rsid w:val="00884030"/>
    <w:rsid w:val="008840A3"/>
    <w:rsid w:val="008840EB"/>
    <w:rsid w:val="00884264"/>
    <w:rsid w:val="00884298"/>
    <w:rsid w:val="00884488"/>
    <w:rsid w:val="00884545"/>
    <w:rsid w:val="0088467C"/>
    <w:rsid w:val="008847ED"/>
    <w:rsid w:val="00884B7F"/>
    <w:rsid w:val="00884B86"/>
    <w:rsid w:val="00884E25"/>
    <w:rsid w:val="00884F9C"/>
    <w:rsid w:val="00885036"/>
    <w:rsid w:val="008850CC"/>
    <w:rsid w:val="008851A8"/>
    <w:rsid w:val="00885226"/>
    <w:rsid w:val="0088548F"/>
    <w:rsid w:val="0088568F"/>
    <w:rsid w:val="00885850"/>
    <w:rsid w:val="008859AB"/>
    <w:rsid w:val="00885F66"/>
    <w:rsid w:val="00886290"/>
    <w:rsid w:val="008862C0"/>
    <w:rsid w:val="0088638E"/>
    <w:rsid w:val="008863B2"/>
    <w:rsid w:val="008863FC"/>
    <w:rsid w:val="0088670E"/>
    <w:rsid w:val="00886762"/>
    <w:rsid w:val="00886994"/>
    <w:rsid w:val="008869ED"/>
    <w:rsid w:val="00886AFF"/>
    <w:rsid w:val="00886B57"/>
    <w:rsid w:val="00886BD5"/>
    <w:rsid w:val="00886FE6"/>
    <w:rsid w:val="0088713B"/>
    <w:rsid w:val="00887265"/>
    <w:rsid w:val="008875C0"/>
    <w:rsid w:val="00887B4F"/>
    <w:rsid w:val="00887BD7"/>
    <w:rsid w:val="00887C48"/>
    <w:rsid w:val="00887C5F"/>
    <w:rsid w:val="008900B6"/>
    <w:rsid w:val="008902F6"/>
    <w:rsid w:val="00890353"/>
    <w:rsid w:val="008905CF"/>
    <w:rsid w:val="00890802"/>
    <w:rsid w:val="00890D53"/>
    <w:rsid w:val="00891064"/>
    <w:rsid w:val="0089108C"/>
    <w:rsid w:val="008910CE"/>
    <w:rsid w:val="0089125A"/>
    <w:rsid w:val="00891267"/>
    <w:rsid w:val="008912ED"/>
    <w:rsid w:val="008913AE"/>
    <w:rsid w:val="008915BA"/>
    <w:rsid w:val="00891634"/>
    <w:rsid w:val="00891717"/>
    <w:rsid w:val="0089178D"/>
    <w:rsid w:val="0089191D"/>
    <w:rsid w:val="00891926"/>
    <w:rsid w:val="00891E87"/>
    <w:rsid w:val="00891F64"/>
    <w:rsid w:val="00891FF2"/>
    <w:rsid w:val="008923E3"/>
    <w:rsid w:val="00892622"/>
    <w:rsid w:val="00892695"/>
    <w:rsid w:val="0089293C"/>
    <w:rsid w:val="00892D2F"/>
    <w:rsid w:val="00892DEC"/>
    <w:rsid w:val="00892F1C"/>
    <w:rsid w:val="00892F1E"/>
    <w:rsid w:val="00893156"/>
    <w:rsid w:val="00893190"/>
    <w:rsid w:val="00893331"/>
    <w:rsid w:val="00893360"/>
    <w:rsid w:val="0089340A"/>
    <w:rsid w:val="00893544"/>
    <w:rsid w:val="00893609"/>
    <w:rsid w:val="00893779"/>
    <w:rsid w:val="0089381F"/>
    <w:rsid w:val="00893E11"/>
    <w:rsid w:val="00893EBA"/>
    <w:rsid w:val="0089409F"/>
    <w:rsid w:val="00894427"/>
    <w:rsid w:val="00894579"/>
    <w:rsid w:val="008946BC"/>
    <w:rsid w:val="00894802"/>
    <w:rsid w:val="00894A73"/>
    <w:rsid w:val="00894BE0"/>
    <w:rsid w:val="00894D7D"/>
    <w:rsid w:val="00894E3C"/>
    <w:rsid w:val="00894F3C"/>
    <w:rsid w:val="00894F4B"/>
    <w:rsid w:val="008950D5"/>
    <w:rsid w:val="008950F0"/>
    <w:rsid w:val="00895157"/>
    <w:rsid w:val="00895337"/>
    <w:rsid w:val="008954C7"/>
    <w:rsid w:val="008958A7"/>
    <w:rsid w:val="008958EA"/>
    <w:rsid w:val="00895A0F"/>
    <w:rsid w:val="00895D45"/>
    <w:rsid w:val="008960B9"/>
    <w:rsid w:val="00896179"/>
    <w:rsid w:val="00896208"/>
    <w:rsid w:val="00896321"/>
    <w:rsid w:val="00896604"/>
    <w:rsid w:val="008966D9"/>
    <w:rsid w:val="00896A24"/>
    <w:rsid w:val="00896A2D"/>
    <w:rsid w:val="00896A6C"/>
    <w:rsid w:val="00896AB7"/>
    <w:rsid w:val="00896AFC"/>
    <w:rsid w:val="00896EE3"/>
    <w:rsid w:val="008971B1"/>
    <w:rsid w:val="00897269"/>
    <w:rsid w:val="00897455"/>
    <w:rsid w:val="008977AD"/>
    <w:rsid w:val="00897833"/>
    <w:rsid w:val="0089785B"/>
    <w:rsid w:val="0089790D"/>
    <w:rsid w:val="00897A24"/>
    <w:rsid w:val="00897CE4"/>
    <w:rsid w:val="00897D87"/>
    <w:rsid w:val="00897EFA"/>
    <w:rsid w:val="008A0569"/>
    <w:rsid w:val="008A05FD"/>
    <w:rsid w:val="008A0D1C"/>
    <w:rsid w:val="008A0E0B"/>
    <w:rsid w:val="008A0EC6"/>
    <w:rsid w:val="008A0F60"/>
    <w:rsid w:val="008A10A1"/>
    <w:rsid w:val="008A110D"/>
    <w:rsid w:val="008A112F"/>
    <w:rsid w:val="008A1155"/>
    <w:rsid w:val="008A1158"/>
    <w:rsid w:val="008A12B7"/>
    <w:rsid w:val="008A1422"/>
    <w:rsid w:val="008A142C"/>
    <w:rsid w:val="008A157A"/>
    <w:rsid w:val="008A1745"/>
    <w:rsid w:val="008A1851"/>
    <w:rsid w:val="008A199A"/>
    <w:rsid w:val="008A19EB"/>
    <w:rsid w:val="008A1EA2"/>
    <w:rsid w:val="008A22BA"/>
    <w:rsid w:val="008A2530"/>
    <w:rsid w:val="008A25E2"/>
    <w:rsid w:val="008A2909"/>
    <w:rsid w:val="008A29E0"/>
    <w:rsid w:val="008A2AB7"/>
    <w:rsid w:val="008A2BA8"/>
    <w:rsid w:val="008A2BFA"/>
    <w:rsid w:val="008A2D55"/>
    <w:rsid w:val="008A2EAB"/>
    <w:rsid w:val="008A2FE2"/>
    <w:rsid w:val="008A307F"/>
    <w:rsid w:val="008A312D"/>
    <w:rsid w:val="008A3352"/>
    <w:rsid w:val="008A3584"/>
    <w:rsid w:val="008A35FC"/>
    <w:rsid w:val="008A3920"/>
    <w:rsid w:val="008A39F1"/>
    <w:rsid w:val="008A3D0D"/>
    <w:rsid w:val="008A4023"/>
    <w:rsid w:val="008A41E4"/>
    <w:rsid w:val="008A4890"/>
    <w:rsid w:val="008A48DA"/>
    <w:rsid w:val="008A4BDB"/>
    <w:rsid w:val="008A4BFA"/>
    <w:rsid w:val="008A4D72"/>
    <w:rsid w:val="008A512F"/>
    <w:rsid w:val="008A5630"/>
    <w:rsid w:val="008A5704"/>
    <w:rsid w:val="008A572E"/>
    <w:rsid w:val="008A58E4"/>
    <w:rsid w:val="008A5A08"/>
    <w:rsid w:val="008A5A54"/>
    <w:rsid w:val="008A5B67"/>
    <w:rsid w:val="008A5B6C"/>
    <w:rsid w:val="008A5C48"/>
    <w:rsid w:val="008A5CCD"/>
    <w:rsid w:val="008A5F9F"/>
    <w:rsid w:val="008A600D"/>
    <w:rsid w:val="008A60C1"/>
    <w:rsid w:val="008A6370"/>
    <w:rsid w:val="008A658B"/>
    <w:rsid w:val="008A6754"/>
    <w:rsid w:val="008A67B5"/>
    <w:rsid w:val="008A6B35"/>
    <w:rsid w:val="008A6B90"/>
    <w:rsid w:val="008A6CC0"/>
    <w:rsid w:val="008A6E2D"/>
    <w:rsid w:val="008A7097"/>
    <w:rsid w:val="008A7271"/>
    <w:rsid w:val="008A73BB"/>
    <w:rsid w:val="008A746E"/>
    <w:rsid w:val="008A771C"/>
    <w:rsid w:val="008A775D"/>
    <w:rsid w:val="008A79DD"/>
    <w:rsid w:val="008A7DC5"/>
    <w:rsid w:val="008A7DFB"/>
    <w:rsid w:val="008A7E97"/>
    <w:rsid w:val="008B0258"/>
    <w:rsid w:val="008B02F4"/>
    <w:rsid w:val="008B03F5"/>
    <w:rsid w:val="008B03FB"/>
    <w:rsid w:val="008B044E"/>
    <w:rsid w:val="008B049C"/>
    <w:rsid w:val="008B04A2"/>
    <w:rsid w:val="008B05EF"/>
    <w:rsid w:val="008B06EC"/>
    <w:rsid w:val="008B078D"/>
    <w:rsid w:val="008B07E3"/>
    <w:rsid w:val="008B097F"/>
    <w:rsid w:val="008B0A71"/>
    <w:rsid w:val="008B0D8D"/>
    <w:rsid w:val="008B1034"/>
    <w:rsid w:val="008B1090"/>
    <w:rsid w:val="008B1168"/>
    <w:rsid w:val="008B1506"/>
    <w:rsid w:val="008B1621"/>
    <w:rsid w:val="008B1DA6"/>
    <w:rsid w:val="008B1DBE"/>
    <w:rsid w:val="008B211F"/>
    <w:rsid w:val="008B253C"/>
    <w:rsid w:val="008B276A"/>
    <w:rsid w:val="008B296C"/>
    <w:rsid w:val="008B29E4"/>
    <w:rsid w:val="008B2BD0"/>
    <w:rsid w:val="008B2C36"/>
    <w:rsid w:val="008B2F36"/>
    <w:rsid w:val="008B3301"/>
    <w:rsid w:val="008B3449"/>
    <w:rsid w:val="008B355F"/>
    <w:rsid w:val="008B3A9E"/>
    <w:rsid w:val="008B3AF4"/>
    <w:rsid w:val="008B3C56"/>
    <w:rsid w:val="008B3DA6"/>
    <w:rsid w:val="008B3DCD"/>
    <w:rsid w:val="008B3DEA"/>
    <w:rsid w:val="008B3E72"/>
    <w:rsid w:val="008B40D9"/>
    <w:rsid w:val="008B4140"/>
    <w:rsid w:val="008B418A"/>
    <w:rsid w:val="008B41BA"/>
    <w:rsid w:val="008B4398"/>
    <w:rsid w:val="008B43A9"/>
    <w:rsid w:val="008B43E1"/>
    <w:rsid w:val="008B449C"/>
    <w:rsid w:val="008B477E"/>
    <w:rsid w:val="008B484E"/>
    <w:rsid w:val="008B48AB"/>
    <w:rsid w:val="008B48B6"/>
    <w:rsid w:val="008B4B56"/>
    <w:rsid w:val="008B4C94"/>
    <w:rsid w:val="008B4D6E"/>
    <w:rsid w:val="008B4D8C"/>
    <w:rsid w:val="008B4E4F"/>
    <w:rsid w:val="008B4EFA"/>
    <w:rsid w:val="008B518D"/>
    <w:rsid w:val="008B51AF"/>
    <w:rsid w:val="008B5224"/>
    <w:rsid w:val="008B5323"/>
    <w:rsid w:val="008B55A6"/>
    <w:rsid w:val="008B55B1"/>
    <w:rsid w:val="008B55BE"/>
    <w:rsid w:val="008B561F"/>
    <w:rsid w:val="008B5644"/>
    <w:rsid w:val="008B56F9"/>
    <w:rsid w:val="008B5755"/>
    <w:rsid w:val="008B5763"/>
    <w:rsid w:val="008B583A"/>
    <w:rsid w:val="008B5965"/>
    <w:rsid w:val="008B599A"/>
    <w:rsid w:val="008B5A93"/>
    <w:rsid w:val="008B5FF5"/>
    <w:rsid w:val="008B613E"/>
    <w:rsid w:val="008B6839"/>
    <w:rsid w:val="008B699B"/>
    <w:rsid w:val="008B6B73"/>
    <w:rsid w:val="008B6F26"/>
    <w:rsid w:val="008B7005"/>
    <w:rsid w:val="008B735E"/>
    <w:rsid w:val="008B74C3"/>
    <w:rsid w:val="008B768C"/>
    <w:rsid w:val="008B7735"/>
    <w:rsid w:val="008B7905"/>
    <w:rsid w:val="008B7996"/>
    <w:rsid w:val="008B79FF"/>
    <w:rsid w:val="008B7A0C"/>
    <w:rsid w:val="008B7BF0"/>
    <w:rsid w:val="008B7CA3"/>
    <w:rsid w:val="008B7D6C"/>
    <w:rsid w:val="008C0033"/>
    <w:rsid w:val="008C0226"/>
    <w:rsid w:val="008C04D7"/>
    <w:rsid w:val="008C0600"/>
    <w:rsid w:val="008C065B"/>
    <w:rsid w:val="008C09B7"/>
    <w:rsid w:val="008C0CED"/>
    <w:rsid w:val="008C0D2B"/>
    <w:rsid w:val="008C0DA3"/>
    <w:rsid w:val="008C0F40"/>
    <w:rsid w:val="008C0F6E"/>
    <w:rsid w:val="008C0FD6"/>
    <w:rsid w:val="008C1081"/>
    <w:rsid w:val="008C10D6"/>
    <w:rsid w:val="008C132E"/>
    <w:rsid w:val="008C148E"/>
    <w:rsid w:val="008C14D0"/>
    <w:rsid w:val="008C1847"/>
    <w:rsid w:val="008C1A92"/>
    <w:rsid w:val="008C1AA0"/>
    <w:rsid w:val="008C1B2E"/>
    <w:rsid w:val="008C1C26"/>
    <w:rsid w:val="008C1C2C"/>
    <w:rsid w:val="008C1E04"/>
    <w:rsid w:val="008C1FFA"/>
    <w:rsid w:val="008C201C"/>
    <w:rsid w:val="008C2075"/>
    <w:rsid w:val="008C2101"/>
    <w:rsid w:val="008C22DD"/>
    <w:rsid w:val="008C245A"/>
    <w:rsid w:val="008C2531"/>
    <w:rsid w:val="008C254D"/>
    <w:rsid w:val="008C2652"/>
    <w:rsid w:val="008C2909"/>
    <w:rsid w:val="008C2A7F"/>
    <w:rsid w:val="008C2B35"/>
    <w:rsid w:val="008C2DD6"/>
    <w:rsid w:val="008C3048"/>
    <w:rsid w:val="008C3071"/>
    <w:rsid w:val="008C337F"/>
    <w:rsid w:val="008C34BF"/>
    <w:rsid w:val="008C36DA"/>
    <w:rsid w:val="008C38A9"/>
    <w:rsid w:val="008C3B30"/>
    <w:rsid w:val="008C3D8B"/>
    <w:rsid w:val="008C3DC2"/>
    <w:rsid w:val="008C3E2E"/>
    <w:rsid w:val="008C3E69"/>
    <w:rsid w:val="008C40E4"/>
    <w:rsid w:val="008C4185"/>
    <w:rsid w:val="008C41EF"/>
    <w:rsid w:val="008C4244"/>
    <w:rsid w:val="008C42C6"/>
    <w:rsid w:val="008C4434"/>
    <w:rsid w:val="008C44BD"/>
    <w:rsid w:val="008C46A6"/>
    <w:rsid w:val="008C46DD"/>
    <w:rsid w:val="008C47C3"/>
    <w:rsid w:val="008C4805"/>
    <w:rsid w:val="008C48B7"/>
    <w:rsid w:val="008C49E0"/>
    <w:rsid w:val="008C5394"/>
    <w:rsid w:val="008C53C4"/>
    <w:rsid w:val="008C548D"/>
    <w:rsid w:val="008C54EB"/>
    <w:rsid w:val="008C56F5"/>
    <w:rsid w:val="008C5E17"/>
    <w:rsid w:val="008C5EBA"/>
    <w:rsid w:val="008C64C9"/>
    <w:rsid w:val="008C6549"/>
    <w:rsid w:val="008C65C6"/>
    <w:rsid w:val="008C6601"/>
    <w:rsid w:val="008C66A1"/>
    <w:rsid w:val="008C6ACE"/>
    <w:rsid w:val="008C7326"/>
    <w:rsid w:val="008C74DA"/>
    <w:rsid w:val="008C754B"/>
    <w:rsid w:val="008C758E"/>
    <w:rsid w:val="008C769D"/>
    <w:rsid w:val="008C76CA"/>
    <w:rsid w:val="008C7847"/>
    <w:rsid w:val="008C79CF"/>
    <w:rsid w:val="008C7B4C"/>
    <w:rsid w:val="008D00E0"/>
    <w:rsid w:val="008D010C"/>
    <w:rsid w:val="008D015A"/>
    <w:rsid w:val="008D03BC"/>
    <w:rsid w:val="008D065B"/>
    <w:rsid w:val="008D06A5"/>
    <w:rsid w:val="008D097C"/>
    <w:rsid w:val="008D09A7"/>
    <w:rsid w:val="008D0B11"/>
    <w:rsid w:val="008D0C02"/>
    <w:rsid w:val="008D0CDE"/>
    <w:rsid w:val="008D0D48"/>
    <w:rsid w:val="008D0F6B"/>
    <w:rsid w:val="008D0FBB"/>
    <w:rsid w:val="008D1085"/>
    <w:rsid w:val="008D10AB"/>
    <w:rsid w:val="008D10C2"/>
    <w:rsid w:val="008D111A"/>
    <w:rsid w:val="008D12DC"/>
    <w:rsid w:val="008D14C1"/>
    <w:rsid w:val="008D156C"/>
    <w:rsid w:val="008D16F7"/>
    <w:rsid w:val="008D1813"/>
    <w:rsid w:val="008D189B"/>
    <w:rsid w:val="008D1A08"/>
    <w:rsid w:val="008D1C26"/>
    <w:rsid w:val="008D1D00"/>
    <w:rsid w:val="008D1E95"/>
    <w:rsid w:val="008D1F3A"/>
    <w:rsid w:val="008D1F71"/>
    <w:rsid w:val="008D1FFD"/>
    <w:rsid w:val="008D241B"/>
    <w:rsid w:val="008D2493"/>
    <w:rsid w:val="008D2A97"/>
    <w:rsid w:val="008D2D37"/>
    <w:rsid w:val="008D2D95"/>
    <w:rsid w:val="008D2DD2"/>
    <w:rsid w:val="008D2DEE"/>
    <w:rsid w:val="008D30EA"/>
    <w:rsid w:val="008D3119"/>
    <w:rsid w:val="008D3220"/>
    <w:rsid w:val="008D35DC"/>
    <w:rsid w:val="008D367C"/>
    <w:rsid w:val="008D36C7"/>
    <w:rsid w:val="008D376F"/>
    <w:rsid w:val="008D380B"/>
    <w:rsid w:val="008D38E9"/>
    <w:rsid w:val="008D3A56"/>
    <w:rsid w:val="008D3C34"/>
    <w:rsid w:val="008D3CF3"/>
    <w:rsid w:val="008D3E43"/>
    <w:rsid w:val="008D3E80"/>
    <w:rsid w:val="008D3F29"/>
    <w:rsid w:val="008D3F61"/>
    <w:rsid w:val="008D402E"/>
    <w:rsid w:val="008D4193"/>
    <w:rsid w:val="008D4230"/>
    <w:rsid w:val="008D42A6"/>
    <w:rsid w:val="008D4322"/>
    <w:rsid w:val="008D439A"/>
    <w:rsid w:val="008D45E7"/>
    <w:rsid w:val="008D4A2C"/>
    <w:rsid w:val="008D4A87"/>
    <w:rsid w:val="008D4B7A"/>
    <w:rsid w:val="008D4CE1"/>
    <w:rsid w:val="008D4DC7"/>
    <w:rsid w:val="008D4F37"/>
    <w:rsid w:val="008D4FAE"/>
    <w:rsid w:val="008D4FD8"/>
    <w:rsid w:val="008D5079"/>
    <w:rsid w:val="008D5142"/>
    <w:rsid w:val="008D5269"/>
    <w:rsid w:val="008D52DC"/>
    <w:rsid w:val="008D53AA"/>
    <w:rsid w:val="008D5595"/>
    <w:rsid w:val="008D57AE"/>
    <w:rsid w:val="008D5A3E"/>
    <w:rsid w:val="008D5D75"/>
    <w:rsid w:val="008D5DF5"/>
    <w:rsid w:val="008D5E11"/>
    <w:rsid w:val="008D5E49"/>
    <w:rsid w:val="008D6050"/>
    <w:rsid w:val="008D608E"/>
    <w:rsid w:val="008D6277"/>
    <w:rsid w:val="008D6294"/>
    <w:rsid w:val="008D6373"/>
    <w:rsid w:val="008D64F8"/>
    <w:rsid w:val="008D65FE"/>
    <w:rsid w:val="008D660F"/>
    <w:rsid w:val="008D6AF2"/>
    <w:rsid w:val="008D6B61"/>
    <w:rsid w:val="008D6B63"/>
    <w:rsid w:val="008D6BFA"/>
    <w:rsid w:val="008D6D2E"/>
    <w:rsid w:val="008D6D5C"/>
    <w:rsid w:val="008D716A"/>
    <w:rsid w:val="008D7380"/>
    <w:rsid w:val="008D745F"/>
    <w:rsid w:val="008D7725"/>
    <w:rsid w:val="008D7855"/>
    <w:rsid w:val="008D7938"/>
    <w:rsid w:val="008D7A2C"/>
    <w:rsid w:val="008D7BC7"/>
    <w:rsid w:val="008D7C89"/>
    <w:rsid w:val="008D7D14"/>
    <w:rsid w:val="008D7D1C"/>
    <w:rsid w:val="008D7F02"/>
    <w:rsid w:val="008E01CC"/>
    <w:rsid w:val="008E053B"/>
    <w:rsid w:val="008E0623"/>
    <w:rsid w:val="008E0717"/>
    <w:rsid w:val="008E086D"/>
    <w:rsid w:val="008E0ABF"/>
    <w:rsid w:val="008E0E4A"/>
    <w:rsid w:val="008E1427"/>
    <w:rsid w:val="008E1637"/>
    <w:rsid w:val="008E1691"/>
    <w:rsid w:val="008E16B1"/>
    <w:rsid w:val="008E1826"/>
    <w:rsid w:val="008E1890"/>
    <w:rsid w:val="008E1945"/>
    <w:rsid w:val="008E1978"/>
    <w:rsid w:val="008E198B"/>
    <w:rsid w:val="008E1C01"/>
    <w:rsid w:val="008E1E12"/>
    <w:rsid w:val="008E1E5D"/>
    <w:rsid w:val="008E1F34"/>
    <w:rsid w:val="008E1F9A"/>
    <w:rsid w:val="008E2060"/>
    <w:rsid w:val="008E239B"/>
    <w:rsid w:val="008E2420"/>
    <w:rsid w:val="008E25B7"/>
    <w:rsid w:val="008E262F"/>
    <w:rsid w:val="008E27FA"/>
    <w:rsid w:val="008E2A16"/>
    <w:rsid w:val="008E2ABA"/>
    <w:rsid w:val="008E2D3E"/>
    <w:rsid w:val="008E2D92"/>
    <w:rsid w:val="008E2F96"/>
    <w:rsid w:val="008E30CE"/>
    <w:rsid w:val="008E31A8"/>
    <w:rsid w:val="008E325E"/>
    <w:rsid w:val="008E32BB"/>
    <w:rsid w:val="008E3398"/>
    <w:rsid w:val="008E35CF"/>
    <w:rsid w:val="008E3732"/>
    <w:rsid w:val="008E3816"/>
    <w:rsid w:val="008E394D"/>
    <w:rsid w:val="008E39BE"/>
    <w:rsid w:val="008E3B2A"/>
    <w:rsid w:val="008E3C90"/>
    <w:rsid w:val="008E402A"/>
    <w:rsid w:val="008E436F"/>
    <w:rsid w:val="008E4450"/>
    <w:rsid w:val="008E476C"/>
    <w:rsid w:val="008E4786"/>
    <w:rsid w:val="008E4859"/>
    <w:rsid w:val="008E48F2"/>
    <w:rsid w:val="008E4974"/>
    <w:rsid w:val="008E497A"/>
    <w:rsid w:val="008E4A82"/>
    <w:rsid w:val="008E4C6B"/>
    <w:rsid w:val="008E4CB9"/>
    <w:rsid w:val="008E5117"/>
    <w:rsid w:val="008E5265"/>
    <w:rsid w:val="008E526D"/>
    <w:rsid w:val="008E52A5"/>
    <w:rsid w:val="008E5456"/>
    <w:rsid w:val="008E54E7"/>
    <w:rsid w:val="008E559A"/>
    <w:rsid w:val="008E583B"/>
    <w:rsid w:val="008E6097"/>
    <w:rsid w:val="008E6158"/>
    <w:rsid w:val="008E6385"/>
    <w:rsid w:val="008E660A"/>
    <w:rsid w:val="008E6791"/>
    <w:rsid w:val="008E707D"/>
    <w:rsid w:val="008E7113"/>
    <w:rsid w:val="008E77A5"/>
    <w:rsid w:val="008E79F6"/>
    <w:rsid w:val="008E7B14"/>
    <w:rsid w:val="008E7BFC"/>
    <w:rsid w:val="008E7C8A"/>
    <w:rsid w:val="008E7D6A"/>
    <w:rsid w:val="008E7DD9"/>
    <w:rsid w:val="008E7E4C"/>
    <w:rsid w:val="008E7F79"/>
    <w:rsid w:val="008F0054"/>
    <w:rsid w:val="008F0076"/>
    <w:rsid w:val="008F037E"/>
    <w:rsid w:val="008F067B"/>
    <w:rsid w:val="008F07DA"/>
    <w:rsid w:val="008F0AD4"/>
    <w:rsid w:val="008F102A"/>
    <w:rsid w:val="008F127A"/>
    <w:rsid w:val="008F127E"/>
    <w:rsid w:val="008F1372"/>
    <w:rsid w:val="008F1427"/>
    <w:rsid w:val="008F15DB"/>
    <w:rsid w:val="008F1786"/>
    <w:rsid w:val="008F198A"/>
    <w:rsid w:val="008F1A0A"/>
    <w:rsid w:val="008F1A25"/>
    <w:rsid w:val="008F1ACF"/>
    <w:rsid w:val="008F1D2F"/>
    <w:rsid w:val="008F1EAA"/>
    <w:rsid w:val="008F1EB0"/>
    <w:rsid w:val="008F1FCD"/>
    <w:rsid w:val="008F26C4"/>
    <w:rsid w:val="008F2838"/>
    <w:rsid w:val="008F28A5"/>
    <w:rsid w:val="008F29D6"/>
    <w:rsid w:val="008F29DB"/>
    <w:rsid w:val="008F2BFC"/>
    <w:rsid w:val="008F2D75"/>
    <w:rsid w:val="008F2F86"/>
    <w:rsid w:val="008F2F9E"/>
    <w:rsid w:val="008F30C1"/>
    <w:rsid w:val="008F3277"/>
    <w:rsid w:val="008F351E"/>
    <w:rsid w:val="008F35DF"/>
    <w:rsid w:val="008F3610"/>
    <w:rsid w:val="008F3788"/>
    <w:rsid w:val="008F37F6"/>
    <w:rsid w:val="008F3866"/>
    <w:rsid w:val="008F3AEF"/>
    <w:rsid w:val="008F3C2D"/>
    <w:rsid w:val="008F3CCB"/>
    <w:rsid w:val="008F401F"/>
    <w:rsid w:val="008F42CD"/>
    <w:rsid w:val="008F443A"/>
    <w:rsid w:val="008F449C"/>
    <w:rsid w:val="008F457E"/>
    <w:rsid w:val="008F4633"/>
    <w:rsid w:val="008F4917"/>
    <w:rsid w:val="008F4A87"/>
    <w:rsid w:val="008F4C1B"/>
    <w:rsid w:val="008F522C"/>
    <w:rsid w:val="008F52AF"/>
    <w:rsid w:val="008F549F"/>
    <w:rsid w:val="008F5587"/>
    <w:rsid w:val="008F569C"/>
    <w:rsid w:val="008F57E2"/>
    <w:rsid w:val="008F5862"/>
    <w:rsid w:val="008F5B10"/>
    <w:rsid w:val="008F5BEF"/>
    <w:rsid w:val="008F5C2A"/>
    <w:rsid w:val="008F5C37"/>
    <w:rsid w:val="008F5D15"/>
    <w:rsid w:val="008F5F30"/>
    <w:rsid w:val="008F5FEB"/>
    <w:rsid w:val="008F6066"/>
    <w:rsid w:val="008F60EB"/>
    <w:rsid w:val="008F6249"/>
    <w:rsid w:val="008F63BC"/>
    <w:rsid w:val="008F63D3"/>
    <w:rsid w:val="008F6457"/>
    <w:rsid w:val="008F65C8"/>
    <w:rsid w:val="008F6634"/>
    <w:rsid w:val="008F67BB"/>
    <w:rsid w:val="008F6859"/>
    <w:rsid w:val="008F6A3E"/>
    <w:rsid w:val="008F6BBC"/>
    <w:rsid w:val="008F6BF6"/>
    <w:rsid w:val="008F6C4E"/>
    <w:rsid w:val="008F6C4F"/>
    <w:rsid w:val="008F6F3F"/>
    <w:rsid w:val="008F728E"/>
    <w:rsid w:val="008F7369"/>
    <w:rsid w:val="008F7730"/>
    <w:rsid w:val="008F77BC"/>
    <w:rsid w:val="008F79CF"/>
    <w:rsid w:val="008F7C5D"/>
    <w:rsid w:val="008F7D17"/>
    <w:rsid w:val="008F7D84"/>
    <w:rsid w:val="008F7EF1"/>
    <w:rsid w:val="008F7F9F"/>
    <w:rsid w:val="00900109"/>
    <w:rsid w:val="009001B3"/>
    <w:rsid w:val="009002BE"/>
    <w:rsid w:val="009002DF"/>
    <w:rsid w:val="00900317"/>
    <w:rsid w:val="00900377"/>
    <w:rsid w:val="00900464"/>
    <w:rsid w:val="009004EB"/>
    <w:rsid w:val="0090071C"/>
    <w:rsid w:val="009007A4"/>
    <w:rsid w:val="0090087E"/>
    <w:rsid w:val="00900946"/>
    <w:rsid w:val="00900996"/>
    <w:rsid w:val="00900A39"/>
    <w:rsid w:val="00900C5A"/>
    <w:rsid w:val="00900C8C"/>
    <w:rsid w:val="00900DD5"/>
    <w:rsid w:val="00900DEE"/>
    <w:rsid w:val="009012C4"/>
    <w:rsid w:val="009015F3"/>
    <w:rsid w:val="0090163A"/>
    <w:rsid w:val="00901659"/>
    <w:rsid w:val="0090184B"/>
    <w:rsid w:val="00901966"/>
    <w:rsid w:val="00901B9E"/>
    <w:rsid w:val="0090202C"/>
    <w:rsid w:val="00902102"/>
    <w:rsid w:val="009021CC"/>
    <w:rsid w:val="009024E7"/>
    <w:rsid w:val="00902878"/>
    <w:rsid w:val="00902CB7"/>
    <w:rsid w:val="00902D22"/>
    <w:rsid w:val="00902D82"/>
    <w:rsid w:val="00902D91"/>
    <w:rsid w:val="00902E81"/>
    <w:rsid w:val="00902F30"/>
    <w:rsid w:val="0090311A"/>
    <w:rsid w:val="0090313C"/>
    <w:rsid w:val="00903213"/>
    <w:rsid w:val="00903274"/>
    <w:rsid w:val="00903410"/>
    <w:rsid w:val="0090356B"/>
    <w:rsid w:val="0090367F"/>
    <w:rsid w:val="00903703"/>
    <w:rsid w:val="009037FA"/>
    <w:rsid w:val="0090382D"/>
    <w:rsid w:val="009039AA"/>
    <w:rsid w:val="009039C0"/>
    <w:rsid w:val="009039C1"/>
    <w:rsid w:val="00903BD7"/>
    <w:rsid w:val="00903FB5"/>
    <w:rsid w:val="00904004"/>
    <w:rsid w:val="009040F0"/>
    <w:rsid w:val="0090420F"/>
    <w:rsid w:val="00904640"/>
    <w:rsid w:val="0090477D"/>
    <w:rsid w:val="009047F1"/>
    <w:rsid w:val="00904A86"/>
    <w:rsid w:val="00904A90"/>
    <w:rsid w:val="00904C5A"/>
    <w:rsid w:val="00904C8B"/>
    <w:rsid w:val="0090503C"/>
    <w:rsid w:val="0090515C"/>
    <w:rsid w:val="0090542C"/>
    <w:rsid w:val="009056DA"/>
    <w:rsid w:val="009056FE"/>
    <w:rsid w:val="009058A6"/>
    <w:rsid w:val="00905BBD"/>
    <w:rsid w:val="00905DA9"/>
    <w:rsid w:val="00905DC2"/>
    <w:rsid w:val="00906219"/>
    <w:rsid w:val="0090628C"/>
    <w:rsid w:val="00906352"/>
    <w:rsid w:val="00906502"/>
    <w:rsid w:val="00906BFC"/>
    <w:rsid w:val="00906DC6"/>
    <w:rsid w:val="00906F1C"/>
    <w:rsid w:val="009072C9"/>
    <w:rsid w:val="009072FC"/>
    <w:rsid w:val="00907679"/>
    <w:rsid w:val="009077FD"/>
    <w:rsid w:val="00907CC5"/>
    <w:rsid w:val="00907DCD"/>
    <w:rsid w:val="009100DE"/>
    <w:rsid w:val="009100E7"/>
    <w:rsid w:val="0091063F"/>
    <w:rsid w:val="00910942"/>
    <w:rsid w:val="00910A44"/>
    <w:rsid w:val="00910CCF"/>
    <w:rsid w:val="00910DE0"/>
    <w:rsid w:val="00911118"/>
    <w:rsid w:val="00911276"/>
    <w:rsid w:val="009115C4"/>
    <w:rsid w:val="00911719"/>
    <w:rsid w:val="009117C5"/>
    <w:rsid w:val="009117C7"/>
    <w:rsid w:val="0091187C"/>
    <w:rsid w:val="009119AC"/>
    <w:rsid w:val="00911A13"/>
    <w:rsid w:val="00911AC6"/>
    <w:rsid w:val="00911C8B"/>
    <w:rsid w:val="00911D6A"/>
    <w:rsid w:val="00911F41"/>
    <w:rsid w:val="00912103"/>
    <w:rsid w:val="00912138"/>
    <w:rsid w:val="00912D09"/>
    <w:rsid w:val="00912F20"/>
    <w:rsid w:val="00912F41"/>
    <w:rsid w:val="009131AB"/>
    <w:rsid w:val="009133E3"/>
    <w:rsid w:val="00913595"/>
    <w:rsid w:val="009136D0"/>
    <w:rsid w:val="00913708"/>
    <w:rsid w:val="009138F5"/>
    <w:rsid w:val="00913B77"/>
    <w:rsid w:val="0091409D"/>
    <w:rsid w:val="009141B2"/>
    <w:rsid w:val="00914211"/>
    <w:rsid w:val="009143A0"/>
    <w:rsid w:val="0091452A"/>
    <w:rsid w:val="00914555"/>
    <w:rsid w:val="00914601"/>
    <w:rsid w:val="00914852"/>
    <w:rsid w:val="009148C7"/>
    <w:rsid w:val="009149C3"/>
    <w:rsid w:val="00914AD4"/>
    <w:rsid w:val="00914D12"/>
    <w:rsid w:val="00914E80"/>
    <w:rsid w:val="00914F26"/>
    <w:rsid w:val="00915001"/>
    <w:rsid w:val="009150C3"/>
    <w:rsid w:val="009153AD"/>
    <w:rsid w:val="00915534"/>
    <w:rsid w:val="00915A8B"/>
    <w:rsid w:val="00916089"/>
    <w:rsid w:val="00916195"/>
    <w:rsid w:val="009162B3"/>
    <w:rsid w:val="009162F7"/>
    <w:rsid w:val="00916335"/>
    <w:rsid w:val="00916421"/>
    <w:rsid w:val="009164A6"/>
    <w:rsid w:val="009164C1"/>
    <w:rsid w:val="0091656D"/>
    <w:rsid w:val="0091676F"/>
    <w:rsid w:val="009167C1"/>
    <w:rsid w:val="00916ADB"/>
    <w:rsid w:val="00916B0D"/>
    <w:rsid w:val="00916EC8"/>
    <w:rsid w:val="00917045"/>
    <w:rsid w:val="009172AD"/>
    <w:rsid w:val="0091745C"/>
    <w:rsid w:val="00917696"/>
    <w:rsid w:val="00917845"/>
    <w:rsid w:val="00917BAA"/>
    <w:rsid w:val="00917C5D"/>
    <w:rsid w:val="00917F51"/>
    <w:rsid w:val="00920074"/>
    <w:rsid w:val="009200F9"/>
    <w:rsid w:val="00920202"/>
    <w:rsid w:val="0092030A"/>
    <w:rsid w:val="009203A6"/>
    <w:rsid w:val="009203D2"/>
    <w:rsid w:val="0092047D"/>
    <w:rsid w:val="00920603"/>
    <w:rsid w:val="00920B2B"/>
    <w:rsid w:val="00920FA1"/>
    <w:rsid w:val="0092106F"/>
    <w:rsid w:val="00921327"/>
    <w:rsid w:val="00921801"/>
    <w:rsid w:val="009219B0"/>
    <w:rsid w:val="00921D01"/>
    <w:rsid w:val="00921D24"/>
    <w:rsid w:val="00921DF0"/>
    <w:rsid w:val="0092201A"/>
    <w:rsid w:val="0092220E"/>
    <w:rsid w:val="009224BC"/>
    <w:rsid w:val="009226F5"/>
    <w:rsid w:val="00922865"/>
    <w:rsid w:val="00922A20"/>
    <w:rsid w:val="00922D54"/>
    <w:rsid w:val="00922F56"/>
    <w:rsid w:val="009233E3"/>
    <w:rsid w:val="00923425"/>
    <w:rsid w:val="00923741"/>
    <w:rsid w:val="00923780"/>
    <w:rsid w:val="00923918"/>
    <w:rsid w:val="00923CAB"/>
    <w:rsid w:val="00923CC3"/>
    <w:rsid w:val="00923EFA"/>
    <w:rsid w:val="00923F09"/>
    <w:rsid w:val="00923FF8"/>
    <w:rsid w:val="00924237"/>
    <w:rsid w:val="009242F3"/>
    <w:rsid w:val="00924520"/>
    <w:rsid w:val="009246F0"/>
    <w:rsid w:val="00924743"/>
    <w:rsid w:val="009247BA"/>
    <w:rsid w:val="009247D0"/>
    <w:rsid w:val="00924820"/>
    <w:rsid w:val="0092491C"/>
    <w:rsid w:val="00924925"/>
    <w:rsid w:val="00924C45"/>
    <w:rsid w:val="00924D22"/>
    <w:rsid w:val="00924D80"/>
    <w:rsid w:val="00924E1E"/>
    <w:rsid w:val="00924E53"/>
    <w:rsid w:val="00925159"/>
    <w:rsid w:val="00925225"/>
    <w:rsid w:val="009252D2"/>
    <w:rsid w:val="009252E3"/>
    <w:rsid w:val="00925312"/>
    <w:rsid w:val="009253A7"/>
    <w:rsid w:val="00925442"/>
    <w:rsid w:val="00925827"/>
    <w:rsid w:val="00925968"/>
    <w:rsid w:val="00925995"/>
    <w:rsid w:val="00925E13"/>
    <w:rsid w:val="00925EE7"/>
    <w:rsid w:val="009260AC"/>
    <w:rsid w:val="009261A0"/>
    <w:rsid w:val="009267D8"/>
    <w:rsid w:val="009269F6"/>
    <w:rsid w:val="00926BE8"/>
    <w:rsid w:val="00926C4D"/>
    <w:rsid w:val="00926C68"/>
    <w:rsid w:val="00926C7E"/>
    <w:rsid w:val="00926CF1"/>
    <w:rsid w:val="00926D4D"/>
    <w:rsid w:val="00926D70"/>
    <w:rsid w:val="00926E0E"/>
    <w:rsid w:val="00926F00"/>
    <w:rsid w:val="00926FB4"/>
    <w:rsid w:val="009270BA"/>
    <w:rsid w:val="0092714E"/>
    <w:rsid w:val="009277FC"/>
    <w:rsid w:val="00927CD7"/>
    <w:rsid w:val="00927FC7"/>
    <w:rsid w:val="0093042A"/>
    <w:rsid w:val="00930774"/>
    <w:rsid w:val="009308B1"/>
    <w:rsid w:val="009309D4"/>
    <w:rsid w:val="00930A4D"/>
    <w:rsid w:val="00930B9B"/>
    <w:rsid w:val="00930D67"/>
    <w:rsid w:val="00930E02"/>
    <w:rsid w:val="0093101A"/>
    <w:rsid w:val="00931177"/>
    <w:rsid w:val="0093146C"/>
    <w:rsid w:val="00931522"/>
    <w:rsid w:val="009317EA"/>
    <w:rsid w:val="009318A2"/>
    <w:rsid w:val="00931992"/>
    <w:rsid w:val="00931A96"/>
    <w:rsid w:val="00931B41"/>
    <w:rsid w:val="00931BA6"/>
    <w:rsid w:val="00931BEC"/>
    <w:rsid w:val="00931F31"/>
    <w:rsid w:val="00931F8B"/>
    <w:rsid w:val="009324C4"/>
    <w:rsid w:val="009324E3"/>
    <w:rsid w:val="0093268E"/>
    <w:rsid w:val="00932852"/>
    <w:rsid w:val="00932903"/>
    <w:rsid w:val="00932A89"/>
    <w:rsid w:val="00932AB9"/>
    <w:rsid w:val="00932AC3"/>
    <w:rsid w:val="00932B59"/>
    <w:rsid w:val="00932B76"/>
    <w:rsid w:val="00932D25"/>
    <w:rsid w:val="00932D4F"/>
    <w:rsid w:val="00933354"/>
    <w:rsid w:val="009334E3"/>
    <w:rsid w:val="00933830"/>
    <w:rsid w:val="00933846"/>
    <w:rsid w:val="009338C0"/>
    <w:rsid w:val="00933A68"/>
    <w:rsid w:val="00933E9D"/>
    <w:rsid w:val="00933EC9"/>
    <w:rsid w:val="00934146"/>
    <w:rsid w:val="0093416E"/>
    <w:rsid w:val="009344D0"/>
    <w:rsid w:val="009349A3"/>
    <w:rsid w:val="00934A7E"/>
    <w:rsid w:val="00934BAC"/>
    <w:rsid w:val="00934DCF"/>
    <w:rsid w:val="00934E6C"/>
    <w:rsid w:val="009351CD"/>
    <w:rsid w:val="009351CE"/>
    <w:rsid w:val="009352CD"/>
    <w:rsid w:val="0093560D"/>
    <w:rsid w:val="009357DF"/>
    <w:rsid w:val="00935B44"/>
    <w:rsid w:val="00935CAC"/>
    <w:rsid w:val="00935DFF"/>
    <w:rsid w:val="00935F6C"/>
    <w:rsid w:val="0093640A"/>
    <w:rsid w:val="00936722"/>
    <w:rsid w:val="009367A4"/>
    <w:rsid w:val="00936902"/>
    <w:rsid w:val="00936D49"/>
    <w:rsid w:val="00936DFC"/>
    <w:rsid w:val="00936E0F"/>
    <w:rsid w:val="00936EDB"/>
    <w:rsid w:val="00936F79"/>
    <w:rsid w:val="009371A6"/>
    <w:rsid w:val="009372BD"/>
    <w:rsid w:val="00937343"/>
    <w:rsid w:val="00937723"/>
    <w:rsid w:val="00937AB5"/>
    <w:rsid w:val="00937B18"/>
    <w:rsid w:val="00937B41"/>
    <w:rsid w:val="00937C2E"/>
    <w:rsid w:val="00937CD9"/>
    <w:rsid w:val="00937F7F"/>
    <w:rsid w:val="009401D8"/>
    <w:rsid w:val="00940449"/>
    <w:rsid w:val="0094048B"/>
    <w:rsid w:val="009404A1"/>
    <w:rsid w:val="009404B1"/>
    <w:rsid w:val="0094053C"/>
    <w:rsid w:val="00940677"/>
    <w:rsid w:val="00940928"/>
    <w:rsid w:val="00940C61"/>
    <w:rsid w:val="00940CAC"/>
    <w:rsid w:val="0094129A"/>
    <w:rsid w:val="0094141B"/>
    <w:rsid w:val="0094149B"/>
    <w:rsid w:val="009414F4"/>
    <w:rsid w:val="00941718"/>
    <w:rsid w:val="00941991"/>
    <w:rsid w:val="00941E42"/>
    <w:rsid w:val="0094218B"/>
    <w:rsid w:val="0094219F"/>
    <w:rsid w:val="00942339"/>
    <w:rsid w:val="009423EC"/>
    <w:rsid w:val="0094251E"/>
    <w:rsid w:val="00942573"/>
    <w:rsid w:val="009425A9"/>
    <w:rsid w:val="00942653"/>
    <w:rsid w:val="00942B78"/>
    <w:rsid w:val="00942DB1"/>
    <w:rsid w:val="00942F40"/>
    <w:rsid w:val="009432A0"/>
    <w:rsid w:val="009433E7"/>
    <w:rsid w:val="0094367F"/>
    <w:rsid w:val="00943E3A"/>
    <w:rsid w:val="00943FEC"/>
    <w:rsid w:val="00944048"/>
    <w:rsid w:val="009440D9"/>
    <w:rsid w:val="0094416E"/>
    <w:rsid w:val="00944417"/>
    <w:rsid w:val="00944456"/>
    <w:rsid w:val="00944481"/>
    <w:rsid w:val="00944513"/>
    <w:rsid w:val="0094453C"/>
    <w:rsid w:val="009446A2"/>
    <w:rsid w:val="009448F9"/>
    <w:rsid w:val="00944B8C"/>
    <w:rsid w:val="00945157"/>
    <w:rsid w:val="0094520A"/>
    <w:rsid w:val="0094525A"/>
    <w:rsid w:val="00945292"/>
    <w:rsid w:val="009452B2"/>
    <w:rsid w:val="0094544A"/>
    <w:rsid w:val="0094557E"/>
    <w:rsid w:val="009457B9"/>
    <w:rsid w:val="009457D4"/>
    <w:rsid w:val="00945854"/>
    <w:rsid w:val="009459E5"/>
    <w:rsid w:val="00945AEC"/>
    <w:rsid w:val="00945B2C"/>
    <w:rsid w:val="00945C4F"/>
    <w:rsid w:val="0094628C"/>
    <w:rsid w:val="0094629C"/>
    <w:rsid w:val="00946450"/>
    <w:rsid w:val="009464A2"/>
    <w:rsid w:val="009464E9"/>
    <w:rsid w:val="0094658B"/>
    <w:rsid w:val="009467C7"/>
    <w:rsid w:val="00946868"/>
    <w:rsid w:val="00946DB5"/>
    <w:rsid w:val="00946F42"/>
    <w:rsid w:val="009470AB"/>
    <w:rsid w:val="0094713E"/>
    <w:rsid w:val="00947263"/>
    <w:rsid w:val="0094739E"/>
    <w:rsid w:val="00947B8D"/>
    <w:rsid w:val="00950167"/>
    <w:rsid w:val="0095022A"/>
    <w:rsid w:val="00950570"/>
    <w:rsid w:val="00950688"/>
    <w:rsid w:val="009506C8"/>
    <w:rsid w:val="00950961"/>
    <w:rsid w:val="009509D5"/>
    <w:rsid w:val="00950B85"/>
    <w:rsid w:val="00950B8A"/>
    <w:rsid w:val="00950C3E"/>
    <w:rsid w:val="00950C69"/>
    <w:rsid w:val="00950E41"/>
    <w:rsid w:val="00951092"/>
    <w:rsid w:val="0095112A"/>
    <w:rsid w:val="0095115D"/>
    <w:rsid w:val="00951189"/>
    <w:rsid w:val="009513F0"/>
    <w:rsid w:val="0095156B"/>
    <w:rsid w:val="0095172A"/>
    <w:rsid w:val="00951893"/>
    <w:rsid w:val="00951987"/>
    <w:rsid w:val="009519FA"/>
    <w:rsid w:val="00951A7F"/>
    <w:rsid w:val="00951DF4"/>
    <w:rsid w:val="00951F76"/>
    <w:rsid w:val="00951FA3"/>
    <w:rsid w:val="00952231"/>
    <w:rsid w:val="009522A2"/>
    <w:rsid w:val="00952332"/>
    <w:rsid w:val="00952743"/>
    <w:rsid w:val="0095277F"/>
    <w:rsid w:val="009527F9"/>
    <w:rsid w:val="00952AF4"/>
    <w:rsid w:val="00952B39"/>
    <w:rsid w:val="009531B6"/>
    <w:rsid w:val="00953406"/>
    <w:rsid w:val="00953891"/>
    <w:rsid w:val="009539AB"/>
    <w:rsid w:val="00953B45"/>
    <w:rsid w:val="00953DA4"/>
    <w:rsid w:val="00953F31"/>
    <w:rsid w:val="00954205"/>
    <w:rsid w:val="00954242"/>
    <w:rsid w:val="009542EB"/>
    <w:rsid w:val="009544FD"/>
    <w:rsid w:val="0095456D"/>
    <w:rsid w:val="00954589"/>
    <w:rsid w:val="00954679"/>
    <w:rsid w:val="009547CA"/>
    <w:rsid w:val="00954843"/>
    <w:rsid w:val="00954D59"/>
    <w:rsid w:val="00954DBA"/>
    <w:rsid w:val="00954DE4"/>
    <w:rsid w:val="00954E20"/>
    <w:rsid w:val="00955413"/>
    <w:rsid w:val="009554B4"/>
    <w:rsid w:val="009554B7"/>
    <w:rsid w:val="009556D6"/>
    <w:rsid w:val="00955B3E"/>
    <w:rsid w:val="00955BF6"/>
    <w:rsid w:val="00955F7D"/>
    <w:rsid w:val="009560FD"/>
    <w:rsid w:val="009562C4"/>
    <w:rsid w:val="00956313"/>
    <w:rsid w:val="009564C6"/>
    <w:rsid w:val="00956534"/>
    <w:rsid w:val="00956777"/>
    <w:rsid w:val="009567DC"/>
    <w:rsid w:val="0095683B"/>
    <w:rsid w:val="00956985"/>
    <w:rsid w:val="00956A5F"/>
    <w:rsid w:val="00956A84"/>
    <w:rsid w:val="00956AC5"/>
    <w:rsid w:val="00956CEE"/>
    <w:rsid w:val="00956D4A"/>
    <w:rsid w:val="00956F00"/>
    <w:rsid w:val="00957347"/>
    <w:rsid w:val="00957481"/>
    <w:rsid w:val="00957482"/>
    <w:rsid w:val="00957488"/>
    <w:rsid w:val="00957548"/>
    <w:rsid w:val="00957717"/>
    <w:rsid w:val="00957980"/>
    <w:rsid w:val="00957D59"/>
    <w:rsid w:val="00957E99"/>
    <w:rsid w:val="00957F94"/>
    <w:rsid w:val="00957FA5"/>
    <w:rsid w:val="00960229"/>
    <w:rsid w:val="0096032D"/>
    <w:rsid w:val="009604E2"/>
    <w:rsid w:val="0096087E"/>
    <w:rsid w:val="009608F3"/>
    <w:rsid w:val="00960A3B"/>
    <w:rsid w:val="00960C9A"/>
    <w:rsid w:val="00960CA4"/>
    <w:rsid w:val="00960D84"/>
    <w:rsid w:val="00960DCD"/>
    <w:rsid w:val="009610A3"/>
    <w:rsid w:val="00961146"/>
    <w:rsid w:val="009611B7"/>
    <w:rsid w:val="009612B5"/>
    <w:rsid w:val="00961589"/>
    <w:rsid w:val="009617DA"/>
    <w:rsid w:val="00961B54"/>
    <w:rsid w:val="00961FCA"/>
    <w:rsid w:val="00961FE1"/>
    <w:rsid w:val="009620E4"/>
    <w:rsid w:val="009621E9"/>
    <w:rsid w:val="00962228"/>
    <w:rsid w:val="00962265"/>
    <w:rsid w:val="00962451"/>
    <w:rsid w:val="00962687"/>
    <w:rsid w:val="00962815"/>
    <w:rsid w:val="00962857"/>
    <w:rsid w:val="00962916"/>
    <w:rsid w:val="00962979"/>
    <w:rsid w:val="00962B80"/>
    <w:rsid w:val="00962B92"/>
    <w:rsid w:val="00962D1D"/>
    <w:rsid w:val="00962EC7"/>
    <w:rsid w:val="00962FCB"/>
    <w:rsid w:val="00962FDB"/>
    <w:rsid w:val="00962FF0"/>
    <w:rsid w:val="00963010"/>
    <w:rsid w:val="009632E7"/>
    <w:rsid w:val="009633E8"/>
    <w:rsid w:val="0096343A"/>
    <w:rsid w:val="009636BF"/>
    <w:rsid w:val="00963B8D"/>
    <w:rsid w:val="00963FA2"/>
    <w:rsid w:val="009641F5"/>
    <w:rsid w:val="009645D2"/>
    <w:rsid w:val="00964675"/>
    <w:rsid w:val="009647CD"/>
    <w:rsid w:val="00964912"/>
    <w:rsid w:val="00964E45"/>
    <w:rsid w:val="00964F86"/>
    <w:rsid w:val="0096502D"/>
    <w:rsid w:val="009650F2"/>
    <w:rsid w:val="00965169"/>
    <w:rsid w:val="00965189"/>
    <w:rsid w:val="00965336"/>
    <w:rsid w:val="0096543A"/>
    <w:rsid w:val="009658F3"/>
    <w:rsid w:val="009659BF"/>
    <w:rsid w:val="00965A09"/>
    <w:rsid w:val="00965BB2"/>
    <w:rsid w:val="00965C97"/>
    <w:rsid w:val="00965DAA"/>
    <w:rsid w:val="009660A8"/>
    <w:rsid w:val="00966472"/>
    <w:rsid w:val="009664E9"/>
    <w:rsid w:val="009664EC"/>
    <w:rsid w:val="00966538"/>
    <w:rsid w:val="009665C6"/>
    <w:rsid w:val="009669AB"/>
    <w:rsid w:val="00966A59"/>
    <w:rsid w:val="00966C61"/>
    <w:rsid w:val="00966CD9"/>
    <w:rsid w:val="00966D02"/>
    <w:rsid w:val="00966DE3"/>
    <w:rsid w:val="00966E24"/>
    <w:rsid w:val="00966E72"/>
    <w:rsid w:val="009676AC"/>
    <w:rsid w:val="0096772C"/>
    <w:rsid w:val="0096791F"/>
    <w:rsid w:val="0096796B"/>
    <w:rsid w:val="00967A55"/>
    <w:rsid w:val="00967BBD"/>
    <w:rsid w:val="00967F26"/>
    <w:rsid w:val="009700D4"/>
    <w:rsid w:val="0097060C"/>
    <w:rsid w:val="00970A3B"/>
    <w:rsid w:val="00970A72"/>
    <w:rsid w:val="00970A7B"/>
    <w:rsid w:val="00970A98"/>
    <w:rsid w:val="00970C9D"/>
    <w:rsid w:val="00970D5E"/>
    <w:rsid w:val="009711DC"/>
    <w:rsid w:val="009711FA"/>
    <w:rsid w:val="00971300"/>
    <w:rsid w:val="00971427"/>
    <w:rsid w:val="009716C5"/>
    <w:rsid w:val="00971750"/>
    <w:rsid w:val="00971AD5"/>
    <w:rsid w:val="00971B0C"/>
    <w:rsid w:val="00971CE5"/>
    <w:rsid w:val="00971E9C"/>
    <w:rsid w:val="00971F60"/>
    <w:rsid w:val="00972081"/>
    <w:rsid w:val="009722E9"/>
    <w:rsid w:val="00972342"/>
    <w:rsid w:val="00972503"/>
    <w:rsid w:val="009726FA"/>
    <w:rsid w:val="0097279D"/>
    <w:rsid w:val="00972B75"/>
    <w:rsid w:val="00972E97"/>
    <w:rsid w:val="00973056"/>
    <w:rsid w:val="00973155"/>
    <w:rsid w:val="0097330A"/>
    <w:rsid w:val="009735A6"/>
    <w:rsid w:val="009735F9"/>
    <w:rsid w:val="00973927"/>
    <w:rsid w:val="00973D43"/>
    <w:rsid w:val="00973D81"/>
    <w:rsid w:val="00974035"/>
    <w:rsid w:val="00974071"/>
    <w:rsid w:val="0097414D"/>
    <w:rsid w:val="00974484"/>
    <w:rsid w:val="0097454D"/>
    <w:rsid w:val="009747B8"/>
    <w:rsid w:val="00974810"/>
    <w:rsid w:val="00974860"/>
    <w:rsid w:val="00974954"/>
    <w:rsid w:val="0097495B"/>
    <w:rsid w:val="00974C53"/>
    <w:rsid w:val="00974C88"/>
    <w:rsid w:val="00974F86"/>
    <w:rsid w:val="0097513A"/>
    <w:rsid w:val="009751B4"/>
    <w:rsid w:val="009751CA"/>
    <w:rsid w:val="009753FA"/>
    <w:rsid w:val="00975428"/>
    <w:rsid w:val="009755EC"/>
    <w:rsid w:val="00975628"/>
    <w:rsid w:val="009756E6"/>
    <w:rsid w:val="009758BF"/>
    <w:rsid w:val="009758E1"/>
    <w:rsid w:val="00975A1A"/>
    <w:rsid w:val="00975AD1"/>
    <w:rsid w:val="00975D5A"/>
    <w:rsid w:val="00975EC5"/>
    <w:rsid w:val="00975FF1"/>
    <w:rsid w:val="00975FFC"/>
    <w:rsid w:val="00976108"/>
    <w:rsid w:val="00976440"/>
    <w:rsid w:val="0097654B"/>
    <w:rsid w:val="00976570"/>
    <w:rsid w:val="0097659A"/>
    <w:rsid w:val="0097688E"/>
    <w:rsid w:val="00977231"/>
    <w:rsid w:val="0097729A"/>
    <w:rsid w:val="009772BB"/>
    <w:rsid w:val="00977313"/>
    <w:rsid w:val="009773EF"/>
    <w:rsid w:val="009776C7"/>
    <w:rsid w:val="0097782E"/>
    <w:rsid w:val="009778BD"/>
    <w:rsid w:val="00977ADB"/>
    <w:rsid w:val="00977B07"/>
    <w:rsid w:val="00977B9E"/>
    <w:rsid w:val="00977BD3"/>
    <w:rsid w:val="00977DA5"/>
    <w:rsid w:val="00977DCF"/>
    <w:rsid w:val="00977E3F"/>
    <w:rsid w:val="00977EA6"/>
    <w:rsid w:val="0098014F"/>
    <w:rsid w:val="009801BD"/>
    <w:rsid w:val="009803D6"/>
    <w:rsid w:val="0098058A"/>
    <w:rsid w:val="00980885"/>
    <w:rsid w:val="009809A6"/>
    <w:rsid w:val="00980A9F"/>
    <w:rsid w:val="00980CEE"/>
    <w:rsid w:val="00980D7D"/>
    <w:rsid w:val="00980EE0"/>
    <w:rsid w:val="00980EF7"/>
    <w:rsid w:val="00981082"/>
    <w:rsid w:val="009811DC"/>
    <w:rsid w:val="00981269"/>
    <w:rsid w:val="0098138B"/>
    <w:rsid w:val="009819F7"/>
    <w:rsid w:val="00981B52"/>
    <w:rsid w:val="00981CBE"/>
    <w:rsid w:val="00981E85"/>
    <w:rsid w:val="00981F02"/>
    <w:rsid w:val="00982111"/>
    <w:rsid w:val="0098227C"/>
    <w:rsid w:val="00982326"/>
    <w:rsid w:val="00982401"/>
    <w:rsid w:val="009825D2"/>
    <w:rsid w:val="009827E0"/>
    <w:rsid w:val="00982854"/>
    <w:rsid w:val="009829A7"/>
    <w:rsid w:val="00982B77"/>
    <w:rsid w:val="00982CD1"/>
    <w:rsid w:val="0098314A"/>
    <w:rsid w:val="00983678"/>
    <w:rsid w:val="00983839"/>
    <w:rsid w:val="00983B35"/>
    <w:rsid w:val="00983C9B"/>
    <w:rsid w:val="00983E5C"/>
    <w:rsid w:val="00983E83"/>
    <w:rsid w:val="0098418D"/>
    <w:rsid w:val="00984309"/>
    <w:rsid w:val="009843D6"/>
    <w:rsid w:val="009844E1"/>
    <w:rsid w:val="00984542"/>
    <w:rsid w:val="009848FE"/>
    <w:rsid w:val="00984AD6"/>
    <w:rsid w:val="00984D36"/>
    <w:rsid w:val="00984DB7"/>
    <w:rsid w:val="00984E73"/>
    <w:rsid w:val="00984FC6"/>
    <w:rsid w:val="00985065"/>
    <w:rsid w:val="0098507C"/>
    <w:rsid w:val="0098507D"/>
    <w:rsid w:val="00985140"/>
    <w:rsid w:val="009851E2"/>
    <w:rsid w:val="0098548A"/>
    <w:rsid w:val="0098562A"/>
    <w:rsid w:val="0098592A"/>
    <w:rsid w:val="00985F8C"/>
    <w:rsid w:val="00986143"/>
    <w:rsid w:val="009861F8"/>
    <w:rsid w:val="00986241"/>
    <w:rsid w:val="0098624C"/>
    <w:rsid w:val="009862A8"/>
    <w:rsid w:val="0098694E"/>
    <w:rsid w:val="00986A01"/>
    <w:rsid w:val="00986A0C"/>
    <w:rsid w:val="00986A0D"/>
    <w:rsid w:val="00986A5F"/>
    <w:rsid w:val="00986AA9"/>
    <w:rsid w:val="00986BA2"/>
    <w:rsid w:val="00986BB0"/>
    <w:rsid w:val="00986CA1"/>
    <w:rsid w:val="00986D29"/>
    <w:rsid w:val="00987086"/>
    <w:rsid w:val="00987188"/>
    <w:rsid w:val="0098728E"/>
    <w:rsid w:val="00987350"/>
    <w:rsid w:val="009875EA"/>
    <w:rsid w:val="00987853"/>
    <w:rsid w:val="0098785D"/>
    <w:rsid w:val="00987893"/>
    <w:rsid w:val="009879F1"/>
    <w:rsid w:val="00987BA7"/>
    <w:rsid w:val="00987C15"/>
    <w:rsid w:val="00987D39"/>
    <w:rsid w:val="00987E04"/>
    <w:rsid w:val="00987F6F"/>
    <w:rsid w:val="00990174"/>
    <w:rsid w:val="009901E7"/>
    <w:rsid w:val="0099042C"/>
    <w:rsid w:val="009908C8"/>
    <w:rsid w:val="0099092F"/>
    <w:rsid w:val="00990B33"/>
    <w:rsid w:val="00990CA5"/>
    <w:rsid w:val="00990FD8"/>
    <w:rsid w:val="00990FE4"/>
    <w:rsid w:val="00991049"/>
    <w:rsid w:val="00991724"/>
    <w:rsid w:val="009917B4"/>
    <w:rsid w:val="00991EA3"/>
    <w:rsid w:val="00991EBE"/>
    <w:rsid w:val="00991EE7"/>
    <w:rsid w:val="00992142"/>
    <w:rsid w:val="009921E9"/>
    <w:rsid w:val="00992229"/>
    <w:rsid w:val="009922BB"/>
    <w:rsid w:val="00992524"/>
    <w:rsid w:val="0099254B"/>
    <w:rsid w:val="009925D8"/>
    <w:rsid w:val="00992601"/>
    <w:rsid w:val="00992615"/>
    <w:rsid w:val="0099267A"/>
    <w:rsid w:val="009926FB"/>
    <w:rsid w:val="00992860"/>
    <w:rsid w:val="009929AF"/>
    <w:rsid w:val="00992A4C"/>
    <w:rsid w:val="00992E53"/>
    <w:rsid w:val="0099324A"/>
    <w:rsid w:val="009933A3"/>
    <w:rsid w:val="009938D9"/>
    <w:rsid w:val="0099396E"/>
    <w:rsid w:val="00993EED"/>
    <w:rsid w:val="009940B0"/>
    <w:rsid w:val="00994304"/>
    <w:rsid w:val="00994549"/>
    <w:rsid w:val="00994F0E"/>
    <w:rsid w:val="009950D5"/>
    <w:rsid w:val="0099517D"/>
    <w:rsid w:val="00995459"/>
    <w:rsid w:val="00995593"/>
    <w:rsid w:val="009955F0"/>
    <w:rsid w:val="009955F6"/>
    <w:rsid w:val="00995709"/>
    <w:rsid w:val="009958A9"/>
    <w:rsid w:val="009959ED"/>
    <w:rsid w:val="00995D20"/>
    <w:rsid w:val="00995E76"/>
    <w:rsid w:val="00996032"/>
    <w:rsid w:val="0099649C"/>
    <w:rsid w:val="009964B2"/>
    <w:rsid w:val="009964CF"/>
    <w:rsid w:val="0099653E"/>
    <w:rsid w:val="009965D1"/>
    <w:rsid w:val="009965E8"/>
    <w:rsid w:val="0099663A"/>
    <w:rsid w:val="00996710"/>
    <w:rsid w:val="00996797"/>
    <w:rsid w:val="00996806"/>
    <w:rsid w:val="009968F3"/>
    <w:rsid w:val="00996A24"/>
    <w:rsid w:val="00996B52"/>
    <w:rsid w:val="00996C7E"/>
    <w:rsid w:val="00996E0F"/>
    <w:rsid w:val="00996E4F"/>
    <w:rsid w:val="00996F39"/>
    <w:rsid w:val="00997303"/>
    <w:rsid w:val="0099735D"/>
    <w:rsid w:val="0099736E"/>
    <w:rsid w:val="0099743B"/>
    <w:rsid w:val="00997BEF"/>
    <w:rsid w:val="00997C48"/>
    <w:rsid w:val="009A0132"/>
    <w:rsid w:val="009A018E"/>
    <w:rsid w:val="009A01DF"/>
    <w:rsid w:val="009A05F4"/>
    <w:rsid w:val="009A06C6"/>
    <w:rsid w:val="009A0898"/>
    <w:rsid w:val="009A092D"/>
    <w:rsid w:val="009A0983"/>
    <w:rsid w:val="009A0AA6"/>
    <w:rsid w:val="009A0AB6"/>
    <w:rsid w:val="009A10EA"/>
    <w:rsid w:val="009A11EE"/>
    <w:rsid w:val="009A13CD"/>
    <w:rsid w:val="009A13FC"/>
    <w:rsid w:val="009A1582"/>
    <w:rsid w:val="009A16AE"/>
    <w:rsid w:val="009A175D"/>
    <w:rsid w:val="009A1789"/>
    <w:rsid w:val="009A1817"/>
    <w:rsid w:val="009A1C02"/>
    <w:rsid w:val="009A1F2F"/>
    <w:rsid w:val="009A1F6C"/>
    <w:rsid w:val="009A1F83"/>
    <w:rsid w:val="009A202F"/>
    <w:rsid w:val="009A2125"/>
    <w:rsid w:val="009A229D"/>
    <w:rsid w:val="009A2329"/>
    <w:rsid w:val="009A25EA"/>
    <w:rsid w:val="009A2624"/>
    <w:rsid w:val="009A2696"/>
    <w:rsid w:val="009A313D"/>
    <w:rsid w:val="009A316A"/>
    <w:rsid w:val="009A324C"/>
    <w:rsid w:val="009A33EE"/>
    <w:rsid w:val="009A3564"/>
    <w:rsid w:val="009A35D5"/>
    <w:rsid w:val="009A3936"/>
    <w:rsid w:val="009A3C4E"/>
    <w:rsid w:val="009A3DE5"/>
    <w:rsid w:val="009A3E95"/>
    <w:rsid w:val="009A40D7"/>
    <w:rsid w:val="009A4198"/>
    <w:rsid w:val="009A43BF"/>
    <w:rsid w:val="009A4D4B"/>
    <w:rsid w:val="009A4D77"/>
    <w:rsid w:val="009A4DF3"/>
    <w:rsid w:val="009A50CF"/>
    <w:rsid w:val="009A50FD"/>
    <w:rsid w:val="009A511A"/>
    <w:rsid w:val="009A5143"/>
    <w:rsid w:val="009A51B5"/>
    <w:rsid w:val="009A522A"/>
    <w:rsid w:val="009A5384"/>
    <w:rsid w:val="009A54D9"/>
    <w:rsid w:val="009A54DC"/>
    <w:rsid w:val="009A54F1"/>
    <w:rsid w:val="009A5611"/>
    <w:rsid w:val="009A56D7"/>
    <w:rsid w:val="009A582D"/>
    <w:rsid w:val="009A5982"/>
    <w:rsid w:val="009A5E93"/>
    <w:rsid w:val="009A5EA3"/>
    <w:rsid w:val="009A5FB0"/>
    <w:rsid w:val="009A6035"/>
    <w:rsid w:val="009A6510"/>
    <w:rsid w:val="009A6A4F"/>
    <w:rsid w:val="009A6A5A"/>
    <w:rsid w:val="009A6BF2"/>
    <w:rsid w:val="009A6E48"/>
    <w:rsid w:val="009A7044"/>
    <w:rsid w:val="009A7451"/>
    <w:rsid w:val="009A7538"/>
    <w:rsid w:val="009A75BB"/>
    <w:rsid w:val="009A772A"/>
    <w:rsid w:val="009A77CE"/>
    <w:rsid w:val="009A7967"/>
    <w:rsid w:val="009A7BCA"/>
    <w:rsid w:val="009A7DD7"/>
    <w:rsid w:val="009A7FD9"/>
    <w:rsid w:val="009B02BD"/>
    <w:rsid w:val="009B0440"/>
    <w:rsid w:val="009B0588"/>
    <w:rsid w:val="009B090D"/>
    <w:rsid w:val="009B0946"/>
    <w:rsid w:val="009B0A32"/>
    <w:rsid w:val="009B0B13"/>
    <w:rsid w:val="009B0D14"/>
    <w:rsid w:val="009B10A9"/>
    <w:rsid w:val="009B1189"/>
    <w:rsid w:val="009B126B"/>
    <w:rsid w:val="009B1297"/>
    <w:rsid w:val="009B12CE"/>
    <w:rsid w:val="009B17D0"/>
    <w:rsid w:val="009B18BD"/>
    <w:rsid w:val="009B1C98"/>
    <w:rsid w:val="009B208A"/>
    <w:rsid w:val="009B21EE"/>
    <w:rsid w:val="009B22CB"/>
    <w:rsid w:val="009B23F1"/>
    <w:rsid w:val="009B24EC"/>
    <w:rsid w:val="009B2506"/>
    <w:rsid w:val="009B25B0"/>
    <w:rsid w:val="009B25FA"/>
    <w:rsid w:val="009B2689"/>
    <w:rsid w:val="009B27F7"/>
    <w:rsid w:val="009B2B26"/>
    <w:rsid w:val="009B2DC4"/>
    <w:rsid w:val="009B313F"/>
    <w:rsid w:val="009B327A"/>
    <w:rsid w:val="009B3489"/>
    <w:rsid w:val="009B3538"/>
    <w:rsid w:val="009B3774"/>
    <w:rsid w:val="009B3791"/>
    <w:rsid w:val="009B4560"/>
    <w:rsid w:val="009B471F"/>
    <w:rsid w:val="009B4732"/>
    <w:rsid w:val="009B4A32"/>
    <w:rsid w:val="009B4AD8"/>
    <w:rsid w:val="009B4D28"/>
    <w:rsid w:val="009B5097"/>
    <w:rsid w:val="009B519F"/>
    <w:rsid w:val="009B51FD"/>
    <w:rsid w:val="009B567F"/>
    <w:rsid w:val="009B5734"/>
    <w:rsid w:val="009B5843"/>
    <w:rsid w:val="009B5898"/>
    <w:rsid w:val="009B5CCA"/>
    <w:rsid w:val="009B5D6A"/>
    <w:rsid w:val="009B5D82"/>
    <w:rsid w:val="009B60F2"/>
    <w:rsid w:val="009B6102"/>
    <w:rsid w:val="009B6206"/>
    <w:rsid w:val="009B6336"/>
    <w:rsid w:val="009B645F"/>
    <w:rsid w:val="009B6521"/>
    <w:rsid w:val="009B654A"/>
    <w:rsid w:val="009B6805"/>
    <w:rsid w:val="009B682B"/>
    <w:rsid w:val="009B687D"/>
    <w:rsid w:val="009B6944"/>
    <w:rsid w:val="009B6BFF"/>
    <w:rsid w:val="009B6DC2"/>
    <w:rsid w:val="009B6E26"/>
    <w:rsid w:val="009B6F7A"/>
    <w:rsid w:val="009B7106"/>
    <w:rsid w:val="009B710A"/>
    <w:rsid w:val="009B71CC"/>
    <w:rsid w:val="009B71E5"/>
    <w:rsid w:val="009B72DF"/>
    <w:rsid w:val="009B7779"/>
    <w:rsid w:val="009B7A22"/>
    <w:rsid w:val="009B7AA9"/>
    <w:rsid w:val="009C00BE"/>
    <w:rsid w:val="009C0371"/>
    <w:rsid w:val="009C043A"/>
    <w:rsid w:val="009C0520"/>
    <w:rsid w:val="009C07E7"/>
    <w:rsid w:val="009C0979"/>
    <w:rsid w:val="009C0AAF"/>
    <w:rsid w:val="009C0B4B"/>
    <w:rsid w:val="009C0CE9"/>
    <w:rsid w:val="009C0D33"/>
    <w:rsid w:val="009C0E2B"/>
    <w:rsid w:val="009C0F73"/>
    <w:rsid w:val="009C10BA"/>
    <w:rsid w:val="009C113B"/>
    <w:rsid w:val="009C119E"/>
    <w:rsid w:val="009C1326"/>
    <w:rsid w:val="009C15A6"/>
    <w:rsid w:val="009C15CA"/>
    <w:rsid w:val="009C181C"/>
    <w:rsid w:val="009C1838"/>
    <w:rsid w:val="009C18F2"/>
    <w:rsid w:val="009C1925"/>
    <w:rsid w:val="009C1D16"/>
    <w:rsid w:val="009C1E55"/>
    <w:rsid w:val="009C2073"/>
    <w:rsid w:val="009C22AA"/>
    <w:rsid w:val="009C231B"/>
    <w:rsid w:val="009C24F6"/>
    <w:rsid w:val="009C283E"/>
    <w:rsid w:val="009C2848"/>
    <w:rsid w:val="009C2908"/>
    <w:rsid w:val="009C2A90"/>
    <w:rsid w:val="009C2B7A"/>
    <w:rsid w:val="009C2F2D"/>
    <w:rsid w:val="009C340D"/>
    <w:rsid w:val="009C352F"/>
    <w:rsid w:val="009C3759"/>
    <w:rsid w:val="009C38F0"/>
    <w:rsid w:val="009C39D5"/>
    <w:rsid w:val="009C3A19"/>
    <w:rsid w:val="009C3ADA"/>
    <w:rsid w:val="009C3D23"/>
    <w:rsid w:val="009C3F8C"/>
    <w:rsid w:val="009C416B"/>
    <w:rsid w:val="009C4447"/>
    <w:rsid w:val="009C463D"/>
    <w:rsid w:val="009C47BB"/>
    <w:rsid w:val="009C49CB"/>
    <w:rsid w:val="009C4DCC"/>
    <w:rsid w:val="009C4E14"/>
    <w:rsid w:val="009C4F3E"/>
    <w:rsid w:val="009C5181"/>
    <w:rsid w:val="009C52D9"/>
    <w:rsid w:val="009C5306"/>
    <w:rsid w:val="009C53CD"/>
    <w:rsid w:val="009C540A"/>
    <w:rsid w:val="009C54B3"/>
    <w:rsid w:val="009C5602"/>
    <w:rsid w:val="009C5720"/>
    <w:rsid w:val="009C5855"/>
    <w:rsid w:val="009C5A1E"/>
    <w:rsid w:val="009C5A39"/>
    <w:rsid w:val="009C5A9E"/>
    <w:rsid w:val="009C5AA5"/>
    <w:rsid w:val="009C5B19"/>
    <w:rsid w:val="009C5D75"/>
    <w:rsid w:val="009C5DDA"/>
    <w:rsid w:val="009C5E1C"/>
    <w:rsid w:val="009C60A7"/>
    <w:rsid w:val="009C6288"/>
    <w:rsid w:val="009C62CA"/>
    <w:rsid w:val="009C63E4"/>
    <w:rsid w:val="009C6505"/>
    <w:rsid w:val="009C655F"/>
    <w:rsid w:val="009C658E"/>
    <w:rsid w:val="009C673E"/>
    <w:rsid w:val="009C697C"/>
    <w:rsid w:val="009C6988"/>
    <w:rsid w:val="009C6A1E"/>
    <w:rsid w:val="009C7080"/>
    <w:rsid w:val="009C72A9"/>
    <w:rsid w:val="009C732A"/>
    <w:rsid w:val="009C73E4"/>
    <w:rsid w:val="009C74DA"/>
    <w:rsid w:val="009C7697"/>
    <w:rsid w:val="009C76B8"/>
    <w:rsid w:val="009C7BD2"/>
    <w:rsid w:val="009C7C33"/>
    <w:rsid w:val="009C7CBE"/>
    <w:rsid w:val="009C7E42"/>
    <w:rsid w:val="009C7F64"/>
    <w:rsid w:val="009C7F78"/>
    <w:rsid w:val="009D02A4"/>
    <w:rsid w:val="009D0370"/>
    <w:rsid w:val="009D0676"/>
    <w:rsid w:val="009D0690"/>
    <w:rsid w:val="009D07CB"/>
    <w:rsid w:val="009D0C08"/>
    <w:rsid w:val="009D0C17"/>
    <w:rsid w:val="009D0D54"/>
    <w:rsid w:val="009D0D85"/>
    <w:rsid w:val="009D0DB8"/>
    <w:rsid w:val="009D0E49"/>
    <w:rsid w:val="009D0ED2"/>
    <w:rsid w:val="009D115E"/>
    <w:rsid w:val="009D1201"/>
    <w:rsid w:val="009D1216"/>
    <w:rsid w:val="009D162E"/>
    <w:rsid w:val="009D167E"/>
    <w:rsid w:val="009D16E2"/>
    <w:rsid w:val="009D175F"/>
    <w:rsid w:val="009D1806"/>
    <w:rsid w:val="009D1969"/>
    <w:rsid w:val="009D19D6"/>
    <w:rsid w:val="009D1A6F"/>
    <w:rsid w:val="009D1D95"/>
    <w:rsid w:val="009D1DAE"/>
    <w:rsid w:val="009D1F0F"/>
    <w:rsid w:val="009D20FB"/>
    <w:rsid w:val="009D22ED"/>
    <w:rsid w:val="009D243F"/>
    <w:rsid w:val="009D278B"/>
    <w:rsid w:val="009D2826"/>
    <w:rsid w:val="009D2929"/>
    <w:rsid w:val="009D2A79"/>
    <w:rsid w:val="009D2D40"/>
    <w:rsid w:val="009D33C0"/>
    <w:rsid w:val="009D35EB"/>
    <w:rsid w:val="009D36EE"/>
    <w:rsid w:val="009D3DC6"/>
    <w:rsid w:val="009D3DDB"/>
    <w:rsid w:val="009D3E48"/>
    <w:rsid w:val="009D43B5"/>
    <w:rsid w:val="009D4498"/>
    <w:rsid w:val="009D4595"/>
    <w:rsid w:val="009D468D"/>
    <w:rsid w:val="009D48A3"/>
    <w:rsid w:val="009D48FD"/>
    <w:rsid w:val="009D4977"/>
    <w:rsid w:val="009D4ACB"/>
    <w:rsid w:val="009D4CA2"/>
    <w:rsid w:val="009D4CA4"/>
    <w:rsid w:val="009D4CA5"/>
    <w:rsid w:val="009D4F09"/>
    <w:rsid w:val="009D5205"/>
    <w:rsid w:val="009D52B4"/>
    <w:rsid w:val="009D5663"/>
    <w:rsid w:val="009D57C5"/>
    <w:rsid w:val="009D598C"/>
    <w:rsid w:val="009D5C65"/>
    <w:rsid w:val="009D6058"/>
    <w:rsid w:val="009D62CB"/>
    <w:rsid w:val="009D641E"/>
    <w:rsid w:val="009D643B"/>
    <w:rsid w:val="009D64A6"/>
    <w:rsid w:val="009D66CC"/>
    <w:rsid w:val="009D67D4"/>
    <w:rsid w:val="009D68D7"/>
    <w:rsid w:val="009D69B9"/>
    <w:rsid w:val="009D6B6A"/>
    <w:rsid w:val="009D6E9C"/>
    <w:rsid w:val="009D712B"/>
    <w:rsid w:val="009D716D"/>
    <w:rsid w:val="009D71D0"/>
    <w:rsid w:val="009D72B3"/>
    <w:rsid w:val="009D731D"/>
    <w:rsid w:val="009D73C4"/>
    <w:rsid w:val="009D7481"/>
    <w:rsid w:val="009D74AD"/>
    <w:rsid w:val="009D753D"/>
    <w:rsid w:val="009D774F"/>
    <w:rsid w:val="009D77D9"/>
    <w:rsid w:val="009D7910"/>
    <w:rsid w:val="009D79A5"/>
    <w:rsid w:val="009D7A46"/>
    <w:rsid w:val="009D7AEB"/>
    <w:rsid w:val="009D7DD9"/>
    <w:rsid w:val="009D7EFB"/>
    <w:rsid w:val="009D7F1B"/>
    <w:rsid w:val="009E0053"/>
    <w:rsid w:val="009E0114"/>
    <w:rsid w:val="009E0276"/>
    <w:rsid w:val="009E02E1"/>
    <w:rsid w:val="009E0477"/>
    <w:rsid w:val="009E06FF"/>
    <w:rsid w:val="009E07A9"/>
    <w:rsid w:val="009E07DD"/>
    <w:rsid w:val="009E0B15"/>
    <w:rsid w:val="009E0B73"/>
    <w:rsid w:val="009E0C54"/>
    <w:rsid w:val="009E0E62"/>
    <w:rsid w:val="009E0F36"/>
    <w:rsid w:val="009E112B"/>
    <w:rsid w:val="009E12E8"/>
    <w:rsid w:val="009E14A2"/>
    <w:rsid w:val="009E1521"/>
    <w:rsid w:val="009E1615"/>
    <w:rsid w:val="009E170B"/>
    <w:rsid w:val="009E182F"/>
    <w:rsid w:val="009E183C"/>
    <w:rsid w:val="009E18AE"/>
    <w:rsid w:val="009E18F1"/>
    <w:rsid w:val="009E197A"/>
    <w:rsid w:val="009E19F6"/>
    <w:rsid w:val="009E1B85"/>
    <w:rsid w:val="009E1C38"/>
    <w:rsid w:val="009E1C3C"/>
    <w:rsid w:val="009E1F7F"/>
    <w:rsid w:val="009E20CC"/>
    <w:rsid w:val="009E25E6"/>
    <w:rsid w:val="009E26F7"/>
    <w:rsid w:val="009E274C"/>
    <w:rsid w:val="009E2750"/>
    <w:rsid w:val="009E2A61"/>
    <w:rsid w:val="009E2B56"/>
    <w:rsid w:val="009E2BC0"/>
    <w:rsid w:val="009E2C85"/>
    <w:rsid w:val="009E2D32"/>
    <w:rsid w:val="009E2E2F"/>
    <w:rsid w:val="009E2F26"/>
    <w:rsid w:val="009E2F86"/>
    <w:rsid w:val="009E3239"/>
    <w:rsid w:val="009E33B2"/>
    <w:rsid w:val="009E37D2"/>
    <w:rsid w:val="009E389E"/>
    <w:rsid w:val="009E3955"/>
    <w:rsid w:val="009E399D"/>
    <w:rsid w:val="009E3C78"/>
    <w:rsid w:val="009E3D58"/>
    <w:rsid w:val="009E3EDD"/>
    <w:rsid w:val="009E3FAA"/>
    <w:rsid w:val="009E3FFA"/>
    <w:rsid w:val="009E42ED"/>
    <w:rsid w:val="009E4368"/>
    <w:rsid w:val="009E4854"/>
    <w:rsid w:val="009E493A"/>
    <w:rsid w:val="009E4CDB"/>
    <w:rsid w:val="009E4D0F"/>
    <w:rsid w:val="009E4E42"/>
    <w:rsid w:val="009E4F45"/>
    <w:rsid w:val="009E5194"/>
    <w:rsid w:val="009E537C"/>
    <w:rsid w:val="009E5492"/>
    <w:rsid w:val="009E5A09"/>
    <w:rsid w:val="009E5BCE"/>
    <w:rsid w:val="009E5CB4"/>
    <w:rsid w:val="009E5CD2"/>
    <w:rsid w:val="009E5FCA"/>
    <w:rsid w:val="009E6177"/>
    <w:rsid w:val="009E622F"/>
    <w:rsid w:val="009E6288"/>
    <w:rsid w:val="009E62BE"/>
    <w:rsid w:val="009E6476"/>
    <w:rsid w:val="009E650B"/>
    <w:rsid w:val="009E653B"/>
    <w:rsid w:val="009E6946"/>
    <w:rsid w:val="009E6C29"/>
    <w:rsid w:val="009E6E5C"/>
    <w:rsid w:val="009E73D9"/>
    <w:rsid w:val="009E756B"/>
    <w:rsid w:val="009E7689"/>
    <w:rsid w:val="009E76EF"/>
    <w:rsid w:val="009E7709"/>
    <w:rsid w:val="009E77DF"/>
    <w:rsid w:val="009E7911"/>
    <w:rsid w:val="009E7947"/>
    <w:rsid w:val="009E79AD"/>
    <w:rsid w:val="009E7AD3"/>
    <w:rsid w:val="009E7C1F"/>
    <w:rsid w:val="009E7C35"/>
    <w:rsid w:val="009E7F5A"/>
    <w:rsid w:val="009E7FE5"/>
    <w:rsid w:val="009F00AE"/>
    <w:rsid w:val="009F00E5"/>
    <w:rsid w:val="009F01E2"/>
    <w:rsid w:val="009F0678"/>
    <w:rsid w:val="009F06EB"/>
    <w:rsid w:val="009F074F"/>
    <w:rsid w:val="009F08A4"/>
    <w:rsid w:val="009F0AC3"/>
    <w:rsid w:val="009F0B2A"/>
    <w:rsid w:val="009F0CB4"/>
    <w:rsid w:val="009F0E2B"/>
    <w:rsid w:val="009F11DA"/>
    <w:rsid w:val="009F1423"/>
    <w:rsid w:val="009F178C"/>
    <w:rsid w:val="009F192F"/>
    <w:rsid w:val="009F19CA"/>
    <w:rsid w:val="009F1A3A"/>
    <w:rsid w:val="009F1D13"/>
    <w:rsid w:val="009F1EA7"/>
    <w:rsid w:val="009F1FD0"/>
    <w:rsid w:val="009F21D6"/>
    <w:rsid w:val="009F22B7"/>
    <w:rsid w:val="009F257B"/>
    <w:rsid w:val="009F260E"/>
    <w:rsid w:val="009F293C"/>
    <w:rsid w:val="009F29C6"/>
    <w:rsid w:val="009F2BE4"/>
    <w:rsid w:val="009F2BF9"/>
    <w:rsid w:val="009F3057"/>
    <w:rsid w:val="009F324C"/>
    <w:rsid w:val="009F3919"/>
    <w:rsid w:val="009F3B15"/>
    <w:rsid w:val="009F3B56"/>
    <w:rsid w:val="009F3BFE"/>
    <w:rsid w:val="009F3D7D"/>
    <w:rsid w:val="009F41FE"/>
    <w:rsid w:val="009F445F"/>
    <w:rsid w:val="009F49DC"/>
    <w:rsid w:val="009F4AF8"/>
    <w:rsid w:val="009F4C09"/>
    <w:rsid w:val="009F4E6B"/>
    <w:rsid w:val="009F508C"/>
    <w:rsid w:val="009F5091"/>
    <w:rsid w:val="009F50F3"/>
    <w:rsid w:val="009F5362"/>
    <w:rsid w:val="009F53D1"/>
    <w:rsid w:val="009F53F9"/>
    <w:rsid w:val="009F5422"/>
    <w:rsid w:val="009F5480"/>
    <w:rsid w:val="009F54C2"/>
    <w:rsid w:val="009F560A"/>
    <w:rsid w:val="009F58D2"/>
    <w:rsid w:val="009F59B0"/>
    <w:rsid w:val="009F5BAC"/>
    <w:rsid w:val="009F5C00"/>
    <w:rsid w:val="009F5D10"/>
    <w:rsid w:val="009F5D26"/>
    <w:rsid w:val="009F5D98"/>
    <w:rsid w:val="009F5FF3"/>
    <w:rsid w:val="009F606A"/>
    <w:rsid w:val="009F6078"/>
    <w:rsid w:val="009F60AE"/>
    <w:rsid w:val="009F60D3"/>
    <w:rsid w:val="009F61D8"/>
    <w:rsid w:val="009F6596"/>
    <w:rsid w:val="009F660A"/>
    <w:rsid w:val="009F665A"/>
    <w:rsid w:val="009F66DD"/>
    <w:rsid w:val="009F6916"/>
    <w:rsid w:val="009F692C"/>
    <w:rsid w:val="009F6954"/>
    <w:rsid w:val="009F69D1"/>
    <w:rsid w:val="009F6A96"/>
    <w:rsid w:val="009F6C22"/>
    <w:rsid w:val="009F6C8D"/>
    <w:rsid w:val="009F6E9D"/>
    <w:rsid w:val="009F7621"/>
    <w:rsid w:val="009F776D"/>
    <w:rsid w:val="009F7A3F"/>
    <w:rsid w:val="009F7CF3"/>
    <w:rsid w:val="00A000B3"/>
    <w:rsid w:val="00A00134"/>
    <w:rsid w:val="00A001DE"/>
    <w:rsid w:val="00A003A5"/>
    <w:rsid w:val="00A0048B"/>
    <w:rsid w:val="00A00531"/>
    <w:rsid w:val="00A00789"/>
    <w:rsid w:val="00A007FC"/>
    <w:rsid w:val="00A00849"/>
    <w:rsid w:val="00A00C08"/>
    <w:rsid w:val="00A00C6B"/>
    <w:rsid w:val="00A00D59"/>
    <w:rsid w:val="00A00E52"/>
    <w:rsid w:val="00A00FE3"/>
    <w:rsid w:val="00A01466"/>
    <w:rsid w:val="00A015ED"/>
    <w:rsid w:val="00A01875"/>
    <w:rsid w:val="00A018D5"/>
    <w:rsid w:val="00A019C2"/>
    <w:rsid w:val="00A01ABD"/>
    <w:rsid w:val="00A01B1D"/>
    <w:rsid w:val="00A01CE9"/>
    <w:rsid w:val="00A01DF3"/>
    <w:rsid w:val="00A01E6C"/>
    <w:rsid w:val="00A02157"/>
    <w:rsid w:val="00A02167"/>
    <w:rsid w:val="00A022E6"/>
    <w:rsid w:val="00A0235E"/>
    <w:rsid w:val="00A02490"/>
    <w:rsid w:val="00A0256E"/>
    <w:rsid w:val="00A02909"/>
    <w:rsid w:val="00A029B3"/>
    <w:rsid w:val="00A029CC"/>
    <w:rsid w:val="00A02D0A"/>
    <w:rsid w:val="00A02D66"/>
    <w:rsid w:val="00A02DC3"/>
    <w:rsid w:val="00A02F3B"/>
    <w:rsid w:val="00A02F48"/>
    <w:rsid w:val="00A0304A"/>
    <w:rsid w:val="00A03391"/>
    <w:rsid w:val="00A033E1"/>
    <w:rsid w:val="00A0355A"/>
    <w:rsid w:val="00A03BC7"/>
    <w:rsid w:val="00A03CA7"/>
    <w:rsid w:val="00A03F2D"/>
    <w:rsid w:val="00A04099"/>
    <w:rsid w:val="00A0413C"/>
    <w:rsid w:val="00A04274"/>
    <w:rsid w:val="00A0438E"/>
    <w:rsid w:val="00A04468"/>
    <w:rsid w:val="00A04892"/>
    <w:rsid w:val="00A04A26"/>
    <w:rsid w:val="00A04C1A"/>
    <w:rsid w:val="00A04CAB"/>
    <w:rsid w:val="00A04F02"/>
    <w:rsid w:val="00A04F7C"/>
    <w:rsid w:val="00A050AE"/>
    <w:rsid w:val="00A05159"/>
    <w:rsid w:val="00A05295"/>
    <w:rsid w:val="00A053AF"/>
    <w:rsid w:val="00A054A4"/>
    <w:rsid w:val="00A0556C"/>
    <w:rsid w:val="00A057EE"/>
    <w:rsid w:val="00A05895"/>
    <w:rsid w:val="00A058DF"/>
    <w:rsid w:val="00A05BA1"/>
    <w:rsid w:val="00A06094"/>
    <w:rsid w:val="00A06127"/>
    <w:rsid w:val="00A06270"/>
    <w:rsid w:val="00A0644D"/>
    <w:rsid w:val="00A064C8"/>
    <w:rsid w:val="00A0653F"/>
    <w:rsid w:val="00A065D8"/>
    <w:rsid w:val="00A066C5"/>
    <w:rsid w:val="00A06D0E"/>
    <w:rsid w:val="00A06E6B"/>
    <w:rsid w:val="00A06EAE"/>
    <w:rsid w:val="00A07075"/>
    <w:rsid w:val="00A075A2"/>
    <w:rsid w:val="00A07668"/>
    <w:rsid w:val="00A076B2"/>
    <w:rsid w:val="00A078ED"/>
    <w:rsid w:val="00A078F9"/>
    <w:rsid w:val="00A0798E"/>
    <w:rsid w:val="00A07BCE"/>
    <w:rsid w:val="00A103EA"/>
    <w:rsid w:val="00A10908"/>
    <w:rsid w:val="00A10A4B"/>
    <w:rsid w:val="00A10A71"/>
    <w:rsid w:val="00A10CA3"/>
    <w:rsid w:val="00A10ED2"/>
    <w:rsid w:val="00A1101D"/>
    <w:rsid w:val="00A1103A"/>
    <w:rsid w:val="00A11231"/>
    <w:rsid w:val="00A11367"/>
    <w:rsid w:val="00A11410"/>
    <w:rsid w:val="00A116D2"/>
    <w:rsid w:val="00A11778"/>
    <w:rsid w:val="00A119E0"/>
    <w:rsid w:val="00A11BB9"/>
    <w:rsid w:val="00A11C6E"/>
    <w:rsid w:val="00A11C9E"/>
    <w:rsid w:val="00A11E71"/>
    <w:rsid w:val="00A11EAD"/>
    <w:rsid w:val="00A12033"/>
    <w:rsid w:val="00A12060"/>
    <w:rsid w:val="00A1208E"/>
    <w:rsid w:val="00A12209"/>
    <w:rsid w:val="00A123BE"/>
    <w:rsid w:val="00A123E5"/>
    <w:rsid w:val="00A12404"/>
    <w:rsid w:val="00A12456"/>
    <w:rsid w:val="00A125F5"/>
    <w:rsid w:val="00A12816"/>
    <w:rsid w:val="00A12C3C"/>
    <w:rsid w:val="00A12C6F"/>
    <w:rsid w:val="00A12CA2"/>
    <w:rsid w:val="00A12CB2"/>
    <w:rsid w:val="00A12D7E"/>
    <w:rsid w:val="00A12E41"/>
    <w:rsid w:val="00A12E8A"/>
    <w:rsid w:val="00A12F52"/>
    <w:rsid w:val="00A12F66"/>
    <w:rsid w:val="00A1312A"/>
    <w:rsid w:val="00A131AA"/>
    <w:rsid w:val="00A1324D"/>
    <w:rsid w:val="00A1346A"/>
    <w:rsid w:val="00A13505"/>
    <w:rsid w:val="00A1382C"/>
    <w:rsid w:val="00A13932"/>
    <w:rsid w:val="00A13A31"/>
    <w:rsid w:val="00A13AA6"/>
    <w:rsid w:val="00A13B2A"/>
    <w:rsid w:val="00A13C2B"/>
    <w:rsid w:val="00A13E01"/>
    <w:rsid w:val="00A13E3D"/>
    <w:rsid w:val="00A141D6"/>
    <w:rsid w:val="00A146F5"/>
    <w:rsid w:val="00A149AC"/>
    <w:rsid w:val="00A14A38"/>
    <w:rsid w:val="00A14B70"/>
    <w:rsid w:val="00A14BB3"/>
    <w:rsid w:val="00A14BCE"/>
    <w:rsid w:val="00A14DEE"/>
    <w:rsid w:val="00A14F99"/>
    <w:rsid w:val="00A15005"/>
    <w:rsid w:val="00A15100"/>
    <w:rsid w:val="00A15194"/>
    <w:rsid w:val="00A152B2"/>
    <w:rsid w:val="00A157B2"/>
    <w:rsid w:val="00A157FB"/>
    <w:rsid w:val="00A15995"/>
    <w:rsid w:val="00A159BC"/>
    <w:rsid w:val="00A15A7C"/>
    <w:rsid w:val="00A15C0B"/>
    <w:rsid w:val="00A15C36"/>
    <w:rsid w:val="00A15DEE"/>
    <w:rsid w:val="00A15FC7"/>
    <w:rsid w:val="00A16085"/>
    <w:rsid w:val="00A16093"/>
    <w:rsid w:val="00A16109"/>
    <w:rsid w:val="00A161B9"/>
    <w:rsid w:val="00A16492"/>
    <w:rsid w:val="00A164DD"/>
    <w:rsid w:val="00A16550"/>
    <w:rsid w:val="00A166C0"/>
    <w:rsid w:val="00A167C6"/>
    <w:rsid w:val="00A16823"/>
    <w:rsid w:val="00A16A45"/>
    <w:rsid w:val="00A16B2A"/>
    <w:rsid w:val="00A16C39"/>
    <w:rsid w:val="00A16DB1"/>
    <w:rsid w:val="00A17044"/>
    <w:rsid w:val="00A1708B"/>
    <w:rsid w:val="00A171EA"/>
    <w:rsid w:val="00A17276"/>
    <w:rsid w:val="00A173B0"/>
    <w:rsid w:val="00A17594"/>
    <w:rsid w:val="00A1778A"/>
    <w:rsid w:val="00A1778B"/>
    <w:rsid w:val="00A177AE"/>
    <w:rsid w:val="00A177F5"/>
    <w:rsid w:val="00A17907"/>
    <w:rsid w:val="00A179F1"/>
    <w:rsid w:val="00A17C74"/>
    <w:rsid w:val="00A17D14"/>
    <w:rsid w:val="00A17E7E"/>
    <w:rsid w:val="00A17F9E"/>
    <w:rsid w:val="00A20480"/>
    <w:rsid w:val="00A20AFF"/>
    <w:rsid w:val="00A20BF4"/>
    <w:rsid w:val="00A20C9D"/>
    <w:rsid w:val="00A20CC6"/>
    <w:rsid w:val="00A20D05"/>
    <w:rsid w:val="00A20D25"/>
    <w:rsid w:val="00A20DCC"/>
    <w:rsid w:val="00A21064"/>
    <w:rsid w:val="00A21374"/>
    <w:rsid w:val="00A21434"/>
    <w:rsid w:val="00A21818"/>
    <w:rsid w:val="00A21AB1"/>
    <w:rsid w:val="00A21B13"/>
    <w:rsid w:val="00A21BE4"/>
    <w:rsid w:val="00A21C44"/>
    <w:rsid w:val="00A21D16"/>
    <w:rsid w:val="00A21F2D"/>
    <w:rsid w:val="00A21F50"/>
    <w:rsid w:val="00A222C7"/>
    <w:rsid w:val="00A2230F"/>
    <w:rsid w:val="00A2238A"/>
    <w:rsid w:val="00A227C7"/>
    <w:rsid w:val="00A227FB"/>
    <w:rsid w:val="00A22EA4"/>
    <w:rsid w:val="00A22ED6"/>
    <w:rsid w:val="00A22F1A"/>
    <w:rsid w:val="00A23232"/>
    <w:rsid w:val="00A23233"/>
    <w:rsid w:val="00A233D1"/>
    <w:rsid w:val="00A235DE"/>
    <w:rsid w:val="00A2363A"/>
    <w:rsid w:val="00A237D5"/>
    <w:rsid w:val="00A23856"/>
    <w:rsid w:val="00A23987"/>
    <w:rsid w:val="00A23ADD"/>
    <w:rsid w:val="00A23D3F"/>
    <w:rsid w:val="00A2403B"/>
    <w:rsid w:val="00A245B4"/>
    <w:rsid w:val="00A24670"/>
    <w:rsid w:val="00A24681"/>
    <w:rsid w:val="00A24807"/>
    <w:rsid w:val="00A24A6B"/>
    <w:rsid w:val="00A24BCC"/>
    <w:rsid w:val="00A24CA1"/>
    <w:rsid w:val="00A24CF5"/>
    <w:rsid w:val="00A24F61"/>
    <w:rsid w:val="00A25137"/>
    <w:rsid w:val="00A252DC"/>
    <w:rsid w:val="00A2545F"/>
    <w:rsid w:val="00A2572B"/>
    <w:rsid w:val="00A259B3"/>
    <w:rsid w:val="00A25A1F"/>
    <w:rsid w:val="00A25A24"/>
    <w:rsid w:val="00A25A4A"/>
    <w:rsid w:val="00A25D00"/>
    <w:rsid w:val="00A25D3D"/>
    <w:rsid w:val="00A25DEE"/>
    <w:rsid w:val="00A25EF9"/>
    <w:rsid w:val="00A26133"/>
    <w:rsid w:val="00A261B1"/>
    <w:rsid w:val="00A264E9"/>
    <w:rsid w:val="00A265BF"/>
    <w:rsid w:val="00A26628"/>
    <w:rsid w:val="00A266CD"/>
    <w:rsid w:val="00A26A99"/>
    <w:rsid w:val="00A26AC8"/>
    <w:rsid w:val="00A26AF2"/>
    <w:rsid w:val="00A26C02"/>
    <w:rsid w:val="00A26D38"/>
    <w:rsid w:val="00A26EBB"/>
    <w:rsid w:val="00A26FB7"/>
    <w:rsid w:val="00A26FE3"/>
    <w:rsid w:val="00A270EC"/>
    <w:rsid w:val="00A272AF"/>
    <w:rsid w:val="00A27490"/>
    <w:rsid w:val="00A27499"/>
    <w:rsid w:val="00A275A9"/>
    <w:rsid w:val="00A27870"/>
    <w:rsid w:val="00A2793D"/>
    <w:rsid w:val="00A27ADC"/>
    <w:rsid w:val="00A27DC6"/>
    <w:rsid w:val="00A27E50"/>
    <w:rsid w:val="00A27FCF"/>
    <w:rsid w:val="00A3007B"/>
    <w:rsid w:val="00A30124"/>
    <w:rsid w:val="00A3034F"/>
    <w:rsid w:val="00A303FF"/>
    <w:rsid w:val="00A30570"/>
    <w:rsid w:val="00A306D5"/>
    <w:rsid w:val="00A308D5"/>
    <w:rsid w:val="00A308E5"/>
    <w:rsid w:val="00A30AD1"/>
    <w:rsid w:val="00A30AD2"/>
    <w:rsid w:val="00A30C03"/>
    <w:rsid w:val="00A30D43"/>
    <w:rsid w:val="00A30E11"/>
    <w:rsid w:val="00A30F6C"/>
    <w:rsid w:val="00A310D5"/>
    <w:rsid w:val="00A311B6"/>
    <w:rsid w:val="00A3147D"/>
    <w:rsid w:val="00A314B1"/>
    <w:rsid w:val="00A3166E"/>
    <w:rsid w:val="00A316A5"/>
    <w:rsid w:val="00A31741"/>
    <w:rsid w:val="00A3190D"/>
    <w:rsid w:val="00A31A81"/>
    <w:rsid w:val="00A31C61"/>
    <w:rsid w:val="00A31C8D"/>
    <w:rsid w:val="00A31C9D"/>
    <w:rsid w:val="00A31E4A"/>
    <w:rsid w:val="00A31F6A"/>
    <w:rsid w:val="00A31FF8"/>
    <w:rsid w:val="00A3218D"/>
    <w:rsid w:val="00A324D1"/>
    <w:rsid w:val="00A325B2"/>
    <w:rsid w:val="00A327CC"/>
    <w:rsid w:val="00A327E1"/>
    <w:rsid w:val="00A32AE4"/>
    <w:rsid w:val="00A332AB"/>
    <w:rsid w:val="00A33301"/>
    <w:rsid w:val="00A33321"/>
    <w:rsid w:val="00A3346A"/>
    <w:rsid w:val="00A33563"/>
    <w:rsid w:val="00A3392A"/>
    <w:rsid w:val="00A339A6"/>
    <w:rsid w:val="00A339D9"/>
    <w:rsid w:val="00A33A28"/>
    <w:rsid w:val="00A33C7F"/>
    <w:rsid w:val="00A33CD4"/>
    <w:rsid w:val="00A33ED1"/>
    <w:rsid w:val="00A344C2"/>
    <w:rsid w:val="00A345F8"/>
    <w:rsid w:val="00A3469B"/>
    <w:rsid w:val="00A346A0"/>
    <w:rsid w:val="00A346F7"/>
    <w:rsid w:val="00A347D3"/>
    <w:rsid w:val="00A34A62"/>
    <w:rsid w:val="00A34AAA"/>
    <w:rsid w:val="00A34BC7"/>
    <w:rsid w:val="00A34CA4"/>
    <w:rsid w:val="00A34EAA"/>
    <w:rsid w:val="00A35005"/>
    <w:rsid w:val="00A35030"/>
    <w:rsid w:val="00A350B2"/>
    <w:rsid w:val="00A353BA"/>
    <w:rsid w:val="00A353E2"/>
    <w:rsid w:val="00A35466"/>
    <w:rsid w:val="00A359A7"/>
    <w:rsid w:val="00A35A4D"/>
    <w:rsid w:val="00A35BCF"/>
    <w:rsid w:val="00A35CA6"/>
    <w:rsid w:val="00A35CC5"/>
    <w:rsid w:val="00A36022"/>
    <w:rsid w:val="00A3603E"/>
    <w:rsid w:val="00A36305"/>
    <w:rsid w:val="00A367FD"/>
    <w:rsid w:val="00A3690D"/>
    <w:rsid w:val="00A36913"/>
    <w:rsid w:val="00A36A42"/>
    <w:rsid w:val="00A36AAB"/>
    <w:rsid w:val="00A36C3C"/>
    <w:rsid w:val="00A36CB0"/>
    <w:rsid w:val="00A36DF3"/>
    <w:rsid w:val="00A36F3C"/>
    <w:rsid w:val="00A37384"/>
    <w:rsid w:val="00A376A8"/>
    <w:rsid w:val="00A37A51"/>
    <w:rsid w:val="00A37B8D"/>
    <w:rsid w:val="00A37CDB"/>
    <w:rsid w:val="00A37F1A"/>
    <w:rsid w:val="00A4005A"/>
    <w:rsid w:val="00A400E0"/>
    <w:rsid w:val="00A40441"/>
    <w:rsid w:val="00A40519"/>
    <w:rsid w:val="00A405D8"/>
    <w:rsid w:val="00A407C8"/>
    <w:rsid w:val="00A4085A"/>
    <w:rsid w:val="00A40987"/>
    <w:rsid w:val="00A40B40"/>
    <w:rsid w:val="00A40B73"/>
    <w:rsid w:val="00A40D44"/>
    <w:rsid w:val="00A412D2"/>
    <w:rsid w:val="00A4158F"/>
    <w:rsid w:val="00A4177E"/>
    <w:rsid w:val="00A4179D"/>
    <w:rsid w:val="00A417FA"/>
    <w:rsid w:val="00A41D3B"/>
    <w:rsid w:val="00A41D56"/>
    <w:rsid w:val="00A41F44"/>
    <w:rsid w:val="00A41F96"/>
    <w:rsid w:val="00A41FA9"/>
    <w:rsid w:val="00A42159"/>
    <w:rsid w:val="00A4218E"/>
    <w:rsid w:val="00A42377"/>
    <w:rsid w:val="00A4259A"/>
    <w:rsid w:val="00A425AF"/>
    <w:rsid w:val="00A429C0"/>
    <w:rsid w:val="00A42A76"/>
    <w:rsid w:val="00A42B6A"/>
    <w:rsid w:val="00A42BD7"/>
    <w:rsid w:val="00A42C44"/>
    <w:rsid w:val="00A42D59"/>
    <w:rsid w:val="00A42F24"/>
    <w:rsid w:val="00A43428"/>
    <w:rsid w:val="00A4367F"/>
    <w:rsid w:val="00A43731"/>
    <w:rsid w:val="00A438E1"/>
    <w:rsid w:val="00A43B1B"/>
    <w:rsid w:val="00A43B4B"/>
    <w:rsid w:val="00A43CAD"/>
    <w:rsid w:val="00A441B4"/>
    <w:rsid w:val="00A441B7"/>
    <w:rsid w:val="00A44313"/>
    <w:rsid w:val="00A443E2"/>
    <w:rsid w:val="00A44472"/>
    <w:rsid w:val="00A44594"/>
    <w:rsid w:val="00A44655"/>
    <w:rsid w:val="00A446BA"/>
    <w:rsid w:val="00A4497D"/>
    <w:rsid w:val="00A44A81"/>
    <w:rsid w:val="00A44D28"/>
    <w:rsid w:val="00A44D9C"/>
    <w:rsid w:val="00A44EF5"/>
    <w:rsid w:val="00A44FAD"/>
    <w:rsid w:val="00A45665"/>
    <w:rsid w:val="00A45835"/>
    <w:rsid w:val="00A45844"/>
    <w:rsid w:val="00A458A7"/>
    <w:rsid w:val="00A459CC"/>
    <w:rsid w:val="00A45A45"/>
    <w:rsid w:val="00A45C79"/>
    <w:rsid w:val="00A45D1B"/>
    <w:rsid w:val="00A45F34"/>
    <w:rsid w:val="00A464C2"/>
    <w:rsid w:val="00A464EF"/>
    <w:rsid w:val="00A468A2"/>
    <w:rsid w:val="00A46AB5"/>
    <w:rsid w:val="00A46C19"/>
    <w:rsid w:val="00A46C1C"/>
    <w:rsid w:val="00A46DCB"/>
    <w:rsid w:val="00A47013"/>
    <w:rsid w:val="00A4718F"/>
    <w:rsid w:val="00A4741E"/>
    <w:rsid w:val="00A47527"/>
    <w:rsid w:val="00A4771D"/>
    <w:rsid w:val="00A47776"/>
    <w:rsid w:val="00A478B7"/>
    <w:rsid w:val="00A479CA"/>
    <w:rsid w:val="00A47C95"/>
    <w:rsid w:val="00A47E79"/>
    <w:rsid w:val="00A47F78"/>
    <w:rsid w:val="00A47F92"/>
    <w:rsid w:val="00A50261"/>
    <w:rsid w:val="00A502E3"/>
    <w:rsid w:val="00A50404"/>
    <w:rsid w:val="00A505B0"/>
    <w:rsid w:val="00A507BC"/>
    <w:rsid w:val="00A507D5"/>
    <w:rsid w:val="00A50BB4"/>
    <w:rsid w:val="00A50C83"/>
    <w:rsid w:val="00A50E5C"/>
    <w:rsid w:val="00A50EDD"/>
    <w:rsid w:val="00A50F6C"/>
    <w:rsid w:val="00A51078"/>
    <w:rsid w:val="00A511E2"/>
    <w:rsid w:val="00A5126A"/>
    <w:rsid w:val="00A512E4"/>
    <w:rsid w:val="00A5142E"/>
    <w:rsid w:val="00A5165E"/>
    <w:rsid w:val="00A517D8"/>
    <w:rsid w:val="00A517EF"/>
    <w:rsid w:val="00A51867"/>
    <w:rsid w:val="00A519FD"/>
    <w:rsid w:val="00A51A12"/>
    <w:rsid w:val="00A51F54"/>
    <w:rsid w:val="00A5228C"/>
    <w:rsid w:val="00A522B3"/>
    <w:rsid w:val="00A5235B"/>
    <w:rsid w:val="00A5237B"/>
    <w:rsid w:val="00A523DC"/>
    <w:rsid w:val="00A52605"/>
    <w:rsid w:val="00A52638"/>
    <w:rsid w:val="00A52921"/>
    <w:rsid w:val="00A52949"/>
    <w:rsid w:val="00A52A24"/>
    <w:rsid w:val="00A52AD0"/>
    <w:rsid w:val="00A52B9B"/>
    <w:rsid w:val="00A52C02"/>
    <w:rsid w:val="00A52D3B"/>
    <w:rsid w:val="00A52F15"/>
    <w:rsid w:val="00A53239"/>
    <w:rsid w:val="00A532A1"/>
    <w:rsid w:val="00A532DD"/>
    <w:rsid w:val="00A532E9"/>
    <w:rsid w:val="00A53421"/>
    <w:rsid w:val="00A535FF"/>
    <w:rsid w:val="00A536B8"/>
    <w:rsid w:val="00A53961"/>
    <w:rsid w:val="00A53CEE"/>
    <w:rsid w:val="00A53D5A"/>
    <w:rsid w:val="00A53DE7"/>
    <w:rsid w:val="00A543E9"/>
    <w:rsid w:val="00A5440F"/>
    <w:rsid w:val="00A544F6"/>
    <w:rsid w:val="00A5473E"/>
    <w:rsid w:val="00A54A09"/>
    <w:rsid w:val="00A54B47"/>
    <w:rsid w:val="00A54B7B"/>
    <w:rsid w:val="00A54C52"/>
    <w:rsid w:val="00A54D59"/>
    <w:rsid w:val="00A54DFC"/>
    <w:rsid w:val="00A54F47"/>
    <w:rsid w:val="00A551AE"/>
    <w:rsid w:val="00A552BB"/>
    <w:rsid w:val="00A5533D"/>
    <w:rsid w:val="00A5555D"/>
    <w:rsid w:val="00A55600"/>
    <w:rsid w:val="00A55708"/>
    <w:rsid w:val="00A5577C"/>
    <w:rsid w:val="00A558B8"/>
    <w:rsid w:val="00A55A43"/>
    <w:rsid w:val="00A55AD4"/>
    <w:rsid w:val="00A55B5F"/>
    <w:rsid w:val="00A55C0D"/>
    <w:rsid w:val="00A55C2D"/>
    <w:rsid w:val="00A55C3C"/>
    <w:rsid w:val="00A55C59"/>
    <w:rsid w:val="00A55C76"/>
    <w:rsid w:val="00A55F09"/>
    <w:rsid w:val="00A55FEA"/>
    <w:rsid w:val="00A562CE"/>
    <w:rsid w:val="00A565C5"/>
    <w:rsid w:val="00A5677E"/>
    <w:rsid w:val="00A56880"/>
    <w:rsid w:val="00A56A19"/>
    <w:rsid w:val="00A57031"/>
    <w:rsid w:val="00A57130"/>
    <w:rsid w:val="00A57356"/>
    <w:rsid w:val="00A573B0"/>
    <w:rsid w:val="00A577B3"/>
    <w:rsid w:val="00A57AF9"/>
    <w:rsid w:val="00A57C57"/>
    <w:rsid w:val="00A57E3E"/>
    <w:rsid w:val="00A57F97"/>
    <w:rsid w:val="00A57FA8"/>
    <w:rsid w:val="00A57FF3"/>
    <w:rsid w:val="00A60174"/>
    <w:rsid w:val="00A6086C"/>
    <w:rsid w:val="00A6089F"/>
    <w:rsid w:val="00A608D1"/>
    <w:rsid w:val="00A60AB1"/>
    <w:rsid w:val="00A60BFF"/>
    <w:rsid w:val="00A60CEB"/>
    <w:rsid w:val="00A6106B"/>
    <w:rsid w:val="00A611FA"/>
    <w:rsid w:val="00A61282"/>
    <w:rsid w:val="00A612E8"/>
    <w:rsid w:val="00A612F2"/>
    <w:rsid w:val="00A61394"/>
    <w:rsid w:val="00A614D8"/>
    <w:rsid w:val="00A61651"/>
    <w:rsid w:val="00A6186F"/>
    <w:rsid w:val="00A6189A"/>
    <w:rsid w:val="00A61C41"/>
    <w:rsid w:val="00A61EFF"/>
    <w:rsid w:val="00A61F0F"/>
    <w:rsid w:val="00A62039"/>
    <w:rsid w:val="00A6203A"/>
    <w:rsid w:val="00A62122"/>
    <w:rsid w:val="00A6216F"/>
    <w:rsid w:val="00A621DC"/>
    <w:rsid w:val="00A62554"/>
    <w:rsid w:val="00A62648"/>
    <w:rsid w:val="00A6293B"/>
    <w:rsid w:val="00A62DA8"/>
    <w:rsid w:val="00A62DAC"/>
    <w:rsid w:val="00A62E52"/>
    <w:rsid w:val="00A62F5B"/>
    <w:rsid w:val="00A630F5"/>
    <w:rsid w:val="00A63134"/>
    <w:rsid w:val="00A63196"/>
    <w:rsid w:val="00A633D7"/>
    <w:rsid w:val="00A6373F"/>
    <w:rsid w:val="00A6376D"/>
    <w:rsid w:val="00A63BF4"/>
    <w:rsid w:val="00A63CC3"/>
    <w:rsid w:val="00A63E3F"/>
    <w:rsid w:val="00A63F0E"/>
    <w:rsid w:val="00A63F65"/>
    <w:rsid w:val="00A64076"/>
    <w:rsid w:val="00A641F1"/>
    <w:rsid w:val="00A64485"/>
    <w:rsid w:val="00A64A5B"/>
    <w:rsid w:val="00A64C99"/>
    <w:rsid w:val="00A64CEA"/>
    <w:rsid w:val="00A64F10"/>
    <w:rsid w:val="00A6502D"/>
    <w:rsid w:val="00A6510F"/>
    <w:rsid w:val="00A651E1"/>
    <w:rsid w:val="00A65422"/>
    <w:rsid w:val="00A655E9"/>
    <w:rsid w:val="00A65995"/>
    <w:rsid w:val="00A65A56"/>
    <w:rsid w:val="00A65DE9"/>
    <w:rsid w:val="00A65F51"/>
    <w:rsid w:val="00A65FF0"/>
    <w:rsid w:val="00A6612A"/>
    <w:rsid w:val="00A661DA"/>
    <w:rsid w:val="00A66275"/>
    <w:rsid w:val="00A662EA"/>
    <w:rsid w:val="00A663ED"/>
    <w:rsid w:val="00A6660C"/>
    <w:rsid w:val="00A66942"/>
    <w:rsid w:val="00A66A47"/>
    <w:rsid w:val="00A66A84"/>
    <w:rsid w:val="00A67009"/>
    <w:rsid w:val="00A67061"/>
    <w:rsid w:val="00A670C6"/>
    <w:rsid w:val="00A67520"/>
    <w:rsid w:val="00A675AE"/>
    <w:rsid w:val="00A67682"/>
    <w:rsid w:val="00A676DF"/>
    <w:rsid w:val="00A677B7"/>
    <w:rsid w:val="00A6788C"/>
    <w:rsid w:val="00A679C0"/>
    <w:rsid w:val="00A67B8B"/>
    <w:rsid w:val="00A67BF3"/>
    <w:rsid w:val="00A67C31"/>
    <w:rsid w:val="00A67FAD"/>
    <w:rsid w:val="00A7013C"/>
    <w:rsid w:val="00A70318"/>
    <w:rsid w:val="00A703F2"/>
    <w:rsid w:val="00A70419"/>
    <w:rsid w:val="00A705CC"/>
    <w:rsid w:val="00A707A4"/>
    <w:rsid w:val="00A707B3"/>
    <w:rsid w:val="00A7084C"/>
    <w:rsid w:val="00A709D7"/>
    <w:rsid w:val="00A70CE5"/>
    <w:rsid w:val="00A70D52"/>
    <w:rsid w:val="00A70E7D"/>
    <w:rsid w:val="00A70EF2"/>
    <w:rsid w:val="00A70F91"/>
    <w:rsid w:val="00A7115B"/>
    <w:rsid w:val="00A71349"/>
    <w:rsid w:val="00A71443"/>
    <w:rsid w:val="00A71488"/>
    <w:rsid w:val="00A71512"/>
    <w:rsid w:val="00A7164A"/>
    <w:rsid w:val="00A7182C"/>
    <w:rsid w:val="00A71BF6"/>
    <w:rsid w:val="00A71D08"/>
    <w:rsid w:val="00A71D4B"/>
    <w:rsid w:val="00A71E0C"/>
    <w:rsid w:val="00A71E69"/>
    <w:rsid w:val="00A71F15"/>
    <w:rsid w:val="00A7200F"/>
    <w:rsid w:val="00A724A5"/>
    <w:rsid w:val="00A725F8"/>
    <w:rsid w:val="00A72666"/>
    <w:rsid w:val="00A72688"/>
    <w:rsid w:val="00A726BA"/>
    <w:rsid w:val="00A727CE"/>
    <w:rsid w:val="00A72E38"/>
    <w:rsid w:val="00A72EBD"/>
    <w:rsid w:val="00A72FEA"/>
    <w:rsid w:val="00A733AF"/>
    <w:rsid w:val="00A73560"/>
    <w:rsid w:val="00A73896"/>
    <w:rsid w:val="00A73946"/>
    <w:rsid w:val="00A73AA6"/>
    <w:rsid w:val="00A73AB4"/>
    <w:rsid w:val="00A73C65"/>
    <w:rsid w:val="00A73D2E"/>
    <w:rsid w:val="00A743AC"/>
    <w:rsid w:val="00A743F0"/>
    <w:rsid w:val="00A744AD"/>
    <w:rsid w:val="00A74824"/>
    <w:rsid w:val="00A74837"/>
    <w:rsid w:val="00A74C33"/>
    <w:rsid w:val="00A74CB7"/>
    <w:rsid w:val="00A74EAC"/>
    <w:rsid w:val="00A75407"/>
    <w:rsid w:val="00A756D4"/>
    <w:rsid w:val="00A7573C"/>
    <w:rsid w:val="00A7577E"/>
    <w:rsid w:val="00A75ADC"/>
    <w:rsid w:val="00A75AF5"/>
    <w:rsid w:val="00A75D03"/>
    <w:rsid w:val="00A75E2F"/>
    <w:rsid w:val="00A75E4D"/>
    <w:rsid w:val="00A75FE5"/>
    <w:rsid w:val="00A7601E"/>
    <w:rsid w:val="00A7602D"/>
    <w:rsid w:val="00A7604D"/>
    <w:rsid w:val="00A76183"/>
    <w:rsid w:val="00A761A8"/>
    <w:rsid w:val="00A763CC"/>
    <w:rsid w:val="00A769CD"/>
    <w:rsid w:val="00A7759F"/>
    <w:rsid w:val="00A77671"/>
    <w:rsid w:val="00A776D4"/>
    <w:rsid w:val="00A776F2"/>
    <w:rsid w:val="00A77729"/>
    <w:rsid w:val="00A778F9"/>
    <w:rsid w:val="00A77A82"/>
    <w:rsid w:val="00A77B35"/>
    <w:rsid w:val="00A77B38"/>
    <w:rsid w:val="00A77C63"/>
    <w:rsid w:val="00A77C75"/>
    <w:rsid w:val="00A77D55"/>
    <w:rsid w:val="00A77DA2"/>
    <w:rsid w:val="00A77DC3"/>
    <w:rsid w:val="00A77E0E"/>
    <w:rsid w:val="00A77FFC"/>
    <w:rsid w:val="00A8013C"/>
    <w:rsid w:val="00A8039A"/>
    <w:rsid w:val="00A8048F"/>
    <w:rsid w:val="00A804E1"/>
    <w:rsid w:val="00A806B7"/>
    <w:rsid w:val="00A80784"/>
    <w:rsid w:val="00A808D6"/>
    <w:rsid w:val="00A80A2A"/>
    <w:rsid w:val="00A80A89"/>
    <w:rsid w:val="00A80B08"/>
    <w:rsid w:val="00A80BCF"/>
    <w:rsid w:val="00A80D91"/>
    <w:rsid w:val="00A81076"/>
    <w:rsid w:val="00A81092"/>
    <w:rsid w:val="00A813D7"/>
    <w:rsid w:val="00A814DE"/>
    <w:rsid w:val="00A81667"/>
    <w:rsid w:val="00A81A95"/>
    <w:rsid w:val="00A81B99"/>
    <w:rsid w:val="00A81CEA"/>
    <w:rsid w:val="00A81CF7"/>
    <w:rsid w:val="00A81EE3"/>
    <w:rsid w:val="00A81FB7"/>
    <w:rsid w:val="00A81FD5"/>
    <w:rsid w:val="00A82101"/>
    <w:rsid w:val="00A8211E"/>
    <w:rsid w:val="00A82158"/>
    <w:rsid w:val="00A82421"/>
    <w:rsid w:val="00A82528"/>
    <w:rsid w:val="00A827C5"/>
    <w:rsid w:val="00A82AAB"/>
    <w:rsid w:val="00A82AAF"/>
    <w:rsid w:val="00A82B18"/>
    <w:rsid w:val="00A82B7E"/>
    <w:rsid w:val="00A82DFA"/>
    <w:rsid w:val="00A82FA3"/>
    <w:rsid w:val="00A831CC"/>
    <w:rsid w:val="00A83244"/>
    <w:rsid w:val="00A83283"/>
    <w:rsid w:val="00A8334E"/>
    <w:rsid w:val="00A8338B"/>
    <w:rsid w:val="00A83391"/>
    <w:rsid w:val="00A8340D"/>
    <w:rsid w:val="00A834AA"/>
    <w:rsid w:val="00A8369C"/>
    <w:rsid w:val="00A83AB1"/>
    <w:rsid w:val="00A83BE4"/>
    <w:rsid w:val="00A83D64"/>
    <w:rsid w:val="00A83EC7"/>
    <w:rsid w:val="00A8421E"/>
    <w:rsid w:val="00A8472D"/>
    <w:rsid w:val="00A84749"/>
    <w:rsid w:val="00A84789"/>
    <w:rsid w:val="00A847DE"/>
    <w:rsid w:val="00A8481D"/>
    <w:rsid w:val="00A84A5A"/>
    <w:rsid w:val="00A84A65"/>
    <w:rsid w:val="00A84CFA"/>
    <w:rsid w:val="00A84EB0"/>
    <w:rsid w:val="00A8502D"/>
    <w:rsid w:val="00A8526A"/>
    <w:rsid w:val="00A8539B"/>
    <w:rsid w:val="00A85453"/>
    <w:rsid w:val="00A855E6"/>
    <w:rsid w:val="00A85656"/>
    <w:rsid w:val="00A856F6"/>
    <w:rsid w:val="00A857E9"/>
    <w:rsid w:val="00A857EC"/>
    <w:rsid w:val="00A85EDB"/>
    <w:rsid w:val="00A8630A"/>
    <w:rsid w:val="00A86314"/>
    <w:rsid w:val="00A8643E"/>
    <w:rsid w:val="00A865E5"/>
    <w:rsid w:val="00A86623"/>
    <w:rsid w:val="00A866FC"/>
    <w:rsid w:val="00A868C0"/>
    <w:rsid w:val="00A86937"/>
    <w:rsid w:val="00A86946"/>
    <w:rsid w:val="00A86DF1"/>
    <w:rsid w:val="00A86E73"/>
    <w:rsid w:val="00A86ED5"/>
    <w:rsid w:val="00A87095"/>
    <w:rsid w:val="00A870B7"/>
    <w:rsid w:val="00A872D8"/>
    <w:rsid w:val="00A87860"/>
    <w:rsid w:val="00A87A50"/>
    <w:rsid w:val="00A87AE1"/>
    <w:rsid w:val="00A87C79"/>
    <w:rsid w:val="00A87E8F"/>
    <w:rsid w:val="00A90247"/>
    <w:rsid w:val="00A90297"/>
    <w:rsid w:val="00A902E9"/>
    <w:rsid w:val="00A904E3"/>
    <w:rsid w:val="00A905A6"/>
    <w:rsid w:val="00A907E3"/>
    <w:rsid w:val="00A90861"/>
    <w:rsid w:val="00A90BED"/>
    <w:rsid w:val="00A911A3"/>
    <w:rsid w:val="00A9135C"/>
    <w:rsid w:val="00A915A1"/>
    <w:rsid w:val="00A91652"/>
    <w:rsid w:val="00A917F7"/>
    <w:rsid w:val="00A91B04"/>
    <w:rsid w:val="00A91EDC"/>
    <w:rsid w:val="00A92114"/>
    <w:rsid w:val="00A9219D"/>
    <w:rsid w:val="00A9223B"/>
    <w:rsid w:val="00A92245"/>
    <w:rsid w:val="00A9228D"/>
    <w:rsid w:val="00A922A5"/>
    <w:rsid w:val="00A923BD"/>
    <w:rsid w:val="00A92430"/>
    <w:rsid w:val="00A92476"/>
    <w:rsid w:val="00A924B4"/>
    <w:rsid w:val="00A92751"/>
    <w:rsid w:val="00A92B2A"/>
    <w:rsid w:val="00A92D97"/>
    <w:rsid w:val="00A92EB8"/>
    <w:rsid w:val="00A92F96"/>
    <w:rsid w:val="00A93170"/>
    <w:rsid w:val="00A93688"/>
    <w:rsid w:val="00A93847"/>
    <w:rsid w:val="00A93B25"/>
    <w:rsid w:val="00A93CF0"/>
    <w:rsid w:val="00A93E3F"/>
    <w:rsid w:val="00A93EDF"/>
    <w:rsid w:val="00A9403D"/>
    <w:rsid w:val="00A94114"/>
    <w:rsid w:val="00A94238"/>
    <w:rsid w:val="00A9457D"/>
    <w:rsid w:val="00A94679"/>
    <w:rsid w:val="00A9482F"/>
    <w:rsid w:val="00A94851"/>
    <w:rsid w:val="00A94A88"/>
    <w:rsid w:val="00A94B94"/>
    <w:rsid w:val="00A94DCB"/>
    <w:rsid w:val="00A94FC6"/>
    <w:rsid w:val="00A94FE4"/>
    <w:rsid w:val="00A95107"/>
    <w:rsid w:val="00A9515E"/>
    <w:rsid w:val="00A9536E"/>
    <w:rsid w:val="00A95408"/>
    <w:rsid w:val="00A955D6"/>
    <w:rsid w:val="00A95610"/>
    <w:rsid w:val="00A9575A"/>
    <w:rsid w:val="00A9579D"/>
    <w:rsid w:val="00A9585A"/>
    <w:rsid w:val="00A95B1E"/>
    <w:rsid w:val="00A95BF0"/>
    <w:rsid w:val="00A95C14"/>
    <w:rsid w:val="00A95DB3"/>
    <w:rsid w:val="00A960A2"/>
    <w:rsid w:val="00A960F7"/>
    <w:rsid w:val="00A961EC"/>
    <w:rsid w:val="00A96382"/>
    <w:rsid w:val="00A9639F"/>
    <w:rsid w:val="00A9647F"/>
    <w:rsid w:val="00A965B5"/>
    <w:rsid w:val="00A965E8"/>
    <w:rsid w:val="00A96624"/>
    <w:rsid w:val="00A96657"/>
    <w:rsid w:val="00A969BA"/>
    <w:rsid w:val="00A96A77"/>
    <w:rsid w:val="00A970A9"/>
    <w:rsid w:val="00A97386"/>
    <w:rsid w:val="00A973D1"/>
    <w:rsid w:val="00A977C8"/>
    <w:rsid w:val="00A978D3"/>
    <w:rsid w:val="00A97A63"/>
    <w:rsid w:val="00A97E22"/>
    <w:rsid w:val="00AA01A7"/>
    <w:rsid w:val="00AA01C3"/>
    <w:rsid w:val="00AA028B"/>
    <w:rsid w:val="00AA0440"/>
    <w:rsid w:val="00AA0586"/>
    <w:rsid w:val="00AA05A6"/>
    <w:rsid w:val="00AA0691"/>
    <w:rsid w:val="00AA0AC4"/>
    <w:rsid w:val="00AA0AE8"/>
    <w:rsid w:val="00AA0DCD"/>
    <w:rsid w:val="00AA0E03"/>
    <w:rsid w:val="00AA0F98"/>
    <w:rsid w:val="00AA0FEF"/>
    <w:rsid w:val="00AA12EF"/>
    <w:rsid w:val="00AA1689"/>
    <w:rsid w:val="00AA1781"/>
    <w:rsid w:val="00AA1974"/>
    <w:rsid w:val="00AA1A2E"/>
    <w:rsid w:val="00AA1B20"/>
    <w:rsid w:val="00AA1B70"/>
    <w:rsid w:val="00AA1F0E"/>
    <w:rsid w:val="00AA1FFF"/>
    <w:rsid w:val="00AA216D"/>
    <w:rsid w:val="00AA2328"/>
    <w:rsid w:val="00AA2527"/>
    <w:rsid w:val="00AA27C8"/>
    <w:rsid w:val="00AA2B3E"/>
    <w:rsid w:val="00AA2B5B"/>
    <w:rsid w:val="00AA2CA9"/>
    <w:rsid w:val="00AA2E44"/>
    <w:rsid w:val="00AA301A"/>
    <w:rsid w:val="00AA3398"/>
    <w:rsid w:val="00AA34C8"/>
    <w:rsid w:val="00AA35A9"/>
    <w:rsid w:val="00AA3BAA"/>
    <w:rsid w:val="00AA3F7F"/>
    <w:rsid w:val="00AA4276"/>
    <w:rsid w:val="00AA4457"/>
    <w:rsid w:val="00AA47F5"/>
    <w:rsid w:val="00AA484B"/>
    <w:rsid w:val="00AA498A"/>
    <w:rsid w:val="00AA4AF4"/>
    <w:rsid w:val="00AA4B67"/>
    <w:rsid w:val="00AA4C82"/>
    <w:rsid w:val="00AA4CB3"/>
    <w:rsid w:val="00AA4D14"/>
    <w:rsid w:val="00AA4E7B"/>
    <w:rsid w:val="00AA4F17"/>
    <w:rsid w:val="00AA4F6E"/>
    <w:rsid w:val="00AA4FC3"/>
    <w:rsid w:val="00AA5098"/>
    <w:rsid w:val="00AA50A8"/>
    <w:rsid w:val="00AA5358"/>
    <w:rsid w:val="00AA542C"/>
    <w:rsid w:val="00AA560E"/>
    <w:rsid w:val="00AA5642"/>
    <w:rsid w:val="00AA56F4"/>
    <w:rsid w:val="00AA5770"/>
    <w:rsid w:val="00AA580B"/>
    <w:rsid w:val="00AA593B"/>
    <w:rsid w:val="00AA5DC3"/>
    <w:rsid w:val="00AA5E51"/>
    <w:rsid w:val="00AA5EDD"/>
    <w:rsid w:val="00AA6497"/>
    <w:rsid w:val="00AA65A6"/>
    <w:rsid w:val="00AA6912"/>
    <w:rsid w:val="00AA6BF4"/>
    <w:rsid w:val="00AA6CA3"/>
    <w:rsid w:val="00AA6DF9"/>
    <w:rsid w:val="00AA70BC"/>
    <w:rsid w:val="00AA71C8"/>
    <w:rsid w:val="00AA7282"/>
    <w:rsid w:val="00AA730B"/>
    <w:rsid w:val="00AA7558"/>
    <w:rsid w:val="00AA7A39"/>
    <w:rsid w:val="00AA7AAC"/>
    <w:rsid w:val="00AA7C23"/>
    <w:rsid w:val="00AA7CCC"/>
    <w:rsid w:val="00AB0369"/>
    <w:rsid w:val="00AB0540"/>
    <w:rsid w:val="00AB06CD"/>
    <w:rsid w:val="00AB078E"/>
    <w:rsid w:val="00AB0848"/>
    <w:rsid w:val="00AB0F55"/>
    <w:rsid w:val="00AB100D"/>
    <w:rsid w:val="00AB11CF"/>
    <w:rsid w:val="00AB11DF"/>
    <w:rsid w:val="00AB1603"/>
    <w:rsid w:val="00AB16BD"/>
    <w:rsid w:val="00AB16E7"/>
    <w:rsid w:val="00AB17C8"/>
    <w:rsid w:val="00AB1941"/>
    <w:rsid w:val="00AB1A4F"/>
    <w:rsid w:val="00AB1A81"/>
    <w:rsid w:val="00AB1AA3"/>
    <w:rsid w:val="00AB1BF2"/>
    <w:rsid w:val="00AB1F3F"/>
    <w:rsid w:val="00AB2038"/>
    <w:rsid w:val="00AB217A"/>
    <w:rsid w:val="00AB2203"/>
    <w:rsid w:val="00AB2346"/>
    <w:rsid w:val="00AB2472"/>
    <w:rsid w:val="00AB24C5"/>
    <w:rsid w:val="00AB2578"/>
    <w:rsid w:val="00AB2784"/>
    <w:rsid w:val="00AB326B"/>
    <w:rsid w:val="00AB3377"/>
    <w:rsid w:val="00AB3971"/>
    <w:rsid w:val="00AB3B5F"/>
    <w:rsid w:val="00AB3C0F"/>
    <w:rsid w:val="00AB3CE7"/>
    <w:rsid w:val="00AB4230"/>
    <w:rsid w:val="00AB42A4"/>
    <w:rsid w:val="00AB42E2"/>
    <w:rsid w:val="00AB42F8"/>
    <w:rsid w:val="00AB4618"/>
    <w:rsid w:val="00AB477C"/>
    <w:rsid w:val="00AB481F"/>
    <w:rsid w:val="00AB4878"/>
    <w:rsid w:val="00AB49A5"/>
    <w:rsid w:val="00AB49C1"/>
    <w:rsid w:val="00AB4AA6"/>
    <w:rsid w:val="00AB4C42"/>
    <w:rsid w:val="00AB4C82"/>
    <w:rsid w:val="00AB4CBB"/>
    <w:rsid w:val="00AB4DB1"/>
    <w:rsid w:val="00AB4EF2"/>
    <w:rsid w:val="00AB4F12"/>
    <w:rsid w:val="00AB4FF0"/>
    <w:rsid w:val="00AB5394"/>
    <w:rsid w:val="00AB53DC"/>
    <w:rsid w:val="00AB5643"/>
    <w:rsid w:val="00AB5961"/>
    <w:rsid w:val="00AB5BBD"/>
    <w:rsid w:val="00AB5D07"/>
    <w:rsid w:val="00AB5D4A"/>
    <w:rsid w:val="00AB5D81"/>
    <w:rsid w:val="00AB5FC0"/>
    <w:rsid w:val="00AB6042"/>
    <w:rsid w:val="00AB61C3"/>
    <w:rsid w:val="00AB61D2"/>
    <w:rsid w:val="00AB6392"/>
    <w:rsid w:val="00AB6428"/>
    <w:rsid w:val="00AB6466"/>
    <w:rsid w:val="00AB65C0"/>
    <w:rsid w:val="00AB66EB"/>
    <w:rsid w:val="00AB67A9"/>
    <w:rsid w:val="00AB67C9"/>
    <w:rsid w:val="00AB6A42"/>
    <w:rsid w:val="00AB6BC8"/>
    <w:rsid w:val="00AB6DD5"/>
    <w:rsid w:val="00AB6E0A"/>
    <w:rsid w:val="00AB708C"/>
    <w:rsid w:val="00AB70FE"/>
    <w:rsid w:val="00AB7131"/>
    <w:rsid w:val="00AB741C"/>
    <w:rsid w:val="00AB7567"/>
    <w:rsid w:val="00AB7736"/>
    <w:rsid w:val="00AB78BB"/>
    <w:rsid w:val="00AB7905"/>
    <w:rsid w:val="00AB7DC4"/>
    <w:rsid w:val="00AC0123"/>
    <w:rsid w:val="00AC01F6"/>
    <w:rsid w:val="00AC02BB"/>
    <w:rsid w:val="00AC02E4"/>
    <w:rsid w:val="00AC0780"/>
    <w:rsid w:val="00AC07C8"/>
    <w:rsid w:val="00AC090B"/>
    <w:rsid w:val="00AC0E19"/>
    <w:rsid w:val="00AC0EA0"/>
    <w:rsid w:val="00AC0F05"/>
    <w:rsid w:val="00AC0FEB"/>
    <w:rsid w:val="00AC11FF"/>
    <w:rsid w:val="00AC1294"/>
    <w:rsid w:val="00AC15A7"/>
    <w:rsid w:val="00AC16ED"/>
    <w:rsid w:val="00AC17D0"/>
    <w:rsid w:val="00AC18E1"/>
    <w:rsid w:val="00AC1B23"/>
    <w:rsid w:val="00AC1D15"/>
    <w:rsid w:val="00AC1DBD"/>
    <w:rsid w:val="00AC1E76"/>
    <w:rsid w:val="00AC241F"/>
    <w:rsid w:val="00AC244A"/>
    <w:rsid w:val="00AC2566"/>
    <w:rsid w:val="00AC2641"/>
    <w:rsid w:val="00AC2698"/>
    <w:rsid w:val="00AC269B"/>
    <w:rsid w:val="00AC26C1"/>
    <w:rsid w:val="00AC2839"/>
    <w:rsid w:val="00AC2BBE"/>
    <w:rsid w:val="00AC2C91"/>
    <w:rsid w:val="00AC3015"/>
    <w:rsid w:val="00AC30CF"/>
    <w:rsid w:val="00AC3368"/>
    <w:rsid w:val="00AC34DE"/>
    <w:rsid w:val="00AC350A"/>
    <w:rsid w:val="00AC3523"/>
    <w:rsid w:val="00AC355C"/>
    <w:rsid w:val="00AC3889"/>
    <w:rsid w:val="00AC3C17"/>
    <w:rsid w:val="00AC3D7B"/>
    <w:rsid w:val="00AC4181"/>
    <w:rsid w:val="00AC41FB"/>
    <w:rsid w:val="00AC4326"/>
    <w:rsid w:val="00AC44C0"/>
    <w:rsid w:val="00AC460C"/>
    <w:rsid w:val="00AC473E"/>
    <w:rsid w:val="00AC482D"/>
    <w:rsid w:val="00AC499D"/>
    <w:rsid w:val="00AC4B67"/>
    <w:rsid w:val="00AC4CF0"/>
    <w:rsid w:val="00AC4D3E"/>
    <w:rsid w:val="00AC4FD6"/>
    <w:rsid w:val="00AC50E7"/>
    <w:rsid w:val="00AC5385"/>
    <w:rsid w:val="00AC5561"/>
    <w:rsid w:val="00AC5680"/>
    <w:rsid w:val="00AC56A2"/>
    <w:rsid w:val="00AC5721"/>
    <w:rsid w:val="00AC57D9"/>
    <w:rsid w:val="00AC584E"/>
    <w:rsid w:val="00AC5B20"/>
    <w:rsid w:val="00AC5B2E"/>
    <w:rsid w:val="00AC5BC6"/>
    <w:rsid w:val="00AC5DBB"/>
    <w:rsid w:val="00AC5E8A"/>
    <w:rsid w:val="00AC5F1E"/>
    <w:rsid w:val="00AC5F9E"/>
    <w:rsid w:val="00AC61D1"/>
    <w:rsid w:val="00AC6585"/>
    <w:rsid w:val="00AC65AD"/>
    <w:rsid w:val="00AC6675"/>
    <w:rsid w:val="00AC686B"/>
    <w:rsid w:val="00AC69BC"/>
    <w:rsid w:val="00AC69EC"/>
    <w:rsid w:val="00AC6A74"/>
    <w:rsid w:val="00AC6C64"/>
    <w:rsid w:val="00AC6D8A"/>
    <w:rsid w:val="00AC6DB2"/>
    <w:rsid w:val="00AC6E6D"/>
    <w:rsid w:val="00AC6FC3"/>
    <w:rsid w:val="00AC6FE1"/>
    <w:rsid w:val="00AC71AA"/>
    <w:rsid w:val="00AC7407"/>
    <w:rsid w:val="00AC7457"/>
    <w:rsid w:val="00AC7AE4"/>
    <w:rsid w:val="00AC7B0B"/>
    <w:rsid w:val="00AC7E84"/>
    <w:rsid w:val="00AD0157"/>
    <w:rsid w:val="00AD01DC"/>
    <w:rsid w:val="00AD033E"/>
    <w:rsid w:val="00AD0BC0"/>
    <w:rsid w:val="00AD1038"/>
    <w:rsid w:val="00AD15EB"/>
    <w:rsid w:val="00AD16C4"/>
    <w:rsid w:val="00AD17DF"/>
    <w:rsid w:val="00AD18FC"/>
    <w:rsid w:val="00AD1DEA"/>
    <w:rsid w:val="00AD1E03"/>
    <w:rsid w:val="00AD1E8B"/>
    <w:rsid w:val="00AD1EBE"/>
    <w:rsid w:val="00AD2157"/>
    <w:rsid w:val="00AD21DC"/>
    <w:rsid w:val="00AD24BF"/>
    <w:rsid w:val="00AD24C8"/>
    <w:rsid w:val="00AD269F"/>
    <w:rsid w:val="00AD26F5"/>
    <w:rsid w:val="00AD28EC"/>
    <w:rsid w:val="00AD29E5"/>
    <w:rsid w:val="00AD2B7B"/>
    <w:rsid w:val="00AD2C0A"/>
    <w:rsid w:val="00AD2C72"/>
    <w:rsid w:val="00AD3093"/>
    <w:rsid w:val="00AD3208"/>
    <w:rsid w:val="00AD323C"/>
    <w:rsid w:val="00AD32E0"/>
    <w:rsid w:val="00AD337D"/>
    <w:rsid w:val="00AD365A"/>
    <w:rsid w:val="00AD36AC"/>
    <w:rsid w:val="00AD3916"/>
    <w:rsid w:val="00AD3948"/>
    <w:rsid w:val="00AD39E9"/>
    <w:rsid w:val="00AD3B11"/>
    <w:rsid w:val="00AD3C7E"/>
    <w:rsid w:val="00AD3D48"/>
    <w:rsid w:val="00AD40A4"/>
    <w:rsid w:val="00AD416F"/>
    <w:rsid w:val="00AD42CE"/>
    <w:rsid w:val="00AD4490"/>
    <w:rsid w:val="00AD4492"/>
    <w:rsid w:val="00AD45AC"/>
    <w:rsid w:val="00AD46EC"/>
    <w:rsid w:val="00AD4717"/>
    <w:rsid w:val="00AD47CE"/>
    <w:rsid w:val="00AD4845"/>
    <w:rsid w:val="00AD49D0"/>
    <w:rsid w:val="00AD4B4D"/>
    <w:rsid w:val="00AD4D46"/>
    <w:rsid w:val="00AD4FCF"/>
    <w:rsid w:val="00AD53D8"/>
    <w:rsid w:val="00AD54A1"/>
    <w:rsid w:val="00AD5523"/>
    <w:rsid w:val="00AD5561"/>
    <w:rsid w:val="00AD5816"/>
    <w:rsid w:val="00AD5952"/>
    <w:rsid w:val="00AD5A7A"/>
    <w:rsid w:val="00AD5AC8"/>
    <w:rsid w:val="00AD5C44"/>
    <w:rsid w:val="00AD6029"/>
    <w:rsid w:val="00AD6077"/>
    <w:rsid w:val="00AD60AE"/>
    <w:rsid w:val="00AD6262"/>
    <w:rsid w:val="00AD6573"/>
    <w:rsid w:val="00AD67AD"/>
    <w:rsid w:val="00AD6843"/>
    <w:rsid w:val="00AD6D79"/>
    <w:rsid w:val="00AD6FF4"/>
    <w:rsid w:val="00AD7020"/>
    <w:rsid w:val="00AD70BB"/>
    <w:rsid w:val="00AD7201"/>
    <w:rsid w:val="00AD72A2"/>
    <w:rsid w:val="00AD74A1"/>
    <w:rsid w:val="00AD77C9"/>
    <w:rsid w:val="00AD77F2"/>
    <w:rsid w:val="00AD781B"/>
    <w:rsid w:val="00AD7B02"/>
    <w:rsid w:val="00AD7B17"/>
    <w:rsid w:val="00AD7B55"/>
    <w:rsid w:val="00AD7C72"/>
    <w:rsid w:val="00AD7DA3"/>
    <w:rsid w:val="00AD7E32"/>
    <w:rsid w:val="00AE021F"/>
    <w:rsid w:val="00AE032B"/>
    <w:rsid w:val="00AE04D4"/>
    <w:rsid w:val="00AE050C"/>
    <w:rsid w:val="00AE065A"/>
    <w:rsid w:val="00AE0726"/>
    <w:rsid w:val="00AE07A2"/>
    <w:rsid w:val="00AE0801"/>
    <w:rsid w:val="00AE0AAE"/>
    <w:rsid w:val="00AE0B52"/>
    <w:rsid w:val="00AE0CEB"/>
    <w:rsid w:val="00AE0D00"/>
    <w:rsid w:val="00AE0DDB"/>
    <w:rsid w:val="00AE1345"/>
    <w:rsid w:val="00AE14D4"/>
    <w:rsid w:val="00AE1506"/>
    <w:rsid w:val="00AE15D5"/>
    <w:rsid w:val="00AE160F"/>
    <w:rsid w:val="00AE1614"/>
    <w:rsid w:val="00AE16F1"/>
    <w:rsid w:val="00AE1A2C"/>
    <w:rsid w:val="00AE1AB8"/>
    <w:rsid w:val="00AE1B94"/>
    <w:rsid w:val="00AE1C92"/>
    <w:rsid w:val="00AE1EAA"/>
    <w:rsid w:val="00AE204F"/>
    <w:rsid w:val="00AE2175"/>
    <w:rsid w:val="00AE23FE"/>
    <w:rsid w:val="00AE249A"/>
    <w:rsid w:val="00AE24D2"/>
    <w:rsid w:val="00AE25FE"/>
    <w:rsid w:val="00AE29FD"/>
    <w:rsid w:val="00AE2E20"/>
    <w:rsid w:val="00AE2EBC"/>
    <w:rsid w:val="00AE2EDA"/>
    <w:rsid w:val="00AE2FDD"/>
    <w:rsid w:val="00AE3343"/>
    <w:rsid w:val="00AE35E2"/>
    <w:rsid w:val="00AE3643"/>
    <w:rsid w:val="00AE3669"/>
    <w:rsid w:val="00AE372C"/>
    <w:rsid w:val="00AE397A"/>
    <w:rsid w:val="00AE3B81"/>
    <w:rsid w:val="00AE3B89"/>
    <w:rsid w:val="00AE3C53"/>
    <w:rsid w:val="00AE41C4"/>
    <w:rsid w:val="00AE4489"/>
    <w:rsid w:val="00AE458C"/>
    <w:rsid w:val="00AE4618"/>
    <w:rsid w:val="00AE4713"/>
    <w:rsid w:val="00AE48C6"/>
    <w:rsid w:val="00AE4904"/>
    <w:rsid w:val="00AE49D6"/>
    <w:rsid w:val="00AE4AC2"/>
    <w:rsid w:val="00AE4B46"/>
    <w:rsid w:val="00AE4BDB"/>
    <w:rsid w:val="00AE4D62"/>
    <w:rsid w:val="00AE4DA6"/>
    <w:rsid w:val="00AE4DE3"/>
    <w:rsid w:val="00AE4E18"/>
    <w:rsid w:val="00AE4E22"/>
    <w:rsid w:val="00AE5119"/>
    <w:rsid w:val="00AE52C8"/>
    <w:rsid w:val="00AE548D"/>
    <w:rsid w:val="00AE5490"/>
    <w:rsid w:val="00AE54A7"/>
    <w:rsid w:val="00AE5711"/>
    <w:rsid w:val="00AE5817"/>
    <w:rsid w:val="00AE5C5B"/>
    <w:rsid w:val="00AE5C88"/>
    <w:rsid w:val="00AE5DC0"/>
    <w:rsid w:val="00AE630A"/>
    <w:rsid w:val="00AE6388"/>
    <w:rsid w:val="00AE6580"/>
    <w:rsid w:val="00AE65D6"/>
    <w:rsid w:val="00AE6600"/>
    <w:rsid w:val="00AE66C8"/>
    <w:rsid w:val="00AE68CF"/>
    <w:rsid w:val="00AE690F"/>
    <w:rsid w:val="00AE6A01"/>
    <w:rsid w:val="00AE6C30"/>
    <w:rsid w:val="00AE6F23"/>
    <w:rsid w:val="00AE6F74"/>
    <w:rsid w:val="00AE7326"/>
    <w:rsid w:val="00AE75FE"/>
    <w:rsid w:val="00AE7904"/>
    <w:rsid w:val="00AE7B62"/>
    <w:rsid w:val="00AE7D70"/>
    <w:rsid w:val="00AE7F7A"/>
    <w:rsid w:val="00AF0002"/>
    <w:rsid w:val="00AF0290"/>
    <w:rsid w:val="00AF043A"/>
    <w:rsid w:val="00AF0713"/>
    <w:rsid w:val="00AF080B"/>
    <w:rsid w:val="00AF08EA"/>
    <w:rsid w:val="00AF0C50"/>
    <w:rsid w:val="00AF0CEF"/>
    <w:rsid w:val="00AF0E5B"/>
    <w:rsid w:val="00AF0F38"/>
    <w:rsid w:val="00AF1827"/>
    <w:rsid w:val="00AF1830"/>
    <w:rsid w:val="00AF183B"/>
    <w:rsid w:val="00AF1866"/>
    <w:rsid w:val="00AF19C2"/>
    <w:rsid w:val="00AF1A50"/>
    <w:rsid w:val="00AF1D56"/>
    <w:rsid w:val="00AF1DDB"/>
    <w:rsid w:val="00AF1EC6"/>
    <w:rsid w:val="00AF2160"/>
    <w:rsid w:val="00AF21DA"/>
    <w:rsid w:val="00AF243C"/>
    <w:rsid w:val="00AF276D"/>
    <w:rsid w:val="00AF2C3B"/>
    <w:rsid w:val="00AF2CC5"/>
    <w:rsid w:val="00AF2CD2"/>
    <w:rsid w:val="00AF2DCA"/>
    <w:rsid w:val="00AF2E2B"/>
    <w:rsid w:val="00AF2F1E"/>
    <w:rsid w:val="00AF2FBA"/>
    <w:rsid w:val="00AF3080"/>
    <w:rsid w:val="00AF321A"/>
    <w:rsid w:val="00AF32FF"/>
    <w:rsid w:val="00AF3571"/>
    <w:rsid w:val="00AF3575"/>
    <w:rsid w:val="00AF3842"/>
    <w:rsid w:val="00AF3F72"/>
    <w:rsid w:val="00AF4167"/>
    <w:rsid w:val="00AF45EB"/>
    <w:rsid w:val="00AF464D"/>
    <w:rsid w:val="00AF468F"/>
    <w:rsid w:val="00AF46BD"/>
    <w:rsid w:val="00AF472D"/>
    <w:rsid w:val="00AF475D"/>
    <w:rsid w:val="00AF4840"/>
    <w:rsid w:val="00AF485F"/>
    <w:rsid w:val="00AF4A73"/>
    <w:rsid w:val="00AF4C97"/>
    <w:rsid w:val="00AF4CCB"/>
    <w:rsid w:val="00AF4CF6"/>
    <w:rsid w:val="00AF4D13"/>
    <w:rsid w:val="00AF4EE5"/>
    <w:rsid w:val="00AF4FF3"/>
    <w:rsid w:val="00AF51AC"/>
    <w:rsid w:val="00AF523F"/>
    <w:rsid w:val="00AF5296"/>
    <w:rsid w:val="00AF53F6"/>
    <w:rsid w:val="00AF58D4"/>
    <w:rsid w:val="00AF60D9"/>
    <w:rsid w:val="00AF61A7"/>
    <w:rsid w:val="00AF63A0"/>
    <w:rsid w:val="00AF6479"/>
    <w:rsid w:val="00AF64C8"/>
    <w:rsid w:val="00AF69A4"/>
    <w:rsid w:val="00AF6A59"/>
    <w:rsid w:val="00AF6B46"/>
    <w:rsid w:val="00AF6BE3"/>
    <w:rsid w:val="00AF6DBD"/>
    <w:rsid w:val="00AF6F03"/>
    <w:rsid w:val="00AF733F"/>
    <w:rsid w:val="00AF742F"/>
    <w:rsid w:val="00AF7704"/>
    <w:rsid w:val="00AF7B17"/>
    <w:rsid w:val="00AF7C40"/>
    <w:rsid w:val="00AF7D7F"/>
    <w:rsid w:val="00AF7E5A"/>
    <w:rsid w:val="00B0019C"/>
    <w:rsid w:val="00B00323"/>
    <w:rsid w:val="00B0033C"/>
    <w:rsid w:val="00B00641"/>
    <w:rsid w:val="00B009B3"/>
    <w:rsid w:val="00B009DC"/>
    <w:rsid w:val="00B00AA1"/>
    <w:rsid w:val="00B00B12"/>
    <w:rsid w:val="00B00C27"/>
    <w:rsid w:val="00B01076"/>
    <w:rsid w:val="00B0112D"/>
    <w:rsid w:val="00B011AB"/>
    <w:rsid w:val="00B0124A"/>
    <w:rsid w:val="00B017B6"/>
    <w:rsid w:val="00B0190F"/>
    <w:rsid w:val="00B01C0F"/>
    <w:rsid w:val="00B01D0D"/>
    <w:rsid w:val="00B01DD5"/>
    <w:rsid w:val="00B01F3F"/>
    <w:rsid w:val="00B01F4B"/>
    <w:rsid w:val="00B020BA"/>
    <w:rsid w:val="00B02150"/>
    <w:rsid w:val="00B024C8"/>
    <w:rsid w:val="00B025D5"/>
    <w:rsid w:val="00B02635"/>
    <w:rsid w:val="00B026B6"/>
    <w:rsid w:val="00B0288F"/>
    <w:rsid w:val="00B029DA"/>
    <w:rsid w:val="00B02CFE"/>
    <w:rsid w:val="00B02DA9"/>
    <w:rsid w:val="00B02DE5"/>
    <w:rsid w:val="00B032E2"/>
    <w:rsid w:val="00B03308"/>
    <w:rsid w:val="00B03633"/>
    <w:rsid w:val="00B03A00"/>
    <w:rsid w:val="00B03AC5"/>
    <w:rsid w:val="00B03CF7"/>
    <w:rsid w:val="00B03ED7"/>
    <w:rsid w:val="00B04052"/>
    <w:rsid w:val="00B0407A"/>
    <w:rsid w:val="00B04206"/>
    <w:rsid w:val="00B042A1"/>
    <w:rsid w:val="00B044D1"/>
    <w:rsid w:val="00B04611"/>
    <w:rsid w:val="00B04726"/>
    <w:rsid w:val="00B04784"/>
    <w:rsid w:val="00B04D4F"/>
    <w:rsid w:val="00B04ED3"/>
    <w:rsid w:val="00B04F32"/>
    <w:rsid w:val="00B04FC2"/>
    <w:rsid w:val="00B05198"/>
    <w:rsid w:val="00B051BF"/>
    <w:rsid w:val="00B052B6"/>
    <w:rsid w:val="00B0554E"/>
    <w:rsid w:val="00B05750"/>
    <w:rsid w:val="00B05C90"/>
    <w:rsid w:val="00B05CF1"/>
    <w:rsid w:val="00B05E48"/>
    <w:rsid w:val="00B06064"/>
    <w:rsid w:val="00B06083"/>
    <w:rsid w:val="00B060BD"/>
    <w:rsid w:val="00B0633E"/>
    <w:rsid w:val="00B0667F"/>
    <w:rsid w:val="00B06684"/>
    <w:rsid w:val="00B06817"/>
    <w:rsid w:val="00B06910"/>
    <w:rsid w:val="00B06939"/>
    <w:rsid w:val="00B06B1B"/>
    <w:rsid w:val="00B06D2C"/>
    <w:rsid w:val="00B06FC8"/>
    <w:rsid w:val="00B0707D"/>
    <w:rsid w:val="00B0776D"/>
    <w:rsid w:val="00B078DE"/>
    <w:rsid w:val="00B07A58"/>
    <w:rsid w:val="00B07B0C"/>
    <w:rsid w:val="00B07D8B"/>
    <w:rsid w:val="00B10059"/>
    <w:rsid w:val="00B10142"/>
    <w:rsid w:val="00B10147"/>
    <w:rsid w:val="00B10311"/>
    <w:rsid w:val="00B10422"/>
    <w:rsid w:val="00B1058D"/>
    <w:rsid w:val="00B10695"/>
    <w:rsid w:val="00B10759"/>
    <w:rsid w:val="00B107B8"/>
    <w:rsid w:val="00B10842"/>
    <w:rsid w:val="00B10B24"/>
    <w:rsid w:val="00B10BEA"/>
    <w:rsid w:val="00B10DCA"/>
    <w:rsid w:val="00B10E49"/>
    <w:rsid w:val="00B110A0"/>
    <w:rsid w:val="00B11415"/>
    <w:rsid w:val="00B11469"/>
    <w:rsid w:val="00B116F5"/>
    <w:rsid w:val="00B1173D"/>
    <w:rsid w:val="00B117C6"/>
    <w:rsid w:val="00B117DB"/>
    <w:rsid w:val="00B117E5"/>
    <w:rsid w:val="00B11A99"/>
    <w:rsid w:val="00B11AE3"/>
    <w:rsid w:val="00B11E61"/>
    <w:rsid w:val="00B1220F"/>
    <w:rsid w:val="00B12340"/>
    <w:rsid w:val="00B123A1"/>
    <w:rsid w:val="00B123A3"/>
    <w:rsid w:val="00B123FB"/>
    <w:rsid w:val="00B1259E"/>
    <w:rsid w:val="00B12605"/>
    <w:rsid w:val="00B1265E"/>
    <w:rsid w:val="00B12794"/>
    <w:rsid w:val="00B12CD1"/>
    <w:rsid w:val="00B12D7F"/>
    <w:rsid w:val="00B130F4"/>
    <w:rsid w:val="00B131A9"/>
    <w:rsid w:val="00B132F5"/>
    <w:rsid w:val="00B13361"/>
    <w:rsid w:val="00B133DA"/>
    <w:rsid w:val="00B134C8"/>
    <w:rsid w:val="00B1360D"/>
    <w:rsid w:val="00B13635"/>
    <w:rsid w:val="00B13670"/>
    <w:rsid w:val="00B1369A"/>
    <w:rsid w:val="00B136C8"/>
    <w:rsid w:val="00B1394B"/>
    <w:rsid w:val="00B13C40"/>
    <w:rsid w:val="00B13D8B"/>
    <w:rsid w:val="00B13F4B"/>
    <w:rsid w:val="00B140A4"/>
    <w:rsid w:val="00B141F4"/>
    <w:rsid w:val="00B142D3"/>
    <w:rsid w:val="00B1438F"/>
    <w:rsid w:val="00B1454D"/>
    <w:rsid w:val="00B149B9"/>
    <w:rsid w:val="00B14D9D"/>
    <w:rsid w:val="00B1512B"/>
    <w:rsid w:val="00B15192"/>
    <w:rsid w:val="00B151FE"/>
    <w:rsid w:val="00B15677"/>
    <w:rsid w:val="00B156D0"/>
    <w:rsid w:val="00B1585C"/>
    <w:rsid w:val="00B15AA3"/>
    <w:rsid w:val="00B15B03"/>
    <w:rsid w:val="00B15B84"/>
    <w:rsid w:val="00B15E9B"/>
    <w:rsid w:val="00B1601E"/>
    <w:rsid w:val="00B1634E"/>
    <w:rsid w:val="00B164F2"/>
    <w:rsid w:val="00B165EB"/>
    <w:rsid w:val="00B1704E"/>
    <w:rsid w:val="00B17228"/>
    <w:rsid w:val="00B17256"/>
    <w:rsid w:val="00B173B6"/>
    <w:rsid w:val="00B1749E"/>
    <w:rsid w:val="00B1753B"/>
    <w:rsid w:val="00B175FB"/>
    <w:rsid w:val="00B17856"/>
    <w:rsid w:val="00B179EE"/>
    <w:rsid w:val="00B17A35"/>
    <w:rsid w:val="00B17BEC"/>
    <w:rsid w:val="00B17D23"/>
    <w:rsid w:val="00B17D38"/>
    <w:rsid w:val="00B17DF1"/>
    <w:rsid w:val="00B17F4F"/>
    <w:rsid w:val="00B17F72"/>
    <w:rsid w:val="00B200D4"/>
    <w:rsid w:val="00B20153"/>
    <w:rsid w:val="00B2034B"/>
    <w:rsid w:val="00B2039B"/>
    <w:rsid w:val="00B204A2"/>
    <w:rsid w:val="00B20560"/>
    <w:rsid w:val="00B205CF"/>
    <w:rsid w:val="00B205FA"/>
    <w:rsid w:val="00B2062C"/>
    <w:rsid w:val="00B20777"/>
    <w:rsid w:val="00B2081F"/>
    <w:rsid w:val="00B20A01"/>
    <w:rsid w:val="00B20A5F"/>
    <w:rsid w:val="00B20D83"/>
    <w:rsid w:val="00B20DB0"/>
    <w:rsid w:val="00B210B8"/>
    <w:rsid w:val="00B21173"/>
    <w:rsid w:val="00B2145D"/>
    <w:rsid w:val="00B214BE"/>
    <w:rsid w:val="00B2165F"/>
    <w:rsid w:val="00B21838"/>
    <w:rsid w:val="00B21907"/>
    <w:rsid w:val="00B21B99"/>
    <w:rsid w:val="00B21C09"/>
    <w:rsid w:val="00B21D33"/>
    <w:rsid w:val="00B21E27"/>
    <w:rsid w:val="00B21EDC"/>
    <w:rsid w:val="00B21FD1"/>
    <w:rsid w:val="00B22238"/>
    <w:rsid w:val="00B22244"/>
    <w:rsid w:val="00B223EB"/>
    <w:rsid w:val="00B22474"/>
    <w:rsid w:val="00B2251C"/>
    <w:rsid w:val="00B2265E"/>
    <w:rsid w:val="00B22672"/>
    <w:rsid w:val="00B226C7"/>
    <w:rsid w:val="00B2276E"/>
    <w:rsid w:val="00B22893"/>
    <w:rsid w:val="00B22933"/>
    <w:rsid w:val="00B229F6"/>
    <w:rsid w:val="00B22AFD"/>
    <w:rsid w:val="00B22C47"/>
    <w:rsid w:val="00B2348C"/>
    <w:rsid w:val="00B2389D"/>
    <w:rsid w:val="00B238A1"/>
    <w:rsid w:val="00B23937"/>
    <w:rsid w:val="00B23956"/>
    <w:rsid w:val="00B23B13"/>
    <w:rsid w:val="00B23CDD"/>
    <w:rsid w:val="00B23EFE"/>
    <w:rsid w:val="00B248FB"/>
    <w:rsid w:val="00B24AD5"/>
    <w:rsid w:val="00B24B67"/>
    <w:rsid w:val="00B24BAF"/>
    <w:rsid w:val="00B24E39"/>
    <w:rsid w:val="00B250BD"/>
    <w:rsid w:val="00B254C1"/>
    <w:rsid w:val="00B25563"/>
    <w:rsid w:val="00B25919"/>
    <w:rsid w:val="00B2591C"/>
    <w:rsid w:val="00B25A46"/>
    <w:rsid w:val="00B25B28"/>
    <w:rsid w:val="00B25CB3"/>
    <w:rsid w:val="00B25D54"/>
    <w:rsid w:val="00B25FF1"/>
    <w:rsid w:val="00B26058"/>
    <w:rsid w:val="00B2606B"/>
    <w:rsid w:val="00B262D4"/>
    <w:rsid w:val="00B2635F"/>
    <w:rsid w:val="00B26577"/>
    <w:rsid w:val="00B266C1"/>
    <w:rsid w:val="00B266C6"/>
    <w:rsid w:val="00B2692B"/>
    <w:rsid w:val="00B26BA5"/>
    <w:rsid w:val="00B26D48"/>
    <w:rsid w:val="00B26EFB"/>
    <w:rsid w:val="00B272C1"/>
    <w:rsid w:val="00B27446"/>
    <w:rsid w:val="00B27550"/>
    <w:rsid w:val="00B27786"/>
    <w:rsid w:val="00B27983"/>
    <w:rsid w:val="00B27B2C"/>
    <w:rsid w:val="00B27D4E"/>
    <w:rsid w:val="00B301B5"/>
    <w:rsid w:val="00B303C2"/>
    <w:rsid w:val="00B30495"/>
    <w:rsid w:val="00B305A2"/>
    <w:rsid w:val="00B30818"/>
    <w:rsid w:val="00B30912"/>
    <w:rsid w:val="00B30BEF"/>
    <w:rsid w:val="00B30C30"/>
    <w:rsid w:val="00B30C6A"/>
    <w:rsid w:val="00B30E55"/>
    <w:rsid w:val="00B30EF4"/>
    <w:rsid w:val="00B30F1C"/>
    <w:rsid w:val="00B310CC"/>
    <w:rsid w:val="00B31211"/>
    <w:rsid w:val="00B31215"/>
    <w:rsid w:val="00B315DA"/>
    <w:rsid w:val="00B31641"/>
    <w:rsid w:val="00B31788"/>
    <w:rsid w:val="00B31949"/>
    <w:rsid w:val="00B31995"/>
    <w:rsid w:val="00B31AA0"/>
    <w:rsid w:val="00B31C86"/>
    <w:rsid w:val="00B31DDA"/>
    <w:rsid w:val="00B31F64"/>
    <w:rsid w:val="00B31F6C"/>
    <w:rsid w:val="00B32176"/>
    <w:rsid w:val="00B3228B"/>
    <w:rsid w:val="00B322B2"/>
    <w:rsid w:val="00B324B5"/>
    <w:rsid w:val="00B32671"/>
    <w:rsid w:val="00B32852"/>
    <w:rsid w:val="00B32A24"/>
    <w:rsid w:val="00B32F2A"/>
    <w:rsid w:val="00B32FBB"/>
    <w:rsid w:val="00B331E7"/>
    <w:rsid w:val="00B33886"/>
    <w:rsid w:val="00B33AB7"/>
    <w:rsid w:val="00B33AD6"/>
    <w:rsid w:val="00B33E84"/>
    <w:rsid w:val="00B33F60"/>
    <w:rsid w:val="00B33F70"/>
    <w:rsid w:val="00B33FB1"/>
    <w:rsid w:val="00B342AF"/>
    <w:rsid w:val="00B3444C"/>
    <w:rsid w:val="00B34576"/>
    <w:rsid w:val="00B3468A"/>
    <w:rsid w:val="00B34741"/>
    <w:rsid w:val="00B348CD"/>
    <w:rsid w:val="00B34915"/>
    <w:rsid w:val="00B3494A"/>
    <w:rsid w:val="00B34DEF"/>
    <w:rsid w:val="00B34ED7"/>
    <w:rsid w:val="00B35041"/>
    <w:rsid w:val="00B353A1"/>
    <w:rsid w:val="00B35466"/>
    <w:rsid w:val="00B35589"/>
    <w:rsid w:val="00B35711"/>
    <w:rsid w:val="00B35815"/>
    <w:rsid w:val="00B35878"/>
    <w:rsid w:val="00B3593B"/>
    <w:rsid w:val="00B35C6F"/>
    <w:rsid w:val="00B35E26"/>
    <w:rsid w:val="00B36087"/>
    <w:rsid w:val="00B360A1"/>
    <w:rsid w:val="00B36166"/>
    <w:rsid w:val="00B36210"/>
    <w:rsid w:val="00B36440"/>
    <w:rsid w:val="00B3651A"/>
    <w:rsid w:val="00B36610"/>
    <w:rsid w:val="00B366A9"/>
    <w:rsid w:val="00B366E3"/>
    <w:rsid w:val="00B36800"/>
    <w:rsid w:val="00B36CE6"/>
    <w:rsid w:val="00B36E9B"/>
    <w:rsid w:val="00B36EF9"/>
    <w:rsid w:val="00B36F6C"/>
    <w:rsid w:val="00B36FD2"/>
    <w:rsid w:val="00B37050"/>
    <w:rsid w:val="00B370AD"/>
    <w:rsid w:val="00B370C5"/>
    <w:rsid w:val="00B37208"/>
    <w:rsid w:val="00B37472"/>
    <w:rsid w:val="00B3754F"/>
    <w:rsid w:val="00B375CB"/>
    <w:rsid w:val="00B3772E"/>
    <w:rsid w:val="00B3791A"/>
    <w:rsid w:val="00B37AF7"/>
    <w:rsid w:val="00B37D01"/>
    <w:rsid w:val="00B37ED8"/>
    <w:rsid w:val="00B37FDC"/>
    <w:rsid w:val="00B400BA"/>
    <w:rsid w:val="00B40529"/>
    <w:rsid w:val="00B40548"/>
    <w:rsid w:val="00B40567"/>
    <w:rsid w:val="00B405A3"/>
    <w:rsid w:val="00B40A77"/>
    <w:rsid w:val="00B40B0B"/>
    <w:rsid w:val="00B40BAE"/>
    <w:rsid w:val="00B40C92"/>
    <w:rsid w:val="00B410D8"/>
    <w:rsid w:val="00B41167"/>
    <w:rsid w:val="00B41472"/>
    <w:rsid w:val="00B417F1"/>
    <w:rsid w:val="00B41892"/>
    <w:rsid w:val="00B41DDE"/>
    <w:rsid w:val="00B41F8A"/>
    <w:rsid w:val="00B41FD4"/>
    <w:rsid w:val="00B421C8"/>
    <w:rsid w:val="00B421CD"/>
    <w:rsid w:val="00B42343"/>
    <w:rsid w:val="00B42399"/>
    <w:rsid w:val="00B424F9"/>
    <w:rsid w:val="00B427F8"/>
    <w:rsid w:val="00B4295B"/>
    <w:rsid w:val="00B42A13"/>
    <w:rsid w:val="00B42DF0"/>
    <w:rsid w:val="00B42E1F"/>
    <w:rsid w:val="00B42EB6"/>
    <w:rsid w:val="00B42EE1"/>
    <w:rsid w:val="00B42EF5"/>
    <w:rsid w:val="00B43421"/>
    <w:rsid w:val="00B437EA"/>
    <w:rsid w:val="00B43906"/>
    <w:rsid w:val="00B4398D"/>
    <w:rsid w:val="00B43A3D"/>
    <w:rsid w:val="00B43BA1"/>
    <w:rsid w:val="00B43E0D"/>
    <w:rsid w:val="00B43F8F"/>
    <w:rsid w:val="00B43FE9"/>
    <w:rsid w:val="00B440D8"/>
    <w:rsid w:val="00B440ED"/>
    <w:rsid w:val="00B442C4"/>
    <w:rsid w:val="00B44632"/>
    <w:rsid w:val="00B4467C"/>
    <w:rsid w:val="00B446FB"/>
    <w:rsid w:val="00B448EF"/>
    <w:rsid w:val="00B4492C"/>
    <w:rsid w:val="00B44B34"/>
    <w:rsid w:val="00B451D7"/>
    <w:rsid w:val="00B45672"/>
    <w:rsid w:val="00B456E6"/>
    <w:rsid w:val="00B458A5"/>
    <w:rsid w:val="00B458D0"/>
    <w:rsid w:val="00B45ACC"/>
    <w:rsid w:val="00B45B5D"/>
    <w:rsid w:val="00B45B79"/>
    <w:rsid w:val="00B45BB6"/>
    <w:rsid w:val="00B45E24"/>
    <w:rsid w:val="00B45E52"/>
    <w:rsid w:val="00B45EC6"/>
    <w:rsid w:val="00B46093"/>
    <w:rsid w:val="00B460E6"/>
    <w:rsid w:val="00B46169"/>
    <w:rsid w:val="00B46363"/>
    <w:rsid w:val="00B464ED"/>
    <w:rsid w:val="00B4658B"/>
    <w:rsid w:val="00B465E2"/>
    <w:rsid w:val="00B46749"/>
    <w:rsid w:val="00B468C2"/>
    <w:rsid w:val="00B46AD4"/>
    <w:rsid w:val="00B46B5A"/>
    <w:rsid w:val="00B46BE4"/>
    <w:rsid w:val="00B46D46"/>
    <w:rsid w:val="00B47044"/>
    <w:rsid w:val="00B4706C"/>
    <w:rsid w:val="00B47144"/>
    <w:rsid w:val="00B4722C"/>
    <w:rsid w:val="00B472A4"/>
    <w:rsid w:val="00B47365"/>
    <w:rsid w:val="00B47549"/>
    <w:rsid w:val="00B47613"/>
    <w:rsid w:val="00B47773"/>
    <w:rsid w:val="00B47795"/>
    <w:rsid w:val="00B47812"/>
    <w:rsid w:val="00B47835"/>
    <w:rsid w:val="00B47993"/>
    <w:rsid w:val="00B47B54"/>
    <w:rsid w:val="00B47B75"/>
    <w:rsid w:val="00B47C91"/>
    <w:rsid w:val="00B47E18"/>
    <w:rsid w:val="00B47F1D"/>
    <w:rsid w:val="00B5029D"/>
    <w:rsid w:val="00B502D7"/>
    <w:rsid w:val="00B502EA"/>
    <w:rsid w:val="00B503EB"/>
    <w:rsid w:val="00B503F0"/>
    <w:rsid w:val="00B50562"/>
    <w:rsid w:val="00B505CD"/>
    <w:rsid w:val="00B5095C"/>
    <w:rsid w:val="00B50A05"/>
    <w:rsid w:val="00B50BB7"/>
    <w:rsid w:val="00B50BCB"/>
    <w:rsid w:val="00B50BFB"/>
    <w:rsid w:val="00B50DE3"/>
    <w:rsid w:val="00B50F75"/>
    <w:rsid w:val="00B5139B"/>
    <w:rsid w:val="00B51461"/>
    <w:rsid w:val="00B514F0"/>
    <w:rsid w:val="00B51529"/>
    <w:rsid w:val="00B518F9"/>
    <w:rsid w:val="00B51A3C"/>
    <w:rsid w:val="00B51A7B"/>
    <w:rsid w:val="00B51AEC"/>
    <w:rsid w:val="00B51B1D"/>
    <w:rsid w:val="00B51B78"/>
    <w:rsid w:val="00B51F14"/>
    <w:rsid w:val="00B51FD8"/>
    <w:rsid w:val="00B52108"/>
    <w:rsid w:val="00B521F3"/>
    <w:rsid w:val="00B522F3"/>
    <w:rsid w:val="00B52399"/>
    <w:rsid w:val="00B52437"/>
    <w:rsid w:val="00B524EC"/>
    <w:rsid w:val="00B52569"/>
    <w:rsid w:val="00B5279E"/>
    <w:rsid w:val="00B527AF"/>
    <w:rsid w:val="00B5290B"/>
    <w:rsid w:val="00B52C56"/>
    <w:rsid w:val="00B530D7"/>
    <w:rsid w:val="00B53161"/>
    <w:rsid w:val="00B5348C"/>
    <w:rsid w:val="00B5355A"/>
    <w:rsid w:val="00B535EF"/>
    <w:rsid w:val="00B5360C"/>
    <w:rsid w:val="00B536D1"/>
    <w:rsid w:val="00B537B4"/>
    <w:rsid w:val="00B53DDD"/>
    <w:rsid w:val="00B53ED5"/>
    <w:rsid w:val="00B53F22"/>
    <w:rsid w:val="00B5426E"/>
    <w:rsid w:val="00B542BC"/>
    <w:rsid w:val="00B542DA"/>
    <w:rsid w:val="00B5440B"/>
    <w:rsid w:val="00B54671"/>
    <w:rsid w:val="00B5469A"/>
    <w:rsid w:val="00B54749"/>
    <w:rsid w:val="00B54B86"/>
    <w:rsid w:val="00B54BDF"/>
    <w:rsid w:val="00B54C6B"/>
    <w:rsid w:val="00B54C8C"/>
    <w:rsid w:val="00B54D52"/>
    <w:rsid w:val="00B54D58"/>
    <w:rsid w:val="00B54F3A"/>
    <w:rsid w:val="00B553A8"/>
    <w:rsid w:val="00B55404"/>
    <w:rsid w:val="00B555C6"/>
    <w:rsid w:val="00B55632"/>
    <w:rsid w:val="00B556B9"/>
    <w:rsid w:val="00B559AF"/>
    <w:rsid w:val="00B559C4"/>
    <w:rsid w:val="00B55EBC"/>
    <w:rsid w:val="00B55EFC"/>
    <w:rsid w:val="00B55F76"/>
    <w:rsid w:val="00B55FC4"/>
    <w:rsid w:val="00B560FF"/>
    <w:rsid w:val="00B5613E"/>
    <w:rsid w:val="00B562EF"/>
    <w:rsid w:val="00B569FF"/>
    <w:rsid w:val="00B56AD2"/>
    <w:rsid w:val="00B56B85"/>
    <w:rsid w:val="00B56D98"/>
    <w:rsid w:val="00B56F4F"/>
    <w:rsid w:val="00B56FC9"/>
    <w:rsid w:val="00B56FF2"/>
    <w:rsid w:val="00B5700C"/>
    <w:rsid w:val="00B57355"/>
    <w:rsid w:val="00B57416"/>
    <w:rsid w:val="00B5767C"/>
    <w:rsid w:val="00B577F5"/>
    <w:rsid w:val="00B57C95"/>
    <w:rsid w:val="00B57D7B"/>
    <w:rsid w:val="00B57DBC"/>
    <w:rsid w:val="00B57F24"/>
    <w:rsid w:val="00B57F5A"/>
    <w:rsid w:val="00B60046"/>
    <w:rsid w:val="00B603DB"/>
    <w:rsid w:val="00B605DC"/>
    <w:rsid w:val="00B6087B"/>
    <w:rsid w:val="00B6097B"/>
    <w:rsid w:val="00B60A2D"/>
    <w:rsid w:val="00B60DD9"/>
    <w:rsid w:val="00B60E6B"/>
    <w:rsid w:val="00B60FE7"/>
    <w:rsid w:val="00B61055"/>
    <w:rsid w:val="00B6105D"/>
    <w:rsid w:val="00B61364"/>
    <w:rsid w:val="00B61602"/>
    <w:rsid w:val="00B61704"/>
    <w:rsid w:val="00B61765"/>
    <w:rsid w:val="00B61778"/>
    <w:rsid w:val="00B6181D"/>
    <w:rsid w:val="00B61A26"/>
    <w:rsid w:val="00B61B34"/>
    <w:rsid w:val="00B622E0"/>
    <w:rsid w:val="00B62381"/>
    <w:rsid w:val="00B623AC"/>
    <w:rsid w:val="00B6241D"/>
    <w:rsid w:val="00B6287D"/>
    <w:rsid w:val="00B6288E"/>
    <w:rsid w:val="00B62AAD"/>
    <w:rsid w:val="00B62DBA"/>
    <w:rsid w:val="00B62EEC"/>
    <w:rsid w:val="00B63006"/>
    <w:rsid w:val="00B6320D"/>
    <w:rsid w:val="00B633C0"/>
    <w:rsid w:val="00B63547"/>
    <w:rsid w:val="00B635B4"/>
    <w:rsid w:val="00B635E6"/>
    <w:rsid w:val="00B6395E"/>
    <w:rsid w:val="00B63B10"/>
    <w:rsid w:val="00B63B15"/>
    <w:rsid w:val="00B63BAC"/>
    <w:rsid w:val="00B63C28"/>
    <w:rsid w:val="00B63C8E"/>
    <w:rsid w:val="00B63CC6"/>
    <w:rsid w:val="00B63D4D"/>
    <w:rsid w:val="00B63D68"/>
    <w:rsid w:val="00B63EA6"/>
    <w:rsid w:val="00B63EBF"/>
    <w:rsid w:val="00B63ED1"/>
    <w:rsid w:val="00B64489"/>
    <w:rsid w:val="00B644ED"/>
    <w:rsid w:val="00B6451F"/>
    <w:rsid w:val="00B6457B"/>
    <w:rsid w:val="00B645AB"/>
    <w:rsid w:val="00B64B73"/>
    <w:rsid w:val="00B64D6E"/>
    <w:rsid w:val="00B64E67"/>
    <w:rsid w:val="00B64EAD"/>
    <w:rsid w:val="00B64F41"/>
    <w:rsid w:val="00B65011"/>
    <w:rsid w:val="00B65185"/>
    <w:rsid w:val="00B651A2"/>
    <w:rsid w:val="00B651B8"/>
    <w:rsid w:val="00B65446"/>
    <w:rsid w:val="00B6556C"/>
    <w:rsid w:val="00B65710"/>
    <w:rsid w:val="00B65A7A"/>
    <w:rsid w:val="00B65CED"/>
    <w:rsid w:val="00B65D04"/>
    <w:rsid w:val="00B66128"/>
    <w:rsid w:val="00B6621B"/>
    <w:rsid w:val="00B66351"/>
    <w:rsid w:val="00B66571"/>
    <w:rsid w:val="00B6657A"/>
    <w:rsid w:val="00B66623"/>
    <w:rsid w:val="00B66722"/>
    <w:rsid w:val="00B66807"/>
    <w:rsid w:val="00B668CF"/>
    <w:rsid w:val="00B66D6A"/>
    <w:rsid w:val="00B66F61"/>
    <w:rsid w:val="00B672C9"/>
    <w:rsid w:val="00B6734F"/>
    <w:rsid w:val="00B67A4A"/>
    <w:rsid w:val="00B67AC3"/>
    <w:rsid w:val="00B67BBF"/>
    <w:rsid w:val="00B67D93"/>
    <w:rsid w:val="00B67E2F"/>
    <w:rsid w:val="00B70200"/>
    <w:rsid w:val="00B702DB"/>
    <w:rsid w:val="00B7042C"/>
    <w:rsid w:val="00B7044E"/>
    <w:rsid w:val="00B706CA"/>
    <w:rsid w:val="00B70869"/>
    <w:rsid w:val="00B70B6A"/>
    <w:rsid w:val="00B70D72"/>
    <w:rsid w:val="00B70D85"/>
    <w:rsid w:val="00B7119E"/>
    <w:rsid w:val="00B71330"/>
    <w:rsid w:val="00B713AB"/>
    <w:rsid w:val="00B71501"/>
    <w:rsid w:val="00B7157E"/>
    <w:rsid w:val="00B715DE"/>
    <w:rsid w:val="00B7169D"/>
    <w:rsid w:val="00B71C3C"/>
    <w:rsid w:val="00B71D43"/>
    <w:rsid w:val="00B71E6A"/>
    <w:rsid w:val="00B7221E"/>
    <w:rsid w:val="00B7253F"/>
    <w:rsid w:val="00B72565"/>
    <w:rsid w:val="00B7256B"/>
    <w:rsid w:val="00B728B4"/>
    <w:rsid w:val="00B72B7D"/>
    <w:rsid w:val="00B72D11"/>
    <w:rsid w:val="00B72ECC"/>
    <w:rsid w:val="00B72F8F"/>
    <w:rsid w:val="00B72FE6"/>
    <w:rsid w:val="00B72FF8"/>
    <w:rsid w:val="00B73035"/>
    <w:rsid w:val="00B73111"/>
    <w:rsid w:val="00B7319F"/>
    <w:rsid w:val="00B7324D"/>
    <w:rsid w:val="00B73404"/>
    <w:rsid w:val="00B7353F"/>
    <w:rsid w:val="00B7354C"/>
    <w:rsid w:val="00B73585"/>
    <w:rsid w:val="00B7375B"/>
    <w:rsid w:val="00B737A5"/>
    <w:rsid w:val="00B73857"/>
    <w:rsid w:val="00B73867"/>
    <w:rsid w:val="00B73CE3"/>
    <w:rsid w:val="00B73DAB"/>
    <w:rsid w:val="00B74021"/>
    <w:rsid w:val="00B74052"/>
    <w:rsid w:val="00B74174"/>
    <w:rsid w:val="00B7431B"/>
    <w:rsid w:val="00B74557"/>
    <w:rsid w:val="00B74785"/>
    <w:rsid w:val="00B749F5"/>
    <w:rsid w:val="00B74A53"/>
    <w:rsid w:val="00B74B97"/>
    <w:rsid w:val="00B74BE6"/>
    <w:rsid w:val="00B74C92"/>
    <w:rsid w:val="00B74F94"/>
    <w:rsid w:val="00B74FE2"/>
    <w:rsid w:val="00B750C5"/>
    <w:rsid w:val="00B75847"/>
    <w:rsid w:val="00B7584D"/>
    <w:rsid w:val="00B7599F"/>
    <w:rsid w:val="00B75A59"/>
    <w:rsid w:val="00B75ABE"/>
    <w:rsid w:val="00B75C1A"/>
    <w:rsid w:val="00B75C3A"/>
    <w:rsid w:val="00B75D38"/>
    <w:rsid w:val="00B75E2A"/>
    <w:rsid w:val="00B7635F"/>
    <w:rsid w:val="00B76460"/>
    <w:rsid w:val="00B765B9"/>
    <w:rsid w:val="00B76651"/>
    <w:rsid w:val="00B766B2"/>
    <w:rsid w:val="00B768F8"/>
    <w:rsid w:val="00B76AF8"/>
    <w:rsid w:val="00B76B4A"/>
    <w:rsid w:val="00B77150"/>
    <w:rsid w:val="00B77580"/>
    <w:rsid w:val="00B77729"/>
    <w:rsid w:val="00B77808"/>
    <w:rsid w:val="00B77958"/>
    <w:rsid w:val="00B77A2A"/>
    <w:rsid w:val="00B77AB3"/>
    <w:rsid w:val="00B77CB8"/>
    <w:rsid w:val="00B77CEC"/>
    <w:rsid w:val="00B77D72"/>
    <w:rsid w:val="00B77F75"/>
    <w:rsid w:val="00B801A9"/>
    <w:rsid w:val="00B806E0"/>
    <w:rsid w:val="00B80938"/>
    <w:rsid w:val="00B80BB0"/>
    <w:rsid w:val="00B80D24"/>
    <w:rsid w:val="00B81070"/>
    <w:rsid w:val="00B81112"/>
    <w:rsid w:val="00B81336"/>
    <w:rsid w:val="00B813FA"/>
    <w:rsid w:val="00B8140A"/>
    <w:rsid w:val="00B81663"/>
    <w:rsid w:val="00B81766"/>
    <w:rsid w:val="00B81880"/>
    <w:rsid w:val="00B81907"/>
    <w:rsid w:val="00B81A91"/>
    <w:rsid w:val="00B81A92"/>
    <w:rsid w:val="00B81C7C"/>
    <w:rsid w:val="00B81EC1"/>
    <w:rsid w:val="00B820DE"/>
    <w:rsid w:val="00B82371"/>
    <w:rsid w:val="00B8238E"/>
    <w:rsid w:val="00B823E3"/>
    <w:rsid w:val="00B823EB"/>
    <w:rsid w:val="00B82443"/>
    <w:rsid w:val="00B82533"/>
    <w:rsid w:val="00B82534"/>
    <w:rsid w:val="00B8293D"/>
    <w:rsid w:val="00B82C27"/>
    <w:rsid w:val="00B82DC1"/>
    <w:rsid w:val="00B82E2D"/>
    <w:rsid w:val="00B833EC"/>
    <w:rsid w:val="00B83469"/>
    <w:rsid w:val="00B834FF"/>
    <w:rsid w:val="00B83654"/>
    <w:rsid w:val="00B83731"/>
    <w:rsid w:val="00B83792"/>
    <w:rsid w:val="00B8392E"/>
    <w:rsid w:val="00B83B02"/>
    <w:rsid w:val="00B83B17"/>
    <w:rsid w:val="00B83CF8"/>
    <w:rsid w:val="00B83F6E"/>
    <w:rsid w:val="00B8427D"/>
    <w:rsid w:val="00B842CA"/>
    <w:rsid w:val="00B84345"/>
    <w:rsid w:val="00B84487"/>
    <w:rsid w:val="00B844A3"/>
    <w:rsid w:val="00B84760"/>
    <w:rsid w:val="00B8477F"/>
    <w:rsid w:val="00B847F2"/>
    <w:rsid w:val="00B84893"/>
    <w:rsid w:val="00B84957"/>
    <w:rsid w:val="00B84997"/>
    <w:rsid w:val="00B84B98"/>
    <w:rsid w:val="00B84C69"/>
    <w:rsid w:val="00B851D1"/>
    <w:rsid w:val="00B8527B"/>
    <w:rsid w:val="00B8530C"/>
    <w:rsid w:val="00B8546B"/>
    <w:rsid w:val="00B85682"/>
    <w:rsid w:val="00B85975"/>
    <w:rsid w:val="00B85B21"/>
    <w:rsid w:val="00B85BEC"/>
    <w:rsid w:val="00B85C10"/>
    <w:rsid w:val="00B85E9D"/>
    <w:rsid w:val="00B85F70"/>
    <w:rsid w:val="00B860FC"/>
    <w:rsid w:val="00B865A9"/>
    <w:rsid w:val="00B868B6"/>
    <w:rsid w:val="00B8691D"/>
    <w:rsid w:val="00B86C14"/>
    <w:rsid w:val="00B86D33"/>
    <w:rsid w:val="00B86DFD"/>
    <w:rsid w:val="00B86E46"/>
    <w:rsid w:val="00B86E98"/>
    <w:rsid w:val="00B870CA"/>
    <w:rsid w:val="00B8733B"/>
    <w:rsid w:val="00B87413"/>
    <w:rsid w:val="00B8787E"/>
    <w:rsid w:val="00B879B2"/>
    <w:rsid w:val="00B87D8C"/>
    <w:rsid w:val="00B90093"/>
    <w:rsid w:val="00B903ED"/>
    <w:rsid w:val="00B90B0B"/>
    <w:rsid w:val="00B90ED4"/>
    <w:rsid w:val="00B90F50"/>
    <w:rsid w:val="00B91076"/>
    <w:rsid w:val="00B91520"/>
    <w:rsid w:val="00B917EE"/>
    <w:rsid w:val="00B9194E"/>
    <w:rsid w:val="00B91A01"/>
    <w:rsid w:val="00B91B5A"/>
    <w:rsid w:val="00B91D81"/>
    <w:rsid w:val="00B9206E"/>
    <w:rsid w:val="00B92112"/>
    <w:rsid w:val="00B92141"/>
    <w:rsid w:val="00B92142"/>
    <w:rsid w:val="00B9218A"/>
    <w:rsid w:val="00B92478"/>
    <w:rsid w:val="00B9298A"/>
    <w:rsid w:val="00B92B40"/>
    <w:rsid w:val="00B92C50"/>
    <w:rsid w:val="00B92CE7"/>
    <w:rsid w:val="00B92F0F"/>
    <w:rsid w:val="00B92F6D"/>
    <w:rsid w:val="00B9306A"/>
    <w:rsid w:val="00B930A4"/>
    <w:rsid w:val="00B93147"/>
    <w:rsid w:val="00B93193"/>
    <w:rsid w:val="00B93205"/>
    <w:rsid w:val="00B9323E"/>
    <w:rsid w:val="00B93581"/>
    <w:rsid w:val="00B936AE"/>
    <w:rsid w:val="00B93754"/>
    <w:rsid w:val="00B938F0"/>
    <w:rsid w:val="00B93A65"/>
    <w:rsid w:val="00B93AA9"/>
    <w:rsid w:val="00B93B32"/>
    <w:rsid w:val="00B93E5E"/>
    <w:rsid w:val="00B93F33"/>
    <w:rsid w:val="00B941F9"/>
    <w:rsid w:val="00B942FF"/>
    <w:rsid w:val="00B9448E"/>
    <w:rsid w:val="00B9459C"/>
    <w:rsid w:val="00B94676"/>
    <w:rsid w:val="00B946C4"/>
    <w:rsid w:val="00B94E54"/>
    <w:rsid w:val="00B95185"/>
    <w:rsid w:val="00B95354"/>
    <w:rsid w:val="00B953F7"/>
    <w:rsid w:val="00B95469"/>
    <w:rsid w:val="00B955F0"/>
    <w:rsid w:val="00B955F3"/>
    <w:rsid w:val="00B95655"/>
    <w:rsid w:val="00B957D2"/>
    <w:rsid w:val="00B9586C"/>
    <w:rsid w:val="00B95909"/>
    <w:rsid w:val="00B95B82"/>
    <w:rsid w:val="00B95CA8"/>
    <w:rsid w:val="00B95D71"/>
    <w:rsid w:val="00B95DAC"/>
    <w:rsid w:val="00B95DE8"/>
    <w:rsid w:val="00B95E64"/>
    <w:rsid w:val="00B95E67"/>
    <w:rsid w:val="00B95FC1"/>
    <w:rsid w:val="00B960F0"/>
    <w:rsid w:val="00B9629C"/>
    <w:rsid w:val="00B962F2"/>
    <w:rsid w:val="00B96419"/>
    <w:rsid w:val="00B964B4"/>
    <w:rsid w:val="00B967D9"/>
    <w:rsid w:val="00B96B4C"/>
    <w:rsid w:val="00B96D16"/>
    <w:rsid w:val="00B96D43"/>
    <w:rsid w:val="00B96F18"/>
    <w:rsid w:val="00B970F5"/>
    <w:rsid w:val="00B97177"/>
    <w:rsid w:val="00B972B5"/>
    <w:rsid w:val="00B97524"/>
    <w:rsid w:val="00B97548"/>
    <w:rsid w:val="00B97554"/>
    <w:rsid w:val="00B977FD"/>
    <w:rsid w:val="00B978D1"/>
    <w:rsid w:val="00B978F8"/>
    <w:rsid w:val="00B97A5F"/>
    <w:rsid w:val="00B97A6B"/>
    <w:rsid w:val="00B97B64"/>
    <w:rsid w:val="00B97C52"/>
    <w:rsid w:val="00B97DB3"/>
    <w:rsid w:val="00B97F38"/>
    <w:rsid w:val="00BA0082"/>
    <w:rsid w:val="00BA03D9"/>
    <w:rsid w:val="00BA0507"/>
    <w:rsid w:val="00BA060D"/>
    <w:rsid w:val="00BA0719"/>
    <w:rsid w:val="00BA073B"/>
    <w:rsid w:val="00BA079A"/>
    <w:rsid w:val="00BA08CD"/>
    <w:rsid w:val="00BA0A86"/>
    <w:rsid w:val="00BA0C3F"/>
    <w:rsid w:val="00BA0CAC"/>
    <w:rsid w:val="00BA0D21"/>
    <w:rsid w:val="00BA100D"/>
    <w:rsid w:val="00BA10E4"/>
    <w:rsid w:val="00BA1282"/>
    <w:rsid w:val="00BA1481"/>
    <w:rsid w:val="00BA1555"/>
    <w:rsid w:val="00BA1573"/>
    <w:rsid w:val="00BA15D5"/>
    <w:rsid w:val="00BA17DE"/>
    <w:rsid w:val="00BA182A"/>
    <w:rsid w:val="00BA185C"/>
    <w:rsid w:val="00BA1AE9"/>
    <w:rsid w:val="00BA1B51"/>
    <w:rsid w:val="00BA1CA1"/>
    <w:rsid w:val="00BA200F"/>
    <w:rsid w:val="00BA2129"/>
    <w:rsid w:val="00BA22FB"/>
    <w:rsid w:val="00BA264C"/>
    <w:rsid w:val="00BA27D6"/>
    <w:rsid w:val="00BA2AA9"/>
    <w:rsid w:val="00BA2CC6"/>
    <w:rsid w:val="00BA2D7F"/>
    <w:rsid w:val="00BA2E97"/>
    <w:rsid w:val="00BA2EF1"/>
    <w:rsid w:val="00BA3460"/>
    <w:rsid w:val="00BA34CE"/>
    <w:rsid w:val="00BA3773"/>
    <w:rsid w:val="00BA3901"/>
    <w:rsid w:val="00BA3A7C"/>
    <w:rsid w:val="00BA3B2B"/>
    <w:rsid w:val="00BA3DAB"/>
    <w:rsid w:val="00BA4102"/>
    <w:rsid w:val="00BA428F"/>
    <w:rsid w:val="00BA443B"/>
    <w:rsid w:val="00BA4485"/>
    <w:rsid w:val="00BA47B6"/>
    <w:rsid w:val="00BA4966"/>
    <w:rsid w:val="00BA4BE1"/>
    <w:rsid w:val="00BA4C90"/>
    <w:rsid w:val="00BA4CBE"/>
    <w:rsid w:val="00BA4DCC"/>
    <w:rsid w:val="00BA4FD8"/>
    <w:rsid w:val="00BA500A"/>
    <w:rsid w:val="00BA5131"/>
    <w:rsid w:val="00BA53EF"/>
    <w:rsid w:val="00BA551E"/>
    <w:rsid w:val="00BA55FB"/>
    <w:rsid w:val="00BA573F"/>
    <w:rsid w:val="00BA57AC"/>
    <w:rsid w:val="00BA57F1"/>
    <w:rsid w:val="00BA58AC"/>
    <w:rsid w:val="00BA5AB1"/>
    <w:rsid w:val="00BA5BED"/>
    <w:rsid w:val="00BA5C14"/>
    <w:rsid w:val="00BA5D21"/>
    <w:rsid w:val="00BA5E52"/>
    <w:rsid w:val="00BA5FDA"/>
    <w:rsid w:val="00BA60DC"/>
    <w:rsid w:val="00BA6188"/>
    <w:rsid w:val="00BA6264"/>
    <w:rsid w:val="00BA62DE"/>
    <w:rsid w:val="00BA6315"/>
    <w:rsid w:val="00BA63A7"/>
    <w:rsid w:val="00BA6482"/>
    <w:rsid w:val="00BA6577"/>
    <w:rsid w:val="00BA6687"/>
    <w:rsid w:val="00BA67E0"/>
    <w:rsid w:val="00BA689F"/>
    <w:rsid w:val="00BA68A7"/>
    <w:rsid w:val="00BA68AE"/>
    <w:rsid w:val="00BA68B7"/>
    <w:rsid w:val="00BA6DB2"/>
    <w:rsid w:val="00BA6E65"/>
    <w:rsid w:val="00BA71A8"/>
    <w:rsid w:val="00BA71BA"/>
    <w:rsid w:val="00BA73B5"/>
    <w:rsid w:val="00BA7652"/>
    <w:rsid w:val="00BA76D9"/>
    <w:rsid w:val="00BA77BE"/>
    <w:rsid w:val="00BA7B89"/>
    <w:rsid w:val="00BA7FA8"/>
    <w:rsid w:val="00BB0241"/>
    <w:rsid w:val="00BB0347"/>
    <w:rsid w:val="00BB0545"/>
    <w:rsid w:val="00BB08AD"/>
    <w:rsid w:val="00BB0A03"/>
    <w:rsid w:val="00BB0C46"/>
    <w:rsid w:val="00BB0CDA"/>
    <w:rsid w:val="00BB107B"/>
    <w:rsid w:val="00BB1178"/>
    <w:rsid w:val="00BB12CE"/>
    <w:rsid w:val="00BB1460"/>
    <w:rsid w:val="00BB1477"/>
    <w:rsid w:val="00BB14B3"/>
    <w:rsid w:val="00BB181E"/>
    <w:rsid w:val="00BB1BE7"/>
    <w:rsid w:val="00BB1D08"/>
    <w:rsid w:val="00BB1E1A"/>
    <w:rsid w:val="00BB1E2E"/>
    <w:rsid w:val="00BB1EE1"/>
    <w:rsid w:val="00BB1F47"/>
    <w:rsid w:val="00BB209D"/>
    <w:rsid w:val="00BB232D"/>
    <w:rsid w:val="00BB236E"/>
    <w:rsid w:val="00BB237E"/>
    <w:rsid w:val="00BB2451"/>
    <w:rsid w:val="00BB24B3"/>
    <w:rsid w:val="00BB25C3"/>
    <w:rsid w:val="00BB25F8"/>
    <w:rsid w:val="00BB2707"/>
    <w:rsid w:val="00BB2783"/>
    <w:rsid w:val="00BB2B25"/>
    <w:rsid w:val="00BB2B81"/>
    <w:rsid w:val="00BB2BC1"/>
    <w:rsid w:val="00BB2F26"/>
    <w:rsid w:val="00BB2FD6"/>
    <w:rsid w:val="00BB3358"/>
    <w:rsid w:val="00BB343B"/>
    <w:rsid w:val="00BB357D"/>
    <w:rsid w:val="00BB363A"/>
    <w:rsid w:val="00BB3B5B"/>
    <w:rsid w:val="00BB4080"/>
    <w:rsid w:val="00BB4121"/>
    <w:rsid w:val="00BB412D"/>
    <w:rsid w:val="00BB426C"/>
    <w:rsid w:val="00BB42E8"/>
    <w:rsid w:val="00BB4314"/>
    <w:rsid w:val="00BB43FD"/>
    <w:rsid w:val="00BB4742"/>
    <w:rsid w:val="00BB4C66"/>
    <w:rsid w:val="00BB4CC5"/>
    <w:rsid w:val="00BB4D03"/>
    <w:rsid w:val="00BB4DB3"/>
    <w:rsid w:val="00BB4DDE"/>
    <w:rsid w:val="00BB4F87"/>
    <w:rsid w:val="00BB5044"/>
    <w:rsid w:val="00BB5456"/>
    <w:rsid w:val="00BB545C"/>
    <w:rsid w:val="00BB5644"/>
    <w:rsid w:val="00BB56AE"/>
    <w:rsid w:val="00BB5ADC"/>
    <w:rsid w:val="00BB5C70"/>
    <w:rsid w:val="00BB5D3D"/>
    <w:rsid w:val="00BB5E2E"/>
    <w:rsid w:val="00BB5E30"/>
    <w:rsid w:val="00BB5EA1"/>
    <w:rsid w:val="00BB5F13"/>
    <w:rsid w:val="00BB5FA5"/>
    <w:rsid w:val="00BB6129"/>
    <w:rsid w:val="00BB6196"/>
    <w:rsid w:val="00BB6274"/>
    <w:rsid w:val="00BB641A"/>
    <w:rsid w:val="00BB64C6"/>
    <w:rsid w:val="00BB6545"/>
    <w:rsid w:val="00BB67BA"/>
    <w:rsid w:val="00BB6A5E"/>
    <w:rsid w:val="00BB6EAF"/>
    <w:rsid w:val="00BB6F74"/>
    <w:rsid w:val="00BB7280"/>
    <w:rsid w:val="00BB72EA"/>
    <w:rsid w:val="00BB7518"/>
    <w:rsid w:val="00BB78F3"/>
    <w:rsid w:val="00BB796C"/>
    <w:rsid w:val="00BB79AC"/>
    <w:rsid w:val="00BB7BC6"/>
    <w:rsid w:val="00BB7BE6"/>
    <w:rsid w:val="00BB7DFD"/>
    <w:rsid w:val="00BB7F3A"/>
    <w:rsid w:val="00BB7FC9"/>
    <w:rsid w:val="00BC001C"/>
    <w:rsid w:val="00BC008F"/>
    <w:rsid w:val="00BC00A9"/>
    <w:rsid w:val="00BC01DC"/>
    <w:rsid w:val="00BC0241"/>
    <w:rsid w:val="00BC031E"/>
    <w:rsid w:val="00BC03AB"/>
    <w:rsid w:val="00BC03D9"/>
    <w:rsid w:val="00BC04FA"/>
    <w:rsid w:val="00BC0883"/>
    <w:rsid w:val="00BC0A42"/>
    <w:rsid w:val="00BC0D78"/>
    <w:rsid w:val="00BC1015"/>
    <w:rsid w:val="00BC1059"/>
    <w:rsid w:val="00BC10FC"/>
    <w:rsid w:val="00BC122A"/>
    <w:rsid w:val="00BC1534"/>
    <w:rsid w:val="00BC15A7"/>
    <w:rsid w:val="00BC1841"/>
    <w:rsid w:val="00BC1ADA"/>
    <w:rsid w:val="00BC1B28"/>
    <w:rsid w:val="00BC1B7E"/>
    <w:rsid w:val="00BC1C3E"/>
    <w:rsid w:val="00BC1C91"/>
    <w:rsid w:val="00BC1CC5"/>
    <w:rsid w:val="00BC1D9B"/>
    <w:rsid w:val="00BC1F91"/>
    <w:rsid w:val="00BC220F"/>
    <w:rsid w:val="00BC246B"/>
    <w:rsid w:val="00BC26A7"/>
    <w:rsid w:val="00BC2811"/>
    <w:rsid w:val="00BC285D"/>
    <w:rsid w:val="00BC2963"/>
    <w:rsid w:val="00BC2AAB"/>
    <w:rsid w:val="00BC2B38"/>
    <w:rsid w:val="00BC2B9B"/>
    <w:rsid w:val="00BC2C28"/>
    <w:rsid w:val="00BC2CFC"/>
    <w:rsid w:val="00BC2D7C"/>
    <w:rsid w:val="00BC30A1"/>
    <w:rsid w:val="00BC30FB"/>
    <w:rsid w:val="00BC333F"/>
    <w:rsid w:val="00BC34E9"/>
    <w:rsid w:val="00BC355B"/>
    <w:rsid w:val="00BC397E"/>
    <w:rsid w:val="00BC3A7A"/>
    <w:rsid w:val="00BC3D22"/>
    <w:rsid w:val="00BC3DC5"/>
    <w:rsid w:val="00BC3E42"/>
    <w:rsid w:val="00BC4228"/>
    <w:rsid w:val="00BC48D7"/>
    <w:rsid w:val="00BC4A99"/>
    <w:rsid w:val="00BC4C93"/>
    <w:rsid w:val="00BC4CFE"/>
    <w:rsid w:val="00BC505A"/>
    <w:rsid w:val="00BC52B7"/>
    <w:rsid w:val="00BC53FE"/>
    <w:rsid w:val="00BC5431"/>
    <w:rsid w:val="00BC57E8"/>
    <w:rsid w:val="00BC5994"/>
    <w:rsid w:val="00BC5C46"/>
    <w:rsid w:val="00BC5DD5"/>
    <w:rsid w:val="00BC5E4A"/>
    <w:rsid w:val="00BC6364"/>
    <w:rsid w:val="00BC6593"/>
    <w:rsid w:val="00BC6614"/>
    <w:rsid w:val="00BC6648"/>
    <w:rsid w:val="00BC667E"/>
    <w:rsid w:val="00BC671B"/>
    <w:rsid w:val="00BC695D"/>
    <w:rsid w:val="00BC6B53"/>
    <w:rsid w:val="00BC6D3C"/>
    <w:rsid w:val="00BC6DA0"/>
    <w:rsid w:val="00BC6F56"/>
    <w:rsid w:val="00BC7400"/>
    <w:rsid w:val="00BC7455"/>
    <w:rsid w:val="00BC79CE"/>
    <w:rsid w:val="00BC7A1D"/>
    <w:rsid w:val="00BC7BF1"/>
    <w:rsid w:val="00BC7DBF"/>
    <w:rsid w:val="00BC7F4E"/>
    <w:rsid w:val="00BD023B"/>
    <w:rsid w:val="00BD03C4"/>
    <w:rsid w:val="00BD07F3"/>
    <w:rsid w:val="00BD08F3"/>
    <w:rsid w:val="00BD0941"/>
    <w:rsid w:val="00BD0B6E"/>
    <w:rsid w:val="00BD0CC2"/>
    <w:rsid w:val="00BD0EFD"/>
    <w:rsid w:val="00BD0F8D"/>
    <w:rsid w:val="00BD1192"/>
    <w:rsid w:val="00BD1263"/>
    <w:rsid w:val="00BD13AF"/>
    <w:rsid w:val="00BD14CB"/>
    <w:rsid w:val="00BD1617"/>
    <w:rsid w:val="00BD1847"/>
    <w:rsid w:val="00BD1952"/>
    <w:rsid w:val="00BD19A2"/>
    <w:rsid w:val="00BD1A39"/>
    <w:rsid w:val="00BD1B1F"/>
    <w:rsid w:val="00BD1D66"/>
    <w:rsid w:val="00BD1E04"/>
    <w:rsid w:val="00BD2056"/>
    <w:rsid w:val="00BD2174"/>
    <w:rsid w:val="00BD220B"/>
    <w:rsid w:val="00BD2337"/>
    <w:rsid w:val="00BD2610"/>
    <w:rsid w:val="00BD27F7"/>
    <w:rsid w:val="00BD2954"/>
    <w:rsid w:val="00BD2A80"/>
    <w:rsid w:val="00BD2AC1"/>
    <w:rsid w:val="00BD2AEB"/>
    <w:rsid w:val="00BD2AFC"/>
    <w:rsid w:val="00BD2CB4"/>
    <w:rsid w:val="00BD3167"/>
    <w:rsid w:val="00BD337C"/>
    <w:rsid w:val="00BD35CB"/>
    <w:rsid w:val="00BD3676"/>
    <w:rsid w:val="00BD38B6"/>
    <w:rsid w:val="00BD3D09"/>
    <w:rsid w:val="00BD3DC9"/>
    <w:rsid w:val="00BD404C"/>
    <w:rsid w:val="00BD4177"/>
    <w:rsid w:val="00BD4216"/>
    <w:rsid w:val="00BD436F"/>
    <w:rsid w:val="00BD4571"/>
    <w:rsid w:val="00BD45B2"/>
    <w:rsid w:val="00BD47D0"/>
    <w:rsid w:val="00BD486B"/>
    <w:rsid w:val="00BD4943"/>
    <w:rsid w:val="00BD4A2E"/>
    <w:rsid w:val="00BD4B86"/>
    <w:rsid w:val="00BD4CA5"/>
    <w:rsid w:val="00BD4D99"/>
    <w:rsid w:val="00BD4F1A"/>
    <w:rsid w:val="00BD50D5"/>
    <w:rsid w:val="00BD570C"/>
    <w:rsid w:val="00BD577A"/>
    <w:rsid w:val="00BD5787"/>
    <w:rsid w:val="00BD57E9"/>
    <w:rsid w:val="00BD59FD"/>
    <w:rsid w:val="00BD5E31"/>
    <w:rsid w:val="00BD61A2"/>
    <w:rsid w:val="00BD646B"/>
    <w:rsid w:val="00BD67AB"/>
    <w:rsid w:val="00BD691B"/>
    <w:rsid w:val="00BD6B15"/>
    <w:rsid w:val="00BD6B7A"/>
    <w:rsid w:val="00BD6C25"/>
    <w:rsid w:val="00BD6DB3"/>
    <w:rsid w:val="00BD6F6D"/>
    <w:rsid w:val="00BD72D7"/>
    <w:rsid w:val="00BD72F2"/>
    <w:rsid w:val="00BD7579"/>
    <w:rsid w:val="00BD75A1"/>
    <w:rsid w:val="00BD7650"/>
    <w:rsid w:val="00BD791E"/>
    <w:rsid w:val="00BD7992"/>
    <w:rsid w:val="00BD7A1E"/>
    <w:rsid w:val="00BD7AB2"/>
    <w:rsid w:val="00BD7BF4"/>
    <w:rsid w:val="00BD7D9B"/>
    <w:rsid w:val="00BD7EDE"/>
    <w:rsid w:val="00BE05A6"/>
    <w:rsid w:val="00BE07D5"/>
    <w:rsid w:val="00BE0965"/>
    <w:rsid w:val="00BE09FA"/>
    <w:rsid w:val="00BE0A24"/>
    <w:rsid w:val="00BE0A7C"/>
    <w:rsid w:val="00BE0B97"/>
    <w:rsid w:val="00BE0C9F"/>
    <w:rsid w:val="00BE0DEC"/>
    <w:rsid w:val="00BE0E7E"/>
    <w:rsid w:val="00BE12BE"/>
    <w:rsid w:val="00BE1316"/>
    <w:rsid w:val="00BE1371"/>
    <w:rsid w:val="00BE14E3"/>
    <w:rsid w:val="00BE1833"/>
    <w:rsid w:val="00BE1CF4"/>
    <w:rsid w:val="00BE1E49"/>
    <w:rsid w:val="00BE1EB5"/>
    <w:rsid w:val="00BE1ED7"/>
    <w:rsid w:val="00BE1F40"/>
    <w:rsid w:val="00BE2136"/>
    <w:rsid w:val="00BE21CB"/>
    <w:rsid w:val="00BE2200"/>
    <w:rsid w:val="00BE2280"/>
    <w:rsid w:val="00BE24AE"/>
    <w:rsid w:val="00BE24FD"/>
    <w:rsid w:val="00BE2712"/>
    <w:rsid w:val="00BE2789"/>
    <w:rsid w:val="00BE291D"/>
    <w:rsid w:val="00BE2961"/>
    <w:rsid w:val="00BE2B74"/>
    <w:rsid w:val="00BE2BF0"/>
    <w:rsid w:val="00BE2C06"/>
    <w:rsid w:val="00BE2CC1"/>
    <w:rsid w:val="00BE2D91"/>
    <w:rsid w:val="00BE2F91"/>
    <w:rsid w:val="00BE3042"/>
    <w:rsid w:val="00BE30A2"/>
    <w:rsid w:val="00BE317F"/>
    <w:rsid w:val="00BE31ED"/>
    <w:rsid w:val="00BE34AB"/>
    <w:rsid w:val="00BE3877"/>
    <w:rsid w:val="00BE3C15"/>
    <w:rsid w:val="00BE3DCF"/>
    <w:rsid w:val="00BE3E2F"/>
    <w:rsid w:val="00BE3EBE"/>
    <w:rsid w:val="00BE433A"/>
    <w:rsid w:val="00BE47F6"/>
    <w:rsid w:val="00BE484D"/>
    <w:rsid w:val="00BE4915"/>
    <w:rsid w:val="00BE498F"/>
    <w:rsid w:val="00BE4B91"/>
    <w:rsid w:val="00BE4C1F"/>
    <w:rsid w:val="00BE4EAD"/>
    <w:rsid w:val="00BE4F48"/>
    <w:rsid w:val="00BE53FA"/>
    <w:rsid w:val="00BE551D"/>
    <w:rsid w:val="00BE554D"/>
    <w:rsid w:val="00BE55D6"/>
    <w:rsid w:val="00BE5735"/>
    <w:rsid w:val="00BE5763"/>
    <w:rsid w:val="00BE57C9"/>
    <w:rsid w:val="00BE598F"/>
    <w:rsid w:val="00BE5AFE"/>
    <w:rsid w:val="00BE5E98"/>
    <w:rsid w:val="00BE5FD8"/>
    <w:rsid w:val="00BE6072"/>
    <w:rsid w:val="00BE6922"/>
    <w:rsid w:val="00BE6B98"/>
    <w:rsid w:val="00BE6BB3"/>
    <w:rsid w:val="00BE6F3D"/>
    <w:rsid w:val="00BE70B6"/>
    <w:rsid w:val="00BE70E2"/>
    <w:rsid w:val="00BE73E3"/>
    <w:rsid w:val="00BE741C"/>
    <w:rsid w:val="00BE7D14"/>
    <w:rsid w:val="00BF0006"/>
    <w:rsid w:val="00BF007E"/>
    <w:rsid w:val="00BF00A7"/>
    <w:rsid w:val="00BF0162"/>
    <w:rsid w:val="00BF01DC"/>
    <w:rsid w:val="00BF039E"/>
    <w:rsid w:val="00BF03C7"/>
    <w:rsid w:val="00BF0630"/>
    <w:rsid w:val="00BF0776"/>
    <w:rsid w:val="00BF07E3"/>
    <w:rsid w:val="00BF0843"/>
    <w:rsid w:val="00BF0AA1"/>
    <w:rsid w:val="00BF0BDA"/>
    <w:rsid w:val="00BF0D8B"/>
    <w:rsid w:val="00BF134A"/>
    <w:rsid w:val="00BF1581"/>
    <w:rsid w:val="00BF1974"/>
    <w:rsid w:val="00BF1C68"/>
    <w:rsid w:val="00BF1F27"/>
    <w:rsid w:val="00BF2315"/>
    <w:rsid w:val="00BF2330"/>
    <w:rsid w:val="00BF268A"/>
    <w:rsid w:val="00BF2AE4"/>
    <w:rsid w:val="00BF2E10"/>
    <w:rsid w:val="00BF2ED7"/>
    <w:rsid w:val="00BF31FD"/>
    <w:rsid w:val="00BF3365"/>
    <w:rsid w:val="00BF33C9"/>
    <w:rsid w:val="00BF3493"/>
    <w:rsid w:val="00BF3531"/>
    <w:rsid w:val="00BF3620"/>
    <w:rsid w:val="00BF39AE"/>
    <w:rsid w:val="00BF3A52"/>
    <w:rsid w:val="00BF3B89"/>
    <w:rsid w:val="00BF3D17"/>
    <w:rsid w:val="00BF418D"/>
    <w:rsid w:val="00BF41C4"/>
    <w:rsid w:val="00BF43B6"/>
    <w:rsid w:val="00BF482B"/>
    <w:rsid w:val="00BF484F"/>
    <w:rsid w:val="00BF4C70"/>
    <w:rsid w:val="00BF4E2C"/>
    <w:rsid w:val="00BF4F21"/>
    <w:rsid w:val="00BF500B"/>
    <w:rsid w:val="00BF5077"/>
    <w:rsid w:val="00BF5155"/>
    <w:rsid w:val="00BF5524"/>
    <w:rsid w:val="00BF5782"/>
    <w:rsid w:val="00BF58A2"/>
    <w:rsid w:val="00BF5928"/>
    <w:rsid w:val="00BF596D"/>
    <w:rsid w:val="00BF5C43"/>
    <w:rsid w:val="00BF5C5D"/>
    <w:rsid w:val="00BF5DA2"/>
    <w:rsid w:val="00BF5DE0"/>
    <w:rsid w:val="00BF60F8"/>
    <w:rsid w:val="00BF6437"/>
    <w:rsid w:val="00BF65DC"/>
    <w:rsid w:val="00BF65FD"/>
    <w:rsid w:val="00BF6601"/>
    <w:rsid w:val="00BF660C"/>
    <w:rsid w:val="00BF6650"/>
    <w:rsid w:val="00BF67FE"/>
    <w:rsid w:val="00BF6910"/>
    <w:rsid w:val="00BF6B57"/>
    <w:rsid w:val="00BF6CB3"/>
    <w:rsid w:val="00BF6CC1"/>
    <w:rsid w:val="00BF6D52"/>
    <w:rsid w:val="00BF6F29"/>
    <w:rsid w:val="00BF6F43"/>
    <w:rsid w:val="00BF71A6"/>
    <w:rsid w:val="00BF728C"/>
    <w:rsid w:val="00BF736A"/>
    <w:rsid w:val="00BF750F"/>
    <w:rsid w:val="00BF77F3"/>
    <w:rsid w:val="00BF78DB"/>
    <w:rsid w:val="00BF7985"/>
    <w:rsid w:val="00BF79B1"/>
    <w:rsid w:val="00BF7A5B"/>
    <w:rsid w:val="00BF7D1B"/>
    <w:rsid w:val="00BF7E0B"/>
    <w:rsid w:val="00BF7E36"/>
    <w:rsid w:val="00BF7E9D"/>
    <w:rsid w:val="00C002EF"/>
    <w:rsid w:val="00C0044E"/>
    <w:rsid w:val="00C0058B"/>
    <w:rsid w:val="00C00627"/>
    <w:rsid w:val="00C00708"/>
    <w:rsid w:val="00C01024"/>
    <w:rsid w:val="00C01734"/>
    <w:rsid w:val="00C017E8"/>
    <w:rsid w:val="00C01A7E"/>
    <w:rsid w:val="00C01AF2"/>
    <w:rsid w:val="00C01AFD"/>
    <w:rsid w:val="00C01B70"/>
    <w:rsid w:val="00C01C68"/>
    <w:rsid w:val="00C01E56"/>
    <w:rsid w:val="00C01F55"/>
    <w:rsid w:val="00C01F5A"/>
    <w:rsid w:val="00C02452"/>
    <w:rsid w:val="00C024CB"/>
    <w:rsid w:val="00C02566"/>
    <w:rsid w:val="00C02626"/>
    <w:rsid w:val="00C02720"/>
    <w:rsid w:val="00C028AC"/>
    <w:rsid w:val="00C02946"/>
    <w:rsid w:val="00C02966"/>
    <w:rsid w:val="00C02AA5"/>
    <w:rsid w:val="00C02AB7"/>
    <w:rsid w:val="00C02C7F"/>
    <w:rsid w:val="00C02CEB"/>
    <w:rsid w:val="00C02E04"/>
    <w:rsid w:val="00C02E33"/>
    <w:rsid w:val="00C0303F"/>
    <w:rsid w:val="00C030DE"/>
    <w:rsid w:val="00C03208"/>
    <w:rsid w:val="00C0339F"/>
    <w:rsid w:val="00C0340C"/>
    <w:rsid w:val="00C034B5"/>
    <w:rsid w:val="00C03743"/>
    <w:rsid w:val="00C03778"/>
    <w:rsid w:val="00C037E1"/>
    <w:rsid w:val="00C038CF"/>
    <w:rsid w:val="00C03B05"/>
    <w:rsid w:val="00C03C5C"/>
    <w:rsid w:val="00C03E7C"/>
    <w:rsid w:val="00C03EDA"/>
    <w:rsid w:val="00C03F6F"/>
    <w:rsid w:val="00C04086"/>
    <w:rsid w:val="00C040A6"/>
    <w:rsid w:val="00C04162"/>
    <w:rsid w:val="00C044BB"/>
    <w:rsid w:val="00C04538"/>
    <w:rsid w:val="00C04633"/>
    <w:rsid w:val="00C04667"/>
    <w:rsid w:val="00C0476B"/>
    <w:rsid w:val="00C049E6"/>
    <w:rsid w:val="00C04C54"/>
    <w:rsid w:val="00C04CE1"/>
    <w:rsid w:val="00C04CE8"/>
    <w:rsid w:val="00C04F40"/>
    <w:rsid w:val="00C051CB"/>
    <w:rsid w:val="00C052A1"/>
    <w:rsid w:val="00C05340"/>
    <w:rsid w:val="00C05406"/>
    <w:rsid w:val="00C057A0"/>
    <w:rsid w:val="00C05A3B"/>
    <w:rsid w:val="00C05BD5"/>
    <w:rsid w:val="00C05D83"/>
    <w:rsid w:val="00C05F2D"/>
    <w:rsid w:val="00C06073"/>
    <w:rsid w:val="00C061FA"/>
    <w:rsid w:val="00C06490"/>
    <w:rsid w:val="00C067B4"/>
    <w:rsid w:val="00C06918"/>
    <w:rsid w:val="00C06BDB"/>
    <w:rsid w:val="00C06DD9"/>
    <w:rsid w:val="00C06E26"/>
    <w:rsid w:val="00C06F15"/>
    <w:rsid w:val="00C07023"/>
    <w:rsid w:val="00C070F2"/>
    <w:rsid w:val="00C07220"/>
    <w:rsid w:val="00C07392"/>
    <w:rsid w:val="00C073B2"/>
    <w:rsid w:val="00C07565"/>
    <w:rsid w:val="00C075F3"/>
    <w:rsid w:val="00C0764B"/>
    <w:rsid w:val="00C0773D"/>
    <w:rsid w:val="00C0786C"/>
    <w:rsid w:val="00C07958"/>
    <w:rsid w:val="00C079C8"/>
    <w:rsid w:val="00C07A6E"/>
    <w:rsid w:val="00C07AD3"/>
    <w:rsid w:val="00C07CF1"/>
    <w:rsid w:val="00C07D18"/>
    <w:rsid w:val="00C100CE"/>
    <w:rsid w:val="00C104F9"/>
    <w:rsid w:val="00C1061A"/>
    <w:rsid w:val="00C10A50"/>
    <w:rsid w:val="00C10A92"/>
    <w:rsid w:val="00C10C15"/>
    <w:rsid w:val="00C10C7F"/>
    <w:rsid w:val="00C10CEF"/>
    <w:rsid w:val="00C10EC9"/>
    <w:rsid w:val="00C1124C"/>
    <w:rsid w:val="00C11311"/>
    <w:rsid w:val="00C113CB"/>
    <w:rsid w:val="00C113FA"/>
    <w:rsid w:val="00C113FF"/>
    <w:rsid w:val="00C11489"/>
    <w:rsid w:val="00C11648"/>
    <w:rsid w:val="00C116CC"/>
    <w:rsid w:val="00C117E3"/>
    <w:rsid w:val="00C1183F"/>
    <w:rsid w:val="00C118A1"/>
    <w:rsid w:val="00C118B3"/>
    <w:rsid w:val="00C118CD"/>
    <w:rsid w:val="00C119D9"/>
    <w:rsid w:val="00C11E0B"/>
    <w:rsid w:val="00C11F64"/>
    <w:rsid w:val="00C12110"/>
    <w:rsid w:val="00C1222C"/>
    <w:rsid w:val="00C122AE"/>
    <w:rsid w:val="00C12347"/>
    <w:rsid w:val="00C12382"/>
    <w:rsid w:val="00C12385"/>
    <w:rsid w:val="00C1243F"/>
    <w:rsid w:val="00C125C8"/>
    <w:rsid w:val="00C12663"/>
    <w:rsid w:val="00C12720"/>
    <w:rsid w:val="00C12B53"/>
    <w:rsid w:val="00C12C62"/>
    <w:rsid w:val="00C12E7E"/>
    <w:rsid w:val="00C13390"/>
    <w:rsid w:val="00C1342C"/>
    <w:rsid w:val="00C134B4"/>
    <w:rsid w:val="00C13500"/>
    <w:rsid w:val="00C13645"/>
    <w:rsid w:val="00C13AFF"/>
    <w:rsid w:val="00C13CF9"/>
    <w:rsid w:val="00C13DFF"/>
    <w:rsid w:val="00C13F38"/>
    <w:rsid w:val="00C14119"/>
    <w:rsid w:val="00C141CE"/>
    <w:rsid w:val="00C14205"/>
    <w:rsid w:val="00C1437B"/>
    <w:rsid w:val="00C144D3"/>
    <w:rsid w:val="00C1450F"/>
    <w:rsid w:val="00C14726"/>
    <w:rsid w:val="00C14827"/>
    <w:rsid w:val="00C14885"/>
    <w:rsid w:val="00C14A1D"/>
    <w:rsid w:val="00C14BD6"/>
    <w:rsid w:val="00C14D20"/>
    <w:rsid w:val="00C1563C"/>
    <w:rsid w:val="00C1582D"/>
    <w:rsid w:val="00C158B0"/>
    <w:rsid w:val="00C159DD"/>
    <w:rsid w:val="00C15C22"/>
    <w:rsid w:val="00C15C73"/>
    <w:rsid w:val="00C15D8E"/>
    <w:rsid w:val="00C15DA7"/>
    <w:rsid w:val="00C15DCF"/>
    <w:rsid w:val="00C15E3E"/>
    <w:rsid w:val="00C16135"/>
    <w:rsid w:val="00C16493"/>
    <w:rsid w:val="00C165D4"/>
    <w:rsid w:val="00C1691C"/>
    <w:rsid w:val="00C16CDB"/>
    <w:rsid w:val="00C1707B"/>
    <w:rsid w:val="00C17143"/>
    <w:rsid w:val="00C17172"/>
    <w:rsid w:val="00C171B3"/>
    <w:rsid w:val="00C174D5"/>
    <w:rsid w:val="00C17595"/>
    <w:rsid w:val="00C17641"/>
    <w:rsid w:val="00C17B67"/>
    <w:rsid w:val="00C17CBE"/>
    <w:rsid w:val="00C17E58"/>
    <w:rsid w:val="00C17F48"/>
    <w:rsid w:val="00C200B5"/>
    <w:rsid w:val="00C202BF"/>
    <w:rsid w:val="00C202ED"/>
    <w:rsid w:val="00C202F7"/>
    <w:rsid w:val="00C20370"/>
    <w:rsid w:val="00C203E3"/>
    <w:rsid w:val="00C205D0"/>
    <w:rsid w:val="00C2078B"/>
    <w:rsid w:val="00C207C3"/>
    <w:rsid w:val="00C20847"/>
    <w:rsid w:val="00C20AFD"/>
    <w:rsid w:val="00C20EFC"/>
    <w:rsid w:val="00C21032"/>
    <w:rsid w:val="00C21201"/>
    <w:rsid w:val="00C214E0"/>
    <w:rsid w:val="00C21739"/>
    <w:rsid w:val="00C2176A"/>
    <w:rsid w:val="00C21799"/>
    <w:rsid w:val="00C2180D"/>
    <w:rsid w:val="00C2184E"/>
    <w:rsid w:val="00C21A9B"/>
    <w:rsid w:val="00C21C56"/>
    <w:rsid w:val="00C21E6D"/>
    <w:rsid w:val="00C21E87"/>
    <w:rsid w:val="00C220CA"/>
    <w:rsid w:val="00C22116"/>
    <w:rsid w:val="00C22413"/>
    <w:rsid w:val="00C22426"/>
    <w:rsid w:val="00C2270D"/>
    <w:rsid w:val="00C22826"/>
    <w:rsid w:val="00C22901"/>
    <w:rsid w:val="00C22A50"/>
    <w:rsid w:val="00C22C29"/>
    <w:rsid w:val="00C22D0F"/>
    <w:rsid w:val="00C22E8E"/>
    <w:rsid w:val="00C23001"/>
    <w:rsid w:val="00C23021"/>
    <w:rsid w:val="00C230D5"/>
    <w:rsid w:val="00C23179"/>
    <w:rsid w:val="00C232C2"/>
    <w:rsid w:val="00C233C6"/>
    <w:rsid w:val="00C2343E"/>
    <w:rsid w:val="00C23454"/>
    <w:rsid w:val="00C234A1"/>
    <w:rsid w:val="00C2351A"/>
    <w:rsid w:val="00C23638"/>
    <w:rsid w:val="00C237C1"/>
    <w:rsid w:val="00C238AB"/>
    <w:rsid w:val="00C23B1A"/>
    <w:rsid w:val="00C23D8F"/>
    <w:rsid w:val="00C23E2E"/>
    <w:rsid w:val="00C23E64"/>
    <w:rsid w:val="00C23EEE"/>
    <w:rsid w:val="00C23F74"/>
    <w:rsid w:val="00C240FD"/>
    <w:rsid w:val="00C241ED"/>
    <w:rsid w:val="00C243C3"/>
    <w:rsid w:val="00C2493A"/>
    <w:rsid w:val="00C24A30"/>
    <w:rsid w:val="00C24BA1"/>
    <w:rsid w:val="00C24F64"/>
    <w:rsid w:val="00C25009"/>
    <w:rsid w:val="00C2518F"/>
    <w:rsid w:val="00C25429"/>
    <w:rsid w:val="00C25490"/>
    <w:rsid w:val="00C25546"/>
    <w:rsid w:val="00C2558E"/>
    <w:rsid w:val="00C255A4"/>
    <w:rsid w:val="00C255E9"/>
    <w:rsid w:val="00C2573F"/>
    <w:rsid w:val="00C257C3"/>
    <w:rsid w:val="00C25BCA"/>
    <w:rsid w:val="00C25EE6"/>
    <w:rsid w:val="00C25F17"/>
    <w:rsid w:val="00C26113"/>
    <w:rsid w:val="00C261B7"/>
    <w:rsid w:val="00C26355"/>
    <w:rsid w:val="00C2642D"/>
    <w:rsid w:val="00C26564"/>
    <w:rsid w:val="00C26574"/>
    <w:rsid w:val="00C26718"/>
    <w:rsid w:val="00C267AD"/>
    <w:rsid w:val="00C269F8"/>
    <w:rsid w:val="00C26B1B"/>
    <w:rsid w:val="00C26B41"/>
    <w:rsid w:val="00C26C38"/>
    <w:rsid w:val="00C26D43"/>
    <w:rsid w:val="00C26FAB"/>
    <w:rsid w:val="00C27086"/>
    <w:rsid w:val="00C270A5"/>
    <w:rsid w:val="00C270E5"/>
    <w:rsid w:val="00C27221"/>
    <w:rsid w:val="00C27242"/>
    <w:rsid w:val="00C278C9"/>
    <w:rsid w:val="00C279CB"/>
    <w:rsid w:val="00C279D0"/>
    <w:rsid w:val="00C27ACE"/>
    <w:rsid w:val="00C27B3E"/>
    <w:rsid w:val="00C27DC9"/>
    <w:rsid w:val="00C27DFE"/>
    <w:rsid w:val="00C27F80"/>
    <w:rsid w:val="00C27FD4"/>
    <w:rsid w:val="00C30029"/>
    <w:rsid w:val="00C300FD"/>
    <w:rsid w:val="00C3010E"/>
    <w:rsid w:val="00C301C0"/>
    <w:rsid w:val="00C30301"/>
    <w:rsid w:val="00C303FC"/>
    <w:rsid w:val="00C304BD"/>
    <w:rsid w:val="00C30767"/>
    <w:rsid w:val="00C307AA"/>
    <w:rsid w:val="00C3081E"/>
    <w:rsid w:val="00C3082B"/>
    <w:rsid w:val="00C3099A"/>
    <w:rsid w:val="00C30A06"/>
    <w:rsid w:val="00C30A17"/>
    <w:rsid w:val="00C30BFB"/>
    <w:rsid w:val="00C30C19"/>
    <w:rsid w:val="00C30F5C"/>
    <w:rsid w:val="00C30FE5"/>
    <w:rsid w:val="00C3147D"/>
    <w:rsid w:val="00C3158A"/>
    <w:rsid w:val="00C315ED"/>
    <w:rsid w:val="00C316AF"/>
    <w:rsid w:val="00C31797"/>
    <w:rsid w:val="00C317CC"/>
    <w:rsid w:val="00C317E8"/>
    <w:rsid w:val="00C3195C"/>
    <w:rsid w:val="00C31A0A"/>
    <w:rsid w:val="00C31A4B"/>
    <w:rsid w:val="00C31CD9"/>
    <w:rsid w:val="00C31DA4"/>
    <w:rsid w:val="00C31DCE"/>
    <w:rsid w:val="00C31EE9"/>
    <w:rsid w:val="00C31F64"/>
    <w:rsid w:val="00C31FAB"/>
    <w:rsid w:val="00C31FED"/>
    <w:rsid w:val="00C320DC"/>
    <w:rsid w:val="00C32469"/>
    <w:rsid w:val="00C324A4"/>
    <w:rsid w:val="00C324EE"/>
    <w:rsid w:val="00C324F4"/>
    <w:rsid w:val="00C32684"/>
    <w:rsid w:val="00C32781"/>
    <w:rsid w:val="00C327BE"/>
    <w:rsid w:val="00C328B6"/>
    <w:rsid w:val="00C328FB"/>
    <w:rsid w:val="00C32A41"/>
    <w:rsid w:val="00C32AF6"/>
    <w:rsid w:val="00C32E8D"/>
    <w:rsid w:val="00C331AF"/>
    <w:rsid w:val="00C332B3"/>
    <w:rsid w:val="00C332E0"/>
    <w:rsid w:val="00C3330D"/>
    <w:rsid w:val="00C33659"/>
    <w:rsid w:val="00C33684"/>
    <w:rsid w:val="00C33702"/>
    <w:rsid w:val="00C33BD6"/>
    <w:rsid w:val="00C340D5"/>
    <w:rsid w:val="00C34319"/>
    <w:rsid w:val="00C343CC"/>
    <w:rsid w:val="00C34605"/>
    <w:rsid w:val="00C34661"/>
    <w:rsid w:val="00C34668"/>
    <w:rsid w:val="00C346B2"/>
    <w:rsid w:val="00C348F0"/>
    <w:rsid w:val="00C34EAF"/>
    <w:rsid w:val="00C3510E"/>
    <w:rsid w:val="00C352B9"/>
    <w:rsid w:val="00C35418"/>
    <w:rsid w:val="00C354E4"/>
    <w:rsid w:val="00C35724"/>
    <w:rsid w:val="00C357C8"/>
    <w:rsid w:val="00C35876"/>
    <w:rsid w:val="00C35E8B"/>
    <w:rsid w:val="00C36064"/>
    <w:rsid w:val="00C361CA"/>
    <w:rsid w:val="00C36428"/>
    <w:rsid w:val="00C3644B"/>
    <w:rsid w:val="00C36597"/>
    <w:rsid w:val="00C369E0"/>
    <w:rsid w:val="00C36A05"/>
    <w:rsid w:val="00C36A0F"/>
    <w:rsid w:val="00C36BEE"/>
    <w:rsid w:val="00C36E48"/>
    <w:rsid w:val="00C36E51"/>
    <w:rsid w:val="00C36ED9"/>
    <w:rsid w:val="00C36EF4"/>
    <w:rsid w:val="00C36FEF"/>
    <w:rsid w:val="00C3779C"/>
    <w:rsid w:val="00C3797B"/>
    <w:rsid w:val="00C379AB"/>
    <w:rsid w:val="00C37D1F"/>
    <w:rsid w:val="00C37E05"/>
    <w:rsid w:val="00C40184"/>
    <w:rsid w:val="00C404F0"/>
    <w:rsid w:val="00C4073A"/>
    <w:rsid w:val="00C4092A"/>
    <w:rsid w:val="00C409A7"/>
    <w:rsid w:val="00C40F3A"/>
    <w:rsid w:val="00C40F86"/>
    <w:rsid w:val="00C41025"/>
    <w:rsid w:val="00C41134"/>
    <w:rsid w:val="00C413F3"/>
    <w:rsid w:val="00C4168B"/>
    <w:rsid w:val="00C4183B"/>
    <w:rsid w:val="00C418C5"/>
    <w:rsid w:val="00C4199A"/>
    <w:rsid w:val="00C419FD"/>
    <w:rsid w:val="00C41B80"/>
    <w:rsid w:val="00C41C39"/>
    <w:rsid w:val="00C41C59"/>
    <w:rsid w:val="00C41C84"/>
    <w:rsid w:val="00C41D00"/>
    <w:rsid w:val="00C41D25"/>
    <w:rsid w:val="00C41F96"/>
    <w:rsid w:val="00C42365"/>
    <w:rsid w:val="00C425A5"/>
    <w:rsid w:val="00C4267B"/>
    <w:rsid w:val="00C42956"/>
    <w:rsid w:val="00C42E10"/>
    <w:rsid w:val="00C42F1D"/>
    <w:rsid w:val="00C432A3"/>
    <w:rsid w:val="00C432CB"/>
    <w:rsid w:val="00C43444"/>
    <w:rsid w:val="00C434CF"/>
    <w:rsid w:val="00C43527"/>
    <w:rsid w:val="00C4362E"/>
    <w:rsid w:val="00C4364A"/>
    <w:rsid w:val="00C43710"/>
    <w:rsid w:val="00C43847"/>
    <w:rsid w:val="00C43988"/>
    <w:rsid w:val="00C439FD"/>
    <w:rsid w:val="00C43DA4"/>
    <w:rsid w:val="00C43E33"/>
    <w:rsid w:val="00C43E39"/>
    <w:rsid w:val="00C43F65"/>
    <w:rsid w:val="00C4408E"/>
    <w:rsid w:val="00C4422C"/>
    <w:rsid w:val="00C44404"/>
    <w:rsid w:val="00C444A1"/>
    <w:rsid w:val="00C44664"/>
    <w:rsid w:val="00C4487A"/>
    <w:rsid w:val="00C448F6"/>
    <w:rsid w:val="00C44B1F"/>
    <w:rsid w:val="00C44B75"/>
    <w:rsid w:val="00C44BD1"/>
    <w:rsid w:val="00C44CD5"/>
    <w:rsid w:val="00C44FA9"/>
    <w:rsid w:val="00C45021"/>
    <w:rsid w:val="00C45180"/>
    <w:rsid w:val="00C4528F"/>
    <w:rsid w:val="00C45465"/>
    <w:rsid w:val="00C454CB"/>
    <w:rsid w:val="00C454E5"/>
    <w:rsid w:val="00C45523"/>
    <w:rsid w:val="00C4555A"/>
    <w:rsid w:val="00C455AC"/>
    <w:rsid w:val="00C456EC"/>
    <w:rsid w:val="00C458CB"/>
    <w:rsid w:val="00C45A94"/>
    <w:rsid w:val="00C45BFC"/>
    <w:rsid w:val="00C45C1E"/>
    <w:rsid w:val="00C45C2A"/>
    <w:rsid w:val="00C45C85"/>
    <w:rsid w:val="00C45E6C"/>
    <w:rsid w:val="00C45FC8"/>
    <w:rsid w:val="00C45FDC"/>
    <w:rsid w:val="00C460C6"/>
    <w:rsid w:val="00C460CE"/>
    <w:rsid w:val="00C46237"/>
    <w:rsid w:val="00C4647E"/>
    <w:rsid w:val="00C46596"/>
    <w:rsid w:val="00C466C8"/>
    <w:rsid w:val="00C4690E"/>
    <w:rsid w:val="00C46B62"/>
    <w:rsid w:val="00C46C37"/>
    <w:rsid w:val="00C46DEC"/>
    <w:rsid w:val="00C46F13"/>
    <w:rsid w:val="00C47039"/>
    <w:rsid w:val="00C471F7"/>
    <w:rsid w:val="00C4746C"/>
    <w:rsid w:val="00C47781"/>
    <w:rsid w:val="00C47789"/>
    <w:rsid w:val="00C477AA"/>
    <w:rsid w:val="00C478CA"/>
    <w:rsid w:val="00C479FD"/>
    <w:rsid w:val="00C500AF"/>
    <w:rsid w:val="00C502F4"/>
    <w:rsid w:val="00C50483"/>
    <w:rsid w:val="00C5086A"/>
    <w:rsid w:val="00C5087D"/>
    <w:rsid w:val="00C5095A"/>
    <w:rsid w:val="00C50AC6"/>
    <w:rsid w:val="00C50D20"/>
    <w:rsid w:val="00C50F16"/>
    <w:rsid w:val="00C512E2"/>
    <w:rsid w:val="00C514AB"/>
    <w:rsid w:val="00C5152A"/>
    <w:rsid w:val="00C516C0"/>
    <w:rsid w:val="00C516C6"/>
    <w:rsid w:val="00C5184F"/>
    <w:rsid w:val="00C51920"/>
    <w:rsid w:val="00C51AD7"/>
    <w:rsid w:val="00C51DCC"/>
    <w:rsid w:val="00C51E74"/>
    <w:rsid w:val="00C520FC"/>
    <w:rsid w:val="00C5226C"/>
    <w:rsid w:val="00C522CE"/>
    <w:rsid w:val="00C524D3"/>
    <w:rsid w:val="00C524D7"/>
    <w:rsid w:val="00C5281F"/>
    <w:rsid w:val="00C5289F"/>
    <w:rsid w:val="00C52962"/>
    <w:rsid w:val="00C5297E"/>
    <w:rsid w:val="00C52C23"/>
    <w:rsid w:val="00C52DE0"/>
    <w:rsid w:val="00C52DF1"/>
    <w:rsid w:val="00C52F93"/>
    <w:rsid w:val="00C53148"/>
    <w:rsid w:val="00C53412"/>
    <w:rsid w:val="00C534E6"/>
    <w:rsid w:val="00C5363D"/>
    <w:rsid w:val="00C53683"/>
    <w:rsid w:val="00C5383C"/>
    <w:rsid w:val="00C53A80"/>
    <w:rsid w:val="00C53ADD"/>
    <w:rsid w:val="00C53B83"/>
    <w:rsid w:val="00C53D49"/>
    <w:rsid w:val="00C53EFB"/>
    <w:rsid w:val="00C541F5"/>
    <w:rsid w:val="00C5421A"/>
    <w:rsid w:val="00C5423B"/>
    <w:rsid w:val="00C547A8"/>
    <w:rsid w:val="00C54959"/>
    <w:rsid w:val="00C54CBD"/>
    <w:rsid w:val="00C54DA1"/>
    <w:rsid w:val="00C54E8D"/>
    <w:rsid w:val="00C54F92"/>
    <w:rsid w:val="00C550F9"/>
    <w:rsid w:val="00C55196"/>
    <w:rsid w:val="00C5519C"/>
    <w:rsid w:val="00C554BA"/>
    <w:rsid w:val="00C557F6"/>
    <w:rsid w:val="00C55963"/>
    <w:rsid w:val="00C55B50"/>
    <w:rsid w:val="00C55D29"/>
    <w:rsid w:val="00C560EB"/>
    <w:rsid w:val="00C562B8"/>
    <w:rsid w:val="00C563EF"/>
    <w:rsid w:val="00C5642B"/>
    <w:rsid w:val="00C5674C"/>
    <w:rsid w:val="00C568B8"/>
    <w:rsid w:val="00C56CF1"/>
    <w:rsid w:val="00C56E38"/>
    <w:rsid w:val="00C56F02"/>
    <w:rsid w:val="00C56F7C"/>
    <w:rsid w:val="00C57104"/>
    <w:rsid w:val="00C5724B"/>
    <w:rsid w:val="00C57337"/>
    <w:rsid w:val="00C5744F"/>
    <w:rsid w:val="00C5754A"/>
    <w:rsid w:val="00C575BD"/>
    <w:rsid w:val="00C578D5"/>
    <w:rsid w:val="00C5791D"/>
    <w:rsid w:val="00C57E61"/>
    <w:rsid w:val="00C57F3C"/>
    <w:rsid w:val="00C601BF"/>
    <w:rsid w:val="00C6024C"/>
    <w:rsid w:val="00C6038F"/>
    <w:rsid w:val="00C6051F"/>
    <w:rsid w:val="00C609C1"/>
    <w:rsid w:val="00C60AB4"/>
    <w:rsid w:val="00C60B0F"/>
    <w:rsid w:val="00C60CBE"/>
    <w:rsid w:val="00C6109C"/>
    <w:rsid w:val="00C61143"/>
    <w:rsid w:val="00C611CD"/>
    <w:rsid w:val="00C6127F"/>
    <w:rsid w:val="00C613FF"/>
    <w:rsid w:val="00C614B4"/>
    <w:rsid w:val="00C61517"/>
    <w:rsid w:val="00C61767"/>
    <w:rsid w:val="00C61909"/>
    <w:rsid w:val="00C61A76"/>
    <w:rsid w:val="00C61AE7"/>
    <w:rsid w:val="00C61BF8"/>
    <w:rsid w:val="00C61CD4"/>
    <w:rsid w:val="00C61F40"/>
    <w:rsid w:val="00C62012"/>
    <w:rsid w:val="00C6237E"/>
    <w:rsid w:val="00C623A6"/>
    <w:rsid w:val="00C62414"/>
    <w:rsid w:val="00C624AD"/>
    <w:rsid w:val="00C6264A"/>
    <w:rsid w:val="00C62AB8"/>
    <w:rsid w:val="00C62B7A"/>
    <w:rsid w:val="00C62D8E"/>
    <w:rsid w:val="00C6339C"/>
    <w:rsid w:val="00C63459"/>
    <w:rsid w:val="00C635D2"/>
    <w:rsid w:val="00C63754"/>
    <w:rsid w:val="00C6387C"/>
    <w:rsid w:val="00C639C4"/>
    <w:rsid w:val="00C63A6E"/>
    <w:rsid w:val="00C63B4A"/>
    <w:rsid w:val="00C63B51"/>
    <w:rsid w:val="00C63D4D"/>
    <w:rsid w:val="00C63E13"/>
    <w:rsid w:val="00C63F15"/>
    <w:rsid w:val="00C6427B"/>
    <w:rsid w:val="00C643F9"/>
    <w:rsid w:val="00C645DC"/>
    <w:rsid w:val="00C646EE"/>
    <w:rsid w:val="00C648DF"/>
    <w:rsid w:val="00C6496E"/>
    <w:rsid w:val="00C64CA3"/>
    <w:rsid w:val="00C64D34"/>
    <w:rsid w:val="00C64E78"/>
    <w:rsid w:val="00C65082"/>
    <w:rsid w:val="00C65364"/>
    <w:rsid w:val="00C654A5"/>
    <w:rsid w:val="00C65669"/>
    <w:rsid w:val="00C658EA"/>
    <w:rsid w:val="00C65944"/>
    <w:rsid w:val="00C65CC3"/>
    <w:rsid w:val="00C65D6B"/>
    <w:rsid w:val="00C65DD1"/>
    <w:rsid w:val="00C65F08"/>
    <w:rsid w:val="00C6602E"/>
    <w:rsid w:val="00C662B8"/>
    <w:rsid w:val="00C662F8"/>
    <w:rsid w:val="00C663CC"/>
    <w:rsid w:val="00C664F8"/>
    <w:rsid w:val="00C6690D"/>
    <w:rsid w:val="00C6696E"/>
    <w:rsid w:val="00C66B48"/>
    <w:rsid w:val="00C66C55"/>
    <w:rsid w:val="00C66CCF"/>
    <w:rsid w:val="00C66E07"/>
    <w:rsid w:val="00C67192"/>
    <w:rsid w:val="00C67292"/>
    <w:rsid w:val="00C67560"/>
    <w:rsid w:val="00C677AD"/>
    <w:rsid w:val="00C67A08"/>
    <w:rsid w:val="00C67C04"/>
    <w:rsid w:val="00C67D69"/>
    <w:rsid w:val="00C67E1E"/>
    <w:rsid w:val="00C67F00"/>
    <w:rsid w:val="00C67FE5"/>
    <w:rsid w:val="00C67FF4"/>
    <w:rsid w:val="00C700C1"/>
    <w:rsid w:val="00C7019C"/>
    <w:rsid w:val="00C70278"/>
    <w:rsid w:val="00C7039D"/>
    <w:rsid w:val="00C70407"/>
    <w:rsid w:val="00C7046C"/>
    <w:rsid w:val="00C7052C"/>
    <w:rsid w:val="00C7062C"/>
    <w:rsid w:val="00C70704"/>
    <w:rsid w:val="00C70719"/>
    <w:rsid w:val="00C707B6"/>
    <w:rsid w:val="00C70ABC"/>
    <w:rsid w:val="00C70D7C"/>
    <w:rsid w:val="00C71056"/>
    <w:rsid w:val="00C71061"/>
    <w:rsid w:val="00C710DD"/>
    <w:rsid w:val="00C71126"/>
    <w:rsid w:val="00C711EC"/>
    <w:rsid w:val="00C712E6"/>
    <w:rsid w:val="00C71519"/>
    <w:rsid w:val="00C71699"/>
    <w:rsid w:val="00C71751"/>
    <w:rsid w:val="00C717EF"/>
    <w:rsid w:val="00C7184F"/>
    <w:rsid w:val="00C718A7"/>
    <w:rsid w:val="00C71A2C"/>
    <w:rsid w:val="00C71B19"/>
    <w:rsid w:val="00C71B53"/>
    <w:rsid w:val="00C71C74"/>
    <w:rsid w:val="00C71CEA"/>
    <w:rsid w:val="00C71E48"/>
    <w:rsid w:val="00C71F63"/>
    <w:rsid w:val="00C71FF3"/>
    <w:rsid w:val="00C720BA"/>
    <w:rsid w:val="00C720E4"/>
    <w:rsid w:val="00C72150"/>
    <w:rsid w:val="00C7238C"/>
    <w:rsid w:val="00C724D3"/>
    <w:rsid w:val="00C72563"/>
    <w:rsid w:val="00C72598"/>
    <w:rsid w:val="00C72BA4"/>
    <w:rsid w:val="00C72C37"/>
    <w:rsid w:val="00C72C5F"/>
    <w:rsid w:val="00C72CC9"/>
    <w:rsid w:val="00C730B6"/>
    <w:rsid w:val="00C7341B"/>
    <w:rsid w:val="00C73503"/>
    <w:rsid w:val="00C7367E"/>
    <w:rsid w:val="00C73691"/>
    <w:rsid w:val="00C73790"/>
    <w:rsid w:val="00C73818"/>
    <w:rsid w:val="00C738FE"/>
    <w:rsid w:val="00C73A8C"/>
    <w:rsid w:val="00C73D57"/>
    <w:rsid w:val="00C73E73"/>
    <w:rsid w:val="00C741E9"/>
    <w:rsid w:val="00C742B1"/>
    <w:rsid w:val="00C744F0"/>
    <w:rsid w:val="00C74747"/>
    <w:rsid w:val="00C74990"/>
    <w:rsid w:val="00C74B15"/>
    <w:rsid w:val="00C74C79"/>
    <w:rsid w:val="00C74CC7"/>
    <w:rsid w:val="00C74D8F"/>
    <w:rsid w:val="00C75165"/>
    <w:rsid w:val="00C75224"/>
    <w:rsid w:val="00C7535B"/>
    <w:rsid w:val="00C75373"/>
    <w:rsid w:val="00C758A3"/>
    <w:rsid w:val="00C75A60"/>
    <w:rsid w:val="00C75C2B"/>
    <w:rsid w:val="00C75C74"/>
    <w:rsid w:val="00C75EAB"/>
    <w:rsid w:val="00C7621D"/>
    <w:rsid w:val="00C76261"/>
    <w:rsid w:val="00C76298"/>
    <w:rsid w:val="00C762FE"/>
    <w:rsid w:val="00C763D1"/>
    <w:rsid w:val="00C7677A"/>
    <w:rsid w:val="00C76823"/>
    <w:rsid w:val="00C76A0C"/>
    <w:rsid w:val="00C76D77"/>
    <w:rsid w:val="00C76E02"/>
    <w:rsid w:val="00C76E6F"/>
    <w:rsid w:val="00C76E80"/>
    <w:rsid w:val="00C76F27"/>
    <w:rsid w:val="00C771FC"/>
    <w:rsid w:val="00C77229"/>
    <w:rsid w:val="00C7733A"/>
    <w:rsid w:val="00C77376"/>
    <w:rsid w:val="00C77963"/>
    <w:rsid w:val="00C77971"/>
    <w:rsid w:val="00C77A75"/>
    <w:rsid w:val="00C77B1F"/>
    <w:rsid w:val="00C77D60"/>
    <w:rsid w:val="00C77E63"/>
    <w:rsid w:val="00C77FA1"/>
    <w:rsid w:val="00C800F3"/>
    <w:rsid w:val="00C80379"/>
    <w:rsid w:val="00C803DD"/>
    <w:rsid w:val="00C804D3"/>
    <w:rsid w:val="00C805B8"/>
    <w:rsid w:val="00C80687"/>
    <w:rsid w:val="00C806B9"/>
    <w:rsid w:val="00C806DB"/>
    <w:rsid w:val="00C80818"/>
    <w:rsid w:val="00C80871"/>
    <w:rsid w:val="00C80BCD"/>
    <w:rsid w:val="00C80C33"/>
    <w:rsid w:val="00C80CE2"/>
    <w:rsid w:val="00C80DFB"/>
    <w:rsid w:val="00C80E0A"/>
    <w:rsid w:val="00C80E52"/>
    <w:rsid w:val="00C80F54"/>
    <w:rsid w:val="00C8113F"/>
    <w:rsid w:val="00C81151"/>
    <w:rsid w:val="00C812A0"/>
    <w:rsid w:val="00C8138B"/>
    <w:rsid w:val="00C81664"/>
    <w:rsid w:val="00C8175B"/>
    <w:rsid w:val="00C817C6"/>
    <w:rsid w:val="00C817DC"/>
    <w:rsid w:val="00C81987"/>
    <w:rsid w:val="00C81B82"/>
    <w:rsid w:val="00C81D2D"/>
    <w:rsid w:val="00C81DB8"/>
    <w:rsid w:val="00C81F53"/>
    <w:rsid w:val="00C820DD"/>
    <w:rsid w:val="00C821E7"/>
    <w:rsid w:val="00C826DA"/>
    <w:rsid w:val="00C827DD"/>
    <w:rsid w:val="00C82972"/>
    <w:rsid w:val="00C82AB1"/>
    <w:rsid w:val="00C82B0F"/>
    <w:rsid w:val="00C82BD7"/>
    <w:rsid w:val="00C82EBA"/>
    <w:rsid w:val="00C830FD"/>
    <w:rsid w:val="00C834B2"/>
    <w:rsid w:val="00C834D1"/>
    <w:rsid w:val="00C834F1"/>
    <w:rsid w:val="00C8369C"/>
    <w:rsid w:val="00C836EC"/>
    <w:rsid w:val="00C83743"/>
    <w:rsid w:val="00C83756"/>
    <w:rsid w:val="00C8377C"/>
    <w:rsid w:val="00C8389D"/>
    <w:rsid w:val="00C83A68"/>
    <w:rsid w:val="00C83B6E"/>
    <w:rsid w:val="00C83D2E"/>
    <w:rsid w:val="00C83E48"/>
    <w:rsid w:val="00C83F37"/>
    <w:rsid w:val="00C83F95"/>
    <w:rsid w:val="00C840BE"/>
    <w:rsid w:val="00C842A8"/>
    <w:rsid w:val="00C847D1"/>
    <w:rsid w:val="00C849B4"/>
    <w:rsid w:val="00C84B0B"/>
    <w:rsid w:val="00C84BCE"/>
    <w:rsid w:val="00C84C77"/>
    <w:rsid w:val="00C84CF9"/>
    <w:rsid w:val="00C84F9F"/>
    <w:rsid w:val="00C85010"/>
    <w:rsid w:val="00C85031"/>
    <w:rsid w:val="00C8507D"/>
    <w:rsid w:val="00C850D6"/>
    <w:rsid w:val="00C85119"/>
    <w:rsid w:val="00C85128"/>
    <w:rsid w:val="00C851AE"/>
    <w:rsid w:val="00C8525E"/>
    <w:rsid w:val="00C8531A"/>
    <w:rsid w:val="00C85386"/>
    <w:rsid w:val="00C85412"/>
    <w:rsid w:val="00C854E2"/>
    <w:rsid w:val="00C855A3"/>
    <w:rsid w:val="00C856CF"/>
    <w:rsid w:val="00C8581F"/>
    <w:rsid w:val="00C8585A"/>
    <w:rsid w:val="00C85987"/>
    <w:rsid w:val="00C859A0"/>
    <w:rsid w:val="00C85A0A"/>
    <w:rsid w:val="00C85B47"/>
    <w:rsid w:val="00C85CF2"/>
    <w:rsid w:val="00C864A3"/>
    <w:rsid w:val="00C867BD"/>
    <w:rsid w:val="00C867D7"/>
    <w:rsid w:val="00C86A7C"/>
    <w:rsid w:val="00C86B33"/>
    <w:rsid w:val="00C86B39"/>
    <w:rsid w:val="00C86DA5"/>
    <w:rsid w:val="00C86F6B"/>
    <w:rsid w:val="00C870F1"/>
    <w:rsid w:val="00C8717A"/>
    <w:rsid w:val="00C87271"/>
    <w:rsid w:val="00C874A7"/>
    <w:rsid w:val="00C878FA"/>
    <w:rsid w:val="00C87A0C"/>
    <w:rsid w:val="00C87B35"/>
    <w:rsid w:val="00C87DFE"/>
    <w:rsid w:val="00C87E60"/>
    <w:rsid w:val="00C87F77"/>
    <w:rsid w:val="00C90083"/>
    <w:rsid w:val="00C9028F"/>
    <w:rsid w:val="00C903EC"/>
    <w:rsid w:val="00C9044F"/>
    <w:rsid w:val="00C90557"/>
    <w:rsid w:val="00C90564"/>
    <w:rsid w:val="00C90879"/>
    <w:rsid w:val="00C908B3"/>
    <w:rsid w:val="00C909EE"/>
    <w:rsid w:val="00C90ADC"/>
    <w:rsid w:val="00C90B8A"/>
    <w:rsid w:val="00C90E29"/>
    <w:rsid w:val="00C90F0D"/>
    <w:rsid w:val="00C910CA"/>
    <w:rsid w:val="00C91115"/>
    <w:rsid w:val="00C9112A"/>
    <w:rsid w:val="00C91279"/>
    <w:rsid w:val="00C9127E"/>
    <w:rsid w:val="00C91469"/>
    <w:rsid w:val="00C914BA"/>
    <w:rsid w:val="00C916EF"/>
    <w:rsid w:val="00C916F3"/>
    <w:rsid w:val="00C91A5C"/>
    <w:rsid w:val="00C91EFB"/>
    <w:rsid w:val="00C929F3"/>
    <w:rsid w:val="00C92AAD"/>
    <w:rsid w:val="00C92AF2"/>
    <w:rsid w:val="00C92B1A"/>
    <w:rsid w:val="00C92B6F"/>
    <w:rsid w:val="00C92CEF"/>
    <w:rsid w:val="00C92DB6"/>
    <w:rsid w:val="00C92EC8"/>
    <w:rsid w:val="00C93128"/>
    <w:rsid w:val="00C93546"/>
    <w:rsid w:val="00C9362A"/>
    <w:rsid w:val="00C93634"/>
    <w:rsid w:val="00C936B3"/>
    <w:rsid w:val="00C93BF2"/>
    <w:rsid w:val="00C93C48"/>
    <w:rsid w:val="00C93D50"/>
    <w:rsid w:val="00C93D9D"/>
    <w:rsid w:val="00C93E49"/>
    <w:rsid w:val="00C9420F"/>
    <w:rsid w:val="00C94258"/>
    <w:rsid w:val="00C94908"/>
    <w:rsid w:val="00C949CF"/>
    <w:rsid w:val="00C94AAF"/>
    <w:rsid w:val="00C94BBE"/>
    <w:rsid w:val="00C94C0F"/>
    <w:rsid w:val="00C94DA2"/>
    <w:rsid w:val="00C94DE2"/>
    <w:rsid w:val="00C94E24"/>
    <w:rsid w:val="00C950BD"/>
    <w:rsid w:val="00C95455"/>
    <w:rsid w:val="00C954A2"/>
    <w:rsid w:val="00C957CE"/>
    <w:rsid w:val="00C957DD"/>
    <w:rsid w:val="00C95A14"/>
    <w:rsid w:val="00C95AEA"/>
    <w:rsid w:val="00C95BA0"/>
    <w:rsid w:val="00C95C26"/>
    <w:rsid w:val="00C95D5C"/>
    <w:rsid w:val="00C95E32"/>
    <w:rsid w:val="00C95F70"/>
    <w:rsid w:val="00C95FDB"/>
    <w:rsid w:val="00C96395"/>
    <w:rsid w:val="00C96399"/>
    <w:rsid w:val="00C96563"/>
    <w:rsid w:val="00C96D80"/>
    <w:rsid w:val="00C9725B"/>
    <w:rsid w:val="00C975C1"/>
    <w:rsid w:val="00C97B03"/>
    <w:rsid w:val="00C97EC2"/>
    <w:rsid w:val="00C97F1E"/>
    <w:rsid w:val="00CA0163"/>
    <w:rsid w:val="00CA068E"/>
    <w:rsid w:val="00CA0A97"/>
    <w:rsid w:val="00CA0B94"/>
    <w:rsid w:val="00CA0BE9"/>
    <w:rsid w:val="00CA0CFB"/>
    <w:rsid w:val="00CA1134"/>
    <w:rsid w:val="00CA1214"/>
    <w:rsid w:val="00CA1246"/>
    <w:rsid w:val="00CA1311"/>
    <w:rsid w:val="00CA138D"/>
    <w:rsid w:val="00CA1466"/>
    <w:rsid w:val="00CA14B7"/>
    <w:rsid w:val="00CA18DB"/>
    <w:rsid w:val="00CA191F"/>
    <w:rsid w:val="00CA1948"/>
    <w:rsid w:val="00CA1CA8"/>
    <w:rsid w:val="00CA1D0F"/>
    <w:rsid w:val="00CA1E9C"/>
    <w:rsid w:val="00CA1F81"/>
    <w:rsid w:val="00CA2144"/>
    <w:rsid w:val="00CA2166"/>
    <w:rsid w:val="00CA238F"/>
    <w:rsid w:val="00CA26C9"/>
    <w:rsid w:val="00CA273B"/>
    <w:rsid w:val="00CA27BB"/>
    <w:rsid w:val="00CA2A43"/>
    <w:rsid w:val="00CA2AB3"/>
    <w:rsid w:val="00CA3011"/>
    <w:rsid w:val="00CA311A"/>
    <w:rsid w:val="00CA3162"/>
    <w:rsid w:val="00CA31C7"/>
    <w:rsid w:val="00CA3250"/>
    <w:rsid w:val="00CA32C7"/>
    <w:rsid w:val="00CA35DF"/>
    <w:rsid w:val="00CA39DF"/>
    <w:rsid w:val="00CA3ACF"/>
    <w:rsid w:val="00CA4207"/>
    <w:rsid w:val="00CA426A"/>
    <w:rsid w:val="00CA43EA"/>
    <w:rsid w:val="00CA44BF"/>
    <w:rsid w:val="00CA47C8"/>
    <w:rsid w:val="00CA484B"/>
    <w:rsid w:val="00CA4A48"/>
    <w:rsid w:val="00CA4CF4"/>
    <w:rsid w:val="00CA4D74"/>
    <w:rsid w:val="00CA5231"/>
    <w:rsid w:val="00CA52A3"/>
    <w:rsid w:val="00CA52DF"/>
    <w:rsid w:val="00CA5463"/>
    <w:rsid w:val="00CA5607"/>
    <w:rsid w:val="00CA5609"/>
    <w:rsid w:val="00CA57CD"/>
    <w:rsid w:val="00CA5CD6"/>
    <w:rsid w:val="00CA5DAF"/>
    <w:rsid w:val="00CA5E47"/>
    <w:rsid w:val="00CA6114"/>
    <w:rsid w:val="00CA6315"/>
    <w:rsid w:val="00CA64BF"/>
    <w:rsid w:val="00CA66A3"/>
    <w:rsid w:val="00CA6889"/>
    <w:rsid w:val="00CA68A7"/>
    <w:rsid w:val="00CA6A13"/>
    <w:rsid w:val="00CA6A49"/>
    <w:rsid w:val="00CA6A81"/>
    <w:rsid w:val="00CA6D09"/>
    <w:rsid w:val="00CA6F9B"/>
    <w:rsid w:val="00CA70AB"/>
    <w:rsid w:val="00CA70BC"/>
    <w:rsid w:val="00CA7214"/>
    <w:rsid w:val="00CA7332"/>
    <w:rsid w:val="00CA73A1"/>
    <w:rsid w:val="00CA73DD"/>
    <w:rsid w:val="00CA7570"/>
    <w:rsid w:val="00CA7C2F"/>
    <w:rsid w:val="00CA7CE8"/>
    <w:rsid w:val="00CA7DFB"/>
    <w:rsid w:val="00CB0173"/>
    <w:rsid w:val="00CB029A"/>
    <w:rsid w:val="00CB05CA"/>
    <w:rsid w:val="00CB07C6"/>
    <w:rsid w:val="00CB083F"/>
    <w:rsid w:val="00CB0A54"/>
    <w:rsid w:val="00CB0CE7"/>
    <w:rsid w:val="00CB0E77"/>
    <w:rsid w:val="00CB0F92"/>
    <w:rsid w:val="00CB11AF"/>
    <w:rsid w:val="00CB1260"/>
    <w:rsid w:val="00CB164B"/>
    <w:rsid w:val="00CB1816"/>
    <w:rsid w:val="00CB1836"/>
    <w:rsid w:val="00CB1D88"/>
    <w:rsid w:val="00CB1E11"/>
    <w:rsid w:val="00CB20C3"/>
    <w:rsid w:val="00CB21B5"/>
    <w:rsid w:val="00CB26ED"/>
    <w:rsid w:val="00CB270B"/>
    <w:rsid w:val="00CB2876"/>
    <w:rsid w:val="00CB2B51"/>
    <w:rsid w:val="00CB2BC3"/>
    <w:rsid w:val="00CB2E29"/>
    <w:rsid w:val="00CB2EE3"/>
    <w:rsid w:val="00CB2FF6"/>
    <w:rsid w:val="00CB3192"/>
    <w:rsid w:val="00CB3197"/>
    <w:rsid w:val="00CB3330"/>
    <w:rsid w:val="00CB3389"/>
    <w:rsid w:val="00CB34E5"/>
    <w:rsid w:val="00CB37AD"/>
    <w:rsid w:val="00CB37C3"/>
    <w:rsid w:val="00CB37E8"/>
    <w:rsid w:val="00CB3BA5"/>
    <w:rsid w:val="00CB3BAD"/>
    <w:rsid w:val="00CB3E16"/>
    <w:rsid w:val="00CB3FAB"/>
    <w:rsid w:val="00CB4028"/>
    <w:rsid w:val="00CB42FB"/>
    <w:rsid w:val="00CB43D3"/>
    <w:rsid w:val="00CB46C5"/>
    <w:rsid w:val="00CB4761"/>
    <w:rsid w:val="00CB47B4"/>
    <w:rsid w:val="00CB4978"/>
    <w:rsid w:val="00CB4BB4"/>
    <w:rsid w:val="00CB4F9B"/>
    <w:rsid w:val="00CB5041"/>
    <w:rsid w:val="00CB544A"/>
    <w:rsid w:val="00CB55F1"/>
    <w:rsid w:val="00CB55F2"/>
    <w:rsid w:val="00CB561D"/>
    <w:rsid w:val="00CB5963"/>
    <w:rsid w:val="00CB5E9A"/>
    <w:rsid w:val="00CB5F36"/>
    <w:rsid w:val="00CB6204"/>
    <w:rsid w:val="00CB6447"/>
    <w:rsid w:val="00CB64DA"/>
    <w:rsid w:val="00CB661C"/>
    <w:rsid w:val="00CB6676"/>
    <w:rsid w:val="00CB6736"/>
    <w:rsid w:val="00CB6AAC"/>
    <w:rsid w:val="00CB6C6B"/>
    <w:rsid w:val="00CB6D49"/>
    <w:rsid w:val="00CB70F1"/>
    <w:rsid w:val="00CB711B"/>
    <w:rsid w:val="00CB722D"/>
    <w:rsid w:val="00CB7584"/>
    <w:rsid w:val="00CB7724"/>
    <w:rsid w:val="00CB7796"/>
    <w:rsid w:val="00CB77C7"/>
    <w:rsid w:val="00CB7814"/>
    <w:rsid w:val="00CB791F"/>
    <w:rsid w:val="00CB7BF2"/>
    <w:rsid w:val="00CB7D84"/>
    <w:rsid w:val="00CB7FA0"/>
    <w:rsid w:val="00CC00C6"/>
    <w:rsid w:val="00CC0105"/>
    <w:rsid w:val="00CC0436"/>
    <w:rsid w:val="00CC045A"/>
    <w:rsid w:val="00CC04F4"/>
    <w:rsid w:val="00CC05E0"/>
    <w:rsid w:val="00CC0640"/>
    <w:rsid w:val="00CC0661"/>
    <w:rsid w:val="00CC07BE"/>
    <w:rsid w:val="00CC0A3D"/>
    <w:rsid w:val="00CC0A4D"/>
    <w:rsid w:val="00CC0A98"/>
    <w:rsid w:val="00CC0E57"/>
    <w:rsid w:val="00CC11A7"/>
    <w:rsid w:val="00CC1246"/>
    <w:rsid w:val="00CC1345"/>
    <w:rsid w:val="00CC1711"/>
    <w:rsid w:val="00CC1757"/>
    <w:rsid w:val="00CC1839"/>
    <w:rsid w:val="00CC1887"/>
    <w:rsid w:val="00CC19DB"/>
    <w:rsid w:val="00CC1CEB"/>
    <w:rsid w:val="00CC1EFC"/>
    <w:rsid w:val="00CC2186"/>
    <w:rsid w:val="00CC2865"/>
    <w:rsid w:val="00CC29D7"/>
    <w:rsid w:val="00CC2AA1"/>
    <w:rsid w:val="00CC2BC0"/>
    <w:rsid w:val="00CC2BD6"/>
    <w:rsid w:val="00CC2D6B"/>
    <w:rsid w:val="00CC2DAC"/>
    <w:rsid w:val="00CC2DB7"/>
    <w:rsid w:val="00CC2E92"/>
    <w:rsid w:val="00CC2E99"/>
    <w:rsid w:val="00CC2EE1"/>
    <w:rsid w:val="00CC32C4"/>
    <w:rsid w:val="00CC32F4"/>
    <w:rsid w:val="00CC3406"/>
    <w:rsid w:val="00CC3478"/>
    <w:rsid w:val="00CC34FA"/>
    <w:rsid w:val="00CC3667"/>
    <w:rsid w:val="00CC3878"/>
    <w:rsid w:val="00CC3C1D"/>
    <w:rsid w:val="00CC3C4A"/>
    <w:rsid w:val="00CC3DDE"/>
    <w:rsid w:val="00CC3ED7"/>
    <w:rsid w:val="00CC438E"/>
    <w:rsid w:val="00CC43BD"/>
    <w:rsid w:val="00CC44AE"/>
    <w:rsid w:val="00CC45CF"/>
    <w:rsid w:val="00CC4658"/>
    <w:rsid w:val="00CC46A3"/>
    <w:rsid w:val="00CC4800"/>
    <w:rsid w:val="00CC4804"/>
    <w:rsid w:val="00CC487E"/>
    <w:rsid w:val="00CC488F"/>
    <w:rsid w:val="00CC4F94"/>
    <w:rsid w:val="00CC51C0"/>
    <w:rsid w:val="00CC5429"/>
    <w:rsid w:val="00CC5620"/>
    <w:rsid w:val="00CC573B"/>
    <w:rsid w:val="00CC5938"/>
    <w:rsid w:val="00CC59DE"/>
    <w:rsid w:val="00CC5A7B"/>
    <w:rsid w:val="00CC5D90"/>
    <w:rsid w:val="00CC5E8F"/>
    <w:rsid w:val="00CC5F54"/>
    <w:rsid w:val="00CC621A"/>
    <w:rsid w:val="00CC67FA"/>
    <w:rsid w:val="00CC6A38"/>
    <w:rsid w:val="00CC6A4B"/>
    <w:rsid w:val="00CC6BCA"/>
    <w:rsid w:val="00CC7116"/>
    <w:rsid w:val="00CC7641"/>
    <w:rsid w:val="00CC76AD"/>
    <w:rsid w:val="00CC7787"/>
    <w:rsid w:val="00CC7942"/>
    <w:rsid w:val="00CC79A0"/>
    <w:rsid w:val="00CC7B65"/>
    <w:rsid w:val="00CC7C11"/>
    <w:rsid w:val="00CC7C73"/>
    <w:rsid w:val="00CD0074"/>
    <w:rsid w:val="00CD0081"/>
    <w:rsid w:val="00CD051B"/>
    <w:rsid w:val="00CD0554"/>
    <w:rsid w:val="00CD05DF"/>
    <w:rsid w:val="00CD0662"/>
    <w:rsid w:val="00CD066C"/>
    <w:rsid w:val="00CD0861"/>
    <w:rsid w:val="00CD08D8"/>
    <w:rsid w:val="00CD0BA8"/>
    <w:rsid w:val="00CD0D05"/>
    <w:rsid w:val="00CD0F13"/>
    <w:rsid w:val="00CD0F83"/>
    <w:rsid w:val="00CD1398"/>
    <w:rsid w:val="00CD1444"/>
    <w:rsid w:val="00CD154A"/>
    <w:rsid w:val="00CD16B7"/>
    <w:rsid w:val="00CD1703"/>
    <w:rsid w:val="00CD18C4"/>
    <w:rsid w:val="00CD194C"/>
    <w:rsid w:val="00CD1A1B"/>
    <w:rsid w:val="00CD1AD0"/>
    <w:rsid w:val="00CD1CB9"/>
    <w:rsid w:val="00CD1E72"/>
    <w:rsid w:val="00CD1F57"/>
    <w:rsid w:val="00CD2183"/>
    <w:rsid w:val="00CD240F"/>
    <w:rsid w:val="00CD276C"/>
    <w:rsid w:val="00CD27E4"/>
    <w:rsid w:val="00CD289A"/>
    <w:rsid w:val="00CD28A8"/>
    <w:rsid w:val="00CD2C6B"/>
    <w:rsid w:val="00CD2C8E"/>
    <w:rsid w:val="00CD30FB"/>
    <w:rsid w:val="00CD3144"/>
    <w:rsid w:val="00CD3247"/>
    <w:rsid w:val="00CD3510"/>
    <w:rsid w:val="00CD368F"/>
    <w:rsid w:val="00CD3773"/>
    <w:rsid w:val="00CD3830"/>
    <w:rsid w:val="00CD38D3"/>
    <w:rsid w:val="00CD3989"/>
    <w:rsid w:val="00CD3A41"/>
    <w:rsid w:val="00CD3ABA"/>
    <w:rsid w:val="00CD3CA5"/>
    <w:rsid w:val="00CD3E26"/>
    <w:rsid w:val="00CD3E37"/>
    <w:rsid w:val="00CD3FFF"/>
    <w:rsid w:val="00CD426C"/>
    <w:rsid w:val="00CD43B7"/>
    <w:rsid w:val="00CD454D"/>
    <w:rsid w:val="00CD475D"/>
    <w:rsid w:val="00CD4A47"/>
    <w:rsid w:val="00CD4CA3"/>
    <w:rsid w:val="00CD4EB3"/>
    <w:rsid w:val="00CD4F49"/>
    <w:rsid w:val="00CD5167"/>
    <w:rsid w:val="00CD5209"/>
    <w:rsid w:val="00CD5390"/>
    <w:rsid w:val="00CD541E"/>
    <w:rsid w:val="00CD5443"/>
    <w:rsid w:val="00CD550E"/>
    <w:rsid w:val="00CD5608"/>
    <w:rsid w:val="00CD5829"/>
    <w:rsid w:val="00CD583F"/>
    <w:rsid w:val="00CD585B"/>
    <w:rsid w:val="00CD5E69"/>
    <w:rsid w:val="00CD5E77"/>
    <w:rsid w:val="00CD5EBB"/>
    <w:rsid w:val="00CD61DB"/>
    <w:rsid w:val="00CD6220"/>
    <w:rsid w:val="00CD6641"/>
    <w:rsid w:val="00CD67B8"/>
    <w:rsid w:val="00CD6B40"/>
    <w:rsid w:val="00CD6BB6"/>
    <w:rsid w:val="00CD6BD7"/>
    <w:rsid w:val="00CD6F07"/>
    <w:rsid w:val="00CD7152"/>
    <w:rsid w:val="00CD7436"/>
    <w:rsid w:val="00CD7702"/>
    <w:rsid w:val="00CD77D0"/>
    <w:rsid w:val="00CD7B50"/>
    <w:rsid w:val="00CD7D3C"/>
    <w:rsid w:val="00CD7E97"/>
    <w:rsid w:val="00CD7EFD"/>
    <w:rsid w:val="00CD7F43"/>
    <w:rsid w:val="00CE006E"/>
    <w:rsid w:val="00CE048E"/>
    <w:rsid w:val="00CE04BA"/>
    <w:rsid w:val="00CE0648"/>
    <w:rsid w:val="00CE06D7"/>
    <w:rsid w:val="00CE084C"/>
    <w:rsid w:val="00CE0856"/>
    <w:rsid w:val="00CE099B"/>
    <w:rsid w:val="00CE0A15"/>
    <w:rsid w:val="00CE0A6B"/>
    <w:rsid w:val="00CE0A83"/>
    <w:rsid w:val="00CE0B85"/>
    <w:rsid w:val="00CE0D94"/>
    <w:rsid w:val="00CE0DA9"/>
    <w:rsid w:val="00CE10A1"/>
    <w:rsid w:val="00CE1116"/>
    <w:rsid w:val="00CE1324"/>
    <w:rsid w:val="00CE14A7"/>
    <w:rsid w:val="00CE14FB"/>
    <w:rsid w:val="00CE1654"/>
    <w:rsid w:val="00CE16F2"/>
    <w:rsid w:val="00CE1782"/>
    <w:rsid w:val="00CE198B"/>
    <w:rsid w:val="00CE1A51"/>
    <w:rsid w:val="00CE1BB4"/>
    <w:rsid w:val="00CE1C07"/>
    <w:rsid w:val="00CE1C56"/>
    <w:rsid w:val="00CE2046"/>
    <w:rsid w:val="00CE2180"/>
    <w:rsid w:val="00CE21A8"/>
    <w:rsid w:val="00CE2356"/>
    <w:rsid w:val="00CE23CC"/>
    <w:rsid w:val="00CE250B"/>
    <w:rsid w:val="00CE25EA"/>
    <w:rsid w:val="00CE2715"/>
    <w:rsid w:val="00CE2ACA"/>
    <w:rsid w:val="00CE2ADA"/>
    <w:rsid w:val="00CE2AFF"/>
    <w:rsid w:val="00CE2F09"/>
    <w:rsid w:val="00CE367A"/>
    <w:rsid w:val="00CE36E0"/>
    <w:rsid w:val="00CE39E6"/>
    <w:rsid w:val="00CE3B59"/>
    <w:rsid w:val="00CE3DCA"/>
    <w:rsid w:val="00CE3DE8"/>
    <w:rsid w:val="00CE3E6D"/>
    <w:rsid w:val="00CE3F56"/>
    <w:rsid w:val="00CE3F76"/>
    <w:rsid w:val="00CE42F7"/>
    <w:rsid w:val="00CE435F"/>
    <w:rsid w:val="00CE438B"/>
    <w:rsid w:val="00CE43B8"/>
    <w:rsid w:val="00CE4516"/>
    <w:rsid w:val="00CE464A"/>
    <w:rsid w:val="00CE48C5"/>
    <w:rsid w:val="00CE495C"/>
    <w:rsid w:val="00CE4B06"/>
    <w:rsid w:val="00CE4BD8"/>
    <w:rsid w:val="00CE4BF1"/>
    <w:rsid w:val="00CE4E52"/>
    <w:rsid w:val="00CE4F13"/>
    <w:rsid w:val="00CE501A"/>
    <w:rsid w:val="00CE5043"/>
    <w:rsid w:val="00CE508B"/>
    <w:rsid w:val="00CE51E3"/>
    <w:rsid w:val="00CE5518"/>
    <w:rsid w:val="00CE5A87"/>
    <w:rsid w:val="00CE5B77"/>
    <w:rsid w:val="00CE5BAC"/>
    <w:rsid w:val="00CE5DBC"/>
    <w:rsid w:val="00CE6231"/>
    <w:rsid w:val="00CE6238"/>
    <w:rsid w:val="00CE62A9"/>
    <w:rsid w:val="00CE649E"/>
    <w:rsid w:val="00CE6813"/>
    <w:rsid w:val="00CE692E"/>
    <w:rsid w:val="00CE6D30"/>
    <w:rsid w:val="00CE6F77"/>
    <w:rsid w:val="00CE75D0"/>
    <w:rsid w:val="00CE7690"/>
    <w:rsid w:val="00CE776D"/>
    <w:rsid w:val="00CE7845"/>
    <w:rsid w:val="00CE7908"/>
    <w:rsid w:val="00CE79C7"/>
    <w:rsid w:val="00CE7AF2"/>
    <w:rsid w:val="00CE7AFD"/>
    <w:rsid w:val="00CE7C17"/>
    <w:rsid w:val="00CE7CA9"/>
    <w:rsid w:val="00CE7CCA"/>
    <w:rsid w:val="00CE7CDD"/>
    <w:rsid w:val="00CE7E22"/>
    <w:rsid w:val="00CE7EA2"/>
    <w:rsid w:val="00CE7FF8"/>
    <w:rsid w:val="00CF0060"/>
    <w:rsid w:val="00CF038C"/>
    <w:rsid w:val="00CF03A7"/>
    <w:rsid w:val="00CF046F"/>
    <w:rsid w:val="00CF057C"/>
    <w:rsid w:val="00CF058F"/>
    <w:rsid w:val="00CF06AF"/>
    <w:rsid w:val="00CF08F3"/>
    <w:rsid w:val="00CF0C9D"/>
    <w:rsid w:val="00CF0EE3"/>
    <w:rsid w:val="00CF0F29"/>
    <w:rsid w:val="00CF11D0"/>
    <w:rsid w:val="00CF12BB"/>
    <w:rsid w:val="00CF16CA"/>
    <w:rsid w:val="00CF1C31"/>
    <w:rsid w:val="00CF1D55"/>
    <w:rsid w:val="00CF1EFE"/>
    <w:rsid w:val="00CF1FF9"/>
    <w:rsid w:val="00CF2170"/>
    <w:rsid w:val="00CF21DA"/>
    <w:rsid w:val="00CF2315"/>
    <w:rsid w:val="00CF2376"/>
    <w:rsid w:val="00CF2783"/>
    <w:rsid w:val="00CF282C"/>
    <w:rsid w:val="00CF28CF"/>
    <w:rsid w:val="00CF2E3E"/>
    <w:rsid w:val="00CF2EFD"/>
    <w:rsid w:val="00CF2F65"/>
    <w:rsid w:val="00CF2FE8"/>
    <w:rsid w:val="00CF3085"/>
    <w:rsid w:val="00CF34D8"/>
    <w:rsid w:val="00CF368E"/>
    <w:rsid w:val="00CF3728"/>
    <w:rsid w:val="00CF3C83"/>
    <w:rsid w:val="00CF3E68"/>
    <w:rsid w:val="00CF3F2B"/>
    <w:rsid w:val="00CF3F45"/>
    <w:rsid w:val="00CF409E"/>
    <w:rsid w:val="00CF4145"/>
    <w:rsid w:val="00CF443E"/>
    <w:rsid w:val="00CF44AF"/>
    <w:rsid w:val="00CF47CA"/>
    <w:rsid w:val="00CF491B"/>
    <w:rsid w:val="00CF4940"/>
    <w:rsid w:val="00CF49D1"/>
    <w:rsid w:val="00CF4B3C"/>
    <w:rsid w:val="00CF4BAB"/>
    <w:rsid w:val="00CF4FE7"/>
    <w:rsid w:val="00CF50C0"/>
    <w:rsid w:val="00CF52E0"/>
    <w:rsid w:val="00CF5307"/>
    <w:rsid w:val="00CF5391"/>
    <w:rsid w:val="00CF53CD"/>
    <w:rsid w:val="00CF54DA"/>
    <w:rsid w:val="00CF556C"/>
    <w:rsid w:val="00CF5573"/>
    <w:rsid w:val="00CF55D5"/>
    <w:rsid w:val="00CF565E"/>
    <w:rsid w:val="00CF5812"/>
    <w:rsid w:val="00CF58E3"/>
    <w:rsid w:val="00CF5A20"/>
    <w:rsid w:val="00CF5B67"/>
    <w:rsid w:val="00CF5D4E"/>
    <w:rsid w:val="00CF5DE2"/>
    <w:rsid w:val="00CF5E5E"/>
    <w:rsid w:val="00CF5EA1"/>
    <w:rsid w:val="00CF5F53"/>
    <w:rsid w:val="00CF6253"/>
    <w:rsid w:val="00CF62A1"/>
    <w:rsid w:val="00CF663D"/>
    <w:rsid w:val="00CF664E"/>
    <w:rsid w:val="00CF6841"/>
    <w:rsid w:val="00CF6881"/>
    <w:rsid w:val="00CF6888"/>
    <w:rsid w:val="00CF6B70"/>
    <w:rsid w:val="00CF6C26"/>
    <w:rsid w:val="00CF6F29"/>
    <w:rsid w:val="00CF712E"/>
    <w:rsid w:val="00CF7301"/>
    <w:rsid w:val="00CF7930"/>
    <w:rsid w:val="00CF7A5C"/>
    <w:rsid w:val="00CF7CD5"/>
    <w:rsid w:val="00CF7F73"/>
    <w:rsid w:val="00CF7FBD"/>
    <w:rsid w:val="00D000F1"/>
    <w:rsid w:val="00D002A0"/>
    <w:rsid w:val="00D0048B"/>
    <w:rsid w:val="00D0057A"/>
    <w:rsid w:val="00D0069A"/>
    <w:rsid w:val="00D00822"/>
    <w:rsid w:val="00D00B99"/>
    <w:rsid w:val="00D00C8A"/>
    <w:rsid w:val="00D00D26"/>
    <w:rsid w:val="00D00D2E"/>
    <w:rsid w:val="00D00D7E"/>
    <w:rsid w:val="00D00E75"/>
    <w:rsid w:val="00D00F10"/>
    <w:rsid w:val="00D00F2E"/>
    <w:rsid w:val="00D0119E"/>
    <w:rsid w:val="00D011FE"/>
    <w:rsid w:val="00D01222"/>
    <w:rsid w:val="00D0164F"/>
    <w:rsid w:val="00D01A63"/>
    <w:rsid w:val="00D01A75"/>
    <w:rsid w:val="00D01AE7"/>
    <w:rsid w:val="00D01B93"/>
    <w:rsid w:val="00D01D5B"/>
    <w:rsid w:val="00D01D66"/>
    <w:rsid w:val="00D01E38"/>
    <w:rsid w:val="00D0210E"/>
    <w:rsid w:val="00D02194"/>
    <w:rsid w:val="00D022BD"/>
    <w:rsid w:val="00D023F0"/>
    <w:rsid w:val="00D024FA"/>
    <w:rsid w:val="00D02770"/>
    <w:rsid w:val="00D02B4F"/>
    <w:rsid w:val="00D02B68"/>
    <w:rsid w:val="00D02CA7"/>
    <w:rsid w:val="00D02D09"/>
    <w:rsid w:val="00D02D9C"/>
    <w:rsid w:val="00D02DDC"/>
    <w:rsid w:val="00D02F66"/>
    <w:rsid w:val="00D02F82"/>
    <w:rsid w:val="00D02FB9"/>
    <w:rsid w:val="00D02FD2"/>
    <w:rsid w:val="00D03028"/>
    <w:rsid w:val="00D03357"/>
    <w:rsid w:val="00D0340A"/>
    <w:rsid w:val="00D0343D"/>
    <w:rsid w:val="00D03582"/>
    <w:rsid w:val="00D035D6"/>
    <w:rsid w:val="00D035F9"/>
    <w:rsid w:val="00D03815"/>
    <w:rsid w:val="00D039E8"/>
    <w:rsid w:val="00D03D1C"/>
    <w:rsid w:val="00D03E6B"/>
    <w:rsid w:val="00D03E7E"/>
    <w:rsid w:val="00D042AF"/>
    <w:rsid w:val="00D045B7"/>
    <w:rsid w:val="00D045CE"/>
    <w:rsid w:val="00D045F5"/>
    <w:rsid w:val="00D046B9"/>
    <w:rsid w:val="00D04955"/>
    <w:rsid w:val="00D049EA"/>
    <w:rsid w:val="00D04B7B"/>
    <w:rsid w:val="00D04C7A"/>
    <w:rsid w:val="00D04C84"/>
    <w:rsid w:val="00D04D1D"/>
    <w:rsid w:val="00D05144"/>
    <w:rsid w:val="00D05194"/>
    <w:rsid w:val="00D05393"/>
    <w:rsid w:val="00D053D4"/>
    <w:rsid w:val="00D05524"/>
    <w:rsid w:val="00D0557E"/>
    <w:rsid w:val="00D055ED"/>
    <w:rsid w:val="00D0569F"/>
    <w:rsid w:val="00D05819"/>
    <w:rsid w:val="00D059AE"/>
    <w:rsid w:val="00D05AF5"/>
    <w:rsid w:val="00D05C69"/>
    <w:rsid w:val="00D05DA0"/>
    <w:rsid w:val="00D05EA0"/>
    <w:rsid w:val="00D05FA6"/>
    <w:rsid w:val="00D06127"/>
    <w:rsid w:val="00D06546"/>
    <w:rsid w:val="00D066BD"/>
    <w:rsid w:val="00D06736"/>
    <w:rsid w:val="00D06F1A"/>
    <w:rsid w:val="00D071DC"/>
    <w:rsid w:val="00D071F6"/>
    <w:rsid w:val="00D07C01"/>
    <w:rsid w:val="00D07FA9"/>
    <w:rsid w:val="00D10089"/>
    <w:rsid w:val="00D100C5"/>
    <w:rsid w:val="00D101B7"/>
    <w:rsid w:val="00D10330"/>
    <w:rsid w:val="00D103AA"/>
    <w:rsid w:val="00D1041E"/>
    <w:rsid w:val="00D107EA"/>
    <w:rsid w:val="00D10A83"/>
    <w:rsid w:val="00D10C40"/>
    <w:rsid w:val="00D10D48"/>
    <w:rsid w:val="00D10F1D"/>
    <w:rsid w:val="00D10F22"/>
    <w:rsid w:val="00D11053"/>
    <w:rsid w:val="00D111A8"/>
    <w:rsid w:val="00D112CC"/>
    <w:rsid w:val="00D11581"/>
    <w:rsid w:val="00D1170A"/>
    <w:rsid w:val="00D11D22"/>
    <w:rsid w:val="00D11DE7"/>
    <w:rsid w:val="00D11F9D"/>
    <w:rsid w:val="00D12190"/>
    <w:rsid w:val="00D12451"/>
    <w:rsid w:val="00D12A60"/>
    <w:rsid w:val="00D12AB6"/>
    <w:rsid w:val="00D12B50"/>
    <w:rsid w:val="00D12E2F"/>
    <w:rsid w:val="00D12E46"/>
    <w:rsid w:val="00D13074"/>
    <w:rsid w:val="00D130B3"/>
    <w:rsid w:val="00D13101"/>
    <w:rsid w:val="00D131C1"/>
    <w:rsid w:val="00D13794"/>
    <w:rsid w:val="00D13845"/>
    <w:rsid w:val="00D13B11"/>
    <w:rsid w:val="00D13B2E"/>
    <w:rsid w:val="00D13CE5"/>
    <w:rsid w:val="00D13F8E"/>
    <w:rsid w:val="00D140F6"/>
    <w:rsid w:val="00D141F5"/>
    <w:rsid w:val="00D14355"/>
    <w:rsid w:val="00D1436E"/>
    <w:rsid w:val="00D14470"/>
    <w:rsid w:val="00D14483"/>
    <w:rsid w:val="00D1460B"/>
    <w:rsid w:val="00D14626"/>
    <w:rsid w:val="00D146B9"/>
    <w:rsid w:val="00D146C6"/>
    <w:rsid w:val="00D14A95"/>
    <w:rsid w:val="00D14EF0"/>
    <w:rsid w:val="00D14F05"/>
    <w:rsid w:val="00D156A0"/>
    <w:rsid w:val="00D15785"/>
    <w:rsid w:val="00D15840"/>
    <w:rsid w:val="00D15925"/>
    <w:rsid w:val="00D15B5F"/>
    <w:rsid w:val="00D15C59"/>
    <w:rsid w:val="00D15C76"/>
    <w:rsid w:val="00D15CDD"/>
    <w:rsid w:val="00D15DB4"/>
    <w:rsid w:val="00D15E81"/>
    <w:rsid w:val="00D15F45"/>
    <w:rsid w:val="00D16096"/>
    <w:rsid w:val="00D160AB"/>
    <w:rsid w:val="00D160B8"/>
    <w:rsid w:val="00D1634B"/>
    <w:rsid w:val="00D166B9"/>
    <w:rsid w:val="00D1687F"/>
    <w:rsid w:val="00D168BF"/>
    <w:rsid w:val="00D16A46"/>
    <w:rsid w:val="00D16A7A"/>
    <w:rsid w:val="00D16B4C"/>
    <w:rsid w:val="00D16D6E"/>
    <w:rsid w:val="00D16DEF"/>
    <w:rsid w:val="00D170CC"/>
    <w:rsid w:val="00D170FF"/>
    <w:rsid w:val="00D17127"/>
    <w:rsid w:val="00D17293"/>
    <w:rsid w:val="00D17304"/>
    <w:rsid w:val="00D17322"/>
    <w:rsid w:val="00D1741A"/>
    <w:rsid w:val="00D17582"/>
    <w:rsid w:val="00D1797E"/>
    <w:rsid w:val="00D17E11"/>
    <w:rsid w:val="00D20038"/>
    <w:rsid w:val="00D20419"/>
    <w:rsid w:val="00D2049A"/>
    <w:rsid w:val="00D2054B"/>
    <w:rsid w:val="00D20A1B"/>
    <w:rsid w:val="00D20AD2"/>
    <w:rsid w:val="00D20BA3"/>
    <w:rsid w:val="00D20CCC"/>
    <w:rsid w:val="00D20CE4"/>
    <w:rsid w:val="00D20E74"/>
    <w:rsid w:val="00D20F2E"/>
    <w:rsid w:val="00D2136E"/>
    <w:rsid w:val="00D213ED"/>
    <w:rsid w:val="00D21540"/>
    <w:rsid w:val="00D21732"/>
    <w:rsid w:val="00D21767"/>
    <w:rsid w:val="00D217C2"/>
    <w:rsid w:val="00D219D1"/>
    <w:rsid w:val="00D21BD7"/>
    <w:rsid w:val="00D21C40"/>
    <w:rsid w:val="00D21C4C"/>
    <w:rsid w:val="00D220D5"/>
    <w:rsid w:val="00D22125"/>
    <w:rsid w:val="00D22354"/>
    <w:rsid w:val="00D2269A"/>
    <w:rsid w:val="00D226AF"/>
    <w:rsid w:val="00D22775"/>
    <w:rsid w:val="00D2297F"/>
    <w:rsid w:val="00D22B76"/>
    <w:rsid w:val="00D22BA9"/>
    <w:rsid w:val="00D22C3B"/>
    <w:rsid w:val="00D22DD0"/>
    <w:rsid w:val="00D22F3E"/>
    <w:rsid w:val="00D2305E"/>
    <w:rsid w:val="00D23062"/>
    <w:rsid w:val="00D230B5"/>
    <w:rsid w:val="00D230DC"/>
    <w:rsid w:val="00D23216"/>
    <w:rsid w:val="00D2331B"/>
    <w:rsid w:val="00D233AE"/>
    <w:rsid w:val="00D23899"/>
    <w:rsid w:val="00D23901"/>
    <w:rsid w:val="00D23A0E"/>
    <w:rsid w:val="00D23A15"/>
    <w:rsid w:val="00D23B12"/>
    <w:rsid w:val="00D23DBA"/>
    <w:rsid w:val="00D23ED9"/>
    <w:rsid w:val="00D24052"/>
    <w:rsid w:val="00D24146"/>
    <w:rsid w:val="00D24386"/>
    <w:rsid w:val="00D2439B"/>
    <w:rsid w:val="00D243AA"/>
    <w:rsid w:val="00D2467E"/>
    <w:rsid w:val="00D24893"/>
    <w:rsid w:val="00D24A75"/>
    <w:rsid w:val="00D24B80"/>
    <w:rsid w:val="00D24CF3"/>
    <w:rsid w:val="00D24D04"/>
    <w:rsid w:val="00D24FB7"/>
    <w:rsid w:val="00D251A3"/>
    <w:rsid w:val="00D251E7"/>
    <w:rsid w:val="00D25292"/>
    <w:rsid w:val="00D25432"/>
    <w:rsid w:val="00D2546E"/>
    <w:rsid w:val="00D25484"/>
    <w:rsid w:val="00D255B1"/>
    <w:rsid w:val="00D2595B"/>
    <w:rsid w:val="00D25B8E"/>
    <w:rsid w:val="00D25D14"/>
    <w:rsid w:val="00D25D8D"/>
    <w:rsid w:val="00D25E4B"/>
    <w:rsid w:val="00D25EEE"/>
    <w:rsid w:val="00D25EFC"/>
    <w:rsid w:val="00D25F02"/>
    <w:rsid w:val="00D26315"/>
    <w:rsid w:val="00D263BF"/>
    <w:rsid w:val="00D2663C"/>
    <w:rsid w:val="00D26695"/>
    <w:rsid w:val="00D2677D"/>
    <w:rsid w:val="00D2681C"/>
    <w:rsid w:val="00D26964"/>
    <w:rsid w:val="00D26AE0"/>
    <w:rsid w:val="00D26C1C"/>
    <w:rsid w:val="00D26D21"/>
    <w:rsid w:val="00D26D71"/>
    <w:rsid w:val="00D26FA6"/>
    <w:rsid w:val="00D270F4"/>
    <w:rsid w:val="00D274C3"/>
    <w:rsid w:val="00D27618"/>
    <w:rsid w:val="00D27634"/>
    <w:rsid w:val="00D277F8"/>
    <w:rsid w:val="00D27AB3"/>
    <w:rsid w:val="00D27B5E"/>
    <w:rsid w:val="00D27FEC"/>
    <w:rsid w:val="00D300F4"/>
    <w:rsid w:val="00D30460"/>
    <w:rsid w:val="00D304E2"/>
    <w:rsid w:val="00D30527"/>
    <w:rsid w:val="00D306D7"/>
    <w:rsid w:val="00D308D4"/>
    <w:rsid w:val="00D30AA5"/>
    <w:rsid w:val="00D30C07"/>
    <w:rsid w:val="00D30CEB"/>
    <w:rsid w:val="00D30D6F"/>
    <w:rsid w:val="00D30E43"/>
    <w:rsid w:val="00D30E5F"/>
    <w:rsid w:val="00D30E90"/>
    <w:rsid w:val="00D3115B"/>
    <w:rsid w:val="00D3147C"/>
    <w:rsid w:val="00D31575"/>
    <w:rsid w:val="00D31633"/>
    <w:rsid w:val="00D316D1"/>
    <w:rsid w:val="00D31810"/>
    <w:rsid w:val="00D31848"/>
    <w:rsid w:val="00D318A6"/>
    <w:rsid w:val="00D31C92"/>
    <w:rsid w:val="00D31E69"/>
    <w:rsid w:val="00D322C8"/>
    <w:rsid w:val="00D3240F"/>
    <w:rsid w:val="00D32778"/>
    <w:rsid w:val="00D327DC"/>
    <w:rsid w:val="00D32802"/>
    <w:rsid w:val="00D32D8B"/>
    <w:rsid w:val="00D32E67"/>
    <w:rsid w:val="00D33025"/>
    <w:rsid w:val="00D3306C"/>
    <w:rsid w:val="00D331D4"/>
    <w:rsid w:val="00D33294"/>
    <w:rsid w:val="00D33319"/>
    <w:rsid w:val="00D336A8"/>
    <w:rsid w:val="00D3377B"/>
    <w:rsid w:val="00D33CB8"/>
    <w:rsid w:val="00D33EC4"/>
    <w:rsid w:val="00D34406"/>
    <w:rsid w:val="00D34477"/>
    <w:rsid w:val="00D34618"/>
    <w:rsid w:val="00D34626"/>
    <w:rsid w:val="00D346CF"/>
    <w:rsid w:val="00D346D5"/>
    <w:rsid w:val="00D34888"/>
    <w:rsid w:val="00D349FA"/>
    <w:rsid w:val="00D34B23"/>
    <w:rsid w:val="00D34B8D"/>
    <w:rsid w:val="00D34F32"/>
    <w:rsid w:val="00D34FB4"/>
    <w:rsid w:val="00D35049"/>
    <w:rsid w:val="00D3523D"/>
    <w:rsid w:val="00D35354"/>
    <w:rsid w:val="00D354C8"/>
    <w:rsid w:val="00D35759"/>
    <w:rsid w:val="00D359E7"/>
    <w:rsid w:val="00D35E35"/>
    <w:rsid w:val="00D36303"/>
    <w:rsid w:val="00D3667D"/>
    <w:rsid w:val="00D367B4"/>
    <w:rsid w:val="00D36829"/>
    <w:rsid w:val="00D36951"/>
    <w:rsid w:val="00D36BF3"/>
    <w:rsid w:val="00D36DB7"/>
    <w:rsid w:val="00D3705B"/>
    <w:rsid w:val="00D37151"/>
    <w:rsid w:val="00D371D2"/>
    <w:rsid w:val="00D37401"/>
    <w:rsid w:val="00D37419"/>
    <w:rsid w:val="00D3793B"/>
    <w:rsid w:val="00D37B94"/>
    <w:rsid w:val="00D37BBF"/>
    <w:rsid w:val="00D37C1E"/>
    <w:rsid w:val="00D40270"/>
    <w:rsid w:val="00D4031B"/>
    <w:rsid w:val="00D4042D"/>
    <w:rsid w:val="00D4047C"/>
    <w:rsid w:val="00D40730"/>
    <w:rsid w:val="00D4074E"/>
    <w:rsid w:val="00D40751"/>
    <w:rsid w:val="00D40933"/>
    <w:rsid w:val="00D409C4"/>
    <w:rsid w:val="00D40B06"/>
    <w:rsid w:val="00D40B0C"/>
    <w:rsid w:val="00D40BB8"/>
    <w:rsid w:val="00D41198"/>
    <w:rsid w:val="00D411FE"/>
    <w:rsid w:val="00D41481"/>
    <w:rsid w:val="00D41496"/>
    <w:rsid w:val="00D414F2"/>
    <w:rsid w:val="00D415FF"/>
    <w:rsid w:val="00D4171E"/>
    <w:rsid w:val="00D4193E"/>
    <w:rsid w:val="00D419FF"/>
    <w:rsid w:val="00D41A07"/>
    <w:rsid w:val="00D41CB3"/>
    <w:rsid w:val="00D42165"/>
    <w:rsid w:val="00D4250C"/>
    <w:rsid w:val="00D4257A"/>
    <w:rsid w:val="00D427B1"/>
    <w:rsid w:val="00D4284A"/>
    <w:rsid w:val="00D42A7D"/>
    <w:rsid w:val="00D42AC0"/>
    <w:rsid w:val="00D42B1A"/>
    <w:rsid w:val="00D42D85"/>
    <w:rsid w:val="00D42F59"/>
    <w:rsid w:val="00D43103"/>
    <w:rsid w:val="00D432C4"/>
    <w:rsid w:val="00D43369"/>
    <w:rsid w:val="00D4340E"/>
    <w:rsid w:val="00D43413"/>
    <w:rsid w:val="00D43855"/>
    <w:rsid w:val="00D4389E"/>
    <w:rsid w:val="00D438B3"/>
    <w:rsid w:val="00D43CBF"/>
    <w:rsid w:val="00D44157"/>
    <w:rsid w:val="00D4461B"/>
    <w:rsid w:val="00D44758"/>
    <w:rsid w:val="00D447AB"/>
    <w:rsid w:val="00D44860"/>
    <w:rsid w:val="00D4488A"/>
    <w:rsid w:val="00D44950"/>
    <w:rsid w:val="00D449E9"/>
    <w:rsid w:val="00D44A3B"/>
    <w:rsid w:val="00D44A90"/>
    <w:rsid w:val="00D44BC9"/>
    <w:rsid w:val="00D44DCA"/>
    <w:rsid w:val="00D44DEE"/>
    <w:rsid w:val="00D44DF4"/>
    <w:rsid w:val="00D44E4F"/>
    <w:rsid w:val="00D44EF6"/>
    <w:rsid w:val="00D45356"/>
    <w:rsid w:val="00D45A01"/>
    <w:rsid w:val="00D45A28"/>
    <w:rsid w:val="00D45A44"/>
    <w:rsid w:val="00D45A4D"/>
    <w:rsid w:val="00D45FB8"/>
    <w:rsid w:val="00D4603F"/>
    <w:rsid w:val="00D46118"/>
    <w:rsid w:val="00D46204"/>
    <w:rsid w:val="00D46362"/>
    <w:rsid w:val="00D46A57"/>
    <w:rsid w:val="00D46E47"/>
    <w:rsid w:val="00D46EAA"/>
    <w:rsid w:val="00D46EF7"/>
    <w:rsid w:val="00D47032"/>
    <w:rsid w:val="00D4705F"/>
    <w:rsid w:val="00D470B5"/>
    <w:rsid w:val="00D470DE"/>
    <w:rsid w:val="00D47183"/>
    <w:rsid w:val="00D475E0"/>
    <w:rsid w:val="00D47685"/>
    <w:rsid w:val="00D476D3"/>
    <w:rsid w:val="00D478F6"/>
    <w:rsid w:val="00D47AE1"/>
    <w:rsid w:val="00D47B2E"/>
    <w:rsid w:val="00D47BB7"/>
    <w:rsid w:val="00D47DED"/>
    <w:rsid w:val="00D5007D"/>
    <w:rsid w:val="00D501D0"/>
    <w:rsid w:val="00D5036F"/>
    <w:rsid w:val="00D5037D"/>
    <w:rsid w:val="00D5039E"/>
    <w:rsid w:val="00D504A8"/>
    <w:rsid w:val="00D504AB"/>
    <w:rsid w:val="00D50909"/>
    <w:rsid w:val="00D509AD"/>
    <w:rsid w:val="00D50CE0"/>
    <w:rsid w:val="00D5140D"/>
    <w:rsid w:val="00D5150C"/>
    <w:rsid w:val="00D5152A"/>
    <w:rsid w:val="00D517A8"/>
    <w:rsid w:val="00D517BA"/>
    <w:rsid w:val="00D51837"/>
    <w:rsid w:val="00D51A56"/>
    <w:rsid w:val="00D51B39"/>
    <w:rsid w:val="00D52109"/>
    <w:rsid w:val="00D5211E"/>
    <w:rsid w:val="00D523BE"/>
    <w:rsid w:val="00D52467"/>
    <w:rsid w:val="00D52643"/>
    <w:rsid w:val="00D527B7"/>
    <w:rsid w:val="00D5285F"/>
    <w:rsid w:val="00D52B71"/>
    <w:rsid w:val="00D52BDC"/>
    <w:rsid w:val="00D52C6A"/>
    <w:rsid w:val="00D52D3B"/>
    <w:rsid w:val="00D52D49"/>
    <w:rsid w:val="00D52D79"/>
    <w:rsid w:val="00D52F94"/>
    <w:rsid w:val="00D53047"/>
    <w:rsid w:val="00D53110"/>
    <w:rsid w:val="00D532C4"/>
    <w:rsid w:val="00D53343"/>
    <w:rsid w:val="00D53697"/>
    <w:rsid w:val="00D5370C"/>
    <w:rsid w:val="00D53759"/>
    <w:rsid w:val="00D53971"/>
    <w:rsid w:val="00D53EA1"/>
    <w:rsid w:val="00D53EF7"/>
    <w:rsid w:val="00D543A8"/>
    <w:rsid w:val="00D54420"/>
    <w:rsid w:val="00D54585"/>
    <w:rsid w:val="00D545F5"/>
    <w:rsid w:val="00D54942"/>
    <w:rsid w:val="00D54953"/>
    <w:rsid w:val="00D54A4E"/>
    <w:rsid w:val="00D54AB3"/>
    <w:rsid w:val="00D54BE1"/>
    <w:rsid w:val="00D54D4A"/>
    <w:rsid w:val="00D54DA5"/>
    <w:rsid w:val="00D54E85"/>
    <w:rsid w:val="00D54E89"/>
    <w:rsid w:val="00D5501B"/>
    <w:rsid w:val="00D5516A"/>
    <w:rsid w:val="00D552ED"/>
    <w:rsid w:val="00D553CA"/>
    <w:rsid w:val="00D55999"/>
    <w:rsid w:val="00D55A36"/>
    <w:rsid w:val="00D55A9D"/>
    <w:rsid w:val="00D55BEC"/>
    <w:rsid w:val="00D55D2C"/>
    <w:rsid w:val="00D56143"/>
    <w:rsid w:val="00D56249"/>
    <w:rsid w:val="00D5624E"/>
    <w:rsid w:val="00D562B6"/>
    <w:rsid w:val="00D56365"/>
    <w:rsid w:val="00D5639F"/>
    <w:rsid w:val="00D56575"/>
    <w:rsid w:val="00D56DF5"/>
    <w:rsid w:val="00D56E9F"/>
    <w:rsid w:val="00D56F38"/>
    <w:rsid w:val="00D56FE3"/>
    <w:rsid w:val="00D57092"/>
    <w:rsid w:val="00D573D6"/>
    <w:rsid w:val="00D57AFC"/>
    <w:rsid w:val="00D57E2E"/>
    <w:rsid w:val="00D60136"/>
    <w:rsid w:val="00D6029D"/>
    <w:rsid w:val="00D6087F"/>
    <w:rsid w:val="00D60C82"/>
    <w:rsid w:val="00D61097"/>
    <w:rsid w:val="00D6118D"/>
    <w:rsid w:val="00D6163B"/>
    <w:rsid w:val="00D61930"/>
    <w:rsid w:val="00D619DC"/>
    <w:rsid w:val="00D61E6B"/>
    <w:rsid w:val="00D61F9D"/>
    <w:rsid w:val="00D61FE5"/>
    <w:rsid w:val="00D62173"/>
    <w:rsid w:val="00D62449"/>
    <w:rsid w:val="00D62665"/>
    <w:rsid w:val="00D62B96"/>
    <w:rsid w:val="00D62F0F"/>
    <w:rsid w:val="00D63017"/>
    <w:rsid w:val="00D6313E"/>
    <w:rsid w:val="00D631AF"/>
    <w:rsid w:val="00D636E7"/>
    <w:rsid w:val="00D63893"/>
    <w:rsid w:val="00D63A35"/>
    <w:rsid w:val="00D63A60"/>
    <w:rsid w:val="00D63A97"/>
    <w:rsid w:val="00D63DE1"/>
    <w:rsid w:val="00D63E7D"/>
    <w:rsid w:val="00D63FA7"/>
    <w:rsid w:val="00D63FB5"/>
    <w:rsid w:val="00D63FED"/>
    <w:rsid w:val="00D64172"/>
    <w:rsid w:val="00D6441D"/>
    <w:rsid w:val="00D64468"/>
    <w:rsid w:val="00D6454E"/>
    <w:rsid w:val="00D646B7"/>
    <w:rsid w:val="00D648DC"/>
    <w:rsid w:val="00D64BC2"/>
    <w:rsid w:val="00D64CAF"/>
    <w:rsid w:val="00D64F90"/>
    <w:rsid w:val="00D650A7"/>
    <w:rsid w:val="00D65205"/>
    <w:rsid w:val="00D6522D"/>
    <w:rsid w:val="00D65300"/>
    <w:rsid w:val="00D65364"/>
    <w:rsid w:val="00D6565E"/>
    <w:rsid w:val="00D65896"/>
    <w:rsid w:val="00D658DF"/>
    <w:rsid w:val="00D6593D"/>
    <w:rsid w:val="00D659C7"/>
    <w:rsid w:val="00D661BD"/>
    <w:rsid w:val="00D662FE"/>
    <w:rsid w:val="00D66358"/>
    <w:rsid w:val="00D663C3"/>
    <w:rsid w:val="00D6662A"/>
    <w:rsid w:val="00D667D5"/>
    <w:rsid w:val="00D669E4"/>
    <w:rsid w:val="00D66C71"/>
    <w:rsid w:val="00D66D38"/>
    <w:rsid w:val="00D66F1A"/>
    <w:rsid w:val="00D66F59"/>
    <w:rsid w:val="00D66FA2"/>
    <w:rsid w:val="00D67032"/>
    <w:rsid w:val="00D6712A"/>
    <w:rsid w:val="00D6720B"/>
    <w:rsid w:val="00D674F4"/>
    <w:rsid w:val="00D67593"/>
    <w:rsid w:val="00D675AA"/>
    <w:rsid w:val="00D67600"/>
    <w:rsid w:val="00D6774E"/>
    <w:rsid w:val="00D6776E"/>
    <w:rsid w:val="00D67AF5"/>
    <w:rsid w:val="00D67B30"/>
    <w:rsid w:val="00D67B94"/>
    <w:rsid w:val="00D67CF0"/>
    <w:rsid w:val="00D67D4C"/>
    <w:rsid w:val="00D67EF8"/>
    <w:rsid w:val="00D70213"/>
    <w:rsid w:val="00D70242"/>
    <w:rsid w:val="00D702BC"/>
    <w:rsid w:val="00D703B9"/>
    <w:rsid w:val="00D704C3"/>
    <w:rsid w:val="00D704DD"/>
    <w:rsid w:val="00D704E8"/>
    <w:rsid w:val="00D705BE"/>
    <w:rsid w:val="00D709BD"/>
    <w:rsid w:val="00D70B47"/>
    <w:rsid w:val="00D70BDF"/>
    <w:rsid w:val="00D70DEB"/>
    <w:rsid w:val="00D70ED9"/>
    <w:rsid w:val="00D70EE9"/>
    <w:rsid w:val="00D70EFA"/>
    <w:rsid w:val="00D710BA"/>
    <w:rsid w:val="00D71266"/>
    <w:rsid w:val="00D7138E"/>
    <w:rsid w:val="00D713F7"/>
    <w:rsid w:val="00D7149E"/>
    <w:rsid w:val="00D7154F"/>
    <w:rsid w:val="00D7177F"/>
    <w:rsid w:val="00D7179F"/>
    <w:rsid w:val="00D71911"/>
    <w:rsid w:val="00D71BCC"/>
    <w:rsid w:val="00D71D66"/>
    <w:rsid w:val="00D71DE9"/>
    <w:rsid w:val="00D71E8A"/>
    <w:rsid w:val="00D71EB2"/>
    <w:rsid w:val="00D71F2A"/>
    <w:rsid w:val="00D71F8D"/>
    <w:rsid w:val="00D72122"/>
    <w:rsid w:val="00D721DA"/>
    <w:rsid w:val="00D72222"/>
    <w:rsid w:val="00D7259E"/>
    <w:rsid w:val="00D7286E"/>
    <w:rsid w:val="00D72A3F"/>
    <w:rsid w:val="00D72B2F"/>
    <w:rsid w:val="00D72CA5"/>
    <w:rsid w:val="00D72CEB"/>
    <w:rsid w:val="00D72FB6"/>
    <w:rsid w:val="00D73104"/>
    <w:rsid w:val="00D73603"/>
    <w:rsid w:val="00D736B1"/>
    <w:rsid w:val="00D73A87"/>
    <w:rsid w:val="00D73B28"/>
    <w:rsid w:val="00D73C45"/>
    <w:rsid w:val="00D73DFA"/>
    <w:rsid w:val="00D73E7F"/>
    <w:rsid w:val="00D73FA1"/>
    <w:rsid w:val="00D740E5"/>
    <w:rsid w:val="00D741A4"/>
    <w:rsid w:val="00D744C6"/>
    <w:rsid w:val="00D7476B"/>
    <w:rsid w:val="00D747E2"/>
    <w:rsid w:val="00D747FD"/>
    <w:rsid w:val="00D74960"/>
    <w:rsid w:val="00D74AC7"/>
    <w:rsid w:val="00D74AF0"/>
    <w:rsid w:val="00D74B87"/>
    <w:rsid w:val="00D74DAF"/>
    <w:rsid w:val="00D74DB9"/>
    <w:rsid w:val="00D750E8"/>
    <w:rsid w:val="00D7514B"/>
    <w:rsid w:val="00D751FB"/>
    <w:rsid w:val="00D752AA"/>
    <w:rsid w:val="00D75603"/>
    <w:rsid w:val="00D75735"/>
    <w:rsid w:val="00D758E8"/>
    <w:rsid w:val="00D75AB7"/>
    <w:rsid w:val="00D75AC0"/>
    <w:rsid w:val="00D75BAC"/>
    <w:rsid w:val="00D75DC6"/>
    <w:rsid w:val="00D75E1B"/>
    <w:rsid w:val="00D75F31"/>
    <w:rsid w:val="00D76037"/>
    <w:rsid w:val="00D76215"/>
    <w:rsid w:val="00D7630C"/>
    <w:rsid w:val="00D76496"/>
    <w:rsid w:val="00D7672B"/>
    <w:rsid w:val="00D76ACB"/>
    <w:rsid w:val="00D76CD1"/>
    <w:rsid w:val="00D76D8C"/>
    <w:rsid w:val="00D76E6A"/>
    <w:rsid w:val="00D7709B"/>
    <w:rsid w:val="00D77205"/>
    <w:rsid w:val="00D77344"/>
    <w:rsid w:val="00D775C8"/>
    <w:rsid w:val="00D77822"/>
    <w:rsid w:val="00D7784A"/>
    <w:rsid w:val="00D779AD"/>
    <w:rsid w:val="00D77B6C"/>
    <w:rsid w:val="00D77DA7"/>
    <w:rsid w:val="00D77FA2"/>
    <w:rsid w:val="00D80028"/>
    <w:rsid w:val="00D80097"/>
    <w:rsid w:val="00D801A0"/>
    <w:rsid w:val="00D8024B"/>
    <w:rsid w:val="00D80327"/>
    <w:rsid w:val="00D805E5"/>
    <w:rsid w:val="00D807F7"/>
    <w:rsid w:val="00D809A5"/>
    <w:rsid w:val="00D80BBB"/>
    <w:rsid w:val="00D81043"/>
    <w:rsid w:val="00D810B8"/>
    <w:rsid w:val="00D812CB"/>
    <w:rsid w:val="00D813AF"/>
    <w:rsid w:val="00D81474"/>
    <w:rsid w:val="00D8148F"/>
    <w:rsid w:val="00D8155A"/>
    <w:rsid w:val="00D816C4"/>
    <w:rsid w:val="00D817E2"/>
    <w:rsid w:val="00D8180A"/>
    <w:rsid w:val="00D81877"/>
    <w:rsid w:val="00D818B7"/>
    <w:rsid w:val="00D81A9B"/>
    <w:rsid w:val="00D81B7A"/>
    <w:rsid w:val="00D81D03"/>
    <w:rsid w:val="00D82321"/>
    <w:rsid w:val="00D82460"/>
    <w:rsid w:val="00D825C0"/>
    <w:rsid w:val="00D825ED"/>
    <w:rsid w:val="00D828F4"/>
    <w:rsid w:val="00D829FE"/>
    <w:rsid w:val="00D82AEC"/>
    <w:rsid w:val="00D82C2B"/>
    <w:rsid w:val="00D82D09"/>
    <w:rsid w:val="00D82E47"/>
    <w:rsid w:val="00D82EBD"/>
    <w:rsid w:val="00D83787"/>
    <w:rsid w:val="00D83C33"/>
    <w:rsid w:val="00D83EE6"/>
    <w:rsid w:val="00D840D1"/>
    <w:rsid w:val="00D84141"/>
    <w:rsid w:val="00D84442"/>
    <w:rsid w:val="00D84544"/>
    <w:rsid w:val="00D84594"/>
    <w:rsid w:val="00D84760"/>
    <w:rsid w:val="00D84830"/>
    <w:rsid w:val="00D8497B"/>
    <w:rsid w:val="00D84AB3"/>
    <w:rsid w:val="00D84B10"/>
    <w:rsid w:val="00D84E71"/>
    <w:rsid w:val="00D84FAC"/>
    <w:rsid w:val="00D84FBC"/>
    <w:rsid w:val="00D85300"/>
    <w:rsid w:val="00D853A7"/>
    <w:rsid w:val="00D853AD"/>
    <w:rsid w:val="00D85667"/>
    <w:rsid w:val="00D857A9"/>
    <w:rsid w:val="00D858A7"/>
    <w:rsid w:val="00D85A27"/>
    <w:rsid w:val="00D8606A"/>
    <w:rsid w:val="00D86289"/>
    <w:rsid w:val="00D86340"/>
    <w:rsid w:val="00D86363"/>
    <w:rsid w:val="00D863F9"/>
    <w:rsid w:val="00D86A0A"/>
    <w:rsid w:val="00D86A49"/>
    <w:rsid w:val="00D86B58"/>
    <w:rsid w:val="00D86C61"/>
    <w:rsid w:val="00D86C6C"/>
    <w:rsid w:val="00D86D85"/>
    <w:rsid w:val="00D874D8"/>
    <w:rsid w:val="00D877DA"/>
    <w:rsid w:val="00D87969"/>
    <w:rsid w:val="00D87A6A"/>
    <w:rsid w:val="00D87C25"/>
    <w:rsid w:val="00D87E6B"/>
    <w:rsid w:val="00D87F15"/>
    <w:rsid w:val="00D90045"/>
    <w:rsid w:val="00D90069"/>
    <w:rsid w:val="00D90173"/>
    <w:rsid w:val="00D90280"/>
    <w:rsid w:val="00D90371"/>
    <w:rsid w:val="00D904C1"/>
    <w:rsid w:val="00D90504"/>
    <w:rsid w:val="00D90538"/>
    <w:rsid w:val="00D90604"/>
    <w:rsid w:val="00D9071A"/>
    <w:rsid w:val="00D907CD"/>
    <w:rsid w:val="00D90868"/>
    <w:rsid w:val="00D908EC"/>
    <w:rsid w:val="00D90957"/>
    <w:rsid w:val="00D90A81"/>
    <w:rsid w:val="00D90CC6"/>
    <w:rsid w:val="00D90D98"/>
    <w:rsid w:val="00D90EFD"/>
    <w:rsid w:val="00D90F18"/>
    <w:rsid w:val="00D9120A"/>
    <w:rsid w:val="00D9145D"/>
    <w:rsid w:val="00D915A5"/>
    <w:rsid w:val="00D915C9"/>
    <w:rsid w:val="00D91925"/>
    <w:rsid w:val="00D91CD8"/>
    <w:rsid w:val="00D91E41"/>
    <w:rsid w:val="00D92038"/>
    <w:rsid w:val="00D9209C"/>
    <w:rsid w:val="00D92119"/>
    <w:rsid w:val="00D92354"/>
    <w:rsid w:val="00D925A0"/>
    <w:rsid w:val="00D92887"/>
    <w:rsid w:val="00D92AD1"/>
    <w:rsid w:val="00D92B6E"/>
    <w:rsid w:val="00D92BEB"/>
    <w:rsid w:val="00D92D68"/>
    <w:rsid w:val="00D92F1B"/>
    <w:rsid w:val="00D92FC7"/>
    <w:rsid w:val="00D930B4"/>
    <w:rsid w:val="00D930F9"/>
    <w:rsid w:val="00D9314F"/>
    <w:rsid w:val="00D932BD"/>
    <w:rsid w:val="00D93300"/>
    <w:rsid w:val="00D93341"/>
    <w:rsid w:val="00D93427"/>
    <w:rsid w:val="00D93474"/>
    <w:rsid w:val="00D935A4"/>
    <w:rsid w:val="00D93660"/>
    <w:rsid w:val="00D9367E"/>
    <w:rsid w:val="00D93786"/>
    <w:rsid w:val="00D93890"/>
    <w:rsid w:val="00D939D7"/>
    <w:rsid w:val="00D93AE4"/>
    <w:rsid w:val="00D93B2B"/>
    <w:rsid w:val="00D93C65"/>
    <w:rsid w:val="00D940B0"/>
    <w:rsid w:val="00D946E7"/>
    <w:rsid w:val="00D94A32"/>
    <w:rsid w:val="00D94B18"/>
    <w:rsid w:val="00D94C27"/>
    <w:rsid w:val="00D94D9B"/>
    <w:rsid w:val="00D94DE3"/>
    <w:rsid w:val="00D9555A"/>
    <w:rsid w:val="00D95656"/>
    <w:rsid w:val="00D9567C"/>
    <w:rsid w:val="00D95700"/>
    <w:rsid w:val="00D957C9"/>
    <w:rsid w:val="00D95823"/>
    <w:rsid w:val="00D95B4E"/>
    <w:rsid w:val="00D95C07"/>
    <w:rsid w:val="00D960FA"/>
    <w:rsid w:val="00D960FF"/>
    <w:rsid w:val="00D963A0"/>
    <w:rsid w:val="00D963B8"/>
    <w:rsid w:val="00D96A30"/>
    <w:rsid w:val="00D96ADF"/>
    <w:rsid w:val="00D96B19"/>
    <w:rsid w:val="00D96E1F"/>
    <w:rsid w:val="00D96E87"/>
    <w:rsid w:val="00D970BA"/>
    <w:rsid w:val="00D9710B"/>
    <w:rsid w:val="00D9723E"/>
    <w:rsid w:val="00D9754E"/>
    <w:rsid w:val="00D9795B"/>
    <w:rsid w:val="00D97970"/>
    <w:rsid w:val="00D97B0C"/>
    <w:rsid w:val="00D97B64"/>
    <w:rsid w:val="00D97C0A"/>
    <w:rsid w:val="00D97D3B"/>
    <w:rsid w:val="00D97EC1"/>
    <w:rsid w:val="00DA0034"/>
    <w:rsid w:val="00DA0213"/>
    <w:rsid w:val="00DA0230"/>
    <w:rsid w:val="00DA052A"/>
    <w:rsid w:val="00DA076B"/>
    <w:rsid w:val="00DA080E"/>
    <w:rsid w:val="00DA0895"/>
    <w:rsid w:val="00DA0BEE"/>
    <w:rsid w:val="00DA0D6D"/>
    <w:rsid w:val="00DA0F08"/>
    <w:rsid w:val="00DA1022"/>
    <w:rsid w:val="00DA11D8"/>
    <w:rsid w:val="00DA1446"/>
    <w:rsid w:val="00DA145F"/>
    <w:rsid w:val="00DA15D4"/>
    <w:rsid w:val="00DA1756"/>
    <w:rsid w:val="00DA1CCC"/>
    <w:rsid w:val="00DA1D16"/>
    <w:rsid w:val="00DA1FC5"/>
    <w:rsid w:val="00DA2078"/>
    <w:rsid w:val="00DA2122"/>
    <w:rsid w:val="00DA228F"/>
    <w:rsid w:val="00DA22ED"/>
    <w:rsid w:val="00DA2401"/>
    <w:rsid w:val="00DA25D3"/>
    <w:rsid w:val="00DA2798"/>
    <w:rsid w:val="00DA291C"/>
    <w:rsid w:val="00DA2AD3"/>
    <w:rsid w:val="00DA2D65"/>
    <w:rsid w:val="00DA2DAD"/>
    <w:rsid w:val="00DA3275"/>
    <w:rsid w:val="00DA329C"/>
    <w:rsid w:val="00DA33FA"/>
    <w:rsid w:val="00DA3510"/>
    <w:rsid w:val="00DA3560"/>
    <w:rsid w:val="00DA35C0"/>
    <w:rsid w:val="00DA3899"/>
    <w:rsid w:val="00DA38E6"/>
    <w:rsid w:val="00DA3960"/>
    <w:rsid w:val="00DA3A49"/>
    <w:rsid w:val="00DA3ECA"/>
    <w:rsid w:val="00DA4029"/>
    <w:rsid w:val="00DA41B6"/>
    <w:rsid w:val="00DA4341"/>
    <w:rsid w:val="00DA434A"/>
    <w:rsid w:val="00DA43C3"/>
    <w:rsid w:val="00DA4455"/>
    <w:rsid w:val="00DA48E6"/>
    <w:rsid w:val="00DA4B81"/>
    <w:rsid w:val="00DA4BD3"/>
    <w:rsid w:val="00DA4C21"/>
    <w:rsid w:val="00DA4D26"/>
    <w:rsid w:val="00DA4DD7"/>
    <w:rsid w:val="00DA5085"/>
    <w:rsid w:val="00DA5980"/>
    <w:rsid w:val="00DA59AC"/>
    <w:rsid w:val="00DA5A79"/>
    <w:rsid w:val="00DA5AB8"/>
    <w:rsid w:val="00DA6241"/>
    <w:rsid w:val="00DA62D6"/>
    <w:rsid w:val="00DA62DC"/>
    <w:rsid w:val="00DA6353"/>
    <w:rsid w:val="00DA65E3"/>
    <w:rsid w:val="00DA66F8"/>
    <w:rsid w:val="00DA66FB"/>
    <w:rsid w:val="00DA6AA2"/>
    <w:rsid w:val="00DA6ABF"/>
    <w:rsid w:val="00DA6B13"/>
    <w:rsid w:val="00DA6BB9"/>
    <w:rsid w:val="00DA6BFA"/>
    <w:rsid w:val="00DA72BC"/>
    <w:rsid w:val="00DA749E"/>
    <w:rsid w:val="00DA7593"/>
    <w:rsid w:val="00DA783D"/>
    <w:rsid w:val="00DA7843"/>
    <w:rsid w:val="00DA7A8F"/>
    <w:rsid w:val="00DA7AC2"/>
    <w:rsid w:val="00DA7D9F"/>
    <w:rsid w:val="00DA7E9F"/>
    <w:rsid w:val="00DA7F87"/>
    <w:rsid w:val="00DA7FFA"/>
    <w:rsid w:val="00DB0179"/>
    <w:rsid w:val="00DB0460"/>
    <w:rsid w:val="00DB0585"/>
    <w:rsid w:val="00DB05F2"/>
    <w:rsid w:val="00DB06A8"/>
    <w:rsid w:val="00DB06D0"/>
    <w:rsid w:val="00DB070A"/>
    <w:rsid w:val="00DB0778"/>
    <w:rsid w:val="00DB0797"/>
    <w:rsid w:val="00DB0B27"/>
    <w:rsid w:val="00DB0C74"/>
    <w:rsid w:val="00DB0DEA"/>
    <w:rsid w:val="00DB1005"/>
    <w:rsid w:val="00DB1146"/>
    <w:rsid w:val="00DB119A"/>
    <w:rsid w:val="00DB14E3"/>
    <w:rsid w:val="00DB15AE"/>
    <w:rsid w:val="00DB168E"/>
    <w:rsid w:val="00DB1ADB"/>
    <w:rsid w:val="00DB1C2B"/>
    <w:rsid w:val="00DB1C5E"/>
    <w:rsid w:val="00DB1E70"/>
    <w:rsid w:val="00DB25CE"/>
    <w:rsid w:val="00DB2709"/>
    <w:rsid w:val="00DB2733"/>
    <w:rsid w:val="00DB2796"/>
    <w:rsid w:val="00DB27A6"/>
    <w:rsid w:val="00DB2A5F"/>
    <w:rsid w:val="00DB2B6E"/>
    <w:rsid w:val="00DB2E69"/>
    <w:rsid w:val="00DB339B"/>
    <w:rsid w:val="00DB395D"/>
    <w:rsid w:val="00DB3A88"/>
    <w:rsid w:val="00DB3B01"/>
    <w:rsid w:val="00DB3DB4"/>
    <w:rsid w:val="00DB3DDE"/>
    <w:rsid w:val="00DB3EA9"/>
    <w:rsid w:val="00DB3EF6"/>
    <w:rsid w:val="00DB3F75"/>
    <w:rsid w:val="00DB41FD"/>
    <w:rsid w:val="00DB4224"/>
    <w:rsid w:val="00DB45FA"/>
    <w:rsid w:val="00DB461F"/>
    <w:rsid w:val="00DB4669"/>
    <w:rsid w:val="00DB4832"/>
    <w:rsid w:val="00DB4888"/>
    <w:rsid w:val="00DB490B"/>
    <w:rsid w:val="00DB499D"/>
    <w:rsid w:val="00DB49B7"/>
    <w:rsid w:val="00DB4CB2"/>
    <w:rsid w:val="00DB4CFF"/>
    <w:rsid w:val="00DB4DDB"/>
    <w:rsid w:val="00DB4EB5"/>
    <w:rsid w:val="00DB5188"/>
    <w:rsid w:val="00DB524D"/>
    <w:rsid w:val="00DB5257"/>
    <w:rsid w:val="00DB53FB"/>
    <w:rsid w:val="00DB544D"/>
    <w:rsid w:val="00DB552D"/>
    <w:rsid w:val="00DB5883"/>
    <w:rsid w:val="00DB5934"/>
    <w:rsid w:val="00DB5AE4"/>
    <w:rsid w:val="00DB5B64"/>
    <w:rsid w:val="00DB5C29"/>
    <w:rsid w:val="00DB5C3F"/>
    <w:rsid w:val="00DB5C80"/>
    <w:rsid w:val="00DB61C4"/>
    <w:rsid w:val="00DB6257"/>
    <w:rsid w:val="00DB6387"/>
    <w:rsid w:val="00DB647A"/>
    <w:rsid w:val="00DB651E"/>
    <w:rsid w:val="00DB66E4"/>
    <w:rsid w:val="00DB6738"/>
    <w:rsid w:val="00DB67A9"/>
    <w:rsid w:val="00DB6CC7"/>
    <w:rsid w:val="00DB6D93"/>
    <w:rsid w:val="00DB6E22"/>
    <w:rsid w:val="00DB7554"/>
    <w:rsid w:val="00DB75BA"/>
    <w:rsid w:val="00DB76A6"/>
    <w:rsid w:val="00DB76DD"/>
    <w:rsid w:val="00DB77CC"/>
    <w:rsid w:val="00DB7933"/>
    <w:rsid w:val="00DB7A06"/>
    <w:rsid w:val="00DB7A0F"/>
    <w:rsid w:val="00DB7A4F"/>
    <w:rsid w:val="00DB7AD8"/>
    <w:rsid w:val="00DB7CDC"/>
    <w:rsid w:val="00DB7D81"/>
    <w:rsid w:val="00DB7EE8"/>
    <w:rsid w:val="00DB7FDF"/>
    <w:rsid w:val="00DC0097"/>
    <w:rsid w:val="00DC0271"/>
    <w:rsid w:val="00DC030C"/>
    <w:rsid w:val="00DC032E"/>
    <w:rsid w:val="00DC047F"/>
    <w:rsid w:val="00DC0489"/>
    <w:rsid w:val="00DC065A"/>
    <w:rsid w:val="00DC0731"/>
    <w:rsid w:val="00DC0A58"/>
    <w:rsid w:val="00DC0B7A"/>
    <w:rsid w:val="00DC0BE0"/>
    <w:rsid w:val="00DC0BF8"/>
    <w:rsid w:val="00DC0CDE"/>
    <w:rsid w:val="00DC0E26"/>
    <w:rsid w:val="00DC0E90"/>
    <w:rsid w:val="00DC0F02"/>
    <w:rsid w:val="00DC10F0"/>
    <w:rsid w:val="00DC172A"/>
    <w:rsid w:val="00DC193A"/>
    <w:rsid w:val="00DC1A67"/>
    <w:rsid w:val="00DC1CA7"/>
    <w:rsid w:val="00DC1E08"/>
    <w:rsid w:val="00DC1EEF"/>
    <w:rsid w:val="00DC2082"/>
    <w:rsid w:val="00DC20D1"/>
    <w:rsid w:val="00DC29D5"/>
    <w:rsid w:val="00DC2AEC"/>
    <w:rsid w:val="00DC2B30"/>
    <w:rsid w:val="00DC2CD6"/>
    <w:rsid w:val="00DC2E85"/>
    <w:rsid w:val="00DC2E9C"/>
    <w:rsid w:val="00DC304C"/>
    <w:rsid w:val="00DC323E"/>
    <w:rsid w:val="00DC32B2"/>
    <w:rsid w:val="00DC3663"/>
    <w:rsid w:val="00DC369A"/>
    <w:rsid w:val="00DC36C4"/>
    <w:rsid w:val="00DC392D"/>
    <w:rsid w:val="00DC3AA3"/>
    <w:rsid w:val="00DC3B57"/>
    <w:rsid w:val="00DC3C15"/>
    <w:rsid w:val="00DC3CB1"/>
    <w:rsid w:val="00DC3F3B"/>
    <w:rsid w:val="00DC4059"/>
    <w:rsid w:val="00DC4255"/>
    <w:rsid w:val="00DC466B"/>
    <w:rsid w:val="00DC4747"/>
    <w:rsid w:val="00DC4862"/>
    <w:rsid w:val="00DC4BC2"/>
    <w:rsid w:val="00DC4D5E"/>
    <w:rsid w:val="00DC4D72"/>
    <w:rsid w:val="00DC5597"/>
    <w:rsid w:val="00DC5A0E"/>
    <w:rsid w:val="00DC5BA2"/>
    <w:rsid w:val="00DC5CD7"/>
    <w:rsid w:val="00DC6014"/>
    <w:rsid w:val="00DC6024"/>
    <w:rsid w:val="00DC62B9"/>
    <w:rsid w:val="00DC6318"/>
    <w:rsid w:val="00DC63A9"/>
    <w:rsid w:val="00DC640D"/>
    <w:rsid w:val="00DC65D2"/>
    <w:rsid w:val="00DC6639"/>
    <w:rsid w:val="00DC6B50"/>
    <w:rsid w:val="00DC6B63"/>
    <w:rsid w:val="00DC6BEB"/>
    <w:rsid w:val="00DC6D9A"/>
    <w:rsid w:val="00DC6DE9"/>
    <w:rsid w:val="00DC6F0F"/>
    <w:rsid w:val="00DC6FB6"/>
    <w:rsid w:val="00DC708E"/>
    <w:rsid w:val="00DC7678"/>
    <w:rsid w:val="00DC768F"/>
    <w:rsid w:val="00DC7B8F"/>
    <w:rsid w:val="00DC7D2F"/>
    <w:rsid w:val="00DD007B"/>
    <w:rsid w:val="00DD03A2"/>
    <w:rsid w:val="00DD066D"/>
    <w:rsid w:val="00DD069D"/>
    <w:rsid w:val="00DD07EB"/>
    <w:rsid w:val="00DD080B"/>
    <w:rsid w:val="00DD093E"/>
    <w:rsid w:val="00DD0A18"/>
    <w:rsid w:val="00DD0DB3"/>
    <w:rsid w:val="00DD0FC3"/>
    <w:rsid w:val="00DD1051"/>
    <w:rsid w:val="00DD10CA"/>
    <w:rsid w:val="00DD10D9"/>
    <w:rsid w:val="00DD1193"/>
    <w:rsid w:val="00DD13F1"/>
    <w:rsid w:val="00DD1452"/>
    <w:rsid w:val="00DD14E5"/>
    <w:rsid w:val="00DD14E8"/>
    <w:rsid w:val="00DD1864"/>
    <w:rsid w:val="00DD1BDB"/>
    <w:rsid w:val="00DD1FEC"/>
    <w:rsid w:val="00DD2450"/>
    <w:rsid w:val="00DD24E8"/>
    <w:rsid w:val="00DD28E9"/>
    <w:rsid w:val="00DD292D"/>
    <w:rsid w:val="00DD29C4"/>
    <w:rsid w:val="00DD2E13"/>
    <w:rsid w:val="00DD30A6"/>
    <w:rsid w:val="00DD3302"/>
    <w:rsid w:val="00DD397D"/>
    <w:rsid w:val="00DD39A2"/>
    <w:rsid w:val="00DD3A38"/>
    <w:rsid w:val="00DD3A3C"/>
    <w:rsid w:val="00DD3CA7"/>
    <w:rsid w:val="00DD3F57"/>
    <w:rsid w:val="00DD3F8E"/>
    <w:rsid w:val="00DD412E"/>
    <w:rsid w:val="00DD427F"/>
    <w:rsid w:val="00DD4762"/>
    <w:rsid w:val="00DD4A05"/>
    <w:rsid w:val="00DD4B25"/>
    <w:rsid w:val="00DD4DC3"/>
    <w:rsid w:val="00DD4DDE"/>
    <w:rsid w:val="00DD4DEE"/>
    <w:rsid w:val="00DD4ED0"/>
    <w:rsid w:val="00DD4ED9"/>
    <w:rsid w:val="00DD5065"/>
    <w:rsid w:val="00DD526E"/>
    <w:rsid w:val="00DD5315"/>
    <w:rsid w:val="00DD53D6"/>
    <w:rsid w:val="00DD55BD"/>
    <w:rsid w:val="00DD55EF"/>
    <w:rsid w:val="00DD566E"/>
    <w:rsid w:val="00DD56CE"/>
    <w:rsid w:val="00DD56CF"/>
    <w:rsid w:val="00DD5720"/>
    <w:rsid w:val="00DD574B"/>
    <w:rsid w:val="00DD592C"/>
    <w:rsid w:val="00DD5C1D"/>
    <w:rsid w:val="00DD5D1F"/>
    <w:rsid w:val="00DD5E0E"/>
    <w:rsid w:val="00DD5EC1"/>
    <w:rsid w:val="00DD62C8"/>
    <w:rsid w:val="00DD6416"/>
    <w:rsid w:val="00DD6517"/>
    <w:rsid w:val="00DD664B"/>
    <w:rsid w:val="00DD66B8"/>
    <w:rsid w:val="00DD66E1"/>
    <w:rsid w:val="00DD675C"/>
    <w:rsid w:val="00DD6B7C"/>
    <w:rsid w:val="00DD6BB9"/>
    <w:rsid w:val="00DD6CD3"/>
    <w:rsid w:val="00DD6F7D"/>
    <w:rsid w:val="00DD715F"/>
    <w:rsid w:val="00DD7255"/>
    <w:rsid w:val="00DD76C6"/>
    <w:rsid w:val="00DD7736"/>
    <w:rsid w:val="00DD77E7"/>
    <w:rsid w:val="00DD7CF5"/>
    <w:rsid w:val="00DE038E"/>
    <w:rsid w:val="00DE039C"/>
    <w:rsid w:val="00DE054D"/>
    <w:rsid w:val="00DE0722"/>
    <w:rsid w:val="00DE07A0"/>
    <w:rsid w:val="00DE0989"/>
    <w:rsid w:val="00DE0BFC"/>
    <w:rsid w:val="00DE0C4A"/>
    <w:rsid w:val="00DE106D"/>
    <w:rsid w:val="00DE109B"/>
    <w:rsid w:val="00DE1339"/>
    <w:rsid w:val="00DE1616"/>
    <w:rsid w:val="00DE164C"/>
    <w:rsid w:val="00DE17C7"/>
    <w:rsid w:val="00DE19EC"/>
    <w:rsid w:val="00DE1BB5"/>
    <w:rsid w:val="00DE1C47"/>
    <w:rsid w:val="00DE1D7A"/>
    <w:rsid w:val="00DE1EDA"/>
    <w:rsid w:val="00DE2032"/>
    <w:rsid w:val="00DE2063"/>
    <w:rsid w:val="00DE223E"/>
    <w:rsid w:val="00DE24DF"/>
    <w:rsid w:val="00DE2618"/>
    <w:rsid w:val="00DE283F"/>
    <w:rsid w:val="00DE286F"/>
    <w:rsid w:val="00DE29F7"/>
    <w:rsid w:val="00DE2D5E"/>
    <w:rsid w:val="00DE2E9D"/>
    <w:rsid w:val="00DE2FE1"/>
    <w:rsid w:val="00DE3180"/>
    <w:rsid w:val="00DE353A"/>
    <w:rsid w:val="00DE3B64"/>
    <w:rsid w:val="00DE3B65"/>
    <w:rsid w:val="00DE3E2F"/>
    <w:rsid w:val="00DE3F6F"/>
    <w:rsid w:val="00DE4092"/>
    <w:rsid w:val="00DE4164"/>
    <w:rsid w:val="00DE425A"/>
    <w:rsid w:val="00DE463A"/>
    <w:rsid w:val="00DE46D4"/>
    <w:rsid w:val="00DE47C1"/>
    <w:rsid w:val="00DE4B76"/>
    <w:rsid w:val="00DE4E19"/>
    <w:rsid w:val="00DE4FB5"/>
    <w:rsid w:val="00DE4FC8"/>
    <w:rsid w:val="00DE515F"/>
    <w:rsid w:val="00DE5362"/>
    <w:rsid w:val="00DE55C9"/>
    <w:rsid w:val="00DE5706"/>
    <w:rsid w:val="00DE572E"/>
    <w:rsid w:val="00DE593B"/>
    <w:rsid w:val="00DE59CC"/>
    <w:rsid w:val="00DE5D7C"/>
    <w:rsid w:val="00DE5F63"/>
    <w:rsid w:val="00DE600B"/>
    <w:rsid w:val="00DE6351"/>
    <w:rsid w:val="00DE6371"/>
    <w:rsid w:val="00DE65B1"/>
    <w:rsid w:val="00DE65CB"/>
    <w:rsid w:val="00DE664B"/>
    <w:rsid w:val="00DE68D3"/>
    <w:rsid w:val="00DE6980"/>
    <w:rsid w:val="00DE6BCF"/>
    <w:rsid w:val="00DE6D03"/>
    <w:rsid w:val="00DE6D20"/>
    <w:rsid w:val="00DE725F"/>
    <w:rsid w:val="00DE72DE"/>
    <w:rsid w:val="00DE743C"/>
    <w:rsid w:val="00DE750C"/>
    <w:rsid w:val="00DE775A"/>
    <w:rsid w:val="00DE791F"/>
    <w:rsid w:val="00DE7957"/>
    <w:rsid w:val="00DE7ABC"/>
    <w:rsid w:val="00DE7B6A"/>
    <w:rsid w:val="00DE7CBF"/>
    <w:rsid w:val="00DE7EDA"/>
    <w:rsid w:val="00DF0142"/>
    <w:rsid w:val="00DF0194"/>
    <w:rsid w:val="00DF0312"/>
    <w:rsid w:val="00DF054D"/>
    <w:rsid w:val="00DF06CE"/>
    <w:rsid w:val="00DF0974"/>
    <w:rsid w:val="00DF09E6"/>
    <w:rsid w:val="00DF0A98"/>
    <w:rsid w:val="00DF0C1D"/>
    <w:rsid w:val="00DF0CFA"/>
    <w:rsid w:val="00DF1015"/>
    <w:rsid w:val="00DF1178"/>
    <w:rsid w:val="00DF128D"/>
    <w:rsid w:val="00DF134A"/>
    <w:rsid w:val="00DF1379"/>
    <w:rsid w:val="00DF17DB"/>
    <w:rsid w:val="00DF18C1"/>
    <w:rsid w:val="00DF1A04"/>
    <w:rsid w:val="00DF1BC7"/>
    <w:rsid w:val="00DF1BDE"/>
    <w:rsid w:val="00DF1CDD"/>
    <w:rsid w:val="00DF20AB"/>
    <w:rsid w:val="00DF2132"/>
    <w:rsid w:val="00DF21D6"/>
    <w:rsid w:val="00DF2234"/>
    <w:rsid w:val="00DF22F8"/>
    <w:rsid w:val="00DF2428"/>
    <w:rsid w:val="00DF24DE"/>
    <w:rsid w:val="00DF24E1"/>
    <w:rsid w:val="00DF265B"/>
    <w:rsid w:val="00DF26DA"/>
    <w:rsid w:val="00DF2E02"/>
    <w:rsid w:val="00DF3317"/>
    <w:rsid w:val="00DF3327"/>
    <w:rsid w:val="00DF3A95"/>
    <w:rsid w:val="00DF3AF7"/>
    <w:rsid w:val="00DF3DD4"/>
    <w:rsid w:val="00DF3F2A"/>
    <w:rsid w:val="00DF41AE"/>
    <w:rsid w:val="00DF421B"/>
    <w:rsid w:val="00DF467E"/>
    <w:rsid w:val="00DF469B"/>
    <w:rsid w:val="00DF4781"/>
    <w:rsid w:val="00DF47D8"/>
    <w:rsid w:val="00DF4A2B"/>
    <w:rsid w:val="00DF4A8C"/>
    <w:rsid w:val="00DF5023"/>
    <w:rsid w:val="00DF5089"/>
    <w:rsid w:val="00DF57B8"/>
    <w:rsid w:val="00DF5A17"/>
    <w:rsid w:val="00DF5D60"/>
    <w:rsid w:val="00DF5EBA"/>
    <w:rsid w:val="00DF5F72"/>
    <w:rsid w:val="00DF6339"/>
    <w:rsid w:val="00DF651A"/>
    <w:rsid w:val="00DF6A9E"/>
    <w:rsid w:val="00DF6AD7"/>
    <w:rsid w:val="00DF6C39"/>
    <w:rsid w:val="00DF6D59"/>
    <w:rsid w:val="00DF711B"/>
    <w:rsid w:val="00DF73A0"/>
    <w:rsid w:val="00DF7534"/>
    <w:rsid w:val="00DF778C"/>
    <w:rsid w:val="00DF7843"/>
    <w:rsid w:val="00DF79F5"/>
    <w:rsid w:val="00DF7C96"/>
    <w:rsid w:val="00DF7EB4"/>
    <w:rsid w:val="00DF7F67"/>
    <w:rsid w:val="00DF7F8E"/>
    <w:rsid w:val="00DF7F99"/>
    <w:rsid w:val="00E00034"/>
    <w:rsid w:val="00E00212"/>
    <w:rsid w:val="00E00288"/>
    <w:rsid w:val="00E00449"/>
    <w:rsid w:val="00E006EF"/>
    <w:rsid w:val="00E00924"/>
    <w:rsid w:val="00E00B3F"/>
    <w:rsid w:val="00E00B95"/>
    <w:rsid w:val="00E00BC1"/>
    <w:rsid w:val="00E00C09"/>
    <w:rsid w:val="00E00C7C"/>
    <w:rsid w:val="00E00E3F"/>
    <w:rsid w:val="00E00F10"/>
    <w:rsid w:val="00E01151"/>
    <w:rsid w:val="00E011D9"/>
    <w:rsid w:val="00E0127D"/>
    <w:rsid w:val="00E01355"/>
    <w:rsid w:val="00E01535"/>
    <w:rsid w:val="00E0177F"/>
    <w:rsid w:val="00E01807"/>
    <w:rsid w:val="00E0186D"/>
    <w:rsid w:val="00E01909"/>
    <w:rsid w:val="00E01941"/>
    <w:rsid w:val="00E02025"/>
    <w:rsid w:val="00E02139"/>
    <w:rsid w:val="00E021B8"/>
    <w:rsid w:val="00E02224"/>
    <w:rsid w:val="00E0240C"/>
    <w:rsid w:val="00E02525"/>
    <w:rsid w:val="00E02C03"/>
    <w:rsid w:val="00E02F54"/>
    <w:rsid w:val="00E03412"/>
    <w:rsid w:val="00E03624"/>
    <w:rsid w:val="00E03643"/>
    <w:rsid w:val="00E03B70"/>
    <w:rsid w:val="00E03E7D"/>
    <w:rsid w:val="00E03F68"/>
    <w:rsid w:val="00E041FB"/>
    <w:rsid w:val="00E0425A"/>
    <w:rsid w:val="00E044AC"/>
    <w:rsid w:val="00E045D0"/>
    <w:rsid w:val="00E047A7"/>
    <w:rsid w:val="00E0481D"/>
    <w:rsid w:val="00E048B2"/>
    <w:rsid w:val="00E048E5"/>
    <w:rsid w:val="00E04DD3"/>
    <w:rsid w:val="00E04F51"/>
    <w:rsid w:val="00E052D3"/>
    <w:rsid w:val="00E053E0"/>
    <w:rsid w:val="00E0549A"/>
    <w:rsid w:val="00E05767"/>
    <w:rsid w:val="00E05AE3"/>
    <w:rsid w:val="00E05BA0"/>
    <w:rsid w:val="00E05C27"/>
    <w:rsid w:val="00E05DF6"/>
    <w:rsid w:val="00E05E4C"/>
    <w:rsid w:val="00E060D0"/>
    <w:rsid w:val="00E0624D"/>
    <w:rsid w:val="00E06639"/>
    <w:rsid w:val="00E06BB7"/>
    <w:rsid w:val="00E06ECE"/>
    <w:rsid w:val="00E06EEE"/>
    <w:rsid w:val="00E0708F"/>
    <w:rsid w:val="00E073B3"/>
    <w:rsid w:val="00E07455"/>
    <w:rsid w:val="00E0745E"/>
    <w:rsid w:val="00E07C2F"/>
    <w:rsid w:val="00E10087"/>
    <w:rsid w:val="00E1041B"/>
    <w:rsid w:val="00E1046E"/>
    <w:rsid w:val="00E10516"/>
    <w:rsid w:val="00E10723"/>
    <w:rsid w:val="00E107A0"/>
    <w:rsid w:val="00E1080E"/>
    <w:rsid w:val="00E10A92"/>
    <w:rsid w:val="00E10B68"/>
    <w:rsid w:val="00E10C72"/>
    <w:rsid w:val="00E10C95"/>
    <w:rsid w:val="00E10CF0"/>
    <w:rsid w:val="00E1137A"/>
    <w:rsid w:val="00E1155A"/>
    <w:rsid w:val="00E1182D"/>
    <w:rsid w:val="00E11865"/>
    <w:rsid w:val="00E118D8"/>
    <w:rsid w:val="00E11A9C"/>
    <w:rsid w:val="00E11B31"/>
    <w:rsid w:val="00E11BC1"/>
    <w:rsid w:val="00E11D04"/>
    <w:rsid w:val="00E11D98"/>
    <w:rsid w:val="00E11E30"/>
    <w:rsid w:val="00E11F91"/>
    <w:rsid w:val="00E1206E"/>
    <w:rsid w:val="00E128AF"/>
    <w:rsid w:val="00E129DC"/>
    <w:rsid w:val="00E12C53"/>
    <w:rsid w:val="00E12E85"/>
    <w:rsid w:val="00E13244"/>
    <w:rsid w:val="00E1328E"/>
    <w:rsid w:val="00E13330"/>
    <w:rsid w:val="00E1365C"/>
    <w:rsid w:val="00E136E3"/>
    <w:rsid w:val="00E137D6"/>
    <w:rsid w:val="00E137F6"/>
    <w:rsid w:val="00E13960"/>
    <w:rsid w:val="00E13E1F"/>
    <w:rsid w:val="00E13EEB"/>
    <w:rsid w:val="00E14102"/>
    <w:rsid w:val="00E141D8"/>
    <w:rsid w:val="00E145E9"/>
    <w:rsid w:val="00E146CE"/>
    <w:rsid w:val="00E149EA"/>
    <w:rsid w:val="00E14C91"/>
    <w:rsid w:val="00E14CD5"/>
    <w:rsid w:val="00E1541F"/>
    <w:rsid w:val="00E154BE"/>
    <w:rsid w:val="00E15597"/>
    <w:rsid w:val="00E155E5"/>
    <w:rsid w:val="00E15666"/>
    <w:rsid w:val="00E15850"/>
    <w:rsid w:val="00E15B22"/>
    <w:rsid w:val="00E15B79"/>
    <w:rsid w:val="00E15CA2"/>
    <w:rsid w:val="00E15F9A"/>
    <w:rsid w:val="00E1602F"/>
    <w:rsid w:val="00E160F4"/>
    <w:rsid w:val="00E164BE"/>
    <w:rsid w:val="00E165B3"/>
    <w:rsid w:val="00E168D8"/>
    <w:rsid w:val="00E16D16"/>
    <w:rsid w:val="00E16DB4"/>
    <w:rsid w:val="00E16E79"/>
    <w:rsid w:val="00E16EC6"/>
    <w:rsid w:val="00E16F03"/>
    <w:rsid w:val="00E170BB"/>
    <w:rsid w:val="00E171C7"/>
    <w:rsid w:val="00E172A5"/>
    <w:rsid w:val="00E1746A"/>
    <w:rsid w:val="00E17657"/>
    <w:rsid w:val="00E1769C"/>
    <w:rsid w:val="00E17777"/>
    <w:rsid w:val="00E17CB3"/>
    <w:rsid w:val="00E17D54"/>
    <w:rsid w:val="00E17F85"/>
    <w:rsid w:val="00E201BB"/>
    <w:rsid w:val="00E20206"/>
    <w:rsid w:val="00E20552"/>
    <w:rsid w:val="00E20595"/>
    <w:rsid w:val="00E20B97"/>
    <w:rsid w:val="00E210F9"/>
    <w:rsid w:val="00E21346"/>
    <w:rsid w:val="00E21968"/>
    <w:rsid w:val="00E21BF7"/>
    <w:rsid w:val="00E21EF2"/>
    <w:rsid w:val="00E21F19"/>
    <w:rsid w:val="00E22082"/>
    <w:rsid w:val="00E22117"/>
    <w:rsid w:val="00E224DA"/>
    <w:rsid w:val="00E22576"/>
    <w:rsid w:val="00E225BE"/>
    <w:rsid w:val="00E2278B"/>
    <w:rsid w:val="00E2295D"/>
    <w:rsid w:val="00E229C2"/>
    <w:rsid w:val="00E22A1C"/>
    <w:rsid w:val="00E22BB6"/>
    <w:rsid w:val="00E22EAB"/>
    <w:rsid w:val="00E22ECF"/>
    <w:rsid w:val="00E2301A"/>
    <w:rsid w:val="00E23021"/>
    <w:rsid w:val="00E23096"/>
    <w:rsid w:val="00E2346C"/>
    <w:rsid w:val="00E2346F"/>
    <w:rsid w:val="00E2365A"/>
    <w:rsid w:val="00E236D6"/>
    <w:rsid w:val="00E237B4"/>
    <w:rsid w:val="00E237E0"/>
    <w:rsid w:val="00E2395C"/>
    <w:rsid w:val="00E23C21"/>
    <w:rsid w:val="00E23C85"/>
    <w:rsid w:val="00E23CB3"/>
    <w:rsid w:val="00E23EDA"/>
    <w:rsid w:val="00E23FF7"/>
    <w:rsid w:val="00E24000"/>
    <w:rsid w:val="00E24064"/>
    <w:rsid w:val="00E24136"/>
    <w:rsid w:val="00E2415C"/>
    <w:rsid w:val="00E241E3"/>
    <w:rsid w:val="00E24217"/>
    <w:rsid w:val="00E2441A"/>
    <w:rsid w:val="00E246A8"/>
    <w:rsid w:val="00E249B1"/>
    <w:rsid w:val="00E24ABC"/>
    <w:rsid w:val="00E24C44"/>
    <w:rsid w:val="00E24CBD"/>
    <w:rsid w:val="00E24F1F"/>
    <w:rsid w:val="00E25040"/>
    <w:rsid w:val="00E25209"/>
    <w:rsid w:val="00E25519"/>
    <w:rsid w:val="00E2573A"/>
    <w:rsid w:val="00E2589E"/>
    <w:rsid w:val="00E25A4E"/>
    <w:rsid w:val="00E25BE9"/>
    <w:rsid w:val="00E25D40"/>
    <w:rsid w:val="00E25E79"/>
    <w:rsid w:val="00E2600B"/>
    <w:rsid w:val="00E262F6"/>
    <w:rsid w:val="00E2630B"/>
    <w:rsid w:val="00E2634A"/>
    <w:rsid w:val="00E2641D"/>
    <w:rsid w:val="00E264FF"/>
    <w:rsid w:val="00E26676"/>
    <w:rsid w:val="00E26708"/>
    <w:rsid w:val="00E26A89"/>
    <w:rsid w:val="00E26C9D"/>
    <w:rsid w:val="00E26D25"/>
    <w:rsid w:val="00E2705B"/>
    <w:rsid w:val="00E27075"/>
    <w:rsid w:val="00E27093"/>
    <w:rsid w:val="00E271CB"/>
    <w:rsid w:val="00E271F6"/>
    <w:rsid w:val="00E27452"/>
    <w:rsid w:val="00E27673"/>
    <w:rsid w:val="00E27A1E"/>
    <w:rsid w:val="00E27C01"/>
    <w:rsid w:val="00E27F41"/>
    <w:rsid w:val="00E3000B"/>
    <w:rsid w:val="00E3002D"/>
    <w:rsid w:val="00E302D5"/>
    <w:rsid w:val="00E303B6"/>
    <w:rsid w:val="00E303E7"/>
    <w:rsid w:val="00E30419"/>
    <w:rsid w:val="00E30490"/>
    <w:rsid w:val="00E305CD"/>
    <w:rsid w:val="00E30B50"/>
    <w:rsid w:val="00E30B5E"/>
    <w:rsid w:val="00E30B75"/>
    <w:rsid w:val="00E30DBC"/>
    <w:rsid w:val="00E310BE"/>
    <w:rsid w:val="00E3118A"/>
    <w:rsid w:val="00E312EF"/>
    <w:rsid w:val="00E3132B"/>
    <w:rsid w:val="00E31348"/>
    <w:rsid w:val="00E314D0"/>
    <w:rsid w:val="00E31686"/>
    <w:rsid w:val="00E319C5"/>
    <w:rsid w:val="00E31A2D"/>
    <w:rsid w:val="00E31AAC"/>
    <w:rsid w:val="00E31BD1"/>
    <w:rsid w:val="00E31E46"/>
    <w:rsid w:val="00E31E9B"/>
    <w:rsid w:val="00E32152"/>
    <w:rsid w:val="00E321AC"/>
    <w:rsid w:val="00E3223B"/>
    <w:rsid w:val="00E322A5"/>
    <w:rsid w:val="00E323B5"/>
    <w:rsid w:val="00E32543"/>
    <w:rsid w:val="00E32565"/>
    <w:rsid w:val="00E3256D"/>
    <w:rsid w:val="00E32746"/>
    <w:rsid w:val="00E32858"/>
    <w:rsid w:val="00E32CA8"/>
    <w:rsid w:val="00E32CDA"/>
    <w:rsid w:val="00E32D06"/>
    <w:rsid w:val="00E32D34"/>
    <w:rsid w:val="00E33242"/>
    <w:rsid w:val="00E335DB"/>
    <w:rsid w:val="00E33911"/>
    <w:rsid w:val="00E33A5F"/>
    <w:rsid w:val="00E33C64"/>
    <w:rsid w:val="00E34016"/>
    <w:rsid w:val="00E340A9"/>
    <w:rsid w:val="00E344AA"/>
    <w:rsid w:val="00E34500"/>
    <w:rsid w:val="00E3454D"/>
    <w:rsid w:val="00E34AC6"/>
    <w:rsid w:val="00E34AE5"/>
    <w:rsid w:val="00E34F7E"/>
    <w:rsid w:val="00E35093"/>
    <w:rsid w:val="00E350A1"/>
    <w:rsid w:val="00E3530B"/>
    <w:rsid w:val="00E35320"/>
    <w:rsid w:val="00E35373"/>
    <w:rsid w:val="00E353A3"/>
    <w:rsid w:val="00E35956"/>
    <w:rsid w:val="00E35F8A"/>
    <w:rsid w:val="00E36073"/>
    <w:rsid w:val="00E3614E"/>
    <w:rsid w:val="00E36314"/>
    <w:rsid w:val="00E367AB"/>
    <w:rsid w:val="00E36866"/>
    <w:rsid w:val="00E369C1"/>
    <w:rsid w:val="00E36B2A"/>
    <w:rsid w:val="00E370C3"/>
    <w:rsid w:val="00E372C6"/>
    <w:rsid w:val="00E37341"/>
    <w:rsid w:val="00E37383"/>
    <w:rsid w:val="00E373EC"/>
    <w:rsid w:val="00E3744C"/>
    <w:rsid w:val="00E379E8"/>
    <w:rsid w:val="00E37AEA"/>
    <w:rsid w:val="00E37D1D"/>
    <w:rsid w:val="00E37DAE"/>
    <w:rsid w:val="00E37EC5"/>
    <w:rsid w:val="00E404CA"/>
    <w:rsid w:val="00E4055B"/>
    <w:rsid w:val="00E406EE"/>
    <w:rsid w:val="00E40903"/>
    <w:rsid w:val="00E40A99"/>
    <w:rsid w:val="00E40B0A"/>
    <w:rsid w:val="00E40B2A"/>
    <w:rsid w:val="00E40B44"/>
    <w:rsid w:val="00E40BF2"/>
    <w:rsid w:val="00E40C5F"/>
    <w:rsid w:val="00E40CAF"/>
    <w:rsid w:val="00E40CB6"/>
    <w:rsid w:val="00E40CE0"/>
    <w:rsid w:val="00E40D01"/>
    <w:rsid w:val="00E40D5A"/>
    <w:rsid w:val="00E40EE9"/>
    <w:rsid w:val="00E40F09"/>
    <w:rsid w:val="00E410AB"/>
    <w:rsid w:val="00E41124"/>
    <w:rsid w:val="00E41202"/>
    <w:rsid w:val="00E4120A"/>
    <w:rsid w:val="00E41329"/>
    <w:rsid w:val="00E4133F"/>
    <w:rsid w:val="00E4138C"/>
    <w:rsid w:val="00E413BF"/>
    <w:rsid w:val="00E41494"/>
    <w:rsid w:val="00E4178B"/>
    <w:rsid w:val="00E417AC"/>
    <w:rsid w:val="00E417DA"/>
    <w:rsid w:val="00E41B0C"/>
    <w:rsid w:val="00E41E13"/>
    <w:rsid w:val="00E41F60"/>
    <w:rsid w:val="00E42396"/>
    <w:rsid w:val="00E42552"/>
    <w:rsid w:val="00E42558"/>
    <w:rsid w:val="00E4288D"/>
    <w:rsid w:val="00E42B90"/>
    <w:rsid w:val="00E42D1D"/>
    <w:rsid w:val="00E4304A"/>
    <w:rsid w:val="00E4314C"/>
    <w:rsid w:val="00E4364C"/>
    <w:rsid w:val="00E43666"/>
    <w:rsid w:val="00E44107"/>
    <w:rsid w:val="00E4438C"/>
    <w:rsid w:val="00E443DF"/>
    <w:rsid w:val="00E44402"/>
    <w:rsid w:val="00E444C4"/>
    <w:rsid w:val="00E44614"/>
    <w:rsid w:val="00E4487A"/>
    <w:rsid w:val="00E448D3"/>
    <w:rsid w:val="00E44A27"/>
    <w:rsid w:val="00E44DF9"/>
    <w:rsid w:val="00E44F2C"/>
    <w:rsid w:val="00E44FE8"/>
    <w:rsid w:val="00E44FFE"/>
    <w:rsid w:val="00E453F4"/>
    <w:rsid w:val="00E456FB"/>
    <w:rsid w:val="00E4573A"/>
    <w:rsid w:val="00E457D6"/>
    <w:rsid w:val="00E457F3"/>
    <w:rsid w:val="00E45964"/>
    <w:rsid w:val="00E45B25"/>
    <w:rsid w:val="00E461A6"/>
    <w:rsid w:val="00E46555"/>
    <w:rsid w:val="00E46B61"/>
    <w:rsid w:val="00E46C0F"/>
    <w:rsid w:val="00E47265"/>
    <w:rsid w:val="00E47350"/>
    <w:rsid w:val="00E47453"/>
    <w:rsid w:val="00E47569"/>
    <w:rsid w:val="00E478A8"/>
    <w:rsid w:val="00E47AAC"/>
    <w:rsid w:val="00E47B3D"/>
    <w:rsid w:val="00E47C3A"/>
    <w:rsid w:val="00E47ED2"/>
    <w:rsid w:val="00E47FA7"/>
    <w:rsid w:val="00E50133"/>
    <w:rsid w:val="00E501B2"/>
    <w:rsid w:val="00E50457"/>
    <w:rsid w:val="00E506D9"/>
    <w:rsid w:val="00E5072E"/>
    <w:rsid w:val="00E50849"/>
    <w:rsid w:val="00E50A36"/>
    <w:rsid w:val="00E50ED0"/>
    <w:rsid w:val="00E50ED9"/>
    <w:rsid w:val="00E50F86"/>
    <w:rsid w:val="00E51120"/>
    <w:rsid w:val="00E5167E"/>
    <w:rsid w:val="00E51772"/>
    <w:rsid w:val="00E51958"/>
    <w:rsid w:val="00E52040"/>
    <w:rsid w:val="00E5208E"/>
    <w:rsid w:val="00E5223B"/>
    <w:rsid w:val="00E522F0"/>
    <w:rsid w:val="00E52647"/>
    <w:rsid w:val="00E5279C"/>
    <w:rsid w:val="00E527B8"/>
    <w:rsid w:val="00E52BAD"/>
    <w:rsid w:val="00E52BFC"/>
    <w:rsid w:val="00E53054"/>
    <w:rsid w:val="00E531FD"/>
    <w:rsid w:val="00E532AC"/>
    <w:rsid w:val="00E53370"/>
    <w:rsid w:val="00E533AD"/>
    <w:rsid w:val="00E534B9"/>
    <w:rsid w:val="00E535BC"/>
    <w:rsid w:val="00E536FF"/>
    <w:rsid w:val="00E5395E"/>
    <w:rsid w:val="00E53A2E"/>
    <w:rsid w:val="00E53AE9"/>
    <w:rsid w:val="00E53B55"/>
    <w:rsid w:val="00E53BE7"/>
    <w:rsid w:val="00E53C65"/>
    <w:rsid w:val="00E54170"/>
    <w:rsid w:val="00E5424A"/>
    <w:rsid w:val="00E54281"/>
    <w:rsid w:val="00E543E7"/>
    <w:rsid w:val="00E54419"/>
    <w:rsid w:val="00E545B8"/>
    <w:rsid w:val="00E546AF"/>
    <w:rsid w:val="00E5495C"/>
    <w:rsid w:val="00E54BAB"/>
    <w:rsid w:val="00E54BAD"/>
    <w:rsid w:val="00E54BF9"/>
    <w:rsid w:val="00E54E9C"/>
    <w:rsid w:val="00E551C5"/>
    <w:rsid w:val="00E551D5"/>
    <w:rsid w:val="00E5541A"/>
    <w:rsid w:val="00E555A9"/>
    <w:rsid w:val="00E5564A"/>
    <w:rsid w:val="00E55667"/>
    <w:rsid w:val="00E556A5"/>
    <w:rsid w:val="00E55959"/>
    <w:rsid w:val="00E55990"/>
    <w:rsid w:val="00E559CB"/>
    <w:rsid w:val="00E559EA"/>
    <w:rsid w:val="00E55B86"/>
    <w:rsid w:val="00E55F70"/>
    <w:rsid w:val="00E561DB"/>
    <w:rsid w:val="00E5625D"/>
    <w:rsid w:val="00E562F7"/>
    <w:rsid w:val="00E56419"/>
    <w:rsid w:val="00E564CA"/>
    <w:rsid w:val="00E565F6"/>
    <w:rsid w:val="00E56768"/>
    <w:rsid w:val="00E5677E"/>
    <w:rsid w:val="00E56954"/>
    <w:rsid w:val="00E569B0"/>
    <w:rsid w:val="00E56BAA"/>
    <w:rsid w:val="00E56CE6"/>
    <w:rsid w:val="00E56E84"/>
    <w:rsid w:val="00E56FE7"/>
    <w:rsid w:val="00E57026"/>
    <w:rsid w:val="00E57476"/>
    <w:rsid w:val="00E576C5"/>
    <w:rsid w:val="00E576D9"/>
    <w:rsid w:val="00E57C4D"/>
    <w:rsid w:val="00E57CBB"/>
    <w:rsid w:val="00E60291"/>
    <w:rsid w:val="00E602D7"/>
    <w:rsid w:val="00E6084C"/>
    <w:rsid w:val="00E60BAD"/>
    <w:rsid w:val="00E60EC5"/>
    <w:rsid w:val="00E61025"/>
    <w:rsid w:val="00E61029"/>
    <w:rsid w:val="00E6138A"/>
    <w:rsid w:val="00E614BD"/>
    <w:rsid w:val="00E614EA"/>
    <w:rsid w:val="00E61759"/>
    <w:rsid w:val="00E6183C"/>
    <w:rsid w:val="00E61A5D"/>
    <w:rsid w:val="00E61BB2"/>
    <w:rsid w:val="00E61F0D"/>
    <w:rsid w:val="00E61F6C"/>
    <w:rsid w:val="00E620D0"/>
    <w:rsid w:val="00E62126"/>
    <w:rsid w:val="00E62166"/>
    <w:rsid w:val="00E6216D"/>
    <w:rsid w:val="00E624E5"/>
    <w:rsid w:val="00E624E6"/>
    <w:rsid w:val="00E624E9"/>
    <w:rsid w:val="00E62626"/>
    <w:rsid w:val="00E628E2"/>
    <w:rsid w:val="00E629E9"/>
    <w:rsid w:val="00E62A5A"/>
    <w:rsid w:val="00E62AEC"/>
    <w:rsid w:val="00E62B08"/>
    <w:rsid w:val="00E62D7C"/>
    <w:rsid w:val="00E62F00"/>
    <w:rsid w:val="00E62F39"/>
    <w:rsid w:val="00E62F7B"/>
    <w:rsid w:val="00E63061"/>
    <w:rsid w:val="00E630C6"/>
    <w:rsid w:val="00E632E5"/>
    <w:rsid w:val="00E633BD"/>
    <w:rsid w:val="00E63674"/>
    <w:rsid w:val="00E6377D"/>
    <w:rsid w:val="00E637EA"/>
    <w:rsid w:val="00E639B3"/>
    <w:rsid w:val="00E63A36"/>
    <w:rsid w:val="00E63AC5"/>
    <w:rsid w:val="00E63B18"/>
    <w:rsid w:val="00E63C91"/>
    <w:rsid w:val="00E63CC2"/>
    <w:rsid w:val="00E63CD4"/>
    <w:rsid w:val="00E640B1"/>
    <w:rsid w:val="00E640C3"/>
    <w:rsid w:val="00E64146"/>
    <w:rsid w:val="00E641CB"/>
    <w:rsid w:val="00E64205"/>
    <w:rsid w:val="00E6438C"/>
    <w:rsid w:val="00E64633"/>
    <w:rsid w:val="00E64654"/>
    <w:rsid w:val="00E6466E"/>
    <w:rsid w:val="00E64899"/>
    <w:rsid w:val="00E6495A"/>
    <w:rsid w:val="00E64DF1"/>
    <w:rsid w:val="00E64E9A"/>
    <w:rsid w:val="00E64FAC"/>
    <w:rsid w:val="00E65000"/>
    <w:rsid w:val="00E6504D"/>
    <w:rsid w:val="00E652BE"/>
    <w:rsid w:val="00E655F4"/>
    <w:rsid w:val="00E6591E"/>
    <w:rsid w:val="00E659B8"/>
    <w:rsid w:val="00E659EA"/>
    <w:rsid w:val="00E65A3D"/>
    <w:rsid w:val="00E65A86"/>
    <w:rsid w:val="00E65AFF"/>
    <w:rsid w:val="00E65B8A"/>
    <w:rsid w:val="00E65CD9"/>
    <w:rsid w:val="00E65EF0"/>
    <w:rsid w:val="00E65F73"/>
    <w:rsid w:val="00E65FA7"/>
    <w:rsid w:val="00E66328"/>
    <w:rsid w:val="00E66453"/>
    <w:rsid w:val="00E665D5"/>
    <w:rsid w:val="00E6690E"/>
    <w:rsid w:val="00E66A7A"/>
    <w:rsid w:val="00E66B3A"/>
    <w:rsid w:val="00E66CC2"/>
    <w:rsid w:val="00E66EBB"/>
    <w:rsid w:val="00E66F2D"/>
    <w:rsid w:val="00E6708D"/>
    <w:rsid w:val="00E67121"/>
    <w:rsid w:val="00E675F2"/>
    <w:rsid w:val="00E6765C"/>
    <w:rsid w:val="00E67679"/>
    <w:rsid w:val="00E67828"/>
    <w:rsid w:val="00E678AC"/>
    <w:rsid w:val="00E67D0B"/>
    <w:rsid w:val="00E67EF3"/>
    <w:rsid w:val="00E7011F"/>
    <w:rsid w:val="00E703BC"/>
    <w:rsid w:val="00E70403"/>
    <w:rsid w:val="00E7042E"/>
    <w:rsid w:val="00E704D9"/>
    <w:rsid w:val="00E7064D"/>
    <w:rsid w:val="00E7074F"/>
    <w:rsid w:val="00E70A70"/>
    <w:rsid w:val="00E70AC8"/>
    <w:rsid w:val="00E70AE0"/>
    <w:rsid w:val="00E70B1E"/>
    <w:rsid w:val="00E70B7F"/>
    <w:rsid w:val="00E70B8D"/>
    <w:rsid w:val="00E70FFB"/>
    <w:rsid w:val="00E71132"/>
    <w:rsid w:val="00E71505"/>
    <w:rsid w:val="00E71552"/>
    <w:rsid w:val="00E7174C"/>
    <w:rsid w:val="00E71885"/>
    <w:rsid w:val="00E7192F"/>
    <w:rsid w:val="00E71A4B"/>
    <w:rsid w:val="00E71E52"/>
    <w:rsid w:val="00E7225B"/>
    <w:rsid w:val="00E7231D"/>
    <w:rsid w:val="00E7233B"/>
    <w:rsid w:val="00E7291D"/>
    <w:rsid w:val="00E72D27"/>
    <w:rsid w:val="00E72E29"/>
    <w:rsid w:val="00E72E8C"/>
    <w:rsid w:val="00E73149"/>
    <w:rsid w:val="00E731A1"/>
    <w:rsid w:val="00E736B9"/>
    <w:rsid w:val="00E738A7"/>
    <w:rsid w:val="00E739C9"/>
    <w:rsid w:val="00E73AD8"/>
    <w:rsid w:val="00E73ADD"/>
    <w:rsid w:val="00E73D10"/>
    <w:rsid w:val="00E73E07"/>
    <w:rsid w:val="00E741BF"/>
    <w:rsid w:val="00E746B0"/>
    <w:rsid w:val="00E746CF"/>
    <w:rsid w:val="00E747C8"/>
    <w:rsid w:val="00E74908"/>
    <w:rsid w:val="00E74976"/>
    <w:rsid w:val="00E74C41"/>
    <w:rsid w:val="00E74E00"/>
    <w:rsid w:val="00E74E8C"/>
    <w:rsid w:val="00E75029"/>
    <w:rsid w:val="00E7527E"/>
    <w:rsid w:val="00E75370"/>
    <w:rsid w:val="00E75830"/>
    <w:rsid w:val="00E75C26"/>
    <w:rsid w:val="00E75CEE"/>
    <w:rsid w:val="00E75D41"/>
    <w:rsid w:val="00E75E1B"/>
    <w:rsid w:val="00E7603C"/>
    <w:rsid w:val="00E7605C"/>
    <w:rsid w:val="00E76291"/>
    <w:rsid w:val="00E762A5"/>
    <w:rsid w:val="00E76413"/>
    <w:rsid w:val="00E7645F"/>
    <w:rsid w:val="00E765A1"/>
    <w:rsid w:val="00E76654"/>
    <w:rsid w:val="00E7681C"/>
    <w:rsid w:val="00E76B2D"/>
    <w:rsid w:val="00E76D25"/>
    <w:rsid w:val="00E76D91"/>
    <w:rsid w:val="00E76DA0"/>
    <w:rsid w:val="00E76FD3"/>
    <w:rsid w:val="00E77015"/>
    <w:rsid w:val="00E770B4"/>
    <w:rsid w:val="00E77103"/>
    <w:rsid w:val="00E7714B"/>
    <w:rsid w:val="00E771CA"/>
    <w:rsid w:val="00E77370"/>
    <w:rsid w:val="00E774F8"/>
    <w:rsid w:val="00E775E5"/>
    <w:rsid w:val="00E77762"/>
    <w:rsid w:val="00E77BDA"/>
    <w:rsid w:val="00E805FE"/>
    <w:rsid w:val="00E8071F"/>
    <w:rsid w:val="00E80815"/>
    <w:rsid w:val="00E80A4D"/>
    <w:rsid w:val="00E80B6F"/>
    <w:rsid w:val="00E80BF0"/>
    <w:rsid w:val="00E80E3C"/>
    <w:rsid w:val="00E80EE3"/>
    <w:rsid w:val="00E80F5A"/>
    <w:rsid w:val="00E812B7"/>
    <w:rsid w:val="00E813E9"/>
    <w:rsid w:val="00E81514"/>
    <w:rsid w:val="00E816BD"/>
    <w:rsid w:val="00E81932"/>
    <w:rsid w:val="00E81ABD"/>
    <w:rsid w:val="00E81AC2"/>
    <w:rsid w:val="00E81AFB"/>
    <w:rsid w:val="00E81C4A"/>
    <w:rsid w:val="00E81F4B"/>
    <w:rsid w:val="00E81F9B"/>
    <w:rsid w:val="00E82245"/>
    <w:rsid w:val="00E82450"/>
    <w:rsid w:val="00E825D1"/>
    <w:rsid w:val="00E82614"/>
    <w:rsid w:val="00E82697"/>
    <w:rsid w:val="00E82958"/>
    <w:rsid w:val="00E82B57"/>
    <w:rsid w:val="00E82BEE"/>
    <w:rsid w:val="00E82CA9"/>
    <w:rsid w:val="00E83242"/>
    <w:rsid w:val="00E833B2"/>
    <w:rsid w:val="00E83AD8"/>
    <w:rsid w:val="00E83C68"/>
    <w:rsid w:val="00E83E1F"/>
    <w:rsid w:val="00E83F11"/>
    <w:rsid w:val="00E83F3B"/>
    <w:rsid w:val="00E83F4E"/>
    <w:rsid w:val="00E840AA"/>
    <w:rsid w:val="00E84252"/>
    <w:rsid w:val="00E84466"/>
    <w:rsid w:val="00E84524"/>
    <w:rsid w:val="00E8472B"/>
    <w:rsid w:val="00E8480D"/>
    <w:rsid w:val="00E849CB"/>
    <w:rsid w:val="00E84ABE"/>
    <w:rsid w:val="00E84C19"/>
    <w:rsid w:val="00E84DF4"/>
    <w:rsid w:val="00E84E1C"/>
    <w:rsid w:val="00E84ED9"/>
    <w:rsid w:val="00E85071"/>
    <w:rsid w:val="00E8510B"/>
    <w:rsid w:val="00E85213"/>
    <w:rsid w:val="00E85315"/>
    <w:rsid w:val="00E85351"/>
    <w:rsid w:val="00E853C7"/>
    <w:rsid w:val="00E85488"/>
    <w:rsid w:val="00E8556B"/>
    <w:rsid w:val="00E85595"/>
    <w:rsid w:val="00E85759"/>
    <w:rsid w:val="00E85773"/>
    <w:rsid w:val="00E85CA7"/>
    <w:rsid w:val="00E8620C"/>
    <w:rsid w:val="00E86340"/>
    <w:rsid w:val="00E86406"/>
    <w:rsid w:val="00E8642B"/>
    <w:rsid w:val="00E86606"/>
    <w:rsid w:val="00E8669C"/>
    <w:rsid w:val="00E866BD"/>
    <w:rsid w:val="00E86830"/>
    <w:rsid w:val="00E86A86"/>
    <w:rsid w:val="00E86D81"/>
    <w:rsid w:val="00E870E4"/>
    <w:rsid w:val="00E8738D"/>
    <w:rsid w:val="00E8745C"/>
    <w:rsid w:val="00E8764A"/>
    <w:rsid w:val="00E87BF9"/>
    <w:rsid w:val="00E87CE3"/>
    <w:rsid w:val="00E87CF4"/>
    <w:rsid w:val="00E87E78"/>
    <w:rsid w:val="00E90087"/>
    <w:rsid w:val="00E9036F"/>
    <w:rsid w:val="00E90627"/>
    <w:rsid w:val="00E9086A"/>
    <w:rsid w:val="00E908BF"/>
    <w:rsid w:val="00E90A0D"/>
    <w:rsid w:val="00E90CFF"/>
    <w:rsid w:val="00E90D5C"/>
    <w:rsid w:val="00E90EDE"/>
    <w:rsid w:val="00E90F57"/>
    <w:rsid w:val="00E90FB6"/>
    <w:rsid w:val="00E91074"/>
    <w:rsid w:val="00E91363"/>
    <w:rsid w:val="00E913A6"/>
    <w:rsid w:val="00E913AA"/>
    <w:rsid w:val="00E913B0"/>
    <w:rsid w:val="00E91451"/>
    <w:rsid w:val="00E91655"/>
    <w:rsid w:val="00E91791"/>
    <w:rsid w:val="00E918C2"/>
    <w:rsid w:val="00E91ECF"/>
    <w:rsid w:val="00E9201A"/>
    <w:rsid w:val="00E92253"/>
    <w:rsid w:val="00E9234D"/>
    <w:rsid w:val="00E924AE"/>
    <w:rsid w:val="00E924D8"/>
    <w:rsid w:val="00E924E8"/>
    <w:rsid w:val="00E92525"/>
    <w:rsid w:val="00E925C1"/>
    <w:rsid w:val="00E928F3"/>
    <w:rsid w:val="00E92B44"/>
    <w:rsid w:val="00E92E17"/>
    <w:rsid w:val="00E92EA4"/>
    <w:rsid w:val="00E93008"/>
    <w:rsid w:val="00E9308B"/>
    <w:rsid w:val="00E9357D"/>
    <w:rsid w:val="00E93745"/>
    <w:rsid w:val="00E93A8E"/>
    <w:rsid w:val="00E93AE5"/>
    <w:rsid w:val="00E93B3C"/>
    <w:rsid w:val="00E93B6D"/>
    <w:rsid w:val="00E93C05"/>
    <w:rsid w:val="00E93C10"/>
    <w:rsid w:val="00E93CF1"/>
    <w:rsid w:val="00E93DB5"/>
    <w:rsid w:val="00E94806"/>
    <w:rsid w:val="00E9495C"/>
    <w:rsid w:val="00E94AAB"/>
    <w:rsid w:val="00E94AFC"/>
    <w:rsid w:val="00E94B4C"/>
    <w:rsid w:val="00E94C83"/>
    <w:rsid w:val="00E94D39"/>
    <w:rsid w:val="00E94E59"/>
    <w:rsid w:val="00E95177"/>
    <w:rsid w:val="00E951E6"/>
    <w:rsid w:val="00E952B8"/>
    <w:rsid w:val="00E9574C"/>
    <w:rsid w:val="00E957A4"/>
    <w:rsid w:val="00E957F0"/>
    <w:rsid w:val="00E957F2"/>
    <w:rsid w:val="00E958EA"/>
    <w:rsid w:val="00E9594B"/>
    <w:rsid w:val="00E95981"/>
    <w:rsid w:val="00E95A0A"/>
    <w:rsid w:val="00E95D02"/>
    <w:rsid w:val="00E96009"/>
    <w:rsid w:val="00E96298"/>
    <w:rsid w:val="00E965F5"/>
    <w:rsid w:val="00E9682E"/>
    <w:rsid w:val="00E96900"/>
    <w:rsid w:val="00E96A58"/>
    <w:rsid w:val="00E96E9F"/>
    <w:rsid w:val="00E9723E"/>
    <w:rsid w:val="00E974CD"/>
    <w:rsid w:val="00E9763F"/>
    <w:rsid w:val="00E97931"/>
    <w:rsid w:val="00E979D9"/>
    <w:rsid w:val="00EA004A"/>
    <w:rsid w:val="00EA0381"/>
    <w:rsid w:val="00EA03C2"/>
    <w:rsid w:val="00EA0592"/>
    <w:rsid w:val="00EA064B"/>
    <w:rsid w:val="00EA06AE"/>
    <w:rsid w:val="00EA0A27"/>
    <w:rsid w:val="00EA0DCF"/>
    <w:rsid w:val="00EA0F05"/>
    <w:rsid w:val="00EA1006"/>
    <w:rsid w:val="00EA1018"/>
    <w:rsid w:val="00EA1117"/>
    <w:rsid w:val="00EA11EE"/>
    <w:rsid w:val="00EA132E"/>
    <w:rsid w:val="00EA1601"/>
    <w:rsid w:val="00EA1690"/>
    <w:rsid w:val="00EA1D0A"/>
    <w:rsid w:val="00EA1D62"/>
    <w:rsid w:val="00EA1E27"/>
    <w:rsid w:val="00EA2198"/>
    <w:rsid w:val="00EA2242"/>
    <w:rsid w:val="00EA2388"/>
    <w:rsid w:val="00EA2622"/>
    <w:rsid w:val="00EA2AC9"/>
    <w:rsid w:val="00EA2C52"/>
    <w:rsid w:val="00EA2DCC"/>
    <w:rsid w:val="00EA2E93"/>
    <w:rsid w:val="00EA31E6"/>
    <w:rsid w:val="00EA3223"/>
    <w:rsid w:val="00EA3275"/>
    <w:rsid w:val="00EA32A5"/>
    <w:rsid w:val="00EA33A9"/>
    <w:rsid w:val="00EA3445"/>
    <w:rsid w:val="00EA3490"/>
    <w:rsid w:val="00EA3812"/>
    <w:rsid w:val="00EA3866"/>
    <w:rsid w:val="00EA3A20"/>
    <w:rsid w:val="00EA3B6B"/>
    <w:rsid w:val="00EA3C0E"/>
    <w:rsid w:val="00EA3CBF"/>
    <w:rsid w:val="00EA3E31"/>
    <w:rsid w:val="00EA3FAA"/>
    <w:rsid w:val="00EA4351"/>
    <w:rsid w:val="00EA43AE"/>
    <w:rsid w:val="00EA44F5"/>
    <w:rsid w:val="00EA4525"/>
    <w:rsid w:val="00EA45FE"/>
    <w:rsid w:val="00EA4709"/>
    <w:rsid w:val="00EA476A"/>
    <w:rsid w:val="00EA4B45"/>
    <w:rsid w:val="00EA4D65"/>
    <w:rsid w:val="00EA4DD8"/>
    <w:rsid w:val="00EA4DDB"/>
    <w:rsid w:val="00EA4ED6"/>
    <w:rsid w:val="00EA4F2F"/>
    <w:rsid w:val="00EA4F78"/>
    <w:rsid w:val="00EA5223"/>
    <w:rsid w:val="00EA526E"/>
    <w:rsid w:val="00EA527E"/>
    <w:rsid w:val="00EA536D"/>
    <w:rsid w:val="00EA5599"/>
    <w:rsid w:val="00EA5627"/>
    <w:rsid w:val="00EA5699"/>
    <w:rsid w:val="00EA56FA"/>
    <w:rsid w:val="00EA5BED"/>
    <w:rsid w:val="00EA5BF4"/>
    <w:rsid w:val="00EA5EAF"/>
    <w:rsid w:val="00EA5FC8"/>
    <w:rsid w:val="00EA648B"/>
    <w:rsid w:val="00EA64DD"/>
    <w:rsid w:val="00EA6585"/>
    <w:rsid w:val="00EA66C0"/>
    <w:rsid w:val="00EA67DD"/>
    <w:rsid w:val="00EA68F6"/>
    <w:rsid w:val="00EA6C8B"/>
    <w:rsid w:val="00EA77F3"/>
    <w:rsid w:val="00EA7A67"/>
    <w:rsid w:val="00EA7B26"/>
    <w:rsid w:val="00EA7B90"/>
    <w:rsid w:val="00EA7E72"/>
    <w:rsid w:val="00EA7EB6"/>
    <w:rsid w:val="00EA7F49"/>
    <w:rsid w:val="00EB002D"/>
    <w:rsid w:val="00EB0081"/>
    <w:rsid w:val="00EB00BD"/>
    <w:rsid w:val="00EB02BB"/>
    <w:rsid w:val="00EB0567"/>
    <w:rsid w:val="00EB05C4"/>
    <w:rsid w:val="00EB05F8"/>
    <w:rsid w:val="00EB073E"/>
    <w:rsid w:val="00EB07F2"/>
    <w:rsid w:val="00EB0997"/>
    <w:rsid w:val="00EB0AC5"/>
    <w:rsid w:val="00EB0AF1"/>
    <w:rsid w:val="00EB0B2D"/>
    <w:rsid w:val="00EB0B73"/>
    <w:rsid w:val="00EB0BA7"/>
    <w:rsid w:val="00EB0CDF"/>
    <w:rsid w:val="00EB1052"/>
    <w:rsid w:val="00EB11A7"/>
    <w:rsid w:val="00EB11BE"/>
    <w:rsid w:val="00EB133A"/>
    <w:rsid w:val="00EB1355"/>
    <w:rsid w:val="00EB1779"/>
    <w:rsid w:val="00EB1814"/>
    <w:rsid w:val="00EB1822"/>
    <w:rsid w:val="00EB18C5"/>
    <w:rsid w:val="00EB1A42"/>
    <w:rsid w:val="00EB1AA9"/>
    <w:rsid w:val="00EB1CEB"/>
    <w:rsid w:val="00EB1D4B"/>
    <w:rsid w:val="00EB1DBF"/>
    <w:rsid w:val="00EB1E73"/>
    <w:rsid w:val="00EB2022"/>
    <w:rsid w:val="00EB21C1"/>
    <w:rsid w:val="00EB2294"/>
    <w:rsid w:val="00EB23DB"/>
    <w:rsid w:val="00EB24A4"/>
    <w:rsid w:val="00EB2552"/>
    <w:rsid w:val="00EB26C7"/>
    <w:rsid w:val="00EB270C"/>
    <w:rsid w:val="00EB277F"/>
    <w:rsid w:val="00EB2814"/>
    <w:rsid w:val="00EB2862"/>
    <w:rsid w:val="00EB2AEF"/>
    <w:rsid w:val="00EB2B53"/>
    <w:rsid w:val="00EB2D38"/>
    <w:rsid w:val="00EB31C0"/>
    <w:rsid w:val="00EB3551"/>
    <w:rsid w:val="00EB3575"/>
    <w:rsid w:val="00EB35D1"/>
    <w:rsid w:val="00EB3971"/>
    <w:rsid w:val="00EB3A9D"/>
    <w:rsid w:val="00EB3BF1"/>
    <w:rsid w:val="00EB41E3"/>
    <w:rsid w:val="00EB4220"/>
    <w:rsid w:val="00EB47CB"/>
    <w:rsid w:val="00EB4962"/>
    <w:rsid w:val="00EB49A0"/>
    <w:rsid w:val="00EB4A4B"/>
    <w:rsid w:val="00EB4B3B"/>
    <w:rsid w:val="00EB4B65"/>
    <w:rsid w:val="00EB4E31"/>
    <w:rsid w:val="00EB4E56"/>
    <w:rsid w:val="00EB4EE7"/>
    <w:rsid w:val="00EB4FD8"/>
    <w:rsid w:val="00EB505C"/>
    <w:rsid w:val="00EB516C"/>
    <w:rsid w:val="00EB5216"/>
    <w:rsid w:val="00EB52D2"/>
    <w:rsid w:val="00EB54A0"/>
    <w:rsid w:val="00EB54A9"/>
    <w:rsid w:val="00EB5626"/>
    <w:rsid w:val="00EB5852"/>
    <w:rsid w:val="00EB5993"/>
    <w:rsid w:val="00EB59A9"/>
    <w:rsid w:val="00EB59F8"/>
    <w:rsid w:val="00EB5B61"/>
    <w:rsid w:val="00EB5F3B"/>
    <w:rsid w:val="00EB5FD4"/>
    <w:rsid w:val="00EB6017"/>
    <w:rsid w:val="00EB61A2"/>
    <w:rsid w:val="00EB6332"/>
    <w:rsid w:val="00EB6499"/>
    <w:rsid w:val="00EB6610"/>
    <w:rsid w:val="00EB6802"/>
    <w:rsid w:val="00EB68B9"/>
    <w:rsid w:val="00EB692E"/>
    <w:rsid w:val="00EB6964"/>
    <w:rsid w:val="00EB6997"/>
    <w:rsid w:val="00EB6A0B"/>
    <w:rsid w:val="00EB6AA4"/>
    <w:rsid w:val="00EB6B3D"/>
    <w:rsid w:val="00EB6EB9"/>
    <w:rsid w:val="00EB706C"/>
    <w:rsid w:val="00EB7098"/>
    <w:rsid w:val="00EB733F"/>
    <w:rsid w:val="00EB7476"/>
    <w:rsid w:val="00EB764C"/>
    <w:rsid w:val="00EB79A3"/>
    <w:rsid w:val="00EB7A3C"/>
    <w:rsid w:val="00EB7BD8"/>
    <w:rsid w:val="00EB7E2D"/>
    <w:rsid w:val="00EB7E71"/>
    <w:rsid w:val="00EB7F39"/>
    <w:rsid w:val="00EB7F7F"/>
    <w:rsid w:val="00EC038E"/>
    <w:rsid w:val="00EC0402"/>
    <w:rsid w:val="00EC05AB"/>
    <w:rsid w:val="00EC0794"/>
    <w:rsid w:val="00EC07CE"/>
    <w:rsid w:val="00EC097C"/>
    <w:rsid w:val="00EC0AC4"/>
    <w:rsid w:val="00EC1072"/>
    <w:rsid w:val="00EC1084"/>
    <w:rsid w:val="00EC11AE"/>
    <w:rsid w:val="00EC13E8"/>
    <w:rsid w:val="00EC1442"/>
    <w:rsid w:val="00EC1897"/>
    <w:rsid w:val="00EC1D4C"/>
    <w:rsid w:val="00EC2019"/>
    <w:rsid w:val="00EC20AA"/>
    <w:rsid w:val="00EC225D"/>
    <w:rsid w:val="00EC22D3"/>
    <w:rsid w:val="00EC2656"/>
    <w:rsid w:val="00EC27E7"/>
    <w:rsid w:val="00EC2A3E"/>
    <w:rsid w:val="00EC2B4F"/>
    <w:rsid w:val="00EC2B75"/>
    <w:rsid w:val="00EC2CBA"/>
    <w:rsid w:val="00EC2D70"/>
    <w:rsid w:val="00EC2D8C"/>
    <w:rsid w:val="00EC2DFC"/>
    <w:rsid w:val="00EC2EC6"/>
    <w:rsid w:val="00EC2F24"/>
    <w:rsid w:val="00EC30A7"/>
    <w:rsid w:val="00EC3212"/>
    <w:rsid w:val="00EC33AB"/>
    <w:rsid w:val="00EC34E9"/>
    <w:rsid w:val="00EC3D39"/>
    <w:rsid w:val="00EC3ECF"/>
    <w:rsid w:val="00EC4086"/>
    <w:rsid w:val="00EC42D3"/>
    <w:rsid w:val="00EC4354"/>
    <w:rsid w:val="00EC43BD"/>
    <w:rsid w:val="00EC4585"/>
    <w:rsid w:val="00EC465D"/>
    <w:rsid w:val="00EC4732"/>
    <w:rsid w:val="00EC480D"/>
    <w:rsid w:val="00EC4B0D"/>
    <w:rsid w:val="00EC4C01"/>
    <w:rsid w:val="00EC4CBB"/>
    <w:rsid w:val="00EC4FF6"/>
    <w:rsid w:val="00EC504B"/>
    <w:rsid w:val="00EC505D"/>
    <w:rsid w:val="00EC5061"/>
    <w:rsid w:val="00EC51D3"/>
    <w:rsid w:val="00EC5355"/>
    <w:rsid w:val="00EC543B"/>
    <w:rsid w:val="00EC54E4"/>
    <w:rsid w:val="00EC552E"/>
    <w:rsid w:val="00EC58B8"/>
    <w:rsid w:val="00EC5904"/>
    <w:rsid w:val="00EC59BB"/>
    <w:rsid w:val="00EC59EA"/>
    <w:rsid w:val="00EC5F5E"/>
    <w:rsid w:val="00EC610A"/>
    <w:rsid w:val="00EC617F"/>
    <w:rsid w:val="00EC6255"/>
    <w:rsid w:val="00EC62D9"/>
    <w:rsid w:val="00EC6391"/>
    <w:rsid w:val="00EC63BA"/>
    <w:rsid w:val="00EC6432"/>
    <w:rsid w:val="00EC64C1"/>
    <w:rsid w:val="00EC665F"/>
    <w:rsid w:val="00EC6696"/>
    <w:rsid w:val="00EC6736"/>
    <w:rsid w:val="00EC6814"/>
    <w:rsid w:val="00EC69A7"/>
    <w:rsid w:val="00EC6B6A"/>
    <w:rsid w:val="00EC6D0E"/>
    <w:rsid w:val="00EC6DEA"/>
    <w:rsid w:val="00EC6FFA"/>
    <w:rsid w:val="00EC71C7"/>
    <w:rsid w:val="00EC71D6"/>
    <w:rsid w:val="00EC741F"/>
    <w:rsid w:val="00EC782D"/>
    <w:rsid w:val="00EC7D5E"/>
    <w:rsid w:val="00EC7E06"/>
    <w:rsid w:val="00EC7EF2"/>
    <w:rsid w:val="00ED0277"/>
    <w:rsid w:val="00ED06BB"/>
    <w:rsid w:val="00ED0836"/>
    <w:rsid w:val="00ED088A"/>
    <w:rsid w:val="00ED0EFD"/>
    <w:rsid w:val="00ED145D"/>
    <w:rsid w:val="00ED1503"/>
    <w:rsid w:val="00ED1647"/>
    <w:rsid w:val="00ED1665"/>
    <w:rsid w:val="00ED17B3"/>
    <w:rsid w:val="00ED18E9"/>
    <w:rsid w:val="00ED1926"/>
    <w:rsid w:val="00ED1C17"/>
    <w:rsid w:val="00ED1CAF"/>
    <w:rsid w:val="00ED1CBD"/>
    <w:rsid w:val="00ED1CF1"/>
    <w:rsid w:val="00ED1EF7"/>
    <w:rsid w:val="00ED20FF"/>
    <w:rsid w:val="00ED223C"/>
    <w:rsid w:val="00ED252C"/>
    <w:rsid w:val="00ED2556"/>
    <w:rsid w:val="00ED267C"/>
    <w:rsid w:val="00ED26F1"/>
    <w:rsid w:val="00ED2707"/>
    <w:rsid w:val="00ED2751"/>
    <w:rsid w:val="00ED276E"/>
    <w:rsid w:val="00ED27A2"/>
    <w:rsid w:val="00ED28C0"/>
    <w:rsid w:val="00ED29AA"/>
    <w:rsid w:val="00ED29EC"/>
    <w:rsid w:val="00ED2A91"/>
    <w:rsid w:val="00ED2AF7"/>
    <w:rsid w:val="00ED2C47"/>
    <w:rsid w:val="00ED2CED"/>
    <w:rsid w:val="00ED2F5B"/>
    <w:rsid w:val="00ED3152"/>
    <w:rsid w:val="00ED3248"/>
    <w:rsid w:val="00ED33D5"/>
    <w:rsid w:val="00ED3581"/>
    <w:rsid w:val="00ED3641"/>
    <w:rsid w:val="00ED364D"/>
    <w:rsid w:val="00ED366C"/>
    <w:rsid w:val="00ED36AE"/>
    <w:rsid w:val="00ED376A"/>
    <w:rsid w:val="00ED3927"/>
    <w:rsid w:val="00ED39D3"/>
    <w:rsid w:val="00ED3A7B"/>
    <w:rsid w:val="00ED3C0F"/>
    <w:rsid w:val="00ED3C26"/>
    <w:rsid w:val="00ED3CD1"/>
    <w:rsid w:val="00ED3E5F"/>
    <w:rsid w:val="00ED3E99"/>
    <w:rsid w:val="00ED3FD4"/>
    <w:rsid w:val="00ED4098"/>
    <w:rsid w:val="00ED414C"/>
    <w:rsid w:val="00ED418C"/>
    <w:rsid w:val="00ED45B9"/>
    <w:rsid w:val="00ED462D"/>
    <w:rsid w:val="00ED48EB"/>
    <w:rsid w:val="00ED4C67"/>
    <w:rsid w:val="00ED4CE8"/>
    <w:rsid w:val="00ED4D01"/>
    <w:rsid w:val="00ED4F0C"/>
    <w:rsid w:val="00ED4F1D"/>
    <w:rsid w:val="00ED5130"/>
    <w:rsid w:val="00ED5267"/>
    <w:rsid w:val="00ED528B"/>
    <w:rsid w:val="00ED5336"/>
    <w:rsid w:val="00ED54E4"/>
    <w:rsid w:val="00ED573C"/>
    <w:rsid w:val="00ED5818"/>
    <w:rsid w:val="00ED5847"/>
    <w:rsid w:val="00ED593E"/>
    <w:rsid w:val="00ED5BA4"/>
    <w:rsid w:val="00ED5D20"/>
    <w:rsid w:val="00ED5D7F"/>
    <w:rsid w:val="00ED60BD"/>
    <w:rsid w:val="00ED6261"/>
    <w:rsid w:val="00ED627E"/>
    <w:rsid w:val="00ED6549"/>
    <w:rsid w:val="00ED655E"/>
    <w:rsid w:val="00ED6790"/>
    <w:rsid w:val="00ED69A6"/>
    <w:rsid w:val="00ED6AFC"/>
    <w:rsid w:val="00ED6B83"/>
    <w:rsid w:val="00ED6B8E"/>
    <w:rsid w:val="00ED6C9B"/>
    <w:rsid w:val="00ED6FE2"/>
    <w:rsid w:val="00ED70EA"/>
    <w:rsid w:val="00ED71BB"/>
    <w:rsid w:val="00ED72D9"/>
    <w:rsid w:val="00ED7353"/>
    <w:rsid w:val="00ED784E"/>
    <w:rsid w:val="00ED7C7E"/>
    <w:rsid w:val="00ED7E60"/>
    <w:rsid w:val="00ED7E86"/>
    <w:rsid w:val="00ED7FBE"/>
    <w:rsid w:val="00EE01F9"/>
    <w:rsid w:val="00EE0353"/>
    <w:rsid w:val="00EE08AF"/>
    <w:rsid w:val="00EE0B85"/>
    <w:rsid w:val="00EE0BDA"/>
    <w:rsid w:val="00EE0D0C"/>
    <w:rsid w:val="00EE0F87"/>
    <w:rsid w:val="00EE1175"/>
    <w:rsid w:val="00EE121B"/>
    <w:rsid w:val="00EE121E"/>
    <w:rsid w:val="00EE1255"/>
    <w:rsid w:val="00EE1304"/>
    <w:rsid w:val="00EE1361"/>
    <w:rsid w:val="00EE1414"/>
    <w:rsid w:val="00EE1C50"/>
    <w:rsid w:val="00EE1DDC"/>
    <w:rsid w:val="00EE1E4C"/>
    <w:rsid w:val="00EE1E6E"/>
    <w:rsid w:val="00EE2013"/>
    <w:rsid w:val="00EE21AC"/>
    <w:rsid w:val="00EE238B"/>
    <w:rsid w:val="00EE299C"/>
    <w:rsid w:val="00EE2AB3"/>
    <w:rsid w:val="00EE2C70"/>
    <w:rsid w:val="00EE2D2D"/>
    <w:rsid w:val="00EE2FC3"/>
    <w:rsid w:val="00EE3111"/>
    <w:rsid w:val="00EE3567"/>
    <w:rsid w:val="00EE356A"/>
    <w:rsid w:val="00EE35C8"/>
    <w:rsid w:val="00EE35CC"/>
    <w:rsid w:val="00EE3897"/>
    <w:rsid w:val="00EE3C4C"/>
    <w:rsid w:val="00EE3E74"/>
    <w:rsid w:val="00EE410B"/>
    <w:rsid w:val="00EE410F"/>
    <w:rsid w:val="00EE421C"/>
    <w:rsid w:val="00EE473D"/>
    <w:rsid w:val="00EE497A"/>
    <w:rsid w:val="00EE4988"/>
    <w:rsid w:val="00EE4B10"/>
    <w:rsid w:val="00EE4D42"/>
    <w:rsid w:val="00EE4D8E"/>
    <w:rsid w:val="00EE50B2"/>
    <w:rsid w:val="00EE51D7"/>
    <w:rsid w:val="00EE520A"/>
    <w:rsid w:val="00EE54D4"/>
    <w:rsid w:val="00EE57A6"/>
    <w:rsid w:val="00EE57FB"/>
    <w:rsid w:val="00EE582C"/>
    <w:rsid w:val="00EE595A"/>
    <w:rsid w:val="00EE5B19"/>
    <w:rsid w:val="00EE5B6D"/>
    <w:rsid w:val="00EE5C39"/>
    <w:rsid w:val="00EE5F1A"/>
    <w:rsid w:val="00EE5F1B"/>
    <w:rsid w:val="00EE6180"/>
    <w:rsid w:val="00EE6280"/>
    <w:rsid w:val="00EE6293"/>
    <w:rsid w:val="00EE62AB"/>
    <w:rsid w:val="00EE6326"/>
    <w:rsid w:val="00EE648F"/>
    <w:rsid w:val="00EE64A4"/>
    <w:rsid w:val="00EE65BE"/>
    <w:rsid w:val="00EE683A"/>
    <w:rsid w:val="00EE6B0F"/>
    <w:rsid w:val="00EE6B46"/>
    <w:rsid w:val="00EE6BFF"/>
    <w:rsid w:val="00EE6C07"/>
    <w:rsid w:val="00EE6ECF"/>
    <w:rsid w:val="00EE7078"/>
    <w:rsid w:val="00EE709B"/>
    <w:rsid w:val="00EE7122"/>
    <w:rsid w:val="00EE7225"/>
    <w:rsid w:val="00EE724D"/>
    <w:rsid w:val="00EE7357"/>
    <w:rsid w:val="00EE7362"/>
    <w:rsid w:val="00EE7364"/>
    <w:rsid w:val="00EE7456"/>
    <w:rsid w:val="00EE78E9"/>
    <w:rsid w:val="00EE78EF"/>
    <w:rsid w:val="00EE795F"/>
    <w:rsid w:val="00EE7A6D"/>
    <w:rsid w:val="00EE7B17"/>
    <w:rsid w:val="00EE7B4E"/>
    <w:rsid w:val="00EE7B60"/>
    <w:rsid w:val="00EE7C50"/>
    <w:rsid w:val="00EE7D02"/>
    <w:rsid w:val="00EE7DAA"/>
    <w:rsid w:val="00EE7DC1"/>
    <w:rsid w:val="00EE7F42"/>
    <w:rsid w:val="00EE7FD8"/>
    <w:rsid w:val="00EF0171"/>
    <w:rsid w:val="00EF01D1"/>
    <w:rsid w:val="00EF01F8"/>
    <w:rsid w:val="00EF02A7"/>
    <w:rsid w:val="00EF02B4"/>
    <w:rsid w:val="00EF0A3B"/>
    <w:rsid w:val="00EF0CA3"/>
    <w:rsid w:val="00EF0D7F"/>
    <w:rsid w:val="00EF0F06"/>
    <w:rsid w:val="00EF0F57"/>
    <w:rsid w:val="00EF0FED"/>
    <w:rsid w:val="00EF11F7"/>
    <w:rsid w:val="00EF123F"/>
    <w:rsid w:val="00EF138E"/>
    <w:rsid w:val="00EF154C"/>
    <w:rsid w:val="00EF15E2"/>
    <w:rsid w:val="00EF1602"/>
    <w:rsid w:val="00EF1761"/>
    <w:rsid w:val="00EF1B7A"/>
    <w:rsid w:val="00EF1B7C"/>
    <w:rsid w:val="00EF1DF1"/>
    <w:rsid w:val="00EF2574"/>
    <w:rsid w:val="00EF261E"/>
    <w:rsid w:val="00EF262E"/>
    <w:rsid w:val="00EF2832"/>
    <w:rsid w:val="00EF292F"/>
    <w:rsid w:val="00EF2A12"/>
    <w:rsid w:val="00EF2A5B"/>
    <w:rsid w:val="00EF2ABE"/>
    <w:rsid w:val="00EF2AE3"/>
    <w:rsid w:val="00EF2AF0"/>
    <w:rsid w:val="00EF2B03"/>
    <w:rsid w:val="00EF2CD0"/>
    <w:rsid w:val="00EF2D7A"/>
    <w:rsid w:val="00EF2E83"/>
    <w:rsid w:val="00EF3033"/>
    <w:rsid w:val="00EF3174"/>
    <w:rsid w:val="00EF3192"/>
    <w:rsid w:val="00EF3460"/>
    <w:rsid w:val="00EF35E4"/>
    <w:rsid w:val="00EF3676"/>
    <w:rsid w:val="00EF3819"/>
    <w:rsid w:val="00EF3860"/>
    <w:rsid w:val="00EF393F"/>
    <w:rsid w:val="00EF39C4"/>
    <w:rsid w:val="00EF3A49"/>
    <w:rsid w:val="00EF3B9F"/>
    <w:rsid w:val="00EF3F10"/>
    <w:rsid w:val="00EF42D6"/>
    <w:rsid w:val="00EF435C"/>
    <w:rsid w:val="00EF43C4"/>
    <w:rsid w:val="00EF4602"/>
    <w:rsid w:val="00EF46D4"/>
    <w:rsid w:val="00EF4823"/>
    <w:rsid w:val="00EF498F"/>
    <w:rsid w:val="00EF4993"/>
    <w:rsid w:val="00EF4A85"/>
    <w:rsid w:val="00EF4B03"/>
    <w:rsid w:val="00EF5069"/>
    <w:rsid w:val="00EF5153"/>
    <w:rsid w:val="00EF5160"/>
    <w:rsid w:val="00EF53BC"/>
    <w:rsid w:val="00EF53E8"/>
    <w:rsid w:val="00EF56DA"/>
    <w:rsid w:val="00EF589A"/>
    <w:rsid w:val="00EF59DB"/>
    <w:rsid w:val="00EF5ABD"/>
    <w:rsid w:val="00EF5F9E"/>
    <w:rsid w:val="00EF6090"/>
    <w:rsid w:val="00EF65CE"/>
    <w:rsid w:val="00EF663B"/>
    <w:rsid w:val="00EF6680"/>
    <w:rsid w:val="00EF685F"/>
    <w:rsid w:val="00EF6979"/>
    <w:rsid w:val="00EF697B"/>
    <w:rsid w:val="00EF6A17"/>
    <w:rsid w:val="00EF6ED5"/>
    <w:rsid w:val="00EF6F09"/>
    <w:rsid w:val="00EF6F56"/>
    <w:rsid w:val="00EF7204"/>
    <w:rsid w:val="00EF720E"/>
    <w:rsid w:val="00EF755A"/>
    <w:rsid w:val="00EF79CC"/>
    <w:rsid w:val="00EF7AE1"/>
    <w:rsid w:val="00EF7B26"/>
    <w:rsid w:val="00EF7C6B"/>
    <w:rsid w:val="00EF7D56"/>
    <w:rsid w:val="00EF7E0C"/>
    <w:rsid w:val="00EF7F95"/>
    <w:rsid w:val="00F0004C"/>
    <w:rsid w:val="00F0007D"/>
    <w:rsid w:val="00F00104"/>
    <w:rsid w:val="00F00199"/>
    <w:rsid w:val="00F00221"/>
    <w:rsid w:val="00F0032F"/>
    <w:rsid w:val="00F00685"/>
    <w:rsid w:val="00F00954"/>
    <w:rsid w:val="00F00A28"/>
    <w:rsid w:val="00F00A80"/>
    <w:rsid w:val="00F00CFB"/>
    <w:rsid w:val="00F00D7D"/>
    <w:rsid w:val="00F00E5E"/>
    <w:rsid w:val="00F01025"/>
    <w:rsid w:val="00F010D8"/>
    <w:rsid w:val="00F01229"/>
    <w:rsid w:val="00F01399"/>
    <w:rsid w:val="00F01465"/>
    <w:rsid w:val="00F0150F"/>
    <w:rsid w:val="00F01741"/>
    <w:rsid w:val="00F019F6"/>
    <w:rsid w:val="00F01B60"/>
    <w:rsid w:val="00F01BEB"/>
    <w:rsid w:val="00F01D43"/>
    <w:rsid w:val="00F01F7C"/>
    <w:rsid w:val="00F02147"/>
    <w:rsid w:val="00F021E5"/>
    <w:rsid w:val="00F024C4"/>
    <w:rsid w:val="00F02555"/>
    <w:rsid w:val="00F0255E"/>
    <w:rsid w:val="00F02850"/>
    <w:rsid w:val="00F028AE"/>
    <w:rsid w:val="00F028CF"/>
    <w:rsid w:val="00F0293D"/>
    <w:rsid w:val="00F02ABF"/>
    <w:rsid w:val="00F02BCE"/>
    <w:rsid w:val="00F02D16"/>
    <w:rsid w:val="00F02D6C"/>
    <w:rsid w:val="00F02D82"/>
    <w:rsid w:val="00F02E74"/>
    <w:rsid w:val="00F02F4D"/>
    <w:rsid w:val="00F0300A"/>
    <w:rsid w:val="00F0318F"/>
    <w:rsid w:val="00F031A0"/>
    <w:rsid w:val="00F03824"/>
    <w:rsid w:val="00F03833"/>
    <w:rsid w:val="00F038B6"/>
    <w:rsid w:val="00F03A80"/>
    <w:rsid w:val="00F03BA3"/>
    <w:rsid w:val="00F03CBF"/>
    <w:rsid w:val="00F03E6C"/>
    <w:rsid w:val="00F03F60"/>
    <w:rsid w:val="00F04198"/>
    <w:rsid w:val="00F042E4"/>
    <w:rsid w:val="00F04452"/>
    <w:rsid w:val="00F044A2"/>
    <w:rsid w:val="00F04628"/>
    <w:rsid w:val="00F0485D"/>
    <w:rsid w:val="00F04CAF"/>
    <w:rsid w:val="00F04E22"/>
    <w:rsid w:val="00F04EB4"/>
    <w:rsid w:val="00F04EBD"/>
    <w:rsid w:val="00F04F43"/>
    <w:rsid w:val="00F04F5A"/>
    <w:rsid w:val="00F04F8A"/>
    <w:rsid w:val="00F050A2"/>
    <w:rsid w:val="00F05364"/>
    <w:rsid w:val="00F05498"/>
    <w:rsid w:val="00F05547"/>
    <w:rsid w:val="00F055BE"/>
    <w:rsid w:val="00F0572A"/>
    <w:rsid w:val="00F05740"/>
    <w:rsid w:val="00F05948"/>
    <w:rsid w:val="00F05A0C"/>
    <w:rsid w:val="00F05A14"/>
    <w:rsid w:val="00F05FEE"/>
    <w:rsid w:val="00F06254"/>
    <w:rsid w:val="00F06256"/>
    <w:rsid w:val="00F0635A"/>
    <w:rsid w:val="00F063CD"/>
    <w:rsid w:val="00F06585"/>
    <w:rsid w:val="00F06756"/>
    <w:rsid w:val="00F0697F"/>
    <w:rsid w:val="00F06B03"/>
    <w:rsid w:val="00F06CCA"/>
    <w:rsid w:val="00F06D2D"/>
    <w:rsid w:val="00F06EA8"/>
    <w:rsid w:val="00F07197"/>
    <w:rsid w:val="00F0728B"/>
    <w:rsid w:val="00F0738D"/>
    <w:rsid w:val="00F073C5"/>
    <w:rsid w:val="00F073D5"/>
    <w:rsid w:val="00F074B9"/>
    <w:rsid w:val="00F0750F"/>
    <w:rsid w:val="00F075B0"/>
    <w:rsid w:val="00F0761A"/>
    <w:rsid w:val="00F07672"/>
    <w:rsid w:val="00F07682"/>
    <w:rsid w:val="00F07699"/>
    <w:rsid w:val="00F076D6"/>
    <w:rsid w:val="00F07E3C"/>
    <w:rsid w:val="00F10005"/>
    <w:rsid w:val="00F10866"/>
    <w:rsid w:val="00F109D4"/>
    <w:rsid w:val="00F10A08"/>
    <w:rsid w:val="00F10BD2"/>
    <w:rsid w:val="00F10D5C"/>
    <w:rsid w:val="00F10F0F"/>
    <w:rsid w:val="00F1108B"/>
    <w:rsid w:val="00F111FD"/>
    <w:rsid w:val="00F112EC"/>
    <w:rsid w:val="00F1135B"/>
    <w:rsid w:val="00F113F6"/>
    <w:rsid w:val="00F11518"/>
    <w:rsid w:val="00F1158D"/>
    <w:rsid w:val="00F11822"/>
    <w:rsid w:val="00F11A89"/>
    <w:rsid w:val="00F11AC2"/>
    <w:rsid w:val="00F11DD4"/>
    <w:rsid w:val="00F11E65"/>
    <w:rsid w:val="00F11E96"/>
    <w:rsid w:val="00F128E8"/>
    <w:rsid w:val="00F12C0C"/>
    <w:rsid w:val="00F12CA6"/>
    <w:rsid w:val="00F12D00"/>
    <w:rsid w:val="00F1315E"/>
    <w:rsid w:val="00F132DE"/>
    <w:rsid w:val="00F1347F"/>
    <w:rsid w:val="00F13484"/>
    <w:rsid w:val="00F134A8"/>
    <w:rsid w:val="00F13C48"/>
    <w:rsid w:val="00F13DCD"/>
    <w:rsid w:val="00F1409F"/>
    <w:rsid w:val="00F1415F"/>
    <w:rsid w:val="00F14458"/>
    <w:rsid w:val="00F146B6"/>
    <w:rsid w:val="00F14816"/>
    <w:rsid w:val="00F14A28"/>
    <w:rsid w:val="00F14C82"/>
    <w:rsid w:val="00F14DF8"/>
    <w:rsid w:val="00F15016"/>
    <w:rsid w:val="00F15046"/>
    <w:rsid w:val="00F15161"/>
    <w:rsid w:val="00F15428"/>
    <w:rsid w:val="00F15486"/>
    <w:rsid w:val="00F155B4"/>
    <w:rsid w:val="00F15841"/>
    <w:rsid w:val="00F158C0"/>
    <w:rsid w:val="00F158FB"/>
    <w:rsid w:val="00F15B7F"/>
    <w:rsid w:val="00F15C29"/>
    <w:rsid w:val="00F15E1F"/>
    <w:rsid w:val="00F15EE9"/>
    <w:rsid w:val="00F15FCB"/>
    <w:rsid w:val="00F16146"/>
    <w:rsid w:val="00F16161"/>
    <w:rsid w:val="00F161C2"/>
    <w:rsid w:val="00F161C7"/>
    <w:rsid w:val="00F16522"/>
    <w:rsid w:val="00F168F5"/>
    <w:rsid w:val="00F16970"/>
    <w:rsid w:val="00F169C3"/>
    <w:rsid w:val="00F16A05"/>
    <w:rsid w:val="00F16EDD"/>
    <w:rsid w:val="00F16F3D"/>
    <w:rsid w:val="00F171C6"/>
    <w:rsid w:val="00F173B8"/>
    <w:rsid w:val="00F17554"/>
    <w:rsid w:val="00F175F0"/>
    <w:rsid w:val="00F177A8"/>
    <w:rsid w:val="00F17AF4"/>
    <w:rsid w:val="00F17DC1"/>
    <w:rsid w:val="00F17DD5"/>
    <w:rsid w:val="00F20551"/>
    <w:rsid w:val="00F2084A"/>
    <w:rsid w:val="00F20A3E"/>
    <w:rsid w:val="00F20C92"/>
    <w:rsid w:val="00F20CEE"/>
    <w:rsid w:val="00F2109B"/>
    <w:rsid w:val="00F2134A"/>
    <w:rsid w:val="00F2156C"/>
    <w:rsid w:val="00F215BC"/>
    <w:rsid w:val="00F215C8"/>
    <w:rsid w:val="00F217E3"/>
    <w:rsid w:val="00F2201E"/>
    <w:rsid w:val="00F22020"/>
    <w:rsid w:val="00F223FE"/>
    <w:rsid w:val="00F22417"/>
    <w:rsid w:val="00F2265A"/>
    <w:rsid w:val="00F228A1"/>
    <w:rsid w:val="00F22A71"/>
    <w:rsid w:val="00F22D86"/>
    <w:rsid w:val="00F22E2D"/>
    <w:rsid w:val="00F22E66"/>
    <w:rsid w:val="00F22EC1"/>
    <w:rsid w:val="00F231F9"/>
    <w:rsid w:val="00F23287"/>
    <w:rsid w:val="00F233AF"/>
    <w:rsid w:val="00F2352F"/>
    <w:rsid w:val="00F23631"/>
    <w:rsid w:val="00F23ABE"/>
    <w:rsid w:val="00F23AF1"/>
    <w:rsid w:val="00F23CC7"/>
    <w:rsid w:val="00F23D13"/>
    <w:rsid w:val="00F24122"/>
    <w:rsid w:val="00F2413B"/>
    <w:rsid w:val="00F2418D"/>
    <w:rsid w:val="00F243EE"/>
    <w:rsid w:val="00F24440"/>
    <w:rsid w:val="00F24520"/>
    <w:rsid w:val="00F248D3"/>
    <w:rsid w:val="00F248E6"/>
    <w:rsid w:val="00F248F4"/>
    <w:rsid w:val="00F24A4B"/>
    <w:rsid w:val="00F24AEC"/>
    <w:rsid w:val="00F24B61"/>
    <w:rsid w:val="00F24F1A"/>
    <w:rsid w:val="00F24F7C"/>
    <w:rsid w:val="00F25143"/>
    <w:rsid w:val="00F253C0"/>
    <w:rsid w:val="00F254A0"/>
    <w:rsid w:val="00F25692"/>
    <w:rsid w:val="00F25868"/>
    <w:rsid w:val="00F259CE"/>
    <w:rsid w:val="00F25B90"/>
    <w:rsid w:val="00F25BD6"/>
    <w:rsid w:val="00F25FE5"/>
    <w:rsid w:val="00F26307"/>
    <w:rsid w:val="00F26318"/>
    <w:rsid w:val="00F265C1"/>
    <w:rsid w:val="00F2660F"/>
    <w:rsid w:val="00F2661D"/>
    <w:rsid w:val="00F26683"/>
    <w:rsid w:val="00F266BD"/>
    <w:rsid w:val="00F2685F"/>
    <w:rsid w:val="00F268EE"/>
    <w:rsid w:val="00F26968"/>
    <w:rsid w:val="00F26AA2"/>
    <w:rsid w:val="00F26B3C"/>
    <w:rsid w:val="00F26EB2"/>
    <w:rsid w:val="00F27187"/>
    <w:rsid w:val="00F2723A"/>
    <w:rsid w:val="00F27891"/>
    <w:rsid w:val="00F27934"/>
    <w:rsid w:val="00F2795A"/>
    <w:rsid w:val="00F27A36"/>
    <w:rsid w:val="00F30066"/>
    <w:rsid w:val="00F3025A"/>
    <w:rsid w:val="00F302C5"/>
    <w:rsid w:val="00F3034B"/>
    <w:rsid w:val="00F309B0"/>
    <w:rsid w:val="00F309B6"/>
    <w:rsid w:val="00F30C24"/>
    <w:rsid w:val="00F30CD7"/>
    <w:rsid w:val="00F3105C"/>
    <w:rsid w:val="00F310E9"/>
    <w:rsid w:val="00F31294"/>
    <w:rsid w:val="00F312BA"/>
    <w:rsid w:val="00F31529"/>
    <w:rsid w:val="00F3161C"/>
    <w:rsid w:val="00F3188F"/>
    <w:rsid w:val="00F3191F"/>
    <w:rsid w:val="00F31D85"/>
    <w:rsid w:val="00F32075"/>
    <w:rsid w:val="00F320A4"/>
    <w:rsid w:val="00F321AB"/>
    <w:rsid w:val="00F32372"/>
    <w:rsid w:val="00F32609"/>
    <w:rsid w:val="00F326FD"/>
    <w:rsid w:val="00F32857"/>
    <w:rsid w:val="00F328C0"/>
    <w:rsid w:val="00F32926"/>
    <w:rsid w:val="00F3299A"/>
    <w:rsid w:val="00F32AB9"/>
    <w:rsid w:val="00F32B6E"/>
    <w:rsid w:val="00F32D16"/>
    <w:rsid w:val="00F32ED4"/>
    <w:rsid w:val="00F330E4"/>
    <w:rsid w:val="00F3312E"/>
    <w:rsid w:val="00F33244"/>
    <w:rsid w:val="00F332C8"/>
    <w:rsid w:val="00F33439"/>
    <w:rsid w:val="00F33548"/>
    <w:rsid w:val="00F336E2"/>
    <w:rsid w:val="00F337AC"/>
    <w:rsid w:val="00F33B24"/>
    <w:rsid w:val="00F33C3C"/>
    <w:rsid w:val="00F33FF3"/>
    <w:rsid w:val="00F34030"/>
    <w:rsid w:val="00F34491"/>
    <w:rsid w:val="00F3451C"/>
    <w:rsid w:val="00F34790"/>
    <w:rsid w:val="00F347BF"/>
    <w:rsid w:val="00F34884"/>
    <w:rsid w:val="00F34ACD"/>
    <w:rsid w:val="00F34BF5"/>
    <w:rsid w:val="00F34E8E"/>
    <w:rsid w:val="00F34F7B"/>
    <w:rsid w:val="00F34F93"/>
    <w:rsid w:val="00F35017"/>
    <w:rsid w:val="00F35047"/>
    <w:rsid w:val="00F35190"/>
    <w:rsid w:val="00F353DD"/>
    <w:rsid w:val="00F3542B"/>
    <w:rsid w:val="00F354EF"/>
    <w:rsid w:val="00F3555B"/>
    <w:rsid w:val="00F35564"/>
    <w:rsid w:val="00F355A4"/>
    <w:rsid w:val="00F35661"/>
    <w:rsid w:val="00F357A9"/>
    <w:rsid w:val="00F358A7"/>
    <w:rsid w:val="00F35A2F"/>
    <w:rsid w:val="00F35AB8"/>
    <w:rsid w:val="00F35B27"/>
    <w:rsid w:val="00F35B50"/>
    <w:rsid w:val="00F35C61"/>
    <w:rsid w:val="00F35E06"/>
    <w:rsid w:val="00F35E7D"/>
    <w:rsid w:val="00F3615B"/>
    <w:rsid w:val="00F3624F"/>
    <w:rsid w:val="00F362F0"/>
    <w:rsid w:val="00F3638C"/>
    <w:rsid w:val="00F367A6"/>
    <w:rsid w:val="00F368F0"/>
    <w:rsid w:val="00F36967"/>
    <w:rsid w:val="00F36F2D"/>
    <w:rsid w:val="00F370F2"/>
    <w:rsid w:val="00F37577"/>
    <w:rsid w:val="00F376F4"/>
    <w:rsid w:val="00F3785F"/>
    <w:rsid w:val="00F37A7A"/>
    <w:rsid w:val="00F37BE2"/>
    <w:rsid w:val="00F37C27"/>
    <w:rsid w:val="00F37D19"/>
    <w:rsid w:val="00F37D7A"/>
    <w:rsid w:val="00F37D97"/>
    <w:rsid w:val="00F402B3"/>
    <w:rsid w:val="00F404F4"/>
    <w:rsid w:val="00F40974"/>
    <w:rsid w:val="00F40C2D"/>
    <w:rsid w:val="00F40C79"/>
    <w:rsid w:val="00F40C83"/>
    <w:rsid w:val="00F40E87"/>
    <w:rsid w:val="00F40F53"/>
    <w:rsid w:val="00F40FAD"/>
    <w:rsid w:val="00F410D2"/>
    <w:rsid w:val="00F41469"/>
    <w:rsid w:val="00F41473"/>
    <w:rsid w:val="00F41700"/>
    <w:rsid w:val="00F4181E"/>
    <w:rsid w:val="00F41875"/>
    <w:rsid w:val="00F418B8"/>
    <w:rsid w:val="00F41910"/>
    <w:rsid w:val="00F41AFD"/>
    <w:rsid w:val="00F41BCE"/>
    <w:rsid w:val="00F42032"/>
    <w:rsid w:val="00F42350"/>
    <w:rsid w:val="00F42479"/>
    <w:rsid w:val="00F42936"/>
    <w:rsid w:val="00F4299A"/>
    <w:rsid w:val="00F429D2"/>
    <w:rsid w:val="00F42AC9"/>
    <w:rsid w:val="00F42ADE"/>
    <w:rsid w:val="00F42BFE"/>
    <w:rsid w:val="00F42C8A"/>
    <w:rsid w:val="00F42F89"/>
    <w:rsid w:val="00F4300A"/>
    <w:rsid w:val="00F43525"/>
    <w:rsid w:val="00F437A4"/>
    <w:rsid w:val="00F43A4B"/>
    <w:rsid w:val="00F43A9F"/>
    <w:rsid w:val="00F44030"/>
    <w:rsid w:val="00F4413B"/>
    <w:rsid w:val="00F4428B"/>
    <w:rsid w:val="00F4435A"/>
    <w:rsid w:val="00F4444E"/>
    <w:rsid w:val="00F4462F"/>
    <w:rsid w:val="00F4480C"/>
    <w:rsid w:val="00F4491D"/>
    <w:rsid w:val="00F449EE"/>
    <w:rsid w:val="00F44CB9"/>
    <w:rsid w:val="00F44CF6"/>
    <w:rsid w:val="00F44E42"/>
    <w:rsid w:val="00F44FF2"/>
    <w:rsid w:val="00F450CE"/>
    <w:rsid w:val="00F45222"/>
    <w:rsid w:val="00F453B5"/>
    <w:rsid w:val="00F45656"/>
    <w:rsid w:val="00F45697"/>
    <w:rsid w:val="00F4583A"/>
    <w:rsid w:val="00F4595C"/>
    <w:rsid w:val="00F45C88"/>
    <w:rsid w:val="00F45E5D"/>
    <w:rsid w:val="00F45E73"/>
    <w:rsid w:val="00F46163"/>
    <w:rsid w:val="00F4634F"/>
    <w:rsid w:val="00F464C4"/>
    <w:rsid w:val="00F466DA"/>
    <w:rsid w:val="00F467B0"/>
    <w:rsid w:val="00F4699D"/>
    <w:rsid w:val="00F46BBE"/>
    <w:rsid w:val="00F46C54"/>
    <w:rsid w:val="00F46F84"/>
    <w:rsid w:val="00F46FDE"/>
    <w:rsid w:val="00F4703C"/>
    <w:rsid w:val="00F47447"/>
    <w:rsid w:val="00F474EE"/>
    <w:rsid w:val="00F4752C"/>
    <w:rsid w:val="00F47585"/>
    <w:rsid w:val="00F47780"/>
    <w:rsid w:val="00F4779F"/>
    <w:rsid w:val="00F477EB"/>
    <w:rsid w:val="00F4781B"/>
    <w:rsid w:val="00F47BA0"/>
    <w:rsid w:val="00F47D8A"/>
    <w:rsid w:val="00F47E94"/>
    <w:rsid w:val="00F508B1"/>
    <w:rsid w:val="00F508CE"/>
    <w:rsid w:val="00F50AD9"/>
    <w:rsid w:val="00F50B84"/>
    <w:rsid w:val="00F50DBA"/>
    <w:rsid w:val="00F51411"/>
    <w:rsid w:val="00F51694"/>
    <w:rsid w:val="00F5170A"/>
    <w:rsid w:val="00F518DA"/>
    <w:rsid w:val="00F518FF"/>
    <w:rsid w:val="00F51B54"/>
    <w:rsid w:val="00F51BB9"/>
    <w:rsid w:val="00F520FD"/>
    <w:rsid w:val="00F52183"/>
    <w:rsid w:val="00F52186"/>
    <w:rsid w:val="00F5222A"/>
    <w:rsid w:val="00F527B4"/>
    <w:rsid w:val="00F52988"/>
    <w:rsid w:val="00F52C1E"/>
    <w:rsid w:val="00F52C42"/>
    <w:rsid w:val="00F52E04"/>
    <w:rsid w:val="00F52E19"/>
    <w:rsid w:val="00F52F85"/>
    <w:rsid w:val="00F53166"/>
    <w:rsid w:val="00F5318E"/>
    <w:rsid w:val="00F53256"/>
    <w:rsid w:val="00F53374"/>
    <w:rsid w:val="00F5347D"/>
    <w:rsid w:val="00F535BF"/>
    <w:rsid w:val="00F5369C"/>
    <w:rsid w:val="00F539E1"/>
    <w:rsid w:val="00F53D21"/>
    <w:rsid w:val="00F53FC3"/>
    <w:rsid w:val="00F5406B"/>
    <w:rsid w:val="00F54296"/>
    <w:rsid w:val="00F54703"/>
    <w:rsid w:val="00F54716"/>
    <w:rsid w:val="00F549E5"/>
    <w:rsid w:val="00F54B81"/>
    <w:rsid w:val="00F54C58"/>
    <w:rsid w:val="00F54CF1"/>
    <w:rsid w:val="00F54F56"/>
    <w:rsid w:val="00F54FE6"/>
    <w:rsid w:val="00F54FFA"/>
    <w:rsid w:val="00F550E2"/>
    <w:rsid w:val="00F55175"/>
    <w:rsid w:val="00F55293"/>
    <w:rsid w:val="00F5578F"/>
    <w:rsid w:val="00F559CE"/>
    <w:rsid w:val="00F55D47"/>
    <w:rsid w:val="00F55DD9"/>
    <w:rsid w:val="00F5609C"/>
    <w:rsid w:val="00F562F6"/>
    <w:rsid w:val="00F56775"/>
    <w:rsid w:val="00F56848"/>
    <w:rsid w:val="00F56896"/>
    <w:rsid w:val="00F56BA7"/>
    <w:rsid w:val="00F56C19"/>
    <w:rsid w:val="00F56C31"/>
    <w:rsid w:val="00F56D89"/>
    <w:rsid w:val="00F57023"/>
    <w:rsid w:val="00F570DB"/>
    <w:rsid w:val="00F57115"/>
    <w:rsid w:val="00F571D3"/>
    <w:rsid w:val="00F5723B"/>
    <w:rsid w:val="00F572AC"/>
    <w:rsid w:val="00F57358"/>
    <w:rsid w:val="00F5739C"/>
    <w:rsid w:val="00F574A6"/>
    <w:rsid w:val="00F577E7"/>
    <w:rsid w:val="00F57C05"/>
    <w:rsid w:val="00F57C48"/>
    <w:rsid w:val="00F6021C"/>
    <w:rsid w:val="00F603B5"/>
    <w:rsid w:val="00F6057A"/>
    <w:rsid w:val="00F6068A"/>
    <w:rsid w:val="00F6077D"/>
    <w:rsid w:val="00F608B7"/>
    <w:rsid w:val="00F608EB"/>
    <w:rsid w:val="00F609D0"/>
    <w:rsid w:val="00F60C2C"/>
    <w:rsid w:val="00F60D17"/>
    <w:rsid w:val="00F60D51"/>
    <w:rsid w:val="00F60F05"/>
    <w:rsid w:val="00F6103D"/>
    <w:rsid w:val="00F61138"/>
    <w:rsid w:val="00F6137B"/>
    <w:rsid w:val="00F61393"/>
    <w:rsid w:val="00F61423"/>
    <w:rsid w:val="00F61BDC"/>
    <w:rsid w:val="00F61EF4"/>
    <w:rsid w:val="00F61F58"/>
    <w:rsid w:val="00F62028"/>
    <w:rsid w:val="00F620B9"/>
    <w:rsid w:val="00F62253"/>
    <w:rsid w:val="00F62346"/>
    <w:rsid w:val="00F6239E"/>
    <w:rsid w:val="00F6254E"/>
    <w:rsid w:val="00F62638"/>
    <w:rsid w:val="00F62B37"/>
    <w:rsid w:val="00F62CE6"/>
    <w:rsid w:val="00F62E52"/>
    <w:rsid w:val="00F630B8"/>
    <w:rsid w:val="00F63567"/>
    <w:rsid w:val="00F6372D"/>
    <w:rsid w:val="00F638F0"/>
    <w:rsid w:val="00F63FFE"/>
    <w:rsid w:val="00F64039"/>
    <w:rsid w:val="00F64105"/>
    <w:rsid w:val="00F64131"/>
    <w:rsid w:val="00F6416F"/>
    <w:rsid w:val="00F641A6"/>
    <w:rsid w:val="00F64271"/>
    <w:rsid w:val="00F64526"/>
    <w:rsid w:val="00F64658"/>
    <w:rsid w:val="00F6467D"/>
    <w:rsid w:val="00F64693"/>
    <w:rsid w:val="00F64794"/>
    <w:rsid w:val="00F64845"/>
    <w:rsid w:val="00F649AA"/>
    <w:rsid w:val="00F64C3F"/>
    <w:rsid w:val="00F64D19"/>
    <w:rsid w:val="00F64DF1"/>
    <w:rsid w:val="00F64DF9"/>
    <w:rsid w:val="00F64F86"/>
    <w:rsid w:val="00F6508B"/>
    <w:rsid w:val="00F65260"/>
    <w:rsid w:val="00F6531D"/>
    <w:rsid w:val="00F65501"/>
    <w:rsid w:val="00F65589"/>
    <w:rsid w:val="00F65734"/>
    <w:rsid w:val="00F65A0F"/>
    <w:rsid w:val="00F65B24"/>
    <w:rsid w:val="00F65B45"/>
    <w:rsid w:val="00F65D06"/>
    <w:rsid w:val="00F66066"/>
    <w:rsid w:val="00F662B3"/>
    <w:rsid w:val="00F6630E"/>
    <w:rsid w:val="00F665E5"/>
    <w:rsid w:val="00F66720"/>
    <w:rsid w:val="00F669C1"/>
    <w:rsid w:val="00F66DF9"/>
    <w:rsid w:val="00F67012"/>
    <w:rsid w:val="00F672B2"/>
    <w:rsid w:val="00F67B70"/>
    <w:rsid w:val="00F67C02"/>
    <w:rsid w:val="00F67E36"/>
    <w:rsid w:val="00F67EE6"/>
    <w:rsid w:val="00F70207"/>
    <w:rsid w:val="00F704A4"/>
    <w:rsid w:val="00F70658"/>
    <w:rsid w:val="00F708F8"/>
    <w:rsid w:val="00F709B5"/>
    <w:rsid w:val="00F70B06"/>
    <w:rsid w:val="00F70D90"/>
    <w:rsid w:val="00F71265"/>
    <w:rsid w:val="00F712BF"/>
    <w:rsid w:val="00F712D2"/>
    <w:rsid w:val="00F71484"/>
    <w:rsid w:val="00F71507"/>
    <w:rsid w:val="00F715E7"/>
    <w:rsid w:val="00F716AB"/>
    <w:rsid w:val="00F716B4"/>
    <w:rsid w:val="00F716C9"/>
    <w:rsid w:val="00F7172F"/>
    <w:rsid w:val="00F71963"/>
    <w:rsid w:val="00F71AB3"/>
    <w:rsid w:val="00F71AD9"/>
    <w:rsid w:val="00F71B18"/>
    <w:rsid w:val="00F71B66"/>
    <w:rsid w:val="00F71E5E"/>
    <w:rsid w:val="00F72212"/>
    <w:rsid w:val="00F72260"/>
    <w:rsid w:val="00F722BE"/>
    <w:rsid w:val="00F7252B"/>
    <w:rsid w:val="00F72A76"/>
    <w:rsid w:val="00F72EF4"/>
    <w:rsid w:val="00F72F2C"/>
    <w:rsid w:val="00F731E2"/>
    <w:rsid w:val="00F7332E"/>
    <w:rsid w:val="00F7341B"/>
    <w:rsid w:val="00F73622"/>
    <w:rsid w:val="00F7362F"/>
    <w:rsid w:val="00F736FF"/>
    <w:rsid w:val="00F73957"/>
    <w:rsid w:val="00F73A43"/>
    <w:rsid w:val="00F73AB5"/>
    <w:rsid w:val="00F73AF3"/>
    <w:rsid w:val="00F73BDC"/>
    <w:rsid w:val="00F73C1E"/>
    <w:rsid w:val="00F73E50"/>
    <w:rsid w:val="00F73FC2"/>
    <w:rsid w:val="00F7419F"/>
    <w:rsid w:val="00F7434C"/>
    <w:rsid w:val="00F746E6"/>
    <w:rsid w:val="00F7495F"/>
    <w:rsid w:val="00F74B17"/>
    <w:rsid w:val="00F74BAD"/>
    <w:rsid w:val="00F74BC9"/>
    <w:rsid w:val="00F751AE"/>
    <w:rsid w:val="00F75723"/>
    <w:rsid w:val="00F7576C"/>
    <w:rsid w:val="00F759B1"/>
    <w:rsid w:val="00F75AE8"/>
    <w:rsid w:val="00F75C17"/>
    <w:rsid w:val="00F75F5A"/>
    <w:rsid w:val="00F76007"/>
    <w:rsid w:val="00F76047"/>
    <w:rsid w:val="00F76172"/>
    <w:rsid w:val="00F76297"/>
    <w:rsid w:val="00F76459"/>
    <w:rsid w:val="00F768C6"/>
    <w:rsid w:val="00F76A04"/>
    <w:rsid w:val="00F76CC5"/>
    <w:rsid w:val="00F76CD9"/>
    <w:rsid w:val="00F76FFC"/>
    <w:rsid w:val="00F7709B"/>
    <w:rsid w:val="00F77148"/>
    <w:rsid w:val="00F77551"/>
    <w:rsid w:val="00F775B3"/>
    <w:rsid w:val="00F776F4"/>
    <w:rsid w:val="00F77709"/>
    <w:rsid w:val="00F77B86"/>
    <w:rsid w:val="00F80348"/>
    <w:rsid w:val="00F80370"/>
    <w:rsid w:val="00F8037A"/>
    <w:rsid w:val="00F805ED"/>
    <w:rsid w:val="00F80601"/>
    <w:rsid w:val="00F80690"/>
    <w:rsid w:val="00F808E0"/>
    <w:rsid w:val="00F80B61"/>
    <w:rsid w:val="00F80C97"/>
    <w:rsid w:val="00F80CE5"/>
    <w:rsid w:val="00F80D81"/>
    <w:rsid w:val="00F80E16"/>
    <w:rsid w:val="00F80E96"/>
    <w:rsid w:val="00F80F9C"/>
    <w:rsid w:val="00F8107B"/>
    <w:rsid w:val="00F81173"/>
    <w:rsid w:val="00F811EC"/>
    <w:rsid w:val="00F8128D"/>
    <w:rsid w:val="00F812BC"/>
    <w:rsid w:val="00F812C1"/>
    <w:rsid w:val="00F814BC"/>
    <w:rsid w:val="00F81526"/>
    <w:rsid w:val="00F815FA"/>
    <w:rsid w:val="00F81710"/>
    <w:rsid w:val="00F817FD"/>
    <w:rsid w:val="00F81BB3"/>
    <w:rsid w:val="00F81DE2"/>
    <w:rsid w:val="00F81E78"/>
    <w:rsid w:val="00F81FA8"/>
    <w:rsid w:val="00F81FCA"/>
    <w:rsid w:val="00F81FF4"/>
    <w:rsid w:val="00F8205A"/>
    <w:rsid w:val="00F820A7"/>
    <w:rsid w:val="00F8220F"/>
    <w:rsid w:val="00F82229"/>
    <w:rsid w:val="00F822AB"/>
    <w:rsid w:val="00F82364"/>
    <w:rsid w:val="00F82487"/>
    <w:rsid w:val="00F82945"/>
    <w:rsid w:val="00F834C5"/>
    <w:rsid w:val="00F83622"/>
    <w:rsid w:val="00F8362A"/>
    <w:rsid w:val="00F836E4"/>
    <w:rsid w:val="00F83741"/>
    <w:rsid w:val="00F83A6B"/>
    <w:rsid w:val="00F83C70"/>
    <w:rsid w:val="00F83D4B"/>
    <w:rsid w:val="00F83DBB"/>
    <w:rsid w:val="00F83E6E"/>
    <w:rsid w:val="00F83E8B"/>
    <w:rsid w:val="00F8413E"/>
    <w:rsid w:val="00F8421A"/>
    <w:rsid w:val="00F84304"/>
    <w:rsid w:val="00F84449"/>
    <w:rsid w:val="00F844AA"/>
    <w:rsid w:val="00F84AF4"/>
    <w:rsid w:val="00F84F4D"/>
    <w:rsid w:val="00F84F9C"/>
    <w:rsid w:val="00F85086"/>
    <w:rsid w:val="00F853C3"/>
    <w:rsid w:val="00F854EA"/>
    <w:rsid w:val="00F85594"/>
    <w:rsid w:val="00F855BC"/>
    <w:rsid w:val="00F855E5"/>
    <w:rsid w:val="00F8578C"/>
    <w:rsid w:val="00F85A94"/>
    <w:rsid w:val="00F85C47"/>
    <w:rsid w:val="00F85E6F"/>
    <w:rsid w:val="00F86208"/>
    <w:rsid w:val="00F862CE"/>
    <w:rsid w:val="00F863C6"/>
    <w:rsid w:val="00F86731"/>
    <w:rsid w:val="00F867C7"/>
    <w:rsid w:val="00F86863"/>
    <w:rsid w:val="00F86AA9"/>
    <w:rsid w:val="00F86C20"/>
    <w:rsid w:val="00F86E5C"/>
    <w:rsid w:val="00F86EBA"/>
    <w:rsid w:val="00F872CF"/>
    <w:rsid w:val="00F87362"/>
    <w:rsid w:val="00F87364"/>
    <w:rsid w:val="00F874EE"/>
    <w:rsid w:val="00F8775E"/>
    <w:rsid w:val="00F8779B"/>
    <w:rsid w:val="00F877FA"/>
    <w:rsid w:val="00F87A61"/>
    <w:rsid w:val="00F87A66"/>
    <w:rsid w:val="00F87AC7"/>
    <w:rsid w:val="00F87BD1"/>
    <w:rsid w:val="00F87C7D"/>
    <w:rsid w:val="00F9001A"/>
    <w:rsid w:val="00F90072"/>
    <w:rsid w:val="00F901FA"/>
    <w:rsid w:val="00F903BA"/>
    <w:rsid w:val="00F903EE"/>
    <w:rsid w:val="00F909CE"/>
    <w:rsid w:val="00F91092"/>
    <w:rsid w:val="00F91221"/>
    <w:rsid w:val="00F914B2"/>
    <w:rsid w:val="00F9160E"/>
    <w:rsid w:val="00F9164E"/>
    <w:rsid w:val="00F91ADF"/>
    <w:rsid w:val="00F91BA8"/>
    <w:rsid w:val="00F91D84"/>
    <w:rsid w:val="00F91E74"/>
    <w:rsid w:val="00F91F5A"/>
    <w:rsid w:val="00F921B0"/>
    <w:rsid w:val="00F92232"/>
    <w:rsid w:val="00F926DA"/>
    <w:rsid w:val="00F92741"/>
    <w:rsid w:val="00F9286D"/>
    <w:rsid w:val="00F9297C"/>
    <w:rsid w:val="00F92EED"/>
    <w:rsid w:val="00F9309B"/>
    <w:rsid w:val="00F93179"/>
    <w:rsid w:val="00F93259"/>
    <w:rsid w:val="00F9351C"/>
    <w:rsid w:val="00F93523"/>
    <w:rsid w:val="00F9380D"/>
    <w:rsid w:val="00F93899"/>
    <w:rsid w:val="00F93A50"/>
    <w:rsid w:val="00F9401C"/>
    <w:rsid w:val="00F9416F"/>
    <w:rsid w:val="00F94245"/>
    <w:rsid w:val="00F945C8"/>
    <w:rsid w:val="00F94B04"/>
    <w:rsid w:val="00F94BD5"/>
    <w:rsid w:val="00F94C28"/>
    <w:rsid w:val="00F94D2D"/>
    <w:rsid w:val="00F94FDA"/>
    <w:rsid w:val="00F9508E"/>
    <w:rsid w:val="00F9510A"/>
    <w:rsid w:val="00F951C7"/>
    <w:rsid w:val="00F952EA"/>
    <w:rsid w:val="00F95424"/>
    <w:rsid w:val="00F95537"/>
    <w:rsid w:val="00F955E0"/>
    <w:rsid w:val="00F957FF"/>
    <w:rsid w:val="00F9586D"/>
    <w:rsid w:val="00F95A51"/>
    <w:rsid w:val="00F95A90"/>
    <w:rsid w:val="00F95B53"/>
    <w:rsid w:val="00F95BD6"/>
    <w:rsid w:val="00F95D1D"/>
    <w:rsid w:val="00F95E49"/>
    <w:rsid w:val="00F960B3"/>
    <w:rsid w:val="00F961CD"/>
    <w:rsid w:val="00F96335"/>
    <w:rsid w:val="00F9676C"/>
    <w:rsid w:val="00F96787"/>
    <w:rsid w:val="00F969CB"/>
    <w:rsid w:val="00F96B78"/>
    <w:rsid w:val="00F96BB0"/>
    <w:rsid w:val="00F96CD1"/>
    <w:rsid w:val="00F97311"/>
    <w:rsid w:val="00F97447"/>
    <w:rsid w:val="00F974EB"/>
    <w:rsid w:val="00F97766"/>
    <w:rsid w:val="00F97864"/>
    <w:rsid w:val="00F978D9"/>
    <w:rsid w:val="00F97B2E"/>
    <w:rsid w:val="00F97C08"/>
    <w:rsid w:val="00F97C68"/>
    <w:rsid w:val="00F97C6D"/>
    <w:rsid w:val="00F97D4C"/>
    <w:rsid w:val="00F97DF2"/>
    <w:rsid w:val="00FA012B"/>
    <w:rsid w:val="00FA0324"/>
    <w:rsid w:val="00FA0582"/>
    <w:rsid w:val="00FA05C5"/>
    <w:rsid w:val="00FA06B6"/>
    <w:rsid w:val="00FA06F1"/>
    <w:rsid w:val="00FA076C"/>
    <w:rsid w:val="00FA092B"/>
    <w:rsid w:val="00FA0982"/>
    <w:rsid w:val="00FA0AD7"/>
    <w:rsid w:val="00FA0E11"/>
    <w:rsid w:val="00FA0E70"/>
    <w:rsid w:val="00FA10AD"/>
    <w:rsid w:val="00FA134F"/>
    <w:rsid w:val="00FA14EE"/>
    <w:rsid w:val="00FA1A3A"/>
    <w:rsid w:val="00FA1D48"/>
    <w:rsid w:val="00FA1E9C"/>
    <w:rsid w:val="00FA1EA8"/>
    <w:rsid w:val="00FA20F4"/>
    <w:rsid w:val="00FA2137"/>
    <w:rsid w:val="00FA222F"/>
    <w:rsid w:val="00FA2267"/>
    <w:rsid w:val="00FA22D8"/>
    <w:rsid w:val="00FA23D8"/>
    <w:rsid w:val="00FA278A"/>
    <w:rsid w:val="00FA27DE"/>
    <w:rsid w:val="00FA2AD9"/>
    <w:rsid w:val="00FA2D3F"/>
    <w:rsid w:val="00FA2F47"/>
    <w:rsid w:val="00FA3054"/>
    <w:rsid w:val="00FA324E"/>
    <w:rsid w:val="00FA3375"/>
    <w:rsid w:val="00FA3587"/>
    <w:rsid w:val="00FA3653"/>
    <w:rsid w:val="00FA36CB"/>
    <w:rsid w:val="00FA397E"/>
    <w:rsid w:val="00FA39FC"/>
    <w:rsid w:val="00FA3A72"/>
    <w:rsid w:val="00FA3CFB"/>
    <w:rsid w:val="00FA3DD0"/>
    <w:rsid w:val="00FA4006"/>
    <w:rsid w:val="00FA40A6"/>
    <w:rsid w:val="00FA41C7"/>
    <w:rsid w:val="00FA4577"/>
    <w:rsid w:val="00FA471F"/>
    <w:rsid w:val="00FA48B5"/>
    <w:rsid w:val="00FA49D4"/>
    <w:rsid w:val="00FA4A79"/>
    <w:rsid w:val="00FA4B43"/>
    <w:rsid w:val="00FA4CC0"/>
    <w:rsid w:val="00FA4F88"/>
    <w:rsid w:val="00FA50D4"/>
    <w:rsid w:val="00FA5172"/>
    <w:rsid w:val="00FA5323"/>
    <w:rsid w:val="00FA5333"/>
    <w:rsid w:val="00FA555E"/>
    <w:rsid w:val="00FA5584"/>
    <w:rsid w:val="00FA55C8"/>
    <w:rsid w:val="00FA56C4"/>
    <w:rsid w:val="00FA5976"/>
    <w:rsid w:val="00FA59FE"/>
    <w:rsid w:val="00FA5D85"/>
    <w:rsid w:val="00FA5FFF"/>
    <w:rsid w:val="00FA641B"/>
    <w:rsid w:val="00FA64AE"/>
    <w:rsid w:val="00FA64F4"/>
    <w:rsid w:val="00FA6528"/>
    <w:rsid w:val="00FA65B8"/>
    <w:rsid w:val="00FA65ED"/>
    <w:rsid w:val="00FA6607"/>
    <w:rsid w:val="00FA677B"/>
    <w:rsid w:val="00FA6804"/>
    <w:rsid w:val="00FA680C"/>
    <w:rsid w:val="00FA68AD"/>
    <w:rsid w:val="00FA6CE8"/>
    <w:rsid w:val="00FA6E8E"/>
    <w:rsid w:val="00FA6F25"/>
    <w:rsid w:val="00FA700D"/>
    <w:rsid w:val="00FA707E"/>
    <w:rsid w:val="00FA7356"/>
    <w:rsid w:val="00FA7366"/>
    <w:rsid w:val="00FA78F3"/>
    <w:rsid w:val="00FA78FE"/>
    <w:rsid w:val="00FA7922"/>
    <w:rsid w:val="00FA79A3"/>
    <w:rsid w:val="00FA79E6"/>
    <w:rsid w:val="00FA7A6B"/>
    <w:rsid w:val="00FA7AD0"/>
    <w:rsid w:val="00FA7B01"/>
    <w:rsid w:val="00FA7DAE"/>
    <w:rsid w:val="00FA7FFD"/>
    <w:rsid w:val="00FB003D"/>
    <w:rsid w:val="00FB00F4"/>
    <w:rsid w:val="00FB0271"/>
    <w:rsid w:val="00FB0421"/>
    <w:rsid w:val="00FB08FF"/>
    <w:rsid w:val="00FB0B33"/>
    <w:rsid w:val="00FB0BF3"/>
    <w:rsid w:val="00FB0D5A"/>
    <w:rsid w:val="00FB0D6E"/>
    <w:rsid w:val="00FB0E36"/>
    <w:rsid w:val="00FB0E6C"/>
    <w:rsid w:val="00FB1055"/>
    <w:rsid w:val="00FB1167"/>
    <w:rsid w:val="00FB11BC"/>
    <w:rsid w:val="00FB15CC"/>
    <w:rsid w:val="00FB15E4"/>
    <w:rsid w:val="00FB1928"/>
    <w:rsid w:val="00FB194B"/>
    <w:rsid w:val="00FB1A02"/>
    <w:rsid w:val="00FB1A1D"/>
    <w:rsid w:val="00FB1B48"/>
    <w:rsid w:val="00FB1CA3"/>
    <w:rsid w:val="00FB25EF"/>
    <w:rsid w:val="00FB26AB"/>
    <w:rsid w:val="00FB274D"/>
    <w:rsid w:val="00FB2761"/>
    <w:rsid w:val="00FB2A83"/>
    <w:rsid w:val="00FB2E87"/>
    <w:rsid w:val="00FB3075"/>
    <w:rsid w:val="00FB30DB"/>
    <w:rsid w:val="00FB32E7"/>
    <w:rsid w:val="00FB3359"/>
    <w:rsid w:val="00FB38E2"/>
    <w:rsid w:val="00FB3BDD"/>
    <w:rsid w:val="00FB3C3E"/>
    <w:rsid w:val="00FB3E4E"/>
    <w:rsid w:val="00FB3E7C"/>
    <w:rsid w:val="00FB42E8"/>
    <w:rsid w:val="00FB440E"/>
    <w:rsid w:val="00FB441E"/>
    <w:rsid w:val="00FB447B"/>
    <w:rsid w:val="00FB4534"/>
    <w:rsid w:val="00FB45D5"/>
    <w:rsid w:val="00FB46F0"/>
    <w:rsid w:val="00FB475C"/>
    <w:rsid w:val="00FB47C8"/>
    <w:rsid w:val="00FB47EB"/>
    <w:rsid w:val="00FB49FB"/>
    <w:rsid w:val="00FB4BDF"/>
    <w:rsid w:val="00FB4CF8"/>
    <w:rsid w:val="00FB4D41"/>
    <w:rsid w:val="00FB5135"/>
    <w:rsid w:val="00FB5218"/>
    <w:rsid w:val="00FB5319"/>
    <w:rsid w:val="00FB5602"/>
    <w:rsid w:val="00FB5639"/>
    <w:rsid w:val="00FB5648"/>
    <w:rsid w:val="00FB572A"/>
    <w:rsid w:val="00FB5736"/>
    <w:rsid w:val="00FB5985"/>
    <w:rsid w:val="00FB5A18"/>
    <w:rsid w:val="00FB5AEE"/>
    <w:rsid w:val="00FB5BC5"/>
    <w:rsid w:val="00FB5C02"/>
    <w:rsid w:val="00FB5E24"/>
    <w:rsid w:val="00FB618F"/>
    <w:rsid w:val="00FB62B3"/>
    <w:rsid w:val="00FB62C1"/>
    <w:rsid w:val="00FB62C4"/>
    <w:rsid w:val="00FB63D0"/>
    <w:rsid w:val="00FB6431"/>
    <w:rsid w:val="00FB67AD"/>
    <w:rsid w:val="00FB6875"/>
    <w:rsid w:val="00FB6BD3"/>
    <w:rsid w:val="00FB6BD8"/>
    <w:rsid w:val="00FB6C13"/>
    <w:rsid w:val="00FB6D58"/>
    <w:rsid w:val="00FB7149"/>
    <w:rsid w:val="00FB72B4"/>
    <w:rsid w:val="00FB7359"/>
    <w:rsid w:val="00FB738A"/>
    <w:rsid w:val="00FB7512"/>
    <w:rsid w:val="00FB7701"/>
    <w:rsid w:val="00FB7BA5"/>
    <w:rsid w:val="00FB7DAD"/>
    <w:rsid w:val="00FB7DB7"/>
    <w:rsid w:val="00FB7FD0"/>
    <w:rsid w:val="00FC001C"/>
    <w:rsid w:val="00FC016C"/>
    <w:rsid w:val="00FC0455"/>
    <w:rsid w:val="00FC0516"/>
    <w:rsid w:val="00FC088E"/>
    <w:rsid w:val="00FC0C0C"/>
    <w:rsid w:val="00FC0C53"/>
    <w:rsid w:val="00FC0D70"/>
    <w:rsid w:val="00FC148F"/>
    <w:rsid w:val="00FC1C21"/>
    <w:rsid w:val="00FC20CA"/>
    <w:rsid w:val="00FC21FA"/>
    <w:rsid w:val="00FC227C"/>
    <w:rsid w:val="00FC23C4"/>
    <w:rsid w:val="00FC24B1"/>
    <w:rsid w:val="00FC2505"/>
    <w:rsid w:val="00FC25E0"/>
    <w:rsid w:val="00FC25E6"/>
    <w:rsid w:val="00FC2783"/>
    <w:rsid w:val="00FC283D"/>
    <w:rsid w:val="00FC2866"/>
    <w:rsid w:val="00FC287E"/>
    <w:rsid w:val="00FC2B34"/>
    <w:rsid w:val="00FC2F2A"/>
    <w:rsid w:val="00FC3092"/>
    <w:rsid w:val="00FC329E"/>
    <w:rsid w:val="00FC345F"/>
    <w:rsid w:val="00FC349E"/>
    <w:rsid w:val="00FC34A5"/>
    <w:rsid w:val="00FC34DB"/>
    <w:rsid w:val="00FC3535"/>
    <w:rsid w:val="00FC3572"/>
    <w:rsid w:val="00FC39BC"/>
    <w:rsid w:val="00FC3BF6"/>
    <w:rsid w:val="00FC3E13"/>
    <w:rsid w:val="00FC3F04"/>
    <w:rsid w:val="00FC3F71"/>
    <w:rsid w:val="00FC4015"/>
    <w:rsid w:val="00FC40D9"/>
    <w:rsid w:val="00FC4204"/>
    <w:rsid w:val="00FC4271"/>
    <w:rsid w:val="00FC458F"/>
    <w:rsid w:val="00FC45A1"/>
    <w:rsid w:val="00FC4653"/>
    <w:rsid w:val="00FC4857"/>
    <w:rsid w:val="00FC4A2A"/>
    <w:rsid w:val="00FC4AB5"/>
    <w:rsid w:val="00FC4BC7"/>
    <w:rsid w:val="00FC4BEA"/>
    <w:rsid w:val="00FC4CF8"/>
    <w:rsid w:val="00FC4D41"/>
    <w:rsid w:val="00FC4FE3"/>
    <w:rsid w:val="00FC55D1"/>
    <w:rsid w:val="00FC5CBD"/>
    <w:rsid w:val="00FC5D5B"/>
    <w:rsid w:val="00FC5DA0"/>
    <w:rsid w:val="00FC5E05"/>
    <w:rsid w:val="00FC6051"/>
    <w:rsid w:val="00FC6208"/>
    <w:rsid w:val="00FC62CC"/>
    <w:rsid w:val="00FC63A1"/>
    <w:rsid w:val="00FC6485"/>
    <w:rsid w:val="00FC650B"/>
    <w:rsid w:val="00FC65B4"/>
    <w:rsid w:val="00FC666E"/>
    <w:rsid w:val="00FC6817"/>
    <w:rsid w:val="00FC6940"/>
    <w:rsid w:val="00FC6B4B"/>
    <w:rsid w:val="00FC6C5D"/>
    <w:rsid w:val="00FC6C60"/>
    <w:rsid w:val="00FC6E64"/>
    <w:rsid w:val="00FC70B3"/>
    <w:rsid w:val="00FC710E"/>
    <w:rsid w:val="00FC7260"/>
    <w:rsid w:val="00FC74F3"/>
    <w:rsid w:val="00FC7671"/>
    <w:rsid w:val="00FC76FE"/>
    <w:rsid w:val="00FC784E"/>
    <w:rsid w:val="00FC78C6"/>
    <w:rsid w:val="00FC7979"/>
    <w:rsid w:val="00FC79E7"/>
    <w:rsid w:val="00FC7A83"/>
    <w:rsid w:val="00FC7C1E"/>
    <w:rsid w:val="00FD0016"/>
    <w:rsid w:val="00FD0043"/>
    <w:rsid w:val="00FD016B"/>
    <w:rsid w:val="00FD03AC"/>
    <w:rsid w:val="00FD0780"/>
    <w:rsid w:val="00FD08C5"/>
    <w:rsid w:val="00FD08E6"/>
    <w:rsid w:val="00FD0A11"/>
    <w:rsid w:val="00FD0B8B"/>
    <w:rsid w:val="00FD0BF8"/>
    <w:rsid w:val="00FD0D03"/>
    <w:rsid w:val="00FD0DC6"/>
    <w:rsid w:val="00FD0E3E"/>
    <w:rsid w:val="00FD0F89"/>
    <w:rsid w:val="00FD1005"/>
    <w:rsid w:val="00FD11AE"/>
    <w:rsid w:val="00FD1216"/>
    <w:rsid w:val="00FD1217"/>
    <w:rsid w:val="00FD13E9"/>
    <w:rsid w:val="00FD1611"/>
    <w:rsid w:val="00FD1891"/>
    <w:rsid w:val="00FD1AE9"/>
    <w:rsid w:val="00FD1B60"/>
    <w:rsid w:val="00FD1C91"/>
    <w:rsid w:val="00FD1F1A"/>
    <w:rsid w:val="00FD2007"/>
    <w:rsid w:val="00FD20FD"/>
    <w:rsid w:val="00FD2252"/>
    <w:rsid w:val="00FD24CD"/>
    <w:rsid w:val="00FD24F6"/>
    <w:rsid w:val="00FD2560"/>
    <w:rsid w:val="00FD2968"/>
    <w:rsid w:val="00FD2B8A"/>
    <w:rsid w:val="00FD2F0A"/>
    <w:rsid w:val="00FD3040"/>
    <w:rsid w:val="00FD3054"/>
    <w:rsid w:val="00FD30A7"/>
    <w:rsid w:val="00FD30F2"/>
    <w:rsid w:val="00FD3484"/>
    <w:rsid w:val="00FD3789"/>
    <w:rsid w:val="00FD3AF6"/>
    <w:rsid w:val="00FD3B14"/>
    <w:rsid w:val="00FD3CDA"/>
    <w:rsid w:val="00FD3DFB"/>
    <w:rsid w:val="00FD3FBE"/>
    <w:rsid w:val="00FD4402"/>
    <w:rsid w:val="00FD4405"/>
    <w:rsid w:val="00FD4575"/>
    <w:rsid w:val="00FD470D"/>
    <w:rsid w:val="00FD4823"/>
    <w:rsid w:val="00FD49F1"/>
    <w:rsid w:val="00FD4DE0"/>
    <w:rsid w:val="00FD4EA6"/>
    <w:rsid w:val="00FD51AE"/>
    <w:rsid w:val="00FD5212"/>
    <w:rsid w:val="00FD54F5"/>
    <w:rsid w:val="00FD56CB"/>
    <w:rsid w:val="00FD5756"/>
    <w:rsid w:val="00FD5852"/>
    <w:rsid w:val="00FD5923"/>
    <w:rsid w:val="00FD5AD2"/>
    <w:rsid w:val="00FD5ADB"/>
    <w:rsid w:val="00FD5BE9"/>
    <w:rsid w:val="00FD6091"/>
    <w:rsid w:val="00FD62BB"/>
    <w:rsid w:val="00FD62FC"/>
    <w:rsid w:val="00FD634D"/>
    <w:rsid w:val="00FD635C"/>
    <w:rsid w:val="00FD6517"/>
    <w:rsid w:val="00FD6AD1"/>
    <w:rsid w:val="00FD6E55"/>
    <w:rsid w:val="00FD6ECF"/>
    <w:rsid w:val="00FD6EE9"/>
    <w:rsid w:val="00FD6F24"/>
    <w:rsid w:val="00FD6FA3"/>
    <w:rsid w:val="00FD7410"/>
    <w:rsid w:val="00FD7482"/>
    <w:rsid w:val="00FD75DE"/>
    <w:rsid w:val="00FD7A5A"/>
    <w:rsid w:val="00FD7D17"/>
    <w:rsid w:val="00FD7D85"/>
    <w:rsid w:val="00FD7FB2"/>
    <w:rsid w:val="00FD7FD8"/>
    <w:rsid w:val="00FD7FE8"/>
    <w:rsid w:val="00FE008D"/>
    <w:rsid w:val="00FE00AB"/>
    <w:rsid w:val="00FE00F7"/>
    <w:rsid w:val="00FE0144"/>
    <w:rsid w:val="00FE028D"/>
    <w:rsid w:val="00FE02FF"/>
    <w:rsid w:val="00FE0446"/>
    <w:rsid w:val="00FE04E4"/>
    <w:rsid w:val="00FE0815"/>
    <w:rsid w:val="00FE0908"/>
    <w:rsid w:val="00FE0976"/>
    <w:rsid w:val="00FE0A23"/>
    <w:rsid w:val="00FE0A82"/>
    <w:rsid w:val="00FE0C30"/>
    <w:rsid w:val="00FE0D2F"/>
    <w:rsid w:val="00FE0F04"/>
    <w:rsid w:val="00FE0FCB"/>
    <w:rsid w:val="00FE1222"/>
    <w:rsid w:val="00FE1331"/>
    <w:rsid w:val="00FE13B5"/>
    <w:rsid w:val="00FE13F1"/>
    <w:rsid w:val="00FE14D0"/>
    <w:rsid w:val="00FE14E4"/>
    <w:rsid w:val="00FE1833"/>
    <w:rsid w:val="00FE185A"/>
    <w:rsid w:val="00FE1972"/>
    <w:rsid w:val="00FE198E"/>
    <w:rsid w:val="00FE1A95"/>
    <w:rsid w:val="00FE1B76"/>
    <w:rsid w:val="00FE1D39"/>
    <w:rsid w:val="00FE1E40"/>
    <w:rsid w:val="00FE1F02"/>
    <w:rsid w:val="00FE1F70"/>
    <w:rsid w:val="00FE23B3"/>
    <w:rsid w:val="00FE2418"/>
    <w:rsid w:val="00FE25B5"/>
    <w:rsid w:val="00FE2624"/>
    <w:rsid w:val="00FE2A85"/>
    <w:rsid w:val="00FE2D4E"/>
    <w:rsid w:val="00FE2EB3"/>
    <w:rsid w:val="00FE307A"/>
    <w:rsid w:val="00FE30C8"/>
    <w:rsid w:val="00FE32E3"/>
    <w:rsid w:val="00FE366A"/>
    <w:rsid w:val="00FE36E2"/>
    <w:rsid w:val="00FE3737"/>
    <w:rsid w:val="00FE3763"/>
    <w:rsid w:val="00FE3789"/>
    <w:rsid w:val="00FE3A65"/>
    <w:rsid w:val="00FE3B3D"/>
    <w:rsid w:val="00FE3C4D"/>
    <w:rsid w:val="00FE3C56"/>
    <w:rsid w:val="00FE3FCD"/>
    <w:rsid w:val="00FE433E"/>
    <w:rsid w:val="00FE436A"/>
    <w:rsid w:val="00FE4621"/>
    <w:rsid w:val="00FE4681"/>
    <w:rsid w:val="00FE4877"/>
    <w:rsid w:val="00FE4A2B"/>
    <w:rsid w:val="00FE4A55"/>
    <w:rsid w:val="00FE4A62"/>
    <w:rsid w:val="00FE4AB1"/>
    <w:rsid w:val="00FE4B55"/>
    <w:rsid w:val="00FE4BAF"/>
    <w:rsid w:val="00FE4D45"/>
    <w:rsid w:val="00FE4DE9"/>
    <w:rsid w:val="00FE4F2B"/>
    <w:rsid w:val="00FE4FAF"/>
    <w:rsid w:val="00FE4FCF"/>
    <w:rsid w:val="00FE50BE"/>
    <w:rsid w:val="00FE5518"/>
    <w:rsid w:val="00FE56F2"/>
    <w:rsid w:val="00FE573D"/>
    <w:rsid w:val="00FE5A4B"/>
    <w:rsid w:val="00FE5B1B"/>
    <w:rsid w:val="00FE5C21"/>
    <w:rsid w:val="00FE5D21"/>
    <w:rsid w:val="00FE5D9A"/>
    <w:rsid w:val="00FE5DD2"/>
    <w:rsid w:val="00FE6011"/>
    <w:rsid w:val="00FE6040"/>
    <w:rsid w:val="00FE6075"/>
    <w:rsid w:val="00FE614F"/>
    <w:rsid w:val="00FE618E"/>
    <w:rsid w:val="00FE622D"/>
    <w:rsid w:val="00FE6298"/>
    <w:rsid w:val="00FE62E4"/>
    <w:rsid w:val="00FE62FE"/>
    <w:rsid w:val="00FE63AA"/>
    <w:rsid w:val="00FE6460"/>
    <w:rsid w:val="00FE646D"/>
    <w:rsid w:val="00FE6877"/>
    <w:rsid w:val="00FE6B1D"/>
    <w:rsid w:val="00FE6B97"/>
    <w:rsid w:val="00FE6CE8"/>
    <w:rsid w:val="00FE725F"/>
    <w:rsid w:val="00FE72B2"/>
    <w:rsid w:val="00FE733C"/>
    <w:rsid w:val="00FE73F9"/>
    <w:rsid w:val="00FE7605"/>
    <w:rsid w:val="00FE796C"/>
    <w:rsid w:val="00FE798C"/>
    <w:rsid w:val="00FE7BEE"/>
    <w:rsid w:val="00FE7C2F"/>
    <w:rsid w:val="00FE7D9F"/>
    <w:rsid w:val="00FE7DCA"/>
    <w:rsid w:val="00FE7F9A"/>
    <w:rsid w:val="00FE7FAA"/>
    <w:rsid w:val="00FF01E2"/>
    <w:rsid w:val="00FF0273"/>
    <w:rsid w:val="00FF0424"/>
    <w:rsid w:val="00FF04CD"/>
    <w:rsid w:val="00FF051A"/>
    <w:rsid w:val="00FF09C8"/>
    <w:rsid w:val="00FF09D6"/>
    <w:rsid w:val="00FF0C87"/>
    <w:rsid w:val="00FF0D75"/>
    <w:rsid w:val="00FF0DBD"/>
    <w:rsid w:val="00FF1057"/>
    <w:rsid w:val="00FF112B"/>
    <w:rsid w:val="00FF121D"/>
    <w:rsid w:val="00FF1326"/>
    <w:rsid w:val="00FF139D"/>
    <w:rsid w:val="00FF14E9"/>
    <w:rsid w:val="00FF1848"/>
    <w:rsid w:val="00FF19D7"/>
    <w:rsid w:val="00FF1AA5"/>
    <w:rsid w:val="00FF1C72"/>
    <w:rsid w:val="00FF1CD1"/>
    <w:rsid w:val="00FF21C4"/>
    <w:rsid w:val="00FF21E0"/>
    <w:rsid w:val="00FF2258"/>
    <w:rsid w:val="00FF2743"/>
    <w:rsid w:val="00FF295E"/>
    <w:rsid w:val="00FF2B1E"/>
    <w:rsid w:val="00FF2D64"/>
    <w:rsid w:val="00FF2E00"/>
    <w:rsid w:val="00FF3037"/>
    <w:rsid w:val="00FF3188"/>
    <w:rsid w:val="00FF330B"/>
    <w:rsid w:val="00FF335A"/>
    <w:rsid w:val="00FF3499"/>
    <w:rsid w:val="00FF34C5"/>
    <w:rsid w:val="00FF3770"/>
    <w:rsid w:val="00FF3787"/>
    <w:rsid w:val="00FF37EF"/>
    <w:rsid w:val="00FF3A36"/>
    <w:rsid w:val="00FF3BD2"/>
    <w:rsid w:val="00FF3D1F"/>
    <w:rsid w:val="00FF3DF6"/>
    <w:rsid w:val="00FF3E25"/>
    <w:rsid w:val="00FF413D"/>
    <w:rsid w:val="00FF439B"/>
    <w:rsid w:val="00FF4481"/>
    <w:rsid w:val="00FF479E"/>
    <w:rsid w:val="00FF48D5"/>
    <w:rsid w:val="00FF498A"/>
    <w:rsid w:val="00FF5146"/>
    <w:rsid w:val="00FF51FC"/>
    <w:rsid w:val="00FF52A4"/>
    <w:rsid w:val="00FF52BD"/>
    <w:rsid w:val="00FF5316"/>
    <w:rsid w:val="00FF5386"/>
    <w:rsid w:val="00FF53C3"/>
    <w:rsid w:val="00FF56DB"/>
    <w:rsid w:val="00FF578D"/>
    <w:rsid w:val="00FF58B1"/>
    <w:rsid w:val="00FF59D1"/>
    <w:rsid w:val="00FF5A07"/>
    <w:rsid w:val="00FF5B06"/>
    <w:rsid w:val="00FF5B78"/>
    <w:rsid w:val="00FF5C55"/>
    <w:rsid w:val="00FF5D72"/>
    <w:rsid w:val="00FF5DAF"/>
    <w:rsid w:val="00FF5ED7"/>
    <w:rsid w:val="00FF5F09"/>
    <w:rsid w:val="00FF5F65"/>
    <w:rsid w:val="00FF6215"/>
    <w:rsid w:val="00FF630B"/>
    <w:rsid w:val="00FF63AC"/>
    <w:rsid w:val="00FF6423"/>
    <w:rsid w:val="00FF6489"/>
    <w:rsid w:val="00FF674F"/>
    <w:rsid w:val="00FF67BE"/>
    <w:rsid w:val="00FF67F7"/>
    <w:rsid w:val="00FF6845"/>
    <w:rsid w:val="00FF6C74"/>
    <w:rsid w:val="00FF6D20"/>
    <w:rsid w:val="00FF6DC4"/>
    <w:rsid w:val="00FF713D"/>
    <w:rsid w:val="00FF714C"/>
    <w:rsid w:val="00FF7224"/>
    <w:rsid w:val="00FF722C"/>
    <w:rsid w:val="00FF7263"/>
    <w:rsid w:val="00FF72A5"/>
    <w:rsid w:val="00FF7322"/>
    <w:rsid w:val="00FF7468"/>
    <w:rsid w:val="00FF74B5"/>
    <w:rsid w:val="00FF7553"/>
    <w:rsid w:val="00FF758A"/>
    <w:rsid w:val="00FF75EE"/>
    <w:rsid w:val="00FF7974"/>
    <w:rsid w:val="00FF7AC0"/>
    <w:rsid w:val="00FF7B07"/>
    <w:rsid w:val="00FF7C9A"/>
    <w:rsid w:val="0196DDEB"/>
    <w:rsid w:val="02572B4E"/>
    <w:rsid w:val="0295350C"/>
    <w:rsid w:val="02B95700"/>
    <w:rsid w:val="0329F333"/>
    <w:rsid w:val="0367F4F7"/>
    <w:rsid w:val="03DD1408"/>
    <w:rsid w:val="03E747BB"/>
    <w:rsid w:val="046C235B"/>
    <w:rsid w:val="0580B867"/>
    <w:rsid w:val="0632D355"/>
    <w:rsid w:val="074233FB"/>
    <w:rsid w:val="0760D5DF"/>
    <w:rsid w:val="07FBC0DE"/>
    <w:rsid w:val="0849E210"/>
    <w:rsid w:val="09EDAAE3"/>
    <w:rsid w:val="0A001E9C"/>
    <w:rsid w:val="0A4CDCF9"/>
    <w:rsid w:val="0ACC07B5"/>
    <w:rsid w:val="0AF3D3D3"/>
    <w:rsid w:val="0B1D1359"/>
    <w:rsid w:val="0CB1C410"/>
    <w:rsid w:val="0CC1027F"/>
    <w:rsid w:val="0D0C5B94"/>
    <w:rsid w:val="0D353D84"/>
    <w:rsid w:val="0DC7C33D"/>
    <w:rsid w:val="0E6C7391"/>
    <w:rsid w:val="10309659"/>
    <w:rsid w:val="1098EDA7"/>
    <w:rsid w:val="13C54963"/>
    <w:rsid w:val="16985C9C"/>
    <w:rsid w:val="16D01549"/>
    <w:rsid w:val="175BDA94"/>
    <w:rsid w:val="178A0287"/>
    <w:rsid w:val="185BB0F6"/>
    <w:rsid w:val="19AE7E91"/>
    <w:rsid w:val="1AD26B0F"/>
    <w:rsid w:val="1B432C4E"/>
    <w:rsid w:val="1BCA5A68"/>
    <w:rsid w:val="1BDFBEAB"/>
    <w:rsid w:val="1D2FC696"/>
    <w:rsid w:val="1DF4DC64"/>
    <w:rsid w:val="1ED66792"/>
    <w:rsid w:val="20A9EE40"/>
    <w:rsid w:val="239333BB"/>
    <w:rsid w:val="239AB5B4"/>
    <w:rsid w:val="251E43ED"/>
    <w:rsid w:val="278F88AB"/>
    <w:rsid w:val="27CF528E"/>
    <w:rsid w:val="282495C7"/>
    <w:rsid w:val="2A85EAA1"/>
    <w:rsid w:val="2A9650C8"/>
    <w:rsid w:val="2C8AD71E"/>
    <w:rsid w:val="2DA110E9"/>
    <w:rsid w:val="2DD7A55D"/>
    <w:rsid w:val="2E151686"/>
    <w:rsid w:val="2E385469"/>
    <w:rsid w:val="2EA0D23B"/>
    <w:rsid w:val="2F1D9453"/>
    <w:rsid w:val="2F5624FE"/>
    <w:rsid w:val="2FEA650B"/>
    <w:rsid w:val="30B3FE5A"/>
    <w:rsid w:val="312DB448"/>
    <w:rsid w:val="3172FEFE"/>
    <w:rsid w:val="3252A049"/>
    <w:rsid w:val="326D5CA8"/>
    <w:rsid w:val="327FCB0F"/>
    <w:rsid w:val="33F301B6"/>
    <w:rsid w:val="3495DDCE"/>
    <w:rsid w:val="35DBC8AC"/>
    <w:rsid w:val="35F59538"/>
    <w:rsid w:val="360F2657"/>
    <w:rsid w:val="36E949E9"/>
    <w:rsid w:val="370B2072"/>
    <w:rsid w:val="381F6A12"/>
    <w:rsid w:val="38DC271E"/>
    <w:rsid w:val="3B09746A"/>
    <w:rsid w:val="3B0FE285"/>
    <w:rsid w:val="3C13E6E5"/>
    <w:rsid w:val="3CF67C73"/>
    <w:rsid w:val="3DD4D13C"/>
    <w:rsid w:val="3EB1D93F"/>
    <w:rsid w:val="40F1884F"/>
    <w:rsid w:val="41391A71"/>
    <w:rsid w:val="42A39779"/>
    <w:rsid w:val="42F46B6C"/>
    <w:rsid w:val="4401DB81"/>
    <w:rsid w:val="440408BF"/>
    <w:rsid w:val="44207F27"/>
    <w:rsid w:val="448BEF9E"/>
    <w:rsid w:val="44C234E0"/>
    <w:rsid w:val="44DA4FFB"/>
    <w:rsid w:val="44F841B7"/>
    <w:rsid w:val="453C5B96"/>
    <w:rsid w:val="455F4C8F"/>
    <w:rsid w:val="4643E846"/>
    <w:rsid w:val="47C1C535"/>
    <w:rsid w:val="486C09B3"/>
    <w:rsid w:val="496E2DA1"/>
    <w:rsid w:val="4AC4CDE8"/>
    <w:rsid w:val="4BA1888E"/>
    <w:rsid w:val="4C12ED2D"/>
    <w:rsid w:val="4CC77D43"/>
    <w:rsid w:val="4CEC2DEA"/>
    <w:rsid w:val="4E934BC7"/>
    <w:rsid w:val="4EED2183"/>
    <w:rsid w:val="4FAAD881"/>
    <w:rsid w:val="4FF95D55"/>
    <w:rsid w:val="5115D0C0"/>
    <w:rsid w:val="5176D221"/>
    <w:rsid w:val="52308BE0"/>
    <w:rsid w:val="52DF69D9"/>
    <w:rsid w:val="52F7127C"/>
    <w:rsid w:val="53328496"/>
    <w:rsid w:val="538A06EA"/>
    <w:rsid w:val="541F23C3"/>
    <w:rsid w:val="55609995"/>
    <w:rsid w:val="55AD55C8"/>
    <w:rsid w:val="56163485"/>
    <w:rsid w:val="58C64233"/>
    <w:rsid w:val="5A1A2F66"/>
    <w:rsid w:val="5B22089E"/>
    <w:rsid w:val="5B6C78B1"/>
    <w:rsid w:val="5B765C90"/>
    <w:rsid w:val="5BF0D958"/>
    <w:rsid w:val="5BF48CA6"/>
    <w:rsid w:val="5CE7CED8"/>
    <w:rsid w:val="5CFE0AED"/>
    <w:rsid w:val="5D39DC37"/>
    <w:rsid w:val="5FC41CA9"/>
    <w:rsid w:val="60ADD8A4"/>
    <w:rsid w:val="6132D6D6"/>
    <w:rsid w:val="61C63705"/>
    <w:rsid w:val="62011231"/>
    <w:rsid w:val="6225E9ED"/>
    <w:rsid w:val="647FFCE3"/>
    <w:rsid w:val="64CEC48B"/>
    <w:rsid w:val="6554964A"/>
    <w:rsid w:val="65D3EA14"/>
    <w:rsid w:val="65F7E699"/>
    <w:rsid w:val="666FA960"/>
    <w:rsid w:val="66AE4526"/>
    <w:rsid w:val="672F518A"/>
    <w:rsid w:val="67356952"/>
    <w:rsid w:val="6878EBE9"/>
    <w:rsid w:val="687F0E20"/>
    <w:rsid w:val="6903B7A2"/>
    <w:rsid w:val="69306D0D"/>
    <w:rsid w:val="6945055D"/>
    <w:rsid w:val="6C5F5E0B"/>
    <w:rsid w:val="6DDE0E64"/>
    <w:rsid w:val="6EFFA227"/>
    <w:rsid w:val="6F280A90"/>
    <w:rsid w:val="6F664167"/>
    <w:rsid w:val="71A133E8"/>
    <w:rsid w:val="732A167B"/>
    <w:rsid w:val="740172F0"/>
    <w:rsid w:val="741DCD5E"/>
    <w:rsid w:val="74ACD12B"/>
    <w:rsid w:val="75008E81"/>
    <w:rsid w:val="751D1A14"/>
    <w:rsid w:val="76BE80F1"/>
    <w:rsid w:val="79CC48E0"/>
    <w:rsid w:val="7A16149B"/>
    <w:rsid w:val="7B10E287"/>
    <w:rsid w:val="7DF521DC"/>
    <w:rsid w:val="7E0A52B5"/>
    <w:rsid w:val="7EE9DBFA"/>
    <w:rsid w:val="7F0A2E9E"/>
    <w:rsid w:val="7FCF4F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C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193174"/>
    <w:pPr>
      <w:numPr>
        <w:numId w:val="2"/>
      </w:numPr>
      <w:spacing w:before="240" w:after="20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FE0A23"/>
    <w:pPr>
      <w:numPr>
        <w:ilvl w:val="1"/>
        <w:numId w:val="2"/>
      </w:numPr>
      <w:spacing w:before="240" w:after="20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Definition">
    <w:name w:val="Definition"/>
    <w:aliases w:val="dd,t_Defn"/>
    <w:basedOn w:val="Normal"/>
    <w:rsid w:val="00F24520"/>
    <w:pPr>
      <w:spacing w:before="180" w:after="0"/>
      <w:ind w:left="1134"/>
    </w:pPr>
    <w:rPr>
      <w:sz w:val="22"/>
    </w:rPr>
  </w:style>
  <w:style w:type="paragraph" w:customStyle="1" w:styleId="paragraph">
    <w:name w:val="paragraph"/>
    <w:aliases w:val="a,t_Para"/>
    <w:basedOn w:val="Normal"/>
    <w:link w:val="paragraphChar"/>
    <w:rsid w:val="00F24520"/>
    <w:pPr>
      <w:tabs>
        <w:tab w:val="right" w:pos="1531"/>
      </w:tabs>
      <w:spacing w:before="40" w:after="0"/>
      <w:ind w:left="1644" w:hanging="1644"/>
    </w:pPr>
    <w:rPr>
      <w:sz w:val="22"/>
    </w:rPr>
  </w:style>
  <w:style w:type="character" w:customStyle="1" w:styleId="paragraphChar">
    <w:name w:val="paragraph Char"/>
    <w:aliases w:val="a Char"/>
    <w:link w:val="paragraph"/>
    <w:locked/>
    <w:rsid w:val="00F24520"/>
    <w:rPr>
      <w:sz w:val="22"/>
    </w:rPr>
  </w:style>
  <w:style w:type="paragraph" w:styleId="PlainText">
    <w:name w:val="Plain Text"/>
    <w:basedOn w:val="Normal"/>
    <w:link w:val="PlainTextChar"/>
    <w:uiPriority w:val="99"/>
    <w:semiHidden/>
    <w:unhideWhenUsed/>
    <w:rsid w:val="00AE4AC2"/>
    <w:pPr>
      <w:spacing w:before="0" w:after="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E4AC2"/>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0B0C1C"/>
    <w:pPr>
      <w:spacing w:before="100" w:beforeAutospacing="1" w:after="100" w:afterAutospacing="1"/>
    </w:pPr>
    <w:rPr>
      <w:szCs w:val="24"/>
    </w:rPr>
  </w:style>
  <w:style w:type="paragraph" w:styleId="Revision">
    <w:name w:val="Revision"/>
    <w:hidden/>
    <w:uiPriority w:val="99"/>
    <w:semiHidden/>
    <w:rsid w:val="008F3C2D"/>
    <w:rPr>
      <w:sz w:val="24"/>
    </w:rPr>
  </w:style>
  <w:style w:type="paragraph" w:customStyle="1" w:styleId="OutlineNumbered1">
    <w:name w:val="Outline Numbered 1"/>
    <w:basedOn w:val="Normal"/>
    <w:link w:val="OutlineNumbered1Char"/>
    <w:rsid w:val="009D753D"/>
    <w:pPr>
      <w:numPr>
        <w:numId w:val="7"/>
      </w:numPr>
      <w:spacing w:before="240"/>
    </w:pPr>
  </w:style>
  <w:style w:type="character" w:customStyle="1" w:styleId="OutlineNumbered1Char">
    <w:name w:val="Outline Numbered 1 Char"/>
    <w:basedOn w:val="DefaultParagraphFont"/>
    <w:link w:val="OutlineNumbered1"/>
    <w:rsid w:val="00160058"/>
    <w:rPr>
      <w:sz w:val="24"/>
    </w:rPr>
  </w:style>
  <w:style w:type="paragraph" w:customStyle="1" w:styleId="OutlineNumbered2">
    <w:name w:val="Outline Numbered 2"/>
    <w:basedOn w:val="Normal"/>
    <w:link w:val="OutlineNumbered2Char"/>
    <w:rsid w:val="00160058"/>
    <w:pPr>
      <w:numPr>
        <w:ilvl w:val="1"/>
        <w:numId w:val="7"/>
      </w:numPr>
      <w:spacing w:before="240"/>
    </w:pPr>
  </w:style>
  <w:style w:type="character" w:customStyle="1" w:styleId="OutlineNumbered2Char">
    <w:name w:val="Outline Numbered 2 Char"/>
    <w:basedOn w:val="DefaultParagraphFont"/>
    <w:link w:val="OutlineNumbered2"/>
    <w:rsid w:val="00160058"/>
    <w:rPr>
      <w:sz w:val="24"/>
    </w:rPr>
  </w:style>
  <w:style w:type="paragraph" w:customStyle="1" w:styleId="OutlineNumbered3">
    <w:name w:val="Outline Numbered 3"/>
    <w:basedOn w:val="Normal"/>
    <w:link w:val="OutlineNumbered3Char"/>
    <w:rsid w:val="00160058"/>
    <w:pPr>
      <w:numPr>
        <w:ilvl w:val="2"/>
        <w:numId w:val="7"/>
      </w:numPr>
      <w:spacing w:before="240"/>
    </w:pPr>
  </w:style>
  <w:style w:type="character" w:customStyle="1" w:styleId="OutlineNumbered3Char">
    <w:name w:val="Outline Numbered 3 Char"/>
    <w:basedOn w:val="DefaultParagraphFont"/>
    <w:link w:val="OutlineNumbered3"/>
    <w:rsid w:val="00160058"/>
    <w:rPr>
      <w:sz w:val="24"/>
    </w:rPr>
  </w:style>
  <w:style w:type="character" w:styleId="UnresolvedMention">
    <w:name w:val="Unresolved Mention"/>
    <w:basedOn w:val="DefaultParagraphFont"/>
    <w:uiPriority w:val="99"/>
    <w:unhideWhenUsed/>
    <w:rsid w:val="00203F50"/>
    <w:rPr>
      <w:color w:val="605E5C"/>
      <w:shd w:val="clear" w:color="auto" w:fill="E1DFDD"/>
    </w:rPr>
  </w:style>
  <w:style w:type="character" w:styleId="Mention">
    <w:name w:val="Mention"/>
    <w:basedOn w:val="DefaultParagraphFont"/>
    <w:uiPriority w:val="99"/>
    <w:unhideWhenUsed/>
    <w:rsid w:val="00203F50"/>
    <w:rPr>
      <w:color w:val="2B579A"/>
      <w:shd w:val="clear" w:color="auto" w:fill="E1DFDD"/>
    </w:rPr>
  </w:style>
  <w:style w:type="paragraph" w:styleId="FootnoteText">
    <w:name w:val="footnote text"/>
    <w:basedOn w:val="Normal"/>
    <w:link w:val="FootnoteTextChar"/>
    <w:uiPriority w:val="99"/>
    <w:semiHidden/>
    <w:unhideWhenUsed/>
    <w:rsid w:val="008B7005"/>
    <w:pPr>
      <w:spacing w:before="0" w:after="0"/>
    </w:pPr>
    <w:rPr>
      <w:sz w:val="20"/>
    </w:rPr>
  </w:style>
  <w:style w:type="character" w:customStyle="1" w:styleId="FootnoteTextChar">
    <w:name w:val="Footnote Text Char"/>
    <w:basedOn w:val="DefaultParagraphFont"/>
    <w:link w:val="FootnoteText"/>
    <w:uiPriority w:val="99"/>
    <w:semiHidden/>
    <w:rsid w:val="008B7005"/>
  </w:style>
  <w:style w:type="character" w:styleId="FootnoteReference">
    <w:name w:val="footnote reference"/>
    <w:basedOn w:val="DefaultParagraphFont"/>
    <w:uiPriority w:val="99"/>
    <w:semiHidden/>
    <w:unhideWhenUsed/>
    <w:rsid w:val="008B7005"/>
    <w:rPr>
      <w:vertAlign w:val="superscript"/>
    </w:rPr>
  </w:style>
  <w:style w:type="paragraph" w:styleId="ListParagraph">
    <w:name w:val="List Paragraph"/>
    <w:basedOn w:val="Normal"/>
    <w:uiPriority w:val="34"/>
    <w:qFormat/>
    <w:rsid w:val="0096502D"/>
    <w:pPr>
      <w:spacing w:before="0" w:after="0"/>
      <w:ind w:left="720"/>
    </w:pPr>
    <w:rPr>
      <w:rFonts w:ascii="Calibri" w:eastAsiaTheme="minorHAnsi" w:hAnsi="Calibri" w:cs="Calibri"/>
      <w:sz w:val="22"/>
      <w:szCs w:val="22"/>
      <w:lang w:eastAsia="en-US"/>
    </w:rPr>
  </w:style>
  <w:style w:type="paragraph" w:customStyle="1" w:styleId="nDrafterComment">
    <w:name w:val="n_Drafter_Comment"/>
    <w:basedOn w:val="Normal"/>
    <w:link w:val="nDrafterCommentChar"/>
    <w:qFormat/>
    <w:rsid w:val="00BE34AB"/>
    <w:pPr>
      <w:spacing w:before="80" w:after="0" w:line="260" w:lineRule="atLeast"/>
    </w:pPr>
    <w:rPr>
      <w:rFonts w:ascii="Arial" w:eastAsia="Calibri" w:hAnsi="Arial"/>
      <w:color w:val="7030A0"/>
      <w:sz w:val="22"/>
      <w:lang w:eastAsia="en-US"/>
    </w:rPr>
  </w:style>
  <w:style w:type="character" w:customStyle="1" w:styleId="nDrafterCommentChar">
    <w:name w:val="n_Drafter_Comment Char"/>
    <w:basedOn w:val="DefaultParagraphFont"/>
    <w:link w:val="nDrafterComment"/>
    <w:locked/>
    <w:rsid w:val="00BE34AB"/>
    <w:rPr>
      <w:rFonts w:ascii="Arial" w:eastAsia="Calibri" w:hAnsi="Arial"/>
      <w:color w:val="7030A0"/>
      <w:sz w:val="22"/>
      <w:lang w:eastAsia="en-US"/>
    </w:rPr>
  </w:style>
  <w:style w:type="character" w:customStyle="1" w:styleId="cf01">
    <w:name w:val="cf01"/>
    <w:basedOn w:val="DefaultParagraphFont"/>
    <w:rsid w:val="00BE34AB"/>
    <w:rPr>
      <w:rFonts w:ascii="Segoe UI" w:hAnsi="Segoe UI" w:cs="Segoe UI" w:hint="default"/>
      <w:i/>
      <w:iCs/>
      <w:sz w:val="18"/>
      <w:szCs w:val="18"/>
    </w:rPr>
  </w:style>
  <w:style w:type="paragraph" w:customStyle="1" w:styleId="pf0">
    <w:name w:val="pf0"/>
    <w:basedOn w:val="Normal"/>
    <w:rsid w:val="0095112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5250">
      <w:bodyDiv w:val="1"/>
      <w:marLeft w:val="0"/>
      <w:marRight w:val="0"/>
      <w:marTop w:val="0"/>
      <w:marBottom w:val="0"/>
      <w:divBdr>
        <w:top w:val="none" w:sz="0" w:space="0" w:color="auto"/>
        <w:left w:val="none" w:sz="0" w:space="0" w:color="auto"/>
        <w:bottom w:val="none" w:sz="0" w:space="0" w:color="auto"/>
        <w:right w:val="none" w:sz="0" w:space="0" w:color="auto"/>
      </w:divBdr>
    </w:div>
    <w:div w:id="243801475">
      <w:bodyDiv w:val="1"/>
      <w:marLeft w:val="0"/>
      <w:marRight w:val="0"/>
      <w:marTop w:val="0"/>
      <w:marBottom w:val="0"/>
      <w:divBdr>
        <w:top w:val="none" w:sz="0" w:space="0" w:color="auto"/>
        <w:left w:val="none" w:sz="0" w:space="0" w:color="auto"/>
        <w:bottom w:val="none" w:sz="0" w:space="0" w:color="auto"/>
        <w:right w:val="none" w:sz="0" w:space="0" w:color="auto"/>
      </w:divBdr>
    </w:div>
    <w:div w:id="392394789">
      <w:bodyDiv w:val="1"/>
      <w:marLeft w:val="0"/>
      <w:marRight w:val="0"/>
      <w:marTop w:val="0"/>
      <w:marBottom w:val="0"/>
      <w:divBdr>
        <w:top w:val="none" w:sz="0" w:space="0" w:color="auto"/>
        <w:left w:val="none" w:sz="0" w:space="0" w:color="auto"/>
        <w:bottom w:val="none" w:sz="0" w:space="0" w:color="auto"/>
        <w:right w:val="none" w:sz="0" w:space="0" w:color="auto"/>
      </w:divBdr>
    </w:div>
    <w:div w:id="410465253">
      <w:bodyDiv w:val="1"/>
      <w:marLeft w:val="0"/>
      <w:marRight w:val="0"/>
      <w:marTop w:val="0"/>
      <w:marBottom w:val="0"/>
      <w:divBdr>
        <w:top w:val="none" w:sz="0" w:space="0" w:color="auto"/>
        <w:left w:val="none" w:sz="0" w:space="0" w:color="auto"/>
        <w:bottom w:val="none" w:sz="0" w:space="0" w:color="auto"/>
        <w:right w:val="none" w:sz="0" w:space="0" w:color="auto"/>
      </w:divBdr>
    </w:div>
    <w:div w:id="413013659">
      <w:bodyDiv w:val="1"/>
      <w:marLeft w:val="0"/>
      <w:marRight w:val="0"/>
      <w:marTop w:val="0"/>
      <w:marBottom w:val="0"/>
      <w:divBdr>
        <w:top w:val="none" w:sz="0" w:space="0" w:color="auto"/>
        <w:left w:val="none" w:sz="0" w:space="0" w:color="auto"/>
        <w:bottom w:val="none" w:sz="0" w:space="0" w:color="auto"/>
        <w:right w:val="none" w:sz="0" w:space="0" w:color="auto"/>
      </w:divBdr>
    </w:div>
    <w:div w:id="421806610">
      <w:bodyDiv w:val="1"/>
      <w:marLeft w:val="0"/>
      <w:marRight w:val="0"/>
      <w:marTop w:val="0"/>
      <w:marBottom w:val="0"/>
      <w:divBdr>
        <w:top w:val="none" w:sz="0" w:space="0" w:color="auto"/>
        <w:left w:val="none" w:sz="0" w:space="0" w:color="auto"/>
        <w:bottom w:val="none" w:sz="0" w:space="0" w:color="auto"/>
        <w:right w:val="none" w:sz="0" w:space="0" w:color="auto"/>
      </w:divBdr>
    </w:div>
    <w:div w:id="459690780">
      <w:bodyDiv w:val="1"/>
      <w:marLeft w:val="0"/>
      <w:marRight w:val="0"/>
      <w:marTop w:val="0"/>
      <w:marBottom w:val="0"/>
      <w:divBdr>
        <w:top w:val="none" w:sz="0" w:space="0" w:color="auto"/>
        <w:left w:val="none" w:sz="0" w:space="0" w:color="auto"/>
        <w:bottom w:val="none" w:sz="0" w:space="0" w:color="auto"/>
        <w:right w:val="none" w:sz="0" w:space="0" w:color="auto"/>
      </w:divBdr>
    </w:div>
    <w:div w:id="556091222">
      <w:bodyDiv w:val="1"/>
      <w:marLeft w:val="0"/>
      <w:marRight w:val="0"/>
      <w:marTop w:val="0"/>
      <w:marBottom w:val="0"/>
      <w:divBdr>
        <w:top w:val="none" w:sz="0" w:space="0" w:color="auto"/>
        <w:left w:val="none" w:sz="0" w:space="0" w:color="auto"/>
        <w:bottom w:val="none" w:sz="0" w:space="0" w:color="auto"/>
        <w:right w:val="none" w:sz="0" w:space="0" w:color="auto"/>
      </w:divBdr>
    </w:div>
    <w:div w:id="738213510">
      <w:bodyDiv w:val="1"/>
      <w:marLeft w:val="0"/>
      <w:marRight w:val="0"/>
      <w:marTop w:val="0"/>
      <w:marBottom w:val="0"/>
      <w:divBdr>
        <w:top w:val="none" w:sz="0" w:space="0" w:color="auto"/>
        <w:left w:val="none" w:sz="0" w:space="0" w:color="auto"/>
        <w:bottom w:val="none" w:sz="0" w:space="0" w:color="auto"/>
        <w:right w:val="none" w:sz="0" w:space="0" w:color="auto"/>
      </w:divBdr>
    </w:div>
    <w:div w:id="750275092">
      <w:bodyDiv w:val="1"/>
      <w:marLeft w:val="0"/>
      <w:marRight w:val="0"/>
      <w:marTop w:val="0"/>
      <w:marBottom w:val="0"/>
      <w:divBdr>
        <w:top w:val="none" w:sz="0" w:space="0" w:color="auto"/>
        <w:left w:val="none" w:sz="0" w:space="0" w:color="auto"/>
        <w:bottom w:val="none" w:sz="0" w:space="0" w:color="auto"/>
        <w:right w:val="none" w:sz="0" w:space="0" w:color="auto"/>
      </w:divBdr>
    </w:div>
    <w:div w:id="778262070">
      <w:bodyDiv w:val="1"/>
      <w:marLeft w:val="0"/>
      <w:marRight w:val="0"/>
      <w:marTop w:val="0"/>
      <w:marBottom w:val="0"/>
      <w:divBdr>
        <w:top w:val="none" w:sz="0" w:space="0" w:color="auto"/>
        <w:left w:val="none" w:sz="0" w:space="0" w:color="auto"/>
        <w:bottom w:val="none" w:sz="0" w:space="0" w:color="auto"/>
        <w:right w:val="none" w:sz="0" w:space="0" w:color="auto"/>
      </w:divBdr>
    </w:div>
    <w:div w:id="803086241">
      <w:bodyDiv w:val="1"/>
      <w:marLeft w:val="0"/>
      <w:marRight w:val="0"/>
      <w:marTop w:val="0"/>
      <w:marBottom w:val="0"/>
      <w:divBdr>
        <w:top w:val="none" w:sz="0" w:space="0" w:color="auto"/>
        <w:left w:val="none" w:sz="0" w:space="0" w:color="auto"/>
        <w:bottom w:val="none" w:sz="0" w:space="0" w:color="auto"/>
        <w:right w:val="none" w:sz="0" w:space="0" w:color="auto"/>
      </w:divBdr>
    </w:div>
    <w:div w:id="807867692">
      <w:bodyDiv w:val="1"/>
      <w:marLeft w:val="0"/>
      <w:marRight w:val="0"/>
      <w:marTop w:val="0"/>
      <w:marBottom w:val="0"/>
      <w:divBdr>
        <w:top w:val="none" w:sz="0" w:space="0" w:color="auto"/>
        <w:left w:val="none" w:sz="0" w:space="0" w:color="auto"/>
        <w:bottom w:val="none" w:sz="0" w:space="0" w:color="auto"/>
        <w:right w:val="none" w:sz="0" w:space="0" w:color="auto"/>
      </w:divBdr>
    </w:div>
    <w:div w:id="926766170">
      <w:bodyDiv w:val="1"/>
      <w:marLeft w:val="0"/>
      <w:marRight w:val="0"/>
      <w:marTop w:val="0"/>
      <w:marBottom w:val="0"/>
      <w:divBdr>
        <w:top w:val="none" w:sz="0" w:space="0" w:color="auto"/>
        <w:left w:val="none" w:sz="0" w:space="0" w:color="auto"/>
        <w:bottom w:val="none" w:sz="0" w:space="0" w:color="auto"/>
        <w:right w:val="none" w:sz="0" w:space="0" w:color="auto"/>
      </w:divBdr>
    </w:div>
    <w:div w:id="950480155">
      <w:bodyDiv w:val="1"/>
      <w:marLeft w:val="0"/>
      <w:marRight w:val="0"/>
      <w:marTop w:val="0"/>
      <w:marBottom w:val="0"/>
      <w:divBdr>
        <w:top w:val="none" w:sz="0" w:space="0" w:color="auto"/>
        <w:left w:val="none" w:sz="0" w:space="0" w:color="auto"/>
        <w:bottom w:val="none" w:sz="0" w:space="0" w:color="auto"/>
        <w:right w:val="none" w:sz="0" w:space="0" w:color="auto"/>
      </w:divBdr>
      <w:divsChild>
        <w:div w:id="1068767956">
          <w:marLeft w:val="0"/>
          <w:marRight w:val="0"/>
          <w:marTop w:val="0"/>
          <w:marBottom w:val="0"/>
          <w:divBdr>
            <w:top w:val="none" w:sz="0" w:space="0" w:color="auto"/>
            <w:left w:val="none" w:sz="0" w:space="0" w:color="auto"/>
            <w:bottom w:val="none" w:sz="0" w:space="0" w:color="auto"/>
            <w:right w:val="none" w:sz="0" w:space="0" w:color="auto"/>
          </w:divBdr>
          <w:divsChild>
            <w:div w:id="10822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6997">
      <w:bodyDiv w:val="1"/>
      <w:marLeft w:val="0"/>
      <w:marRight w:val="0"/>
      <w:marTop w:val="0"/>
      <w:marBottom w:val="0"/>
      <w:divBdr>
        <w:top w:val="none" w:sz="0" w:space="0" w:color="auto"/>
        <w:left w:val="none" w:sz="0" w:space="0" w:color="auto"/>
        <w:bottom w:val="none" w:sz="0" w:space="0" w:color="auto"/>
        <w:right w:val="none" w:sz="0" w:space="0" w:color="auto"/>
      </w:divBdr>
    </w:div>
    <w:div w:id="1022516626">
      <w:bodyDiv w:val="1"/>
      <w:marLeft w:val="0"/>
      <w:marRight w:val="0"/>
      <w:marTop w:val="0"/>
      <w:marBottom w:val="0"/>
      <w:divBdr>
        <w:top w:val="none" w:sz="0" w:space="0" w:color="auto"/>
        <w:left w:val="none" w:sz="0" w:space="0" w:color="auto"/>
        <w:bottom w:val="none" w:sz="0" w:space="0" w:color="auto"/>
        <w:right w:val="none" w:sz="0" w:space="0" w:color="auto"/>
      </w:divBdr>
    </w:div>
    <w:div w:id="1058018715">
      <w:bodyDiv w:val="1"/>
      <w:marLeft w:val="0"/>
      <w:marRight w:val="0"/>
      <w:marTop w:val="0"/>
      <w:marBottom w:val="0"/>
      <w:divBdr>
        <w:top w:val="none" w:sz="0" w:space="0" w:color="auto"/>
        <w:left w:val="none" w:sz="0" w:space="0" w:color="auto"/>
        <w:bottom w:val="none" w:sz="0" w:space="0" w:color="auto"/>
        <w:right w:val="none" w:sz="0" w:space="0" w:color="auto"/>
      </w:divBdr>
    </w:div>
    <w:div w:id="1100176728">
      <w:bodyDiv w:val="1"/>
      <w:marLeft w:val="0"/>
      <w:marRight w:val="0"/>
      <w:marTop w:val="0"/>
      <w:marBottom w:val="0"/>
      <w:divBdr>
        <w:top w:val="none" w:sz="0" w:space="0" w:color="auto"/>
        <w:left w:val="none" w:sz="0" w:space="0" w:color="auto"/>
        <w:bottom w:val="none" w:sz="0" w:space="0" w:color="auto"/>
        <w:right w:val="none" w:sz="0" w:space="0" w:color="auto"/>
      </w:divBdr>
    </w:div>
    <w:div w:id="1182469558">
      <w:bodyDiv w:val="1"/>
      <w:marLeft w:val="0"/>
      <w:marRight w:val="0"/>
      <w:marTop w:val="0"/>
      <w:marBottom w:val="0"/>
      <w:divBdr>
        <w:top w:val="none" w:sz="0" w:space="0" w:color="auto"/>
        <w:left w:val="none" w:sz="0" w:space="0" w:color="auto"/>
        <w:bottom w:val="none" w:sz="0" w:space="0" w:color="auto"/>
        <w:right w:val="none" w:sz="0" w:space="0" w:color="auto"/>
      </w:divBdr>
    </w:div>
    <w:div w:id="1216772582">
      <w:bodyDiv w:val="1"/>
      <w:marLeft w:val="0"/>
      <w:marRight w:val="0"/>
      <w:marTop w:val="0"/>
      <w:marBottom w:val="0"/>
      <w:divBdr>
        <w:top w:val="none" w:sz="0" w:space="0" w:color="auto"/>
        <w:left w:val="none" w:sz="0" w:space="0" w:color="auto"/>
        <w:bottom w:val="none" w:sz="0" w:space="0" w:color="auto"/>
        <w:right w:val="none" w:sz="0" w:space="0" w:color="auto"/>
      </w:divBdr>
    </w:div>
    <w:div w:id="1385520806">
      <w:bodyDiv w:val="1"/>
      <w:marLeft w:val="0"/>
      <w:marRight w:val="0"/>
      <w:marTop w:val="0"/>
      <w:marBottom w:val="0"/>
      <w:divBdr>
        <w:top w:val="none" w:sz="0" w:space="0" w:color="auto"/>
        <w:left w:val="none" w:sz="0" w:space="0" w:color="auto"/>
        <w:bottom w:val="none" w:sz="0" w:space="0" w:color="auto"/>
        <w:right w:val="none" w:sz="0" w:space="0" w:color="auto"/>
      </w:divBdr>
    </w:div>
    <w:div w:id="1425491415">
      <w:bodyDiv w:val="1"/>
      <w:marLeft w:val="0"/>
      <w:marRight w:val="0"/>
      <w:marTop w:val="0"/>
      <w:marBottom w:val="0"/>
      <w:divBdr>
        <w:top w:val="none" w:sz="0" w:space="0" w:color="auto"/>
        <w:left w:val="none" w:sz="0" w:space="0" w:color="auto"/>
        <w:bottom w:val="none" w:sz="0" w:space="0" w:color="auto"/>
        <w:right w:val="none" w:sz="0" w:space="0" w:color="auto"/>
      </w:divBdr>
    </w:div>
    <w:div w:id="1437404347">
      <w:bodyDiv w:val="1"/>
      <w:marLeft w:val="0"/>
      <w:marRight w:val="0"/>
      <w:marTop w:val="0"/>
      <w:marBottom w:val="0"/>
      <w:divBdr>
        <w:top w:val="none" w:sz="0" w:space="0" w:color="auto"/>
        <w:left w:val="none" w:sz="0" w:space="0" w:color="auto"/>
        <w:bottom w:val="none" w:sz="0" w:space="0" w:color="auto"/>
        <w:right w:val="none" w:sz="0" w:space="0" w:color="auto"/>
      </w:divBdr>
    </w:div>
    <w:div w:id="1532720726">
      <w:bodyDiv w:val="1"/>
      <w:marLeft w:val="0"/>
      <w:marRight w:val="0"/>
      <w:marTop w:val="0"/>
      <w:marBottom w:val="0"/>
      <w:divBdr>
        <w:top w:val="none" w:sz="0" w:space="0" w:color="auto"/>
        <w:left w:val="none" w:sz="0" w:space="0" w:color="auto"/>
        <w:bottom w:val="none" w:sz="0" w:space="0" w:color="auto"/>
        <w:right w:val="none" w:sz="0" w:space="0" w:color="auto"/>
      </w:divBdr>
    </w:div>
    <w:div w:id="1547912355">
      <w:bodyDiv w:val="1"/>
      <w:marLeft w:val="0"/>
      <w:marRight w:val="0"/>
      <w:marTop w:val="0"/>
      <w:marBottom w:val="0"/>
      <w:divBdr>
        <w:top w:val="none" w:sz="0" w:space="0" w:color="auto"/>
        <w:left w:val="none" w:sz="0" w:space="0" w:color="auto"/>
        <w:bottom w:val="none" w:sz="0" w:space="0" w:color="auto"/>
        <w:right w:val="none" w:sz="0" w:space="0" w:color="auto"/>
      </w:divBdr>
    </w:div>
    <w:div w:id="1565599292">
      <w:bodyDiv w:val="1"/>
      <w:marLeft w:val="0"/>
      <w:marRight w:val="0"/>
      <w:marTop w:val="0"/>
      <w:marBottom w:val="0"/>
      <w:divBdr>
        <w:top w:val="none" w:sz="0" w:space="0" w:color="auto"/>
        <w:left w:val="none" w:sz="0" w:space="0" w:color="auto"/>
        <w:bottom w:val="none" w:sz="0" w:space="0" w:color="auto"/>
        <w:right w:val="none" w:sz="0" w:space="0" w:color="auto"/>
      </w:divBdr>
    </w:div>
    <w:div w:id="167799957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655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37412106674B29BCDE9B5E09875A3A"/>
        <w:category>
          <w:name w:val="General"/>
          <w:gallery w:val="placeholder"/>
        </w:category>
        <w:types>
          <w:type w:val="bbPlcHdr"/>
        </w:types>
        <w:behaviors>
          <w:behavior w:val="content"/>
        </w:behaviors>
        <w:guid w:val="{2F238BFC-73F5-4E0A-A0ED-EF61C2F2D78F}"/>
      </w:docPartPr>
      <w:docPartBody>
        <w:p w:rsidR="0041541A" w:rsidRDefault="00AC41FB">
          <w:pPr>
            <w:pStyle w:val="6C37412106674B29BCDE9B5E09875A3A"/>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1A"/>
    <w:rsid w:val="00000CB9"/>
    <w:rsid w:val="00015E21"/>
    <w:rsid w:val="00027BCC"/>
    <w:rsid w:val="00035EA8"/>
    <w:rsid w:val="0003720D"/>
    <w:rsid w:val="00053C2B"/>
    <w:rsid w:val="00084B73"/>
    <w:rsid w:val="00093615"/>
    <w:rsid w:val="00097C8E"/>
    <w:rsid w:val="000A18D5"/>
    <w:rsid w:val="000A2DE7"/>
    <w:rsid w:val="000E710E"/>
    <w:rsid w:val="0016721D"/>
    <w:rsid w:val="00177A98"/>
    <w:rsid w:val="001D2410"/>
    <w:rsid w:val="001D5E02"/>
    <w:rsid w:val="001E3427"/>
    <w:rsid w:val="001F49CA"/>
    <w:rsid w:val="001F7C93"/>
    <w:rsid w:val="002041F4"/>
    <w:rsid w:val="00243CF6"/>
    <w:rsid w:val="002927BE"/>
    <w:rsid w:val="0029363C"/>
    <w:rsid w:val="002C5464"/>
    <w:rsid w:val="002D0443"/>
    <w:rsid w:val="00314FEC"/>
    <w:rsid w:val="003446FE"/>
    <w:rsid w:val="00346E31"/>
    <w:rsid w:val="00362459"/>
    <w:rsid w:val="003819DD"/>
    <w:rsid w:val="00393EA2"/>
    <w:rsid w:val="003C15D1"/>
    <w:rsid w:val="003E0F60"/>
    <w:rsid w:val="003E6FB4"/>
    <w:rsid w:val="0041541A"/>
    <w:rsid w:val="00462030"/>
    <w:rsid w:val="00495866"/>
    <w:rsid w:val="004A197D"/>
    <w:rsid w:val="004A7338"/>
    <w:rsid w:val="004B3FE6"/>
    <w:rsid w:val="004C58F8"/>
    <w:rsid w:val="004D462C"/>
    <w:rsid w:val="00500B1A"/>
    <w:rsid w:val="00513736"/>
    <w:rsid w:val="00531354"/>
    <w:rsid w:val="00545C39"/>
    <w:rsid w:val="00591DA9"/>
    <w:rsid w:val="005E7B68"/>
    <w:rsid w:val="005F1902"/>
    <w:rsid w:val="005F6368"/>
    <w:rsid w:val="006175DE"/>
    <w:rsid w:val="00636D55"/>
    <w:rsid w:val="00642F4B"/>
    <w:rsid w:val="00662383"/>
    <w:rsid w:val="006C1EA7"/>
    <w:rsid w:val="006D058C"/>
    <w:rsid w:val="006F026A"/>
    <w:rsid w:val="0072245A"/>
    <w:rsid w:val="00731777"/>
    <w:rsid w:val="00735F22"/>
    <w:rsid w:val="00741EBB"/>
    <w:rsid w:val="00772FDC"/>
    <w:rsid w:val="007E39DE"/>
    <w:rsid w:val="00805396"/>
    <w:rsid w:val="0083694C"/>
    <w:rsid w:val="00857831"/>
    <w:rsid w:val="008820CC"/>
    <w:rsid w:val="008A2292"/>
    <w:rsid w:val="008A454B"/>
    <w:rsid w:val="008B6FAB"/>
    <w:rsid w:val="008D6277"/>
    <w:rsid w:val="008E4D75"/>
    <w:rsid w:val="008F6FAB"/>
    <w:rsid w:val="00913888"/>
    <w:rsid w:val="00940F8D"/>
    <w:rsid w:val="00983C90"/>
    <w:rsid w:val="009C50AB"/>
    <w:rsid w:val="009E0497"/>
    <w:rsid w:val="009E7C17"/>
    <w:rsid w:val="00A16DB1"/>
    <w:rsid w:val="00A47BD5"/>
    <w:rsid w:val="00A91441"/>
    <w:rsid w:val="00AB0123"/>
    <w:rsid w:val="00AC41FB"/>
    <w:rsid w:val="00AE70BE"/>
    <w:rsid w:val="00B1165B"/>
    <w:rsid w:val="00B14C74"/>
    <w:rsid w:val="00B20375"/>
    <w:rsid w:val="00B20F67"/>
    <w:rsid w:val="00B30521"/>
    <w:rsid w:val="00B52182"/>
    <w:rsid w:val="00B72142"/>
    <w:rsid w:val="00BC355B"/>
    <w:rsid w:val="00BD59DF"/>
    <w:rsid w:val="00BE0A61"/>
    <w:rsid w:val="00BE142B"/>
    <w:rsid w:val="00C207B3"/>
    <w:rsid w:val="00C315ED"/>
    <w:rsid w:val="00C35761"/>
    <w:rsid w:val="00C7250C"/>
    <w:rsid w:val="00C90083"/>
    <w:rsid w:val="00CA5463"/>
    <w:rsid w:val="00CB4BB4"/>
    <w:rsid w:val="00D03FAC"/>
    <w:rsid w:val="00D112CC"/>
    <w:rsid w:val="00D12EFE"/>
    <w:rsid w:val="00DB2E54"/>
    <w:rsid w:val="00DD5C1C"/>
    <w:rsid w:val="00DE4164"/>
    <w:rsid w:val="00DE750C"/>
    <w:rsid w:val="00DF2B7B"/>
    <w:rsid w:val="00DF6093"/>
    <w:rsid w:val="00DF711B"/>
    <w:rsid w:val="00E64FAC"/>
    <w:rsid w:val="00EA6055"/>
    <w:rsid w:val="00EB075B"/>
    <w:rsid w:val="00EB29B1"/>
    <w:rsid w:val="00EF251E"/>
    <w:rsid w:val="00F64DC2"/>
    <w:rsid w:val="00F81953"/>
    <w:rsid w:val="00FA41C7"/>
    <w:rsid w:val="00FA6F7B"/>
    <w:rsid w:val="00FB5AEE"/>
    <w:rsid w:val="00FD75C2"/>
    <w:rsid w:val="00FF04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37412106674B29BCDE9B5E09875A3A">
    <w:name w:val="6C37412106674B29BCDE9B5E0987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S574FYTY5PW6-969949929-2341</_dlc_DocId>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_dlc_DocIdUrl xmlns="fe39d773-a83d-4623-ae74-f25711a76616">
      <Url>https://austreasury.sharepoint.com/sites/leg-cord-function/_layouts/15/DocIdRedir.aspx?ID=S574FYTY5PW6-969949929-2341</Url>
      <Description>S574FYTY5PW6-969949929-2341</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Props1.xml><?xml version="1.0" encoding="utf-8"?>
<ds:datastoreItem xmlns:ds="http://schemas.openxmlformats.org/officeDocument/2006/customXml" ds:itemID="{AF878590-494A-4AA2-8448-119292F40B78}">
  <ds:schemaRefs>
    <ds:schemaRef ds:uri="http://schemas.openxmlformats.org/officeDocument/2006/bibliography"/>
  </ds:schemaRefs>
</ds:datastoreItem>
</file>

<file path=customXml/itemProps2.xml><?xml version="1.0" encoding="utf-8"?>
<ds:datastoreItem xmlns:ds="http://schemas.openxmlformats.org/officeDocument/2006/customXml" ds:itemID="{6B587E85-597A-4453-B63D-01FFF100E0D1}"/>
</file>

<file path=customXml/itemProps3.xml><?xml version="1.0" encoding="utf-8"?>
<ds:datastoreItem xmlns:ds="http://schemas.openxmlformats.org/officeDocument/2006/customXml" ds:itemID="{7B2CD26B-D239-4245-A5B9-AE4669C31CB8}"/>
</file>

<file path=customXml/itemProps4.xml><?xml version="1.0" encoding="utf-8"?>
<ds:datastoreItem xmlns:ds="http://schemas.openxmlformats.org/officeDocument/2006/customXml" ds:itemID="{9D020161-906E-4D41-AE69-A05AF406D8BA}"/>
</file>

<file path=customXml/itemProps5.xml><?xml version="1.0" encoding="utf-8"?>
<ds:datastoreItem xmlns:ds="http://schemas.openxmlformats.org/officeDocument/2006/customXml" ds:itemID="{FA27E39B-6655-402C-8D89-076528E2E9CB}"/>
</file>

<file path=docProps/app.xml><?xml version="1.0" encoding="utf-8"?>
<Properties xmlns="http://schemas.openxmlformats.org/officeDocument/2006/extended-properties" xmlns:vt="http://schemas.openxmlformats.org/officeDocument/2006/docPropsVTypes">
  <Template>Normal.dotm</Template>
  <TotalTime>0</TotalTime>
  <Pages>28</Pages>
  <Words>10117</Words>
  <Characters>57669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2025-02-26T05:42:00Z</dcterms:created>
  <dcterms:modified xsi:type="dcterms:W3CDTF">2025-02-26T05:42:00Z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2025-02-26T05:42:53Z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0440884c-be16-4059-a8d5-01b814efc777</vt:lpwstr>
  </property>
  <property fmtid="{D5CDD505-2E9C-101B-9397-08002B2CF9AE}" pid="8" name="MSIP_Label_4f932d64-9ab1-4d9b-81d2-a3a8b82dd47d_ContentBits">
    <vt:lpwstr>0</vt:lpwstr>
  </property>
  <property fmtid="{D5CDD505-2E9C-101B-9397-08002B2CF9AE}" pid="9" name="TSYStatus">
    <vt:lpwstr/>
  </property>
  <property fmtid="{D5CDD505-2E9C-101B-9397-08002B2CF9AE}" pid="10" name="MediaServiceImageTags">
    <vt:lpwstr/>
  </property>
  <property fmtid="{D5CDD505-2E9C-101B-9397-08002B2CF9AE}" pid="11" name="ContentTypeId">
    <vt:lpwstr>0x010100B569D256E75E71428C72445DFBB99E7A</vt:lpwstr>
  </property>
  <property fmtid="{D5CDD505-2E9C-101B-9397-08002B2CF9AE}" pid="12" name="eTheme">
    <vt:lpwstr>1;#Law Design|318dd2d2-18da-4b8e-a458-14db2c1af95f</vt:lpwstr>
  </property>
  <property fmtid="{D5CDD505-2E9C-101B-9397-08002B2CF9AE}" pid="13" name="eDocumentType">
    <vt:lpwstr>153;#Explanatory Materials|ac61e78e-992e-40fd-ae93-2c9522960b05</vt:lpwstr>
  </property>
  <property fmtid="{D5CDD505-2E9C-101B-9397-08002B2CF9AE}" pid="14" name="eTopic">
    <vt:lpwstr>36;#Legislation Coordination|58c6712e-e847-48f4-81ab-b25e2bbd3986</vt:lpwstr>
  </property>
  <property fmtid="{D5CDD505-2E9C-101B-9397-08002B2CF9AE}" pid="15" name="LMDivision">
    <vt:lpwstr/>
  </property>
  <property fmtid="{D5CDD505-2E9C-101B-9397-08002B2CF9AE}" pid="16" name="eActivity">
    <vt:lpwstr>35;#Legislation management|cb630f2f-9155-496b-ad0f-d960eb1bf90c</vt:lpwstr>
  </property>
  <property fmtid="{D5CDD505-2E9C-101B-9397-08002B2CF9AE}" pid="17" name="k8424359e03846678cc4a99dd97e9705">
    <vt:lpwstr/>
  </property>
  <property fmtid="{D5CDD505-2E9C-101B-9397-08002B2CF9AE}" pid="18" name="_dlc_DocIdItemGuid">
    <vt:lpwstr>f261c135-dfe4-4dc6-9e99-eae1e3c1920d</vt:lpwstr>
  </property>
  <property fmtid="{D5CDD505-2E9C-101B-9397-08002B2CF9AE}" pid="19" name="Topic">
    <vt:lpwstr>36;#Legislation Coordination|58c6712e-e847-48f4-81ab-b25e2bbd3986</vt:lpwstr>
  </property>
  <property fmtid="{D5CDD505-2E9C-101B-9397-08002B2CF9AE}" pid="20" name="Activity">
    <vt:lpwstr>35;#Legislation management|cb630f2f-9155-496b-ad0f-d960eb1bf90c</vt:lpwstr>
  </property>
  <property fmtid="{D5CDD505-2E9C-101B-9397-08002B2CF9AE}" pid="21" name="Document_x0020_Type">
    <vt:lpwstr>42;#Legislation|25c35cca-98fe-4d3e-a63c-3dda1c39f3ec</vt:lpwstr>
  </property>
  <property fmtid="{D5CDD505-2E9C-101B-9397-08002B2CF9AE}" pid="22" name="Document Type">
    <vt:lpwstr>42;#Legislation|25c35cca-98fe-4d3e-a63c-3dda1c39f3ec</vt:lpwstr>
  </property>
</Properties>
</file>