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6F73" w14:textId="6D9DA8E2" w:rsidR="0048364F" w:rsidRPr="00BA3F58" w:rsidRDefault="00193461" w:rsidP="0020300C">
      <w:pPr>
        <w:rPr>
          <w:sz w:val="28"/>
        </w:rPr>
      </w:pPr>
      <w:r w:rsidRPr="00BA3F58">
        <w:rPr>
          <w:noProof/>
          <w:lang w:eastAsia="en-AU"/>
        </w:rPr>
        <w:drawing>
          <wp:inline distT="0" distB="0" distL="0" distR="0" wp14:anchorId="7D7C1216" wp14:editId="375B825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C34A45" w14:textId="77777777" w:rsidR="0048364F" w:rsidRPr="00BA3F58" w:rsidRDefault="0048364F" w:rsidP="0048364F">
      <w:pPr>
        <w:rPr>
          <w:sz w:val="19"/>
        </w:rPr>
      </w:pPr>
    </w:p>
    <w:p w14:paraId="11051B73" w14:textId="112F6BDA" w:rsidR="0048364F" w:rsidRPr="00BA3F58" w:rsidRDefault="00A9655F" w:rsidP="0048364F">
      <w:pPr>
        <w:pStyle w:val="ShortT"/>
      </w:pPr>
      <w:bookmarkStart w:id="0" w:name="_Hlk141711890"/>
      <w:r w:rsidRPr="00BA3F58">
        <w:t xml:space="preserve">Competition and Consumer (Consumer Data Right) </w:t>
      </w:r>
      <w:r w:rsidR="00F74956" w:rsidRPr="00BA3F58">
        <w:t xml:space="preserve">Amendment </w:t>
      </w:r>
      <w:r w:rsidR="003D11CC">
        <w:t>(</w:t>
      </w:r>
      <w:r w:rsidR="005F2A0B">
        <w:t>202</w:t>
      </w:r>
      <w:r w:rsidR="00DA6D83">
        <w:t>5</w:t>
      </w:r>
      <w:r w:rsidR="005F2A0B">
        <w:t xml:space="preserve"> Measures </w:t>
      </w:r>
      <w:r w:rsidR="003D11CC">
        <w:t xml:space="preserve">No. </w:t>
      </w:r>
      <w:r w:rsidR="00DA6D83">
        <w:t>1</w:t>
      </w:r>
      <w:r w:rsidR="003D11CC">
        <w:t xml:space="preserve">) </w:t>
      </w:r>
      <w:r w:rsidR="00C7086D" w:rsidRPr="00BA3F58">
        <w:t>Rules</w:t>
      </w:r>
      <w:r w:rsidR="00C7086D">
        <w:t> </w:t>
      </w:r>
      <w:r w:rsidRPr="00BA3F58">
        <w:t>202</w:t>
      </w:r>
      <w:bookmarkEnd w:id="0"/>
      <w:r w:rsidR="00CB751D">
        <w:t>5</w:t>
      </w:r>
    </w:p>
    <w:p w14:paraId="0BFAD137" w14:textId="77777777" w:rsidR="00A9655F" w:rsidRPr="00BA3F58" w:rsidRDefault="00A9655F" w:rsidP="00A9655F">
      <w:pPr>
        <w:pStyle w:val="SignCoverPageStart"/>
        <w:spacing w:before="240"/>
        <w:ind w:right="91"/>
        <w:rPr>
          <w:szCs w:val="22"/>
        </w:rPr>
      </w:pPr>
      <w:r w:rsidRPr="00BA3F58">
        <w:rPr>
          <w:szCs w:val="22"/>
        </w:rPr>
        <w:t>I, Stephen Jones, Assistant Treasurer and Minister for Financial Services</w:t>
      </w:r>
      <w:r w:rsidRPr="00BA3F58">
        <w:t>, make the following rules.</w:t>
      </w:r>
    </w:p>
    <w:p w14:paraId="40646E3E" w14:textId="2B0A3BED" w:rsidR="003B56D1" w:rsidRPr="00BC5754" w:rsidRDefault="003B56D1" w:rsidP="003B56D1">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125975">
        <w:rPr>
          <w:szCs w:val="22"/>
        </w:rPr>
        <w:t xml:space="preserve">28 February </w:t>
      </w:r>
      <w:r>
        <w:rPr>
          <w:szCs w:val="22"/>
        </w:rPr>
        <w:t>202</w:t>
      </w:r>
      <w:r w:rsidR="00CB751D">
        <w:rPr>
          <w:szCs w:val="22"/>
        </w:rPr>
        <w:t>5</w:t>
      </w:r>
    </w:p>
    <w:p w14:paraId="6F1651AA" w14:textId="2EE02295" w:rsidR="003B56D1" w:rsidRPr="00BC5754" w:rsidRDefault="003B56D1" w:rsidP="003B56D1">
      <w:pPr>
        <w:keepNext/>
        <w:tabs>
          <w:tab w:val="left" w:pos="3402"/>
        </w:tabs>
        <w:spacing w:before="840" w:after="1080" w:line="300" w:lineRule="atLeast"/>
        <w:ind w:right="397"/>
        <w:rPr>
          <w:szCs w:val="22"/>
        </w:rPr>
      </w:pPr>
    </w:p>
    <w:p w14:paraId="14B3FE2C" w14:textId="550EE9CD" w:rsidR="00C3445B" w:rsidRPr="00DC3998" w:rsidRDefault="00A9655F" w:rsidP="00A9655F">
      <w:pPr>
        <w:keepNext/>
        <w:tabs>
          <w:tab w:val="left" w:pos="5250"/>
        </w:tabs>
        <w:spacing w:before="1440" w:line="300" w:lineRule="atLeast"/>
        <w:ind w:right="397"/>
        <w:rPr>
          <w:b/>
          <w:bCs/>
          <w:szCs w:val="22"/>
        </w:rPr>
      </w:pPr>
      <w:r w:rsidRPr="00BA3F58">
        <w:t>Stephen Jones</w:t>
      </w:r>
    </w:p>
    <w:p w14:paraId="582AA11E" w14:textId="524629E0" w:rsidR="00C3445B" w:rsidRPr="00BA3F58" w:rsidRDefault="00A9655F" w:rsidP="00C3445B">
      <w:pPr>
        <w:pStyle w:val="SignCoverPageEnd"/>
        <w:rPr>
          <w:szCs w:val="22"/>
        </w:rPr>
      </w:pPr>
      <w:r w:rsidRPr="00BA3F58">
        <w:rPr>
          <w:szCs w:val="22"/>
        </w:rPr>
        <w:t>Assistant Treasurer</w:t>
      </w:r>
      <w:r w:rsidR="00057F39">
        <w:rPr>
          <w:szCs w:val="22"/>
        </w:rPr>
        <w:br/>
      </w:r>
      <w:r w:rsidRPr="00BA3F58">
        <w:rPr>
          <w:szCs w:val="22"/>
        </w:rPr>
        <w:t>Minister for Financial Services</w:t>
      </w:r>
    </w:p>
    <w:p w14:paraId="7673F282" w14:textId="77777777" w:rsidR="0048364F" w:rsidRPr="00BA3F58" w:rsidRDefault="0048364F" w:rsidP="0048364F"/>
    <w:p w14:paraId="592B53AB" w14:textId="77777777" w:rsidR="0048364F" w:rsidRPr="00BA3F58" w:rsidRDefault="0048364F" w:rsidP="0048364F">
      <w:pPr>
        <w:pStyle w:val="Header"/>
        <w:tabs>
          <w:tab w:val="clear" w:pos="4150"/>
          <w:tab w:val="clear" w:pos="8307"/>
        </w:tabs>
      </w:pPr>
      <w:r w:rsidRPr="00BA3F58">
        <w:rPr>
          <w:rStyle w:val="CharAmSchNo"/>
        </w:rPr>
        <w:t xml:space="preserve"> </w:t>
      </w:r>
      <w:r w:rsidRPr="00BA3F58">
        <w:rPr>
          <w:rStyle w:val="CharAmSchText"/>
        </w:rPr>
        <w:t xml:space="preserve"> </w:t>
      </w:r>
    </w:p>
    <w:p w14:paraId="6E35BD6E" w14:textId="77777777" w:rsidR="0048364F" w:rsidRPr="00BA3F58" w:rsidRDefault="0048364F" w:rsidP="0048364F">
      <w:pPr>
        <w:pStyle w:val="Header"/>
        <w:tabs>
          <w:tab w:val="clear" w:pos="4150"/>
          <w:tab w:val="clear" w:pos="8307"/>
        </w:tabs>
      </w:pPr>
      <w:r w:rsidRPr="00BA3F58">
        <w:rPr>
          <w:rStyle w:val="CharAmPartNo"/>
        </w:rPr>
        <w:t xml:space="preserve"> </w:t>
      </w:r>
      <w:r w:rsidRPr="00BA3F58">
        <w:rPr>
          <w:rStyle w:val="CharAmPartText"/>
        </w:rPr>
        <w:t xml:space="preserve"> </w:t>
      </w:r>
    </w:p>
    <w:p w14:paraId="265A5995" w14:textId="5C1C1ED9" w:rsidR="0048364F" w:rsidRPr="00BA3F58" w:rsidRDefault="0048364F" w:rsidP="00296C99">
      <w:pPr>
        <w:tabs>
          <w:tab w:val="left" w:pos="3154"/>
        </w:tabs>
        <w:sectPr w:rsidR="0048364F" w:rsidRPr="00BA3F58" w:rsidSect="00822324">
          <w:headerReference w:type="even" r:id="rId13"/>
          <w:footerReference w:type="even" r:id="rId14"/>
          <w:headerReference w:type="first" r:id="rId15"/>
          <w:footerReference w:type="first" r:id="rId16"/>
          <w:pgSz w:w="11907" w:h="16839"/>
          <w:pgMar w:top="1440" w:right="1797" w:bottom="1440" w:left="1797" w:header="568" w:footer="709" w:gutter="0"/>
          <w:cols w:space="708"/>
          <w:docGrid w:linePitch="360"/>
        </w:sectPr>
      </w:pPr>
    </w:p>
    <w:p w14:paraId="0BD4BAA1" w14:textId="77777777" w:rsidR="00220A0C" w:rsidRPr="00BA3F58" w:rsidRDefault="0048364F" w:rsidP="0048364F">
      <w:pPr>
        <w:outlineLvl w:val="0"/>
        <w:rPr>
          <w:sz w:val="36"/>
        </w:rPr>
      </w:pPr>
      <w:r w:rsidRPr="00BA3F58">
        <w:rPr>
          <w:sz w:val="36"/>
        </w:rPr>
        <w:lastRenderedPageBreak/>
        <w:t>Contents</w:t>
      </w:r>
    </w:p>
    <w:bookmarkStart w:id="1" w:name="_Hlk150942828"/>
    <w:bookmarkStart w:id="2" w:name="opcStartOfTOC"/>
    <w:p w14:paraId="20A4E1DD" w14:textId="070D7E17" w:rsidR="001A3DFC" w:rsidRDefault="00A1579D">
      <w:pPr>
        <w:pStyle w:val="TOC5"/>
        <w:rPr>
          <w:rFonts w:asciiTheme="minorHAnsi" w:eastAsiaTheme="minorEastAsia" w:hAnsiTheme="minorHAnsi" w:cstheme="minorBidi"/>
          <w:noProof/>
          <w:kern w:val="2"/>
          <w:sz w:val="24"/>
          <w:szCs w:val="24"/>
          <w14:ligatures w14:val="standardContextual"/>
        </w:rPr>
      </w:pPr>
      <w:r w:rsidRPr="001A3DFC">
        <w:fldChar w:fldCharType="begin"/>
      </w:r>
      <w:r>
        <w:instrText xml:space="preserve"> TOC \o "1-9" </w:instrText>
      </w:r>
      <w:r w:rsidRPr="001A3DFC">
        <w:fldChar w:fldCharType="separate"/>
      </w:r>
      <w:r w:rsidR="001A3DFC">
        <w:rPr>
          <w:noProof/>
        </w:rPr>
        <w:t>1  Name</w:t>
      </w:r>
      <w:r w:rsidR="001A3DFC">
        <w:rPr>
          <w:noProof/>
        </w:rPr>
        <w:tab/>
      </w:r>
      <w:r w:rsidR="001A3DFC">
        <w:rPr>
          <w:noProof/>
        </w:rPr>
        <w:tab/>
      </w:r>
      <w:r w:rsidR="001A3DFC" w:rsidRPr="001A3DFC">
        <w:rPr>
          <w:noProof/>
        </w:rPr>
        <w:fldChar w:fldCharType="begin"/>
      </w:r>
      <w:r w:rsidR="001A3DFC" w:rsidRPr="001A3DFC">
        <w:rPr>
          <w:noProof/>
        </w:rPr>
        <w:instrText xml:space="preserve"> PAGEREF _Toc191450817 \h </w:instrText>
      </w:r>
      <w:r w:rsidR="001A3DFC" w:rsidRPr="001A3DFC">
        <w:rPr>
          <w:noProof/>
        </w:rPr>
      </w:r>
      <w:r w:rsidR="001A3DFC" w:rsidRPr="001A3DFC">
        <w:rPr>
          <w:noProof/>
        </w:rPr>
        <w:fldChar w:fldCharType="separate"/>
      </w:r>
      <w:r w:rsidR="001C7C31">
        <w:rPr>
          <w:noProof/>
        </w:rPr>
        <w:t>1</w:t>
      </w:r>
      <w:r w:rsidR="001A3DFC" w:rsidRPr="001A3DFC">
        <w:rPr>
          <w:noProof/>
        </w:rPr>
        <w:fldChar w:fldCharType="end"/>
      </w:r>
    </w:p>
    <w:p w14:paraId="7079AAEE" w14:textId="58C1298E" w:rsidR="001A3DFC" w:rsidRDefault="001A3DFC">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sidRPr="001A3DFC">
        <w:rPr>
          <w:noProof/>
        </w:rPr>
        <w:fldChar w:fldCharType="begin"/>
      </w:r>
      <w:r w:rsidRPr="001A3DFC">
        <w:rPr>
          <w:noProof/>
        </w:rPr>
        <w:instrText xml:space="preserve"> PAGEREF _Toc191450818 \h </w:instrText>
      </w:r>
      <w:r w:rsidRPr="001A3DFC">
        <w:rPr>
          <w:noProof/>
        </w:rPr>
      </w:r>
      <w:r w:rsidRPr="001A3DFC">
        <w:rPr>
          <w:noProof/>
        </w:rPr>
        <w:fldChar w:fldCharType="separate"/>
      </w:r>
      <w:r w:rsidR="001C7C31">
        <w:rPr>
          <w:noProof/>
        </w:rPr>
        <w:t>1</w:t>
      </w:r>
      <w:r w:rsidRPr="001A3DFC">
        <w:rPr>
          <w:noProof/>
        </w:rPr>
        <w:fldChar w:fldCharType="end"/>
      </w:r>
    </w:p>
    <w:p w14:paraId="069F6FE4" w14:textId="6CF20BC1" w:rsidR="001A3DFC" w:rsidRDefault="001A3DFC">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sidRPr="001A3DFC">
        <w:rPr>
          <w:noProof/>
        </w:rPr>
        <w:fldChar w:fldCharType="begin"/>
      </w:r>
      <w:r w:rsidRPr="001A3DFC">
        <w:rPr>
          <w:noProof/>
        </w:rPr>
        <w:instrText xml:space="preserve"> PAGEREF _Toc191450819 \h </w:instrText>
      </w:r>
      <w:r w:rsidRPr="001A3DFC">
        <w:rPr>
          <w:noProof/>
        </w:rPr>
      </w:r>
      <w:r w:rsidRPr="001A3DFC">
        <w:rPr>
          <w:noProof/>
        </w:rPr>
        <w:fldChar w:fldCharType="separate"/>
      </w:r>
      <w:r w:rsidR="001C7C31">
        <w:rPr>
          <w:noProof/>
        </w:rPr>
        <w:t>1</w:t>
      </w:r>
      <w:r w:rsidRPr="001A3DFC">
        <w:rPr>
          <w:noProof/>
        </w:rPr>
        <w:fldChar w:fldCharType="end"/>
      </w:r>
    </w:p>
    <w:p w14:paraId="2D942205" w14:textId="20AE14F8" w:rsidR="001A3DFC" w:rsidRDefault="001A3DFC">
      <w:pPr>
        <w:pStyle w:val="TOC5"/>
        <w:rPr>
          <w:rFonts w:asciiTheme="minorHAnsi" w:eastAsiaTheme="minorEastAsia" w:hAnsiTheme="minorHAnsi" w:cstheme="minorBidi"/>
          <w:noProof/>
          <w:kern w:val="2"/>
          <w:sz w:val="24"/>
          <w:szCs w:val="24"/>
          <w14:ligatures w14:val="standardContextual"/>
        </w:rPr>
      </w:pPr>
      <w:r>
        <w:rPr>
          <w:noProof/>
        </w:rPr>
        <w:t>4  Schedules</w:t>
      </w:r>
      <w:r>
        <w:rPr>
          <w:noProof/>
        </w:rPr>
        <w:tab/>
      </w:r>
      <w:r w:rsidRPr="001A3DFC">
        <w:rPr>
          <w:noProof/>
        </w:rPr>
        <w:fldChar w:fldCharType="begin"/>
      </w:r>
      <w:r w:rsidRPr="001A3DFC">
        <w:rPr>
          <w:noProof/>
        </w:rPr>
        <w:instrText xml:space="preserve"> PAGEREF _Toc191450820 \h </w:instrText>
      </w:r>
      <w:r w:rsidRPr="001A3DFC">
        <w:rPr>
          <w:noProof/>
        </w:rPr>
      </w:r>
      <w:r w:rsidRPr="001A3DFC">
        <w:rPr>
          <w:noProof/>
        </w:rPr>
        <w:fldChar w:fldCharType="separate"/>
      </w:r>
      <w:r w:rsidR="001C7C31">
        <w:rPr>
          <w:noProof/>
        </w:rPr>
        <w:t>1</w:t>
      </w:r>
      <w:r w:rsidRPr="001A3DFC">
        <w:rPr>
          <w:noProof/>
        </w:rPr>
        <w:fldChar w:fldCharType="end"/>
      </w:r>
    </w:p>
    <w:p w14:paraId="26E9E964" w14:textId="7F8AACA9" w:rsidR="001A3DFC" w:rsidRDefault="001A3DFC">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5063FE">
        <w:rPr>
          <w:b w:val="0"/>
          <w:noProof/>
          <w:sz w:val="18"/>
        </w:rPr>
        <w:fldChar w:fldCharType="begin"/>
      </w:r>
      <w:r w:rsidRPr="005063FE">
        <w:rPr>
          <w:b w:val="0"/>
          <w:noProof/>
          <w:sz w:val="18"/>
        </w:rPr>
        <w:instrText xml:space="preserve"> PAGEREF _Toc191450821 \h </w:instrText>
      </w:r>
      <w:r w:rsidRPr="005063FE">
        <w:rPr>
          <w:b w:val="0"/>
          <w:noProof/>
          <w:sz w:val="18"/>
        </w:rPr>
      </w:r>
      <w:r w:rsidRPr="005063FE">
        <w:rPr>
          <w:b w:val="0"/>
          <w:noProof/>
          <w:sz w:val="18"/>
        </w:rPr>
        <w:fldChar w:fldCharType="separate"/>
      </w:r>
      <w:r w:rsidR="001C7C31">
        <w:rPr>
          <w:b w:val="0"/>
          <w:noProof/>
          <w:sz w:val="18"/>
        </w:rPr>
        <w:t>2</w:t>
      </w:r>
      <w:r w:rsidRPr="005063FE">
        <w:rPr>
          <w:b w:val="0"/>
          <w:noProof/>
          <w:sz w:val="18"/>
        </w:rPr>
        <w:fldChar w:fldCharType="end"/>
      </w:r>
    </w:p>
    <w:p w14:paraId="76AB776B" w14:textId="0089DA68" w:rsidR="001A3DFC" w:rsidRDefault="001A3DFC">
      <w:pPr>
        <w:pStyle w:val="TOC7"/>
        <w:rPr>
          <w:rFonts w:asciiTheme="minorHAnsi" w:eastAsiaTheme="minorEastAsia" w:hAnsiTheme="minorHAnsi" w:cstheme="minorBidi"/>
          <w:noProof/>
          <w:kern w:val="2"/>
          <w:szCs w:val="24"/>
          <w14:ligatures w14:val="standardContextual"/>
        </w:rPr>
      </w:pPr>
      <w:r>
        <w:rPr>
          <w:noProof/>
        </w:rPr>
        <w:t>Part 1—General amendments</w:t>
      </w:r>
      <w:r>
        <w:rPr>
          <w:noProof/>
        </w:rPr>
        <w:tab/>
      </w:r>
      <w:r w:rsidRPr="005063FE">
        <w:rPr>
          <w:noProof/>
          <w:sz w:val="18"/>
        </w:rPr>
        <w:fldChar w:fldCharType="begin"/>
      </w:r>
      <w:r w:rsidRPr="005063FE">
        <w:rPr>
          <w:noProof/>
          <w:sz w:val="18"/>
        </w:rPr>
        <w:instrText xml:space="preserve"> PAGEREF _Toc191450822 \h </w:instrText>
      </w:r>
      <w:r w:rsidRPr="005063FE">
        <w:rPr>
          <w:noProof/>
          <w:sz w:val="18"/>
        </w:rPr>
      </w:r>
      <w:r w:rsidRPr="005063FE">
        <w:rPr>
          <w:noProof/>
          <w:sz w:val="18"/>
        </w:rPr>
        <w:fldChar w:fldCharType="separate"/>
      </w:r>
      <w:r w:rsidR="001C7C31">
        <w:rPr>
          <w:noProof/>
          <w:sz w:val="18"/>
        </w:rPr>
        <w:t>2</w:t>
      </w:r>
      <w:r w:rsidRPr="005063FE">
        <w:rPr>
          <w:noProof/>
          <w:sz w:val="18"/>
        </w:rPr>
        <w:fldChar w:fldCharType="end"/>
      </w:r>
    </w:p>
    <w:p w14:paraId="2B1138C3" w14:textId="7DFA14D0" w:rsidR="001A3DFC" w:rsidRDefault="001A3DFC">
      <w:pPr>
        <w:pStyle w:val="TOC9"/>
        <w:rPr>
          <w:rFonts w:asciiTheme="minorHAnsi" w:eastAsiaTheme="minorEastAsia" w:hAnsiTheme="minorHAnsi" w:cstheme="minorBidi"/>
          <w:i w:val="0"/>
          <w:noProof/>
          <w:kern w:val="2"/>
          <w:sz w:val="24"/>
          <w:szCs w:val="24"/>
          <w14:ligatures w14:val="standardContextual"/>
        </w:rPr>
      </w:pPr>
      <w:r>
        <w:rPr>
          <w:noProof/>
        </w:rPr>
        <w:t>Competition and Consumer (Consumer Data Right) Rules 2020</w:t>
      </w:r>
      <w:r>
        <w:rPr>
          <w:noProof/>
        </w:rPr>
        <w:tab/>
      </w:r>
      <w:r w:rsidRPr="005063FE">
        <w:rPr>
          <w:i w:val="0"/>
          <w:iCs/>
          <w:noProof/>
          <w:sz w:val="18"/>
        </w:rPr>
        <w:fldChar w:fldCharType="begin"/>
      </w:r>
      <w:r w:rsidRPr="005063FE">
        <w:rPr>
          <w:i w:val="0"/>
          <w:iCs/>
          <w:noProof/>
          <w:sz w:val="18"/>
        </w:rPr>
        <w:instrText xml:space="preserve"> PAGEREF _Toc191450823 \h </w:instrText>
      </w:r>
      <w:r w:rsidRPr="005063FE">
        <w:rPr>
          <w:i w:val="0"/>
          <w:iCs/>
          <w:noProof/>
          <w:sz w:val="18"/>
        </w:rPr>
      </w:r>
      <w:r w:rsidRPr="005063FE">
        <w:rPr>
          <w:i w:val="0"/>
          <w:iCs/>
          <w:noProof/>
          <w:sz w:val="18"/>
        </w:rPr>
        <w:fldChar w:fldCharType="separate"/>
      </w:r>
      <w:r w:rsidR="001C7C31">
        <w:rPr>
          <w:i w:val="0"/>
          <w:iCs/>
          <w:noProof/>
          <w:sz w:val="18"/>
        </w:rPr>
        <w:t>2</w:t>
      </w:r>
      <w:r w:rsidRPr="005063FE">
        <w:rPr>
          <w:i w:val="0"/>
          <w:iCs/>
          <w:noProof/>
          <w:sz w:val="18"/>
        </w:rPr>
        <w:fldChar w:fldCharType="end"/>
      </w:r>
    </w:p>
    <w:p w14:paraId="4EBB521A" w14:textId="7D11D6D4" w:rsidR="001A3DFC" w:rsidRDefault="001A3DFC">
      <w:pPr>
        <w:pStyle w:val="TOC7"/>
        <w:rPr>
          <w:rFonts w:asciiTheme="minorHAnsi" w:eastAsiaTheme="minorEastAsia" w:hAnsiTheme="minorHAnsi" w:cstheme="minorBidi"/>
          <w:noProof/>
          <w:kern w:val="2"/>
          <w:szCs w:val="24"/>
          <w14:ligatures w14:val="standardContextual"/>
        </w:rPr>
      </w:pPr>
      <w:r>
        <w:rPr>
          <w:noProof/>
        </w:rPr>
        <w:t>Part 2—Extension of the consumer data right to the non-bank lenders sector</w:t>
      </w:r>
      <w:r>
        <w:rPr>
          <w:noProof/>
        </w:rPr>
        <w:tab/>
      </w:r>
      <w:r w:rsidRPr="005063FE">
        <w:rPr>
          <w:noProof/>
          <w:sz w:val="18"/>
        </w:rPr>
        <w:fldChar w:fldCharType="begin"/>
      </w:r>
      <w:r w:rsidRPr="005063FE">
        <w:rPr>
          <w:noProof/>
          <w:sz w:val="18"/>
        </w:rPr>
        <w:instrText xml:space="preserve"> PAGEREF _Toc191450824 \h </w:instrText>
      </w:r>
      <w:r w:rsidRPr="005063FE">
        <w:rPr>
          <w:noProof/>
          <w:sz w:val="18"/>
        </w:rPr>
      </w:r>
      <w:r w:rsidRPr="005063FE">
        <w:rPr>
          <w:noProof/>
          <w:sz w:val="18"/>
        </w:rPr>
        <w:fldChar w:fldCharType="separate"/>
      </w:r>
      <w:r w:rsidR="001C7C31">
        <w:rPr>
          <w:noProof/>
          <w:sz w:val="18"/>
        </w:rPr>
        <w:t>5</w:t>
      </w:r>
      <w:r w:rsidRPr="005063FE">
        <w:rPr>
          <w:noProof/>
          <w:sz w:val="18"/>
        </w:rPr>
        <w:fldChar w:fldCharType="end"/>
      </w:r>
    </w:p>
    <w:p w14:paraId="0349914E" w14:textId="26C116AA" w:rsidR="001A3DFC" w:rsidRDefault="001A3DFC">
      <w:pPr>
        <w:pStyle w:val="TOC9"/>
        <w:rPr>
          <w:rFonts w:asciiTheme="minorHAnsi" w:eastAsiaTheme="minorEastAsia" w:hAnsiTheme="minorHAnsi" w:cstheme="minorBidi"/>
          <w:i w:val="0"/>
          <w:noProof/>
          <w:kern w:val="2"/>
          <w:sz w:val="24"/>
          <w:szCs w:val="24"/>
          <w14:ligatures w14:val="standardContextual"/>
        </w:rPr>
      </w:pPr>
      <w:r>
        <w:rPr>
          <w:noProof/>
        </w:rPr>
        <w:t>Competition and Consumer (Consumer Data Right) Rules 2020</w:t>
      </w:r>
      <w:r>
        <w:rPr>
          <w:noProof/>
        </w:rPr>
        <w:tab/>
      </w:r>
      <w:r w:rsidRPr="005063FE">
        <w:rPr>
          <w:i w:val="0"/>
          <w:iCs/>
          <w:noProof/>
          <w:sz w:val="18"/>
        </w:rPr>
        <w:fldChar w:fldCharType="begin"/>
      </w:r>
      <w:r w:rsidRPr="005063FE">
        <w:rPr>
          <w:i w:val="0"/>
          <w:iCs/>
          <w:noProof/>
          <w:sz w:val="18"/>
        </w:rPr>
        <w:instrText xml:space="preserve"> PAGEREF _Toc191450825 \h </w:instrText>
      </w:r>
      <w:r w:rsidRPr="005063FE">
        <w:rPr>
          <w:i w:val="0"/>
          <w:iCs/>
          <w:noProof/>
          <w:sz w:val="18"/>
        </w:rPr>
      </w:r>
      <w:r w:rsidRPr="005063FE">
        <w:rPr>
          <w:i w:val="0"/>
          <w:iCs/>
          <w:noProof/>
          <w:sz w:val="18"/>
        </w:rPr>
        <w:fldChar w:fldCharType="separate"/>
      </w:r>
      <w:r w:rsidR="001C7C31">
        <w:rPr>
          <w:i w:val="0"/>
          <w:iCs/>
          <w:noProof/>
          <w:sz w:val="18"/>
        </w:rPr>
        <w:t>5</w:t>
      </w:r>
      <w:r w:rsidRPr="005063FE">
        <w:rPr>
          <w:i w:val="0"/>
          <w:iCs/>
          <w:noProof/>
          <w:sz w:val="18"/>
        </w:rPr>
        <w:fldChar w:fldCharType="end"/>
      </w:r>
    </w:p>
    <w:p w14:paraId="615664F4" w14:textId="0829C695" w:rsidR="001A3DFC" w:rsidRDefault="001A3DFC">
      <w:pPr>
        <w:pStyle w:val="TOC7"/>
        <w:rPr>
          <w:rFonts w:asciiTheme="minorHAnsi" w:eastAsiaTheme="minorEastAsia" w:hAnsiTheme="minorHAnsi" w:cstheme="minorBidi"/>
          <w:noProof/>
          <w:kern w:val="2"/>
          <w:szCs w:val="24"/>
          <w14:ligatures w14:val="standardContextual"/>
        </w:rPr>
      </w:pPr>
      <w:r>
        <w:rPr>
          <w:noProof/>
        </w:rPr>
        <w:t>Part 3—General amendments of listed provisions</w:t>
      </w:r>
      <w:r>
        <w:rPr>
          <w:noProof/>
        </w:rPr>
        <w:tab/>
      </w:r>
      <w:r w:rsidRPr="005063FE">
        <w:rPr>
          <w:noProof/>
          <w:sz w:val="18"/>
        </w:rPr>
        <w:fldChar w:fldCharType="begin"/>
      </w:r>
      <w:r w:rsidRPr="005063FE">
        <w:rPr>
          <w:noProof/>
          <w:sz w:val="18"/>
        </w:rPr>
        <w:instrText xml:space="preserve"> PAGEREF _Toc191450865 \h </w:instrText>
      </w:r>
      <w:r w:rsidRPr="005063FE">
        <w:rPr>
          <w:noProof/>
          <w:sz w:val="18"/>
        </w:rPr>
      </w:r>
      <w:r w:rsidRPr="005063FE">
        <w:rPr>
          <w:noProof/>
          <w:sz w:val="18"/>
        </w:rPr>
        <w:fldChar w:fldCharType="separate"/>
      </w:r>
      <w:r w:rsidR="001C7C31">
        <w:rPr>
          <w:noProof/>
          <w:sz w:val="18"/>
        </w:rPr>
        <w:t>24</w:t>
      </w:r>
      <w:r w:rsidRPr="005063FE">
        <w:rPr>
          <w:noProof/>
          <w:sz w:val="18"/>
        </w:rPr>
        <w:fldChar w:fldCharType="end"/>
      </w:r>
    </w:p>
    <w:p w14:paraId="4A6BCE70" w14:textId="26631025" w:rsidR="001A3DFC" w:rsidRDefault="001A3DFC">
      <w:pPr>
        <w:pStyle w:val="TOC9"/>
        <w:rPr>
          <w:rFonts w:asciiTheme="minorHAnsi" w:eastAsiaTheme="minorEastAsia" w:hAnsiTheme="minorHAnsi" w:cstheme="minorBidi"/>
          <w:i w:val="0"/>
          <w:noProof/>
          <w:kern w:val="2"/>
          <w:sz w:val="24"/>
          <w:szCs w:val="24"/>
          <w14:ligatures w14:val="standardContextual"/>
        </w:rPr>
      </w:pPr>
      <w:r>
        <w:rPr>
          <w:noProof/>
        </w:rPr>
        <w:t>Competition and Consumer (Consumer Data Right) Rules 2020</w:t>
      </w:r>
      <w:r>
        <w:rPr>
          <w:noProof/>
        </w:rPr>
        <w:tab/>
      </w:r>
      <w:r w:rsidRPr="005063FE">
        <w:rPr>
          <w:i w:val="0"/>
          <w:iCs/>
          <w:noProof/>
          <w:sz w:val="18"/>
        </w:rPr>
        <w:fldChar w:fldCharType="begin"/>
      </w:r>
      <w:r w:rsidRPr="005063FE">
        <w:rPr>
          <w:i w:val="0"/>
          <w:iCs/>
          <w:noProof/>
          <w:sz w:val="18"/>
        </w:rPr>
        <w:instrText xml:space="preserve"> PAGEREF _Toc191450866 \h </w:instrText>
      </w:r>
      <w:r w:rsidRPr="005063FE">
        <w:rPr>
          <w:i w:val="0"/>
          <w:iCs/>
          <w:noProof/>
          <w:sz w:val="18"/>
        </w:rPr>
      </w:r>
      <w:r w:rsidRPr="005063FE">
        <w:rPr>
          <w:i w:val="0"/>
          <w:iCs/>
          <w:noProof/>
          <w:sz w:val="18"/>
        </w:rPr>
        <w:fldChar w:fldCharType="separate"/>
      </w:r>
      <w:r w:rsidR="001C7C31">
        <w:rPr>
          <w:i w:val="0"/>
          <w:iCs/>
          <w:noProof/>
          <w:sz w:val="18"/>
        </w:rPr>
        <w:t>24</w:t>
      </w:r>
      <w:r w:rsidRPr="005063FE">
        <w:rPr>
          <w:i w:val="0"/>
          <w:iCs/>
          <w:noProof/>
          <w:sz w:val="18"/>
        </w:rPr>
        <w:fldChar w:fldCharType="end"/>
      </w:r>
    </w:p>
    <w:p w14:paraId="156BCA3A" w14:textId="29766AAA" w:rsidR="00195CA6" w:rsidRPr="00BA3F58" w:rsidRDefault="00A1579D" w:rsidP="007D3DE5">
      <w:r w:rsidRPr="001A3DFC">
        <w:rPr>
          <w:rFonts w:cs="Times New Roman"/>
          <w:sz w:val="18"/>
        </w:rPr>
        <w:fldChar w:fldCharType="end"/>
      </w:r>
      <w:bookmarkEnd w:id="1"/>
      <w:bookmarkEnd w:id="2"/>
    </w:p>
    <w:p w14:paraId="6339D77A" w14:textId="77777777" w:rsidR="0048364F" w:rsidRPr="00BA3F58" w:rsidRDefault="0048364F" w:rsidP="0048364F"/>
    <w:p w14:paraId="3D0C5D4E" w14:textId="77777777" w:rsidR="0048364F" w:rsidRPr="00BA3F58" w:rsidRDefault="0048364F" w:rsidP="0048364F">
      <w:pPr>
        <w:sectPr w:rsidR="0048364F" w:rsidRPr="00BA3F58" w:rsidSect="007F48ED">
          <w:headerReference w:type="even" r:id="rId17"/>
          <w:headerReference w:type="default" r:id="rId18"/>
          <w:footerReference w:type="even" r:id="rId19"/>
          <w:footerReference w:type="default" r:id="rId20"/>
          <w:headerReference w:type="first" r:id="rId21"/>
          <w:footerReference w:type="first" r:id="rId22"/>
          <w:pgSz w:w="11907" w:h="16839"/>
          <w:pgMar w:top="2093" w:right="1797" w:bottom="1440" w:left="1797" w:header="720" w:footer="709" w:gutter="0"/>
          <w:pgNumType w:fmt="lowerRoman" w:start="1"/>
          <w:cols w:space="708"/>
          <w:docGrid w:linePitch="360"/>
        </w:sectPr>
      </w:pPr>
    </w:p>
    <w:p w14:paraId="1E644817" w14:textId="77777777" w:rsidR="0048364F" w:rsidRPr="00BA3F58" w:rsidRDefault="0048364F" w:rsidP="0048364F">
      <w:pPr>
        <w:pStyle w:val="ActHead5"/>
      </w:pPr>
      <w:bookmarkStart w:id="3" w:name="_Toc191450817"/>
      <w:proofErr w:type="gramStart"/>
      <w:r w:rsidRPr="00BA3F58">
        <w:rPr>
          <w:rStyle w:val="CharSectno"/>
        </w:rPr>
        <w:lastRenderedPageBreak/>
        <w:t>1</w:t>
      </w:r>
      <w:r w:rsidRPr="00BA3F58">
        <w:t xml:space="preserve">  </w:t>
      </w:r>
      <w:r w:rsidR="004F676E" w:rsidRPr="00BA3F58">
        <w:t>Name</w:t>
      </w:r>
      <w:bookmarkEnd w:id="3"/>
      <w:proofErr w:type="gramEnd"/>
    </w:p>
    <w:p w14:paraId="082E4A2A" w14:textId="20288F7F" w:rsidR="0048364F" w:rsidRPr="00BA3F58" w:rsidRDefault="0048364F" w:rsidP="0048364F">
      <w:pPr>
        <w:pStyle w:val="subsection"/>
      </w:pPr>
      <w:r w:rsidRPr="00BA3F58">
        <w:tab/>
      </w:r>
      <w:r w:rsidRPr="00BA3F58">
        <w:tab/>
        <w:t xml:space="preserve">This </w:t>
      </w:r>
      <w:r w:rsidR="00C3445B" w:rsidRPr="00BA3F58">
        <w:t>instrument</w:t>
      </w:r>
      <w:r w:rsidR="005452CC" w:rsidRPr="00BA3F58">
        <w:t xml:space="preserve"> </w:t>
      </w:r>
      <w:r w:rsidR="00613EAD" w:rsidRPr="00BA3F58">
        <w:t>is</w:t>
      </w:r>
      <w:r w:rsidRPr="00BA3F58">
        <w:t xml:space="preserve"> the </w:t>
      </w:r>
      <w:bookmarkStart w:id="4" w:name="_Hlk135997997"/>
      <w:r w:rsidR="00745AB6" w:rsidRPr="00BA3F58">
        <w:rPr>
          <w:i/>
        </w:rPr>
        <w:t xml:space="preserve">Competition and Consumer (Consumer Data Right) </w:t>
      </w:r>
      <w:r w:rsidR="00F74956" w:rsidRPr="00BA3F58">
        <w:rPr>
          <w:i/>
        </w:rPr>
        <w:t xml:space="preserve">Amendment </w:t>
      </w:r>
      <w:r w:rsidR="00256C2A">
        <w:rPr>
          <w:i/>
        </w:rPr>
        <w:t>(</w:t>
      </w:r>
      <w:r w:rsidR="00A23158">
        <w:rPr>
          <w:i/>
        </w:rPr>
        <w:t>202</w:t>
      </w:r>
      <w:r w:rsidR="00CB751D">
        <w:rPr>
          <w:i/>
        </w:rPr>
        <w:t>5</w:t>
      </w:r>
      <w:r w:rsidR="00A23158">
        <w:rPr>
          <w:i/>
        </w:rPr>
        <w:t xml:space="preserve"> Measures </w:t>
      </w:r>
      <w:r w:rsidR="00256C2A">
        <w:rPr>
          <w:i/>
        </w:rPr>
        <w:t xml:space="preserve">No. </w:t>
      </w:r>
      <w:r w:rsidR="00CB751D">
        <w:rPr>
          <w:i/>
        </w:rPr>
        <w:t>1</w:t>
      </w:r>
      <w:r w:rsidR="00256C2A">
        <w:rPr>
          <w:i/>
        </w:rPr>
        <w:t xml:space="preserve">) </w:t>
      </w:r>
      <w:r w:rsidR="00745AB6" w:rsidRPr="00BA3F58">
        <w:rPr>
          <w:i/>
        </w:rPr>
        <w:t>Rules 202</w:t>
      </w:r>
      <w:bookmarkEnd w:id="4"/>
      <w:r w:rsidR="00CB751D">
        <w:rPr>
          <w:i/>
        </w:rPr>
        <w:t>5</w:t>
      </w:r>
      <w:r w:rsidRPr="00BA3F58">
        <w:t>.</w:t>
      </w:r>
    </w:p>
    <w:p w14:paraId="72DFDC63" w14:textId="77777777" w:rsidR="004F676E" w:rsidRPr="00BA3F58" w:rsidRDefault="0048364F" w:rsidP="005452CC">
      <w:pPr>
        <w:pStyle w:val="ActHead5"/>
      </w:pPr>
      <w:bookmarkStart w:id="5" w:name="_Toc191450818"/>
      <w:proofErr w:type="gramStart"/>
      <w:r w:rsidRPr="00BA3F58">
        <w:rPr>
          <w:rStyle w:val="CharSectno"/>
        </w:rPr>
        <w:t>2</w:t>
      </w:r>
      <w:r w:rsidRPr="00BA3F58">
        <w:t xml:space="preserve">  Commencement</w:t>
      </w:r>
      <w:bookmarkEnd w:id="5"/>
      <w:proofErr w:type="gramEnd"/>
    </w:p>
    <w:p w14:paraId="1116A579" w14:textId="77777777" w:rsidR="005452CC" w:rsidRPr="00BA3F58" w:rsidRDefault="005452CC" w:rsidP="007D7FC9">
      <w:pPr>
        <w:pStyle w:val="subsection"/>
      </w:pPr>
      <w:r w:rsidRPr="00BA3F58">
        <w:tab/>
        <w:t>(1)</w:t>
      </w:r>
      <w:r w:rsidRPr="00BA3F58">
        <w:tab/>
        <w:t xml:space="preserve">Each provision of this </w:t>
      </w:r>
      <w:r w:rsidR="00C3445B" w:rsidRPr="00BA3F58">
        <w:t>instrument</w:t>
      </w:r>
      <w:r w:rsidRPr="00BA3F58">
        <w:t xml:space="preserve"> specified in column 1 of the table commences, or is taken to have commenced, in accordance with column 2 of the table. Any other statement in column 2 has effect according to its terms.</w:t>
      </w:r>
    </w:p>
    <w:p w14:paraId="2CD6CED4" w14:textId="77777777" w:rsidR="005452CC" w:rsidRPr="00BA3F58" w:rsidRDefault="005452CC" w:rsidP="007D7FC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835D8E" w:rsidRPr="00BA3F58" w14:paraId="1195A0C9" w14:textId="77777777" w:rsidTr="007D7FC9">
        <w:trPr>
          <w:cantSplit/>
          <w:tblHeader/>
        </w:trPr>
        <w:tc>
          <w:tcPr>
            <w:tcW w:w="8364" w:type="dxa"/>
            <w:gridSpan w:val="3"/>
            <w:tcBorders>
              <w:top w:val="single" w:sz="12" w:space="0" w:color="auto"/>
              <w:left w:val="nil"/>
              <w:bottom w:val="single" w:sz="6" w:space="0" w:color="auto"/>
              <w:right w:val="nil"/>
            </w:tcBorders>
            <w:hideMark/>
          </w:tcPr>
          <w:p w14:paraId="47C95383" w14:textId="77777777" w:rsidR="005452CC" w:rsidRPr="00BA3F58" w:rsidRDefault="005452CC" w:rsidP="007D7FC9">
            <w:pPr>
              <w:pStyle w:val="TableHeading"/>
            </w:pPr>
            <w:r w:rsidRPr="00BA3F58">
              <w:t>Commencement information</w:t>
            </w:r>
          </w:p>
        </w:tc>
      </w:tr>
      <w:tr w:rsidR="00835D8E" w:rsidRPr="00BA3F58" w14:paraId="72C5AA88" w14:textId="77777777" w:rsidTr="007D7FC9">
        <w:trPr>
          <w:cantSplit/>
          <w:tblHeader/>
        </w:trPr>
        <w:tc>
          <w:tcPr>
            <w:tcW w:w="2127" w:type="dxa"/>
            <w:tcBorders>
              <w:top w:val="single" w:sz="6" w:space="0" w:color="auto"/>
              <w:left w:val="nil"/>
              <w:bottom w:val="single" w:sz="6" w:space="0" w:color="auto"/>
              <w:right w:val="nil"/>
            </w:tcBorders>
            <w:hideMark/>
          </w:tcPr>
          <w:p w14:paraId="3445EA7B" w14:textId="77777777" w:rsidR="005452CC" w:rsidRPr="00BA3F58" w:rsidRDefault="005452CC" w:rsidP="007D7FC9">
            <w:pPr>
              <w:pStyle w:val="TableHeading"/>
            </w:pPr>
            <w:r w:rsidRPr="00BA3F58">
              <w:t>Column 1</w:t>
            </w:r>
          </w:p>
        </w:tc>
        <w:tc>
          <w:tcPr>
            <w:tcW w:w="4394" w:type="dxa"/>
            <w:tcBorders>
              <w:top w:val="single" w:sz="6" w:space="0" w:color="auto"/>
              <w:left w:val="nil"/>
              <w:bottom w:val="single" w:sz="6" w:space="0" w:color="auto"/>
              <w:right w:val="nil"/>
            </w:tcBorders>
            <w:hideMark/>
          </w:tcPr>
          <w:p w14:paraId="794131A5" w14:textId="77777777" w:rsidR="005452CC" w:rsidRPr="00BA3F58" w:rsidRDefault="005452CC" w:rsidP="007D7FC9">
            <w:pPr>
              <w:pStyle w:val="TableHeading"/>
            </w:pPr>
            <w:r w:rsidRPr="00BA3F58">
              <w:t>Column 2</w:t>
            </w:r>
          </w:p>
        </w:tc>
        <w:tc>
          <w:tcPr>
            <w:tcW w:w="1843" w:type="dxa"/>
            <w:tcBorders>
              <w:top w:val="single" w:sz="6" w:space="0" w:color="auto"/>
              <w:left w:val="nil"/>
              <w:bottom w:val="single" w:sz="6" w:space="0" w:color="auto"/>
              <w:right w:val="nil"/>
            </w:tcBorders>
            <w:hideMark/>
          </w:tcPr>
          <w:p w14:paraId="551A7349" w14:textId="77777777" w:rsidR="005452CC" w:rsidRPr="00BA3F58" w:rsidRDefault="005452CC" w:rsidP="007D7FC9">
            <w:pPr>
              <w:pStyle w:val="TableHeading"/>
            </w:pPr>
            <w:r w:rsidRPr="00BA3F58">
              <w:t>Column 3</w:t>
            </w:r>
          </w:p>
        </w:tc>
      </w:tr>
      <w:tr w:rsidR="00835D8E" w:rsidRPr="00BA3F58" w14:paraId="5A437E92" w14:textId="77777777" w:rsidTr="007D7FC9">
        <w:trPr>
          <w:cantSplit/>
          <w:tblHeader/>
        </w:trPr>
        <w:tc>
          <w:tcPr>
            <w:tcW w:w="2127" w:type="dxa"/>
            <w:tcBorders>
              <w:top w:val="single" w:sz="6" w:space="0" w:color="auto"/>
              <w:left w:val="nil"/>
              <w:bottom w:val="single" w:sz="12" w:space="0" w:color="auto"/>
              <w:right w:val="nil"/>
            </w:tcBorders>
            <w:hideMark/>
          </w:tcPr>
          <w:p w14:paraId="242C1CA4" w14:textId="77777777" w:rsidR="005452CC" w:rsidRPr="00BA3F58" w:rsidRDefault="005452CC" w:rsidP="007D7FC9">
            <w:pPr>
              <w:pStyle w:val="TableHeading"/>
            </w:pPr>
            <w:r w:rsidRPr="00BA3F58">
              <w:t>Provisions</w:t>
            </w:r>
          </w:p>
        </w:tc>
        <w:tc>
          <w:tcPr>
            <w:tcW w:w="4394" w:type="dxa"/>
            <w:tcBorders>
              <w:top w:val="single" w:sz="6" w:space="0" w:color="auto"/>
              <w:left w:val="nil"/>
              <w:bottom w:val="single" w:sz="12" w:space="0" w:color="auto"/>
              <w:right w:val="nil"/>
            </w:tcBorders>
            <w:hideMark/>
          </w:tcPr>
          <w:p w14:paraId="4B539585" w14:textId="77777777" w:rsidR="005452CC" w:rsidRPr="00BA3F58" w:rsidRDefault="005452CC" w:rsidP="007D7FC9">
            <w:pPr>
              <w:pStyle w:val="TableHeading"/>
            </w:pPr>
            <w:r w:rsidRPr="00BA3F58">
              <w:t>Commencement</w:t>
            </w:r>
          </w:p>
        </w:tc>
        <w:tc>
          <w:tcPr>
            <w:tcW w:w="1843" w:type="dxa"/>
            <w:tcBorders>
              <w:top w:val="single" w:sz="6" w:space="0" w:color="auto"/>
              <w:left w:val="nil"/>
              <w:bottom w:val="single" w:sz="12" w:space="0" w:color="auto"/>
              <w:right w:val="nil"/>
            </w:tcBorders>
            <w:hideMark/>
          </w:tcPr>
          <w:p w14:paraId="609BF644" w14:textId="77777777" w:rsidR="005452CC" w:rsidRPr="00BA3F58" w:rsidRDefault="005452CC" w:rsidP="007D7FC9">
            <w:pPr>
              <w:pStyle w:val="TableHeading"/>
            </w:pPr>
            <w:r w:rsidRPr="00BA3F58">
              <w:t>Date/Details</w:t>
            </w:r>
          </w:p>
        </w:tc>
      </w:tr>
      <w:tr w:rsidR="00835D8E" w:rsidRPr="00BA3F58" w14:paraId="6C03EBA9" w14:textId="77777777" w:rsidTr="007D7FC9">
        <w:trPr>
          <w:cantSplit/>
        </w:trPr>
        <w:tc>
          <w:tcPr>
            <w:tcW w:w="2127" w:type="dxa"/>
            <w:tcBorders>
              <w:top w:val="single" w:sz="2" w:space="0" w:color="auto"/>
              <w:left w:val="nil"/>
              <w:bottom w:val="single" w:sz="12" w:space="0" w:color="auto"/>
              <w:right w:val="nil"/>
            </w:tcBorders>
            <w:hideMark/>
          </w:tcPr>
          <w:p w14:paraId="6A5B8825" w14:textId="30CF332C" w:rsidR="00A9655F" w:rsidRPr="00BA3F58" w:rsidRDefault="00836419" w:rsidP="00A9655F">
            <w:pPr>
              <w:pStyle w:val="Tabletext"/>
            </w:pPr>
            <w:r w:rsidRPr="00BA3F58">
              <w:t xml:space="preserve">1. </w:t>
            </w:r>
            <w:r w:rsidR="00A9655F" w:rsidRPr="00BA3F58">
              <w:t>The whole of this instrument</w:t>
            </w:r>
          </w:p>
        </w:tc>
        <w:tc>
          <w:tcPr>
            <w:tcW w:w="4394" w:type="dxa"/>
            <w:tcBorders>
              <w:top w:val="single" w:sz="2" w:space="0" w:color="auto"/>
              <w:left w:val="nil"/>
              <w:bottom w:val="single" w:sz="12" w:space="0" w:color="auto"/>
              <w:right w:val="nil"/>
            </w:tcBorders>
          </w:tcPr>
          <w:p w14:paraId="5482DCDD" w14:textId="77777777" w:rsidR="00A9655F" w:rsidRPr="00BA3F58" w:rsidRDefault="00A9655F" w:rsidP="00A9655F">
            <w:pPr>
              <w:pStyle w:val="Tabletext"/>
            </w:pPr>
            <w:r w:rsidRPr="00BA3F58">
              <w:t>The day after this instrument is registered.</w:t>
            </w:r>
          </w:p>
        </w:tc>
        <w:tc>
          <w:tcPr>
            <w:tcW w:w="1843" w:type="dxa"/>
            <w:tcBorders>
              <w:top w:val="single" w:sz="2" w:space="0" w:color="auto"/>
              <w:left w:val="nil"/>
              <w:bottom w:val="single" w:sz="12" w:space="0" w:color="auto"/>
              <w:right w:val="nil"/>
            </w:tcBorders>
          </w:tcPr>
          <w:p w14:paraId="3B5FF9EE" w14:textId="77777777" w:rsidR="00A9655F" w:rsidRPr="00BA3F58" w:rsidRDefault="00A9655F" w:rsidP="00A9655F">
            <w:pPr>
              <w:pStyle w:val="Tabletext"/>
            </w:pPr>
          </w:p>
        </w:tc>
      </w:tr>
    </w:tbl>
    <w:p w14:paraId="6D74A82E" w14:textId="77777777" w:rsidR="005452CC" w:rsidRPr="00BA3F58" w:rsidRDefault="005452CC" w:rsidP="007D7FC9">
      <w:pPr>
        <w:pStyle w:val="notetext"/>
      </w:pPr>
      <w:r w:rsidRPr="00BA3F58">
        <w:rPr>
          <w:snapToGrid w:val="0"/>
          <w:lang w:eastAsia="en-US"/>
        </w:rPr>
        <w:t>Note:</w:t>
      </w:r>
      <w:r w:rsidRPr="00BA3F58">
        <w:rPr>
          <w:snapToGrid w:val="0"/>
          <w:lang w:eastAsia="en-US"/>
        </w:rPr>
        <w:tab/>
        <w:t xml:space="preserve">This table relates only to the provisions of this </w:t>
      </w:r>
      <w:r w:rsidR="00C3445B" w:rsidRPr="00BA3F58">
        <w:t>instrument</w:t>
      </w:r>
      <w:r w:rsidRPr="00BA3F58">
        <w:t xml:space="preserve"> </w:t>
      </w:r>
      <w:r w:rsidRPr="00BA3F58">
        <w:rPr>
          <w:snapToGrid w:val="0"/>
          <w:lang w:eastAsia="en-US"/>
        </w:rPr>
        <w:t xml:space="preserve">as originally made. It will not be amended to deal with any later amendments of this </w:t>
      </w:r>
      <w:r w:rsidR="00C3445B" w:rsidRPr="00BA3F58">
        <w:t>instrument</w:t>
      </w:r>
      <w:r w:rsidRPr="00BA3F58">
        <w:rPr>
          <w:snapToGrid w:val="0"/>
          <w:lang w:eastAsia="en-US"/>
        </w:rPr>
        <w:t>.</w:t>
      </w:r>
    </w:p>
    <w:p w14:paraId="2F64DB3B" w14:textId="77777777" w:rsidR="005452CC" w:rsidRPr="00BA3F58" w:rsidRDefault="005452CC" w:rsidP="007D7FC9">
      <w:pPr>
        <w:pStyle w:val="subsection"/>
      </w:pPr>
      <w:r w:rsidRPr="00BA3F58">
        <w:tab/>
        <w:t>(2)</w:t>
      </w:r>
      <w:r w:rsidRPr="00BA3F58">
        <w:tab/>
        <w:t xml:space="preserve">Any information in column 3 of the table is not part of this </w:t>
      </w:r>
      <w:r w:rsidR="00C3445B" w:rsidRPr="00BA3F58">
        <w:t>instrument</w:t>
      </w:r>
      <w:r w:rsidRPr="00BA3F58">
        <w:t xml:space="preserve">. Information may be inserted in this column, or information in it may be edited, in any published version of this </w:t>
      </w:r>
      <w:r w:rsidR="00C3445B" w:rsidRPr="00BA3F58">
        <w:t>instrument</w:t>
      </w:r>
      <w:r w:rsidRPr="00BA3F58">
        <w:t>.</w:t>
      </w:r>
    </w:p>
    <w:p w14:paraId="4B3B3D46" w14:textId="77777777" w:rsidR="00BF6650" w:rsidRPr="00BA3F58" w:rsidRDefault="00BF6650" w:rsidP="00BF6650">
      <w:pPr>
        <w:pStyle w:val="ActHead5"/>
      </w:pPr>
      <w:bookmarkStart w:id="6" w:name="_Toc191450819"/>
      <w:proofErr w:type="gramStart"/>
      <w:r w:rsidRPr="00BA3F58">
        <w:t>3  Authority</w:t>
      </w:r>
      <w:bookmarkEnd w:id="6"/>
      <w:proofErr w:type="gramEnd"/>
    </w:p>
    <w:p w14:paraId="3AAA9446" w14:textId="630FD01D" w:rsidR="00BF6650" w:rsidRPr="00BA3F58" w:rsidRDefault="00BF6650" w:rsidP="00BF6650">
      <w:pPr>
        <w:pStyle w:val="subsection"/>
      </w:pPr>
      <w:r w:rsidRPr="00BA3F58">
        <w:tab/>
      </w:r>
      <w:r w:rsidRPr="00BA3F58">
        <w:tab/>
        <w:t xml:space="preserve">This </w:t>
      </w:r>
      <w:r w:rsidR="00195CA6" w:rsidRPr="00BA3F58">
        <w:t>instrument</w:t>
      </w:r>
      <w:r w:rsidRPr="00BA3F58">
        <w:t xml:space="preserve"> is made under </w:t>
      </w:r>
      <w:r w:rsidR="00A9655F" w:rsidRPr="00BA3F58">
        <w:t xml:space="preserve">the </w:t>
      </w:r>
      <w:r w:rsidR="00A9655F" w:rsidRPr="00BA3F58">
        <w:rPr>
          <w:i/>
        </w:rPr>
        <w:t>Competition and Consumer Act 2010</w:t>
      </w:r>
      <w:r w:rsidR="00A9655F" w:rsidRPr="00BA3F58">
        <w:t>.</w:t>
      </w:r>
    </w:p>
    <w:p w14:paraId="49A24139" w14:textId="6E73DD5A" w:rsidR="00664093" w:rsidRDefault="00A27A0B" w:rsidP="00DF53D2">
      <w:pPr>
        <w:pStyle w:val="notetext"/>
        <w:rPr>
          <w:rStyle w:val="eop"/>
          <w:b/>
          <w:color w:val="000000"/>
          <w:sz w:val="22"/>
          <w:szCs w:val="18"/>
          <w:shd w:val="clear" w:color="auto" w:fill="FFFFFF"/>
        </w:rPr>
      </w:pPr>
      <w:r>
        <w:rPr>
          <w:rStyle w:val="normaltextrun"/>
          <w:color w:val="000000"/>
          <w:szCs w:val="18"/>
          <w:shd w:val="clear" w:color="auto" w:fill="FFFFFF"/>
        </w:rPr>
        <w:t>Note:</w:t>
      </w:r>
      <w:r>
        <w:rPr>
          <w:rStyle w:val="tabchar"/>
          <w:rFonts w:ascii="Calibri" w:hAnsi="Calibri" w:cs="Calibri"/>
          <w:color w:val="000000"/>
          <w:szCs w:val="18"/>
          <w:shd w:val="clear" w:color="auto" w:fill="FFFFFF"/>
        </w:rPr>
        <w:tab/>
      </w:r>
      <w:r>
        <w:rPr>
          <w:rStyle w:val="normaltextrun"/>
          <w:color w:val="000000"/>
          <w:szCs w:val="18"/>
          <w:shd w:val="clear" w:color="auto" w:fill="FFFFFF"/>
        </w:rPr>
        <w:t>Section</w:t>
      </w:r>
      <w:r w:rsidR="00560D0F">
        <w:rPr>
          <w:rStyle w:val="normaltextrun"/>
          <w:color w:val="000000"/>
          <w:szCs w:val="18"/>
          <w:shd w:val="clear" w:color="auto" w:fill="FFFFFF"/>
        </w:rPr>
        <w:t xml:space="preserve"> 56BA of the </w:t>
      </w:r>
      <w:r w:rsidR="00560D0F" w:rsidRPr="00DF53D2">
        <w:rPr>
          <w:rStyle w:val="normaltextrun"/>
          <w:i/>
          <w:iCs/>
          <w:color w:val="000000"/>
          <w:szCs w:val="18"/>
          <w:shd w:val="clear" w:color="auto" w:fill="FFFFFF"/>
        </w:rPr>
        <w:t>Competition and Consumer Act 2010</w:t>
      </w:r>
      <w:r w:rsidR="00DF3EC4" w:rsidRPr="00DF53D2">
        <w:rPr>
          <w:rStyle w:val="normaltextrun"/>
          <w:i/>
          <w:iCs/>
          <w:color w:val="000000"/>
          <w:szCs w:val="18"/>
          <w:shd w:val="clear" w:color="auto" w:fill="FFFFFF"/>
        </w:rPr>
        <w:t xml:space="preserve"> </w:t>
      </w:r>
      <w:r w:rsidR="00DF3EC4">
        <w:rPr>
          <w:rStyle w:val="normaltextrun"/>
          <w:color w:val="000000"/>
          <w:szCs w:val="18"/>
          <w:shd w:val="clear" w:color="auto" w:fill="FFFFFF"/>
        </w:rPr>
        <w:t xml:space="preserve">provides that the Minister </w:t>
      </w:r>
      <w:r w:rsidR="005359CC">
        <w:rPr>
          <w:rStyle w:val="normaltextrun"/>
          <w:color w:val="000000"/>
          <w:szCs w:val="18"/>
          <w:shd w:val="clear" w:color="auto" w:fill="FFFFFF"/>
        </w:rPr>
        <w:t>may</w:t>
      </w:r>
      <w:r w:rsidR="00DF3EC4">
        <w:rPr>
          <w:rStyle w:val="normaltextrun"/>
          <w:color w:val="000000"/>
          <w:szCs w:val="18"/>
          <w:shd w:val="clear" w:color="auto" w:fill="FFFFFF"/>
        </w:rPr>
        <w:t>, by legislative instrument, make rules</w:t>
      </w:r>
      <w:r w:rsidR="005359CC">
        <w:rPr>
          <w:rStyle w:val="normaltextrun"/>
          <w:color w:val="000000"/>
          <w:szCs w:val="18"/>
          <w:shd w:val="clear" w:color="auto" w:fill="FFFFFF"/>
        </w:rPr>
        <w:t xml:space="preserve"> for designated sectors, or types of CDR actions</w:t>
      </w:r>
      <w:r w:rsidR="004B38F2">
        <w:rPr>
          <w:rStyle w:val="normaltextrun"/>
          <w:color w:val="000000"/>
          <w:szCs w:val="18"/>
          <w:shd w:val="clear" w:color="auto" w:fill="FFFFFF"/>
        </w:rPr>
        <w:t>,</w:t>
      </w:r>
      <w:r w:rsidR="005359CC">
        <w:rPr>
          <w:rStyle w:val="normaltextrun"/>
          <w:color w:val="000000"/>
          <w:szCs w:val="18"/>
          <w:shd w:val="clear" w:color="auto" w:fill="FFFFFF"/>
        </w:rPr>
        <w:t xml:space="preserve"> in accordance with Division 2 of </w:t>
      </w:r>
      <w:r w:rsidR="009F4F25">
        <w:rPr>
          <w:rStyle w:val="normaltextrun"/>
          <w:color w:val="000000"/>
          <w:szCs w:val="18"/>
          <w:shd w:val="clear" w:color="auto" w:fill="FFFFFF"/>
        </w:rPr>
        <w:t>Part IVD</w:t>
      </w:r>
      <w:r w:rsidR="00564D05">
        <w:rPr>
          <w:rStyle w:val="normaltextrun"/>
          <w:color w:val="000000"/>
          <w:szCs w:val="18"/>
          <w:shd w:val="clear" w:color="auto" w:fill="FFFFFF"/>
        </w:rPr>
        <w:t xml:space="preserve"> of the Act</w:t>
      </w:r>
      <w:r w:rsidR="00DF53D2">
        <w:rPr>
          <w:rStyle w:val="normaltextrun"/>
          <w:color w:val="000000"/>
          <w:szCs w:val="18"/>
          <w:shd w:val="clear" w:color="auto" w:fill="FFFFFF"/>
        </w:rPr>
        <w:t>.</w:t>
      </w:r>
    </w:p>
    <w:p w14:paraId="3D072635" w14:textId="14CE4E65" w:rsidR="00557C7A" w:rsidRPr="00BA3F58" w:rsidRDefault="00BF6650" w:rsidP="00557C7A">
      <w:pPr>
        <w:pStyle w:val="ActHead5"/>
      </w:pPr>
      <w:bookmarkStart w:id="7" w:name="_Toc191450820"/>
      <w:proofErr w:type="gramStart"/>
      <w:r w:rsidRPr="00BA3F58">
        <w:t>4</w:t>
      </w:r>
      <w:r w:rsidR="00557C7A" w:rsidRPr="00BA3F58">
        <w:t xml:space="preserve">  </w:t>
      </w:r>
      <w:r w:rsidR="00083F48" w:rsidRPr="00BA3F58">
        <w:t>Schedules</w:t>
      </w:r>
      <w:bookmarkEnd w:id="7"/>
      <w:proofErr w:type="gramEnd"/>
    </w:p>
    <w:p w14:paraId="5651A4DB" w14:textId="0B0E3712" w:rsidR="00557C7A" w:rsidRPr="00BA3F58" w:rsidRDefault="00557C7A" w:rsidP="00557C7A">
      <w:pPr>
        <w:pStyle w:val="subsection"/>
      </w:pPr>
      <w:r w:rsidRPr="00BA3F58">
        <w:tab/>
      </w:r>
      <w:r w:rsidRPr="00BA3F58">
        <w:tab/>
      </w:r>
      <w:r w:rsidR="00083F48" w:rsidRPr="00BA3F58">
        <w:t xml:space="preserve">Each </w:t>
      </w:r>
      <w:r w:rsidR="00160BD7" w:rsidRPr="00BA3F58">
        <w:t>instrument</w:t>
      </w:r>
      <w:r w:rsidR="00083F48" w:rsidRPr="00BA3F58">
        <w:t xml:space="preserve"> that is specified in a Schedule to this</w:t>
      </w:r>
      <w:r w:rsidR="00160BD7" w:rsidRPr="00BA3F58">
        <w:t xml:space="preserve"> </w:t>
      </w:r>
      <w:r w:rsidR="00195CA6" w:rsidRPr="00BA3F58">
        <w:t>instrument</w:t>
      </w:r>
      <w:r w:rsidR="00083F48" w:rsidRPr="00BA3F58">
        <w:t xml:space="preserve"> is amended or repealed as set out in the applicable items in the Schedule concerned, and any other item in a Schedule to this </w:t>
      </w:r>
      <w:r w:rsidR="00195CA6" w:rsidRPr="00BA3F58">
        <w:t>instrument</w:t>
      </w:r>
      <w:r w:rsidR="00083F48" w:rsidRPr="00BA3F58">
        <w:t xml:space="preserve"> has effect according to its terms.</w:t>
      </w:r>
    </w:p>
    <w:p w14:paraId="152E4B17" w14:textId="77777777" w:rsidR="0048364F" w:rsidRPr="00BA3F58" w:rsidRDefault="0048364F" w:rsidP="009C5989">
      <w:pPr>
        <w:pStyle w:val="ActHead6"/>
        <w:pageBreakBefore/>
      </w:pPr>
      <w:bookmarkStart w:id="8" w:name="_Toc191450821"/>
      <w:r w:rsidRPr="00BA3F58">
        <w:rPr>
          <w:rStyle w:val="CharAmSchNo"/>
        </w:rPr>
        <w:lastRenderedPageBreak/>
        <w:t>Schedule 1</w:t>
      </w:r>
      <w:r w:rsidRPr="00BA3F58">
        <w:t>—</w:t>
      </w:r>
      <w:r w:rsidR="00460499" w:rsidRPr="00BA3F58">
        <w:rPr>
          <w:rStyle w:val="CharAmSchText"/>
        </w:rPr>
        <w:t>Amendments</w:t>
      </w:r>
      <w:bookmarkEnd w:id="8"/>
    </w:p>
    <w:p w14:paraId="2C03698E" w14:textId="4F15ABEA" w:rsidR="004C05B4" w:rsidRPr="00BA3F58" w:rsidRDefault="004C05B4" w:rsidP="004C05B4">
      <w:pPr>
        <w:pStyle w:val="ActHead7"/>
      </w:pPr>
      <w:bookmarkStart w:id="9" w:name="_Toc191450822"/>
      <w:r w:rsidRPr="00BA3F58">
        <w:rPr>
          <w:rStyle w:val="CharAmPartNo"/>
        </w:rPr>
        <w:t>Part 1</w:t>
      </w:r>
      <w:r w:rsidRPr="00BA3F58">
        <w:t>—</w:t>
      </w:r>
      <w:r w:rsidRPr="00BA3F58">
        <w:rPr>
          <w:rStyle w:val="CharAmPartText"/>
        </w:rPr>
        <w:t>General amendments</w:t>
      </w:r>
      <w:bookmarkEnd w:id="9"/>
    </w:p>
    <w:p w14:paraId="19F528E8" w14:textId="7173214B" w:rsidR="00A466B3" w:rsidRPr="00BA3F58" w:rsidRDefault="00A466B3" w:rsidP="00A466B3">
      <w:pPr>
        <w:pStyle w:val="ActHead9"/>
      </w:pPr>
      <w:bookmarkStart w:id="10" w:name="_Toc191450823"/>
      <w:r w:rsidRPr="00BA3F58">
        <w:t>Competition and Consumer (Consumer Data Right) Rules 2020</w:t>
      </w:r>
      <w:bookmarkEnd w:id="10"/>
    </w:p>
    <w:p w14:paraId="6D2F0839" w14:textId="54580A08" w:rsidR="0084172C" w:rsidRPr="00BA3F58" w:rsidRDefault="00A469A6" w:rsidP="008C0497">
      <w:pPr>
        <w:pStyle w:val="ItemHead"/>
      </w:pPr>
      <w:proofErr w:type="gramStart"/>
      <w:r w:rsidRPr="00BA3F58">
        <w:rPr>
          <w:noProof/>
        </w:rPr>
        <w:t>1</w:t>
      </w:r>
      <w:r w:rsidR="00E42354" w:rsidRPr="00BA3F58">
        <w:t xml:space="preserve">  </w:t>
      </w:r>
      <w:r w:rsidR="00A466B3" w:rsidRPr="00BA3F58">
        <w:t>Rule</w:t>
      </w:r>
      <w:proofErr w:type="gramEnd"/>
      <w:r w:rsidR="00A466B3" w:rsidRPr="00BA3F58">
        <w:t xml:space="preserve"> 1.4 (paragraph</w:t>
      </w:r>
      <w:r w:rsidR="00C36007" w:rsidRPr="00BA3F58">
        <w:t>s</w:t>
      </w:r>
      <w:r w:rsidR="00A466B3" w:rsidRPr="00BA3F58">
        <w:t xml:space="preserve"> beginning </w:t>
      </w:r>
      <w:r w:rsidR="00767839">
        <w:t>“</w:t>
      </w:r>
      <w:r w:rsidR="00A466B3" w:rsidRPr="00BA3F58">
        <w:t>Schedule 3</w:t>
      </w:r>
      <w:r w:rsidR="00767839">
        <w:t>”</w:t>
      </w:r>
      <w:r w:rsidR="00C36007" w:rsidRPr="00BA3F58">
        <w:t xml:space="preserve"> and </w:t>
      </w:r>
      <w:r w:rsidR="00767839">
        <w:t>“</w:t>
      </w:r>
      <w:r w:rsidR="00C36007" w:rsidRPr="00BA3F58">
        <w:t>Schedule 4</w:t>
      </w:r>
      <w:r w:rsidR="00767839">
        <w:t>”</w:t>
      </w:r>
      <w:r w:rsidR="00A466B3" w:rsidRPr="00BA3F58">
        <w:t>)</w:t>
      </w:r>
    </w:p>
    <w:p w14:paraId="76482E1E" w14:textId="26246DE2" w:rsidR="00126B0D" w:rsidRPr="00BA3F58" w:rsidRDefault="00A466B3" w:rsidP="00126B0D">
      <w:pPr>
        <w:pStyle w:val="Item"/>
      </w:pPr>
      <w:r w:rsidRPr="00BA3F58">
        <w:t>Repeal the paragraph</w:t>
      </w:r>
      <w:r w:rsidR="00C36007" w:rsidRPr="00BA3F58">
        <w:t>s.</w:t>
      </w:r>
    </w:p>
    <w:p w14:paraId="0980112D" w14:textId="216B85B0" w:rsidR="00A466B3" w:rsidRPr="00BA3F58" w:rsidRDefault="00A469A6" w:rsidP="00A466B3">
      <w:pPr>
        <w:pStyle w:val="ItemHead"/>
      </w:pPr>
      <w:proofErr w:type="gramStart"/>
      <w:r w:rsidRPr="00BA3F58">
        <w:rPr>
          <w:noProof/>
        </w:rPr>
        <w:t>2</w:t>
      </w:r>
      <w:r w:rsidR="00E42354" w:rsidRPr="00BA3F58">
        <w:t xml:space="preserve">  S</w:t>
      </w:r>
      <w:r w:rsidR="00A466B3" w:rsidRPr="00BA3F58">
        <w:t>ubrule</w:t>
      </w:r>
      <w:r w:rsidR="00537BAF" w:rsidRPr="00BA3F58">
        <w:t>s</w:t>
      </w:r>
      <w:proofErr w:type="gramEnd"/>
      <w:r w:rsidR="00A466B3" w:rsidRPr="00BA3F58">
        <w:t xml:space="preserve"> 1.6(12)</w:t>
      </w:r>
      <w:r w:rsidR="00537BAF" w:rsidRPr="00BA3F58">
        <w:t xml:space="preserve"> and (13)</w:t>
      </w:r>
    </w:p>
    <w:p w14:paraId="111FA4AC" w14:textId="45178C09" w:rsidR="00A466B3" w:rsidRPr="00BA3F58" w:rsidRDefault="00A466B3" w:rsidP="00A466B3">
      <w:pPr>
        <w:pStyle w:val="Item"/>
      </w:pPr>
      <w:r w:rsidRPr="00BA3F58">
        <w:t>Repeal the subrule</w:t>
      </w:r>
      <w:r w:rsidR="00537BAF" w:rsidRPr="00BA3F58">
        <w:t>s</w:t>
      </w:r>
      <w:r w:rsidRPr="00BA3F58">
        <w:t>, substitute:</w:t>
      </w:r>
    </w:p>
    <w:p w14:paraId="05FD0C3E" w14:textId="141024D4" w:rsidR="00A466B3" w:rsidRPr="00BA3F58" w:rsidRDefault="00A466B3" w:rsidP="00A466B3">
      <w:pPr>
        <w:pStyle w:val="subsection"/>
      </w:pPr>
      <w:bookmarkStart w:id="11" w:name="_Hlk135298497"/>
      <w:r w:rsidRPr="00BA3F58">
        <w:tab/>
        <w:t>(12)</w:t>
      </w:r>
      <w:r w:rsidRPr="00BA3F58">
        <w:tab/>
        <w:t xml:space="preserve">Schedule 3 to these rules </w:t>
      </w:r>
      <w:r w:rsidR="00537BAF" w:rsidRPr="00BA3F58">
        <w:t xml:space="preserve">deals with </w:t>
      </w:r>
      <w:r w:rsidRPr="00BA3F58">
        <w:t xml:space="preserve">the banking </w:t>
      </w:r>
      <w:r w:rsidR="00C36007" w:rsidRPr="00BA3F58">
        <w:t>and non-bank lenders sectors</w:t>
      </w:r>
      <w:r w:rsidRPr="00BA3F58">
        <w:t>. Schedule 3</w:t>
      </w:r>
      <w:r w:rsidR="00537BAF" w:rsidRPr="00BA3F58">
        <w:t xml:space="preserve"> sets out</w:t>
      </w:r>
      <w:r w:rsidRPr="00BA3F58">
        <w:t>:</w:t>
      </w:r>
    </w:p>
    <w:p w14:paraId="57CB4B03" w14:textId="5085A574" w:rsidR="00A466B3" w:rsidRPr="00BA3F58" w:rsidRDefault="00A466B3" w:rsidP="00A466B3">
      <w:pPr>
        <w:pStyle w:val="paragraph"/>
      </w:pPr>
      <w:r w:rsidRPr="00BA3F58">
        <w:tab/>
        <w:t>(a)</w:t>
      </w:r>
      <w:r w:rsidRPr="00BA3F58">
        <w:tab/>
      </w:r>
      <w:proofErr w:type="gramStart"/>
      <w:r w:rsidRPr="00BA3F58">
        <w:t>particular classes</w:t>
      </w:r>
      <w:proofErr w:type="gramEnd"/>
      <w:r w:rsidRPr="00BA3F58">
        <w:t xml:space="preserve"> of data holder </w:t>
      </w:r>
      <w:r w:rsidR="00DC1A26" w:rsidRPr="00BA3F58">
        <w:t xml:space="preserve">in those sectors </w:t>
      </w:r>
      <w:r w:rsidRPr="00BA3F58">
        <w:t>to which these rules do</w:t>
      </w:r>
      <w:r w:rsidRPr="00744782">
        <w:rPr>
          <w:i/>
          <w:iCs/>
        </w:rPr>
        <w:t xml:space="preserve"> not </w:t>
      </w:r>
      <w:r w:rsidRPr="00BA3F58">
        <w:t>apply; and</w:t>
      </w:r>
    </w:p>
    <w:p w14:paraId="2D099D8A" w14:textId="616C015E" w:rsidR="00A466B3" w:rsidRPr="00BA3F58" w:rsidRDefault="00A466B3" w:rsidP="00A466B3">
      <w:pPr>
        <w:pStyle w:val="paragraph"/>
      </w:pPr>
      <w:r w:rsidRPr="00BA3F58">
        <w:tab/>
        <w:t>(</w:t>
      </w:r>
      <w:r w:rsidR="00DC1A26" w:rsidRPr="00BA3F58">
        <w:t>b</w:t>
      </w:r>
      <w:r w:rsidRPr="00BA3F58">
        <w:t>)</w:t>
      </w:r>
      <w:r w:rsidRPr="00BA3F58">
        <w:tab/>
        <w:t>the specific</w:t>
      </w:r>
      <w:r w:rsidR="00537BAF" w:rsidRPr="00BA3F58">
        <w:t xml:space="preserve"> types of</w:t>
      </w:r>
      <w:r w:rsidRPr="00BA3F58">
        <w:t xml:space="preserve"> CDR data in respect of which requests under these rules may be made; and</w:t>
      </w:r>
    </w:p>
    <w:p w14:paraId="64ED7CBD" w14:textId="6DF3142D" w:rsidR="00A466B3" w:rsidRPr="00BA3F58" w:rsidRDefault="00A466B3" w:rsidP="00A466B3">
      <w:pPr>
        <w:pStyle w:val="paragraph"/>
      </w:pPr>
      <w:r w:rsidRPr="00BA3F58">
        <w:tab/>
        <w:t>(</w:t>
      </w:r>
      <w:r w:rsidR="00DC1A26" w:rsidRPr="00BA3F58">
        <w:t>c</w:t>
      </w:r>
      <w:r w:rsidRPr="00BA3F58">
        <w:t>)</w:t>
      </w:r>
      <w:r w:rsidRPr="00BA3F58">
        <w:tab/>
        <w:t xml:space="preserve">the circumstances in which CDR consumers are eligible in relation to </w:t>
      </w:r>
      <w:r w:rsidR="00C36007" w:rsidRPr="00BA3F58">
        <w:t xml:space="preserve">data holders in </w:t>
      </w:r>
      <w:r w:rsidR="00DC1A26" w:rsidRPr="00BA3F58">
        <w:t xml:space="preserve">those </w:t>
      </w:r>
      <w:r w:rsidR="00C36007" w:rsidRPr="00BA3F58">
        <w:t>sectors</w:t>
      </w:r>
      <w:r w:rsidRPr="00BA3F58">
        <w:t>; and</w:t>
      </w:r>
    </w:p>
    <w:p w14:paraId="05D7550D" w14:textId="024A9E61" w:rsidR="00A466B3" w:rsidRPr="00BA3F58" w:rsidRDefault="00A466B3" w:rsidP="00A466B3">
      <w:pPr>
        <w:pStyle w:val="paragraph"/>
      </w:pPr>
      <w:r w:rsidRPr="00BA3F58">
        <w:tab/>
        <w:t>(</w:t>
      </w:r>
      <w:r w:rsidR="00DC1A26" w:rsidRPr="00BA3F58">
        <w:t>d</w:t>
      </w:r>
      <w:r w:rsidRPr="00BA3F58">
        <w:t>)</w:t>
      </w:r>
      <w:r w:rsidRPr="00BA3F58">
        <w:tab/>
        <w:t xml:space="preserve">the progressive application of these rules to </w:t>
      </w:r>
      <w:r w:rsidR="00DC1A26" w:rsidRPr="00BA3F58">
        <w:t xml:space="preserve">those </w:t>
      </w:r>
      <w:r w:rsidRPr="00BA3F58">
        <w:t>sector</w:t>
      </w:r>
      <w:r w:rsidR="00DC1A26" w:rsidRPr="00BA3F58">
        <w:t>s</w:t>
      </w:r>
      <w:r w:rsidRPr="00BA3F58">
        <w:t>.</w:t>
      </w:r>
    </w:p>
    <w:bookmarkEnd w:id="11"/>
    <w:p w14:paraId="3E55CE18" w14:textId="3ADBA241" w:rsidR="00537BAF" w:rsidRPr="00BA3F58" w:rsidRDefault="00537BAF" w:rsidP="00537BAF">
      <w:pPr>
        <w:pStyle w:val="subsection"/>
      </w:pPr>
      <w:r w:rsidRPr="00BA3F58">
        <w:tab/>
        <w:t>(13)</w:t>
      </w:r>
      <w:r w:rsidRPr="00BA3F58">
        <w:tab/>
        <w:t>Schedule 4 to these rules deals with the energy sector. Schedule 4</w:t>
      </w:r>
      <w:r w:rsidR="00521FE1" w:rsidRPr="00BA3F58">
        <w:t xml:space="preserve"> sets out</w:t>
      </w:r>
      <w:r w:rsidRPr="00BA3F58">
        <w:t>:</w:t>
      </w:r>
    </w:p>
    <w:p w14:paraId="7AD318D2" w14:textId="4EC57440" w:rsidR="00537BAF" w:rsidRPr="00BA3F58" w:rsidRDefault="00537BAF" w:rsidP="00537BAF">
      <w:pPr>
        <w:pStyle w:val="paragraph"/>
      </w:pPr>
      <w:r w:rsidRPr="00BA3F58">
        <w:tab/>
        <w:t>(a)</w:t>
      </w:r>
      <w:r w:rsidRPr="00BA3F58">
        <w:tab/>
        <w:t>the specific types of CDR data in respect of which requests under these rules may be made; and</w:t>
      </w:r>
    </w:p>
    <w:p w14:paraId="6145A5FC" w14:textId="35D0797F" w:rsidR="00537BAF" w:rsidRPr="00BA3F58" w:rsidRDefault="00537BAF" w:rsidP="00537BAF">
      <w:pPr>
        <w:pStyle w:val="paragraph"/>
      </w:pPr>
      <w:r w:rsidRPr="00BA3F58">
        <w:tab/>
        <w:t>(b)</w:t>
      </w:r>
      <w:r w:rsidRPr="00BA3F58">
        <w:tab/>
        <w:t>the circumstances in which CDR consumers are eligible in relation to data holders in the energy sector; and</w:t>
      </w:r>
    </w:p>
    <w:p w14:paraId="349B3EC5" w14:textId="060A35C0" w:rsidR="00537BAF" w:rsidRPr="00BA3F58" w:rsidRDefault="00537BAF" w:rsidP="00537BAF">
      <w:pPr>
        <w:pStyle w:val="paragraph"/>
      </w:pPr>
      <w:r w:rsidRPr="00BA3F58">
        <w:tab/>
        <w:t>(c)</w:t>
      </w:r>
      <w:r w:rsidRPr="00BA3F58">
        <w:tab/>
        <w:t xml:space="preserve">some modifications of the general rules that apply in the energy sector because certain types of data are collected or held by agencies specified in </w:t>
      </w:r>
      <w:r w:rsidR="007418B4">
        <w:t>the energy sector</w:t>
      </w:r>
      <w:r w:rsidR="007418B4" w:rsidRPr="00BA3F58">
        <w:t xml:space="preserve"> </w:t>
      </w:r>
      <w:r w:rsidRPr="00BA3F58">
        <w:t>designation instrument rather than the retailers with which the CDR consumers have accounts; and</w:t>
      </w:r>
    </w:p>
    <w:p w14:paraId="42C3D73E" w14:textId="2EFA4306" w:rsidR="00537BAF" w:rsidRPr="00BA3F58" w:rsidRDefault="00537BAF" w:rsidP="00537BAF">
      <w:pPr>
        <w:pStyle w:val="paragraph"/>
      </w:pPr>
      <w:r w:rsidRPr="00BA3F58">
        <w:tab/>
        <w:t>(d)</w:t>
      </w:r>
      <w:r w:rsidRPr="00BA3F58">
        <w:tab/>
        <w:t>the progressive application of these rules to the energy sector.</w:t>
      </w:r>
    </w:p>
    <w:p w14:paraId="30E686E6" w14:textId="13064722" w:rsidR="00A466B3" w:rsidRPr="00BA3F58" w:rsidRDefault="00A469A6" w:rsidP="00A466B3">
      <w:pPr>
        <w:pStyle w:val="ItemHead"/>
      </w:pPr>
      <w:proofErr w:type="gramStart"/>
      <w:r w:rsidRPr="00BA3F58">
        <w:rPr>
          <w:noProof/>
        </w:rPr>
        <w:t>3</w:t>
      </w:r>
      <w:r w:rsidR="00E42354" w:rsidRPr="00BA3F58">
        <w:t xml:space="preserve">  </w:t>
      </w:r>
      <w:r w:rsidR="00A466B3" w:rsidRPr="00BA3F58">
        <w:t>After</w:t>
      </w:r>
      <w:proofErr w:type="gramEnd"/>
      <w:r w:rsidR="00A466B3" w:rsidRPr="00BA3F58">
        <w:t xml:space="preserve"> rule 1.6</w:t>
      </w:r>
    </w:p>
    <w:p w14:paraId="16D201B8" w14:textId="77777777" w:rsidR="00A466B3" w:rsidRPr="00BA3F58" w:rsidRDefault="00A466B3" w:rsidP="00A466B3">
      <w:pPr>
        <w:pStyle w:val="Item"/>
      </w:pPr>
      <w:r w:rsidRPr="00BA3F58">
        <w:t>Insert:</w:t>
      </w:r>
    </w:p>
    <w:p w14:paraId="1198B35B" w14:textId="44D733BD" w:rsidR="009F7C6D" w:rsidRPr="00BA3F58" w:rsidRDefault="009F7C6D" w:rsidP="00CF3944">
      <w:pPr>
        <w:spacing w:before="240"/>
        <w:rPr>
          <w:b/>
          <w:sz w:val="24"/>
        </w:rPr>
      </w:pPr>
      <w:bookmarkStart w:id="12" w:name="_Hlk135298842"/>
      <w:proofErr w:type="gramStart"/>
      <w:r w:rsidRPr="00BA3F58">
        <w:rPr>
          <w:b/>
          <w:sz w:val="24"/>
        </w:rPr>
        <w:t xml:space="preserve">1.6A  </w:t>
      </w:r>
      <w:r w:rsidR="00292E6A">
        <w:rPr>
          <w:b/>
          <w:sz w:val="24"/>
        </w:rPr>
        <w:t>S</w:t>
      </w:r>
      <w:r w:rsidR="00E81DF4">
        <w:rPr>
          <w:b/>
          <w:sz w:val="24"/>
        </w:rPr>
        <w:t>ector</w:t>
      </w:r>
      <w:proofErr w:type="gramEnd"/>
      <w:r w:rsidR="00E81DF4">
        <w:rPr>
          <w:b/>
          <w:sz w:val="24"/>
        </w:rPr>
        <w:t xml:space="preserve"> </w:t>
      </w:r>
      <w:r w:rsidRPr="00BA3F58">
        <w:rPr>
          <w:b/>
          <w:sz w:val="24"/>
        </w:rPr>
        <w:t>Schedules</w:t>
      </w:r>
    </w:p>
    <w:p w14:paraId="2A2576C9" w14:textId="1ED9EF11" w:rsidR="009F7C6D" w:rsidRPr="00BA3F58" w:rsidRDefault="009F7C6D" w:rsidP="009F7C6D">
      <w:pPr>
        <w:pStyle w:val="subsection"/>
      </w:pPr>
      <w:r w:rsidRPr="00BA3F58">
        <w:tab/>
      </w:r>
      <w:r w:rsidRPr="00BA3F58">
        <w:tab/>
      </w:r>
      <w:r w:rsidR="00E81DF4">
        <w:t>A</w:t>
      </w:r>
      <w:r w:rsidR="00804E59" w:rsidRPr="00D91DF6">
        <w:t xml:space="preserve"> sector Schedule may modify the operation of Parts 1 to 9 of these rules in relation to a </w:t>
      </w:r>
      <w:r w:rsidR="00110F52">
        <w:t xml:space="preserve">particular designated </w:t>
      </w:r>
      <w:r w:rsidR="00804E59" w:rsidRPr="00D91DF6">
        <w:t xml:space="preserve">sector or sectors </w:t>
      </w:r>
      <w:r w:rsidR="00E23C2C">
        <w:t xml:space="preserve">and a particular matter </w:t>
      </w:r>
      <w:r w:rsidR="00804E59" w:rsidRPr="00D91DF6">
        <w:t>(</w:t>
      </w:r>
      <w:proofErr w:type="gramStart"/>
      <w:r w:rsidR="00804E59" w:rsidRPr="00D91DF6">
        <w:t>whether or not</w:t>
      </w:r>
      <w:proofErr w:type="gramEnd"/>
      <w:r w:rsidR="00804E59" w:rsidRPr="00D91DF6">
        <w:t xml:space="preserve"> a provision in </w:t>
      </w:r>
      <w:r w:rsidR="00052A08">
        <w:t xml:space="preserve">any of </w:t>
      </w:r>
      <w:r w:rsidR="00804E59" w:rsidRPr="00D91DF6">
        <w:t xml:space="preserve">those Parts provides for </w:t>
      </w:r>
      <w:r w:rsidR="00E23C2C">
        <w:t xml:space="preserve">the </w:t>
      </w:r>
      <w:r w:rsidR="00804E59" w:rsidRPr="00D91DF6">
        <w:t xml:space="preserve">Schedule to deal with </w:t>
      </w:r>
      <w:r w:rsidR="00E23C2C">
        <w:t xml:space="preserve">the </w:t>
      </w:r>
      <w:r w:rsidR="00804E59" w:rsidRPr="00D91DF6">
        <w:t>matter).</w:t>
      </w:r>
    </w:p>
    <w:p w14:paraId="546F49E8" w14:textId="6C02EB6F" w:rsidR="00537BAF" w:rsidRPr="00BA3F58" w:rsidRDefault="009F7C6D" w:rsidP="009F7C6D">
      <w:pPr>
        <w:pStyle w:val="notetext"/>
      </w:pPr>
      <w:r w:rsidRPr="00BA3F58">
        <w:t>Example:</w:t>
      </w:r>
      <w:r w:rsidRPr="00BA3F58">
        <w:tab/>
        <w:t>A sector Schedule may provide that the</w:t>
      </w:r>
      <w:r w:rsidR="00C36007" w:rsidRPr="00BA3F58">
        <w:t>se</w:t>
      </w:r>
      <w:r w:rsidRPr="00BA3F58">
        <w:t xml:space="preserve"> rules do</w:t>
      </w:r>
      <w:r w:rsidRPr="00744782">
        <w:rPr>
          <w:i/>
          <w:iCs/>
        </w:rPr>
        <w:t xml:space="preserve"> not </w:t>
      </w:r>
      <w:r w:rsidRPr="00BA3F58">
        <w:t xml:space="preserve">apply in relation to a particular class of data holders in the </w:t>
      </w:r>
      <w:r w:rsidR="00E75305">
        <w:t xml:space="preserve">designated </w:t>
      </w:r>
      <w:r w:rsidRPr="00BA3F58">
        <w:t>sector</w:t>
      </w:r>
      <w:r w:rsidR="008A253B" w:rsidRPr="00BA3F58">
        <w:t xml:space="preserve"> or sectors</w:t>
      </w:r>
      <w:r w:rsidRPr="00BA3F58">
        <w:t>.</w:t>
      </w:r>
    </w:p>
    <w:bookmarkEnd w:id="12"/>
    <w:p w14:paraId="321C22E7" w14:textId="4461B9A4" w:rsidR="006015CF" w:rsidRPr="005E405A" w:rsidRDefault="002276F2" w:rsidP="0018169E">
      <w:pPr>
        <w:pStyle w:val="ItemHead"/>
        <w:rPr>
          <w:noProof/>
        </w:rPr>
      </w:pPr>
      <w:r>
        <w:rPr>
          <w:noProof/>
        </w:rPr>
        <w:t>4</w:t>
      </w:r>
      <w:r w:rsidRPr="005E405A">
        <w:rPr>
          <w:noProof/>
        </w:rPr>
        <w:t xml:space="preserve">  </w:t>
      </w:r>
      <w:r w:rsidR="007434A9" w:rsidRPr="005C490A">
        <w:rPr>
          <w:noProof/>
        </w:rPr>
        <w:t>R</w:t>
      </w:r>
      <w:r w:rsidR="006015CF" w:rsidRPr="005E405A">
        <w:rPr>
          <w:noProof/>
        </w:rPr>
        <w:t>ule 1.7</w:t>
      </w:r>
      <w:r w:rsidR="0080215B" w:rsidRPr="005E405A">
        <w:rPr>
          <w:noProof/>
        </w:rPr>
        <w:t xml:space="preserve"> (note</w:t>
      </w:r>
      <w:r w:rsidR="004672EC" w:rsidRPr="005C490A">
        <w:rPr>
          <w:noProof/>
        </w:rPr>
        <w:t>s</w:t>
      </w:r>
      <w:r w:rsidR="00244BF4" w:rsidRPr="005C490A">
        <w:rPr>
          <w:noProof/>
        </w:rPr>
        <w:t xml:space="preserve"> 1 and 2</w:t>
      </w:r>
      <w:r w:rsidR="0080215B" w:rsidRPr="005E405A">
        <w:rPr>
          <w:noProof/>
        </w:rPr>
        <w:t>)</w:t>
      </w:r>
    </w:p>
    <w:p w14:paraId="007900BB" w14:textId="562357C4" w:rsidR="0080215B" w:rsidRPr="005E405A" w:rsidRDefault="0080215B" w:rsidP="0080215B">
      <w:pPr>
        <w:pStyle w:val="Item"/>
      </w:pPr>
      <w:r w:rsidRPr="005E405A">
        <w:t>Repeal the note</w:t>
      </w:r>
      <w:r w:rsidR="00244BF4" w:rsidRPr="005C490A">
        <w:t>s</w:t>
      </w:r>
      <w:r w:rsidRPr="005E405A">
        <w:t>, substitute:</w:t>
      </w:r>
    </w:p>
    <w:p w14:paraId="3D1DC4E0" w14:textId="58DFBA3D" w:rsidR="0080215B" w:rsidRPr="00BA3F58" w:rsidRDefault="0080215B" w:rsidP="0080215B">
      <w:pPr>
        <w:pStyle w:val="notetext"/>
      </w:pPr>
      <w:r w:rsidRPr="005E405A">
        <w:lastRenderedPageBreak/>
        <w:t>Note:</w:t>
      </w:r>
      <w:r w:rsidRPr="005E405A">
        <w:tab/>
      </w:r>
      <w:r w:rsidR="00810D89" w:rsidRPr="005E405A">
        <w:t xml:space="preserve">Expressions have the same meaning in this instrument as in the </w:t>
      </w:r>
      <w:r w:rsidR="00810D89" w:rsidRPr="005C490A">
        <w:rPr>
          <w:i/>
          <w:iCs/>
        </w:rPr>
        <w:t>Competition and Consumer Act 2010</w:t>
      </w:r>
      <w:r w:rsidR="00482237" w:rsidRPr="005E405A">
        <w:rPr>
          <w:i/>
          <w:iCs/>
        </w:rPr>
        <w:t xml:space="preserve"> </w:t>
      </w:r>
      <w:r w:rsidR="00810D89" w:rsidRPr="005E405A">
        <w:t xml:space="preserve">as in force from time to time—see paragraph 13(1)(b) of the </w:t>
      </w:r>
      <w:r w:rsidR="00810D89" w:rsidRPr="005E405A">
        <w:rPr>
          <w:i/>
        </w:rPr>
        <w:t>Legislation Act 2003</w:t>
      </w:r>
      <w:r w:rsidR="00810D89" w:rsidRPr="005E405A">
        <w:t>.</w:t>
      </w:r>
    </w:p>
    <w:p w14:paraId="355BABC2" w14:textId="19F8A68E" w:rsidR="0018169E" w:rsidRPr="002E2EF2" w:rsidRDefault="002276F2" w:rsidP="0018169E">
      <w:pPr>
        <w:pStyle w:val="ItemHead"/>
        <w:rPr>
          <w:iCs/>
        </w:rPr>
      </w:pPr>
      <w:proofErr w:type="gramStart"/>
      <w:r>
        <w:rPr>
          <w:noProof/>
        </w:rPr>
        <w:t>5</w:t>
      </w:r>
      <w:r w:rsidR="00E42354" w:rsidRPr="00BA3F58">
        <w:t xml:space="preserve">  </w:t>
      </w:r>
      <w:r w:rsidR="0018169E" w:rsidRPr="00BA3F58">
        <w:t>Subrule</w:t>
      </w:r>
      <w:proofErr w:type="gramEnd"/>
      <w:r w:rsidR="0018169E" w:rsidRPr="00BA3F58">
        <w:t xml:space="preserve"> 1.7(1</w:t>
      </w:r>
      <w:r w:rsidR="002E2EF2" w:rsidRPr="00BA3F58">
        <w:t>)</w:t>
      </w:r>
      <w:r w:rsidR="002E2EF2">
        <w:t xml:space="preserve"> (</w:t>
      </w:r>
      <w:r w:rsidR="0018169E" w:rsidRPr="00BA3F58">
        <w:t xml:space="preserve">definition of </w:t>
      </w:r>
      <w:r w:rsidR="0018169E" w:rsidRPr="00BA3F58">
        <w:rPr>
          <w:i/>
        </w:rPr>
        <w:t>sector Schedule</w:t>
      </w:r>
      <w:r w:rsidR="002E2EF2">
        <w:rPr>
          <w:iCs/>
        </w:rPr>
        <w:t>)</w:t>
      </w:r>
    </w:p>
    <w:p w14:paraId="18D90DA4" w14:textId="4DB653E9" w:rsidR="0018169E" w:rsidRPr="00BA3F58" w:rsidRDefault="0018169E" w:rsidP="0018169E">
      <w:pPr>
        <w:pStyle w:val="Item"/>
      </w:pPr>
      <w:r w:rsidRPr="00BA3F58">
        <w:t xml:space="preserve">After </w:t>
      </w:r>
      <w:r w:rsidR="004D2147">
        <w:t>“</w:t>
      </w:r>
      <w:r w:rsidRPr="00BA3F58">
        <w:t>particular designated sector</w:t>
      </w:r>
      <w:r w:rsidR="004D2147">
        <w:t>”</w:t>
      </w:r>
      <w:r w:rsidRPr="00BA3F58">
        <w:t xml:space="preserve">, insert </w:t>
      </w:r>
      <w:r w:rsidR="004D2147">
        <w:t>“</w:t>
      </w:r>
      <w:r w:rsidRPr="00BA3F58">
        <w:t>or sectors</w:t>
      </w:r>
      <w:r w:rsidR="0053233D">
        <w:t>”</w:t>
      </w:r>
      <w:r w:rsidRPr="00BA3F58">
        <w:t>.</w:t>
      </w:r>
    </w:p>
    <w:p w14:paraId="5BF6C467" w14:textId="6D5BEEB3" w:rsidR="009B3D88" w:rsidRPr="00392BC4" w:rsidRDefault="00A469A6" w:rsidP="009B3D88">
      <w:pPr>
        <w:pStyle w:val="ItemHead"/>
      </w:pPr>
      <w:proofErr w:type="gramStart"/>
      <w:r w:rsidRPr="00392BC4">
        <w:rPr>
          <w:noProof/>
        </w:rPr>
        <w:t>6</w:t>
      </w:r>
      <w:r w:rsidR="00E42354" w:rsidRPr="00392BC4">
        <w:t xml:space="preserve">  </w:t>
      </w:r>
      <w:r w:rsidR="009B3D88" w:rsidRPr="00392BC4">
        <w:t>Subrule</w:t>
      </w:r>
      <w:proofErr w:type="gramEnd"/>
      <w:r w:rsidR="009B3D88" w:rsidRPr="00392BC4">
        <w:t xml:space="preserve"> 1.7(3) (note)</w:t>
      </w:r>
    </w:p>
    <w:p w14:paraId="15C00B0E" w14:textId="027C2C1D" w:rsidR="009B3D88" w:rsidRPr="00BA3F58" w:rsidRDefault="009B3D88" w:rsidP="00C357E6">
      <w:pPr>
        <w:pStyle w:val="Item"/>
      </w:pPr>
      <w:r w:rsidRPr="00392BC4">
        <w:t>Repeal the note</w:t>
      </w:r>
      <w:r w:rsidR="00C53298" w:rsidRPr="00392BC4">
        <w:t>.</w:t>
      </w:r>
    </w:p>
    <w:p w14:paraId="2D7B87FC" w14:textId="05EC0C18" w:rsidR="004D0757" w:rsidRPr="00BA3F58" w:rsidRDefault="00A1547E" w:rsidP="004D0757">
      <w:pPr>
        <w:pStyle w:val="ItemHead"/>
      </w:pPr>
      <w:proofErr w:type="gramStart"/>
      <w:r>
        <w:rPr>
          <w:noProof/>
        </w:rPr>
        <w:t>7</w:t>
      </w:r>
      <w:r w:rsidR="004D0757" w:rsidRPr="00BA3F58">
        <w:t xml:space="preserve">  Paragraph</w:t>
      </w:r>
      <w:proofErr w:type="gramEnd"/>
      <w:r w:rsidR="004D0757" w:rsidRPr="00BA3F58">
        <w:t xml:space="preserve"> 1.12(1)</w:t>
      </w:r>
      <w:r w:rsidR="00C45070" w:rsidRPr="00BA3F58">
        <w:t>(a)</w:t>
      </w:r>
    </w:p>
    <w:p w14:paraId="771C9367" w14:textId="646327C9" w:rsidR="004D0757" w:rsidRPr="00BA3F58" w:rsidRDefault="004D0757" w:rsidP="004D0757">
      <w:pPr>
        <w:pStyle w:val="Item"/>
      </w:pPr>
      <w:r w:rsidRPr="00BA3F58">
        <w:t xml:space="preserve">After </w:t>
      </w:r>
      <w:r w:rsidR="006C5C2F">
        <w:t>“</w:t>
      </w:r>
      <w:r w:rsidR="00C45070" w:rsidRPr="00BA3F58">
        <w:t>requests</w:t>
      </w:r>
      <w:r w:rsidR="00E625F0">
        <w:t>”</w:t>
      </w:r>
      <w:r w:rsidRPr="00BA3F58">
        <w:t xml:space="preserve">, insert </w:t>
      </w:r>
      <w:r w:rsidR="008E4AD4">
        <w:t>“</w:t>
      </w:r>
      <w:r w:rsidR="00975E67">
        <w:t xml:space="preserve">in relation to </w:t>
      </w:r>
      <w:r w:rsidR="00C45070" w:rsidRPr="00BA3F58">
        <w:t xml:space="preserve">data </w:t>
      </w:r>
      <w:r w:rsidRPr="00BA3F58">
        <w:t>that it holds</w:t>
      </w:r>
      <w:r w:rsidR="00975E67">
        <w:t>”</w:t>
      </w:r>
      <w:r w:rsidRPr="00BA3F58">
        <w:t>.</w:t>
      </w:r>
    </w:p>
    <w:p w14:paraId="59ED1016" w14:textId="4B98B53B" w:rsidR="00BF602E" w:rsidRPr="00BA3F58" w:rsidRDefault="00A1547E" w:rsidP="00BF602E">
      <w:pPr>
        <w:pStyle w:val="ItemHead"/>
      </w:pPr>
      <w:proofErr w:type="gramStart"/>
      <w:r>
        <w:rPr>
          <w:noProof/>
        </w:rPr>
        <w:t>8</w:t>
      </w:r>
      <w:r w:rsidR="00E42354" w:rsidRPr="00BA3F58">
        <w:t xml:space="preserve">  </w:t>
      </w:r>
      <w:r w:rsidR="00BF602E" w:rsidRPr="00BA3F58">
        <w:t>Rule</w:t>
      </w:r>
      <w:proofErr w:type="gramEnd"/>
      <w:r w:rsidR="00BF602E" w:rsidRPr="00BA3F58">
        <w:t xml:space="preserve"> 2.1 (paragraph beginning </w:t>
      </w:r>
      <w:r w:rsidR="005A7A4B">
        <w:t>“</w:t>
      </w:r>
      <w:r w:rsidR="00BF602E" w:rsidRPr="00BA3F58">
        <w:t>A product data request</w:t>
      </w:r>
      <w:r w:rsidR="005A7A4B">
        <w:t>”</w:t>
      </w:r>
      <w:r w:rsidR="00BF602E" w:rsidRPr="00BA3F58">
        <w:t>)</w:t>
      </w:r>
    </w:p>
    <w:p w14:paraId="19A07BC6" w14:textId="1C96DF8E" w:rsidR="0059535C" w:rsidRDefault="00B92AE9" w:rsidP="00BF602E">
      <w:pPr>
        <w:pStyle w:val="Item"/>
      </w:pPr>
      <w:r>
        <w:t>Repeal the paragraph, substitute:</w:t>
      </w:r>
    </w:p>
    <w:p w14:paraId="78E7FD88" w14:textId="194258C9" w:rsidR="00A13756" w:rsidRDefault="00A13756" w:rsidP="00744782">
      <w:pPr>
        <w:pStyle w:val="BoxText"/>
      </w:pPr>
      <w:r>
        <w:t>A product data request may be for required product data, voluntary product data, or both.</w:t>
      </w:r>
    </w:p>
    <w:p w14:paraId="69427277" w14:textId="5A62DA86" w:rsidR="00726FE0" w:rsidRPr="00BA3F58" w:rsidRDefault="00997B65" w:rsidP="00726FE0">
      <w:pPr>
        <w:pStyle w:val="ItemHead"/>
      </w:pPr>
      <w:proofErr w:type="gramStart"/>
      <w:r>
        <w:rPr>
          <w:noProof/>
        </w:rPr>
        <w:t>9</w:t>
      </w:r>
      <w:r w:rsidRPr="00BA3F58">
        <w:t xml:space="preserve">  </w:t>
      </w:r>
      <w:r w:rsidR="00726FE0" w:rsidRPr="00BA3F58">
        <w:t>Rule</w:t>
      </w:r>
      <w:proofErr w:type="gramEnd"/>
      <w:r w:rsidR="00726FE0" w:rsidRPr="00BA3F58">
        <w:t xml:space="preserve"> 3.1 (paragraph beginning </w:t>
      </w:r>
      <w:r w:rsidR="00443A88">
        <w:t>“</w:t>
      </w:r>
      <w:r w:rsidR="00726FE0" w:rsidRPr="00BA3F58">
        <w:t>A request may be</w:t>
      </w:r>
      <w:r w:rsidR="00443A88">
        <w:t>”</w:t>
      </w:r>
      <w:r w:rsidR="00726FE0" w:rsidRPr="00BA3F58">
        <w:t>)</w:t>
      </w:r>
    </w:p>
    <w:p w14:paraId="352E3757" w14:textId="77777777" w:rsidR="00726FE0" w:rsidRPr="00BA3F58" w:rsidRDefault="00726FE0" w:rsidP="00726FE0">
      <w:pPr>
        <w:pStyle w:val="Item"/>
      </w:pPr>
      <w:r w:rsidRPr="00BA3F58">
        <w:t xml:space="preserve">Repeal the paragraph, </w:t>
      </w:r>
      <w:r w:rsidR="00FE771B" w:rsidRPr="00BA3F58">
        <w:t>substitute</w:t>
      </w:r>
      <w:r w:rsidRPr="00BA3F58">
        <w:t>:</w:t>
      </w:r>
    </w:p>
    <w:p w14:paraId="19EE5ADF" w14:textId="34DECD5B" w:rsidR="00726FE0" w:rsidRPr="00BA3F58" w:rsidRDefault="00726FE0" w:rsidP="00744782">
      <w:pPr>
        <w:pStyle w:val="BoxText"/>
      </w:pPr>
      <w:bookmarkStart w:id="13" w:name="_Hlk135300483"/>
      <w:r w:rsidRPr="00BA3F58">
        <w:t xml:space="preserve">A request may be for the CDR </w:t>
      </w:r>
      <w:r w:rsidRPr="008B6771">
        <w:t>consumer’s</w:t>
      </w:r>
      <w:r w:rsidRPr="00BA3F58">
        <w:t xml:space="preserve"> required consumer data, their voluntary consumer data, or both.</w:t>
      </w:r>
    </w:p>
    <w:bookmarkEnd w:id="13"/>
    <w:p w14:paraId="0538B91D" w14:textId="73DD4A42" w:rsidR="00DE2841" w:rsidRPr="00BA3F58" w:rsidRDefault="00997B65" w:rsidP="00DE2841">
      <w:pPr>
        <w:pStyle w:val="ItemHead"/>
      </w:pPr>
      <w:proofErr w:type="gramStart"/>
      <w:r w:rsidRPr="00BA3F58">
        <w:rPr>
          <w:noProof/>
        </w:rPr>
        <w:t>1</w:t>
      </w:r>
      <w:r>
        <w:rPr>
          <w:noProof/>
        </w:rPr>
        <w:t>0</w:t>
      </w:r>
      <w:r w:rsidRPr="00BA3F58">
        <w:t xml:space="preserve">  </w:t>
      </w:r>
      <w:r w:rsidR="00DE2841" w:rsidRPr="00BA3F58">
        <w:t>Subrule</w:t>
      </w:r>
      <w:proofErr w:type="gramEnd"/>
      <w:r w:rsidR="00DE2841" w:rsidRPr="00BA3F58">
        <w:t xml:space="preserve"> 3.3(1) (note)</w:t>
      </w:r>
    </w:p>
    <w:p w14:paraId="6C223C37" w14:textId="49698F70" w:rsidR="00DE2841" w:rsidRPr="00BA3F58" w:rsidRDefault="00DE2841" w:rsidP="00DE2841">
      <w:pPr>
        <w:pStyle w:val="Item"/>
      </w:pPr>
      <w:r w:rsidRPr="00BA3F58">
        <w:t>Repeal the note.</w:t>
      </w:r>
    </w:p>
    <w:p w14:paraId="4C98AF91" w14:textId="66476856" w:rsidR="00DE2841" w:rsidRPr="00BA3F58" w:rsidRDefault="00997B65" w:rsidP="00DE2841">
      <w:pPr>
        <w:pStyle w:val="ItemHead"/>
      </w:pPr>
      <w:proofErr w:type="gramStart"/>
      <w:r w:rsidRPr="00BA3F58">
        <w:rPr>
          <w:noProof/>
        </w:rPr>
        <w:t>1</w:t>
      </w:r>
      <w:r>
        <w:rPr>
          <w:noProof/>
        </w:rPr>
        <w:t>1</w:t>
      </w:r>
      <w:r w:rsidRPr="00BA3F58">
        <w:t xml:space="preserve">  </w:t>
      </w:r>
      <w:r w:rsidR="00DE2841" w:rsidRPr="00BA3F58">
        <w:t>Subrule</w:t>
      </w:r>
      <w:proofErr w:type="gramEnd"/>
      <w:r w:rsidR="00DE2841" w:rsidRPr="00BA3F58">
        <w:t xml:space="preserve"> 3.3(3) (note)</w:t>
      </w:r>
    </w:p>
    <w:p w14:paraId="18942EA3" w14:textId="77777777" w:rsidR="00DE2841" w:rsidRPr="00BA3F58" w:rsidRDefault="00DE2841" w:rsidP="00DE2841">
      <w:pPr>
        <w:pStyle w:val="Item"/>
      </w:pPr>
      <w:r w:rsidRPr="00BA3F58">
        <w:t>Repeal the note.</w:t>
      </w:r>
    </w:p>
    <w:p w14:paraId="6D8B3CC2" w14:textId="65920E4E" w:rsidR="007A5226" w:rsidRPr="00BA3F58" w:rsidRDefault="00997B65" w:rsidP="007A5226">
      <w:pPr>
        <w:pStyle w:val="ItemHead"/>
      </w:pPr>
      <w:proofErr w:type="gramStart"/>
      <w:r w:rsidRPr="00BA3F58">
        <w:rPr>
          <w:noProof/>
        </w:rPr>
        <w:t>1</w:t>
      </w:r>
      <w:r>
        <w:rPr>
          <w:noProof/>
        </w:rPr>
        <w:t>2</w:t>
      </w:r>
      <w:r w:rsidRPr="00BA3F58">
        <w:t xml:space="preserve">  </w:t>
      </w:r>
      <w:r w:rsidR="007A5226" w:rsidRPr="00BA3F58">
        <w:t>Subrule</w:t>
      </w:r>
      <w:proofErr w:type="gramEnd"/>
      <w:r w:rsidR="007A5226" w:rsidRPr="00BA3F58">
        <w:t xml:space="preserve"> 3.4(2) (note)</w:t>
      </w:r>
    </w:p>
    <w:p w14:paraId="11A6DCF5" w14:textId="77777777" w:rsidR="007A5226" w:rsidRPr="00BA3F58" w:rsidRDefault="007A5226" w:rsidP="007A5226">
      <w:pPr>
        <w:pStyle w:val="Item"/>
      </w:pPr>
      <w:r w:rsidRPr="00BA3F58">
        <w:t>Repeal the note.</w:t>
      </w:r>
    </w:p>
    <w:p w14:paraId="4AFD2100" w14:textId="1FC435C5" w:rsidR="007A5226" w:rsidRPr="00BA3F58" w:rsidRDefault="00997B65" w:rsidP="007A5226">
      <w:pPr>
        <w:pStyle w:val="ItemHead"/>
      </w:pPr>
      <w:proofErr w:type="gramStart"/>
      <w:r w:rsidRPr="00BA3F58">
        <w:rPr>
          <w:noProof/>
        </w:rPr>
        <w:t>1</w:t>
      </w:r>
      <w:r>
        <w:rPr>
          <w:noProof/>
        </w:rPr>
        <w:t>3</w:t>
      </w:r>
      <w:r w:rsidRPr="00BA3F58">
        <w:t xml:space="preserve">  </w:t>
      </w:r>
      <w:r w:rsidR="007A5226" w:rsidRPr="00BA3F58">
        <w:t>Subrule</w:t>
      </w:r>
      <w:proofErr w:type="gramEnd"/>
      <w:r w:rsidR="007A5226" w:rsidRPr="00BA3F58">
        <w:t xml:space="preserve"> 3.4(3) (note 1)</w:t>
      </w:r>
    </w:p>
    <w:p w14:paraId="6BE7EA05" w14:textId="77777777" w:rsidR="007A5226" w:rsidRPr="00BA3F58" w:rsidRDefault="007A5226" w:rsidP="007A5226">
      <w:pPr>
        <w:pStyle w:val="Item"/>
      </w:pPr>
      <w:r w:rsidRPr="00BA3F58">
        <w:t>Repeal the note.</w:t>
      </w:r>
    </w:p>
    <w:p w14:paraId="3381291A" w14:textId="431EF658" w:rsidR="00201506" w:rsidRPr="00BA3F58" w:rsidRDefault="00997B65" w:rsidP="00201506">
      <w:pPr>
        <w:pStyle w:val="ItemHead"/>
      </w:pPr>
      <w:proofErr w:type="gramStart"/>
      <w:r w:rsidRPr="00BA3F58">
        <w:rPr>
          <w:noProof/>
        </w:rPr>
        <w:t>1</w:t>
      </w:r>
      <w:r>
        <w:rPr>
          <w:noProof/>
        </w:rPr>
        <w:t>4</w:t>
      </w:r>
      <w:r w:rsidRPr="00BA3F58">
        <w:t xml:space="preserve">  </w:t>
      </w:r>
      <w:r w:rsidR="000F4FAB">
        <w:t>At</w:t>
      </w:r>
      <w:proofErr w:type="gramEnd"/>
      <w:r w:rsidR="000F4FAB">
        <w:t xml:space="preserve"> the end of r</w:t>
      </w:r>
      <w:r w:rsidR="00201506" w:rsidRPr="00BA3F58">
        <w:t xml:space="preserve">ule </w:t>
      </w:r>
      <w:r w:rsidR="004F2A67" w:rsidRPr="00BA3F58">
        <w:t>4.1</w:t>
      </w:r>
      <w:r w:rsidR="00C37603">
        <w:t xml:space="preserve"> </w:t>
      </w:r>
      <w:r w:rsidR="000F4FAB" w:rsidRPr="00BA3F58">
        <w:t>(after the boxed text)</w:t>
      </w:r>
    </w:p>
    <w:p w14:paraId="7D12AAE0" w14:textId="73DA0501" w:rsidR="00201506" w:rsidRPr="00BA3F58" w:rsidRDefault="004F2A67" w:rsidP="00201506">
      <w:pPr>
        <w:pStyle w:val="Item"/>
      </w:pPr>
      <w:r w:rsidRPr="00BA3F58">
        <w:t>Add</w:t>
      </w:r>
      <w:r w:rsidR="00201506" w:rsidRPr="00BA3F58">
        <w:t>:</w:t>
      </w:r>
    </w:p>
    <w:p w14:paraId="7871F879" w14:textId="53051FCA" w:rsidR="00373445" w:rsidRPr="00BA3F58" w:rsidRDefault="00373445" w:rsidP="009C503A">
      <w:pPr>
        <w:pStyle w:val="notetext"/>
      </w:pPr>
      <w:r w:rsidRPr="00BA3F58">
        <w:t>Note:</w:t>
      </w:r>
      <w:r w:rsidRPr="00BA3F58">
        <w:tab/>
        <w:t xml:space="preserve">Schedule 3 modifies the </w:t>
      </w:r>
      <w:r w:rsidRPr="009C503A">
        <w:t>application</w:t>
      </w:r>
      <w:r w:rsidRPr="00BA3F58">
        <w:t xml:space="preserve"> of this Part in some respects where a data holder moves from the non-bank lenders sector to the banking sector.</w:t>
      </w:r>
    </w:p>
    <w:p w14:paraId="6820E577" w14:textId="7130537C" w:rsidR="00FE771B" w:rsidRPr="00BA3F58" w:rsidRDefault="00997B65" w:rsidP="00FE771B">
      <w:pPr>
        <w:pStyle w:val="ItemHead"/>
      </w:pPr>
      <w:proofErr w:type="gramStart"/>
      <w:r w:rsidRPr="00BA3F58">
        <w:rPr>
          <w:noProof/>
        </w:rPr>
        <w:t>1</w:t>
      </w:r>
      <w:r>
        <w:rPr>
          <w:noProof/>
        </w:rPr>
        <w:t>5</w:t>
      </w:r>
      <w:r w:rsidRPr="00BA3F58">
        <w:t xml:space="preserve">  </w:t>
      </w:r>
      <w:r w:rsidR="00FE771B" w:rsidRPr="00BA3F58">
        <w:t>Rule</w:t>
      </w:r>
      <w:proofErr w:type="gramEnd"/>
      <w:r w:rsidR="00FE771B" w:rsidRPr="00BA3F58">
        <w:t xml:space="preserve"> 4.2 (note</w:t>
      </w:r>
      <w:r w:rsidR="0063066A">
        <w:t xml:space="preserve"> 1</w:t>
      </w:r>
      <w:r w:rsidR="00FE771B" w:rsidRPr="00BA3F58">
        <w:t>)</w:t>
      </w:r>
    </w:p>
    <w:p w14:paraId="77D501B2" w14:textId="77777777" w:rsidR="00E5521E" w:rsidRDefault="00FE771B" w:rsidP="00FE771B">
      <w:pPr>
        <w:pStyle w:val="Item"/>
      </w:pPr>
      <w:r w:rsidRPr="00BA3F58">
        <w:t>Repeal the note</w:t>
      </w:r>
      <w:r w:rsidR="005B7515">
        <w:t>.</w:t>
      </w:r>
    </w:p>
    <w:p w14:paraId="66E3B7A1" w14:textId="65FFB1AF" w:rsidR="00A562DD" w:rsidRPr="00BA3F58" w:rsidRDefault="00A562DD" w:rsidP="00A562DD">
      <w:pPr>
        <w:pStyle w:val="ItemHead"/>
      </w:pPr>
      <w:proofErr w:type="gramStart"/>
      <w:r>
        <w:rPr>
          <w:noProof/>
        </w:rPr>
        <w:t>16</w:t>
      </w:r>
      <w:r w:rsidRPr="00BA3F58">
        <w:t xml:space="preserve">  </w:t>
      </w:r>
      <w:r>
        <w:t>Paragraph</w:t>
      </w:r>
      <w:proofErr w:type="gramEnd"/>
      <w:r w:rsidRPr="00BA3F58">
        <w:t xml:space="preserve"> 4.</w:t>
      </w:r>
      <w:r>
        <w:t>11</w:t>
      </w:r>
      <w:r w:rsidRPr="00BA3F58">
        <w:t>(</w:t>
      </w:r>
      <w:r>
        <w:t>1</w:t>
      </w:r>
      <w:r w:rsidRPr="00BA3F58">
        <w:t>)</w:t>
      </w:r>
      <w:r>
        <w:t>(d)</w:t>
      </w:r>
    </w:p>
    <w:p w14:paraId="4908842A" w14:textId="77777777" w:rsidR="00A562DD" w:rsidRDefault="00A562DD" w:rsidP="00A562DD">
      <w:pPr>
        <w:pStyle w:val="Item"/>
      </w:pPr>
      <w:r w:rsidRPr="00BA3F58">
        <w:t xml:space="preserve">Repeal the </w:t>
      </w:r>
      <w:r>
        <w:t>paragraph, substitute:</w:t>
      </w:r>
    </w:p>
    <w:p w14:paraId="66C30F94" w14:textId="77777777" w:rsidR="00A562DD" w:rsidRDefault="00A562DD" w:rsidP="00A562DD">
      <w:pPr>
        <w:pStyle w:val="subsection"/>
      </w:pPr>
      <w:r>
        <w:lastRenderedPageBreak/>
        <w:tab/>
        <w:t>(d)</w:t>
      </w:r>
      <w:r>
        <w:tab/>
      </w:r>
      <w:r w:rsidRPr="007E7899">
        <w:t>if the accredited person intends to charge a fee for disclosure of CDR data, or pass on to the CDR consumer a fee charged by a data holder or accredited data recipient for disclosure of CDR data—clearly distinguish between the CDR data for which a fee will, and will not, be charged or passed on, and either</w:t>
      </w:r>
      <w:r>
        <w:t>:</w:t>
      </w:r>
    </w:p>
    <w:p w14:paraId="6439962D" w14:textId="77777777" w:rsidR="00A562DD" w:rsidRPr="00CB5D6C" w:rsidRDefault="00A562DD" w:rsidP="00A562DD">
      <w:pPr>
        <w:pStyle w:val="paragraphsub"/>
      </w:pPr>
      <w:r>
        <w:tab/>
      </w:r>
      <w:r w:rsidRPr="00CB5D6C">
        <w:t>(</w:t>
      </w:r>
      <w:proofErr w:type="spellStart"/>
      <w:r w:rsidRPr="00CB5D6C">
        <w:t>i</w:t>
      </w:r>
      <w:proofErr w:type="spellEnd"/>
      <w:r w:rsidRPr="00CB5D6C">
        <w:t>)</w:t>
      </w:r>
      <w:r w:rsidRPr="00CB5D6C">
        <w:tab/>
        <w:t>allow the CDR consumer to actively select or otherwise clearly indicate whether they consent to the collection or disclosure, as appropriate, of the CDR data for which a fee will be charged or passed on; or</w:t>
      </w:r>
    </w:p>
    <w:p w14:paraId="10432E64" w14:textId="77777777" w:rsidR="00A562DD" w:rsidRPr="00CB5D6C" w:rsidRDefault="00A562DD" w:rsidP="00A562DD">
      <w:pPr>
        <w:pStyle w:val="paragraphsub"/>
      </w:pPr>
      <w:r>
        <w:tab/>
      </w:r>
      <w:r w:rsidRPr="00CB5D6C">
        <w:t>(ii)</w:t>
      </w:r>
      <w:r w:rsidRPr="00CB5D6C">
        <w:tab/>
        <w:t>seek the CDR consumer’s agreement to the collection or disclosure, as appropriate, of the CDR data for which a fee will be charged or passed on (as presented to the CDR consumer); and</w:t>
      </w:r>
    </w:p>
    <w:p w14:paraId="7C577755" w14:textId="30980848" w:rsidR="00A562DD" w:rsidRPr="00BA3F58" w:rsidRDefault="00997B65" w:rsidP="00A562DD">
      <w:pPr>
        <w:pStyle w:val="ItemHead"/>
      </w:pPr>
      <w:proofErr w:type="gramStart"/>
      <w:r>
        <w:rPr>
          <w:noProof/>
        </w:rPr>
        <w:t>17</w:t>
      </w:r>
      <w:r w:rsidRPr="00BA3F58">
        <w:t xml:space="preserve">  </w:t>
      </w:r>
      <w:r w:rsidR="00A562DD">
        <w:t>Paragraph</w:t>
      </w:r>
      <w:proofErr w:type="gramEnd"/>
      <w:r w:rsidR="00A562DD" w:rsidRPr="00BA3F58">
        <w:t xml:space="preserve"> 4.</w:t>
      </w:r>
      <w:r w:rsidR="00A562DD">
        <w:t>20E</w:t>
      </w:r>
      <w:r w:rsidR="00A562DD" w:rsidRPr="00BA3F58">
        <w:t>(</w:t>
      </w:r>
      <w:r w:rsidR="00A562DD">
        <w:t>1</w:t>
      </w:r>
      <w:r w:rsidR="00A562DD" w:rsidRPr="00BA3F58">
        <w:t>)</w:t>
      </w:r>
      <w:r w:rsidR="00A562DD">
        <w:t>(e)</w:t>
      </w:r>
    </w:p>
    <w:p w14:paraId="428A033F" w14:textId="77777777" w:rsidR="00A562DD" w:rsidRDefault="00A562DD" w:rsidP="00A562DD">
      <w:pPr>
        <w:pStyle w:val="Item"/>
      </w:pPr>
      <w:r w:rsidRPr="00BA3F58">
        <w:t xml:space="preserve">Repeal the </w:t>
      </w:r>
      <w:r>
        <w:t>paragraph, substitute:</w:t>
      </w:r>
    </w:p>
    <w:p w14:paraId="43AB5C08" w14:textId="77777777" w:rsidR="00A562DD" w:rsidRDefault="00A562DD" w:rsidP="00A562DD">
      <w:pPr>
        <w:pStyle w:val="subsection"/>
      </w:pPr>
      <w:r>
        <w:tab/>
        <w:t>(e)</w:t>
      </w:r>
      <w:r>
        <w:tab/>
      </w:r>
      <w:r w:rsidRPr="007E7899">
        <w:t xml:space="preserve">if the </w:t>
      </w:r>
      <w:r>
        <w:t>CDR representative</w:t>
      </w:r>
      <w:r w:rsidRPr="007E7899">
        <w:t xml:space="preserve"> intends to charge a fee for disclosure of CDR data, or pass on to the CDR consumer a fee charged by a data holder or accredited </w:t>
      </w:r>
      <w:r>
        <w:t>person</w:t>
      </w:r>
      <w:r w:rsidRPr="007E7899">
        <w:t xml:space="preserve"> for disclosure of CDR data—clearly distinguish between the CDR data for which a fee will, and will not, be charged or passed on, and either</w:t>
      </w:r>
      <w:r>
        <w:t>:</w:t>
      </w:r>
    </w:p>
    <w:p w14:paraId="1FF67813" w14:textId="77777777" w:rsidR="00A562DD" w:rsidRDefault="00A562DD" w:rsidP="00A562DD">
      <w:pPr>
        <w:pStyle w:val="paragraphsub"/>
      </w:pPr>
      <w:r w:rsidRPr="00526E07">
        <w:tab/>
        <w:t>(</w:t>
      </w:r>
      <w:proofErr w:type="spellStart"/>
      <w:r w:rsidRPr="00526E07">
        <w:t>i</w:t>
      </w:r>
      <w:proofErr w:type="spellEnd"/>
      <w:r w:rsidRPr="00526E07">
        <w:t>)</w:t>
      </w:r>
      <w:r w:rsidRPr="00526E07">
        <w:tab/>
        <w:t xml:space="preserve">allow the CDR consumer to actively select or otherwise clearly indicate whether they consent to the collection or disclosure, as appropriate, of the CDR data for which a fee will be charged or passed on; </w:t>
      </w:r>
      <w:r>
        <w:t>or</w:t>
      </w:r>
    </w:p>
    <w:p w14:paraId="4D692A39" w14:textId="77777777" w:rsidR="00A562DD" w:rsidRPr="00526E07" w:rsidRDefault="00A562DD" w:rsidP="00A562DD">
      <w:pPr>
        <w:pStyle w:val="paragraphsub"/>
      </w:pPr>
      <w:r>
        <w:tab/>
        <w:t>(ii)</w:t>
      </w:r>
      <w:r>
        <w:tab/>
        <w:t xml:space="preserve">seek the CDR consumer’s agreement to the </w:t>
      </w:r>
      <w:r w:rsidRPr="00526E07">
        <w:t>collection or disclosure, as appropriate, of the CDR data for which a fee will be charged or passed on</w:t>
      </w:r>
      <w:r>
        <w:t xml:space="preserve"> (as presented to the CDR consumer); </w:t>
      </w:r>
      <w:r w:rsidRPr="00526E07">
        <w:t>and</w:t>
      </w:r>
    </w:p>
    <w:p w14:paraId="1D0C5F12" w14:textId="79CB112E" w:rsidR="009F7C6D" w:rsidRPr="00BA3F58" w:rsidRDefault="00997B65" w:rsidP="009F7C6D">
      <w:pPr>
        <w:pStyle w:val="ItemHead"/>
      </w:pPr>
      <w:proofErr w:type="gramStart"/>
      <w:r w:rsidRPr="00BA3F58">
        <w:rPr>
          <w:noProof/>
        </w:rPr>
        <w:t>1</w:t>
      </w:r>
      <w:r>
        <w:rPr>
          <w:noProof/>
        </w:rPr>
        <w:t>8</w:t>
      </w:r>
      <w:r w:rsidRPr="00BA3F58">
        <w:t xml:space="preserve">  </w:t>
      </w:r>
      <w:r w:rsidR="009F7C6D" w:rsidRPr="00037E39">
        <w:t>Rule</w:t>
      </w:r>
      <w:proofErr w:type="gramEnd"/>
      <w:r w:rsidR="009F7C6D" w:rsidRPr="00037E39">
        <w:t xml:space="preserve"> 5.5</w:t>
      </w:r>
      <w:r w:rsidR="009F7C6D" w:rsidRPr="00BA3F58">
        <w:t xml:space="preserve"> (notes</w:t>
      </w:r>
      <w:r w:rsidR="00EF4FD8">
        <w:t xml:space="preserve"> 1, 2 and 3</w:t>
      </w:r>
      <w:r w:rsidR="00114F67" w:rsidRPr="00BA3F58">
        <w:t>)</w:t>
      </w:r>
    </w:p>
    <w:p w14:paraId="7EA7F287" w14:textId="488906B5" w:rsidR="009F7C6D" w:rsidRPr="00BA3F58" w:rsidRDefault="009F7C6D" w:rsidP="009F7C6D">
      <w:pPr>
        <w:pStyle w:val="Item"/>
      </w:pPr>
      <w:r w:rsidRPr="00BA3F58">
        <w:t>Repeal the notes</w:t>
      </w:r>
      <w:r w:rsidR="00685741">
        <w:t>.</w:t>
      </w:r>
    </w:p>
    <w:p w14:paraId="5EAA924C" w14:textId="2189A0F6" w:rsidR="009F7C6D" w:rsidRPr="00BA3F58" w:rsidRDefault="00997B65" w:rsidP="009F7C6D">
      <w:pPr>
        <w:pStyle w:val="ItemHead"/>
      </w:pPr>
      <w:proofErr w:type="gramStart"/>
      <w:r>
        <w:rPr>
          <w:noProof/>
        </w:rPr>
        <w:t>19</w:t>
      </w:r>
      <w:r w:rsidRPr="00BA3F58">
        <w:t xml:space="preserve">  </w:t>
      </w:r>
      <w:r w:rsidR="009F7C6D" w:rsidRPr="00BA3F58">
        <w:t>Subrule</w:t>
      </w:r>
      <w:proofErr w:type="gramEnd"/>
      <w:r w:rsidR="009F7C6D" w:rsidRPr="00BA3F58">
        <w:t xml:space="preserve"> 5.25(1) (note)</w:t>
      </w:r>
    </w:p>
    <w:p w14:paraId="5F0F1B53" w14:textId="61FB4EEB" w:rsidR="00DD6AEF" w:rsidRDefault="009F7C6D" w:rsidP="00861775">
      <w:pPr>
        <w:pStyle w:val="Item"/>
      </w:pPr>
      <w:r w:rsidRPr="00BA3F58">
        <w:t>Repeal the note.</w:t>
      </w:r>
    </w:p>
    <w:p w14:paraId="5DAE4AAB" w14:textId="27BD2024" w:rsidR="00E23990" w:rsidRDefault="00997B65" w:rsidP="00E23990">
      <w:pPr>
        <w:pStyle w:val="ItemHead"/>
      </w:pPr>
      <w:proofErr w:type="gramStart"/>
      <w:r>
        <w:t xml:space="preserve">20  </w:t>
      </w:r>
      <w:r w:rsidR="003E57C3">
        <w:t>Sub</w:t>
      </w:r>
      <w:r w:rsidR="004B2A0B">
        <w:t>rule</w:t>
      </w:r>
      <w:proofErr w:type="gramEnd"/>
      <w:r w:rsidR="00747808">
        <w:t xml:space="preserve"> 8.4</w:t>
      </w:r>
      <w:r w:rsidR="003E57C3">
        <w:t>(3)</w:t>
      </w:r>
    </w:p>
    <w:p w14:paraId="53FF7864" w14:textId="6C44D8AA" w:rsidR="00747808" w:rsidRPr="00747808" w:rsidRDefault="003E57C3" w:rsidP="00747808">
      <w:pPr>
        <w:pStyle w:val="Item"/>
      </w:pPr>
      <w:r>
        <w:t>Repeal the subrule, substitute</w:t>
      </w:r>
      <w:r w:rsidR="00747808">
        <w:t>:</w:t>
      </w:r>
    </w:p>
    <w:p w14:paraId="2BAB98CF" w14:textId="55A5E8F3" w:rsidR="00E65303" w:rsidRDefault="009C5DA8" w:rsidP="009C5DA8">
      <w:pPr>
        <w:pStyle w:val="subsection"/>
        <w:rPr>
          <w:color w:val="000000"/>
          <w:szCs w:val="22"/>
        </w:rPr>
      </w:pPr>
      <w:r>
        <w:tab/>
      </w:r>
      <w:r w:rsidR="00BD53A9">
        <w:t>(</w:t>
      </w:r>
      <w:r w:rsidR="002337F5">
        <w:t>3</w:t>
      </w:r>
      <w:r w:rsidR="00BD53A9">
        <w:t>)</w:t>
      </w:r>
      <w:r>
        <w:tab/>
      </w:r>
      <w:r w:rsidR="00DB0F38">
        <w:t xml:space="preserve">Remuneration is </w:t>
      </w:r>
      <w:r w:rsidR="00DB0F38" w:rsidRPr="0098588D">
        <w:rPr>
          <w:i/>
          <w:iCs/>
        </w:rPr>
        <w:t>not</w:t>
      </w:r>
      <w:r w:rsidR="00DB0F38">
        <w:t xml:space="preserve"> pay</w:t>
      </w:r>
      <w:r w:rsidR="0098588D">
        <w:t>able</w:t>
      </w:r>
      <w:r w:rsidR="00DB0F38">
        <w:t xml:space="preserve"> in respect of a</w:t>
      </w:r>
      <w:r w:rsidR="002337F5">
        <w:t xml:space="preserve">n appointment to a </w:t>
      </w:r>
      <w:r w:rsidR="002337F5">
        <w:rPr>
          <w:color w:val="000000"/>
          <w:szCs w:val="22"/>
        </w:rPr>
        <w:t>Data Standards Advisory Committee</w:t>
      </w:r>
      <w:r w:rsidR="00DB0F38">
        <w:rPr>
          <w:color w:val="000000"/>
          <w:szCs w:val="22"/>
        </w:rPr>
        <w:t xml:space="preserve">. </w:t>
      </w:r>
      <w:r w:rsidR="004B2A0B">
        <w:rPr>
          <w:color w:val="000000"/>
          <w:szCs w:val="22"/>
        </w:rPr>
        <w:t>The Chair may determine any other terms and conditions of an appointment in writing.</w:t>
      </w:r>
    </w:p>
    <w:p w14:paraId="48B18565" w14:textId="1D86DE78" w:rsidR="00401DB2" w:rsidRDefault="00997B65">
      <w:pPr>
        <w:pStyle w:val="ItemHead"/>
      </w:pPr>
      <w:proofErr w:type="gramStart"/>
      <w:r>
        <w:t xml:space="preserve">21  </w:t>
      </w:r>
      <w:r w:rsidR="00084832">
        <w:t>After</w:t>
      </w:r>
      <w:proofErr w:type="gramEnd"/>
      <w:r w:rsidR="00084832">
        <w:t xml:space="preserve"> paragraph 9.3(1)(da)</w:t>
      </w:r>
    </w:p>
    <w:p w14:paraId="1CDC140F" w14:textId="08A598B8" w:rsidR="00084832" w:rsidRDefault="00084832" w:rsidP="00084832">
      <w:pPr>
        <w:pStyle w:val="Item"/>
      </w:pPr>
      <w:r>
        <w:t>Insert:</w:t>
      </w:r>
    </w:p>
    <w:p w14:paraId="0628636E" w14:textId="5091F90F" w:rsidR="00C3106D" w:rsidRPr="0021674F" w:rsidRDefault="00084832" w:rsidP="00C3106D">
      <w:pPr>
        <w:pStyle w:val="paragraph"/>
      </w:pPr>
      <w:r w:rsidRPr="00C3106D">
        <w:tab/>
        <w:t>(</w:t>
      </w:r>
      <w:proofErr w:type="spellStart"/>
      <w:r w:rsidR="00C3106D" w:rsidRPr="00C3106D">
        <w:t>db</w:t>
      </w:r>
      <w:proofErr w:type="spellEnd"/>
      <w:r w:rsidR="00C3106D" w:rsidRPr="00C3106D">
        <w:t>)</w:t>
      </w:r>
      <w:r w:rsidR="00C3106D" w:rsidRPr="00C3106D">
        <w:tab/>
      </w:r>
      <w:r w:rsidR="00C3106D" w:rsidRPr="0021674F">
        <w:t xml:space="preserve">any </w:t>
      </w:r>
      <w:r w:rsidR="00C3106D" w:rsidRPr="00D62362">
        <w:t>election</w:t>
      </w:r>
      <w:r w:rsidR="00C3106D" w:rsidRPr="0021674F">
        <w:t xml:space="preserve"> by the data holder in effect under </w:t>
      </w:r>
      <w:r w:rsidR="00D30303">
        <w:t xml:space="preserve">subclause </w:t>
      </w:r>
      <w:r w:rsidR="00C3106D" w:rsidRPr="0021674F">
        <w:t>7.1A(1)</w:t>
      </w:r>
      <w:r w:rsidR="00D30303">
        <w:t xml:space="preserve"> of Schedule </w:t>
      </w:r>
      <w:proofErr w:type="gramStart"/>
      <w:r w:rsidR="00D30303">
        <w:t>3</w:t>
      </w:r>
      <w:r w:rsidR="00C3106D" w:rsidRPr="0021674F">
        <w:t>;</w:t>
      </w:r>
      <w:proofErr w:type="gramEnd"/>
    </w:p>
    <w:p w14:paraId="19E7039B" w14:textId="30622ECB" w:rsidR="004C05B4" w:rsidRPr="00BA3F58" w:rsidRDefault="004C05B4" w:rsidP="0084321C">
      <w:pPr>
        <w:pStyle w:val="ActHead7"/>
        <w:pageBreakBefore/>
      </w:pPr>
      <w:bookmarkStart w:id="14" w:name="_Toc191450824"/>
      <w:r w:rsidRPr="00BA3F58">
        <w:rPr>
          <w:rStyle w:val="CharAmPartNo"/>
        </w:rPr>
        <w:lastRenderedPageBreak/>
        <w:t>Part 2</w:t>
      </w:r>
      <w:r w:rsidRPr="00BA3F58">
        <w:t>—</w:t>
      </w:r>
      <w:r w:rsidR="00B01E4E">
        <w:rPr>
          <w:rStyle w:val="CharAmPartText"/>
        </w:rPr>
        <w:t>Ex</w:t>
      </w:r>
      <w:r w:rsidRPr="00BA3F58">
        <w:rPr>
          <w:rStyle w:val="CharAmPartText"/>
        </w:rPr>
        <w:t xml:space="preserve">tension </w:t>
      </w:r>
      <w:r w:rsidR="00CC4E69">
        <w:rPr>
          <w:rStyle w:val="CharAmPartText"/>
        </w:rPr>
        <w:t xml:space="preserve">of the consumer data right </w:t>
      </w:r>
      <w:r w:rsidRPr="00BA3F58">
        <w:rPr>
          <w:rStyle w:val="CharAmPartText"/>
        </w:rPr>
        <w:t>to the non-bank lenders sector</w:t>
      </w:r>
      <w:bookmarkEnd w:id="14"/>
    </w:p>
    <w:p w14:paraId="4E8201DD" w14:textId="77777777" w:rsidR="004C05B4" w:rsidRPr="00BA3F58" w:rsidRDefault="004C05B4" w:rsidP="004C05B4">
      <w:pPr>
        <w:pStyle w:val="ActHead9"/>
      </w:pPr>
      <w:bookmarkStart w:id="15" w:name="_Toc191450825"/>
      <w:r w:rsidRPr="00BA3F58">
        <w:t>Competition and Consumer (Consumer Data Right) Rules 2020</w:t>
      </w:r>
      <w:bookmarkEnd w:id="15"/>
    </w:p>
    <w:p w14:paraId="6C8E49BC" w14:textId="740EFC5E" w:rsidR="001131EC" w:rsidRPr="00BA3F58" w:rsidRDefault="00A469A6" w:rsidP="001131EC">
      <w:pPr>
        <w:pStyle w:val="ItemHead"/>
      </w:pPr>
      <w:proofErr w:type="gramStart"/>
      <w:r w:rsidRPr="00BA3F58">
        <w:rPr>
          <w:noProof/>
        </w:rPr>
        <w:t>22</w:t>
      </w:r>
      <w:r w:rsidR="00E42354" w:rsidRPr="00BA3F58">
        <w:t xml:space="preserve">  </w:t>
      </w:r>
      <w:r w:rsidR="001131EC" w:rsidRPr="00BA3F58">
        <w:t>Schedule</w:t>
      </w:r>
      <w:proofErr w:type="gramEnd"/>
      <w:r w:rsidR="001131EC" w:rsidRPr="00BA3F58">
        <w:t xml:space="preserve"> 3 (heading)</w:t>
      </w:r>
    </w:p>
    <w:p w14:paraId="29AF91F5" w14:textId="58A26ABD" w:rsidR="001131EC" w:rsidRPr="00BA3F58" w:rsidRDefault="001131EC" w:rsidP="001131EC">
      <w:pPr>
        <w:pStyle w:val="Item"/>
      </w:pPr>
      <w:r w:rsidRPr="00BA3F58">
        <w:t xml:space="preserve">Omit </w:t>
      </w:r>
      <w:r w:rsidR="000D6F11">
        <w:t>“</w:t>
      </w:r>
      <w:r w:rsidRPr="00BA3F58">
        <w:t>banking sector</w:t>
      </w:r>
      <w:r w:rsidR="000D6F11">
        <w:t>”</w:t>
      </w:r>
      <w:r w:rsidRPr="00BA3F58">
        <w:t xml:space="preserve">, substitute </w:t>
      </w:r>
      <w:r w:rsidR="000D6F11">
        <w:t>“</w:t>
      </w:r>
      <w:r w:rsidRPr="00BA3F58">
        <w:t>banking and non-bank lenders sectors</w:t>
      </w:r>
      <w:r w:rsidR="000D6F11">
        <w:t>”</w:t>
      </w:r>
      <w:r w:rsidRPr="00BA3F58">
        <w:t>.</w:t>
      </w:r>
    </w:p>
    <w:p w14:paraId="4F7F23C4" w14:textId="21A32A33" w:rsidR="001131EC" w:rsidRPr="00BA3F58" w:rsidRDefault="00A469A6" w:rsidP="001131EC">
      <w:pPr>
        <w:pStyle w:val="ItemHead"/>
      </w:pPr>
      <w:proofErr w:type="gramStart"/>
      <w:r w:rsidRPr="00BA3F58">
        <w:rPr>
          <w:noProof/>
        </w:rPr>
        <w:t>23</w:t>
      </w:r>
      <w:r w:rsidR="00E42354" w:rsidRPr="00BA3F58">
        <w:t xml:space="preserve">  </w:t>
      </w:r>
      <w:r w:rsidR="00F45178">
        <w:t>Parts</w:t>
      </w:r>
      <w:proofErr w:type="gramEnd"/>
      <w:r w:rsidR="00F45178">
        <w:t xml:space="preserve"> 1 to 3 of </w:t>
      </w:r>
      <w:r w:rsidR="001131EC" w:rsidRPr="00BA3F58">
        <w:t>Schedule 3</w:t>
      </w:r>
    </w:p>
    <w:p w14:paraId="5B8C0625" w14:textId="41A9E542" w:rsidR="0076083A" w:rsidRPr="00BA3F58" w:rsidRDefault="0076083A" w:rsidP="0076083A">
      <w:pPr>
        <w:pStyle w:val="Item"/>
      </w:pPr>
      <w:r w:rsidRPr="00BA3F58">
        <w:t>Repeal the Part</w:t>
      </w:r>
      <w:r w:rsidR="006A5BCC" w:rsidRPr="00BA3F58">
        <w:t>s</w:t>
      </w:r>
      <w:r w:rsidRPr="00BA3F58">
        <w:t>, substitute:</w:t>
      </w:r>
    </w:p>
    <w:p w14:paraId="25D4A185" w14:textId="77777777" w:rsidR="0076083A" w:rsidRPr="00BA3F58" w:rsidRDefault="0076083A" w:rsidP="00744782">
      <w:pPr>
        <w:pStyle w:val="ActHead2"/>
      </w:pPr>
      <w:bookmarkStart w:id="16" w:name="_Toc190683804"/>
      <w:bookmarkStart w:id="17" w:name="_Toc191450826"/>
      <w:r w:rsidRPr="00BA3F58">
        <w:t>Part 1—Preliminary</w:t>
      </w:r>
      <w:bookmarkEnd w:id="16"/>
      <w:bookmarkEnd w:id="17"/>
    </w:p>
    <w:p w14:paraId="69452A41" w14:textId="77777777" w:rsidR="0076083A" w:rsidRPr="00BA3F58" w:rsidRDefault="0076083A" w:rsidP="00744782">
      <w:pPr>
        <w:pStyle w:val="ActHead3"/>
      </w:pPr>
      <w:bookmarkStart w:id="18" w:name="_Toc190683805"/>
      <w:bookmarkStart w:id="19" w:name="_Toc191450827"/>
      <w:r w:rsidRPr="00BA3F58">
        <w:t>Division 1.1—</w:t>
      </w:r>
      <w:r w:rsidR="004810F1" w:rsidRPr="00BA3F58">
        <w:t>Simplified outline</w:t>
      </w:r>
      <w:bookmarkEnd w:id="18"/>
      <w:bookmarkEnd w:id="19"/>
      <w:r w:rsidR="004810F1" w:rsidRPr="00BA3F58">
        <w:t xml:space="preserve"> </w:t>
      </w:r>
    </w:p>
    <w:p w14:paraId="1D72EFA2" w14:textId="77777777" w:rsidR="0076083A" w:rsidRPr="00BA3F58" w:rsidRDefault="0076083A" w:rsidP="00744782">
      <w:pPr>
        <w:pStyle w:val="ActHead5"/>
      </w:pPr>
      <w:bookmarkStart w:id="20" w:name="_Toc190683806"/>
      <w:bookmarkStart w:id="21" w:name="_Toc191450828"/>
      <w:proofErr w:type="gramStart"/>
      <w:r w:rsidRPr="00BA3F58">
        <w:t>1.1  Simplified</w:t>
      </w:r>
      <w:proofErr w:type="gramEnd"/>
      <w:r w:rsidRPr="00BA3F58">
        <w:t xml:space="preserve"> outline of this Schedule</w:t>
      </w:r>
      <w:bookmarkEnd w:id="20"/>
      <w:bookmarkEnd w:id="21"/>
    </w:p>
    <w:p w14:paraId="5D5FE288" w14:textId="4B6624D4" w:rsidR="0076083A" w:rsidRPr="00F658DF" w:rsidRDefault="0076083A" w:rsidP="00744782">
      <w:pPr>
        <w:pStyle w:val="BoxText"/>
      </w:pPr>
      <w:bookmarkStart w:id="22" w:name="_Hlk135303901"/>
      <w:r w:rsidRPr="00F658DF">
        <w:t xml:space="preserve">This Schedule deals with how these rules apply in relation to the banking </w:t>
      </w:r>
      <w:r w:rsidR="004B4A27">
        <w:t xml:space="preserve">sector </w:t>
      </w:r>
      <w:r w:rsidRPr="00F658DF">
        <w:t xml:space="preserve">and non-bank lenders </w:t>
      </w:r>
      <w:r w:rsidR="004B4A27" w:rsidRPr="00F658DF">
        <w:t>sector</w:t>
      </w:r>
      <w:r w:rsidR="004B4A27">
        <w:t xml:space="preserve"> (</w:t>
      </w:r>
      <w:r w:rsidR="004B4A27" w:rsidRPr="00744782">
        <w:rPr>
          <w:b/>
          <w:bCs/>
          <w:i/>
          <w:iCs/>
        </w:rPr>
        <w:t>NBL sector</w:t>
      </w:r>
      <w:r w:rsidR="004B4A27">
        <w:t>)</w:t>
      </w:r>
      <w:r w:rsidRPr="00F658DF">
        <w:t>.</w:t>
      </w:r>
    </w:p>
    <w:p w14:paraId="42825C97" w14:textId="108C3985" w:rsidR="00ED2E7C" w:rsidRPr="00F658DF" w:rsidRDefault="0076083A" w:rsidP="00744782">
      <w:pPr>
        <w:pStyle w:val="BoxText"/>
      </w:pPr>
      <w:r w:rsidRPr="00F658DF">
        <w:t xml:space="preserve">Part 1 of this Schedule </w:t>
      </w:r>
      <w:r w:rsidR="004810F1" w:rsidRPr="00F658DF">
        <w:t xml:space="preserve">excludes certain data holders in the banking </w:t>
      </w:r>
      <w:r w:rsidR="008C0B7C">
        <w:t xml:space="preserve">sector </w:t>
      </w:r>
      <w:r w:rsidR="004810F1" w:rsidRPr="00F658DF">
        <w:t xml:space="preserve">and NBL sector from the application of these </w:t>
      </w:r>
      <w:proofErr w:type="gramStart"/>
      <w:r w:rsidR="004810F1" w:rsidRPr="00F658DF">
        <w:t>rules, and</w:t>
      </w:r>
      <w:proofErr w:type="gramEnd"/>
      <w:r w:rsidR="004810F1" w:rsidRPr="00F658DF">
        <w:t xml:space="preserve"> </w:t>
      </w:r>
      <w:r w:rsidRPr="00F658DF">
        <w:t>defines certain terms relevant to those sectors.</w:t>
      </w:r>
    </w:p>
    <w:p w14:paraId="1E26D6E3" w14:textId="6E875E35" w:rsidR="0076083A" w:rsidRPr="00F658DF" w:rsidRDefault="0076083A" w:rsidP="00744782">
      <w:pPr>
        <w:pStyle w:val="BoxText"/>
      </w:pPr>
      <w:r w:rsidRPr="00F658DF">
        <w:t>Part 2 of this Schedule deals with eligible CDR consumers in relation to the banking</w:t>
      </w:r>
      <w:r w:rsidR="008C0B7C">
        <w:t xml:space="preserve"> sector</w:t>
      </w:r>
      <w:r w:rsidRPr="00F658DF">
        <w:t xml:space="preserve"> and NBL sector.</w:t>
      </w:r>
    </w:p>
    <w:p w14:paraId="530E879F" w14:textId="5A360E9D" w:rsidR="0076083A" w:rsidRPr="00F658DF" w:rsidRDefault="0076083A" w:rsidP="00744782">
      <w:pPr>
        <w:pStyle w:val="BoxText"/>
      </w:pPr>
      <w:r w:rsidRPr="00F658DF">
        <w:t xml:space="preserve">Part 3 of this Schedule deals with CDR data that may or must be disclosed when product data requests and consumer data requests are made in relation to the banking </w:t>
      </w:r>
      <w:r w:rsidR="008C0B7C">
        <w:t xml:space="preserve">sector </w:t>
      </w:r>
      <w:r w:rsidR="00D90662" w:rsidRPr="00F658DF">
        <w:t xml:space="preserve">and </w:t>
      </w:r>
      <w:r w:rsidRPr="00F658DF">
        <w:t>NBL sector.</w:t>
      </w:r>
    </w:p>
    <w:p w14:paraId="6F75D1B3" w14:textId="66DB8482" w:rsidR="0076083A" w:rsidRPr="00F658DF" w:rsidRDefault="0076083A" w:rsidP="00744782">
      <w:pPr>
        <w:pStyle w:val="BoxText"/>
      </w:pPr>
      <w:r w:rsidRPr="00F658DF">
        <w:t xml:space="preserve">Part 5 of this Schedule deals with dispute resolution requirements in relation to the banking </w:t>
      </w:r>
      <w:r w:rsidR="008C0B7C">
        <w:t xml:space="preserve">sector </w:t>
      </w:r>
      <w:r w:rsidRPr="00F658DF">
        <w:t>and NBL sector.</w:t>
      </w:r>
    </w:p>
    <w:p w14:paraId="15FAB24C" w14:textId="0E776983" w:rsidR="0076083A" w:rsidRPr="00F658DF" w:rsidRDefault="0076083A" w:rsidP="00744782">
      <w:pPr>
        <w:pStyle w:val="BoxText"/>
      </w:pPr>
      <w:r w:rsidRPr="00F658DF">
        <w:t xml:space="preserve">Part 6 of this Schedule deals with the staged application of these rules to the NBL sector. Over time, as set out in </w:t>
      </w:r>
      <w:r w:rsidR="00D90662" w:rsidRPr="00F658DF">
        <w:t xml:space="preserve">that </w:t>
      </w:r>
      <w:r w:rsidRPr="00F658DF">
        <w:t>Part, these rules will apply to a progressively broader range of data holders and types of requests in relation to that sector.</w:t>
      </w:r>
      <w:r w:rsidR="008B4847" w:rsidRPr="00F658DF">
        <w:t xml:space="preserve"> </w:t>
      </w:r>
      <w:bookmarkStart w:id="23" w:name="_Hlk129681332"/>
      <w:r w:rsidR="008B4847" w:rsidRPr="00F658DF">
        <w:t xml:space="preserve">Part </w:t>
      </w:r>
      <w:r w:rsidR="00D90662" w:rsidRPr="00F658DF">
        <w:t xml:space="preserve">6 </w:t>
      </w:r>
      <w:r w:rsidR="008B4847" w:rsidRPr="00F658DF">
        <w:t>also affects the application of the</w:t>
      </w:r>
      <w:r w:rsidR="00D90662" w:rsidRPr="00F658DF">
        <w:t>se</w:t>
      </w:r>
      <w:r w:rsidR="008B4847" w:rsidRPr="00F658DF">
        <w:t xml:space="preserve"> rules to the banking sector in some respects.</w:t>
      </w:r>
      <w:bookmarkEnd w:id="23"/>
    </w:p>
    <w:p w14:paraId="4D96C13C" w14:textId="16178ADA" w:rsidR="0076083A" w:rsidRPr="00F658DF" w:rsidRDefault="0076083A" w:rsidP="00744782">
      <w:pPr>
        <w:pStyle w:val="BoxText"/>
      </w:pPr>
      <w:r w:rsidRPr="00F658DF">
        <w:t xml:space="preserve">Part 7 </w:t>
      </w:r>
      <w:r w:rsidR="008F1E85" w:rsidRPr="00F658DF">
        <w:t xml:space="preserve">of this Schedule </w:t>
      </w:r>
      <w:r w:rsidR="00D90662" w:rsidRPr="00F658DF">
        <w:t xml:space="preserve">sets out modifications of these rules, </w:t>
      </w:r>
      <w:proofErr w:type="gramStart"/>
      <w:r w:rsidR="00D90662" w:rsidRPr="00F658DF">
        <w:t>and also</w:t>
      </w:r>
      <w:proofErr w:type="gramEnd"/>
      <w:r w:rsidR="00D90662" w:rsidRPr="00F658DF">
        <w:t xml:space="preserve"> deals with other, miscellaneous matters, in relation to the banking </w:t>
      </w:r>
      <w:r w:rsidR="008C0B7C">
        <w:t xml:space="preserve">sector </w:t>
      </w:r>
      <w:r w:rsidR="00D90662" w:rsidRPr="00F658DF">
        <w:t>and NBL sector.</w:t>
      </w:r>
    </w:p>
    <w:p w14:paraId="2B7FFA68" w14:textId="203692E2" w:rsidR="0076083A" w:rsidRPr="00F658DF" w:rsidRDefault="0076083A" w:rsidP="00744782">
      <w:pPr>
        <w:pStyle w:val="BoxText"/>
      </w:pPr>
      <w:r w:rsidRPr="00F658DF">
        <w:t xml:space="preserve">Part 8 </w:t>
      </w:r>
      <w:r w:rsidR="008F1E85" w:rsidRPr="00F658DF">
        <w:t xml:space="preserve">of this Schedule </w:t>
      </w:r>
      <w:r w:rsidRPr="00F658DF">
        <w:t>makes certain modifications to the operation of the</w:t>
      </w:r>
      <w:r w:rsidR="00E57FB5" w:rsidRPr="00F658DF">
        <w:t>se</w:t>
      </w:r>
      <w:r w:rsidRPr="00F658DF">
        <w:t xml:space="preserve"> rules</w:t>
      </w:r>
      <w:r w:rsidR="00E57FB5" w:rsidRPr="00F658DF">
        <w:t xml:space="preserve"> in cases</w:t>
      </w:r>
      <w:r w:rsidRPr="00F658DF">
        <w:t xml:space="preserve"> where an entity moves </w:t>
      </w:r>
      <w:r w:rsidR="00985DB5" w:rsidRPr="00F658DF">
        <w:t>from the NBL sector to the banking sector</w:t>
      </w:r>
      <w:r w:rsidRPr="00F658DF">
        <w:t>.</w:t>
      </w:r>
    </w:p>
    <w:p w14:paraId="67B638ED" w14:textId="3D8113D3" w:rsidR="002A20DD" w:rsidRPr="00BA3F58" w:rsidRDefault="002A20DD" w:rsidP="00744782">
      <w:pPr>
        <w:pStyle w:val="ActHead3"/>
      </w:pPr>
      <w:bookmarkStart w:id="24" w:name="_Toc190683807"/>
      <w:bookmarkStart w:id="25" w:name="_Toc191450829"/>
      <w:bookmarkEnd w:id="22"/>
      <w:r w:rsidRPr="00BA3F58">
        <w:lastRenderedPageBreak/>
        <w:t xml:space="preserve">Division 1.2—Application of these rules in relation to </w:t>
      </w:r>
      <w:r w:rsidR="00EB04C9" w:rsidRPr="00BA3F58">
        <w:t xml:space="preserve">the </w:t>
      </w:r>
      <w:r w:rsidRPr="00BA3F58">
        <w:t>banking and NBL sectors</w:t>
      </w:r>
      <w:bookmarkEnd w:id="24"/>
      <w:bookmarkEnd w:id="25"/>
    </w:p>
    <w:p w14:paraId="54B2D16F" w14:textId="77777777" w:rsidR="002A20DD" w:rsidRPr="00BA3F58" w:rsidRDefault="002A20DD" w:rsidP="00744782">
      <w:pPr>
        <w:pStyle w:val="ActHead5"/>
      </w:pPr>
      <w:bookmarkStart w:id="26" w:name="_Toc190683808"/>
      <w:bookmarkStart w:id="27" w:name="_Toc191450830"/>
      <w:bookmarkStart w:id="28" w:name="_Hlk136431985"/>
      <w:proofErr w:type="gramStart"/>
      <w:r w:rsidRPr="00BA3F58">
        <w:t>1.1A  Application</w:t>
      </w:r>
      <w:proofErr w:type="gramEnd"/>
      <w:r w:rsidRPr="00BA3F58">
        <w:t xml:space="preserve"> of these rules</w:t>
      </w:r>
      <w:bookmarkEnd w:id="26"/>
      <w:bookmarkEnd w:id="27"/>
    </w:p>
    <w:p w14:paraId="6B197A65" w14:textId="71FEF3D4" w:rsidR="00D768B3" w:rsidRPr="00BA3F58" w:rsidRDefault="00D768B3" w:rsidP="00D768B3">
      <w:pPr>
        <w:pStyle w:val="subsection"/>
      </w:pPr>
      <w:r w:rsidRPr="00BA3F58">
        <w:tab/>
      </w:r>
      <w:r w:rsidR="00B24F65">
        <w:tab/>
      </w:r>
      <w:r w:rsidRPr="00BA3F58">
        <w:t xml:space="preserve">These rules do </w:t>
      </w:r>
      <w:r w:rsidRPr="00744782">
        <w:rPr>
          <w:i/>
          <w:iCs/>
        </w:rPr>
        <w:t>not</w:t>
      </w:r>
      <w:r w:rsidRPr="00BA3F58">
        <w:t xml:space="preserve"> apply in respect of </w:t>
      </w:r>
      <w:r w:rsidR="00CF1896">
        <w:t xml:space="preserve">any </w:t>
      </w:r>
      <w:r w:rsidR="00EB6646">
        <w:t xml:space="preserve">of the following </w:t>
      </w:r>
      <w:r w:rsidR="00B84684">
        <w:t xml:space="preserve">kinds of data holder </w:t>
      </w:r>
      <w:r w:rsidRPr="00BA3F58">
        <w:t>in the banking sector or</w:t>
      </w:r>
      <w:r w:rsidR="00E57FB5" w:rsidRPr="00BA3F58">
        <w:t xml:space="preserve"> the</w:t>
      </w:r>
      <w:r w:rsidRPr="00BA3F58">
        <w:t xml:space="preserve"> NBL sector</w:t>
      </w:r>
      <w:r w:rsidR="00B84684">
        <w:t xml:space="preserve"> (</w:t>
      </w:r>
      <w:r w:rsidR="00B84684" w:rsidRPr="00BA3F58">
        <w:t xml:space="preserve">an </w:t>
      </w:r>
      <w:r w:rsidR="00B84684" w:rsidRPr="003F74BA">
        <w:rPr>
          <w:b/>
          <w:bCs/>
          <w:i/>
          <w:iCs/>
        </w:rPr>
        <w:t>excluded data holder</w:t>
      </w:r>
      <w:r w:rsidR="00B84684">
        <w:t>)</w:t>
      </w:r>
      <w:r w:rsidR="00B24F65">
        <w:t>:</w:t>
      </w:r>
    </w:p>
    <w:p w14:paraId="103A096A" w14:textId="3D5A7E0B" w:rsidR="005F4353" w:rsidRPr="00BA3F58" w:rsidRDefault="005F4353" w:rsidP="005F4353">
      <w:pPr>
        <w:pStyle w:val="paragraph"/>
      </w:pPr>
      <w:r w:rsidRPr="00BA3F58">
        <w:tab/>
        <w:t>(a)</w:t>
      </w:r>
      <w:r w:rsidRPr="00BA3F58">
        <w:tab/>
        <w:t>a data holder that is a body corporate</w:t>
      </w:r>
      <w:r w:rsidR="00B24F65">
        <w:t>, if the body</w:t>
      </w:r>
      <w:r w:rsidRPr="00BA3F58">
        <w:t>:</w:t>
      </w:r>
    </w:p>
    <w:p w14:paraId="2D7FC52F" w14:textId="09199EE2" w:rsidR="005F4353" w:rsidRPr="00BA3F58" w:rsidRDefault="005F4353" w:rsidP="00F93A7B">
      <w:pPr>
        <w:pStyle w:val="paragraphsub"/>
      </w:pPr>
      <w:r w:rsidRPr="00BA3F58">
        <w:tab/>
        <w:t>(</w:t>
      </w:r>
      <w:proofErr w:type="spellStart"/>
      <w:r w:rsidRPr="00BA3F58">
        <w:t>i</w:t>
      </w:r>
      <w:proofErr w:type="spellEnd"/>
      <w:r w:rsidRPr="00BA3F58">
        <w:t>)</w:t>
      </w:r>
      <w:r w:rsidRPr="00BA3F58">
        <w:tab/>
      </w:r>
      <w:r w:rsidR="00EA292D">
        <w:t xml:space="preserve">is a registered </w:t>
      </w:r>
      <w:r w:rsidR="007A56AD">
        <w:t>religious body</w:t>
      </w:r>
      <w:r w:rsidR="00A22A2E">
        <w:t>; and</w:t>
      </w:r>
    </w:p>
    <w:p w14:paraId="07E61CF4" w14:textId="5D35E26B" w:rsidR="005F4353" w:rsidRPr="00BA3F58" w:rsidRDefault="005F4353" w:rsidP="005F4353">
      <w:pPr>
        <w:pStyle w:val="paragraphsub"/>
      </w:pPr>
      <w:r w:rsidRPr="00BA3F58">
        <w:tab/>
        <w:t>(ii)</w:t>
      </w:r>
      <w:r w:rsidRPr="00BA3F58">
        <w:tab/>
        <w:t xml:space="preserve">offers </w:t>
      </w:r>
      <w:r w:rsidR="000F4E19">
        <w:t xml:space="preserve">a </w:t>
      </w:r>
      <w:r w:rsidR="008F1E85" w:rsidRPr="00BA3F58">
        <w:t>covere</w:t>
      </w:r>
      <w:r w:rsidR="0026503C" w:rsidRPr="00BA3F58">
        <w:t xml:space="preserve">d </w:t>
      </w:r>
      <w:r w:rsidRPr="00BA3F58">
        <w:t>product</w:t>
      </w:r>
      <w:r w:rsidR="000F4E19">
        <w:t xml:space="preserve"> or products</w:t>
      </w:r>
      <w:r w:rsidRPr="00BA3F58">
        <w:t xml:space="preserve"> </w:t>
      </w:r>
      <w:r w:rsidR="00535CC0">
        <w:t xml:space="preserve">in </w:t>
      </w:r>
      <w:r w:rsidR="00E651D5">
        <w:t>advancing its</w:t>
      </w:r>
      <w:r w:rsidR="004118C9" w:rsidRPr="00BA3F58">
        <w:t xml:space="preserve"> </w:t>
      </w:r>
      <w:r w:rsidRPr="00BA3F58">
        <w:t xml:space="preserve">charitable </w:t>
      </w:r>
      <w:proofErr w:type="gramStart"/>
      <w:r w:rsidRPr="00BA3F58">
        <w:t>purposes;</w:t>
      </w:r>
      <w:proofErr w:type="gramEnd"/>
    </w:p>
    <w:p w14:paraId="570E27EA" w14:textId="64040C6A" w:rsidR="00E57FB5" w:rsidRPr="00BA3F58" w:rsidRDefault="00E57FB5" w:rsidP="00E57FB5">
      <w:pPr>
        <w:pStyle w:val="paragraph"/>
      </w:pPr>
      <w:bookmarkStart w:id="29" w:name="_Hlk148001262"/>
      <w:r w:rsidRPr="00BA3F58">
        <w:tab/>
        <w:t>(b)</w:t>
      </w:r>
      <w:r w:rsidRPr="00BA3F58">
        <w:tab/>
      </w:r>
      <w:r w:rsidR="006F1E41" w:rsidRPr="00BA3F58">
        <w:t xml:space="preserve">a data holder </w:t>
      </w:r>
      <w:r w:rsidRPr="00BA3F58">
        <w:t>that is:</w:t>
      </w:r>
    </w:p>
    <w:p w14:paraId="551E19D1" w14:textId="06D76FF1" w:rsidR="00E57FB5" w:rsidRPr="00BA3F58" w:rsidRDefault="00E57FB5" w:rsidP="00E57FB5">
      <w:pPr>
        <w:pStyle w:val="paragraphsub"/>
      </w:pPr>
      <w:r w:rsidRPr="00BA3F58">
        <w:tab/>
        <w:t>(</w:t>
      </w:r>
      <w:proofErr w:type="spellStart"/>
      <w:r w:rsidRPr="00BA3F58">
        <w:t>i</w:t>
      </w:r>
      <w:proofErr w:type="spellEnd"/>
      <w:r w:rsidRPr="00BA3F58">
        <w:t>)</w:t>
      </w:r>
      <w:r w:rsidRPr="00BA3F58">
        <w:tab/>
        <w:t>a foreign ADI</w:t>
      </w:r>
      <w:r w:rsidR="006F1E41" w:rsidRPr="00BA3F58">
        <w:t xml:space="preserve"> for the purposes of the </w:t>
      </w:r>
      <w:r w:rsidR="006F1E41" w:rsidRPr="00BA3F58">
        <w:rPr>
          <w:i/>
        </w:rPr>
        <w:t>Banking Act 1959</w:t>
      </w:r>
      <w:r w:rsidRPr="00BA3F58">
        <w:t>; or</w:t>
      </w:r>
    </w:p>
    <w:bookmarkEnd w:id="29"/>
    <w:p w14:paraId="7ED150A5" w14:textId="2ADA6085" w:rsidR="00E57FB5" w:rsidRPr="00BA3F58" w:rsidRDefault="00E57FB5" w:rsidP="00E57FB5">
      <w:pPr>
        <w:pStyle w:val="paragraphsub"/>
      </w:pPr>
      <w:r w:rsidRPr="00BA3F58">
        <w:tab/>
        <w:t>(ii)</w:t>
      </w:r>
      <w:r w:rsidRPr="00BA3F58">
        <w:tab/>
        <w:t>a foreign branch of a</w:t>
      </w:r>
      <w:r w:rsidR="00EB04C9" w:rsidRPr="00BA3F58">
        <w:t>n Australia</w:t>
      </w:r>
      <w:r w:rsidR="00992D60" w:rsidRPr="00BA3F58">
        <w:t>n</w:t>
      </w:r>
      <w:r w:rsidR="00EB04C9" w:rsidRPr="00BA3F58">
        <w:t xml:space="preserve"> ADI</w:t>
      </w:r>
      <w:r w:rsidRPr="00BA3F58">
        <w:t>; or</w:t>
      </w:r>
    </w:p>
    <w:p w14:paraId="3F0FD575" w14:textId="773C0D1E" w:rsidR="00E57FB5" w:rsidRPr="00BA3F58" w:rsidRDefault="00E57FB5" w:rsidP="00E57FB5">
      <w:pPr>
        <w:pStyle w:val="paragraphsub"/>
      </w:pPr>
      <w:r w:rsidRPr="00BA3F58">
        <w:tab/>
        <w:t>(iii)</w:t>
      </w:r>
      <w:r w:rsidRPr="00BA3F58">
        <w:tab/>
        <w:t>a restricted ADI.</w:t>
      </w:r>
    </w:p>
    <w:p w14:paraId="0C6C8896" w14:textId="31F1CF37" w:rsidR="002A20DD" w:rsidRPr="00BA3F58" w:rsidRDefault="002A20DD" w:rsidP="00744782">
      <w:pPr>
        <w:pStyle w:val="ActHead3"/>
      </w:pPr>
      <w:bookmarkStart w:id="30" w:name="_Toc190683809"/>
      <w:bookmarkStart w:id="31" w:name="_Toc191450831"/>
      <w:bookmarkEnd w:id="28"/>
      <w:r w:rsidRPr="00BA3F58">
        <w:t>Division 1.3—Definitions</w:t>
      </w:r>
      <w:bookmarkEnd w:id="30"/>
      <w:bookmarkEnd w:id="31"/>
    </w:p>
    <w:p w14:paraId="3AC0A45B" w14:textId="16434E2F" w:rsidR="0076083A" w:rsidRPr="00BA3F58" w:rsidRDefault="0076083A" w:rsidP="00744782">
      <w:pPr>
        <w:pStyle w:val="ActHead5"/>
      </w:pPr>
      <w:bookmarkStart w:id="32" w:name="_Toc190683810"/>
      <w:bookmarkStart w:id="33" w:name="_Toc191450832"/>
      <w:proofErr w:type="gramStart"/>
      <w:r w:rsidRPr="00BA3F58">
        <w:t xml:space="preserve">1.2  </w:t>
      </w:r>
      <w:r w:rsidR="00CC4E69">
        <w:t>Definitions</w:t>
      </w:r>
      <w:bookmarkEnd w:id="32"/>
      <w:bookmarkEnd w:id="33"/>
      <w:proofErr w:type="gramEnd"/>
    </w:p>
    <w:p w14:paraId="0B6E03F0" w14:textId="77777777" w:rsidR="0076083A" w:rsidRPr="00BA3F58" w:rsidRDefault="0076083A" w:rsidP="0076083A">
      <w:pPr>
        <w:pStyle w:val="subsection"/>
      </w:pPr>
      <w:r w:rsidRPr="00BA3F58">
        <w:tab/>
      </w:r>
      <w:r w:rsidRPr="00BA3F58">
        <w:tab/>
        <w:t>In this Schedule:</w:t>
      </w:r>
    </w:p>
    <w:p w14:paraId="1699CF9A" w14:textId="77777777" w:rsidR="0076083A" w:rsidRPr="00BA3F58" w:rsidRDefault="0076083A" w:rsidP="0076083A">
      <w:pPr>
        <w:pStyle w:val="Definition"/>
      </w:pPr>
      <w:r w:rsidRPr="00BA3F58">
        <w:rPr>
          <w:b/>
          <w:i/>
        </w:rPr>
        <w:t>account data</w:t>
      </w:r>
      <w:r w:rsidRPr="00744782">
        <w:rPr>
          <w:bCs/>
          <w:iCs/>
        </w:rPr>
        <w:t xml:space="preserve"> </w:t>
      </w:r>
      <w:r w:rsidRPr="00BA3F58">
        <w:t>has the meaning given by clause 1.3 of this Schedule.</w:t>
      </w:r>
    </w:p>
    <w:p w14:paraId="25BE1061" w14:textId="24A74367" w:rsidR="0076083A" w:rsidRPr="00BA3F58" w:rsidRDefault="00821022" w:rsidP="0076083A">
      <w:pPr>
        <w:pStyle w:val="Definition"/>
      </w:pPr>
      <w:bookmarkStart w:id="34" w:name="_Hlk140783378"/>
      <w:r w:rsidRPr="00BA3F58">
        <w:rPr>
          <w:b/>
          <w:i/>
        </w:rPr>
        <w:t>accounting standard</w:t>
      </w:r>
      <w:r w:rsidRPr="00744782">
        <w:rPr>
          <w:bCs/>
          <w:iCs/>
        </w:rPr>
        <w:t xml:space="preserve"> </w:t>
      </w:r>
      <w:r w:rsidRPr="00BA3F58">
        <w:t xml:space="preserve">means an accounting standard made under </w:t>
      </w:r>
      <w:r w:rsidR="0076083A" w:rsidRPr="00BA3F58">
        <w:t xml:space="preserve">section 334 of the </w:t>
      </w:r>
      <w:r w:rsidR="0076083A" w:rsidRPr="00BA3F58">
        <w:rPr>
          <w:i/>
        </w:rPr>
        <w:t>Corporations Act 2001</w:t>
      </w:r>
      <w:r w:rsidR="0076083A" w:rsidRPr="00BA3F58">
        <w:t>.</w:t>
      </w:r>
    </w:p>
    <w:bookmarkEnd w:id="34"/>
    <w:p w14:paraId="3BE34B1F" w14:textId="77777777" w:rsidR="0076083A" w:rsidRPr="00BA3F58" w:rsidRDefault="0076083A" w:rsidP="0076083A">
      <w:pPr>
        <w:pStyle w:val="Definition"/>
        <w:rPr>
          <w:b/>
          <w:i/>
        </w:rPr>
      </w:pPr>
      <w:r w:rsidRPr="00BA3F58">
        <w:rPr>
          <w:b/>
          <w:i/>
        </w:rPr>
        <w:t>banking business</w:t>
      </w:r>
      <w:r w:rsidRPr="00744782">
        <w:rPr>
          <w:bCs/>
          <w:iCs/>
        </w:rPr>
        <w:t xml:space="preserve"> </w:t>
      </w:r>
      <w:r w:rsidRPr="00BA3F58">
        <w:t>has the meaning given by the banking sector designation instrument.</w:t>
      </w:r>
    </w:p>
    <w:p w14:paraId="19C5B3FD" w14:textId="77777777" w:rsidR="0076083A" w:rsidRPr="00BA3F58" w:rsidRDefault="0076083A" w:rsidP="0076083A">
      <w:pPr>
        <w:pStyle w:val="Definition"/>
      </w:pPr>
      <w:r w:rsidRPr="00BA3F58">
        <w:rPr>
          <w:b/>
          <w:i/>
        </w:rPr>
        <w:t>banking sector</w:t>
      </w:r>
      <w:r w:rsidRPr="00744782">
        <w:rPr>
          <w:bCs/>
          <w:iCs/>
        </w:rPr>
        <w:t xml:space="preserve"> </w:t>
      </w:r>
      <w:r w:rsidRPr="00BA3F58">
        <w:t>means the sector of the Australian economy that is designated by the banking sector designation instrument.</w:t>
      </w:r>
    </w:p>
    <w:p w14:paraId="5096AE93" w14:textId="77777777" w:rsidR="0076083A" w:rsidRPr="00BA3F58" w:rsidRDefault="0076083A" w:rsidP="0076083A">
      <w:pPr>
        <w:pStyle w:val="Definition"/>
      </w:pPr>
      <w:r w:rsidRPr="00BA3F58">
        <w:rPr>
          <w:b/>
          <w:i/>
        </w:rPr>
        <w:t>banking sector data</w:t>
      </w:r>
      <w:r w:rsidRPr="00744782">
        <w:rPr>
          <w:bCs/>
          <w:iCs/>
        </w:rPr>
        <w:t xml:space="preserve"> </w:t>
      </w:r>
      <w:r w:rsidRPr="00BA3F58">
        <w:t>means CDR data covered by the banking sector designation instrument.</w:t>
      </w:r>
    </w:p>
    <w:p w14:paraId="3FB42A0C" w14:textId="77777777" w:rsidR="0076083A" w:rsidRPr="00BA3F58" w:rsidRDefault="0076083A" w:rsidP="0076083A">
      <w:pPr>
        <w:pStyle w:val="Definition"/>
      </w:pPr>
      <w:r w:rsidRPr="00BA3F58">
        <w:rPr>
          <w:b/>
          <w:i/>
        </w:rPr>
        <w:t>banking sector designation instrument</w:t>
      </w:r>
      <w:r w:rsidRPr="00744782">
        <w:rPr>
          <w:bCs/>
          <w:iCs/>
        </w:rPr>
        <w:t xml:space="preserve"> </w:t>
      </w:r>
      <w:r w:rsidRPr="00BA3F58">
        <w:t xml:space="preserve">means the </w:t>
      </w:r>
      <w:r w:rsidRPr="00BA3F58">
        <w:rPr>
          <w:i/>
        </w:rPr>
        <w:t>Consumer Data Right (Authorised Deposit</w:t>
      </w:r>
      <w:r w:rsidRPr="00BA3F58">
        <w:rPr>
          <w:i/>
        </w:rPr>
        <w:noBreakHyphen/>
        <w:t>Taking Institutions) Designation 2019</w:t>
      </w:r>
      <w:r w:rsidRPr="00BA3F58">
        <w:t>.</w:t>
      </w:r>
    </w:p>
    <w:p w14:paraId="7DBDF6BB" w14:textId="4B07A776" w:rsidR="0076083A" w:rsidRPr="00BA3F58" w:rsidRDefault="0076083A" w:rsidP="0076083A">
      <w:pPr>
        <w:pStyle w:val="Definition"/>
      </w:pPr>
      <w:r w:rsidRPr="00BA3F58">
        <w:rPr>
          <w:b/>
          <w:i/>
        </w:rPr>
        <w:t>covered product</w:t>
      </w:r>
      <w:r w:rsidRPr="00744782">
        <w:rPr>
          <w:bCs/>
          <w:iCs/>
        </w:rPr>
        <w:t xml:space="preserve"> </w:t>
      </w:r>
      <w:r w:rsidRPr="00BA3F58">
        <w:t>has the meaning given by clause 1.4 of this Schedule.</w:t>
      </w:r>
    </w:p>
    <w:p w14:paraId="7BAF651B" w14:textId="77777777" w:rsidR="0076083A" w:rsidRPr="00BA3F58" w:rsidRDefault="0076083A" w:rsidP="0076083A">
      <w:pPr>
        <w:pStyle w:val="Definition"/>
      </w:pPr>
      <w:r w:rsidRPr="00BA3F58">
        <w:rPr>
          <w:b/>
          <w:i/>
        </w:rPr>
        <w:t>customer data</w:t>
      </w:r>
      <w:r w:rsidRPr="00BA3F58">
        <w:t xml:space="preserve"> has the meaning given by clause 1.3 of this Schedule.</w:t>
      </w:r>
    </w:p>
    <w:p w14:paraId="12C6C2B5" w14:textId="77777777" w:rsidR="0076083A" w:rsidRPr="00BA3F58" w:rsidRDefault="0076083A" w:rsidP="0076083A">
      <w:pPr>
        <w:pStyle w:val="Definition"/>
      </w:pPr>
      <w:r w:rsidRPr="00BA3F58">
        <w:rPr>
          <w:b/>
          <w:i/>
        </w:rPr>
        <w:t>excluded data holder</w:t>
      </w:r>
      <w:r w:rsidRPr="00744782">
        <w:rPr>
          <w:bCs/>
          <w:iCs/>
        </w:rPr>
        <w:t xml:space="preserve"> </w:t>
      </w:r>
      <w:bookmarkStart w:id="35" w:name="_Hlk130561717"/>
      <w:r w:rsidR="005A1443" w:rsidRPr="00BA3F58">
        <w:t>has the meaning given by clause 1.1A of this Schedule.</w:t>
      </w:r>
      <w:bookmarkEnd w:id="35"/>
    </w:p>
    <w:p w14:paraId="060F60B4" w14:textId="20FEFF2A" w:rsidR="009F7C6D" w:rsidRPr="00BA3F58" w:rsidRDefault="009F7C6D" w:rsidP="009F7C6D">
      <w:pPr>
        <w:pStyle w:val="Definition"/>
      </w:pPr>
      <w:r w:rsidRPr="00BA3F58">
        <w:rPr>
          <w:b/>
          <w:i/>
        </w:rPr>
        <w:t>NBL sector</w:t>
      </w:r>
      <w:r w:rsidRPr="00BA3F58">
        <w:t xml:space="preserve">, or </w:t>
      </w:r>
      <w:r w:rsidRPr="00BA3F58">
        <w:rPr>
          <w:b/>
          <w:i/>
        </w:rPr>
        <w:t>non-bank lenders sector</w:t>
      </w:r>
      <w:r w:rsidRPr="00BA3F58">
        <w:t>, means the sector of the Australian economy that is designated by the NBL sector designation instrument.</w:t>
      </w:r>
    </w:p>
    <w:p w14:paraId="16FD96AF" w14:textId="77777777" w:rsidR="0076083A" w:rsidRPr="00BA3F58" w:rsidRDefault="0076083A" w:rsidP="0076083A">
      <w:pPr>
        <w:pStyle w:val="Definition"/>
      </w:pPr>
      <w:r w:rsidRPr="00BA3F58">
        <w:rPr>
          <w:b/>
          <w:i/>
        </w:rPr>
        <w:t>NBL sector data</w:t>
      </w:r>
      <w:r w:rsidRPr="00744782">
        <w:rPr>
          <w:bCs/>
          <w:iCs/>
        </w:rPr>
        <w:t xml:space="preserve"> </w:t>
      </w:r>
      <w:r w:rsidRPr="00BA3F58">
        <w:t>means CDR data covered by the NBL sector designation instrument.</w:t>
      </w:r>
    </w:p>
    <w:p w14:paraId="198A8162" w14:textId="77777777" w:rsidR="0076083A" w:rsidRPr="00BA3F58" w:rsidRDefault="0076083A" w:rsidP="0076083A">
      <w:pPr>
        <w:pStyle w:val="Definition"/>
      </w:pPr>
      <w:r w:rsidRPr="00BA3F58">
        <w:rPr>
          <w:b/>
          <w:i/>
        </w:rPr>
        <w:t>NBL sector designation instrument</w:t>
      </w:r>
      <w:r w:rsidRPr="00744782">
        <w:rPr>
          <w:bCs/>
          <w:iCs/>
        </w:rPr>
        <w:t xml:space="preserve"> </w:t>
      </w:r>
      <w:r w:rsidRPr="00BA3F58">
        <w:t xml:space="preserve">means the </w:t>
      </w:r>
      <w:r w:rsidRPr="00BA3F58">
        <w:rPr>
          <w:i/>
        </w:rPr>
        <w:t>Consumer Data Right (Non-Bank Lenders) Designation 2022.</w:t>
      </w:r>
    </w:p>
    <w:p w14:paraId="71923CDA" w14:textId="77777777" w:rsidR="0076083A" w:rsidRPr="00BA3F58" w:rsidRDefault="0076083A" w:rsidP="0076083A">
      <w:pPr>
        <w:pStyle w:val="Definition"/>
      </w:pPr>
      <w:r w:rsidRPr="00BA3F58">
        <w:rPr>
          <w:b/>
          <w:i/>
        </w:rPr>
        <w:lastRenderedPageBreak/>
        <w:t>product</w:t>
      </w:r>
      <w:r w:rsidRPr="00744782">
        <w:rPr>
          <w:bCs/>
          <w:iCs/>
        </w:rPr>
        <w:t xml:space="preserve"> </w:t>
      </w:r>
      <w:r w:rsidRPr="00BA3F58">
        <w:t>has the meaning given by the banking sector designation instrument or the NBL sector designation instrument, as applicable.</w:t>
      </w:r>
    </w:p>
    <w:p w14:paraId="12357680" w14:textId="77777777" w:rsidR="0076083A" w:rsidRPr="00BA3F58" w:rsidRDefault="0076083A" w:rsidP="0076083A">
      <w:pPr>
        <w:pStyle w:val="Definition"/>
      </w:pPr>
      <w:r w:rsidRPr="00BA3F58">
        <w:rPr>
          <w:b/>
          <w:i/>
        </w:rPr>
        <w:t>product specific data</w:t>
      </w:r>
      <w:r w:rsidRPr="00BA3F58">
        <w:t xml:space="preserve"> has the meaning given by clause 1.3 of this Schedule.</w:t>
      </w:r>
    </w:p>
    <w:p w14:paraId="05071451" w14:textId="744B3E45" w:rsidR="00316A70" w:rsidRDefault="00A22A2E" w:rsidP="0076083A">
      <w:pPr>
        <w:pStyle w:val="Definition"/>
        <w:rPr>
          <w:color w:val="000000"/>
          <w:szCs w:val="22"/>
        </w:rPr>
      </w:pPr>
      <w:r>
        <w:rPr>
          <w:b/>
          <w:bCs/>
          <w:i/>
          <w:iCs/>
          <w:color w:val="000000"/>
          <w:szCs w:val="22"/>
        </w:rPr>
        <w:t xml:space="preserve">registered </w:t>
      </w:r>
      <w:r w:rsidR="007A56AD">
        <w:rPr>
          <w:b/>
          <w:bCs/>
          <w:i/>
          <w:iCs/>
          <w:color w:val="000000"/>
          <w:szCs w:val="22"/>
        </w:rPr>
        <w:t>religious body</w:t>
      </w:r>
      <w:r>
        <w:rPr>
          <w:color w:val="000000"/>
          <w:szCs w:val="22"/>
        </w:rPr>
        <w:t> means</w:t>
      </w:r>
      <w:r w:rsidR="00316A70" w:rsidRPr="00316A70">
        <w:t xml:space="preserve"> </w:t>
      </w:r>
      <w:r w:rsidR="00316A70">
        <w:t>an entity that is</w:t>
      </w:r>
      <w:r w:rsidR="007A56AD">
        <w:rPr>
          <w:color w:val="000000"/>
          <w:szCs w:val="22"/>
        </w:rPr>
        <w:t>:</w:t>
      </w:r>
    </w:p>
    <w:p w14:paraId="645FB20E" w14:textId="04E5ADF5" w:rsidR="00A22A2E" w:rsidRDefault="00316A70" w:rsidP="00316A70">
      <w:pPr>
        <w:pStyle w:val="paragraph"/>
      </w:pPr>
      <w:r>
        <w:tab/>
        <w:t>(a)</w:t>
      </w:r>
      <w:r>
        <w:tab/>
      </w:r>
      <w:r w:rsidR="00A22A2E">
        <w:t>registered under the </w:t>
      </w:r>
      <w:r w:rsidR="00A22A2E">
        <w:rPr>
          <w:i/>
          <w:iCs/>
        </w:rPr>
        <w:t>Australian Charities and Not</w:t>
      </w:r>
      <w:r w:rsidR="00A22A2E">
        <w:rPr>
          <w:i/>
          <w:iCs/>
        </w:rPr>
        <w:noBreakHyphen/>
        <w:t>for</w:t>
      </w:r>
      <w:r w:rsidR="00A22A2E">
        <w:rPr>
          <w:i/>
          <w:iCs/>
        </w:rPr>
        <w:noBreakHyphen/>
        <w:t>profits Commission Act 2012</w:t>
      </w:r>
      <w:r w:rsidR="00A22A2E">
        <w:t> as the type of entity mentioned in column 1 of item 1 of the table in subsection 25</w:t>
      </w:r>
      <w:r w:rsidR="00A22A2E">
        <w:noBreakHyphen/>
        <w:t>5(5) of that Act</w:t>
      </w:r>
      <w:r>
        <w:t>; and</w:t>
      </w:r>
    </w:p>
    <w:p w14:paraId="725458EB" w14:textId="3A0FFF90" w:rsidR="00316A70" w:rsidRDefault="00316A70" w:rsidP="00744782">
      <w:pPr>
        <w:pStyle w:val="paragraph"/>
        <w:rPr>
          <w:b/>
          <w:i/>
        </w:rPr>
      </w:pPr>
      <w:r>
        <w:tab/>
        <w:t>(b)</w:t>
      </w:r>
      <w:r>
        <w:tab/>
      </w:r>
      <w:r w:rsidR="001040FB">
        <w:rPr>
          <w:color w:val="000000"/>
          <w:szCs w:val="22"/>
        </w:rPr>
        <w:t>registered under the </w:t>
      </w:r>
      <w:r w:rsidR="001040FB">
        <w:rPr>
          <w:i/>
          <w:iCs/>
          <w:color w:val="000000"/>
          <w:szCs w:val="22"/>
        </w:rPr>
        <w:t>Australian Charities and Not</w:t>
      </w:r>
      <w:r w:rsidR="001040FB">
        <w:rPr>
          <w:i/>
          <w:iCs/>
          <w:color w:val="000000"/>
          <w:szCs w:val="22"/>
        </w:rPr>
        <w:noBreakHyphen/>
        <w:t>for</w:t>
      </w:r>
      <w:r w:rsidR="001040FB">
        <w:rPr>
          <w:i/>
          <w:iCs/>
          <w:color w:val="000000"/>
          <w:szCs w:val="22"/>
        </w:rPr>
        <w:noBreakHyphen/>
        <w:t>profits Commission Act 2012</w:t>
      </w:r>
      <w:r w:rsidR="001040FB">
        <w:rPr>
          <w:color w:val="000000"/>
          <w:szCs w:val="22"/>
        </w:rPr>
        <w:t> as the subtype of entity mentioned in column 2 of item 4 of the table in subsection 25</w:t>
      </w:r>
      <w:r w:rsidR="001040FB">
        <w:rPr>
          <w:color w:val="000000"/>
          <w:szCs w:val="22"/>
        </w:rPr>
        <w:noBreakHyphen/>
        <w:t>5(5) of that Act.</w:t>
      </w:r>
    </w:p>
    <w:p w14:paraId="280FD75B" w14:textId="2043CEC2" w:rsidR="0076083A" w:rsidRPr="00BA3F58" w:rsidRDefault="0076083A" w:rsidP="0076083A">
      <w:pPr>
        <w:pStyle w:val="Definition"/>
      </w:pPr>
      <w:r w:rsidRPr="00BA3F58">
        <w:rPr>
          <w:b/>
          <w:i/>
        </w:rPr>
        <w:t>relevant non-bank lender</w:t>
      </w:r>
      <w:r w:rsidRPr="00744782">
        <w:rPr>
          <w:bCs/>
          <w:iCs/>
        </w:rPr>
        <w:t xml:space="preserve"> </w:t>
      </w:r>
      <w:r w:rsidRPr="00BA3F58">
        <w:t>has the meaning given by the NBL sector designation instrument.</w:t>
      </w:r>
    </w:p>
    <w:p w14:paraId="3AEF2A6D" w14:textId="77777777" w:rsidR="0076083A" w:rsidRPr="00BA3F58" w:rsidRDefault="0076083A" w:rsidP="0076083A">
      <w:pPr>
        <w:pStyle w:val="Definition"/>
      </w:pPr>
      <w:r w:rsidRPr="00BA3F58">
        <w:rPr>
          <w:b/>
          <w:i/>
        </w:rPr>
        <w:t>transaction data</w:t>
      </w:r>
      <w:r w:rsidRPr="00BA3F58">
        <w:t xml:space="preserve"> has the meaning given by clause 1.3 of this Schedule.</w:t>
      </w:r>
    </w:p>
    <w:p w14:paraId="043B7E2E" w14:textId="77777777" w:rsidR="0076083A" w:rsidRPr="00BA3F58" w:rsidRDefault="0076083A" w:rsidP="00744782">
      <w:pPr>
        <w:pStyle w:val="ActHead5"/>
      </w:pPr>
      <w:bookmarkStart w:id="36" w:name="_Toc190683811"/>
      <w:bookmarkStart w:id="37" w:name="_Toc191450833"/>
      <w:proofErr w:type="gramStart"/>
      <w:r w:rsidRPr="00BA3F58">
        <w:t>1.3  Meaning</w:t>
      </w:r>
      <w:proofErr w:type="gramEnd"/>
      <w:r w:rsidRPr="00BA3F58">
        <w:t xml:space="preserve"> of </w:t>
      </w:r>
      <w:r w:rsidRPr="00744782">
        <w:rPr>
          <w:i/>
          <w:iCs/>
        </w:rPr>
        <w:t>customer data,</w:t>
      </w:r>
      <w:r w:rsidRPr="00BA3F58">
        <w:t xml:space="preserve"> </w:t>
      </w:r>
      <w:r w:rsidRPr="00744782">
        <w:rPr>
          <w:i/>
          <w:iCs/>
        </w:rPr>
        <w:t>account data</w:t>
      </w:r>
      <w:r w:rsidRPr="00BA3F58">
        <w:t xml:space="preserve">, </w:t>
      </w:r>
      <w:r w:rsidRPr="00744782">
        <w:rPr>
          <w:i/>
          <w:iCs/>
        </w:rPr>
        <w:t>transaction data</w:t>
      </w:r>
      <w:r w:rsidRPr="00BA3F58">
        <w:t xml:space="preserve"> and </w:t>
      </w:r>
      <w:r w:rsidRPr="00744782">
        <w:rPr>
          <w:i/>
          <w:iCs/>
        </w:rPr>
        <w:t>product specific data</w:t>
      </w:r>
      <w:bookmarkEnd w:id="36"/>
      <w:bookmarkEnd w:id="37"/>
    </w:p>
    <w:p w14:paraId="18929F3A" w14:textId="0B96B611" w:rsidR="0076083A" w:rsidRPr="00BA3F58" w:rsidRDefault="0076083A" w:rsidP="0076083A">
      <w:pPr>
        <w:pStyle w:val="subsection"/>
      </w:pPr>
      <w:r w:rsidRPr="00BA3F58">
        <w:tab/>
      </w:r>
      <w:r w:rsidR="00607B40">
        <w:t>(1)</w:t>
      </w:r>
      <w:r w:rsidRPr="00BA3F58">
        <w:tab/>
      </w:r>
      <w:r w:rsidR="00033776">
        <w:t>A</w:t>
      </w:r>
      <w:r w:rsidRPr="00BA3F58">
        <w:t xml:space="preserve"> term listed in column 1 of </w:t>
      </w:r>
      <w:r w:rsidR="00B9153D">
        <w:t xml:space="preserve">an item in </w:t>
      </w:r>
      <w:r w:rsidRPr="00BA3F58">
        <w:t xml:space="preserve">the </w:t>
      </w:r>
      <w:r w:rsidR="00033776">
        <w:t xml:space="preserve">following </w:t>
      </w:r>
      <w:r w:rsidRPr="00BA3F58">
        <w:t xml:space="preserve">table has the meaning </w:t>
      </w:r>
      <w:r w:rsidR="00B9153D">
        <w:t xml:space="preserve">set out in </w:t>
      </w:r>
      <w:r w:rsidRPr="00BA3F58">
        <w:t>column 2</w:t>
      </w:r>
      <w:r w:rsidR="00B9153D">
        <w:t xml:space="preserve"> of that item</w:t>
      </w:r>
      <w:r w:rsidRPr="00BA3F58">
        <w:t>.</w:t>
      </w:r>
    </w:p>
    <w:p w14:paraId="65F804F4" w14:textId="77777777" w:rsidR="003638F3" w:rsidRPr="00662EF5" w:rsidRDefault="003638F3" w:rsidP="00744782">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1974"/>
        <w:gridCol w:w="5914"/>
      </w:tblGrid>
      <w:tr w:rsidR="00835D8E" w:rsidRPr="00BA3F58" w14:paraId="4C51DFBC" w14:textId="77777777" w:rsidTr="000D51B1">
        <w:trPr>
          <w:tblHeader/>
        </w:trPr>
        <w:tc>
          <w:tcPr>
            <w:tcW w:w="5000" w:type="pct"/>
            <w:gridSpan w:val="3"/>
            <w:tcBorders>
              <w:top w:val="single" w:sz="12" w:space="0" w:color="auto"/>
              <w:bottom w:val="single" w:sz="2" w:space="0" w:color="auto"/>
            </w:tcBorders>
          </w:tcPr>
          <w:p w14:paraId="4BF33555" w14:textId="77777777" w:rsidR="0076083A" w:rsidRPr="00BA3F58" w:rsidRDefault="0076083A" w:rsidP="000D51B1">
            <w:pPr>
              <w:pStyle w:val="TableHeading"/>
              <w:jc w:val="center"/>
            </w:pPr>
            <w:r w:rsidRPr="00BA3F58">
              <w:t xml:space="preserve">Meaning of </w:t>
            </w:r>
            <w:r w:rsidRPr="00BA3F58">
              <w:rPr>
                <w:i/>
              </w:rPr>
              <w:t>customer data</w:t>
            </w:r>
            <w:r w:rsidRPr="00BA3F58">
              <w:t xml:space="preserve">, </w:t>
            </w:r>
            <w:r w:rsidRPr="00BA3F58">
              <w:rPr>
                <w:i/>
              </w:rPr>
              <w:t>account data</w:t>
            </w:r>
            <w:r w:rsidRPr="00BA3F58">
              <w:t xml:space="preserve">, </w:t>
            </w:r>
            <w:r w:rsidRPr="00BA3F58">
              <w:rPr>
                <w:i/>
              </w:rPr>
              <w:t xml:space="preserve">transaction data </w:t>
            </w:r>
            <w:r w:rsidRPr="00BA3F58">
              <w:t xml:space="preserve">and </w:t>
            </w:r>
            <w:r w:rsidRPr="00BA3F58">
              <w:rPr>
                <w:i/>
              </w:rPr>
              <w:t>product specific</w:t>
            </w:r>
            <w:r w:rsidRPr="00BA3F58">
              <w:rPr>
                <w:b w:val="0"/>
                <w:i/>
              </w:rPr>
              <w:t xml:space="preserve"> </w:t>
            </w:r>
            <w:r w:rsidRPr="00BA3F58">
              <w:rPr>
                <w:i/>
              </w:rPr>
              <w:t>data</w:t>
            </w:r>
          </w:p>
        </w:tc>
      </w:tr>
      <w:tr w:rsidR="00835D8E" w:rsidRPr="00BA3F58" w14:paraId="352A7866" w14:textId="77777777" w:rsidTr="000D51B1">
        <w:trPr>
          <w:tblHeader/>
        </w:trPr>
        <w:tc>
          <w:tcPr>
            <w:tcW w:w="256" w:type="pct"/>
            <w:tcBorders>
              <w:top w:val="single" w:sz="2" w:space="0" w:color="auto"/>
              <w:bottom w:val="single" w:sz="12" w:space="0" w:color="auto"/>
              <w:right w:val="nil"/>
            </w:tcBorders>
          </w:tcPr>
          <w:p w14:paraId="7C0111AD" w14:textId="77777777" w:rsidR="0076083A" w:rsidRPr="00BA3F58" w:rsidRDefault="0076083A" w:rsidP="000D51B1">
            <w:pPr>
              <w:pStyle w:val="TableHeading"/>
            </w:pPr>
          </w:p>
        </w:tc>
        <w:tc>
          <w:tcPr>
            <w:tcW w:w="1187" w:type="pct"/>
            <w:tcBorders>
              <w:top w:val="single" w:sz="2" w:space="0" w:color="auto"/>
              <w:left w:val="nil"/>
              <w:bottom w:val="single" w:sz="12" w:space="0" w:color="auto"/>
              <w:right w:val="nil"/>
            </w:tcBorders>
          </w:tcPr>
          <w:p w14:paraId="501006A5" w14:textId="77777777" w:rsidR="0076083A" w:rsidRPr="00BA3F58" w:rsidRDefault="0076083A" w:rsidP="000D51B1">
            <w:pPr>
              <w:pStyle w:val="TableHeading"/>
            </w:pPr>
            <w:r w:rsidRPr="00BA3F58">
              <w:t>Column 1</w:t>
            </w:r>
          </w:p>
        </w:tc>
        <w:tc>
          <w:tcPr>
            <w:tcW w:w="3557" w:type="pct"/>
            <w:tcBorders>
              <w:top w:val="single" w:sz="2" w:space="0" w:color="auto"/>
              <w:left w:val="nil"/>
              <w:bottom w:val="single" w:sz="12" w:space="0" w:color="auto"/>
              <w:right w:val="nil"/>
            </w:tcBorders>
          </w:tcPr>
          <w:p w14:paraId="11DBB7E5" w14:textId="77777777" w:rsidR="0076083A" w:rsidRPr="00BA3F58" w:rsidRDefault="0076083A" w:rsidP="000D51B1">
            <w:pPr>
              <w:pStyle w:val="TableHeading"/>
            </w:pPr>
            <w:r w:rsidRPr="00BA3F58">
              <w:t>Column 2</w:t>
            </w:r>
          </w:p>
        </w:tc>
      </w:tr>
      <w:tr w:rsidR="00835D8E" w:rsidRPr="00BA3F58" w14:paraId="3E3848F4" w14:textId="77777777" w:rsidTr="000D51B1">
        <w:tc>
          <w:tcPr>
            <w:tcW w:w="256" w:type="pct"/>
            <w:tcBorders>
              <w:top w:val="single" w:sz="12" w:space="0" w:color="auto"/>
              <w:bottom w:val="single" w:sz="2" w:space="0" w:color="auto"/>
              <w:right w:val="nil"/>
            </w:tcBorders>
          </w:tcPr>
          <w:p w14:paraId="3959C157" w14:textId="77777777" w:rsidR="0076083A" w:rsidRPr="00BA3F58" w:rsidRDefault="0076083A" w:rsidP="000D51B1">
            <w:pPr>
              <w:pStyle w:val="Tabletext"/>
            </w:pPr>
            <w:r w:rsidRPr="00BA3F58">
              <w:t>1</w:t>
            </w:r>
          </w:p>
        </w:tc>
        <w:tc>
          <w:tcPr>
            <w:tcW w:w="1187" w:type="pct"/>
            <w:tcBorders>
              <w:top w:val="single" w:sz="12" w:space="0" w:color="auto"/>
              <w:left w:val="nil"/>
              <w:bottom w:val="single" w:sz="2" w:space="0" w:color="auto"/>
              <w:right w:val="nil"/>
            </w:tcBorders>
          </w:tcPr>
          <w:p w14:paraId="435AE9BE" w14:textId="4EE15908" w:rsidR="0076083A" w:rsidRPr="00BA3F58" w:rsidRDefault="0076083A" w:rsidP="000D51B1">
            <w:pPr>
              <w:pStyle w:val="Tabletext"/>
            </w:pPr>
            <w:r w:rsidRPr="00BA3F58">
              <w:rPr>
                <w:b/>
                <w:i/>
              </w:rPr>
              <w:t>customer data</w:t>
            </w:r>
            <w:r w:rsidRPr="00BA3F58">
              <w:t>, in relation to a person</w:t>
            </w:r>
            <w:r w:rsidR="006933CB">
              <w:t xml:space="preserve"> and a covered product</w:t>
            </w:r>
            <w:r w:rsidR="002B49F7">
              <w:t xml:space="preserve"> supplied by a data holder</w:t>
            </w:r>
          </w:p>
        </w:tc>
        <w:tc>
          <w:tcPr>
            <w:tcW w:w="3557" w:type="pct"/>
            <w:tcBorders>
              <w:top w:val="single" w:sz="12" w:space="0" w:color="auto"/>
              <w:left w:val="nil"/>
              <w:bottom w:val="single" w:sz="2" w:space="0" w:color="auto"/>
              <w:right w:val="nil"/>
            </w:tcBorders>
          </w:tcPr>
          <w:p w14:paraId="11C5EE46" w14:textId="7A4F3684" w:rsidR="0076083A" w:rsidRPr="00BA3F58" w:rsidRDefault="0076083A" w:rsidP="000D51B1">
            <w:pPr>
              <w:pStyle w:val="Tablea"/>
            </w:pPr>
            <w:r w:rsidRPr="00BA3F58">
              <w:t>(a)</w:t>
            </w:r>
            <w:r w:rsidR="00662EF5">
              <w:t xml:space="preserve"> </w:t>
            </w:r>
            <w:r w:rsidRPr="00BA3F58">
              <w:t xml:space="preserve">means information </w:t>
            </w:r>
            <w:r w:rsidR="00924D9F">
              <w:t xml:space="preserve">that </w:t>
            </w:r>
            <w:r w:rsidRPr="00BA3F58">
              <w:t>identifies or is about the person; and</w:t>
            </w:r>
          </w:p>
          <w:p w14:paraId="7152BB82" w14:textId="4BEB4DBA" w:rsidR="0076083A" w:rsidRPr="00BA3F58" w:rsidRDefault="0076083A" w:rsidP="000D51B1">
            <w:pPr>
              <w:pStyle w:val="Tablea"/>
            </w:pPr>
            <w:r w:rsidRPr="00BA3F58">
              <w:t>(b)</w:t>
            </w:r>
            <w:r w:rsidR="00EF030A">
              <w:t xml:space="preserve"> </w:t>
            </w:r>
            <w:r w:rsidRPr="00BA3F58">
              <w:t>includes:</w:t>
            </w:r>
          </w:p>
          <w:p w14:paraId="0DF06064" w14:textId="4E4351CB" w:rsidR="0076083A" w:rsidRPr="00BA3F58" w:rsidRDefault="0076083A" w:rsidP="000D51B1">
            <w:pPr>
              <w:pStyle w:val="Tablei"/>
            </w:pPr>
            <w:r w:rsidRPr="00BA3F58">
              <w:t>(</w:t>
            </w:r>
            <w:proofErr w:type="spellStart"/>
            <w:r w:rsidRPr="00BA3F58">
              <w:t>i</w:t>
            </w:r>
            <w:proofErr w:type="spellEnd"/>
            <w:r w:rsidRPr="00BA3F58">
              <w:t>)</w:t>
            </w:r>
            <w:r w:rsidR="00937BBA">
              <w:t xml:space="preserve"> </w:t>
            </w:r>
            <w:r w:rsidRPr="00BA3F58">
              <w:t>the person’s name; and</w:t>
            </w:r>
          </w:p>
          <w:p w14:paraId="1C490943" w14:textId="7D16DB43" w:rsidR="0076083A" w:rsidRPr="00BA3F58" w:rsidRDefault="0076083A" w:rsidP="009819DA">
            <w:pPr>
              <w:pStyle w:val="Tablei"/>
            </w:pPr>
            <w:r w:rsidRPr="00BA3F58">
              <w:t>(ii)</w:t>
            </w:r>
            <w:r w:rsidR="00937BBA">
              <w:t xml:space="preserve"> </w:t>
            </w:r>
            <w:r w:rsidRPr="00BA3F58">
              <w:t>the person’s contact details, including thei</w:t>
            </w:r>
            <w:r w:rsidR="002A54F4">
              <w:t xml:space="preserve">r </w:t>
            </w:r>
            <w:r w:rsidRPr="00BA3F58">
              <w:t>telephone number</w:t>
            </w:r>
            <w:r w:rsidR="002A54F4">
              <w:t xml:space="preserve">, </w:t>
            </w:r>
            <w:r w:rsidRPr="00BA3F58">
              <w:t>email address and</w:t>
            </w:r>
            <w:r w:rsidR="006933CB">
              <w:t xml:space="preserve"> </w:t>
            </w:r>
            <w:r w:rsidRPr="00BA3F58">
              <w:t>physical address; and</w:t>
            </w:r>
          </w:p>
          <w:p w14:paraId="356116E4" w14:textId="579212C7" w:rsidR="0076083A" w:rsidRPr="00BA3F58" w:rsidRDefault="0076083A" w:rsidP="009819DA">
            <w:pPr>
              <w:pStyle w:val="Tablei"/>
            </w:pPr>
            <w:r w:rsidRPr="00BA3F58">
              <w:t>(iii)</w:t>
            </w:r>
            <w:r w:rsidR="00937BBA">
              <w:t xml:space="preserve"> </w:t>
            </w:r>
            <w:r w:rsidRPr="00BA3F58">
              <w:t>any information that</w:t>
            </w:r>
            <w:r w:rsidR="00127300">
              <w:t xml:space="preserve"> </w:t>
            </w:r>
            <w:r w:rsidRPr="00BA3F58">
              <w:t xml:space="preserve">the person provided at the time of acquiring </w:t>
            </w:r>
            <w:r w:rsidR="00127300">
              <w:t xml:space="preserve">the </w:t>
            </w:r>
            <w:r w:rsidRPr="00BA3F58">
              <w:t>product</w:t>
            </w:r>
            <w:r w:rsidR="00127300">
              <w:t xml:space="preserve">, </w:t>
            </w:r>
            <w:r w:rsidRPr="00BA3F58">
              <w:t>and</w:t>
            </w:r>
            <w:r w:rsidR="00127300">
              <w:t xml:space="preserve"> </w:t>
            </w:r>
            <w:r w:rsidRPr="00BA3F58">
              <w:t>relates to their eligibility to acquire th</w:t>
            </w:r>
            <w:r w:rsidR="00B11FD3">
              <w:t>e</w:t>
            </w:r>
            <w:r w:rsidRPr="00BA3F58">
              <w:t xml:space="preserve"> product; and</w:t>
            </w:r>
          </w:p>
          <w:p w14:paraId="1970CA97" w14:textId="4E78331D" w:rsidR="00B63B19" w:rsidRPr="00BA3F58" w:rsidRDefault="0076083A" w:rsidP="009819DA">
            <w:pPr>
              <w:pStyle w:val="Tablei"/>
              <w:rPr>
                <w:lang w:eastAsia="en-US"/>
              </w:rPr>
            </w:pPr>
            <w:r w:rsidRPr="00BA3F58">
              <w:t>(iv)</w:t>
            </w:r>
            <w:r w:rsidR="00937BBA">
              <w:t xml:space="preserve"> </w:t>
            </w:r>
            <w:r w:rsidRPr="00BA3F58">
              <w:t>if the person operates a business—the person’s business name</w:t>
            </w:r>
            <w:r w:rsidR="002A4BE7">
              <w:t xml:space="preserve"> and </w:t>
            </w:r>
            <w:bookmarkStart w:id="38" w:name="_Hlk115451000"/>
            <w:r w:rsidR="00F47269" w:rsidRPr="00BA3F58">
              <w:t>ABN</w:t>
            </w:r>
            <w:r w:rsidR="002A4BE7">
              <w:t xml:space="preserve">, </w:t>
            </w:r>
            <w:bookmarkEnd w:id="38"/>
            <w:r w:rsidR="00B63B19" w:rsidRPr="00BA3F58">
              <w:rPr>
                <w:lang w:eastAsia="en-US"/>
              </w:rPr>
              <w:t>the type of business</w:t>
            </w:r>
            <w:r w:rsidR="002A4BE7">
              <w:rPr>
                <w:lang w:eastAsia="en-US"/>
              </w:rPr>
              <w:t xml:space="preserve">, its </w:t>
            </w:r>
            <w:r w:rsidR="005455A6">
              <w:rPr>
                <w:lang w:eastAsia="en-US"/>
              </w:rPr>
              <w:t xml:space="preserve">date of </w:t>
            </w:r>
            <w:r w:rsidR="00B63B19" w:rsidRPr="00BA3F58">
              <w:rPr>
                <w:lang w:eastAsia="en-US"/>
              </w:rPr>
              <w:t>establish</w:t>
            </w:r>
            <w:r w:rsidR="005455A6">
              <w:rPr>
                <w:lang w:eastAsia="en-US"/>
              </w:rPr>
              <w:t xml:space="preserve">ment, </w:t>
            </w:r>
            <w:r w:rsidR="00B63B19" w:rsidRPr="00BA3F58">
              <w:rPr>
                <w:lang w:eastAsia="en-US"/>
              </w:rPr>
              <w:t>the organisation type</w:t>
            </w:r>
            <w:r w:rsidR="00482679">
              <w:rPr>
                <w:lang w:eastAsia="en-US"/>
              </w:rPr>
              <w:t xml:space="preserve"> </w:t>
            </w:r>
            <w:r w:rsidR="001E6B11">
              <w:rPr>
                <w:lang w:eastAsia="en-US"/>
              </w:rPr>
              <w:t>(</w:t>
            </w:r>
            <w:r w:rsidR="001E6B11">
              <w:t xml:space="preserve">for example, </w:t>
            </w:r>
            <w:r w:rsidR="00685BF7">
              <w:t xml:space="preserve">a </w:t>
            </w:r>
            <w:r w:rsidR="00610CEB">
              <w:t>sole trader, partnership or corporation)</w:t>
            </w:r>
            <w:r w:rsidR="00482679">
              <w:rPr>
                <w:lang w:eastAsia="en-US"/>
              </w:rPr>
              <w:t xml:space="preserve">, and </w:t>
            </w:r>
            <w:r w:rsidR="00B63B19" w:rsidRPr="00BA3F58">
              <w:rPr>
                <w:lang w:eastAsia="en-US"/>
              </w:rPr>
              <w:t>whether the business is a charitable or not</w:t>
            </w:r>
            <w:r w:rsidR="00B63B19" w:rsidRPr="00BA3F58">
              <w:rPr>
                <w:lang w:eastAsia="en-US"/>
              </w:rPr>
              <w:noBreakHyphen/>
              <w:t>for</w:t>
            </w:r>
            <w:r w:rsidR="00B63B19" w:rsidRPr="00BA3F58">
              <w:rPr>
                <w:lang w:eastAsia="en-US"/>
              </w:rPr>
              <w:noBreakHyphen/>
              <w:t>profit organisation; and</w:t>
            </w:r>
          </w:p>
          <w:p w14:paraId="1F35AE78" w14:textId="669674FB" w:rsidR="00B63B19" w:rsidRPr="00BA3F58" w:rsidRDefault="00B63B19" w:rsidP="009819DA">
            <w:pPr>
              <w:pStyle w:val="Tablei"/>
              <w:rPr>
                <w:lang w:eastAsia="en-US"/>
              </w:rPr>
            </w:pPr>
            <w:r w:rsidRPr="00BA3F58">
              <w:rPr>
                <w:lang w:eastAsia="en-US"/>
              </w:rPr>
              <w:t>(v)</w:t>
            </w:r>
            <w:r w:rsidR="00937BBA">
              <w:rPr>
                <w:lang w:eastAsia="en-US"/>
              </w:rPr>
              <w:t xml:space="preserve"> </w:t>
            </w:r>
            <w:r w:rsidRPr="00BA3F58">
              <w:rPr>
                <w:lang w:eastAsia="en-US"/>
              </w:rPr>
              <w:t xml:space="preserve">if the person is a corporation—the person’s ACN (within the meaning of the </w:t>
            </w:r>
            <w:r w:rsidRPr="00BA3F58">
              <w:rPr>
                <w:i/>
                <w:lang w:eastAsia="en-US"/>
              </w:rPr>
              <w:t>Corporations Act 2001</w:t>
            </w:r>
            <w:r w:rsidRPr="00BA3F58">
              <w:rPr>
                <w:lang w:eastAsia="en-US"/>
              </w:rPr>
              <w:t>)</w:t>
            </w:r>
            <w:r w:rsidR="00765398">
              <w:rPr>
                <w:lang w:eastAsia="en-US"/>
              </w:rPr>
              <w:t xml:space="preserve"> </w:t>
            </w:r>
            <w:r w:rsidR="00113959">
              <w:rPr>
                <w:lang w:eastAsia="en-US"/>
              </w:rPr>
              <w:t xml:space="preserve">if any, </w:t>
            </w:r>
            <w:r w:rsidR="002B46D4">
              <w:rPr>
                <w:lang w:eastAsia="en-US"/>
              </w:rPr>
              <w:t xml:space="preserve">and </w:t>
            </w:r>
            <w:r w:rsidRPr="00BA3F58">
              <w:rPr>
                <w:lang w:eastAsia="en-US"/>
              </w:rPr>
              <w:t xml:space="preserve">the </w:t>
            </w:r>
            <w:r w:rsidR="002B46D4">
              <w:rPr>
                <w:lang w:eastAsia="en-US"/>
              </w:rPr>
              <w:t xml:space="preserve">date and </w:t>
            </w:r>
            <w:r w:rsidRPr="00BA3F58">
              <w:rPr>
                <w:lang w:eastAsia="en-US"/>
              </w:rPr>
              <w:t>country of registration</w:t>
            </w:r>
            <w:r w:rsidR="00113959">
              <w:rPr>
                <w:lang w:eastAsia="en-US"/>
              </w:rPr>
              <w:t xml:space="preserve"> of the corporation</w:t>
            </w:r>
            <w:r w:rsidRPr="00BA3F58">
              <w:rPr>
                <w:lang w:eastAsia="en-US"/>
              </w:rPr>
              <w:t>; and</w:t>
            </w:r>
          </w:p>
          <w:p w14:paraId="7F228E4F" w14:textId="2B0D8A96" w:rsidR="00E04C46" w:rsidRPr="00BA3F58" w:rsidRDefault="0076083A" w:rsidP="000D51B1">
            <w:pPr>
              <w:pStyle w:val="Tablea"/>
            </w:pPr>
            <w:r w:rsidRPr="00BA3F58">
              <w:t>(c)</w:t>
            </w:r>
            <w:r w:rsidR="00B9153D">
              <w:t xml:space="preserve"> </w:t>
            </w:r>
            <w:r w:rsidRPr="00BA3F58">
              <w:t xml:space="preserve">if the person is an individual―does </w:t>
            </w:r>
            <w:r w:rsidRPr="007658E4">
              <w:rPr>
                <w:i/>
                <w:iCs/>
              </w:rPr>
              <w:t>not</w:t>
            </w:r>
            <w:r w:rsidRPr="00BA3F58">
              <w:t xml:space="preserve"> include the person’s date of birth</w:t>
            </w:r>
            <w:r w:rsidR="00E04C46" w:rsidRPr="00BA3F58">
              <w:t>; and</w:t>
            </w:r>
          </w:p>
          <w:p w14:paraId="3CD0D1AA" w14:textId="193FDC0D" w:rsidR="00E04C46" w:rsidRPr="00BA3F58" w:rsidRDefault="00E04C46" w:rsidP="00E04C46">
            <w:pPr>
              <w:pStyle w:val="Tablea"/>
            </w:pPr>
            <w:r w:rsidRPr="00BA3F58">
              <w:t xml:space="preserve">(d) </w:t>
            </w:r>
            <w:r w:rsidRPr="00BA3F58">
              <w:tab/>
              <w:t xml:space="preserve">does </w:t>
            </w:r>
            <w:r w:rsidRPr="00744782">
              <w:rPr>
                <w:i/>
                <w:iCs/>
              </w:rPr>
              <w:t>not</w:t>
            </w:r>
            <w:r w:rsidRPr="00BA3F58">
              <w:t xml:space="preserve"> include:</w:t>
            </w:r>
          </w:p>
          <w:p w14:paraId="3208441F" w14:textId="17E05345" w:rsidR="00E04C46" w:rsidRPr="00BA3F58" w:rsidRDefault="00E04C46" w:rsidP="005919E6">
            <w:pPr>
              <w:pStyle w:val="Tablei"/>
            </w:pPr>
            <w:r w:rsidRPr="00BA3F58">
              <w:t>(</w:t>
            </w:r>
            <w:proofErr w:type="spellStart"/>
            <w:r w:rsidRPr="00BA3F58">
              <w:t>i</w:t>
            </w:r>
            <w:proofErr w:type="spellEnd"/>
            <w:r w:rsidRPr="00BA3F58">
              <w:t>) financial hardship information within the meaning of subsection 6</w:t>
            </w:r>
            <w:proofErr w:type="gramStart"/>
            <w:r w:rsidRPr="00BA3F58">
              <w:t>QA(</w:t>
            </w:r>
            <w:proofErr w:type="gramEnd"/>
            <w:r w:rsidRPr="00BA3F58">
              <w:t xml:space="preserve">4) of the </w:t>
            </w:r>
            <w:r w:rsidRPr="00BA3F58">
              <w:rPr>
                <w:i/>
              </w:rPr>
              <w:t>Privacy Act 1988</w:t>
            </w:r>
            <w:r w:rsidRPr="00BA3F58">
              <w:t xml:space="preserve">; or </w:t>
            </w:r>
          </w:p>
          <w:p w14:paraId="70C95D42" w14:textId="125248A9" w:rsidR="00E04C46" w:rsidRPr="005749CB" w:rsidRDefault="00E04C46" w:rsidP="00E04C46">
            <w:pPr>
              <w:pStyle w:val="Tablei"/>
            </w:pPr>
            <w:r w:rsidRPr="00BA3F58">
              <w:t>(ii) repayment history information within the meaning of subsection 6</w:t>
            </w:r>
            <w:proofErr w:type="gramStart"/>
            <w:r w:rsidRPr="00BA3F58">
              <w:t>V(</w:t>
            </w:r>
            <w:proofErr w:type="gramEnd"/>
            <w:r w:rsidRPr="00BA3F58">
              <w:t xml:space="preserve">1) of </w:t>
            </w:r>
            <w:r w:rsidR="005749CB">
              <w:t>that Act</w:t>
            </w:r>
            <w:r w:rsidR="005749CB" w:rsidRPr="009819DA">
              <w:t>;</w:t>
            </w:r>
          </w:p>
          <w:p w14:paraId="4C0A324B" w14:textId="775305AF" w:rsidR="0076083A" w:rsidRPr="00BA3F58" w:rsidRDefault="0070653C" w:rsidP="00744782">
            <w:pPr>
              <w:pStyle w:val="Tablea"/>
              <w:spacing w:before="0"/>
            </w:pPr>
            <w:r>
              <w:t xml:space="preserve">     </w:t>
            </w:r>
            <w:r w:rsidR="00D84D7F" w:rsidRPr="00BA3F58">
              <w:t xml:space="preserve">where the information was </w:t>
            </w:r>
            <w:r w:rsidR="005919E6" w:rsidRPr="00BA3F58">
              <w:t>disclosed by</w:t>
            </w:r>
            <w:r w:rsidR="009B2BDE" w:rsidRPr="00BA3F58">
              <w:t xml:space="preserve"> or to</w:t>
            </w:r>
            <w:r w:rsidR="005919E6" w:rsidRPr="00BA3F58">
              <w:t xml:space="preserve"> a credit reporting body within the meaning of th</w:t>
            </w:r>
            <w:r w:rsidR="005749CB">
              <w:t>at Act</w:t>
            </w:r>
            <w:r w:rsidR="005919E6" w:rsidRPr="00BA3F58">
              <w:rPr>
                <w:i/>
              </w:rPr>
              <w:t>.</w:t>
            </w:r>
          </w:p>
        </w:tc>
      </w:tr>
      <w:tr w:rsidR="00835D8E" w:rsidRPr="00BA3F58" w14:paraId="2DE2C1F5" w14:textId="77777777" w:rsidTr="000D51B1">
        <w:tc>
          <w:tcPr>
            <w:tcW w:w="256" w:type="pct"/>
            <w:tcBorders>
              <w:top w:val="single" w:sz="2" w:space="0" w:color="auto"/>
              <w:bottom w:val="single" w:sz="4" w:space="0" w:color="auto"/>
              <w:right w:val="nil"/>
            </w:tcBorders>
          </w:tcPr>
          <w:p w14:paraId="10538D17" w14:textId="77777777" w:rsidR="0076083A" w:rsidRPr="00BA3F58" w:rsidRDefault="0076083A" w:rsidP="000D51B1">
            <w:pPr>
              <w:pStyle w:val="Tabletext"/>
            </w:pPr>
            <w:r w:rsidRPr="00BA3F58">
              <w:lastRenderedPageBreak/>
              <w:t>2</w:t>
            </w:r>
          </w:p>
        </w:tc>
        <w:tc>
          <w:tcPr>
            <w:tcW w:w="1187" w:type="pct"/>
            <w:tcBorders>
              <w:top w:val="single" w:sz="2" w:space="0" w:color="auto"/>
              <w:left w:val="nil"/>
              <w:bottom w:val="single" w:sz="4" w:space="0" w:color="auto"/>
              <w:right w:val="nil"/>
            </w:tcBorders>
          </w:tcPr>
          <w:p w14:paraId="705853AA" w14:textId="4086BC71" w:rsidR="0076083A" w:rsidRPr="00BA3F58" w:rsidRDefault="0076083A" w:rsidP="000D51B1">
            <w:pPr>
              <w:pStyle w:val="Tabletext"/>
            </w:pPr>
            <w:r w:rsidRPr="00BA3F58">
              <w:rPr>
                <w:b/>
                <w:i/>
              </w:rPr>
              <w:t>account data</w:t>
            </w:r>
            <w:r w:rsidRPr="00BA3F58">
              <w:t>, in relation to a</w:t>
            </w:r>
            <w:r w:rsidR="00D14678">
              <w:t>n</w:t>
            </w:r>
            <w:r w:rsidRPr="00BA3F58">
              <w:t xml:space="preserve"> account</w:t>
            </w:r>
            <w:r w:rsidR="00126791">
              <w:t xml:space="preserve"> </w:t>
            </w:r>
            <w:r w:rsidR="006925FD">
              <w:t xml:space="preserve">that is, </w:t>
            </w:r>
            <w:r w:rsidR="005C3E64">
              <w:t xml:space="preserve">or is for, </w:t>
            </w:r>
            <w:r w:rsidR="00126791">
              <w:t>a covered product</w:t>
            </w:r>
            <w:r w:rsidR="00722678">
              <w:t xml:space="preserve"> supplied by a data holder</w:t>
            </w:r>
          </w:p>
        </w:tc>
        <w:tc>
          <w:tcPr>
            <w:tcW w:w="3557" w:type="pct"/>
            <w:tcBorders>
              <w:top w:val="single" w:sz="2" w:space="0" w:color="auto"/>
              <w:left w:val="nil"/>
              <w:bottom w:val="single" w:sz="4" w:space="0" w:color="auto"/>
              <w:right w:val="nil"/>
            </w:tcBorders>
          </w:tcPr>
          <w:p w14:paraId="078E9653" w14:textId="7C1FCED2" w:rsidR="0076083A" w:rsidRPr="00BA3F58" w:rsidRDefault="0076083A" w:rsidP="000D51B1">
            <w:pPr>
              <w:pStyle w:val="Tablea"/>
            </w:pPr>
            <w:r w:rsidRPr="00BA3F58">
              <w:t>(a)</w:t>
            </w:r>
            <w:r w:rsidR="00FF36D0">
              <w:t xml:space="preserve"> </w:t>
            </w:r>
            <w:r w:rsidRPr="00BA3F58">
              <w:t>means information that identifies or is about the operation of the account; and</w:t>
            </w:r>
          </w:p>
          <w:p w14:paraId="0429A17B" w14:textId="6B4E5B14" w:rsidR="0076083A" w:rsidRPr="00BA3F58" w:rsidRDefault="0076083A" w:rsidP="000D51B1">
            <w:pPr>
              <w:pStyle w:val="Tablea"/>
            </w:pPr>
            <w:r w:rsidRPr="00BA3F58">
              <w:t>(b)</w:t>
            </w:r>
            <w:r w:rsidR="00FF36D0">
              <w:t xml:space="preserve"> </w:t>
            </w:r>
            <w:r w:rsidRPr="00BA3F58">
              <w:t>includes:</w:t>
            </w:r>
          </w:p>
          <w:p w14:paraId="4C24AF6B" w14:textId="4A7D9161" w:rsidR="0076083A" w:rsidRPr="00BA3F58" w:rsidRDefault="0076083A" w:rsidP="000D51B1">
            <w:pPr>
              <w:pStyle w:val="Tablei"/>
            </w:pPr>
            <w:r w:rsidRPr="00BA3F58">
              <w:t>(</w:t>
            </w:r>
            <w:proofErr w:type="spellStart"/>
            <w:r w:rsidRPr="00BA3F58">
              <w:t>i</w:t>
            </w:r>
            <w:proofErr w:type="spellEnd"/>
            <w:r w:rsidRPr="00BA3F58">
              <w:t>)</w:t>
            </w:r>
            <w:r w:rsidR="00FF36D0">
              <w:t xml:space="preserve"> </w:t>
            </w:r>
            <w:r w:rsidRPr="00BA3F58">
              <w:t xml:space="preserve">the account number, </w:t>
            </w:r>
            <w:r w:rsidR="00700BE7">
              <w:t>unless it i</w:t>
            </w:r>
            <w:r w:rsidRPr="00BA3F58">
              <w:t>s masked (whether as required by law or in accordance with any applicable standard or industry practice); and</w:t>
            </w:r>
          </w:p>
          <w:p w14:paraId="366A7D81" w14:textId="66B725A6" w:rsidR="0076083A" w:rsidRPr="00BA3F58" w:rsidRDefault="0076083A" w:rsidP="000D51B1">
            <w:pPr>
              <w:pStyle w:val="Tablei"/>
            </w:pPr>
            <w:r w:rsidRPr="00BA3F58">
              <w:t>(ii)</w:t>
            </w:r>
            <w:r w:rsidR="00FF36D0">
              <w:t xml:space="preserve"> </w:t>
            </w:r>
            <w:r w:rsidRPr="00BA3F58">
              <w:t>the account name; and</w:t>
            </w:r>
          </w:p>
          <w:p w14:paraId="2E5D8B57" w14:textId="12CC0DC8" w:rsidR="0076083A" w:rsidRPr="00BA3F58" w:rsidRDefault="0076083A" w:rsidP="000D51B1">
            <w:pPr>
              <w:pStyle w:val="Tablei"/>
            </w:pPr>
            <w:r w:rsidRPr="00BA3F58">
              <w:t>(iii)</w:t>
            </w:r>
            <w:r w:rsidR="00FF36D0">
              <w:t xml:space="preserve"> </w:t>
            </w:r>
            <w:r w:rsidR="009D1F6C">
              <w:t xml:space="preserve">the </w:t>
            </w:r>
            <w:r w:rsidRPr="00BA3F58">
              <w:t>account balance; and</w:t>
            </w:r>
          </w:p>
          <w:p w14:paraId="18A3A93B" w14:textId="4B6DACC7" w:rsidR="0076083A" w:rsidRPr="00BA3F58" w:rsidRDefault="0076083A" w:rsidP="009819DA">
            <w:pPr>
              <w:pStyle w:val="Tablei"/>
            </w:pPr>
            <w:r w:rsidRPr="00BA3F58">
              <w:t>(iv)</w:t>
            </w:r>
            <w:r w:rsidR="00FF36D0">
              <w:t xml:space="preserve"> </w:t>
            </w:r>
            <w:r w:rsidR="00DB0C8E">
              <w:t xml:space="preserve">details of </w:t>
            </w:r>
            <w:r w:rsidRPr="00BA3F58">
              <w:t>any authorisations on the account, including</w:t>
            </w:r>
            <w:r w:rsidR="00024F70">
              <w:t xml:space="preserve"> </w:t>
            </w:r>
            <w:r w:rsidR="000E1BD3" w:rsidRPr="00BA3F58">
              <w:t xml:space="preserve">authorisations for </w:t>
            </w:r>
            <w:r w:rsidRPr="00BA3F58">
              <w:t>direct debit deductions</w:t>
            </w:r>
            <w:r w:rsidR="006173C4">
              <w:t xml:space="preserve">, and </w:t>
            </w:r>
            <w:r w:rsidR="006173C4" w:rsidRPr="00BA3F58">
              <w:t>scheduled payments (for example, regular payments, payments to billers and international payments</w:t>
            </w:r>
            <w:r w:rsidR="00700BE7">
              <w:t>)</w:t>
            </w:r>
            <w:r w:rsidR="001407CC">
              <w:t>; and</w:t>
            </w:r>
          </w:p>
          <w:p w14:paraId="6F5BC007" w14:textId="77F63B68" w:rsidR="0076083A" w:rsidRPr="00BA3F58" w:rsidRDefault="00D539E8" w:rsidP="00FF36D0">
            <w:pPr>
              <w:pStyle w:val="Tablei"/>
            </w:pPr>
            <w:r w:rsidRPr="00BA3F58">
              <w:t>(v)</w:t>
            </w:r>
            <w:r w:rsidR="00FF36D0">
              <w:t xml:space="preserve"> </w:t>
            </w:r>
            <w:r w:rsidR="00F17249">
              <w:t xml:space="preserve">any </w:t>
            </w:r>
            <w:r w:rsidRPr="00BA3F58">
              <w:t>details of payees stored with the account, such as those entered by the customer in a payee address book</w:t>
            </w:r>
            <w:r w:rsidR="00636A8D" w:rsidRPr="00BA3F58">
              <w:t>.</w:t>
            </w:r>
          </w:p>
        </w:tc>
      </w:tr>
      <w:tr w:rsidR="00835D8E" w:rsidRPr="00BA3F58" w14:paraId="39D61D07" w14:textId="77777777" w:rsidTr="000D51B1">
        <w:tc>
          <w:tcPr>
            <w:tcW w:w="256" w:type="pct"/>
            <w:tcBorders>
              <w:top w:val="single" w:sz="4" w:space="0" w:color="auto"/>
              <w:bottom w:val="single" w:sz="4" w:space="0" w:color="auto"/>
              <w:right w:val="nil"/>
            </w:tcBorders>
          </w:tcPr>
          <w:p w14:paraId="6F379FC1" w14:textId="77777777" w:rsidR="0076083A" w:rsidRPr="00BA3F58" w:rsidRDefault="0076083A" w:rsidP="000D51B1">
            <w:pPr>
              <w:pStyle w:val="Tabletext"/>
            </w:pPr>
            <w:r w:rsidRPr="00BA3F58">
              <w:t>3</w:t>
            </w:r>
          </w:p>
        </w:tc>
        <w:tc>
          <w:tcPr>
            <w:tcW w:w="1187" w:type="pct"/>
            <w:tcBorders>
              <w:top w:val="single" w:sz="4" w:space="0" w:color="auto"/>
              <w:left w:val="nil"/>
              <w:bottom w:val="single" w:sz="4" w:space="0" w:color="auto"/>
              <w:right w:val="nil"/>
            </w:tcBorders>
          </w:tcPr>
          <w:p w14:paraId="43F8A174" w14:textId="0BF80E4D" w:rsidR="0076083A" w:rsidRPr="00BA3F58" w:rsidRDefault="0076083A" w:rsidP="000D51B1">
            <w:pPr>
              <w:pStyle w:val="Tabletext"/>
            </w:pPr>
            <w:r w:rsidRPr="00BA3F58">
              <w:rPr>
                <w:b/>
                <w:i/>
              </w:rPr>
              <w:t>transaction data</w:t>
            </w:r>
            <w:r w:rsidRPr="00BA3F58">
              <w:t>, in relation to a particular transaction</w:t>
            </w:r>
            <w:r w:rsidR="000E1BD3" w:rsidRPr="00BA3F58">
              <w:t xml:space="preserve"> on an account</w:t>
            </w:r>
            <w:r w:rsidR="00EE19B2">
              <w:t xml:space="preserve"> </w:t>
            </w:r>
            <w:r w:rsidR="00337C0E">
              <w:t>that is, or is for,</w:t>
            </w:r>
            <w:r w:rsidR="00EE19B2">
              <w:t xml:space="preserve"> a covered product supplied by a data holder</w:t>
            </w:r>
          </w:p>
        </w:tc>
        <w:tc>
          <w:tcPr>
            <w:tcW w:w="3557" w:type="pct"/>
            <w:tcBorders>
              <w:top w:val="single" w:sz="4" w:space="0" w:color="auto"/>
              <w:left w:val="nil"/>
              <w:bottom w:val="single" w:sz="4" w:space="0" w:color="auto"/>
              <w:right w:val="nil"/>
            </w:tcBorders>
          </w:tcPr>
          <w:p w14:paraId="3456C02C" w14:textId="3C52080E" w:rsidR="0076083A" w:rsidRPr="00BA3F58" w:rsidRDefault="0076083A" w:rsidP="000D51B1">
            <w:pPr>
              <w:pStyle w:val="Tablea"/>
            </w:pPr>
            <w:r w:rsidRPr="00BA3F58">
              <w:t>(a)</w:t>
            </w:r>
            <w:r w:rsidR="00FF36D0">
              <w:t xml:space="preserve"> </w:t>
            </w:r>
            <w:r w:rsidRPr="00BA3F58">
              <w:t>means information that identifies or describes the characteristics of the transaction; and</w:t>
            </w:r>
          </w:p>
          <w:p w14:paraId="7F173A70" w14:textId="320BE3EB" w:rsidR="0076083A" w:rsidRPr="00BA3F58" w:rsidRDefault="0076083A" w:rsidP="000D51B1">
            <w:pPr>
              <w:pStyle w:val="Tablea"/>
            </w:pPr>
            <w:r w:rsidRPr="00BA3F58">
              <w:t>(b)</w:t>
            </w:r>
            <w:r w:rsidR="00FF36D0">
              <w:t xml:space="preserve"> </w:t>
            </w:r>
            <w:r w:rsidRPr="00BA3F58">
              <w:t>includes</w:t>
            </w:r>
            <w:r w:rsidR="003974A5">
              <w:t xml:space="preserve"> </w:t>
            </w:r>
            <w:proofErr w:type="gramStart"/>
            <w:r w:rsidR="003974A5">
              <w:t>all of</w:t>
            </w:r>
            <w:proofErr w:type="gramEnd"/>
            <w:r w:rsidR="003974A5">
              <w:t xml:space="preserve"> the following</w:t>
            </w:r>
            <w:r w:rsidRPr="00BA3F58">
              <w:t>:</w:t>
            </w:r>
          </w:p>
          <w:p w14:paraId="3929CE74" w14:textId="2C8E4290" w:rsidR="0076083A" w:rsidRPr="00BA3F58" w:rsidRDefault="0076083A" w:rsidP="000D51B1">
            <w:pPr>
              <w:pStyle w:val="Tablei"/>
            </w:pPr>
            <w:r w:rsidRPr="00BA3F58">
              <w:t>(</w:t>
            </w:r>
            <w:proofErr w:type="spellStart"/>
            <w:r w:rsidRPr="00BA3F58">
              <w:t>i</w:t>
            </w:r>
            <w:proofErr w:type="spellEnd"/>
            <w:r w:rsidRPr="00BA3F58">
              <w:t>)</w:t>
            </w:r>
            <w:r w:rsidR="00FF36D0">
              <w:t xml:space="preserve"> </w:t>
            </w:r>
            <w:r w:rsidRPr="00BA3F58">
              <w:t xml:space="preserve">the date on which the transaction </w:t>
            </w:r>
            <w:proofErr w:type="gramStart"/>
            <w:r w:rsidRPr="00BA3F58">
              <w:t>occurred;</w:t>
            </w:r>
            <w:proofErr w:type="gramEnd"/>
          </w:p>
          <w:p w14:paraId="13E2040C" w14:textId="7BB70BEC" w:rsidR="0076083A" w:rsidRPr="00BA3F58" w:rsidRDefault="0076083A" w:rsidP="000D51B1">
            <w:pPr>
              <w:pStyle w:val="Tablei"/>
            </w:pPr>
            <w:r w:rsidRPr="00BA3F58">
              <w:t>(ii)</w:t>
            </w:r>
            <w:r w:rsidR="00FF36D0">
              <w:t xml:space="preserve"> </w:t>
            </w:r>
            <w:r w:rsidRPr="00BA3F58">
              <w:t xml:space="preserve">any identifier for the </w:t>
            </w:r>
            <w:proofErr w:type="gramStart"/>
            <w:r w:rsidRPr="00BA3F58">
              <w:t>counter-party</w:t>
            </w:r>
            <w:proofErr w:type="gramEnd"/>
            <w:r w:rsidRPr="00BA3F58">
              <w:t xml:space="preserve"> to the transaction;</w:t>
            </w:r>
          </w:p>
          <w:p w14:paraId="60C1F3E9" w14:textId="55DBCB72" w:rsidR="0076083A" w:rsidRPr="00BA3F58" w:rsidRDefault="0076083A" w:rsidP="000D51B1">
            <w:pPr>
              <w:pStyle w:val="Tablei"/>
            </w:pPr>
            <w:r w:rsidRPr="00BA3F58">
              <w:t>(iii)</w:t>
            </w:r>
            <w:r w:rsidR="00FF36D0">
              <w:t xml:space="preserve"> </w:t>
            </w:r>
            <w:r w:rsidRPr="00BA3F58">
              <w:t xml:space="preserve">if the </w:t>
            </w:r>
            <w:proofErr w:type="gramStart"/>
            <w:r w:rsidRPr="00BA3F58">
              <w:t>counter-party</w:t>
            </w:r>
            <w:proofErr w:type="gramEnd"/>
            <w:r w:rsidRPr="00BA3F58">
              <w:t xml:space="preserve"> is a merchant—any information provided by the merchant in relation to the transaction;</w:t>
            </w:r>
          </w:p>
          <w:p w14:paraId="0BB70A4A" w14:textId="77B83C93" w:rsidR="0076083A" w:rsidRPr="00BA3F58" w:rsidRDefault="0076083A" w:rsidP="000D51B1">
            <w:pPr>
              <w:pStyle w:val="Tablei"/>
            </w:pPr>
            <w:r w:rsidRPr="00BA3F58">
              <w:t>(iv)</w:t>
            </w:r>
            <w:r w:rsidR="00FF36D0">
              <w:t xml:space="preserve"> </w:t>
            </w:r>
            <w:r w:rsidRPr="00BA3F58">
              <w:t xml:space="preserve">the amount debited </w:t>
            </w:r>
            <w:r w:rsidR="00C3410A" w:rsidRPr="00BA3F58">
              <w:t xml:space="preserve">from </w:t>
            </w:r>
            <w:r w:rsidRPr="00BA3F58">
              <w:t xml:space="preserve">or credited </w:t>
            </w:r>
            <w:r w:rsidR="00C3410A" w:rsidRPr="00BA3F58">
              <w:t xml:space="preserve">to the account </w:t>
            </w:r>
            <w:r w:rsidRPr="00BA3F58">
              <w:t xml:space="preserve">pursuant to the </w:t>
            </w:r>
            <w:proofErr w:type="gramStart"/>
            <w:r w:rsidRPr="00BA3F58">
              <w:t>transaction;</w:t>
            </w:r>
            <w:proofErr w:type="gramEnd"/>
          </w:p>
          <w:p w14:paraId="081267CB" w14:textId="4ECED39E" w:rsidR="0076083A" w:rsidRPr="00BA3F58" w:rsidRDefault="0076083A" w:rsidP="000D51B1">
            <w:pPr>
              <w:pStyle w:val="Tablei"/>
            </w:pPr>
            <w:r w:rsidRPr="00BA3F58">
              <w:t>(v)</w:t>
            </w:r>
            <w:r w:rsidR="00FF36D0">
              <w:t xml:space="preserve"> </w:t>
            </w:r>
            <w:r w:rsidRPr="00BA3F58">
              <w:t xml:space="preserve">any description of the </w:t>
            </w:r>
            <w:proofErr w:type="gramStart"/>
            <w:r w:rsidRPr="00BA3F58">
              <w:t>transaction</w:t>
            </w:r>
            <w:r w:rsidRPr="009C1CB7">
              <w:t>;</w:t>
            </w:r>
            <w:proofErr w:type="gramEnd"/>
          </w:p>
          <w:p w14:paraId="242851C8" w14:textId="447B10CA" w:rsidR="0076083A" w:rsidRPr="00BA3F58" w:rsidRDefault="0076083A" w:rsidP="00744782">
            <w:pPr>
              <w:pStyle w:val="Tablei"/>
            </w:pPr>
            <w:r w:rsidRPr="00BA3F58">
              <w:t>(vi)</w:t>
            </w:r>
            <w:r w:rsidR="00FF36D0">
              <w:t xml:space="preserve"> </w:t>
            </w:r>
            <w:r w:rsidR="008A221B">
              <w:t xml:space="preserve">how the transaction would be ordinarily characterised in the sector </w:t>
            </w:r>
            <w:r w:rsidRPr="00BA3F58">
              <w:t>(for example, a debit, a credit, a fee or interest).</w:t>
            </w:r>
          </w:p>
        </w:tc>
      </w:tr>
      <w:tr w:rsidR="00835D8E" w:rsidRPr="00BA3F58" w14:paraId="5C7BEF8C" w14:textId="77777777" w:rsidTr="000D51B1">
        <w:tc>
          <w:tcPr>
            <w:tcW w:w="256" w:type="pct"/>
            <w:tcBorders>
              <w:top w:val="single" w:sz="4" w:space="0" w:color="auto"/>
              <w:bottom w:val="single" w:sz="12" w:space="0" w:color="auto"/>
              <w:right w:val="nil"/>
            </w:tcBorders>
          </w:tcPr>
          <w:p w14:paraId="6624784C" w14:textId="77777777" w:rsidR="0076083A" w:rsidRPr="00BA3F58" w:rsidRDefault="0076083A" w:rsidP="000D51B1">
            <w:pPr>
              <w:pStyle w:val="Tabletext"/>
            </w:pPr>
            <w:r w:rsidRPr="00BA3F58">
              <w:t>4</w:t>
            </w:r>
          </w:p>
        </w:tc>
        <w:tc>
          <w:tcPr>
            <w:tcW w:w="1187" w:type="pct"/>
            <w:tcBorders>
              <w:top w:val="single" w:sz="4" w:space="0" w:color="auto"/>
              <w:left w:val="nil"/>
              <w:bottom w:val="single" w:sz="12" w:space="0" w:color="auto"/>
              <w:right w:val="nil"/>
            </w:tcBorders>
          </w:tcPr>
          <w:p w14:paraId="2027E4E3" w14:textId="799165DF" w:rsidR="0076083A" w:rsidRPr="00BA3F58" w:rsidRDefault="0076083A" w:rsidP="000D51B1">
            <w:pPr>
              <w:pStyle w:val="Tabletext"/>
            </w:pPr>
            <w:r w:rsidRPr="00BA3F58">
              <w:rPr>
                <w:b/>
                <w:i/>
              </w:rPr>
              <w:t>product specific data</w:t>
            </w:r>
            <w:r w:rsidRPr="00BA3F58">
              <w:t>, in relation to a covered product</w:t>
            </w:r>
            <w:r w:rsidR="00E548DE">
              <w:t xml:space="preserve"> supplied by a data holder</w:t>
            </w:r>
          </w:p>
        </w:tc>
        <w:tc>
          <w:tcPr>
            <w:tcW w:w="3557" w:type="pct"/>
            <w:tcBorders>
              <w:top w:val="single" w:sz="4" w:space="0" w:color="auto"/>
              <w:left w:val="nil"/>
              <w:bottom w:val="single" w:sz="12" w:space="0" w:color="auto"/>
              <w:right w:val="nil"/>
            </w:tcBorders>
          </w:tcPr>
          <w:p w14:paraId="358493CF" w14:textId="404000AE" w:rsidR="0076083A" w:rsidRPr="00BA3F58" w:rsidRDefault="0076083A" w:rsidP="000D51B1">
            <w:pPr>
              <w:pStyle w:val="Tablea"/>
            </w:pPr>
            <w:r w:rsidRPr="00BA3F58">
              <w:t>(a)</w:t>
            </w:r>
            <w:r w:rsidR="005E3829">
              <w:t xml:space="preserve"> </w:t>
            </w:r>
            <w:r w:rsidRPr="00BA3F58">
              <w:t>means information that identifies or describes the characteristics of the covered product; and</w:t>
            </w:r>
          </w:p>
          <w:p w14:paraId="3A2740A5" w14:textId="7266F13E" w:rsidR="0076083A" w:rsidRPr="00BA3F58" w:rsidRDefault="0076083A" w:rsidP="000D51B1">
            <w:pPr>
              <w:pStyle w:val="Tablea"/>
            </w:pPr>
            <w:r w:rsidRPr="00BA3F58">
              <w:t>(b)</w:t>
            </w:r>
            <w:r w:rsidR="005E3829">
              <w:t xml:space="preserve"> </w:t>
            </w:r>
            <w:r w:rsidRPr="00BA3F58">
              <w:t xml:space="preserve">includes </w:t>
            </w:r>
            <w:proofErr w:type="gramStart"/>
            <w:r w:rsidR="00B83DAA">
              <w:t>all of</w:t>
            </w:r>
            <w:proofErr w:type="gramEnd"/>
            <w:r w:rsidR="00B83DAA">
              <w:t xml:space="preserve"> </w:t>
            </w:r>
            <w:r w:rsidRPr="00BA3F58">
              <w:t xml:space="preserve">the following </w:t>
            </w:r>
            <w:r w:rsidR="00C3410A" w:rsidRPr="00BA3F58">
              <w:t xml:space="preserve">information </w:t>
            </w:r>
            <w:r w:rsidRPr="00BA3F58">
              <w:t>about the covered product:</w:t>
            </w:r>
          </w:p>
          <w:p w14:paraId="0EE7C89F" w14:textId="62C16F1B" w:rsidR="0076083A" w:rsidRPr="00BA3F58" w:rsidRDefault="0076083A" w:rsidP="000D51B1">
            <w:pPr>
              <w:pStyle w:val="Tablei"/>
            </w:pPr>
            <w:r w:rsidRPr="00BA3F58">
              <w:t>(</w:t>
            </w:r>
            <w:proofErr w:type="spellStart"/>
            <w:r w:rsidRPr="00BA3F58">
              <w:t>i</w:t>
            </w:r>
            <w:proofErr w:type="spellEnd"/>
            <w:r w:rsidRPr="00BA3F58">
              <w:t>)</w:t>
            </w:r>
            <w:r w:rsidR="005E3829">
              <w:t xml:space="preserve"> </w:t>
            </w:r>
            <w:r w:rsidRPr="00BA3F58">
              <w:t xml:space="preserve">its </w:t>
            </w:r>
            <w:proofErr w:type="gramStart"/>
            <w:r w:rsidRPr="00BA3F58">
              <w:t>type;</w:t>
            </w:r>
            <w:proofErr w:type="gramEnd"/>
          </w:p>
          <w:p w14:paraId="6D082498" w14:textId="1F9AE1A1" w:rsidR="0076083A" w:rsidRPr="00BA3F58" w:rsidRDefault="0076083A" w:rsidP="000D51B1">
            <w:pPr>
              <w:pStyle w:val="Tablei"/>
            </w:pPr>
            <w:r w:rsidRPr="00BA3F58">
              <w:t>(ii)</w:t>
            </w:r>
            <w:r w:rsidR="005E3829">
              <w:t xml:space="preserve"> </w:t>
            </w:r>
            <w:r w:rsidRPr="00BA3F58">
              <w:t xml:space="preserve">its </w:t>
            </w:r>
            <w:proofErr w:type="gramStart"/>
            <w:r w:rsidRPr="00BA3F58">
              <w:t>name;</w:t>
            </w:r>
            <w:proofErr w:type="gramEnd"/>
          </w:p>
          <w:p w14:paraId="6C70DB32" w14:textId="7953C61A" w:rsidR="0076083A" w:rsidRPr="00BA3F58" w:rsidRDefault="0076083A" w:rsidP="000D51B1">
            <w:pPr>
              <w:pStyle w:val="Tablei"/>
            </w:pPr>
            <w:r w:rsidRPr="00BA3F58">
              <w:t>(iii)</w:t>
            </w:r>
            <w:r w:rsidR="005E3829">
              <w:t xml:space="preserve"> </w:t>
            </w:r>
            <w:r w:rsidRPr="00BA3F58">
              <w:t>its price, including fees, charges and interest rates (however described</w:t>
            </w:r>
            <w:proofErr w:type="gramStart"/>
            <w:r w:rsidRPr="00BA3F58">
              <w:t>);</w:t>
            </w:r>
            <w:proofErr w:type="gramEnd"/>
          </w:p>
          <w:p w14:paraId="4095F04B" w14:textId="482FD992" w:rsidR="0076083A" w:rsidRPr="00BA3F58" w:rsidRDefault="0076083A" w:rsidP="000D51B1">
            <w:pPr>
              <w:pStyle w:val="Tablei"/>
            </w:pPr>
            <w:r w:rsidRPr="00BA3F58">
              <w:t>(iv)</w:t>
            </w:r>
            <w:r w:rsidR="005E3829">
              <w:t xml:space="preserve"> </w:t>
            </w:r>
            <w:r w:rsidR="0072582F">
              <w:t xml:space="preserve">the </w:t>
            </w:r>
            <w:r w:rsidRPr="00BA3F58">
              <w:t>features</w:t>
            </w:r>
            <w:r w:rsidR="0072582F">
              <w:t xml:space="preserve">, and </w:t>
            </w:r>
            <w:r w:rsidR="0072582F" w:rsidRPr="00BA3F58">
              <w:t>any associated</w:t>
            </w:r>
            <w:r w:rsidRPr="00BA3F58">
              <w:t xml:space="preserve"> benefits</w:t>
            </w:r>
            <w:r w:rsidR="0072582F">
              <w:t xml:space="preserve"> of the product (such as </w:t>
            </w:r>
            <w:r w:rsidRPr="00BA3F58">
              <w:t>discounts and bundles</w:t>
            </w:r>
            <w:proofErr w:type="gramStart"/>
            <w:r w:rsidR="0072582F">
              <w:t>)</w:t>
            </w:r>
            <w:r w:rsidRPr="00BA3F58">
              <w:t>;</w:t>
            </w:r>
            <w:proofErr w:type="gramEnd"/>
          </w:p>
          <w:p w14:paraId="53305313" w14:textId="03E136ED" w:rsidR="0076083A" w:rsidRPr="00BA3F58" w:rsidRDefault="0076083A" w:rsidP="000D51B1">
            <w:pPr>
              <w:pStyle w:val="Tablei"/>
            </w:pPr>
            <w:r w:rsidRPr="00BA3F58">
              <w:t>(v)</w:t>
            </w:r>
            <w:r w:rsidR="005E3829">
              <w:t xml:space="preserve"> </w:t>
            </w:r>
            <w:r w:rsidR="00C3410A" w:rsidRPr="00BA3F58">
              <w:t xml:space="preserve">any </w:t>
            </w:r>
            <w:r w:rsidRPr="00BA3F58">
              <w:t>terms and conditions</w:t>
            </w:r>
            <w:r w:rsidR="00744910">
              <w:t xml:space="preserve"> applicable to the </w:t>
            </w:r>
            <w:proofErr w:type="gramStart"/>
            <w:r w:rsidR="00744910">
              <w:t>product</w:t>
            </w:r>
            <w:r w:rsidRPr="00BA3F58">
              <w:t>;</w:t>
            </w:r>
            <w:proofErr w:type="gramEnd"/>
          </w:p>
          <w:p w14:paraId="2EA3C9A8" w14:textId="13D9DCED" w:rsidR="0076083A" w:rsidRPr="00BA3F58" w:rsidRDefault="0076083A" w:rsidP="00744782">
            <w:pPr>
              <w:pStyle w:val="Tablei"/>
            </w:pPr>
            <w:r w:rsidRPr="00BA3F58">
              <w:t>(vi)</w:t>
            </w:r>
            <w:r w:rsidR="005E3829">
              <w:t xml:space="preserve"> </w:t>
            </w:r>
            <w:r w:rsidR="00C3410A" w:rsidRPr="00BA3F58">
              <w:t xml:space="preserve">any </w:t>
            </w:r>
            <w:r w:rsidRPr="00BA3F58">
              <w:t>customer eligibility requirements.</w:t>
            </w:r>
          </w:p>
        </w:tc>
      </w:tr>
    </w:tbl>
    <w:p w14:paraId="7B428FF1" w14:textId="3AFC95C1" w:rsidR="001407CC" w:rsidRPr="00024803" w:rsidRDefault="00A233EF" w:rsidP="00A721EB">
      <w:pPr>
        <w:pStyle w:val="subsection"/>
      </w:pPr>
      <w:r w:rsidRPr="00024803">
        <w:tab/>
        <w:t>(2)</w:t>
      </w:r>
      <w:r w:rsidRPr="00024803">
        <w:tab/>
        <w:t xml:space="preserve">For the purposes of </w:t>
      </w:r>
      <w:r w:rsidR="00764A66" w:rsidRPr="00024803">
        <w:t>subparagraph (b</w:t>
      </w:r>
      <w:r w:rsidR="001407CC" w:rsidRPr="00024803">
        <w:t>)</w:t>
      </w:r>
      <w:r w:rsidR="00764A66" w:rsidRPr="00024803">
        <w:t xml:space="preserve">(iv) </w:t>
      </w:r>
      <w:r w:rsidR="003F1C68" w:rsidRPr="00024803">
        <w:t xml:space="preserve">of column 2 of item 2, </w:t>
      </w:r>
      <w:r w:rsidR="007B5064">
        <w:t xml:space="preserve">details of </w:t>
      </w:r>
      <w:r w:rsidR="003F1C68" w:rsidRPr="00024803">
        <w:t xml:space="preserve">authorisations for direct debit deductions </w:t>
      </w:r>
      <w:r w:rsidR="001407CC" w:rsidRPr="00024803">
        <w:t>includ</w:t>
      </w:r>
      <w:r w:rsidR="003F1C68" w:rsidRPr="00024803">
        <w:t>e</w:t>
      </w:r>
      <w:r w:rsidR="001407CC" w:rsidRPr="00024803">
        <w:t xml:space="preserve">, </w:t>
      </w:r>
      <w:r w:rsidR="00FE0CB4">
        <w:t xml:space="preserve">to the extent </w:t>
      </w:r>
      <w:r w:rsidR="001407CC" w:rsidRPr="00024803">
        <w:t>available:</w:t>
      </w:r>
    </w:p>
    <w:p w14:paraId="43990537" w14:textId="5C1FBF85" w:rsidR="001407CC" w:rsidRPr="00024803" w:rsidRDefault="001407CC" w:rsidP="00A721EB">
      <w:pPr>
        <w:pStyle w:val="paragraph"/>
      </w:pPr>
      <w:r w:rsidRPr="001407CC">
        <w:tab/>
      </w:r>
      <w:r w:rsidRPr="00024803">
        <w:t>(</w:t>
      </w:r>
      <w:r w:rsidR="003F1C68" w:rsidRPr="00024803">
        <w:t>a</w:t>
      </w:r>
      <w:r w:rsidRPr="00024803">
        <w:t>)</w:t>
      </w:r>
      <w:r w:rsidR="00024803">
        <w:tab/>
      </w:r>
      <w:r w:rsidRPr="00024803">
        <w:t xml:space="preserve">any identifier for the </w:t>
      </w:r>
      <w:proofErr w:type="gramStart"/>
      <w:r w:rsidR="008D00B4">
        <w:t>coun</w:t>
      </w:r>
      <w:r w:rsidR="009C0F80">
        <w:t>te</w:t>
      </w:r>
      <w:r w:rsidR="00695955">
        <w:t>r-</w:t>
      </w:r>
      <w:r w:rsidRPr="00024803">
        <w:t>party</w:t>
      </w:r>
      <w:proofErr w:type="gramEnd"/>
      <w:r w:rsidRPr="00024803">
        <w:t xml:space="preserve"> that is authorised to debit the account; </w:t>
      </w:r>
      <w:r w:rsidR="003F1C68" w:rsidRPr="00024803">
        <w:t>a</w:t>
      </w:r>
      <w:r w:rsidRPr="00024803">
        <w:t>nd</w:t>
      </w:r>
    </w:p>
    <w:p w14:paraId="300D88CA" w14:textId="37AED487" w:rsidR="00A233EF" w:rsidRPr="00024803" w:rsidRDefault="00024803" w:rsidP="00A721EB">
      <w:pPr>
        <w:pStyle w:val="paragraph"/>
      </w:pPr>
      <w:r>
        <w:tab/>
      </w:r>
      <w:r w:rsidR="001407CC" w:rsidRPr="00024803">
        <w:t>(</w:t>
      </w:r>
      <w:r w:rsidR="003F1C68" w:rsidRPr="00024803">
        <w:t>b</w:t>
      </w:r>
      <w:r w:rsidR="001407CC" w:rsidRPr="00024803">
        <w:t>)</w:t>
      </w:r>
      <w:r>
        <w:tab/>
      </w:r>
      <w:r w:rsidR="001407CC" w:rsidRPr="00024803">
        <w:t>the dates and amounts of any debit</w:t>
      </w:r>
      <w:r w:rsidR="00922428">
        <w:t>s</w:t>
      </w:r>
      <w:r w:rsidR="001407CC" w:rsidRPr="00024803">
        <w:t xml:space="preserve"> the </w:t>
      </w:r>
      <w:proofErr w:type="gramStart"/>
      <w:r w:rsidR="009C0F80">
        <w:t>counter-</w:t>
      </w:r>
      <w:r w:rsidR="001407CC" w:rsidRPr="00024803">
        <w:t>party</w:t>
      </w:r>
      <w:proofErr w:type="gramEnd"/>
      <w:r w:rsidR="001407CC" w:rsidRPr="00024803">
        <w:t xml:space="preserve"> has made</w:t>
      </w:r>
      <w:r w:rsidR="003F1C68" w:rsidRPr="00024803">
        <w:t>.</w:t>
      </w:r>
    </w:p>
    <w:p w14:paraId="19A1AC92" w14:textId="33ADDD3F" w:rsidR="0076083A" w:rsidRPr="00BA3F58" w:rsidRDefault="0076083A" w:rsidP="00744782">
      <w:pPr>
        <w:pStyle w:val="ActHead5"/>
      </w:pPr>
      <w:bookmarkStart w:id="39" w:name="_Toc190683812"/>
      <w:bookmarkStart w:id="40" w:name="_Toc191450834"/>
      <w:proofErr w:type="gramStart"/>
      <w:r w:rsidRPr="00BA3F58">
        <w:t>1.4  Meaning</w:t>
      </w:r>
      <w:proofErr w:type="gramEnd"/>
      <w:r w:rsidRPr="00BA3F58">
        <w:t xml:space="preserve"> of </w:t>
      </w:r>
      <w:r w:rsidRPr="00BA3F58">
        <w:rPr>
          <w:i/>
        </w:rPr>
        <w:t>covered product</w:t>
      </w:r>
      <w:bookmarkEnd w:id="39"/>
      <w:bookmarkEnd w:id="40"/>
    </w:p>
    <w:p w14:paraId="7B597E9D" w14:textId="41EE4368" w:rsidR="00434332" w:rsidRPr="00BA3F58" w:rsidRDefault="00434332" w:rsidP="00434332">
      <w:pPr>
        <w:pStyle w:val="subsection"/>
      </w:pPr>
      <w:r w:rsidRPr="00BA3F58">
        <w:tab/>
        <w:t>(1)</w:t>
      </w:r>
      <w:r w:rsidRPr="00BA3F58">
        <w:tab/>
      </w:r>
      <w:r w:rsidR="006D3182">
        <w:t>A</w:t>
      </w:r>
      <w:r w:rsidRPr="00BA3F58">
        <w:t xml:space="preserve"> product </w:t>
      </w:r>
      <w:r w:rsidR="001F38E7" w:rsidRPr="00BA3F58">
        <w:t xml:space="preserve">of a kind specified </w:t>
      </w:r>
      <w:r w:rsidRPr="00BA3F58">
        <w:t xml:space="preserve">in column 2 of </w:t>
      </w:r>
      <w:r w:rsidR="00DD348D">
        <w:t xml:space="preserve">an item of </w:t>
      </w:r>
      <w:r w:rsidRPr="00BA3F58">
        <w:t xml:space="preserve">the table below (however described) is a </w:t>
      </w:r>
      <w:r w:rsidRPr="00BA3F58">
        <w:rPr>
          <w:b/>
          <w:i/>
        </w:rPr>
        <w:t>covered product</w:t>
      </w:r>
      <w:r w:rsidRPr="00744782">
        <w:rPr>
          <w:bCs/>
          <w:iCs/>
        </w:rPr>
        <w:t xml:space="preserve"> </w:t>
      </w:r>
      <w:r w:rsidRPr="00BA3F58">
        <w:t xml:space="preserve">for a sector </w:t>
      </w:r>
      <w:r w:rsidR="001F38E7" w:rsidRPr="00BA3F58">
        <w:t xml:space="preserve">specified </w:t>
      </w:r>
      <w:r w:rsidRPr="00BA3F58">
        <w:t xml:space="preserve">in column 1 </w:t>
      </w:r>
      <w:r w:rsidR="00DD348D">
        <w:t xml:space="preserve">of that item </w:t>
      </w:r>
      <w:r w:rsidRPr="00BA3F58">
        <w:t>if:</w:t>
      </w:r>
    </w:p>
    <w:p w14:paraId="335B344A" w14:textId="491C1D01" w:rsidR="00434332" w:rsidRPr="00BA3F58" w:rsidRDefault="00434332" w:rsidP="00434332">
      <w:pPr>
        <w:pStyle w:val="paragraph"/>
      </w:pPr>
      <w:r w:rsidRPr="00BA3F58">
        <w:lastRenderedPageBreak/>
        <w:tab/>
        <w:t>(a)</w:t>
      </w:r>
      <w:r w:rsidRPr="00BA3F58">
        <w:tab/>
        <w:t>the product is publicly offered by or on behalf of a data holder in that sector; and</w:t>
      </w:r>
    </w:p>
    <w:p w14:paraId="4CF1BA0C" w14:textId="2701B04F" w:rsidR="00434332" w:rsidRPr="00BA3F58" w:rsidRDefault="00434332" w:rsidP="00434332">
      <w:pPr>
        <w:pStyle w:val="paragraph"/>
      </w:pPr>
      <w:r w:rsidRPr="00BA3F58">
        <w:tab/>
        <w:t>(b)</w:t>
      </w:r>
      <w:r w:rsidRPr="00BA3F58">
        <w:tab/>
        <w:t>the product is offered to customers by way of standard form contracts.</w:t>
      </w:r>
    </w:p>
    <w:p w14:paraId="73E555DA" w14:textId="5887A2C6" w:rsidR="00261AEF" w:rsidRPr="00BA3F58" w:rsidRDefault="00261AEF" w:rsidP="00261AEF">
      <w:pPr>
        <w:pStyle w:val="notetext"/>
      </w:pPr>
      <w:bookmarkStart w:id="41" w:name="_Hlk151340857"/>
      <w:r w:rsidRPr="00BA3F58">
        <w:t>Note:</w:t>
      </w:r>
      <w:r w:rsidRPr="00BA3F58">
        <w:tab/>
        <w:t xml:space="preserve">For paragraph (b), section 27 of the Australian Consumer Law sets out matters that a court may </w:t>
      </w:r>
      <w:proofErr w:type="gramStart"/>
      <w:r w:rsidRPr="00BA3F58">
        <w:t>take into account</w:t>
      </w:r>
      <w:proofErr w:type="gramEnd"/>
      <w:r w:rsidRPr="00BA3F58">
        <w:t xml:space="preserve"> when determining whether a contract is a standard form contract</w:t>
      </w:r>
      <w:r w:rsidR="00041FFE" w:rsidRPr="00BA3F58">
        <w:t>.</w:t>
      </w:r>
    </w:p>
    <w:bookmarkEnd w:id="41"/>
    <w:p w14:paraId="1442B747" w14:textId="06D5832C" w:rsidR="0044137F" w:rsidRPr="00BA3F58" w:rsidRDefault="0044137F" w:rsidP="0044137F">
      <w:pPr>
        <w:pStyle w:val="subsection"/>
      </w:pPr>
      <w:r w:rsidRPr="00BA3F58">
        <w:tab/>
      </w:r>
      <w:r w:rsidR="00574E9B" w:rsidRPr="00BA3F58">
        <w:t>(2)</w:t>
      </w:r>
      <w:r w:rsidRPr="00BA3F58">
        <w:tab/>
        <w:t xml:space="preserve">A product need not be available to all members of the public </w:t>
      </w:r>
      <w:proofErr w:type="gramStart"/>
      <w:r w:rsidRPr="00BA3F58">
        <w:t>in order to</w:t>
      </w:r>
      <w:proofErr w:type="gramEnd"/>
      <w:r w:rsidRPr="00BA3F58">
        <w:t xml:space="preserve"> be publicly offered.</w:t>
      </w:r>
    </w:p>
    <w:p w14:paraId="5E7DEBE5" w14:textId="6CC5F062" w:rsidR="0044137F" w:rsidRPr="00BA3F58" w:rsidRDefault="0044137F" w:rsidP="0044137F">
      <w:pPr>
        <w:pStyle w:val="notetext"/>
      </w:pPr>
      <w:r w:rsidRPr="00BA3F58">
        <w:t>Note:</w:t>
      </w:r>
      <w:r w:rsidRPr="00BA3F58">
        <w:tab/>
        <w:t xml:space="preserve">A product may be offered subject to eligibility requirements. For instance, it may be available only to a person operating a particular type of business. This does </w:t>
      </w:r>
      <w:r w:rsidRPr="00744782">
        <w:rPr>
          <w:i/>
          <w:iCs/>
        </w:rPr>
        <w:t>not</w:t>
      </w:r>
      <w:r w:rsidRPr="00BA3F58">
        <w:t xml:space="preserve"> prevent it from being </w:t>
      </w:r>
      <w:r w:rsidR="001C41F8" w:rsidRPr="00BA3F58">
        <w:t>“</w:t>
      </w:r>
      <w:r w:rsidRPr="00BA3F58">
        <w:t>publicly offered</w:t>
      </w:r>
      <w:r w:rsidR="001C41F8" w:rsidRPr="00BA3F58">
        <w:t>”</w:t>
      </w:r>
      <w:r w:rsidRPr="00BA3F58">
        <w:t xml:space="preserve"> if it would otherwise fall within the ordinary meaning of that term.</w:t>
      </w:r>
    </w:p>
    <w:p w14:paraId="7E4F794C" w14:textId="5648AB8C" w:rsidR="00E2149A" w:rsidRDefault="00E2149A" w:rsidP="00C925E4">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8"/>
        <w:gridCol w:w="2977"/>
        <w:gridCol w:w="4597"/>
      </w:tblGrid>
      <w:tr w:rsidR="00C925E4" w14:paraId="5924BC15" w14:textId="77777777" w:rsidTr="00C925E4">
        <w:trPr>
          <w:tblHeader/>
        </w:trPr>
        <w:tc>
          <w:tcPr>
            <w:tcW w:w="8312" w:type="dxa"/>
            <w:gridSpan w:val="3"/>
            <w:tcBorders>
              <w:top w:val="single" w:sz="12" w:space="0" w:color="auto"/>
              <w:bottom w:val="single" w:sz="6" w:space="0" w:color="auto"/>
            </w:tcBorders>
            <w:shd w:val="clear" w:color="auto" w:fill="auto"/>
          </w:tcPr>
          <w:p w14:paraId="32FE197E" w14:textId="6F58005C" w:rsidR="00C925E4" w:rsidRDefault="008C6CBE" w:rsidP="009F3DA9">
            <w:pPr>
              <w:pStyle w:val="TableHeading"/>
              <w:jc w:val="center"/>
            </w:pPr>
            <w:r w:rsidRPr="008C6CBE">
              <w:t xml:space="preserve">Products that may be </w:t>
            </w:r>
            <w:r w:rsidRPr="000A5B9E">
              <w:rPr>
                <w:i/>
                <w:iCs/>
              </w:rPr>
              <w:t>covered products</w:t>
            </w:r>
          </w:p>
        </w:tc>
      </w:tr>
      <w:tr w:rsidR="00C4662A" w14:paraId="394E26A4" w14:textId="77777777" w:rsidTr="00DA10B7">
        <w:trPr>
          <w:tblHeader/>
        </w:trPr>
        <w:tc>
          <w:tcPr>
            <w:tcW w:w="738" w:type="dxa"/>
            <w:tcBorders>
              <w:top w:val="single" w:sz="6" w:space="0" w:color="auto"/>
              <w:bottom w:val="single" w:sz="12" w:space="0" w:color="auto"/>
            </w:tcBorders>
            <w:shd w:val="clear" w:color="auto" w:fill="auto"/>
          </w:tcPr>
          <w:p w14:paraId="71504C24" w14:textId="0505D7F0" w:rsidR="00C4662A" w:rsidRDefault="00C4662A" w:rsidP="00C4662A">
            <w:pPr>
              <w:pStyle w:val="TableHeading"/>
            </w:pPr>
            <w:r>
              <w:t>Item</w:t>
            </w:r>
          </w:p>
        </w:tc>
        <w:tc>
          <w:tcPr>
            <w:tcW w:w="2977" w:type="dxa"/>
            <w:tcBorders>
              <w:top w:val="single" w:sz="6" w:space="0" w:color="auto"/>
              <w:bottom w:val="single" w:sz="12" w:space="0" w:color="auto"/>
            </w:tcBorders>
            <w:shd w:val="clear" w:color="auto" w:fill="auto"/>
          </w:tcPr>
          <w:p w14:paraId="3085EB1A" w14:textId="2D4DFD20" w:rsidR="00C4662A" w:rsidRDefault="00C4662A" w:rsidP="00C4662A">
            <w:pPr>
              <w:pStyle w:val="TableHeading"/>
            </w:pPr>
            <w:r w:rsidRPr="00BA3F58">
              <w:t>Column 1: Sector</w:t>
            </w:r>
          </w:p>
        </w:tc>
        <w:tc>
          <w:tcPr>
            <w:tcW w:w="4597" w:type="dxa"/>
            <w:tcBorders>
              <w:top w:val="single" w:sz="6" w:space="0" w:color="auto"/>
              <w:bottom w:val="single" w:sz="12" w:space="0" w:color="auto"/>
            </w:tcBorders>
            <w:shd w:val="clear" w:color="auto" w:fill="auto"/>
          </w:tcPr>
          <w:p w14:paraId="1C991F30" w14:textId="23F48806" w:rsidR="00C4662A" w:rsidRDefault="00C4662A" w:rsidP="00C4662A">
            <w:pPr>
              <w:pStyle w:val="TableHeading"/>
            </w:pPr>
            <w:r w:rsidRPr="00BA3F58">
              <w:t xml:space="preserve">Column 2: Products </w:t>
            </w:r>
          </w:p>
        </w:tc>
      </w:tr>
      <w:tr w:rsidR="00D7120B" w14:paraId="4CC3BD77" w14:textId="77777777" w:rsidTr="00DA10B7">
        <w:tc>
          <w:tcPr>
            <w:tcW w:w="738" w:type="dxa"/>
            <w:tcBorders>
              <w:top w:val="single" w:sz="12" w:space="0" w:color="auto"/>
              <w:bottom w:val="single" w:sz="2" w:space="0" w:color="auto"/>
            </w:tcBorders>
            <w:shd w:val="clear" w:color="auto" w:fill="auto"/>
          </w:tcPr>
          <w:p w14:paraId="062D2FE2" w14:textId="37072006" w:rsidR="00D7120B" w:rsidRDefault="00D7120B" w:rsidP="00D7120B">
            <w:pPr>
              <w:pStyle w:val="Tabletext"/>
            </w:pPr>
            <w:r>
              <w:t>1</w:t>
            </w:r>
          </w:p>
        </w:tc>
        <w:tc>
          <w:tcPr>
            <w:tcW w:w="2977" w:type="dxa"/>
            <w:tcBorders>
              <w:top w:val="single" w:sz="12" w:space="0" w:color="auto"/>
              <w:bottom w:val="single" w:sz="2" w:space="0" w:color="auto"/>
            </w:tcBorders>
            <w:shd w:val="clear" w:color="auto" w:fill="auto"/>
          </w:tcPr>
          <w:p w14:paraId="0E929D76" w14:textId="4D22413F" w:rsidR="00D7120B" w:rsidRDefault="00D7120B" w:rsidP="00D7120B">
            <w:pPr>
              <w:pStyle w:val="Tabletext"/>
            </w:pPr>
            <w:r w:rsidRPr="00BA3F58">
              <w:t>Banking and NBL sectors</w:t>
            </w:r>
          </w:p>
        </w:tc>
        <w:tc>
          <w:tcPr>
            <w:tcW w:w="4597" w:type="dxa"/>
            <w:tcBorders>
              <w:top w:val="single" w:sz="12" w:space="0" w:color="auto"/>
              <w:bottom w:val="single" w:sz="2" w:space="0" w:color="auto"/>
            </w:tcBorders>
            <w:shd w:val="clear" w:color="auto" w:fill="auto"/>
          </w:tcPr>
          <w:p w14:paraId="2BB671F0" w14:textId="4815D280" w:rsidR="00D7120B" w:rsidRPr="00BA3F58" w:rsidRDefault="00D7120B" w:rsidP="00D7120B">
            <w:pPr>
              <w:pStyle w:val="Tablea"/>
            </w:pPr>
            <w:r w:rsidRPr="00BA3F58">
              <w:t>(a)</w:t>
            </w:r>
            <w:r w:rsidR="005C213A">
              <w:t xml:space="preserve"> </w:t>
            </w:r>
            <w:r w:rsidRPr="00BA3F58">
              <w:t xml:space="preserve">a personal credit or charge card </w:t>
            </w:r>
            <w:proofErr w:type="gramStart"/>
            <w:r w:rsidRPr="00BA3F58">
              <w:t>account;</w:t>
            </w:r>
            <w:proofErr w:type="gramEnd"/>
          </w:p>
          <w:p w14:paraId="113DDD35" w14:textId="08395617" w:rsidR="00D7120B" w:rsidRPr="00BA3F58" w:rsidRDefault="00D7120B" w:rsidP="00D7120B">
            <w:pPr>
              <w:pStyle w:val="Tablea"/>
            </w:pPr>
            <w:r w:rsidRPr="00BA3F58">
              <w:t>(b)</w:t>
            </w:r>
            <w:r w:rsidR="005C213A">
              <w:t xml:space="preserve"> </w:t>
            </w:r>
            <w:r w:rsidRPr="00BA3F58">
              <w:t xml:space="preserve">a business credit or charge card </w:t>
            </w:r>
            <w:proofErr w:type="gramStart"/>
            <w:r w:rsidRPr="00BA3F58">
              <w:t>account;</w:t>
            </w:r>
            <w:proofErr w:type="gramEnd"/>
          </w:p>
          <w:p w14:paraId="0D5BE5A4" w14:textId="1AA85ED0" w:rsidR="00D7120B" w:rsidRPr="00BA3F58" w:rsidRDefault="00D7120B" w:rsidP="00D7120B">
            <w:pPr>
              <w:pStyle w:val="Tablea"/>
            </w:pPr>
            <w:r w:rsidRPr="00BA3F58">
              <w:t>(c)</w:t>
            </w:r>
            <w:r w:rsidR="005C213A">
              <w:t xml:space="preserve"> </w:t>
            </w:r>
            <w:r w:rsidRPr="00BA3F58">
              <w:t xml:space="preserve">a residential home </w:t>
            </w:r>
            <w:proofErr w:type="gramStart"/>
            <w:r w:rsidRPr="00BA3F58">
              <w:t>loan;</w:t>
            </w:r>
            <w:proofErr w:type="gramEnd"/>
          </w:p>
          <w:p w14:paraId="19857E93" w14:textId="484A1CB7" w:rsidR="00D7120B" w:rsidRPr="00BA3F58" w:rsidRDefault="00D7120B" w:rsidP="00D7120B">
            <w:pPr>
              <w:pStyle w:val="Tablea"/>
            </w:pPr>
            <w:r w:rsidRPr="00BA3F58">
              <w:t>(d)</w:t>
            </w:r>
            <w:r w:rsidR="005C213A">
              <w:t xml:space="preserve"> </w:t>
            </w:r>
            <w:r w:rsidRPr="00BA3F58">
              <w:t xml:space="preserve">a home loan for an investment </w:t>
            </w:r>
            <w:proofErr w:type="gramStart"/>
            <w:r w:rsidRPr="00BA3F58">
              <w:t>property;</w:t>
            </w:r>
            <w:proofErr w:type="gramEnd"/>
          </w:p>
          <w:p w14:paraId="31559782" w14:textId="5E3C7970" w:rsidR="00D7120B" w:rsidRPr="00BA3F58" w:rsidRDefault="00D7120B" w:rsidP="00D7120B">
            <w:pPr>
              <w:pStyle w:val="Tablea"/>
            </w:pPr>
            <w:r w:rsidRPr="00BA3F58">
              <w:t>(e)</w:t>
            </w:r>
            <w:r w:rsidR="005C213A">
              <w:t xml:space="preserve"> </w:t>
            </w:r>
            <w:r w:rsidRPr="00BA3F58">
              <w:t xml:space="preserve">a mortgage offset </w:t>
            </w:r>
            <w:proofErr w:type="gramStart"/>
            <w:r w:rsidRPr="00BA3F58">
              <w:t>account;</w:t>
            </w:r>
            <w:proofErr w:type="gramEnd"/>
          </w:p>
          <w:p w14:paraId="3BA2225B" w14:textId="510B992D" w:rsidR="00D7120B" w:rsidRPr="00BA3F58" w:rsidRDefault="00D7120B" w:rsidP="00D7120B">
            <w:pPr>
              <w:pStyle w:val="Tablea"/>
              <w:rPr>
                <w:rStyle w:val="CommentReference"/>
                <w:rFonts w:eastAsiaTheme="minorHAnsi"/>
                <w:lang w:eastAsia="en-US"/>
              </w:rPr>
            </w:pPr>
            <w:r w:rsidRPr="00BA3F58">
              <w:t>(f)</w:t>
            </w:r>
            <w:r w:rsidR="005C213A">
              <w:t xml:space="preserve"> </w:t>
            </w:r>
            <w:r w:rsidRPr="00BA3F58">
              <w:t xml:space="preserve">a personal </w:t>
            </w:r>
            <w:proofErr w:type="gramStart"/>
            <w:r w:rsidRPr="00BA3F58">
              <w:t>loan;</w:t>
            </w:r>
            <w:proofErr w:type="gramEnd"/>
          </w:p>
          <w:p w14:paraId="560CC583" w14:textId="450024DF" w:rsidR="00D7120B" w:rsidRPr="00BA3F58" w:rsidRDefault="00D7120B" w:rsidP="00D7120B">
            <w:pPr>
              <w:pStyle w:val="Tablea"/>
            </w:pPr>
            <w:r w:rsidRPr="00BA3F58">
              <w:t>(g)</w:t>
            </w:r>
            <w:r w:rsidR="005C213A">
              <w:t xml:space="preserve"> </w:t>
            </w:r>
            <w:r w:rsidRPr="00BA3F58">
              <w:t xml:space="preserve">business </w:t>
            </w:r>
            <w:proofErr w:type="gramStart"/>
            <w:r w:rsidRPr="00BA3F58">
              <w:t>finance;</w:t>
            </w:r>
            <w:proofErr w:type="gramEnd"/>
          </w:p>
          <w:p w14:paraId="4302253B" w14:textId="31934A77" w:rsidR="00D7120B" w:rsidRPr="00BA3F58" w:rsidRDefault="00D7120B" w:rsidP="00D7120B">
            <w:pPr>
              <w:pStyle w:val="Tablea"/>
            </w:pPr>
            <w:r w:rsidRPr="00BA3F58">
              <w:t>(h)</w:t>
            </w:r>
            <w:r w:rsidR="005C213A">
              <w:t xml:space="preserve"> </w:t>
            </w:r>
            <w:r w:rsidRPr="00BA3F58">
              <w:t xml:space="preserve">a loan for an </w:t>
            </w:r>
            <w:proofErr w:type="gramStart"/>
            <w:r w:rsidRPr="00BA3F58">
              <w:t>investment;</w:t>
            </w:r>
            <w:proofErr w:type="gramEnd"/>
          </w:p>
          <w:p w14:paraId="445B1ED3" w14:textId="7A9C8DB2" w:rsidR="00D7120B" w:rsidRPr="00BA3F58" w:rsidRDefault="00D7120B" w:rsidP="00D7120B">
            <w:pPr>
              <w:pStyle w:val="Tablea"/>
            </w:pPr>
            <w:r w:rsidRPr="00BA3F58">
              <w:t>(</w:t>
            </w:r>
            <w:proofErr w:type="spellStart"/>
            <w:r w:rsidRPr="00BA3F58">
              <w:t>i</w:t>
            </w:r>
            <w:proofErr w:type="spellEnd"/>
            <w:r w:rsidRPr="00BA3F58">
              <w:t>)</w:t>
            </w:r>
            <w:r w:rsidR="005C213A">
              <w:t xml:space="preserve"> </w:t>
            </w:r>
            <w:r w:rsidRPr="00BA3F58">
              <w:t>a line of credit (personal</w:t>
            </w:r>
            <w:proofErr w:type="gramStart"/>
            <w:r w:rsidRPr="00BA3F58">
              <w:t>);</w:t>
            </w:r>
            <w:proofErr w:type="gramEnd"/>
          </w:p>
          <w:p w14:paraId="76BA6F0C" w14:textId="62F4D707" w:rsidR="00D7120B" w:rsidRPr="00BA3F58" w:rsidRDefault="00D7120B" w:rsidP="00D7120B">
            <w:pPr>
              <w:pStyle w:val="Tablea"/>
            </w:pPr>
            <w:r w:rsidRPr="00BA3F58">
              <w:t>(j)</w:t>
            </w:r>
            <w:r w:rsidR="005C213A">
              <w:t xml:space="preserve"> </w:t>
            </w:r>
            <w:r w:rsidRPr="00BA3F58">
              <w:t>a line of credit (business</w:t>
            </w:r>
            <w:proofErr w:type="gramStart"/>
            <w:r w:rsidRPr="00BA3F58">
              <w:t>);</w:t>
            </w:r>
            <w:proofErr w:type="gramEnd"/>
          </w:p>
          <w:p w14:paraId="69431CDD" w14:textId="65EA2100" w:rsidR="00D7120B" w:rsidRPr="00BA3F58" w:rsidRDefault="00D7120B" w:rsidP="00D7120B">
            <w:pPr>
              <w:pStyle w:val="Tablea"/>
            </w:pPr>
            <w:r w:rsidRPr="00BA3F58">
              <w:t>(k)</w:t>
            </w:r>
            <w:r w:rsidR="005C213A">
              <w:t xml:space="preserve"> </w:t>
            </w:r>
            <w:r w:rsidRPr="00BA3F58">
              <w:t>an overdraft (personal</w:t>
            </w:r>
            <w:proofErr w:type="gramStart"/>
            <w:r w:rsidRPr="00BA3F58">
              <w:t>);</w:t>
            </w:r>
            <w:proofErr w:type="gramEnd"/>
          </w:p>
          <w:p w14:paraId="4EB72DB7" w14:textId="6200E7B2" w:rsidR="00D7120B" w:rsidRPr="00BA3F58" w:rsidRDefault="00D7120B" w:rsidP="00D7120B">
            <w:pPr>
              <w:pStyle w:val="Tablea"/>
            </w:pPr>
            <w:r w:rsidRPr="00BA3F58">
              <w:t>(l)</w:t>
            </w:r>
            <w:r w:rsidR="005C213A">
              <w:t xml:space="preserve"> </w:t>
            </w:r>
            <w:r w:rsidRPr="00BA3F58">
              <w:t>an overdraft (business</w:t>
            </w:r>
            <w:proofErr w:type="gramStart"/>
            <w:r w:rsidRPr="00BA3F58">
              <w:t>);</w:t>
            </w:r>
            <w:proofErr w:type="gramEnd"/>
          </w:p>
          <w:p w14:paraId="6461A0BE" w14:textId="46611919" w:rsidR="00D7120B" w:rsidRPr="00BA3F58" w:rsidRDefault="00D7120B" w:rsidP="00D7120B">
            <w:pPr>
              <w:pStyle w:val="Tablea"/>
            </w:pPr>
            <w:r w:rsidRPr="00BA3F58">
              <w:t>(m</w:t>
            </w:r>
            <w:r w:rsidR="005C213A" w:rsidRPr="00BA3F58">
              <w:t>)</w:t>
            </w:r>
            <w:r w:rsidR="005C213A">
              <w:t xml:space="preserve"> </w:t>
            </w:r>
            <w:r w:rsidRPr="00BA3F58">
              <w:t xml:space="preserve">asset finance (including </w:t>
            </w:r>
            <w:r w:rsidR="00F2588F">
              <w:t xml:space="preserve">standard vehicle financing and </w:t>
            </w:r>
            <w:r w:rsidRPr="00BA3F58">
              <w:t>leases</w:t>
            </w:r>
            <w:proofErr w:type="gramStart"/>
            <w:r w:rsidRPr="00BA3F58">
              <w:t>);</w:t>
            </w:r>
            <w:proofErr w:type="gramEnd"/>
          </w:p>
          <w:p w14:paraId="10607C02" w14:textId="50660815" w:rsidR="00D7120B" w:rsidRPr="00BA3F58" w:rsidRDefault="00D7120B" w:rsidP="00D7120B">
            <w:pPr>
              <w:pStyle w:val="Tablea"/>
            </w:pPr>
            <w:r w:rsidRPr="00BA3F58">
              <w:t>(n)</w:t>
            </w:r>
            <w:r w:rsidR="005C213A">
              <w:t xml:space="preserve"> </w:t>
            </w:r>
            <w:r w:rsidRPr="00BA3F58">
              <w:t xml:space="preserve">a consumer </w:t>
            </w:r>
            <w:proofErr w:type="gramStart"/>
            <w:r w:rsidRPr="00BA3F58">
              <w:t>lease;</w:t>
            </w:r>
            <w:proofErr w:type="gramEnd"/>
          </w:p>
          <w:p w14:paraId="60820A2D" w14:textId="3B317F40" w:rsidR="00D7120B" w:rsidRPr="00BA3F58" w:rsidRDefault="00D7120B" w:rsidP="00D7120B">
            <w:pPr>
              <w:pStyle w:val="Tablea"/>
            </w:pPr>
            <w:r w:rsidRPr="00BA3F58">
              <w:t>(o</w:t>
            </w:r>
            <w:r w:rsidR="005C213A" w:rsidRPr="00BA3F58">
              <w:t>)</w:t>
            </w:r>
            <w:r w:rsidR="005C213A">
              <w:t xml:space="preserve"> </w:t>
            </w:r>
            <w:r w:rsidRPr="00BA3F58">
              <w:t xml:space="preserve">a reverse </w:t>
            </w:r>
            <w:proofErr w:type="gramStart"/>
            <w:r w:rsidRPr="00BA3F58">
              <w:t>mortgage;</w:t>
            </w:r>
            <w:proofErr w:type="gramEnd"/>
          </w:p>
          <w:p w14:paraId="29AF7FBA" w14:textId="4027A054" w:rsidR="00D7120B" w:rsidRDefault="00D7120B" w:rsidP="00D7120B">
            <w:pPr>
              <w:pStyle w:val="Tabletext"/>
            </w:pPr>
            <w:r w:rsidRPr="00BA3F58">
              <w:t>(p</w:t>
            </w:r>
            <w:r w:rsidR="005C213A" w:rsidRPr="00BA3F58">
              <w:t>)</w:t>
            </w:r>
            <w:r w:rsidR="005C213A">
              <w:t xml:space="preserve"> </w:t>
            </w:r>
            <w:r w:rsidRPr="00BA3F58">
              <w:t>a buy now, pay later product.</w:t>
            </w:r>
          </w:p>
        </w:tc>
      </w:tr>
      <w:tr w:rsidR="00D7120B" w14:paraId="020E0C08" w14:textId="77777777" w:rsidTr="00DA10B7">
        <w:tc>
          <w:tcPr>
            <w:tcW w:w="738" w:type="dxa"/>
            <w:tcBorders>
              <w:top w:val="single" w:sz="2" w:space="0" w:color="auto"/>
              <w:bottom w:val="single" w:sz="12" w:space="0" w:color="auto"/>
            </w:tcBorders>
            <w:shd w:val="clear" w:color="auto" w:fill="auto"/>
          </w:tcPr>
          <w:p w14:paraId="0C484F3B" w14:textId="21D584AE" w:rsidR="00D7120B" w:rsidRDefault="00D7120B" w:rsidP="00D7120B">
            <w:pPr>
              <w:pStyle w:val="Tabletext"/>
            </w:pPr>
            <w:r>
              <w:t>2</w:t>
            </w:r>
          </w:p>
        </w:tc>
        <w:tc>
          <w:tcPr>
            <w:tcW w:w="2977" w:type="dxa"/>
            <w:tcBorders>
              <w:top w:val="single" w:sz="2" w:space="0" w:color="auto"/>
              <w:bottom w:val="single" w:sz="12" w:space="0" w:color="auto"/>
            </w:tcBorders>
            <w:shd w:val="clear" w:color="auto" w:fill="auto"/>
          </w:tcPr>
          <w:p w14:paraId="4D144B79" w14:textId="7BD21DC8" w:rsidR="00D7120B" w:rsidRDefault="00D7120B" w:rsidP="00D7120B">
            <w:pPr>
              <w:pStyle w:val="Tabletext"/>
            </w:pPr>
            <w:r w:rsidRPr="00BA3F58">
              <w:t>Banking sector only</w:t>
            </w:r>
          </w:p>
        </w:tc>
        <w:tc>
          <w:tcPr>
            <w:tcW w:w="4597" w:type="dxa"/>
            <w:tcBorders>
              <w:top w:val="single" w:sz="2" w:space="0" w:color="auto"/>
              <w:bottom w:val="single" w:sz="12" w:space="0" w:color="auto"/>
            </w:tcBorders>
            <w:shd w:val="clear" w:color="auto" w:fill="auto"/>
          </w:tcPr>
          <w:p w14:paraId="46CD87B4" w14:textId="4B3E9ED1" w:rsidR="00D7120B" w:rsidRPr="00BA3F58" w:rsidRDefault="00D7120B" w:rsidP="00D7120B">
            <w:pPr>
              <w:pStyle w:val="Tablea"/>
            </w:pPr>
            <w:r w:rsidRPr="00BA3F58">
              <w:t>(a)</w:t>
            </w:r>
            <w:r w:rsidR="00536B92">
              <w:t xml:space="preserve"> </w:t>
            </w:r>
            <w:r w:rsidRPr="00BA3F58">
              <w:t xml:space="preserve">a savings </w:t>
            </w:r>
            <w:proofErr w:type="gramStart"/>
            <w:r w:rsidRPr="00BA3F58">
              <w:t>account;</w:t>
            </w:r>
            <w:proofErr w:type="gramEnd"/>
          </w:p>
          <w:p w14:paraId="55DBDC95" w14:textId="3C5F8BC5" w:rsidR="00D7120B" w:rsidRPr="00BA3F58" w:rsidRDefault="00D7120B" w:rsidP="00D7120B">
            <w:pPr>
              <w:pStyle w:val="Tablea"/>
            </w:pPr>
            <w:r w:rsidRPr="00BA3F58">
              <w:t>(b)</w:t>
            </w:r>
            <w:r w:rsidR="00536B92">
              <w:t xml:space="preserve"> </w:t>
            </w:r>
            <w:r w:rsidRPr="00BA3F58">
              <w:t xml:space="preserve">a call </w:t>
            </w:r>
            <w:proofErr w:type="gramStart"/>
            <w:r w:rsidRPr="00BA3F58">
              <w:t>account;</w:t>
            </w:r>
            <w:proofErr w:type="gramEnd"/>
          </w:p>
          <w:p w14:paraId="6EAA11F3" w14:textId="3881E839" w:rsidR="00D7120B" w:rsidRPr="00BA3F58" w:rsidRDefault="00D7120B" w:rsidP="00D7120B">
            <w:pPr>
              <w:pStyle w:val="Tablea"/>
            </w:pPr>
            <w:r w:rsidRPr="00BA3F58">
              <w:t>(c)</w:t>
            </w:r>
            <w:r w:rsidR="00536B92">
              <w:t xml:space="preserve"> </w:t>
            </w:r>
            <w:r w:rsidRPr="00BA3F58">
              <w:t xml:space="preserve">a term </w:t>
            </w:r>
            <w:proofErr w:type="gramStart"/>
            <w:r w:rsidRPr="00BA3F58">
              <w:t>deposit;</w:t>
            </w:r>
            <w:proofErr w:type="gramEnd"/>
          </w:p>
          <w:p w14:paraId="0D7F7E9B" w14:textId="6AB69C82" w:rsidR="00D7120B" w:rsidRPr="00BA3F58" w:rsidRDefault="00D7120B" w:rsidP="00D7120B">
            <w:pPr>
              <w:pStyle w:val="Tablea"/>
            </w:pPr>
            <w:r w:rsidRPr="00BA3F58">
              <w:t>(d)</w:t>
            </w:r>
            <w:r w:rsidR="00536B92">
              <w:t xml:space="preserve"> </w:t>
            </w:r>
            <w:r w:rsidRPr="00BA3F58">
              <w:t xml:space="preserve">a current </w:t>
            </w:r>
            <w:proofErr w:type="gramStart"/>
            <w:r w:rsidRPr="00BA3F58">
              <w:t>account;</w:t>
            </w:r>
            <w:proofErr w:type="gramEnd"/>
          </w:p>
          <w:p w14:paraId="6F28C65D" w14:textId="7A9F2434" w:rsidR="00D7120B" w:rsidRPr="00BA3F58" w:rsidRDefault="00D7120B" w:rsidP="00D7120B">
            <w:pPr>
              <w:pStyle w:val="Tablea"/>
            </w:pPr>
            <w:r w:rsidRPr="00BA3F58">
              <w:t>(e)</w:t>
            </w:r>
            <w:r w:rsidR="00536B92">
              <w:t xml:space="preserve"> </w:t>
            </w:r>
            <w:r w:rsidRPr="00BA3F58">
              <w:t xml:space="preserve">a cheque </w:t>
            </w:r>
            <w:proofErr w:type="gramStart"/>
            <w:r w:rsidRPr="00BA3F58">
              <w:t>account;</w:t>
            </w:r>
            <w:proofErr w:type="gramEnd"/>
          </w:p>
          <w:p w14:paraId="0A4ED79F" w14:textId="463CDE32" w:rsidR="00D7120B" w:rsidRPr="00BA3F58" w:rsidRDefault="00D7120B" w:rsidP="00D7120B">
            <w:pPr>
              <w:pStyle w:val="Tablea"/>
            </w:pPr>
            <w:r w:rsidRPr="00BA3F58">
              <w:t>(f)</w:t>
            </w:r>
            <w:r w:rsidR="00536B92">
              <w:t xml:space="preserve"> </w:t>
            </w:r>
            <w:r w:rsidRPr="00BA3F58">
              <w:t xml:space="preserve">a debit card </w:t>
            </w:r>
            <w:proofErr w:type="gramStart"/>
            <w:r w:rsidRPr="00BA3F58">
              <w:t>account;</w:t>
            </w:r>
            <w:proofErr w:type="gramEnd"/>
          </w:p>
          <w:p w14:paraId="0DB2AFBA" w14:textId="2824EF05" w:rsidR="00D7120B" w:rsidRPr="00BA3F58" w:rsidRDefault="00D7120B" w:rsidP="00D7120B">
            <w:pPr>
              <w:pStyle w:val="Tablea"/>
            </w:pPr>
            <w:r w:rsidRPr="00BA3F58">
              <w:t>(g)</w:t>
            </w:r>
            <w:r w:rsidR="00536B92">
              <w:t xml:space="preserve"> </w:t>
            </w:r>
            <w:r w:rsidRPr="00BA3F58">
              <w:t xml:space="preserve">a transaction </w:t>
            </w:r>
            <w:proofErr w:type="gramStart"/>
            <w:r w:rsidRPr="00BA3F58">
              <w:t>account;</w:t>
            </w:r>
            <w:proofErr w:type="gramEnd"/>
          </w:p>
          <w:p w14:paraId="1B0C388E" w14:textId="2BF257E7" w:rsidR="00D7120B" w:rsidRPr="00BA3F58" w:rsidRDefault="00D7120B" w:rsidP="00D7120B">
            <w:pPr>
              <w:pStyle w:val="Tablea"/>
            </w:pPr>
            <w:r w:rsidRPr="00BA3F58">
              <w:t>(h)</w:t>
            </w:r>
            <w:r w:rsidR="00536B92">
              <w:t xml:space="preserve"> </w:t>
            </w:r>
            <w:r w:rsidRPr="00BA3F58">
              <w:t xml:space="preserve">a personal basic </w:t>
            </w:r>
            <w:proofErr w:type="gramStart"/>
            <w:r w:rsidRPr="00BA3F58">
              <w:t>account;</w:t>
            </w:r>
            <w:proofErr w:type="gramEnd"/>
          </w:p>
          <w:p w14:paraId="3EE26C17" w14:textId="0B22FE88" w:rsidR="00D7120B" w:rsidRPr="00BA3F58" w:rsidRDefault="00D7120B" w:rsidP="00D7120B">
            <w:pPr>
              <w:pStyle w:val="Tablea"/>
            </w:pPr>
            <w:r w:rsidRPr="00BA3F58">
              <w:t>(</w:t>
            </w:r>
            <w:proofErr w:type="spellStart"/>
            <w:r w:rsidRPr="00BA3F58">
              <w:t>i</w:t>
            </w:r>
            <w:proofErr w:type="spellEnd"/>
            <w:r w:rsidRPr="00BA3F58">
              <w:t>)</w:t>
            </w:r>
            <w:r w:rsidR="00536B92">
              <w:t xml:space="preserve"> </w:t>
            </w:r>
            <w:r w:rsidRPr="00BA3F58">
              <w:t xml:space="preserve">a GST or tax </w:t>
            </w:r>
            <w:proofErr w:type="gramStart"/>
            <w:r w:rsidRPr="00BA3F58">
              <w:t>account;</w:t>
            </w:r>
            <w:proofErr w:type="gramEnd"/>
          </w:p>
          <w:p w14:paraId="0F59734B" w14:textId="588B5111" w:rsidR="00D7120B" w:rsidRPr="00BA3F58" w:rsidRDefault="00D7120B" w:rsidP="00D7120B">
            <w:pPr>
              <w:pStyle w:val="Tablea"/>
            </w:pPr>
            <w:r w:rsidRPr="00BA3F58">
              <w:t>(j</w:t>
            </w:r>
            <w:r w:rsidR="00536B92" w:rsidRPr="00BA3F58">
              <w:t>)</w:t>
            </w:r>
            <w:r w:rsidR="00536B92">
              <w:t xml:space="preserve"> </w:t>
            </w:r>
            <w:r w:rsidRPr="00BA3F58">
              <w:t xml:space="preserve">a cash management </w:t>
            </w:r>
            <w:proofErr w:type="gramStart"/>
            <w:r w:rsidRPr="00BA3F58">
              <w:t>account;</w:t>
            </w:r>
            <w:proofErr w:type="gramEnd"/>
          </w:p>
          <w:p w14:paraId="75A8BBEA" w14:textId="73B1D2B6" w:rsidR="00D7120B" w:rsidRPr="00BA3F58" w:rsidRDefault="00D7120B" w:rsidP="00D7120B">
            <w:pPr>
              <w:pStyle w:val="Tablea"/>
            </w:pPr>
            <w:r w:rsidRPr="00BA3F58">
              <w:t>(k)</w:t>
            </w:r>
            <w:r w:rsidR="00536B92">
              <w:t xml:space="preserve"> </w:t>
            </w:r>
            <w:r w:rsidRPr="00BA3F58">
              <w:t xml:space="preserve">a farm management </w:t>
            </w:r>
            <w:proofErr w:type="gramStart"/>
            <w:r w:rsidRPr="00BA3F58">
              <w:t>account;</w:t>
            </w:r>
            <w:proofErr w:type="gramEnd"/>
          </w:p>
          <w:p w14:paraId="653DFEA2" w14:textId="07ED92A5" w:rsidR="00D7120B" w:rsidRPr="00BA3F58" w:rsidRDefault="00D7120B" w:rsidP="00D7120B">
            <w:pPr>
              <w:pStyle w:val="Tablea"/>
            </w:pPr>
            <w:r w:rsidRPr="00BA3F58">
              <w:t>(l)</w:t>
            </w:r>
            <w:r w:rsidR="00536B92">
              <w:t xml:space="preserve"> </w:t>
            </w:r>
            <w:r w:rsidRPr="00BA3F58">
              <w:t xml:space="preserve">a pensioner deeming </w:t>
            </w:r>
            <w:proofErr w:type="gramStart"/>
            <w:r w:rsidRPr="00BA3F58">
              <w:t>account;</w:t>
            </w:r>
            <w:proofErr w:type="gramEnd"/>
          </w:p>
          <w:p w14:paraId="165E8C28" w14:textId="401F879A" w:rsidR="00D7120B" w:rsidRPr="00BA3F58" w:rsidRDefault="00D7120B" w:rsidP="00D7120B">
            <w:pPr>
              <w:pStyle w:val="Tablea"/>
            </w:pPr>
            <w:r w:rsidRPr="00BA3F58">
              <w:t>(m</w:t>
            </w:r>
            <w:r w:rsidR="00536B92" w:rsidRPr="00BA3F58">
              <w:t>)</w:t>
            </w:r>
            <w:r w:rsidR="00536B92">
              <w:t xml:space="preserve"> </w:t>
            </w:r>
            <w:r w:rsidRPr="00BA3F58">
              <w:t xml:space="preserve">a retirement savings </w:t>
            </w:r>
            <w:proofErr w:type="gramStart"/>
            <w:r w:rsidRPr="00BA3F58">
              <w:t>account;</w:t>
            </w:r>
            <w:proofErr w:type="gramEnd"/>
          </w:p>
          <w:p w14:paraId="4433A54F" w14:textId="14A1F99D" w:rsidR="00D7120B" w:rsidRPr="00BA3F58" w:rsidRDefault="00D7120B" w:rsidP="00D7120B">
            <w:pPr>
              <w:pStyle w:val="Tablea"/>
            </w:pPr>
            <w:r w:rsidRPr="00BA3F58">
              <w:t>(n</w:t>
            </w:r>
            <w:r w:rsidR="00536B92" w:rsidRPr="00BA3F58">
              <w:t>)</w:t>
            </w:r>
            <w:r w:rsidR="00536B92">
              <w:t xml:space="preserve"> </w:t>
            </w:r>
            <w:r w:rsidRPr="00BA3F58">
              <w:t xml:space="preserve">a trust </w:t>
            </w:r>
            <w:proofErr w:type="gramStart"/>
            <w:r w:rsidRPr="00BA3F58">
              <w:t>account;</w:t>
            </w:r>
            <w:proofErr w:type="gramEnd"/>
          </w:p>
          <w:p w14:paraId="1EA02DE9" w14:textId="24F1A745" w:rsidR="00D7120B" w:rsidRDefault="00D7120B" w:rsidP="00D7120B">
            <w:pPr>
              <w:pStyle w:val="Tabletext"/>
            </w:pPr>
            <w:r w:rsidRPr="00BA3F58">
              <w:lastRenderedPageBreak/>
              <w:t>(o</w:t>
            </w:r>
            <w:r w:rsidR="00536B92" w:rsidRPr="00BA3F58">
              <w:t>)</w:t>
            </w:r>
            <w:r w:rsidR="00536B92">
              <w:t xml:space="preserve"> </w:t>
            </w:r>
            <w:r w:rsidRPr="00BA3F58">
              <w:t>a foreign currency account.</w:t>
            </w:r>
          </w:p>
        </w:tc>
      </w:tr>
    </w:tbl>
    <w:p w14:paraId="5A944058" w14:textId="77777777" w:rsidR="00C925E4" w:rsidRDefault="00C925E4" w:rsidP="00C925E4">
      <w:pPr>
        <w:pStyle w:val="Tabletext"/>
      </w:pPr>
    </w:p>
    <w:p w14:paraId="521947F6" w14:textId="65AAD47C" w:rsidR="0076083A" w:rsidRPr="00BA3F58" w:rsidRDefault="0076083A" w:rsidP="00744782">
      <w:pPr>
        <w:pStyle w:val="ActHead5"/>
      </w:pPr>
      <w:bookmarkStart w:id="42" w:name="_Toc190683813"/>
      <w:bookmarkStart w:id="43" w:name="_Toc191450835"/>
      <w:proofErr w:type="gramStart"/>
      <w:r w:rsidRPr="00BA3F58">
        <w:t>1.5  Meaning</w:t>
      </w:r>
      <w:proofErr w:type="gramEnd"/>
      <w:r w:rsidRPr="00BA3F58">
        <w:t xml:space="preserve"> of </w:t>
      </w:r>
      <w:r w:rsidRPr="00BA3F58">
        <w:rPr>
          <w:i/>
        </w:rPr>
        <w:t>trial product</w:t>
      </w:r>
      <w:bookmarkEnd w:id="42"/>
      <w:bookmarkEnd w:id="43"/>
    </w:p>
    <w:p w14:paraId="2EEA9996" w14:textId="46494BE1" w:rsidR="0076083A" w:rsidRPr="00BA3F58" w:rsidRDefault="0076083A" w:rsidP="0076083A">
      <w:pPr>
        <w:pStyle w:val="subsection"/>
      </w:pPr>
      <w:r w:rsidRPr="00BA3F58">
        <w:tab/>
        <w:t>(1)</w:t>
      </w:r>
      <w:r w:rsidRPr="00BA3F58">
        <w:tab/>
      </w:r>
      <w:bookmarkStart w:id="44" w:name="_Hlk121295621"/>
      <w:bookmarkStart w:id="45" w:name="_Hlk121402141"/>
      <w:r w:rsidR="004F69A1">
        <w:t>For these rules</w:t>
      </w:r>
      <w:r w:rsidR="002B51B6">
        <w:t>, in relation to</w:t>
      </w:r>
      <w:r w:rsidR="004B56CF">
        <w:t xml:space="preserve"> the banking</w:t>
      </w:r>
      <w:r w:rsidR="005F3B4D">
        <w:t xml:space="preserve"> sector and NBL sector</w:t>
      </w:r>
      <w:r w:rsidR="005D61F3">
        <w:t>, a</w:t>
      </w:r>
      <w:r w:rsidR="00151A1C">
        <w:t xml:space="preserve"> </w:t>
      </w:r>
      <w:bookmarkEnd w:id="44"/>
      <w:bookmarkEnd w:id="45"/>
      <w:r w:rsidR="001C41F8" w:rsidRPr="00BA3F58">
        <w:t xml:space="preserve">covered </w:t>
      </w:r>
      <w:r w:rsidRPr="00BA3F58">
        <w:t xml:space="preserve">product is a </w:t>
      </w:r>
      <w:r w:rsidRPr="00BA3F58">
        <w:rPr>
          <w:b/>
          <w:i/>
        </w:rPr>
        <w:t>trial product</w:t>
      </w:r>
      <w:r w:rsidRPr="00B5573C">
        <w:rPr>
          <w:bCs/>
          <w:iCs/>
        </w:rPr>
        <w:t xml:space="preserve"> </w:t>
      </w:r>
      <w:r w:rsidRPr="00BA3F58">
        <w:t>if the product is offered:</w:t>
      </w:r>
    </w:p>
    <w:p w14:paraId="7912D493" w14:textId="77777777" w:rsidR="0076083A" w:rsidRPr="00BA3F58" w:rsidRDefault="0076083A" w:rsidP="0076083A">
      <w:pPr>
        <w:pStyle w:val="paragraph"/>
      </w:pPr>
      <w:r w:rsidRPr="00BA3F58">
        <w:tab/>
        <w:t>(a)</w:t>
      </w:r>
      <w:r w:rsidRPr="00BA3F58">
        <w:tab/>
        <w:t>with the description “pilot” or “trial”; and</w:t>
      </w:r>
    </w:p>
    <w:p w14:paraId="6271F75F" w14:textId="30AF5533" w:rsidR="0076083A" w:rsidRPr="00BA3F58" w:rsidRDefault="0076083A" w:rsidP="0076083A">
      <w:pPr>
        <w:pStyle w:val="paragraph"/>
      </w:pPr>
      <w:r w:rsidRPr="00BA3F58">
        <w:tab/>
        <w:t>(b)</w:t>
      </w:r>
      <w:r w:rsidRPr="00BA3F58">
        <w:tab/>
        <w:t xml:space="preserve">with a statement </w:t>
      </w:r>
      <w:r w:rsidR="009B10AD" w:rsidRPr="00BA3F58">
        <w:t xml:space="preserve">that it will operate as a pilot or trial for a period </w:t>
      </w:r>
      <w:r w:rsidRPr="00BA3F58">
        <w:t xml:space="preserve">that ends no more than 6 months after the initial offering (the </w:t>
      </w:r>
      <w:r w:rsidRPr="00B44037">
        <w:rPr>
          <w:b/>
          <w:bCs/>
          <w:i/>
          <w:iCs/>
        </w:rPr>
        <w:t>trial period</w:t>
      </w:r>
      <w:r w:rsidRPr="00BA3F58">
        <w:t>); and</w:t>
      </w:r>
    </w:p>
    <w:p w14:paraId="492BEDF9" w14:textId="65A691C1" w:rsidR="0076083A" w:rsidRPr="00BA3F58" w:rsidRDefault="0076083A" w:rsidP="0076083A">
      <w:pPr>
        <w:pStyle w:val="paragraph"/>
      </w:pPr>
      <w:r w:rsidRPr="00BA3F58">
        <w:tab/>
        <w:t>(c)</w:t>
      </w:r>
      <w:r w:rsidRPr="00BA3F58">
        <w:tab/>
        <w:t>on the basis that the number of customers supplied with the product for the purposes of the trial will be no more than 1,000; and</w:t>
      </w:r>
    </w:p>
    <w:p w14:paraId="355549F7" w14:textId="63F2FC62" w:rsidR="0076083A" w:rsidRPr="00BA3F58" w:rsidRDefault="0076083A" w:rsidP="0076083A">
      <w:pPr>
        <w:pStyle w:val="paragraph"/>
      </w:pPr>
      <w:r w:rsidRPr="00BA3F58">
        <w:tab/>
        <w:t>(d)</w:t>
      </w:r>
      <w:r w:rsidRPr="00BA3F58">
        <w:tab/>
        <w:t xml:space="preserve">with a statement that the product may be terminated before the end of the trial period and that, if it is, the CDR data in relation to the product may </w:t>
      </w:r>
      <w:r w:rsidRPr="0068733B">
        <w:rPr>
          <w:i/>
        </w:rPr>
        <w:t>not</w:t>
      </w:r>
      <w:r w:rsidRPr="00BA3F58">
        <w:t xml:space="preserve"> be available</w:t>
      </w:r>
      <w:r w:rsidR="00C45EAA">
        <w:t xml:space="preserve"> for data sharing under these rules</w:t>
      </w:r>
      <w:r w:rsidRPr="00BA3F58">
        <w:t>.</w:t>
      </w:r>
    </w:p>
    <w:p w14:paraId="240360C6" w14:textId="7838C914" w:rsidR="0076083A" w:rsidRPr="00B5573C" w:rsidRDefault="0076083A" w:rsidP="0076083A">
      <w:pPr>
        <w:pStyle w:val="subsection"/>
      </w:pPr>
      <w:r w:rsidRPr="00BA3F58">
        <w:tab/>
      </w:r>
      <w:r w:rsidRPr="00B5573C">
        <w:t>(2)</w:t>
      </w:r>
      <w:r w:rsidRPr="00B5573C">
        <w:tab/>
      </w:r>
      <w:r w:rsidR="00C45EAA" w:rsidRPr="00B5573C">
        <w:t>A covered p</w:t>
      </w:r>
      <w:r w:rsidRPr="00B5573C">
        <w:t xml:space="preserve">roduct </w:t>
      </w:r>
      <w:r w:rsidR="00445055" w:rsidRPr="00B5573C">
        <w:t xml:space="preserve">will </w:t>
      </w:r>
      <w:r w:rsidRPr="00B5573C">
        <w:t xml:space="preserve">cease to be a </w:t>
      </w:r>
      <w:r w:rsidRPr="00B5573C">
        <w:rPr>
          <w:bCs/>
          <w:iCs/>
        </w:rPr>
        <w:t>trial product</w:t>
      </w:r>
      <w:r w:rsidR="00B861C0" w:rsidRPr="00B5573C">
        <w:rPr>
          <w:bCs/>
          <w:iCs/>
        </w:rPr>
        <w:t xml:space="preserve"> f</w:t>
      </w:r>
      <w:r w:rsidR="00350CBB" w:rsidRPr="00B5573C">
        <w:rPr>
          <w:bCs/>
          <w:iCs/>
        </w:rPr>
        <w:t xml:space="preserve">rom the </w:t>
      </w:r>
      <w:r w:rsidR="006B4354" w:rsidRPr="00B5573C">
        <w:rPr>
          <w:bCs/>
          <w:iCs/>
        </w:rPr>
        <w:t xml:space="preserve">first </w:t>
      </w:r>
      <w:r w:rsidR="00350CBB" w:rsidRPr="00B5573C">
        <w:rPr>
          <w:bCs/>
          <w:iCs/>
        </w:rPr>
        <w:t xml:space="preserve">time </w:t>
      </w:r>
      <w:r w:rsidR="006B4354" w:rsidRPr="00B5573C">
        <w:rPr>
          <w:bCs/>
          <w:iCs/>
        </w:rPr>
        <w:t xml:space="preserve">any </w:t>
      </w:r>
      <w:r w:rsidR="00350CBB" w:rsidRPr="00B5573C">
        <w:rPr>
          <w:bCs/>
          <w:iCs/>
        </w:rPr>
        <w:t>of the following occurs</w:t>
      </w:r>
      <w:r w:rsidRPr="00B5573C">
        <w:t>:</w:t>
      </w:r>
    </w:p>
    <w:p w14:paraId="30A44FD1" w14:textId="0D776017" w:rsidR="0076083A" w:rsidRPr="00B5573C" w:rsidRDefault="0076083A" w:rsidP="0076083A">
      <w:pPr>
        <w:pStyle w:val="paragraph"/>
      </w:pPr>
      <w:r w:rsidRPr="00B5573C">
        <w:tab/>
        <w:t>(a)</w:t>
      </w:r>
      <w:r w:rsidRPr="00B5573C">
        <w:tab/>
      </w:r>
      <w:r w:rsidR="001B3AB7" w:rsidRPr="00B5573C">
        <w:t xml:space="preserve">the product is supplied or offered after </w:t>
      </w:r>
      <w:r w:rsidRPr="00B5573C">
        <w:t xml:space="preserve">the end of the trial </w:t>
      </w:r>
      <w:proofErr w:type="gramStart"/>
      <w:r w:rsidRPr="00B5573C">
        <w:t>period;</w:t>
      </w:r>
      <w:proofErr w:type="gramEnd"/>
    </w:p>
    <w:p w14:paraId="2A96CE22" w14:textId="78DA274E" w:rsidR="0076083A" w:rsidRDefault="0076083A" w:rsidP="0076083A">
      <w:pPr>
        <w:pStyle w:val="paragraph"/>
      </w:pPr>
      <w:r w:rsidRPr="00B5573C">
        <w:tab/>
        <w:t>(b)</w:t>
      </w:r>
      <w:r w:rsidRPr="00B5573C">
        <w:tab/>
        <w:t xml:space="preserve">the product </w:t>
      </w:r>
      <w:r w:rsidR="001E5F45" w:rsidRPr="00B5573C">
        <w:t>begins to be</w:t>
      </w:r>
      <w:r w:rsidRPr="00B5573C">
        <w:t xml:space="preserve"> supplied to more than 1,000 customers.</w:t>
      </w:r>
    </w:p>
    <w:p w14:paraId="13B1A202" w14:textId="7BF4648F" w:rsidR="006A5BCC" w:rsidRPr="00BA3F58" w:rsidRDefault="006A5BCC" w:rsidP="00744782">
      <w:pPr>
        <w:pStyle w:val="ActHead2"/>
        <w:pageBreakBefore/>
      </w:pPr>
      <w:bookmarkStart w:id="46" w:name="_Toc190683814"/>
      <w:bookmarkStart w:id="47" w:name="_Toc191450836"/>
      <w:bookmarkStart w:id="48" w:name="_Hlk135306618"/>
      <w:r w:rsidRPr="00BA3F58">
        <w:lastRenderedPageBreak/>
        <w:t xml:space="preserve">Part 2—Eligible </w:t>
      </w:r>
      <w:r w:rsidRPr="00D10143">
        <w:t>CDR</w:t>
      </w:r>
      <w:r w:rsidRPr="00BA3F58">
        <w:t xml:space="preserve"> </w:t>
      </w:r>
      <w:r w:rsidRPr="00EA7050">
        <w:t>consumers</w:t>
      </w:r>
      <w:r w:rsidR="00C45EAA">
        <w:t xml:space="preserve">: </w:t>
      </w:r>
      <w:r w:rsidRPr="00BA3F58">
        <w:t>banking and NBL sectors</w:t>
      </w:r>
      <w:bookmarkEnd w:id="46"/>
      <w:bookmarkEnd w:id="47"/>
    </w:p>
    <w:p w14:paraId="326B62D2" w14:textId="68B0CFA2" w:rsidR="003B5496" w:rsidRPr="00BA3F58" w:rsidRDefault="003B5496" w:rsidP="00744782">
      <w:pPr>
        <w:pStyle w:val="ActHead5"/>
      </w:pPr>
      <w:bookmarkStart w:id="49" w:name="_Toc190683815"/>
      <w:bookmarkStart w:id="50" w:name="_Toc191450837"/>
      <w:proofErr w:type="gramStart"/>
      <w:r w:rsidRPr="00BA3F58">
        <w:t>2.1  Additional</w:t>
      </w:r>
      <w:proofErr w:type="gramEnd"/>
      <w:r w:rsidRPr="00BA3F58">
        <w:t xml:space="preserve"> criter</w:t>
      </w:r>
      <w:r w:rsidR="00B97F56">
        <w:t>ion</w:t>
      </w:r>
      <w:r w:rsidRPr="00BA3F58">
        <w:t xml:space="preserve"> for eligibility—banking and NBL sectors</w:t>
      </w:r>
      <w:bookmarkEnd w:id="49"/>
      <w:bookmarkEnd w:id="50"/>
    </w:p>
    <w:p w14:paraId="03D1927B" w14:textId="42328ADB" w:rsidR="003B5496" w:rsidRPr="00BA3F58" w:rsidRDefault="003B5496" w:rsidP="003B5496">
      <w:pPr>
        <w:pStyle w:val="subsection"/>
      </w:pPr>
      <w:r w:rsidRPr="00BA3F58">
        <w:tab/>
      </w:r>
      <w:r w:rsidRPr="00BA3F58">
        <w:tab/>
        <w:t xml:space="preserve">For </w:t>
      </w:r>
      <w:r w:rsidR="00FC2AB7">
        <w:t xml:space="preserve">the purposes of </w:t>
      </w:r>
      <w:r w:rsidRPr="00BA3F58">
        <w:t xml:space="preserve">subrules 1.10B(1) and (2), the additional criterion for a CDR consumer to be </w:t>
      </w:r>
      <w:r w:rsidRPr="00BA3F58">
        <w:rPr>
          <w:b/>
          <w:i/>
        </w:rPr>
        <w:t>eligible</w:t>
      </w:r>
      <w:r w:rsidRPr="00BA3F58">
        <w:t xml:space="preserve"> in relation to a particular data holder in the banking sector or the NBL sector at a particular time, is that the account</w:t>
      </w:r>
      <w:r w:rsidR="00045734" w:rsidRPr="00BA3F58">
        <w:t xml:space="preserve"> mentioned in paragraph</w:t>
      </w:r>
      <w:r w:rsidR="00920B71">
        <w:t> </w:t>
      </w:r>
      <w:r w:rsidR="00045734" w:rsidRPr="00BA3F58">
        <w:t>1.10B(</w:t>
      </w:r>
      <w:r w:rsidR="00F31B00" w:rsidRPr="00BA3F58">
        <w:t>1)(b) or (2)(</w:t>
      </w:r>
      <w:r w:rsidR="00DC62AD">
        <w:t>b</w:t>
      </w:r>
      <w:r w:rsidR="00F31B00" w:rsidRPr="00BA3F58">
        <w:t>)</w:t>
      </w:r>
      <w:r w:rsidRPr="00BA3F58">
        <w:t xml:space="preserve"> is set up in such a way that</w:t>
      </w:r>
      <w:r w:rsidR="00266AE7">
        <w:t>, at that time,</w:t>
      </w:r>
      <w:r w:rsidRPr="00BA3F58">
        <w:t xml:space="preserve"> it can be accessed online.</w:t>
      </w:r>
    </w:p>
    <w:p w14:paraId="49C9176C" w14:textId="2805C30F" w:rsidR="00F31B00" w:rsidRPr="00BA3F58" w:rsidRDefault="00F31B00" w:rsidP="00F31B00">
      <w:pPr>
        <w:pStyle w:val="notetext"/>
      </w:pPr>
      <w:bookmarkStart w:id="51" w:name="_Hlk148361831"/>
      <w:r w:rsidRPr="00BA3F58">
        <w:t>Note:</w:t>
      </w:r>
      <w:r w:rsidRPr="00BA3F58">
        <w:tab/>
        <w:t>Rule 1.10B provides</w:t>
      </w:r>
      <w:r w:rsidR="00B30BC3">
        <w:t>, among other things,</w:t>
      </w:r>
      <w:r w:rsidRPr="00BA3F58">
        <w:t xml:space="preserve"> that a person is eligible in relation to a data holder if </w:t>
      </w:r>
      <w:r w:rsidR="00DA4CD1" w:rsidRPr="00BA3F58">
        <w:t>the person is</w:t>
      </w:r>
      <w:r w:rsidR="005A3E35">
        <w:t>:</w:t>
      </w:r>
    </w:p>
    <w:p w14:paraId="2641D6AB" w14:textId="77777777" w:rsidR="00DA4CD1" w:rsidRPr="00BA3F58" w:rsidRDefault="00F31B00" w:rsidP="00F31B00">
      <w:pPr>
        <w:pStyle w:val="notepara"/>
      </w:pPr>
      <w:r w:rsidRPr="00BA3F58">
        <w:t>(a)</w:t>
      </w:r>
      <w:r w:rsidRPr="00BA3F58">
        <w:tab/>
        <w:t>an account holder or secondary user for an account with the data holder</w:t>
      </w:r>
      <w:r w:rsidR="00DA4CD1" w:rsidRPr="00BA3F58">
        <w:t>; or</w:t>
      </w:r>
    </w:p>
    <w:p w14:paraId="0EC89C0F" w14:textId="3A7C06CE" w:rsidR="00F31B00" w:rsidRPr="00BA3F58" w:rsidRDefault="00DA4CD1" w:rsidP="00F31B00">
      <w:pPr>
        <w:pStyle w:val="notepara"/>
      </w:pPr>
      <w:r w:rsidRPr="00BA3F58">
        <w:t>(b)</w:t>
      </w:r>
      <w:r w:rsidRPr="00BA3F58">
        <w:tab/>
      </w:r>
      <w:r w:rsidR="00F31B00" w:rsidRPr="00BA3F58">
        <w:t>a partner in a partnership that has an account with the data holder (</w:t>
      </w:r>
      <w:proofErr w:type="gramStart"/>
      <w:r w:rsidR="00F31B00" w:rsidRPr="00BA3F58">
        <w:t>whether or not</w:t>
      </w:r>
      <w:proofErr w:type="gramEnd"/>
      <w:r w:rsidR="00F31B00" w:rsidRPr="00BA3F58">
        <w:t xml:space="preserve"> the person is an account holder or secondary user</w:t>
      </w:r>
      <w:r w:rsidRPr="00BA3F58">
        <w:t>)</w:t>
      </w:r>
      <w:r w:rsidR="00F31B00" w:rsidRPr="00BA3F58">
        <w:t>.</w:t>
      </w:r>
    </w:p>
    <w:p w14:paraId="52B2ABE3" w14:textId="5C606C49" w:rsidR="00804800" w:rsidRPr="00BA3F58" w:rsidRDefault="00804800" w:rsidP="00804800">
      <w:pPr>
        <w:pStyle w:val="ActHead5"/>
      </w:pPr>
      <w:bookmarkStart w:id="52" w:name="_Toc190683816"/>
      <w:bookmarkStart w:id="53" w:name="_Toc191450838"/>
      <w:bookmarkStart w:id="54" w:name="_Hlk135306964"/>
      <w:bookmarkEnd w:id="48"/>
      <w:bookmarkEnd w:id="51"/>
      <w:proofErr w:type="gramStart"/>
      <w:r w:rsidRPr="00BA3F58">
        <w:t>2.2  Meaning</w:t>
      </w:r>
      <w:proofErr w:type="gramEnd"/>
      <w:r w:rsidRPr="00BA3F58">
        <w:t xml:space="preserve"> of </w:t>
      </w:r>
      <w:r w:rsidRPr="00BA3F58">
        <w:rPr>
          <w:i/>
        </w:rPr>
        <w:t>account privileges</w:t>
      </w:r>
      <w:r w:rsidRPr="00BA3F58">
        <w:t>—banking and NBL sectors</w:t>
      </w:r>
      <w:bookmarkEnd w:id="52"/>
      <w:bookmarkEnd w:id="53"/>
    </w:p>
    <w:p w14:paraId="39A243AC" w14:textId="58F96D16" w:rsidR="00804800" w:rsidRPr="00BA3F58" w:rsidRDefault="00804800" w:rsidP="00804800">
      <w:pPr>
        <w:pStyle w:val="subsection"/>
      </w:pPr>
      <w:r w:rsidRPr="00BA3F58">
        <w:tab/>
        <w:t>(1)</w:t>
      </w:r>
      <w:r w:rsidRPr="00BA3F58">
        <w:tab/>
        <w:t xml:space="preserve">This clause is made for the purposes of the definition of </w:t>
      </w:r>
      <w:r w:rsidRPr="00BA3F58">
        <w:rPr>
          <w:b/>
          <w:i/>
        </w:rPr>
        <w:t xml:space="preserve">account privileges </w:t>
      </w:r>
      <w:r w:rsidRPr="00BA3F58">
        <w:t>in subrule 1.7(1).</w:t>
      </w:r>
    </w:p>
    <w:p w14:paraId="253C6027" w14:textId="0018E594" w:rsidR="0076083A" w:rsidRPr="00BA3F58" w:rsidRDefault="0076083A" w:rsidP="0076083A">
      <w:pPr>
        <w:pStyle w:val="subsection"/>
      </w:pPr>
      <w:r w:rsidRPr="00BA3F58">
        <w:tab/>
        <w:t>(2)</w:t>
      </w:r>
      <w:r w:rsidRPr="00BA3F58">
        <w:tab/>
        <w:t xml:space="preserve">For the banking </w:t>
      </w:r>
      <w:r w:rsidR="00D75EBD">
        <w:t xml:space="preserve">sector </w:t>
      </w:r>
      <w:r w:rsidR="003B5496" w:rsidRPr="00BA3F58">
        <w:t xml:space="preserve">and NBL </w:t>
      </w:r>
      <w:r w:rsidRPr="00BA3F58">
        <w:t xml:space="preserve">sector, a person has account privileges in relation to an account </w:t>
      </w:r>
      <w:r w:rsidR="00CA533B">
        <w:t xml:space="preserve">the person holds </w:t>
      </w:r>
      <w:r w:rsidRPr="00BA3F58">
        <w:t xml:space="preserve">with a data holder </w:t>
      </w:r>
      <w:r w:rsidR="00E4015D">
        <w:t>in either o</w:t>
      </w:r>
      <w:r w:rsidR="00EF3BC2">
        <w:t>f</w:t>
      </w:r>
      <w:r w:rsidR="00E4015D">
        <w:t xml:space="preserve"> those sectors </w:t>
      </w:r>
      <w:r w:rsidRPr="00BA3F58">
        <w:t>if:</w:t>
      </w:r>
    </w:p>
    <w:p w14:paraId="184171DE" w14:textId="562C0B0C" w:rsidR="0076083A" w:rsidRPr="00BA3F58" w:rsidRDefault="0076083A" w:rsidP="0076083A">
      <w:pPr>
        <w:pStyle w:val="paragraph"/>
      </w:pPr>
      <w:r w:rsidRPr="00BA3F58">
        <w:tab/>
        <w:t>(a)</w:t>
      </w:r>
      <w:r w:rsidRPr="00BA3F58">
        <w:tab/>
        <w:t>the account is</w:t>
      </w:r>
      <w:r w:rsidR="003563F6">
        <w:t>, or is</w:t>
      </w:r>
      <w:r w:rsidRPr="00BA3F58">
        <w:t xml:space="preserve"> for</w:t>
      </w:r>
      <w:r w:rsidR="003563F6">
        <w:t>,</w:t>
      </w:r>
      <w:r w:rsidRPr="00BA3F58">
        <w:t xml:space="preserve"> a covered product; and</w:t>
      </w:r>
    </w:p>
    <w:p w14:paraId="21B9FFE2" w14:textId="72B0B29C" w:rsidR="0076083A" w:rsidRPr="00BA3F58" w:rsidRDefault="0076083A" w:rsidP="0076083A">
      <w:pPr>
        <w:pStyle w:val="paragraph"/>
      </w:pPr>
      <w:r w:rsidRPr="00BA3F58">
        <w:tab/>
        <w:t>(b)</w:t>
      </w:r>
      <w:r w:rsidRPr="00BA3F58">
        <w:tab/>
        <w:t xml:space="preserve">the person </w:t>
      </w:r>
      <w:proofErr w:type="gramStart"/>
      <w:r w:rsidRPr="00BA3F58">
        <w:t>is able to</w:t>
      </w:r>
      <w:proofErr w:type="gramEnd"/>
      <w:r w:rsidRPr="00BA3F58">
        <w:t xml:space="preserve"> make transactions on the account.</w:t>
      </w:r>
    </w:p>
    <w:p w14:paraId="2552671C" w14:textId="77777777" w:rsidR="0076083A" w:rsidRPr="00BA3F58" w:rsidRDefault="0076083A" w:rsidP="00744782">
      <w:pPr>
        <w:pStyle w:val="ActHead5"/>
      </w:pPr>
      <w:bookmarkStart w:id="55" w:name="_Toc190683817"/>
      <w:bookmarkStart w:id="56" w:name="_Toc191450839"/>
      <w:bookmarkStart w:id="57" w:name="_Hlk135307091"/>
      <w:bookmarkEnd w:id="54"/>
      <w:proofErr w:type="gramStart"/>
      <w:r w:rsidRPr="00BA3F58">
        <w:t>2.3  Consumer</w:t>
      </w:r>
      <w:proofErr w:type="gramEnd"/>
      <w:r w:rsidRPr="00BA3F58">
        <w:t xml:space="preserve"> dashboard—application of rule 1.15</w:t>
      </w:r>
      <w:bookmarkEnd w:id="55"/>
      <w:bookmarkEnd w:id="56"/>
    </w:p>
    <w:p w14:paraId="654A59F0" w14:textId="2729B554" w:rsidR="0076083A" w:rsidRPr="00BA3F58" w:rsidRDefault="0076083A" w:rsidP="0076083A">
      <w:pPr>
        <w:pStyle w:val="subsection"/>
        <w:rPr>
          <w:rFonts w:eastAsia="Calibri"/>
        </w:rPr>
      </w:pPr>
      <w:r w:rsidRPr="00BA3F58">
        <w:rPr>
          <w:rFonts w:eastAsia="Calibri"/>
        </w:rPr>
        <w:tab/>
      </w:r>
      <w:r w:rsidRPr="00BA3F58">
        <w:rPr>
          <w:rFonts w:eastAsia="Calibri"/>
        </w:rPr>
        <w:tab/>
        <w:t xml:space="preserve">For </w:t>
      </w:r>
      <w:r w:rsidR="0014484D">
        <w:rPr>
          <w:rFonts w:eastAsia="Calibri"/>
        </w:rPr>
        <w:t xml:space="preserve">the purposes of </w:t>
      </w:r>
      <w:r w:rsidRPr="00BA3F58">
        <w:rPr>
          <w:rFonts w:eastAsia="Calibri"/>
        </w:rPr>
        <w:t>subrule 1.15(1), if</w:t>
      </w:r>
      <w:r w:rsidR="003B5496" w:rsidRPr="00BA3F58">
        <w:rPr>
          <w:rFonts w:eastAsia="Calibri"/>
        </w:rPr>
        <w:t xml:space="preserve"> a data holder </w:t>
      </w:r>
      <w:r w:rsidR="00EF3BC2">
        <w:rPr>
          <w:rFonts w:eastAsia="Calibri"/>
        </w:rPr>
        <w:t xml:space="preserve">in </w:t>
      </w:r>
      <w:r w:rsidR="00EF3BC2" w:rsidRPr="00BA3F58">
        <w:t xml:space="preserve">the banking </w:t>
      </w:r>
      <w:r w:rsidR="00A36DB5">
        <w:t xml:space="preserve">sector </w:t>
      </w:r>
      <w:r w:rsidR="00EF3BC2">
        <w:t xml:space="preserve">or </w:t>
      </w:r>
      <w:r w:rsidR="00EF3BC2" w:rsidRPr="00BA3F58">
        <w:t>NBL sector</w:t>
      </w:r>
      <w:r w:rsidR="00EF3BC2" w:rsidRPr="00BA3F58">
        <w:rPr>
          <w:rFonts w:eastAsia="Calibri"/>
        </w:rPr>
        <w:t xml:space="preserve"> </w:t>
      </w:r>
      <w:r w:rsidR="003B5496" w:rsidRPr="00BA3F58">
        <w:rPr>
          <w:rFonts w:eastAsia="Calibri"/>
        </w:rPr>
        <w:t xml:space="preserve">receives a consumer data request from an accredited person on behalf of a CDR consumer who is eligible in relation to the data holder, the data holder must provide the CDR consumer with </w:t>
      </w:r>
      <w:r w:rsidR="00202DEC">
        <w:rPr>
          <w:rFonts w:eastAsia="Calibri"/>
        </w:rPr>
        <w:t>a</w:t>
      </w:r>
      <w:r w:rsidR="003B5496" w:rsidRPr="00BA3F58">
        <w:rPr>
          <w:rFonts w:eastAsia="Calibri"/>
        </w:rPr>
        <w:t xml:space="preserve"> consumer dashboard.</w:t>
      </w:r>
    </w:p>
    <w:p w14:paraId="41332BD0" w14:textId="15C8EBD5" w:rsidR="000D51B1" w:rsidRPr="00BA3F58" w:rsidRDefault="000D51B1" w:rsidP="00744782">
      <w:pPr>
        <w:pStyle w:val="ActHead2"/>
        <w:pageBreakBefore/>
      </w:pPr>
      <w:bookmarkStart w:id="58" w:name="_Toc190683818"/>
      <w:bookmarkStart w:id="59" w:name="_Toc191450840"/>
      <w:bookmarkEnd w:id="57"/>
      <w:r w:rsidRPr="00BA3F58">
        <w:lastRenderedPageBreak/>
        <w:t>Part 3—CDR data that may be accessed under these rules</w:t>
      </w:r>
      <w:r w:rsidR="00ED2361">
        <w:t xml:space="preserve"> in relation to the </w:t>
      </w:r>
      <w:r w:rsidRPr="00BA3F58">
        <w:t xml:space="preserve">banking </w:t>
      </w:r>
      <w:r w:rsidR="00ED2361">
        <w:t xml:space="preserve">sector </w:t>
      </w:r>
      <w:r w:rsidRPr="00BA3F58">
        <w:t>and NBL sector</w:t>
      </w:r>
      <w:bookmarkEnd w:id="58"/>
      <w:bookmarkEnd w:id="59"/>
    </w:p>
    <w:p w14:paraId="63249EDB" w14:textId="580C0CFD" w:rsidR="000D51B1" w:rsidRPr="00BA3F58" w:rsidRDefault="000D51B1" w:rsidP="00744782">
      <w:pPr>
        <w:pStyle w:val="ActHead5"/>
      </w:pPr>
      <w:bookmarkStart w:id="60" w:name="_Toc190683819"/>
      <w:bookmarkStart w:id="61" w:name="_Toc191450841"/>
      <w:proofErr w:type="gramStart"/>
      <w:r w:rsidRPr="00BA3F58">
        <w:t>3.1  Meaning</w:t>
      </w:r>
      <w:proofErr w:type="gramEnd"/>
      <w:r w:rsidRPr="00BA3F58">
        <w:t xml:space="preserve"> of </w:t>
      </w:r>
      <w:r w:rsidRPr="00BA3F58">
        <w:rPr>
          <w:i/>
        </w:rPr>
        <w:t>required</w:t>
      </w:r>
      <w:r w:rsidRPr="00BA3F58">
        <w:t xml:space="preserve"> </w:t>
      </w:r>
      <w:r w:rsidRPr="00BA3F58">
        <w:rPr>
          <w:i/>
        </w:rPr>
        <w:t>product data</w:t>
      </w:r>
      <w:r w:rsidRPr="00BA3F58">
        <w:t xml:space="preserve"> and </w:t>
      </w:r>
      <w:r w:rsidRPr="00BA3F58">
        <w:rPr>
          <w:i/>
        </w:rPr>
        <w:t>voluntary product data</w:t>
      </w:r>
      <w:r w:rsidRPr="00BA3F58">
        <w:t xml:space="preserve">—banking </w:t>
      </w:r>
      <w:r w:rsidR="00783A0C">
        <w:t xml:space="preserve">sector </w:t>
      </w:r>
      <w:r w:rsidRPr="00BA3F58">
        <w:t xml:space="preserve">and NBL </w:t>
      </w:r>
      <w:r w:rsidR="00783A0C" w:rsidRPr="00BA3F58">
        <w:t>sector</w:t>
      </w:r>
      <w:bookmarkEnd w:id="60"/>
      <w:bookmarkEnd w:id="61"/>
    </w:p>
    <w:p w14:paraId="0EEF1EAA" w14:textId="5CB8C84A" w:rsidR="000D51B1" w:rsidRPr="00BA3F58" w:rsidRDefault="000D51B1" w:rsidP="0057180B">
      <w:pPr>
        <w:pStyle w:val="subsection"/>
        <w:keepNext/>
        <w:keepLines/>
      </w:pPr>
      <w:r w:rsidRPr="00BA3F58">
        <w:tab/>
        <w:t>(1)</w:t>
      </w:r>
      <w:r w:rsidRPr="00BA3F58">
        <w:tab/>
      </w:r>
      <w:r w:rsidR="00111FB2">
        <w:rPr>
          <w:b/>
          <w:bCs/>
          <w:i/>
          <w:iCs/>
        </w:rPr>
        <w:t>R</w:t>
      </w:r>
      <w:r w:rsidRPr="00BA3F58">
        <w:rPr>
          <w:b/>
          <w:i/>
        </w:rPr>
        <w:t>equired product data</w:t>
      </w:r>
      <w:r w:rsidRPr="00BA3F58">
        <w:t xml:space="preserve">, in relation </w:t>
      </w:r>
      <w:r w:rsidR="0044137F" w:rsidRPr="00BA3F58">
        <w:t xml:space="preserve">to </w:t>
      </w:r>
      <w:r w:rsidRPr="00BA3F58">
        <w:t xml:space="preserve">the banking sector or the NBL sector, </w:t>
      </w:r>
      <w:r w:rsidR="00111FB2">
        <w:t xml:space="preserve">means </w:t>
      </w:r>
      <w:r w:rsidR="00111FB2" w:rsidRPr="00BA3F58">
        <w:t>CDR data for which there are no CDR consumers</w:t>
      </w:r>
      <w:r w:rsidRPr="00BA3F58">
        <w:t>:</w:t>
      </w:r>
    </w:p>
    <w:p w14:paraId="067810D7" w14:textId="37E89820" w:rsidR="000D51B1" w:rsidRPr="00BA3F58" w:rsidRDefault="000D51B1" w:rsidP="000D51B1">
      <w:pPr>
        <w:pStyle w:val="paragraph"/>
      </w:pPr>
      <w:r w:rsidRPr="00BA3F58">
        <w:tab/>
        <w:t>(a)</w:t>
      </w:r>
      <w:r w:rsidRPr="00BA3F58">
        <w:tab/>
        <w:t>th</w:t>
      </w:r>
      <w:r w:rsidR="00C36E00">
        <w:t>at</w:t>
      </w:r>
      <w:r w:rsidRPr="00BA3F58">
        <w:t xml:space="preserve"> is banking sector data or NBL sector data (as applicable); and</w:t>
      </w:r>
    </w:p>
    <w:p w14:paraId="0676754A" w14:textId="7120DAEA" w:rsidR="000D51B1" w:rsidRPr="00BA3F58" w:rsidRDefault="000D51B1" w:rsidP="00525BF2">
      <w:pPr>
        <w:pStyle w:val="paragraph"/>
      </w:pPr>
      <w:r w:rsidRPr="00BA3F58">
        <w:tab/>
      </w:r>
      <w:r w:rsidR="001C304B" w:rsidRPr="00BA3F58">
        <w:t>(</w:t>
      </w:r>
      <w:r w:rsidR="001C304B">
        <w:t>b</w:t>
      </w:r>
      <w:r w:rsidR="001C304B" w:rsidRPr="00BA3F58">
        <w:t>)</w:t>
      </w:r>
      <w:r w:rsidR="001C304B" w:rsidRPr="00BA3F58">
        <w:tab/>
        <w:t>th</w:t>
      </w:r>
      <w:r w:rsidR="00C36E00">
        <w:t>at</w:t>
      </w:r>
      <w:r w:rsidR="001C304B" w:rsidRPr="00BA3F58">
        <w:t xml:space="preserve"> is product specific data about a covered product</w:t>
      </w:r>
      <w:r w:rsidR="00891151">
        <w:t xml:space="preserve"> (other than</w:t>
      </w:r>
      <w:r w:rsidR="00FD67BB">
        <w:t xml:space="preserve"> a covered product mentioned in</w:t>
      </w:r>
      <w:r w:rsidR="00864643">
        <w:t xml:space="preserve"> subclause (</w:t>
      </w:r>
      <w:r w:rsidR="007061EF">
        <w:t>2</w:t>
      </w:r>
      <w:r w:rsidR="00864643">
        <w:t>)</w:t>
      </w:r>
      <w:r w:rsidR="004E3A4C">
        <w:t>)</w:t>
      </w:r>
      <w:r w:rsidR="001C304B" w:rsidRPr="00BA3F58">
        <w:t>; and</w:t>
      </w:r>
    </w:p>
    <w:p w14:paraId="097E3AE1" w14:textId="2B77C6C4" w:rsidR="000D51B1" w:rsidRPr="00BA3F58" w:rsidDel="00207FDE" w:rsidRDefault="000D51B1" w:rsidP="000F34D7">
      <w:pPr>
        <w:pStyle w:val="paragraph"/>
      </w:pPr>
      <w:r w:rsidRPr="00BA3F58">
        <w:tab/>
        <w:t>(</w:t>
      </w:r>
      <w:r w:rsidR="00525BF2">
        <w:t>c</w:t>
      </w:r>
      <w:r w:rsidRPr="00BA3F58">
        <w:t>)</w:t>
      </w:r>
      <w:r w:rsidRPr="00BA3F58">
        <w:tab/>
        <w:t>th</w:t>
      </w:r>
      <w:r w:rsidR="00C36E00">
        <w:t>at</w:t>
      </w:r>
      <w:r w:rsidRPr="00BA3F58">
        <w:t xml:space="preserve"> is held </w:t>
      </w:r>
      <w:r w:rsidR="00441D91" w:rsidRPr="00BA3F58">
        <w:t xml:space="preserve">by the data holder </w:t>
      </w:r>
      <w:r w:rsidRPr="00BA3F58">
        <w:t>in a digital form</w:t>
      </w:r>
      <w:r w:rsidR="00A54442">
        <w:t>.</w:t>
      </w:r>
    </w:p>
    <w:p w14:paraId="4AA5768C" w14:textId="49679C0F" w:rsidR="000D51B1" w:rsidRPr="00BA3F58" w:rsidRDefault="000D51B1" w:rsidP="000D51B1">
      <w:pPr>
        <w:pStyle w:val="notetext"/>
      </w:pPr>
      <w:r w:rsidRPr="00BA3F58">
        <w:t xml:space="preserve">Note: </w:t>
      </w:r>
      <w:r w:rsidRPr="00BA3F58">
        <w:tab/>
      </w:r>
      <w:r w:rsidR="003209F4">
        <w:t>Product</w:t>
      </w:r>
      <w:r w:rsidR="00607D8B">
        <w:t xml:space="preserve"> data </w:t>
      </w:r>
      <w:r w:rsidR="003209F4">
        <w:t xml:space="preserve">can only be </w:t>
      </w:r>
      <w:r w:rsidR="00765A14">
        <w:t xml:space="preserve">required to be </w:t>
      </w:r>
      <w:r w:rsidR="003209F4">
        <w:t xml:space="preserve">disclosed </w:t>
      </w:r>
      <w:r w:rsidR="007E69AC">
        <w:t xml:space="preserve">if the data </w:t>
      </w:r>
      <w:r w:rsidR="007C6637">
        <w:t>is about the eligibility criteria, terms and conditions, price, availability or performance of a cover</w:t>
      </w:r>
      <w:r w:rsidR="006A44DB">
        <w:t xml:space="preserve">ed product, or </w:t>
      </w:r>
      <w:r w:rsidR="00FE5F6B">
        <w:t>if</w:t>
      </w:r>
      <w:r w:rsidR="006A44DB">
        <w:t xml:space="preserve"> the data is about availability or performance and is publicly available</w:t>
      </w:r>
      <w:r w:rsidR="0065717F">
        <w:t xml:space="preserve"> (see </w:t>
      </w:r>
      <w:r w:rsidRPr="00BA3F58">
        <w:t>section 56BF of the Act</w:t>
      </w:r>
      <w:r w:rsidR="0065717F">
        <w:t>)</w:t>
      </w:r>
      <w:r w:rsidRPr="00BA3F58">
        <w:t>.</w:t>
      </w:r>
    </w:p>
    <w:p w14:paraId="5A5D57BD" w14:textId="5016711C" w:rsidR="004E3A4C" w:rsidRDefault="004E3A4C" w:rsidP="000D51B1">
      <w:pPr>
        <w:pStyle w:val="subsection"/>
      </w:pPr>
      <w:r>
        <w:tab/>
        <w:t>(</w:t>
      </w:r>
      <w:r w:rsidR="00A73D9C">
        <w:t>2</w:t>
      </w:r>
      <w:r>
        <w:t>)</w:t>
      </w:r>
      <w:r>
        <w:tab/>
      </w:r>
      <w:r w:rsidR="004F4289">
        <w:t>For the purposes of paragraph (1)(b), the covered products</w:t>
      </w:r>
      <w:r w:rsidR="00D71D58">
        <w:t xml:space="preserve"> mentioned in this subclause</w:t>
      </w:r>
      <w:r w:rsidR="004F4289">
        <w:t xml:space="preserve"> are:</w:t>
      </w:r>
    </w:p>
    <w:p w14:paraId="5DC51DAF" w14:textId="47759C54" w:rsidR="00395EEA" w:rsidRDefault="00395EEA" w:rsidP="00395EEA">
      <w:pPr>
        <w:pStyle w:val="paragraph"/>
      </w:pPr>
      <w:r>
        <w:tab/>
        <w:t>(</w:t>
      </w:r>
      <w:r w:rsidR="000C7D4E">
        <w:t>a</w:t>
      </w:r>
      <w:r>
        <w:t>)</w:t>
      </w:r>
      <w:r>
        <w:tab/>
        <w:t>a foreign currency account; and</w:t>
      </w:r>
    </w:p>
    <w:p w14:paraId="6E10BA4F" w14:textId="31D95CA9" w:rsidR="00395EEA" w:rsidRDefault="00395EEA" w:rsidP="00395EEA">
      <w:pPr>
        <w:pStyle w:val="paragraph"/>
      </w:pPr>
      <w:r>
        <w:tab/>
        <w:t>(</w:t>
      </w:r>
      <w:r w:rsidR="000C7D4E">
        <w:t>b</w:t>
      </w:r>
      <w:r>
        <w:t>)</w:t>
      </w:r>
      <w:r>
        <w:tab/>
        <w:t>a consumer lease; and</w:t>
      </w:r>
    </w:p>
    <w:p w14:paraId="12C84C95" w14:textId="065EC379" w:rsidR="00395EEA" w:rsidRDefault="00395EEA" w:rsidP="00395EEA">
      <w:pPr>
        <w:pStyle w:val="paragraph"/>
      </w:pPr>
      <w:r>
        <w:tab/>
        <w:t>(</w:t>
      </w:r>
      <w:r w:rsidR="000C7D4E">
        <w:t>c</w:t>
      </w:r>
      <w:r>
        <w:t>)</w:t>
      </w:r>
      <w:r>
        <w:tab/>
        <w:t>a reverse mortgage; and</w:t>
      </w:r>
    </w:p>
    <w:p w14:paraId="292EA88D" w14:textId="08EC140B" w:rsidR="00395EEA" w:rsidRDefault="00395EEA" w:rsidP="00395EEA">
      <w:pPr>
        <w:pStyle w:val="paragraph"/>
      </w:pPr>
      <w:r>
        <w:tab/>
        <w:t>(</w:t>
      </w:r>
      <w:r w:rsidR="000C7D4E">
        <w:t>d</w:t>
      </w:r>
      <w:r>
        <w:t>)</w:t>
      </w:r>
      <w:r>
        <w:tab/>
        <w:t>a margin loan; and</w:t>
      </w:r>
    </w:p>
    <w:p w14:paraId="55B815D4" w14:textId="6BDBB668" w:rsidR="00395EEA" w:rsidRDefault="00395EEA" w:rsidP="009C1CB7">
      <w:pPr>
        <w:pStyle w:val="paragraph"/>
      </w:pPr>
      <w:r>
        <w:tab/>
        <w:t>(</w:t>
      </w:r>
      <w:r w:rsidR="000C7D4E">
        <w:t>e</w:t>
      </w:r>
      <w:r>
        <w:t>)</w:t>
      </w:r>
      <w:r>
        <w:tab/>
        <w:t>asset finance that is non-standard vehicle finance (for example, a novated lease).</w:t>
      </w:r>
    </w:p>
    <w:p w14:paraId="48C1A429" w14:textId="070317FD" w:rsidR="000D51B1" w:rsidRPr="00BA3F58" w:rsidRDefault="000D51B1" w:rsidP="000D51B1">
      <w:pPr>
        <w:pStyle w:val="subsection"/>
      </w:pPr>
      <w:r w:rsidRPr="00BA3F58">
        <w:tab/>
        <w:t>(</w:t>
      </w:r>
      <w:r w:rsidR="00B23F70">
        <w:t>3</w:t>
      </w:r>
      <w:r w:rsidRPr="00BA3F58">
        <w:t>)</w:t>
      </w:r>
      <w:r w:rsidRPr="00BA3F58">
        <w:tab/>
      </w:r>
      <w:r w:rsidR="005865F8" w:rsidRPr="007D7632">
        <w:rPr>
          <w:b/>
          <w:bCs/>
          <w:i/>
          <w:iCs/>
        </w:rPr>
        <w:t>V</w:t>
      </w:r>
      <w:r w:rsidRPr="005865F8">
        <w:rPr>
          <w:b/>
          <w:i/>
          <w:iCs/>
        </w:rPr>
        <w:t>o</w:t>
      </w:r>
      <w:r w:rsidRPr="00BA3F58">
        <w:rPr>
          <w:b/>
          <w:i/>
        </w:rPr>
        <w:t>luntary product data</w:t>
      </w:r>
      <w:r w:rsidRPr="00BA3F58">
        <w:t>, in relation to the banking sector or the NBL sector, means CDR data for which there are no CDR consumers:</w:t>
      </w:r>
    </w:p>
    <w:p w14:paraId="47C3A7CA" w14:textId="6C5D3859" w:rsidR="000D51B1" w:rsidRPr="00BA3F58" w:rsidRDefault="000D51B1" w:rsidP="000D51B1">
      <w:pPr>
        <w:pStyle w:val="paragraph"/>
      </w:pPr>
      <w:r w:rsidRPr="00BA3F58">
        <w:tab/>
        <w:t>(a)</w:t>
      </w:r>
      <w:r w:rsidRPr="00BA3F58">
        <w:tab/>
        <w:t>that is banking sector data or NBL sector data (as applicable); and</w:t>
      </w:r>
    </w:p>
    <w:p w14:paraId="3808C3A1" w14:textId="77777777" w:rsidR="000D51B1" w:rsidRPr="00BA3F58" w:rsidRDefault="000D51B1" w:rsidP="000D51B1">
      <w:pPr>
        <w:pStyle w:val="paragraph"/>
      </w:pPr>
      <w:r w:rsidRPr="00BA3F58">
        <w:tab/>
        <w:t>(b)</w:t>
      </w:r>
      <w:r w:rsidRPr="00BA3F58">
        <w:tab/>
        <w:t>that is product specific data about a covered product; and</w:t>
      </w:r>
    </w:p>
    <w:p w14:paraId="4345C9C2" w14:textId="77777777" w:rsidR="000D51B1" w:rsidRPr="00BA3F58" w:rsidRDefault="000D51B1" w:rsidP="000D51B1">
      <w:pPr>
        <w:pStyle w:val="paragraph"/>
      </w:pPr>
      <w:r w:rsidRPr="00BA3F58">
        <w:tab/>
        <w:t>(c)</w:t>
      </w:r>
      <w:r w:rsidRPr="00BA3F58">
        <w:tab/>
        <w:t>that is not required product data.</w:t>
      </w:r>
    </w:p>
    <w:p w14:paraId="031524E0" w14:textId="77777777" w:rsidR="000D51B1" w:rsidRPr="00BA3F58" w:rsidRDefault="000D51B1" w:rsidP="00744782">
      <w:pPr>
        <w:pStyle w:val="ActHead5"/>
      </w:pPr>
      <w:bookmarkStart w:id="62" w:name="_Toc190683820"/>
      <w:bookmarkStart w:id="63" w:name="_Toc191450842"/>
      <w:proofErr w:type="gramStart"/>
      <w:r w:rsidRPr="00BA3F58">
        <w:t>3.2  Meaning</w:t>
      </w:r>
      <w:proofErr w:type="gramEnd"/>
      <w:r w:rsidRPr="00BA3F58">
        <w:t xml:space="preserve"> of </w:t>
      </w:r>
      <w:r w:rsidRPr="00BA3F58">
        <w:rPr>
          <w:i/>
        </w:rPr>
        <w:t>required consumer data</w:t>
      </w:r>
      <w:r w:rsidRPr="00BA3F58">
        <w:t xml:space="preserve"> and </w:t>
      </w:r>
      <w:r w:rsidRPr="00BA3F58">
        <w:rPr>
          <w:i/>
        </w:rPr>
        <w:t>voluntary consumer data</w:t>
      </w:r>
      <w:r w:rsidRPr="00BA3F58">
        <w:t>—banking and NBL sectors</w:t>
      </w:r>
      <w:bookmarkEnd w:id="62"/>
      <w:bookmarkEnd w:id="63"/>
    </w:p>
    <w:p w14:paraId="3A980803" w14:textId="3AF2C79E" w:rsidR="00A86D01" w:rsidRPr="00BA3F58" w:rsidRDefault="000D51B1" w:rsidP="00CA21C5">
      <w:pPr>
        <w:pStyle w:val="subsection"/>
      </w:pPr>
      <w:r w:rsidRPr="00BA3F58">
        <w:tab/>
      </w:r>
      <w:r w:rsidR="00A86D01" w:rsidRPr="00BA3F58">
        <w:t>(1)</w:t>
      </w:r>
      <w:r w:rsidR="00A86D01" w:rsidRPr="00BA3F58">
        <w:tab/>
      </w:r>
      <w:r w:rsidR="00B60080">
        <w:t xml:space="preserve">A </w:t>
      </w:r>
      <w:bookmarkStart w:id="64" w:name="_Hlk139885116"/>
      <w:r w:rsidR="00A86D01" w:rsidRPr="00BA3F58">
        <w:rPr>
          <w:b/>
          <w:i/>
        </w:rPr>
        <w:t>relevant account</w:t>
      </w:r>
      <w:r w:rsidR="00A86D01" w:rsidRPr="00BA3F58">
        <w:t>, in relation to a CDR consumer</w:t>
      </w:r>
      <w:r w:rsidR="00775462" w:rsidRPr="00BA3F58">
        <w:t>,</w:t>
      </w:r>
      <w:r w:rsidR="00B532FD" w:rsidRPr="00BA3F58">
        <w:t xml:space="preserve"> means</w:t>
      </w:r>
      <w:r w:rsidR="006124D7" w:rsidRPr="00BA3F58">
        <w:t xml:space="preserve"> </w:t>
      </w:r>
      <w:r w:rsidR="00A86D01" w:rsidRPr="00BA3F58">
        <w:t>an account that is held with a data holder</w:t>
      </w:r>
      <w:bookmarkStart w:id="65" w:name="_Hlk121759379"/>
      <w:r w:rsidR="00A86D01" w:rsidRPr="00BA3F58">
        <w:t xml:space="preserve"> of banking sector data or NBL sector data and</w:t>
      </w:r>
      <w:r w:rsidR="006B6EA5">
        <w:t xml:space="preserve"> is, or is for,</w:t>
      </w:r>
      <w:r w:rsidR="00A86D01" w:rsidRPr="00BA3F58">
        <w:t xml:space="preserve"> a </w:t>
      </w:r>
      <w:bookmarkEnd w:id="65"/>
      <w:r w:rsidR="00A86D01" w:rsidRPr="00BA3F58">
        <w:t>covered product</w:t>
      </w:r>
      <w:r w:rsidR="00B532FD" w:rsidRPr="00BA3F58">
        <w:t>, and that</w:t>
      </w:r>
      <w:r w:rsidR="00A86D01" w:rsidRPr="00BA3F58">
        <w:t>:</w:t>
      </w:r>
    </w:p>
    <w:p w14:paraId="75782138" w14:textId="77777777" w:rsidR="00A86D01" w:rsidRPr="00BA3F58" w:rsidRDefault="00A86D01" w:rsidP="00A86D01">
      <w:pPr>
        <w:pStyle w:val="paragraph"/>
      </w:pPr>
      <w:r w:rsidRPr="00BA3F58">
        <w:tab/>
        <w:t>(a)</w:t>
      </w:r>
      <w:r w:rsidRPr="00BA3F58">
        <w:tab/>
        <w:t>is held in the name of the CDR consumer alone; or</w:t>
      </w:r>
    </w:p>
    <w:p w14:paraId="1C9F6226" w14:textId="7D42BDFD" w:rsidR="00A86D01" w:rsidRPr="00BA3F58" w:rsidRDefault="00A86D01" w:rsidP="00A86D01">
      <w:pPr>
        <w:pStyle w:val="paragraph"/>
      </w:pPr>
      <w:r w:rsidRPr="00BA3F58">
        <w:tab/>
        <w:t xml:space="preserve">(b) </w:t>
      </w:r>
      <w:r w:rsidRPr="00BA3F58">
        <w:tab/>
        <w:t xml:space="preserve">is a joint account </w:t>
      </w:r>
      <w:r w:rsidR="00B60080">
        <w:t xml:space="preserve">of </w:t>
      </w:r>
      <w:r w:rsidRPr="00BA3F58">
        <w:t xml:space="preserve">which the CDR consumer is </w:t>
      </w:r>
      <w:r w:rsidR="00B60080">
        <w:t xml:space="preserve">one of the </w:t>
      </w:r>
      <w:r w:rsidRPr="00BA3F58">
        <w:t>account holder</w:t>
      </w:r>
      <w:r w:rsidR="00B60080">
        <w:t>s</w:t>
      </w:r>
      <w:r w:rsidRPr="00BA3F58">
        <w:t>; or</w:t>
      </w:r>
    </w:p>
    <w:p w14:paraId="29850893" w14:textId="2A86E831" w:rsidR="00A86D01" w:rsidRPr="00BA3F58" w:rsidRDefault="00A86D01" w:rsidP="00A86D01">
      <w:pPr>
        <w:pStyle w:val="paragraph"/>
      </w:pPr>
      <w:r w:rsidRPr="00BA3F58">
        <w:tab/>
        <w:t>(c)</w:t>
      </w:r>
      <w:r w:rsidRPr="00BA3F58">
        <w:tab/>
        <w:t>is a partnership account for a partnership in which the CDR consumer is a partner</w:t>
      </w:r>
      <w:bookmarkStart w:id="66" w:name="_Hlk135996876"/>
      <w:r w:rsidRPr="00BA3F58">
        <w:t>;</w:t>
      </w:r>
      <w:r w:rsidR="00614A05" w:rsidRPr="00BA3F58">
        <w:t xml:space="preserve"> or</w:t>
      </w:r>
    </w:p>
    <w:p w14:paraId="33B66EFF" w14:textId="431C5B6C" w:rsidR="00614A05" w:rsidRPr="00BA3F58" w:rsidRDefault="00614A05" w:rsidP="00614A05">
      <w:pPr>
        <w:pStyle w:val="paragraph"/>
      </w:pPr>
      <w:r w:rsidRPr="00BA3F58">
        <w:tab/>
        <w:t>(d)</w:t>
      </w:r>
      <w:r w:rsidRPr="00BA3F58">
        <w:tab/>
        <w:t>is a</w:t>
      </w:r>
      <w:r w:rsidR="00E96C24" w:rsidRPr="00BA3F58">
        <w:t xml:space="preserve">n account for which the </w:t>
      </w:r>
      <w:r w:rsidRPr="00BA3F58">
        <w:t xml:space="preserve">CDR consumer is a </w:t>
      </w:r>
      <w:r w:rsidR="00E96C24" w:rsidRPr="00BA3F58">
        <w:t xml:space="preserve">secondary </w:t>
      </w:r>
      <w:proofErr w:type="gramStart"/>
      <w:r w:rsidR="00E96C24" w:rsidRPr="00BA3F58">
        <w:t>user</w:t>
      </w:r>
      <w:r w:rsidRPr="00BA3F58">
        <w:t>;</w:t>
      </w:r>
      <w:proofErr w:type="gramEnd"/>
    </w:p>
    <w:bookmarkEnd w:id="66"/>
    <w:p w14:paraId="6FA6AECA" w14:textId="1AE3A8B7" w:rsidR="00A86D01" w:rsidRPr="00BA3F58" w:rsidRDefault="00A86D01" w:rsidP="00A86D01">
      <w:pPr>
        <w:pStyle w:val="subsection2"/>
      </w:pPr>
      <w:r w:rsidRPr="00BA3F58">
        <w:t xml:space="preserve">whether or not the account can be accessed online, and, subject to subclauses </w:t>
      </w:r>
      <w:r w:rsidR="00775462" w:rsidRPr="00BA3F58">
        <w:t>(</w:t>
      </w:r>
      <w:r w:rsidR="00A43DDB">
        <w:t>6</w:t>
      </w:r>
      <w:r w:rsidR="00775462" w:rsidRPr="00BA3F58">
        <w:t>) and (</w:t>
      </w:r>
      <w:r w:rsidR="00A43DDB">
        <w:t>7</w:t>
      </w:r>
      <w:r w:rsidR="00775462" w:rsidRPr="00BA3F58">
        <w:t>)</w:t>
      </w:r>
      <w:r w:rsidRPr="00BA3F58">
        <w:t xml:space="preserve">, </w:t>
      </w:r>
      <w:proofErr w:type="gramStart"/>
      <w:r w:rsidRPr="00BA3F58">
        <w:t>whether or not</w:t>
      </w:r>
      <w:proofErr w:type="gramEnd"/>
      <w:r w:rsidRPr="00BA3F58">
        <w:t xml:space="preserve"> the account is open.</w:t>
      </w:r>
    </w:p>
    <w:bookmarkEnd w:id="64"/>
    <w:p w14:paraId="688C6ED8" w14:textId="335E49C1" w:rsidR="00A86D01" w:rsidRPr="00BA3F58" w:rsidRDefault="00A86D01" w:rsidP="00715C8C">
      <w:pPr>
        <w:pStyle w:val="subsection"/>
      </w:pPr>
      <w:r w:rsidRPr="00BA3F58">
        <w:lastRenderedPageBreak/>
        <w:tab/>
        <w:t>(</w:t>
      </w:r>
      <w:r w:rsidR="00B532FD" w:rsidRPr="00BA3F58">
        <w:t>2</w:t>
      </w:r>
      <w:r w:rsidRPr="00BA3F58">
        <w:t>)</w:t>
      </w:r>
      <w:r w:rsidRPr="00BA3F58">
        <w:tab/>
      </w:r>
      <w:r w:rsidR="00661696">
        <w:t>S</w:t>
      </w:r>
      <w:r w:rsidRPr="00BA3F58">
        <w:t xml:space="preserve">ubject to this clause, </w:t>
      </w:r>
      <w:r w:rsidRPr="00BA3F58">
        <w:rPr>
          <w:b/>
          <w:i/>
        </w:rPr>
        <w:t>required consumer data</w:t>
      </w:r>
      <w:r w:rsidRPr="00BA3F58">
        <w:rPr>
          <w:i/>
        </w:rPr>
        <w:t>,</w:t>
      </w:r>
      <w:r w:rsidRPr="00BA3F58">
        <w:rPr>
          <w:b/>
          <w:i/>
        </w:rPr>
        <w:t xml:space="preserve"> </w:t>
      </w:r>
      <w:r w:rsidRPr="00BA3F58">
        <w:t xml:space="preserve">in relation to the banking sector or the NBL sector, </w:t>
      </w:r>
      <w:r w:rsidR="009267C2">
        <w:t xml:space="preserve">means </w:t>
      </w:r>
      <w:r w:rsidR="009267C2" w:rsidRPr="00BA3F58">
        <w:t>CDR data for which there is at least one CDR consume</w:t>
      </w:r>
      <w:r w:rsidR="009267C2">
        <w:t>r</w:t>
      </w:r>
      <w:r w:rsidRPr="00BA3F58">
        <w:t>:</w:t>
      </w:r>
    </w:p>
    <w:p w14:paraId="6E855139" w14:textId="434047E1" w:rsidR="00A86D01" w:rsidRPr="00BA3F58" w:rsidRDefault="00A86D01" w:rsidP="00A86D01">
      <w:pPr>
        <w:pStyle w:val="paragraph"/>
      </w:pPr>
      <w:r w:rsidRPr="00BA3F58">
        <w:tab/>
        <w:t>(a)</w:t>
      </w:r>
      <w:r w:rsidRPr="00BA3F58">
        <w:tab/>
        <w:t>th</w:t>
      </w:r>
      <w:r w:rsidR="002371F8">
        <w:t>at</w:t>
      </w:r>
      <w:r w:rsidRPr="00BA3F58">
        <w:t xml:space="preserve"> is banking sector data or NBL sector data (as applicable) of a kind mentioned in clause 1.3 relating to a relevant account of </w:t>
      </w:r>
      <w:r w:rsidR="00D1508F">
        <w:t>a</w:t>
      </w:r>
      <w:r w:rsidR="00D1508F" w:rsidRPr="00BA3F58">
        <w:t xml:space="preserve"> </w:t>
      </w:r>
      <w:r w:rsidRPr="00BA3F58">
        <w:t>CDR consumer</w:t>
      </w:r>
      <w:r w:rsidR="00035A29">
        <w:t xml:space="preserve"> </w:t>
      </w:r>
      <w:r w:rsidR="005E4FBC">
        <w:t>(</w:t>
      </w:r>
      <w:r w:rsidR="00906D76">
        <w:t xml:space="preserve">other than an account </w:t>
      </w:r>
      <w:r w:rsidR="004200B5">
        <w:t>that is, or is for,</w:t>
      </w:r>
      <w:r w:rsidR="00906D76">
        <w:t xml:space="preserve"> a covered product mentioned in subclause (</w:t>
      </w:r>
      <w:r w:rsidR="00F5423C">
        <w:t>3</w:t>
      </w:r>
      <w:r w:rsidR="00906D76">
        <w:t>)</w:t>
      </w:r>
      <w:r w:rsidRPr="00BA3F58">
        <w:t>; and</w:t>
      </w:r>
    </w:p>
    <w:p w14:paraId="4AF77D4A" w14:textId="0C2A272B" w:rsidR="004E4F8B" w:rsidRPr="00BA3F58" w:rsidRDefault="00A86D01" w:rsidP="00D33584">
      <w:pPr>
        <w:pStyle w:val="paragraph"/>
      </w:pPr>
      <w:r w:rsidRPr="00BA3F58">
        <w:tab/>
        <w:t>(b)</w:t>
      </w:r>
      <w:r w:rsidRPr="00BA3F58">
        <w:tab/>
        <w:t>th</w:t>
      </w:r>
      <w:r w:rsidR="002371F8">
        <w:t>at</w:t>
      </w:r>
      <w:r w:rsidRPr="00BA3F58">
        <w:t xml:space="preserve"> is held by the data holder in a digital form</w:t>
      </w:r>
      <w:r w:rsidR="00D33584">
        <w:t>.</w:t>
      </w:r>
    </w:p>
    <w:p w14:paraId="43B3FCF3" w14:textId="729BD533" w:rsidR="00A86D01" w:rsidRPr="00BA3F58" w:rsidRDefault="000D51B1" w:rsidP="00A86D01">
      <w:pPr>
        <w:pStyle w:val="notetext"/>
      </w:pPr>
      <w:r w:rsidRPr="00BA3F58">
        <w:t xml:space="preserve">Note </w:t>
      </w:r>
      <w:r w:rsidR="00D41EC7" w:rsidRPr="00BA3F58">
        <w:t>1</w:t>
      </w:r>
      <w:r w:rsidRPr="00BA3F58">
        <w:t>:</w:t>
      </w:r>
      <w:r w:rsidRPr="00BA3F58">
        <w:tab/>
      </w:r>
      <w:r w:rsidR="00A86D01" w:rsidRPr="00BA3F58">
        <w:t xml:space="preserve">Paragraph (a), as it applies to product specific data mentioned in clause 1.3, </w:t>
      </w:r>
      <w:bookmarkStart w:id="67" w:name="_Hlk151128287"/>
      <w:r w:rsidR="00B70C52" w:rsidRPr="00BA3F58">
        <w:t xml:space="preserve">would cover </w:t>
      </w:r>
      <w:bookmarkEnd w:id="67"/>
      <w:r w:rsidR="00A86D01" w:rsidRPr="00BA3F58">
        <w:t>the following:</w:t>
      </w:r>
    </w:p>
    <w:p w14:paraId="6AFBD9A1" w14:textId="77777777" w:rsidR="000D51B1" w:rsidRPr="00BA3F58" w:rsidRDefault="000D51B1" w:rsidP="000D51B1">
      <w:pPr>
        <w:pStyle w:val="notepara"/>
      </w:pPr>
      <w:r w:rsidRPr="00BA3F58">
        <w:rPr>
          <w:rFonts w:ascii="Symbol" w:eastAsia="Symbol" w:hAnsi="Symbol" w:cs="Symbol"/>
        </w:rPr>
        <w:sym w:font="Symbol" w:char="F0B7"/>
      </w:r>
      <w:r w:rsidRPr="00BA3F58">
        <w:tab/>
        <w:t xml:space="preserve">any product prices that were negotiated individually with a CDR </w:t>
      </w:r>
      <w:proofErr w:type="gramStart"/>
      <w:r w:rsidRPr="00BA3F58">
        <w:t>consumer;</w:t>
      </w:r>
      <w:proofErr w:type="gramEnd"/>
    </w:p>
    <w:p w14:paraId="5AD8F025" w14:textId="77777777" w:rsidR="000D51B1" w:rsidRPr="00BA3F58" w:rsidRDefault="000D51B1" w:rsidP="000D51B1">
      <w:pPr>
        <w:pStyle w:val="notepara"/>
      </w:pPr>
      <w:r w:rsidRPr="00BA3F58">
        <w:rPr>
          <w:rFonts w:ascii="Symbol" w:eastAsia="Symbol" w:hAnsi="Symbol" w:cs="Symbol"/>
        </w:rPr>
        <w:sym w:font="Symbol" w:char="F0B7"/>
      </w:r>
      <w:r w:rsidRPr="00BA3F58">
        <w:tab/>
        <w:t xml:space="preserve">the interest rates that are current at the time of the request, as well as any other interest rates applicable to the </w:t>
      </w:r>
      <w:r w:rsidR="00A86D01" w:rsidRPr="00BA3F58">
        <w:t xml:space="preserve">covered </w:t>
      </w:r>
      <w:r w:rsidRPr="00BA3F58">
        <w:t xml:space="preserve">product, and any terms and conditions associated with those interest </w:t>
      </w:r>
      <w:proofErr w:type="gramStart"/>
      <w:r w:rsidRPr="00BA3F58">
        <w:t>rates;</w:t>
      </w:r>
      <w:proofErr w:type="gramEnd"/>
    </w:p>
    <w:p w14:paraId="4F81A29E" w14:textId="77777777" w:rsidR="000D51B1" w:rsidRPr="00BA3F58" w:rsidRDefault="000D51B1" w:rsidP="000D51B1">
      <w:pPr>
        <w:pStyle w:val="notepara"/>
      </w:pPr>
      <w:r w:rsidRPr="00BA3F58">
        <w:rPr>
          <w:rFonts w:ascii="Symbol" w:eastAsia="Symbol" w:hAnsi="Symbol" w:cs="Symbol"/>
        </w:rPr>
        <w:sym w:font="Symbol" w:char="F0B7"/>
      </w:r>
      <w:r w:rsidRPr="00BA3F58">
        <w:tab/>
        <w:t>any features and benefits negotiated individually with a CDR consumer.</w:t>
      </w:r>
    </w:p>
    <w:p w14:paraId="3B4865CF" w14:textId="2DDDC3C8" w:rsidR="000D51B1" w:rsidRPr="00BA3F58" w:rsidRDefault="000D51B1" w:rsidP="000D51B1">
      <w:pPr>
        <w:pStyle w:val="notetext"/>
      </w:pPr>
      <w:r w:rsidRPr="00BA3F58">
        <w:t xml:space="preserve">Note </w:t>
      </w:r>
      <w:r w:rsidR="00D41EC7" w:rsidRPr="00BA3F58">
        <w:t>2</w:t>
      </w:r>
      <w:r w:rsidRPr="00BA3F58">
        <w:t>:</w:t>
      </w:r>
      <w:r w:rsidRPr="00BA3F58">
        <w:tab/>
        <w:t xml:space="preserve">So long as the CDR consumer is eligible to make a consumer data request in relation to a particular data holder, they will be able to make a consumer data request that relates to any </w:t>
      </w:r>
      <w:r w:rsidR="00A86D01" w:rsidRPr="00BA3F58">
        <w:t xml:space="preserve">relevant </w:t>
      </w:r>
      <w:r w:rsidR="00873BBA">
        <w:t>ope</w:t>
      </w:r>
      <w:r w:rsidR="00DD655C">
        <w:t xml:space="preserve">n </w:t>
      </w:r>
      <w:r w:rsidRPr="00BA3F58">
        <w:t>account they have with the data holder (subject to subclauses (</w:t>
      </w:r>
      <w:r w:rsidR="00A43DDB">
        <w:t>6</w:t>
      </w:r>
      <w:r w:rsidRPr="00BA3F58">
        <w:t>) and (</w:t>
      </w:r>
      <w:r w:rsidR="00A43DDB">
        <w:t>7</w:t>
      </w:r>
      <w:r w:rsidRPr="00BA3F58">
        <w:t>))</w:t>
      </w:r>
      <w:r w:rsidR="000B520B">
        <w:t>, including</w:t>
      </w:r>
      <w:r w:rsidRPr="00BA3F58">
        <w:t xml:space="preserve"> accounts that cannot be accessed online.</w:t>
      </w:r>
    </w:p>
    <w:p w14:paraId="63768AF1" w14:textId="560EBA4E" w:rsidR="000D51B1" w:rsidRPr="00BA3F58" w:rsidRDefault="000D51B1" w:rsidP="000D51B1">
      <w:pPr>
        <w:pStyle w:val="notetext"/>
      </w:pPr>
      <w:r w:rsidRPr="00BA3F58">
        <w:t xml:space="preserve">Note </w:t>
      </w:r>
      <w:r w:rsidR="00D41EC7" w:rsidRPr="00BA3F58">
        <w:t>3</w:t>
      </w:r>
      <w:r w:rsidRPr="00BA3F58">
        <w:t>:</w:t>
      </w:r>
      <w:r w:rsidRPr="00BA3F58">
        <w:tab/>
        <w:t>A person is not a data holder of CDR data that was held by or on behalf of them before the earliest holding day (see paragraph 56AJ(1)(b) of the Act). Accordingly, such data cannot be requested under these rules.</w:t>
      </w:r>
    </w:p>
    <w:p w14:paraId="6E500AF4" w14:textId="2DFE7781" w:rsidR="00D5508C" w:rsidRDefault="00434379" w:rsidP="000D51B1">
      <w:pPr>
        <w:pStyle w:val="subsection"/>
      </w:pPr>
      <w:r>
        <w:tab/>
        <w:t>(</w:t>
      </w:r>
      <w:r w:rsidR="007C1EAF">
        <w:t>3</w:t>
      </w:r>
      <w:r>
        <w:t>)</w:t>
      </w:r>
      <w:r>
        <w:tab/>
        <w:t>For the purposes of</w:t>
      </w:r>
      <w:r w:rsidR="00542966">
        <w:t xml:space="preserve"> paragraph (2)</w:t>
      </w:r>
      <w:r w:rsidR="00D5508C">
        <w:t>(a), the covered products</w:t>
      </w:r>
      <w:r w:rsidR="008677C2">
        <w:t xml:space="preserve"> mentioned in this subclause</w:t>
      </w:r>
      <w:r w:rsidR="00D5508C">
        <w:t xml:space="preserve"> are:</w:t>
      </w:r>
    </w:p>
    <w:p w14:paraId="38E599F9" w14:textId="262E6B77" w:rsidR="009A51C8" w:rsidRDefault="009A51C8" w:rsidP="009A51C8">
      <w:pPr>
        <w:pStyle w:val="paragraph"/>
      </w:pPr>
      <w:r>
        <w:tab/>
        <w:t>(</w:t>
      </w:r>
      <w:r w:rsidR="00A37153">
        <w:t>a</w:t>
      </w:r>
      <w:r>
        <w:t>)</w:t>
      </w:r>
      <w:r>
        <w:tab/>
        <w:t>a foreign currency account;</w:t>
      </w:r>
      <w:r w:rsidR="00AF15F3">
        <w:t xml:space="preserve"> and</w:t>
      </w:r>
    </w:p>
    <w:p w14:paraId="7A142341" w14:textId="225F4313" w:rsidR="00AF15F3" w:rsidRDefault="00AF15F3" w:rsidP="009A51C8">
      <w:pPr>
        <w:pStyle w:val="paragraph"/>
      </w:pPr>
      <w:r>
        <w:tab/>
        <w:t>(</w:t>
      </w:r>
      <w:r w:rsidR="00A37153">
        <w:t>b</w:t>
      </w:r>
      <w:r>
        <w:t>)</w:t>
      </w:r>
      <w:r>
        <w:tab/>
        <w:t>a consumer lease; and</w:t>
      </w:r>
    </w:p>
    <w:p w14:paraId="1E195110" w14:textId="3481DB64" w:rsidR="00AF15F3" w:rsidRDefault="00AF15F3" w:rsidP="009A51C8">
      <w:pPr>
        <w:pStyle w:val="paragraph"/>
      </w:pPr>
      <w:r>
        <w:tab/>
        <w:t>(</w:t>
      </w:r>
      <w:r w:rsidR="00A37153">
        <w:t>c</w:t>
      </w:r>
      <w:r>
        <w:t>)</w:t>
      </w:r>
      <w:r>
        <w:tab/>
        <w:t>a reverse mortgage; and</w:t>
      </w:r>
    </w:p>
    <w:p w14:paraId="11A2A796" w14:textId="246FEF1F" w:rsidR="004818AF" w:rsidRDefault="004818AF" w:rsidP="009A51C8">
      <w:pPr>
        <w:pStyle w:val="paragraph"/>
      </w:pPr>
      <w:r>
        <w:tab/>
        <w:t>(</w:t>
      </w:r>
      <w:r w:rsidR="00A37153">
        <w:t>d</w:t>
      </w:r>
      <w:r>
        <w:t>)</w:t>
      </w:r>
      <w:r>
        <w:tab/>
        <w:t>a margin loan; and</w:t>
      </w:r>
    </w:p>
    <w:p w14:paraId="6BECCD56" w14:textId="5979EA1C" w:rsidR="00374430" w:rsidRDefault="004818AF" w:rsidP="009A70F2">
      <w:pPr>
        <w:pStyle w:val="paragraph"/>
      </w:pPr>
      <w:r>
        <w:tab/>
        <w:t>(</w:t>
      </w:r>
      <w:r w:rsidR="00A37153">
        <w:t>e</w:t>
      </w:r>
      <w:r>
        <w:t>)</w:t>
      </w:r>
      <w:r>
        <w:tab/>
      </w:r>
      <w:r w:rsidR="00365422">
        <w:t xml:space="preserve">asset finance that is </w:t>
      </w:r>
      <w:r>
        <w:t>non-standard vehicle finance (for example, a novated lease).</w:t>
      </w:r>
    </w:p>
    <w:p w14:paraId="55BD2A19" w14:textId="39292078" w:rsidR="000D51B1" w:rsidRPr="00BA3F58" w:rsidRDefault="00434379" w:rsidP="000D51B1">
      <w:pPr>
        <w:pStyle w:val="subsection"/>
      </w:pPr>
      <w:r>
        <w:tab/>
      </w:r>
      <w:r w:rsidR="000D51B1" w:rsidRPr="00BA3F58">
        <w:t>(</w:t>
      </w:r>
      <w:r w:rsidR="007C1EAF">
        <w:t>4</w:t>
      </w:r>
      <w:r w:rsidR="000D51B1" w:rsidRPr="00BA3F58">
        <w:t>)</w:t>
      </w:r>
      <w:r w:rsidR="000D51B1" w:rsidRPr="00BA3F58">
        <w:tab/>
      </w:r>
      <w:r w:rsidR="004C77F0">
        <w:t>S</w:t>
      </w:r>
      <w:r w:rsidR="000D51B1" w:rsidRPr="00BA3F58">
        <w:t xml:space="preserve">ubject to this clause, CDR data is </w:t>
      </w:r>
      <w:r w:rsidR="000D51B1" w:rsidRPr="00BA3F58">
        <w:rPr>
          <w:b/>
          <w:i/>
        </w:rPr>
        <w:t xml:space="preserve">voluntary consumer data </w:t>
      </w:r>
      <w:r w:rsidR="000D51B1" w:rsidRPr="00BA3F58">
        <w:t>in relation to the banking sector or the NBL sector if:</w:t>
      </w:r>
    </w:p>
    <w:p w14:paraId="5504E629" w14:textId="50D7FDDD" w:rsidR="000D51B1" w:rsidRPr="00BA3F58" w:rsidRDefault="000D51B1" w:rsidP="000D51B1">
      <w:pPr>
        <w:pStyle w:val="paragraph"/>
      </w:pPr>
      <w:r w:rsidRPr="00BA3F58">
        <w:tab/>
        <w:t>(a)</w:t>
      </w:r>
      <w:r w:rsidRPr="00BA3F58">
        <w:tab/>
        <w:t xml:space="preserve">there is </w:t>
      </w:r>
      <w:bookmarkStart w:id="68" w:name="_Hlk148363822"/>
      <w:r w:rsidR="00AB3506" w:rsidRPr="00BA3F58">
        <w:t>at least one</w:t>
      </w:r>
      <w:bookmarkEnd w:id="68"/>
      <w:r w:rsidRPr="00BA3F58">
        <w:t xml:space="preserve"> CDR consumer for the CDR data; and</w:t>
      </w:r>
    </w:p>
    <w:p w14:paraId="49382E69" w14:textId="025302CA" w:rsidR="005545E1" w:rsidRPr="00BA3F58" w:rsidRDefault="005545E1" w:rsidP="000D51B1">
      <w:pPr>
        <w:pStyle w:val="paragraph"/>
      </w:pPr>
      <w:bookmarkStart w:id="69" w:name="_Hlk141276446"/>
      <w:r w:rsidRPr="00BA3F58">
        <w:tab/>
        <w:t>(b)</w:t>
      </w:r>
      <w:r w:rsidRPr="00BA3F58">
        <w:tab/>
        <w:t>the CDR data relates to a covered product; and</w:t>
      </w:r>
    </w:p>
    <w:bookmarkEnd w:id="69"/>
    <w:p w14:paraId="37FE8E02" w14:textId="1A88058F" w:rsidR="000D51B1" w:rsidRPr="00BA3F58" w:rsidRDefault="000D51B1" w:rsidP="000D51B1">
      <w:pPr>
        <w:pStyle w:val="paragraph"/>
      </w:pPr>
      <w:r w:rsidRPr="00BA3F58">
        <w:tab/>
        <w:t>(</w:t>
      </w:r>
      <w:r w:rsidR="005545E1" w:rsidRPr="00BA3F58">
        <w:t>c</w:t>
      </w:r>
      <w:r w:rsidRPr="00BA3F58">
        <w:t>)</w:t>
      </w:r>
      <w:r w:rsidRPr="00BA3F58">
        <w:tab/>
        <w:t>the CDR data is not required consumer data.</w:t>
      </w:r>
    </w:p>
    <w:p w14:paraId="3B9AB7C5" w14:textId="1970830C" w:rsidR="000D51B1" w:rsidRPr="00BA3F58" w:rsidRDefault="00FC12FA" w:rsidP="000D51B1">
      <w:pPr>
        <w:pStyle w:val="subsection"/>
      </w:pPr>
      <w:bookmarkStart w:id="70" w:name="_Hlk130885203"/>
      <w:r>
        <w:tab/>
      </w:r>
      <w:r w:rsidR="000D51B1" w:rsidRPr="00BA3F58">
        <w:t>(</w:t>
      </w:r>
      <w:r w:rsidR="007C1EAF">
        <w:t>5</w:t>
      </w:r>
      <w:r w:rsidR="000D51B1" w:rsidRPr="00BA3F58">
        <w:t>)</w:t>
      </w:r>
      <w:r w:rsidR="000D51B1" w:rsidRPr="00BA3F58">
        <w:tab/>
      </w:r>
      <w:r w:rsidR="00662436">
        <w:t>However</w:t>
      </w:r>
      <w:r w:rsidR="000D51B1" w:rsidRPr="00BA3F58">
        <w:t>:</w:t>
      </w:r>
    </w:p>
    <w:p w14:paraId="3988E0A0" w14:textId="77777777" w:rsidR="000D51B1" w:rsidRPr="00BA3F58" w:rsidRDefault="000D51B1" w:rsidP="000D51B1">
      <w:pPr>
        <w:pStyle w:val="paragraph"/>
      </w:pPr>
      <w:r w:rsidRPr="00BA3F58">
        <w:tab/>
        <w:t>(a)</w:t>
      </w:r>
      <w:r w:rsidRPr="00BA3F58">
        <w:tab/>
        <w:t xml:space="preserve">CDR data is neither </w:t>
      </w:r>
      <w:r w:rsidRPr="00BA3F58">
        <w:rPr>
          <w:b/>
          <w:i/>
        </w:rPr>
        <w:t xml:space="preserve">required consumer data </w:t>
      </w:r>
      <w:r w:rsidRPr="00BA3F58">
        <w:t xml:space="preserve">nor </w:t>
      </w:r>
      <w:r w:rsidRPr="00BA3F58">
        <w:rPr>
          <w:b/>
          <w:i/>
        </w:rPr>
        <w:t>voluntary consumer data</w:t>
      </w:r>
      <w:r w:rsidRPr="00BA3F58">
        <w:t xml:space="preserve"> at a particular time if the data is:</w:t>
      </w:r>
    </w:p>
    <w:p w14:paraId="47F32574" w14:textId="00D220C0" w:rsidR="00A86D01" w:rsidRPr="00BA3F58" w:rsidRDefault="00A86D01" w:rsidP="00A86D01">
      <w:pPr>
        <w:pStyle w:val="paragraphsub"/>
      </w:pPr>
      <w:r w:rsidRPr="00BA3F58">
        <w:tab/>
        <w:t>(</w:t>
      </w:r>
      <w:proofErr w:type="spellStart"/>
      <w:r w:rsidRPr="00BA3F58">
        <w:t>i</w:t>
      </w:r>
      <w:proofErr w:type="spellEnd"/>
      <w:r w:rsidRPr="00BA3F58">
        <w:t>)</w:t>
      </w:r>
      <w:r w:rsidRPr="00BA3F58">
        <w:tab/>
        <w:t>account data, transaction data or product specific data in relation to a joint account or partnership account for which any of the individuals who are</w:t>
      </w:r>
      <w:r w:rsidRPr="00BA3F58">
        <w:rPr>
          <w:u w:val="words"/>
        </w:rPr>
        <w:t xml:space="preserve"> </w:t>
      </w:r>
      <w:r w:rsidRPr="00BA3F58">
        <w:t>account holders or partners in the relevant partnership is less than 18 years of age at that time; or</w:t>
      </w:r>
    </w:p>
    <w:p w14:paraId="55F0C076" w14:textId="65B8220D" w:rsidR="00A86D01" w:rsidRPr="00BA3F58" w:rsidRDefault="00A86D01" w:rsidP="00A86D01">
      <w:pPr>
        <w:pStyle w:val="paragraphsub"/>
      </w:pPr>
      <w:bookmarkStart w:id="71" w:name="_Hlk130369972"/>
      <w:r w:rsidRPr="00BA3F58">
        <w:tab/>
        <w:t>(ii)</w:t>
      </w:r>
      <w:r w:rsidRPr="00BA3F58">
        <w:tab/>
      </w:r>
      <w:r w:rsidR="00EC3C9A" w:rsidRPr="00BA3F58">
        <w:t xml:space="preserve">CDR data relating to a debt of a CDR consumer, </w:t>
      </w:r>
      <w:r w:rsidR="000E1C88" w:rsidRPr="00BA3F58">
        <w:t xml:space="preserve">if </w:t>
      </w:r>
      <w:r w:rsidR="00EC3C9A" w:rsidRPr="00BA3F58">
        <w:t>the data was acquired by a data holder acting in its capacity as a debt collector or debt buyer; and</w:t>
      </w:r>
    </w:p>
    <w:bookmarkEnd w:id="71"/>
    <w:p w14:paraId="1014493C" w14:textId="77777777" w:rsidR="000D51B1" w:rsidRPr="00BA3F58" w:rsidRDefault="000D51B1" w:rsidP="000D51B1">
      <w:pPr>
        <w:pStyle w:val="paragraph"/>
      </w:pPr>
      <w:r w:rsidRPr="00BA3F58">
        <w:tab/>
        <w:t>(b)</w:t>
      </w:r>
      <w:r w:rsidRPr="00BA3F58">
        <w:tab/>
        <w:t xml:space="preserve">for a consumer data request made by or on behalf of a particular person, customer data in relation to any account holder or secondary user other </w:t>
      </w:r>
      <w:r w:rsidRPr="00BA3F58">
        <w:lastRenderedPageBreak/>
        <w:t xml:space="preserve">than that person is neither </w:t>
      </w:r>
      <w:r w:rsidRPr="00BA3F58">
        <w:rPr>
          <w:b/>
          <w:i/>
        </w:rPr>
        <w:t xml:space="preserve">required consumer data </w:t>
      </w:r>
      <w:r w:rsidRPr="00BA3F58">
        <w:t xml:space="preserve">nor </w:t>
      </w:r>
      <w:r w:rsidRPr="00BA3F58">
        <w:rPr>
          <w:b/>
          <w:i/>
        </w:rPr>
        <w:t>voluntary consumer data</w:t>
      </w:r>
      <w:r w:rsidRPr="00BA3F58">
        <w:t>.</w:t>
      </w:r>
    </w:p>
    <w:bookmarkEnd w:id="70"/>
    <w:p w14:paraId="754A3884" w14:textId="687EE3EC" w:rsidR="000D51B1" w:rsidRPr="00BA3F58" w:rsidRDefault="000D51B1" w:rsidP="000D51B1">
      <w:pPr>
        <w:pStyle w:val="SubsectionHead"/>
      </w:pPr>
      <w:r w:rsidRPr="00BA3F58">
        <w:t xml:space="preserve">Exception to </w:t>
      </w:r>
      <w:r w:rsidRPr="00BA3F58">
        <w:rPr>
          <w:b/>
        </w:rPr>
        <w:t>required consumer data</w:t>
      </w:r>
      <w:r w:rsidRPr="00BA3F58">
        <w:t>―open accounts</w:t>
      </w:r>
    </w:p>
    <w:p w14:paraId="3B672939" w14:textId="35F66B20" w:rsidR="000D51B1" w:rsidRPr="00BA3F58" w:rsidRDefault="000D51B1" w:rsidP="000D51B1">
      <w:pPr>
        <w:pStyle w:val="subsection"/>
      </w:pPr>
      <w:r w:rsidRPr="00BA3F58">
        <w:tab/>
        <w:t>(</w:t>
      </w:r>
      <w:r w:rsidR="007C1EAF">
        <w:t>6</w:t>
      </w:r>
      <w:r w:rsidRPr="00BA3F58">
        <w:t>)</w:t>
      </w:r>
      <w:r w:rsidRPr="00BA3F58">
        <w:tab/>
        <w:t>Despite subclause (</w:t>
      </w:r>
      <w:r w:rsidR="00B532FD" w:rsidRPr="00BA3F58">
        <w:t>2</w:t>
      </w:r>
      <w:r w:rsidRPr="00BA3F58">
        <w:t xml:space="preserve">), </w:t>
      </w:r>
      <w:r w:rsidR="00BF2FDC">
        <w:t xml:space="preserve">if </w:t>
      </w:r>
      <w:r w:rsidRPr="00BA3F58">
        <w:t>a</w:t>
      </w:r>
      <w:r w:rsidR="00A86D01" w:rsidRPr="00BA3F58">
        <w:t xml:space="preserve"> relevant</w:t>
      </w:r>
      <w:r w:rsidRPr="00BA3F58">
        <w:t xml:space="preserve"> account is open at a particular time, CDR data </w:t>
      </w:r>
      <w:r w:rsidR="00BF2FDC">
        <w:t xml:space="preserve">relating to that account </w:t>
      </w:r>
      <w:r w:rsidRPr="00BA3F58">
        <w:t xml:space="preserve">is not </w:t>
      </w:r>
      <w:r w:rsidRPr="00BA3F58">
        <w:rPr>
          <w:b/>
          <w:i/>
        </w:rPr>
        <w:t xml:space="preserve">required consumer data </w:t>
      </w:r>
      <w:r w:rsidRPr="00BA3F58">
        <w:t>at that time</w:t>
      </w:r>
      <w:r w:rsidR="00607909">
        <w:t xml:space="preserve"> if the data is</w:t>
      </w:r>
      <w:r w:rsidRPr="00BA3F58">
        <w:t>:</w:t>
      </w:r>
    </w:p>
    <w:p w14:paraId="7FA5408D" w14:textId="7C4B4030" w:rsidR="000D51B1" w:rsidRPr="00BA3F58" w:rsidRDefault="000D51B1" w:rsidP="000D51B1">
      <w:pPr>
        <w:pStyle w:val="paragraph"/>
      </w:pPr>
      <w:r w:rsidRPr="00BA3F58">
        <w:tab/>
        <w:t>(a)</w:t>
      </w:r>
      <w:r w:rsidRPr="00BA3F58">
        <w:tab/>
        <w:t xml:space="preserve">transaction data in relation to a transaction that occurred more than </w:t>
      </w:r>
      <w:r w:rsidR="001C7300">
        <w:t>2</w:t>
      </w:r>
      <w:r w:rsidRPr="00BA3F58">
        <w:t> years before that time;</w:t>
      </w:r>
      <w:r w:rsidR="00607909">
        <w:t xml:space="preserve"> or</w:t>
      </w:r>
    </w:p>
    <w:p w14:paraId="01AA610E" w14:textId="253A027B" w:rsidR="000D51B1" w:rsidRPr="00BA3F58" w:rsidRDefault="000D51B1" w:rsidP="000D51B1">
      <w:pPr>
        <w:pStyle w:val="paragraph"/>
      </w:pPr>
      <w:bookmarkStart w:id="72" w:name="_Hlk148443893"/>
      <w:r w:rsidRPr="00BA3F58">
        <w:tab/>
        <w:t>(b)</w:t>
      </w:r>
      <w:r w:rsidRPr="00BA3F58">
        <w:tab/>
        <w:t xml:space="preserve">account data that relates to an authorisation for </w:t>
      </w:r>
      <w:r w:rsidR="00882987">
        <w:t xml:space="preserve">a </w:t>
      </w:r>
      <w:r w:rsidRPr="00BA3F58">
        <w:t xml:space="preserve">direct debit </w:t>
      </w:r>
      <w:r w:rsidR="0053119C" w:rsidRPr="006F368D">
        <w:t>from</w:t>
      </w:r>
      <w:r w:rsidR="0053119C" w:rsidRPr="00BA3F58">
        <w:t xml:space="preserve"> the account</w:t>
      </w:r>
      <w:r w:rsidR="006A3F96">
        <w:t xml:space="preserve">, if the </w:t>
      </w:r>
      <w:r w:rsidR="00C40A36">
        <w:t xml:space="preserve">direct debit </w:t>
      </w:r>
      <w:r w:rsidR="00522048">
        <w:t>occ</w:t>
      </w:r>
      <w:r w:rsidR="002E48D2">
        <w:t>urred</w:t>
      </w:r>
      <w:r w:rsidRPr="00BA3F58">
        <w:t xml:space="preserve"> more than 13 months before that time.</w:t>
      </w:r>
    </w:p>
    <w:bookmarkEnd w:id="72"/>
    <w:p w14:paraId="005A0512" w14:textId="7EF8A605" w:rsidR="000D51B1" w:rsidRPr="00BA3F58" w:rsidRDefault="000D51B1" w:rsidP="000D51B1">
      <w:pPr>
        <w:pStyle w:val="notetext"/>
      </w:pPr>
      <w:r w:rsidRPr="00BA3F58">
        <w:t>Note:</w:t>
      </w:r>
      <w:r w:rsidRPr="00BA3F58">
        <w:tab/>
        <w:t xml:space="preserve">As a result, such CDR data would be </w:t>
      </w:r>
      <w:r w:rsidRPr="00BA3F58">
        <w:rPr>
          <w:b/>
          <w:i/>
        </w:rPr>
        <w:t xml:space="preserve">voluntary consumer data </w:t>
      </w:r>
      <w:r w:rsidRPr="00BA3F58">
        <w:t>unless otherwise excluded by this clause.</w:t>
      </w:r>
    </w:p>
    <w:p w14:paraId="188132C0" w14:textId="77777777" w:rsidR="000D51B1" w:rsidRPr="00BA3F58" w:rsidRDefault="000D51B1" w:rsidP="000D51B1">
      <w:pPr>
        <w:pStyle w:val="SubsectionHead"/>
      </w:pPr>
      <w:r w:rsidRPr="00BA3F58">
        <w:t xml:space="preserve">Exception to </w:t>
      </w:r>
      <w:r w:rsidRPr="00BA3F58">
        <w:rPr>
          <w:b/>
        </w:rPr>
        <w:t>required consumer data</w:t>
      </w:r>
      <w:r w:rsidRPr="00BA3F58">
        <w:t>―closed accounts</w:t>
      </w:r>
    </w:p>
    <w:p w14:paraId="2F84A47F" w14:textId="5A116FD1" w:rsidR="000D51B1" w:rsidRPr="00BA3F58" w:rsidRDefault="000D51B1" w:rsidP="000D51B1">
      <w:pPr>
        <w:pStyle w:val="subsection"/>
      </w:pPr>
      <w:r w:rsidRPr="00BA3F58">
        <w:tab/>
        <w:t>(</w:t>
      </w:r>
      <w:r w:rsidR="007C1EAF">
        <w:t>7</w:t>
      </w:r>
      <w:r w:rsidRPr="00BA3F58">
        <w:t>)</w:t>
      </w:r>
      <w:r w:rsidRPr="00BA3F58">
        <w:tab/>
        <w:t xml:space="preserve">Despite subclause </w:t>
      </w:r>
      <w:r w:rsidR="00B532FD" w:rsidRPr="00BA3F58">
        <w:t>(</w:t>
      </w:r>
      <w:r w:rsidR="00172A9B" w:rsidRPr="00BA3F58">
        <w:t>2</w:t>
      </w:r>
      <w:r w:rsidR="00B532FD" w:rsidRPr="00BA3F58">
        <w:t>)</w:t>
      </w:r>
      <w:r w:rsidRPr="00BA3F58">
        <w:t xml:space="preserve">, </w:t>
      </w:r>
      <w:r w:rsidR="00BF2FDC">
        <w:t xml:space="preserve">if </w:t>
      </w:r>
      <w:r w:rsidRPr="00BA3F58">
        <w:t>a</w:t>
      </w:r>
      <w:r w:rsidR="00A86D01" w:rsidRPr="00BA3F58">
        <w:t xml:space="preserve"> relevant</w:t>
      </w:r>
      <w:r w:rsidRPr="00BA3F58">
        <w:t xml:space="preserve"> account is closed at a particular time, </w:t>
      </w:r>
      <w:r w:rsidR="00607909" w:rsidRPr="00BA3F58">
        <w:t xml:space="preserve">CDR data </w:t>
      </w:r>
      <w:r w:rsidR="00607909">
        <w:t xml:space="preserve">relating to that account </w:t>
      </w:r>
      <w:r w:rsidRPr="00BA3F58">
        <w:t xml:space="preserve">is not </w:t>
      </w:r>
      <w:r w:rsidRPr="00BA3F58">
        <w:rPr>
          <w:b/>
          <w:i/>
        </w:rPr>
        <w:t xml:space="preserve">required consumer data </w:t>
      </w:r>
      <w:r w:rsidRPr="00BA3F58">
        <w:t>at that time</w:t>
      </w:r>
      <w:r w:rsidR="005368D1">
        <w:t>.</w:t>
      </w:r>
    </w:p>
    <w:p w14:paraId="1323C243" w14:textId="77777777" w:rsidR="000D51B1" w:rsidRPr="00BA3F58" w:rsidRDefault="000D51B1" w:rsidP="000D51B1">
      <w:pPr>
        <w:pStyle w:val="notetext"/>
      </w:pPr>
      <w:r w:rsidRPr="00BA3F58">
        <w:t>Note:</w:t>
      </w:r>
      <w:r w:rsidRPr="00BA3F58">
        <w:tab/>
        <w:t xml:space="preserve">As a result, such CDR data would be </w:t>
      </w:r>
      <w:r w:rsidRPr="00BA3F58">
        <w:rPr>
          <w:b/>
          <w:i/>
        </w:rPr>
        <w:t xml:space="preserve">voluntary consumer data </w:t>
      </w:r>
      <w:r w:rsidRPr="00BA3F58">
        <w:t>unless otherwise excluded by this clause.</w:t>
      </w:r>
    </w:p>
    <w:p w14:paraId="0F6249BA" w14:textId="6604F8C9" w:rsidR="001F28B3" w:rsidRPr="00BA3F58" w:rsidRDefault="00A469A6" w:rsidP="001F28B3">
      <w:pPr>
        <w:pStyle w:val="ItemHead"/>
      </w:pPr>
      <w:proofErr w:type="gramStart"/>
      <w:r w:rsidRPr="00BA3F58">
        <w:rPr>
          <w:noProof/>
        </w:rPr>
        <w:t>24</w:t>
      </w:r>
      <w:r w:rsidR="00E42354" w:rsidRPr="00BA3F58">
        <w:t xml:space="preserve">  </w:t>
      </w:r>
      <w:r w:rsidR="00CE105D">
        <w:t>Part</w:t>
      </w:r>
      <w:proofErr w:type="gramEnd"/>
      <w:r w:rsidR="00CE105D">
        <w:t xml:space="preserve"> </w:t>
      </w:r>
      <w:r w:rsidR="00932173">
        <w:t xml:space="preserve">5 of </w:t>
      </w:r>
      <w:r w:rsidR="001F28B3" w:rsidRPr="00BA3F58">
        <w:t>Schedule 3 (heading)</w:t>
      </w:r>
    </w:p>
    <w:p w14:paraId="48B32C34" w14:textId="77777777" w:rsidR="001F28B3" w:rsidRPr="00BA3F58" w:rsidRDefault="001F28B3" w:rsidP="001F28B3">
      <w:pPr>
        <w:pStyle w:val="Item"/>
      </w:pPr>
      <w:r w:rsidRPr="00BA3F58">
        <w:t>Repeal the heading, substitute:</w:t>
      </w:r>
    </w:p>
    <w:p w14:paraId="1CB3933F" w14:textId="756DAED8" w:rsidR="001F28B3" w:rsidRPr="00BA3F58" w:rsidRDefault="001F28B3" w:rsidP="00744782">
      <w:pPr>
        <w:pStyle w:val="ActHead2"/>
      </w:pPr>
      <w:bookmarkStart w:id="73" w:name="_Toc190683821"/>
      <w:bookmarkStart w:id="74" w:name="_Toc191450843"/>
      <w:r w:rsidRPr="00BA3F58">
        <w:t>Part 5—Dispute resolution</w:t>
      </w:r>
      <w:r w:rsidR="00C74852">
        <w:t xml:space="preserve">: </w:t>
      </w:r>
      <w:r w:rsidRPr="00BA3F58">
        <w:t xml:space="preserve">banking </w:t>
      </w:r>
      <w:r w:rsidR="00C009BA">
        <w:t xml:space="preserve">sector </w:t>
      </w:r>
      <w:r w:rsidRPr="00BA3F58">
        <w:t>and NBL sector</w:t>
      </w:r>
      <w:bookmarkEnd w:id="73"/>
      <w:bookmarkEnd w:id="74"/>
    </w:p>
    <w:p w14:paraId="30248EE3" w14:textId="29DA5F9A" w:rsidR="001F28B3" w:rsidRPr="00BA3F58" w:rsidRDefault="00A469A6" w:rsidP="001F28B3">
      <w:pPr>
        <w:pStyle w:val="ItemHead"/>
      </w:pPr>
      <w:proofErr w:type="gramStart"/>
      <w:r w:rsidRPr="00BA3F58">
        <w:rPr>
          <w:noProof/>
        </w:rPr>
        <w:t>25</w:t>
      </w:r>
      <w:r w:rsidR="00E42354" w:rsidRPr="00BA3F58">
        <w:t xml:space="preserve">  </w:t>
      </w:r>
      <w:r w:rsidR="00FC4A3D">
        <w:t>Clause</w:t>
      </w:r>
      <w:proofErr w:type="gramEnd"/>
      <w:r w:rsidR="00FC4A3D">
        <w:t xml:space="preserve"> 5.1 of </w:t>
      </w:r>
      <w:r w:rsidR="001F28B3" w:rsidRPr="00BA3F58">
        <w:t>Schedule 3</w:t>
      </w:r>
      <w:r w:rsidR="00FC4A3D">
        <w:t xml:space="preserve"> </w:t>
      </w:r>
      <w:r w:rsidR="001F28B3" w:rsidRPr="00BA3F58">
        <w:t>(heading)</w:t>
      </w:r>
    </w:p>
    <w:p w14:paraId="058A5A62" w14:textId="0BD97E1F" w:rsidR="001F28B3" w:rsidRPr="00BA3F58" w:rsidRDefault="001F28B3" w:rsidP="001F28B3">
      <w:pPr>
        <w:pStyle w:val="Item"/>
      </w:pPr>
      <w:r w:rsidRPr="00BA3F58">
        <w:t xml:space="preserve">Omit </w:t>
      </w:r>
      <w:r w:rsidR="000D6F11">
        <w:t>“</w:t>
      </w:r>
      <w:r w:rsidRPr="00BA3F58">
        <w:t>banking sector</w:t>
      </w:r>
      <w:r w:rsidR="000D6F11">
        <w:t>”</w:t>
      </w:r>
      <w:r w:rsidRPr="00BA3F58">
        <w:t xml:space="preserve">, substitute </w:t>
      </w:r>
      <w:r w:rsidR="000D6F11">
        <w:t>“</w:t>
      </w:r>
      <w:r w:rsidRPr="00BA3F58">
        <w:t xml:space="preserve">banking </w:t>
      </w:r>
      <w:r w:rsidR="009F7BC0">
        <w:t xml:space="preserve">sector </w:t>
      </w:r>
      <w:r w:rsidRPr="00BA3F58">
        <w:t>and NBL sector</w:t>
      </w:r>
      <w:r w:rsidR="000D6F11">
        <w:t>”</w:t>
      </w:r>
      <w:r w:rsidRPr="00BA3F58">
        <w:t>.</w:t>
      </w:r>
    </w:p>
    <w:p w14:paraId="27BA12C2" w14:textId="399259A2" w:rsidR="001F28B3" w:rsidRPr="00BA3F58" w:rsidRDefault="00A469A6" w:rsidP="001F28B3">
      <w:pPr>
        <w:pStyle w:val="ItemHead"/>
      </w:pPr>
      <w:proofErr w:type="gramStart"/>
      <w:r w:rsidRPr="00BA3F58">
        <w:rPr>
          <w:noProof/>
        </w:rPr>
        <w:t>26</w:t>
      </w:r>
      <w:r w:rsidR="00E42354" w:rsidRPr="00BA3F58">
        <w:t xml:space="preserve">  </w:t>
      </w:r>
      <w:r w:rsidR="00FC4A3D">
        <w:t>Subclause</w:t>
      </w:r>
      <w:proofErr w:type="gramEnd"/>
      <w:r w:rsidR="00FC4A3D">
        <w:t xml:space="preserve"> 5.1(1) of </w:t>
      </w:r>
      <w:r w:rsidR="001F28B3" w:rsidRPr="00BA3F58">
        <w:t>Schedule 3</w:t>
      </w:r>
    </w:p>
    <w:p w14:paraId="286E55F3" w14:textId="31C8233C" w:rsidR="003313FC" w:rsidRPr="00BA3F58" w:rsidRDefault="001F28B3" w:rsidP="003313FC">
      <w:pPr>
        <w:pStyle w:val="Item"/>
      </w:pPr>
      <w:r w:rsidRPr="00BA3F58">
        <w:t xml:space="preserve">Omit </w:t>
      </w:r>
      <w:r w:rsidR="000D6F11">
        <w:t>“</w:t>
      </w:r>
      <w:r w:rsidR="003313FC" w:rsidRPr="00BA3F58">
        <w:t>For the banking sector, a CDR participant</w:t>
      </w:r>
      <w:r w:rsidR="000D6F11">
        <w:t>”</w:t>
      </w:r>
      <w:r w:rsidR="003313FC" w:rsidRPr="00BA3F58">
        <w:t xml:space="preserve">, substitute </w:t>
      </w:r>
      <w:r w:rsidR="000D6F11">
        <w:t>“</w:t>
      </w:r>
      <w:r w:rsidR="003313FC" w:rsidRPr="00BA3F58">
        <w:t xml:space="preserve">For the banking </w:t>
      </w:r>
      <w:r w:rsidR="009F7BC0">
        <w:t xml:space="preserve">sector </w:t>
      </w:r>
      <w:r w:rsidR="003313FC" w:rsidRPr="00BA3F58">
        <w:t>and NBL sector, an accredited person or data holder</w:t>
      </w:r>
      <w:r w:rsidR="000D6F11">
        <w:t>”</w:t>
      </w:r>
      <w:r w:rsidR="003313FC" w:rsidRPr="00BA3F58">
        <w:t>.</w:t>
      </w:r>
    </w:p>
    <w:p w14:paraId="3E4D1011" w14:textId="3E8568A7" w:rsidR="00631BF3" w:rsidRPr="00BA3F58" w:rsidRDefault="00A469A6" w:rsidP="00631BF3">
      <w:pPr>
        <w:pStyle w:val="ItemHead"/>
      </w:pPr>
      <w:proofErr w:type="gramStart"/>
      <w:r w:rsidRPr="00BA3F58">
        <w:rPr>
          <w:noProof/>
        </w:rPr>
        <w:t>27</w:t>
      </w:r>
      <w:r w:rsidR="00631BF3" w:rsidRPr="00BA3F58">
        <w:t xml:space="preserve">  </w:t>
      </w:r>
      <w:r w:rsidR="00FC4A3D">
        <w:t>Subclause</w:t>
      </w:r>
      <w:proofErr w:type="gramEnd"/>
      <w:r w:rsidR="00FC4A3D">
        <w:t xml:space="preserve"> 5.1(2) of </w:t>
      </w:r>
      <w:r w:rsidR="00631BF3" w:rsidRPr="00BA3F58">
        <w:t>Schedule 3</w:t>
      </w:r>
    </w:p>
    <w:p w14:paraId="2D6E2904" w14:textId="1A8EB257" w:rsidR="00631BF3" w:rsidRPr="00BA3F58" w:rsidRDefault="00631BF3" w:rsidP="00631BF3">
      <w:pPr>
        <w:pStyle w:val="Item"/>
      </w:pPr>
      <w:r w:rsidRPr="00BA3F58">
        <w:t xml:space="preserve">Omit </w:t>
      </w:r>
      <w:r w:rsidR="000D6F11">
        <w:t>“</w:t>
      </w:r>
      <w:r w:rsidRPr="00BA3F58">
        <w:t>CDR participants</w:t>
      </w:r>
      <w:r w:rsidR="000D6F11">
        <w:t>”</w:t>
      </w:r>
      <w:r w:rsidRPr="00BA3F58">
        <w:t xml:space="preserve">, substitute </w:t>
      </w:r>
      <w:bookmarkStart w:id="75" w:name="_Hlk148364221"/>
      <w:r w:rsidR="000D6F11">
        <w:t>“</w:t>
      </w:r>
      <w:r w:rsidRPr="00BA3F58">
        <w:t>accredited persons and data holders</w:t>
      </w:r>
      <w:bookmarkEnd w:id="75"/>
      <w:r w:rsidR="000D6F11">
        <w:t>”</w:t>
      </w:r>
      <w:r w:rsidRPr="00BA3F58">
        <w:t>.</w:t>
      </w:r>
    </w:p>
    <w:p w14:paraId="5301A3FB" w14:textId="65FC8292" w:rsidR="009E36ED" w:rsidRPr="00BA3F58" w:rsidRDefault="00A469A6" w:rsidP="009E36ED">
      <w:pPr>
        <w:pStyle w:val="ItemHead"/>
      </w:pPr>
      <w:proofErr w:type="gramStart"/>
      <w:r w:rsidRPr="00BA3F58">
        <w:rPr>
          <w:noProof/>
        </w:rPr>
        <w:t>28</w:t>
      </w:r>
      <w:r w:rsidR="009E36ED" w:rsidRPr="00BA3F58">
        <w:t xml:space="preserve">  </w:t>
      </w:r>
      <w:r w:rsidR="00066ED7">
        <w:t>Subclause</w:t>
      </w:r>
      <w:proofErr w:type="gramEnd"/>
      <w:r w:rsidR="00066ED7">
        <w:t xml:space="preserve"> 5.1(2) of </w:t>
      </w:r>
      <w:r w:rsidR="009E36ED" w:rsidRPr="00BA3F58">
        <w:t>Schedule 3 (note)</w:t>
      </w:r>
    </w:p>
    <w:p w14:paraId="00FCADF4" w14:textId="77777777" w:rsidR="009E36ED" w:rsidRPr="00BA3F58" w:rsidRDefault="009E36ED" w:rsidP="009E36ED">
      <w:pPr>
        <w:pStyle w:val="Item"/>
      </w:pPr>
      <w:r w:rsidRPr="00BA3F58">
        <w:t>Repeal the note, substitute:</w:t>
      </w:r>
    </w:p>
    <w:p w14:paraId="48B91900" w14:textId="2FAC9EDB" w:rsidR="009E36ED" w:rsidRPr="00BA3F58" w:rsidRDefault="009E36ED" w:rsidP="009E36ED">
      <w:pPr>
        <w:pStyle w:val="notetext"/>
        <w:rPr>
          <w:rFonts w:eastAsia="Calibri"/>
        </w:rPr>
      </w:pPr>
      <w:r w:rsidRPr="00BA3F58">
        <w:rPr>
          <w:rFonts w:eastAsia="Calibri"/>
        </w:rPr>
        <w:t>Note:</w:t>
      </w:r>
      <w:r w:rsidRPr="00BA3F58">
        <w:rPr>
          <w:rFonts w:eastAsia="Calibri"/>
        </w:rPr>
        <w:tab/>
      </w:r>
      <w:r w:rsidRPr="00BA3F58">
        <w:t>Regulatory Guide 271</w:t>
      </w:r>
      <w:r w:rsidRPr="00BA3F58">
        <w:rPr>
          <w:rFonts w:eastAsia="Calibri"/>
        </w:rPr>
        <w:t xml:space="preserve"> could</w:t>
      </w:r>
      <w:r w:rsidR="00F9225B">
        <w:rPr>
          <w:rFonts w:eastAsia="Calibri"/>
        </w:rPr>
        <w:t>,</w:t>
      </w:r>
      <w:r w:rsidRPr="00BA3F58">
        <w:rPr>
          <w:rFonts w:eastAsia="Calibri"/>
        </w:rPr>
        <w:t xml:space="preserve"> in 202</w:t>
      </w:r>
      <w:r w:rsidR="00A43DDB">
        <w:rPr>
          <w:rFonts w:eastAsia="Calibri"/>
        </w:rPr>
        <w:t>5</w:t>
      </w:r>
      <w:r w:rsidR="00F9225B">
        <w:rPr>
          <w:rFonts w:eastAsia="Calibri"/>
        </w:rPr>
        <w:t>,</w:t>
      </w:r>
      <w:r w:rsidRPr="00BA3F58">
        <w:rPr>
          <w:rFonts w:eastAsia="Calibri"/>
        </w:rPr>
        <w:t xml:space="preserve"> be accessed from the Australian Securities </w:t>
      </w:r>
      <w:r w:rsidR="004F5923">
        <w:rPr>
          <w:rFonts w:eastAsia="Calibri"/>
        </w:rPr>
        <w:t>and</w:t>
      </w:r>
      <w:r w:rsidRPr="00BA3F58">
        <w:rPr>
          <w:rFonts w:eastAsia="Calibri"/>
        </w:rPr>
        <w:t xml:space="preserve"> Investments Commission’s website (https://asic.gov.au).</w:t>
      </w:r>
    </w:p>
    <w:p w14:paraId="2BE40AF8" w14:textId="44B4A8DF" w:rsidR="001755A7" w:rsidRPr="00BA3F58" w:rsidRDefault="00A469A6" w:rsidP="001755A7">
      <w:pPr>
        <w:pStyle w:val="ItemHead"/>
      </w:pPr>
      <w:proofErr w:type="gramStart"/>
      <w:r w:rsidRPr="00BA3F58">
        <w:rPr>
          <w:noProof/>
        </w:rPr>
        <w:t>29</w:t>
      </w:r>
      <w:r w:rsidR="00E42354" w:rsidRPr="00BA3F58">
        <w:t xml:space="preserve">  </w:t>
      </w:r>
      <w:r w:rsidR="00066ED7">
        <w:t>Clause</w:t>
      </w:r>
      <w:proofErr w:type="gramEnd"/>
      <w:r w:rsidR="00066ED7">
        <w:t xml:space="preserve"> 5.2</w:t>
      </w:r>
      <w:r w:rsidR="005A38E2">
        <w:t xml:space="preserve"> of</w:t>
      </w:r>
      <w:r w:rsidR="00066ED7">
        <w:t xml:space="preserve"> </w:t>
      </w:r>
      <w:r w:rsidR="001755A7" w:rsidRPr="00BA3F58">
        <w:t>Schedule 3</w:t>
      </w:r>
    </w:p>
    <w:p w14:paraId="66858EB4" w14:textId="1EC34976" w:rsidR="001755A7" w:rsidRPr="00BA3F58" w:rsidRDefault="001755A7" w:rsidP="001755A7">
      <w:pPr>
        <w:pStyle w:val="Item"/>
      </w:pPr>
      <w:r w:rsidRPr="00BA3F58">
        <w:t>Repeal the clause, substitute:</w:t>
      </w:r>
    </w:p>
    <w:p w14:paraId="2CC07B97" w14:textId="44E5EC23" w:rsidR="001755A7" w:rsidRPr="00BA3F58" w:rsidRDefault="001755A7" w:rsidP="00744782">
      <w:pPr>
        <w:pStyle w:val="ActHead5"/>
      </w:pPr>
      <w:bookmarkStart w:id="76" w:name="_Toc190683822"/>
      <w:bookmarkStart w:id="77" w:name="_Toc191450844"/>
      <w:bookmarkStart w:id="78" w:name="_Hlk120011959"/>
      <w:proofErr w:type="gramStart"/>
      <w:r w:rsidRPr="00BA3F58">
        <w:t>5.2  Meeting</w:t>
      </w:r>
      <w:proofErr w:type="gramEnd"/>
      <w:r w:rsidRPr="00BA3F58">
        <w:t xml:space="preserve"> external dispute resolution requirements―banking </w:t>
      </w:r>
      <w:r w:rsidR="00026052">
        <w:t xml:space="preserve">sector </w:t>
      </w:r>
      <w:r w:rsidRPr="00BA3F58">
        <w:t>and NBL sector</w:t>
      </w:r>
      <w:bookmarkEnd w:id="76"/>
      <w:bookmarkEnd w:id="77"/>
    </w:p>
    <w:bookmarkEnd w:id="78"/>
    <w:p w14:paraId="57ED2CFF" w14:textId="6961F497" w:rsidR="00A318C5" w:rsidRPr="00BA3F58" w:rsidRDefault="00A318C5" w:rsidP="00A318C5">
      <w:pPr>
        <w:pStyle w:val="subsection"/>
      </w:pPr>
      <w:r w:rsidRPr="00BA3F58">
        <w:tab/>
      </w:r>
      <w:r w:rsidRPr="00BA3F58">
        <w:tab/>
        <w:t xml:space="preserve">For the banking </w:t>
      </w:r>
      <w:r w:rsidR="00026052">
        <w:t xml:space="preserve">sector </w:t>
      </w:r>
      <w:r w:rsidR="005F495D" w:rsidRPr="00BA3F58">
        <w:t xml:space="preserve">and </w:t>
      </w:r>
      <w:r w:rsidRPr="00BA3F58">
        <w:t xml:space="preserve">NBL sector, an accredited person or data holder </w:t>
      </w:r>
      <w:r w:rsidRPr="00BA3F58">
        <w:rPr>
          <w:b/>
          <w:i/>
        </w:rPr>
        <w:t>meets the external dispute resolution requirements</w:t>
      </w:r>
      <w:r w:rsidRPr="00BA3F58">
        <w:t xml:space="preserve"> if it is a member of the </w:t>
      </w:r>
      <w:r w:rsidRPr="00BA3F58">
        <w:lastRenderedPageBreak/>
        <w:t>recognised external dispute resolution scheme operated by the Australian Financial Complaints Authority Limited for the relevant sector.</w:t>
      </w:r>
    </w:p>
    <w:p w14:paraId="2FCF2395" w14:textId="61BF4CC6" w:rsidR="00840E9A" w:rsidRPr="00BA3F58" w:rsidRDefault="00A469A6" w:rsidP="00840E9A">
      <w:pPr>
        <w:pStyle w:val="ItemHead"/>
      </w:pPr>
      <w:proofErr w:type="gramStart"/>
      <w:r w:rsidRPr="00BA3F58">
        <w:rPr>
          <w:noProof/>
        </w:rPr>
        <w:t>30</w:t>
      </w:r>
      <w:r w:rsidR="00E42354" w:rsidRPr="00BA3F58">
        <w:t xml:space="preserve">  </w:t>
      </w:r>
      <w:r w:rsidR="005A38E2">
        <w:t>Part</w:t>
      </w:r>
      <w:proofErr w:type="gramEnd"/>
      <w:r w:rsidR="005A38E2">
        <w:t xml:space="preserve"> 6 of </w:t>
      </w:r>
      <w:r w:rsidR="00840E9A" w:rsidRPr="00BA3F58">
        <w:t>Schedule 3</w:t>
      </w:r>
    </w:p>
    <w:p w14:paraId="3894D203" w14:textId="6DF14608" w:rsidR="00840E9A" w:rsidRPr="00BA3F58" w:rsidRDefault="00840E9A" w:rsidP="00840E9A">
      <w:pPr>
        <w:pStyle w:val="Item"/>
      </w:pPr>
      <w:r w:rsidRPr="00BA3F58">
        <w:t>Repeal the Part, substitute:</w:t>
      </w:r>
    </w:p>
    <w:p w14:paraId="4049907C" w14:textId="391884D0" w:rsidR="00840E9A" w:rsidRPr="00BA3F58" w:rsidRDefault="00BA3F58" w:rsidP="00823BC1">
      <w:pPr>
        <w:pStyle w:val="ActHead2"/>
      </w:pPr>
      <w:bookmarkStart w:id="79" w:name="_Toc190683823"/>
      <w:bookmarkStart w:id="80" w:name="_Toc191450845"/>
      <w:r>
        <w:t>Part 6</w:t>
      </w:r>
      <w:r w:rsidR="00823BC1" w:rsidRPr="00BA3F58">
        <w:t>—</w:t>
      </w:r>
      <w:r w:rsidR="00F95C74" w:rsidRPr="00BA3F58">
        <w:t>A</w:t>
      </w:r>
      <w:r w:rsidR="00840E9A" w:rsidRPr="00BA3F58">
        <w:t>pplication of these rules to the banking and NBL sectors</w:t>
      </w:r>
      <w:bookmarkEnd w:id="79"/>
      <w:bookmarkEnd w:id="80"/>
    </w:p>
    <w:p w14:paraId="6138C541" w14:textId="3D294F2D" w:rsidR="00840E9A" w:rsidRPr="00BA3F58" w:rsidRDefault="002A1158" w:rsidP="00D33374">
      <w:pPr>
        <w:pStyle w:val="ActHead3"/>
      </w:pPr>
      <w:bookmarkStart w:id="81" w:name="_Toc190683824"/>
      <w:bookmarkStart w:id="82" w:name="_Toc191450846"/>
      <w:r w:rsidRPr="00BA3F58">
        <w:t>Division 6.1</w:t>
      </w:r>
      <w:r w:rsidR="00823BC1" w:rsidRPr="00BA3F58">
        <w:t>—</w:t>
      </w:r>
      <w:r w:rsidR="00840E9A" w:rsidRPr="00BA3F58">
        <w:t xml:space="preserve">Staged application to </w:t>
      </w:r>
      <w:r w:rsidR="00840E9A" w:rsidRPr="00D33374">
        <w:t>the</w:t>
      </w:r>
      <w:r w:rsidR="00840E9A" w:rsidRPr="00BA3F58">
        <w:t xml:space="preserve"> NBL sector</w:t>
      </w:r>
      <w:bookmarkEnd w:id="81"/>
      <w:bookmarkEnd w:id="82"/>
    </w:p>
    <w:p w14:paraId="59F43125" w14:textId="12C806CE" w:rsidR="00840E9A" w:rsidRPr="00BA3F58" w:rsidRDefault="00BA3F58" w:rsidP="00823BC1">
      <w:pPr>
        <w:pStyle w:val="ActHead5"/>
      </w:pPr>
      <w:bookmarkStart w:id="83" w:name="_Toc190683825"/>
      <w:bookmarkStart w:id="84" w:name="_Toc191450847"/>
      <w:proofErr w:type="gramStart"/>
      <w:r>
        <w:t>6.1</w:t>
      </w:r>
      <w:r w:rsidR="00823BC1" w:rsidRPr="00BA3F58">
        <w:t xml:space="preserve">  </w:t>
      </w:r>
      <w:r w:rsidR="003046EE">
        <w:t>Definitions</w:t>
      </w:r>
      <w:bookmarkEnd w:id="83"/>
      <w:bookmarkEnd w:id="84"/>
      <w:proofErr w:type="gramEnd"/>
    </w:p>
    <w:p w14:paraId="080E2CD0" w14:textId="5A9FE5DE" w:rsidR="00840E9A" w:rsidRPr="00BA3F58" w:rsidRDefault="00840E9A" w:rsidP="00840E9A">
      <w:pPr>
        <w:pStyle w:val="subsection"/>
      </w:pPr>
      <w:r w:rsidRPr="00BA3F58">
        <w:tab/>
      </w:r>
      <w:r w:rsidR="003046EE">
        <w:tab/>
      </w:r>
      <w:r w:rsidRPr="00BA3F58">
        <w:t>In this Part:</w:t>
      </w:r>
    </w:p>
    <w:p w14:paraId="22D9EF45" w14:textId="77777777" w:rsidR="00840E9A" w:rsidRPr="00BA3F58" w:rsidRDefault="00840E9A" w:rsidP="00840E9A">
      <w:pPr>
        <w:pStyle w:val="Definition"/>
      </w:pPr>
      <w:r w:rsidRPr="00BA3F58">
        <w:rPr>
          <w:b/>
          <w:i/>
        </w:rPr>
        <w:t>complex request</w:t>
      </w:r>
      <w:r w:rsidRPr="00744782">
        <w:rPr>
          <w:bCs/>
          <w:iCs/>
        </w:rPr>
        <w:t xml:space="preserve"> </w:t>
      </w:r>
      <w:r w:rsidRPr="00BA3F58">
        <w:t>means a consumer data request that:</w:t>
      </w:r>
    </w:p>
    <w:p w14:paraId="1DBCFD64" w14:textId="77777777" w:rsidR="00840E9A" w:rsidRPr="00BA3F58" w:rsidRDefault="00840E9A" w:rsidP="00840E9A">
      <w:pPr>
        <w:pStyle w:val="paragraph"/>
      </w:pPr>
      <w:r w:rsidRPr="00BA3F58">
        <w:tab/>
        <w:t>(</w:t>
      </w:r>
      <w:r w:rsidR="00FE01A4" w:rsidRPr="00BA3F58">
        <w:t>a</w:t>
      </w:r>
      <w:r w:rsidRPr="00BA3F58">
        <w:t>)</w:t>
      </w:r>
      <w:r w:rsidRPr="00BA3F58">
        <w:tab/>
        <w:t>is made on behalf of a secondary user; or</w:t>
      </w:r>
    </w:p>
    <w:p w14:paraId="744EDC04" w14:textId="77777777" w:rsidR="00A318C5" w:rsidRPr="00BA3F58" w:rsidRDefault="00840E9A" w:rsidP="00A318C5">
      <w:pPr>
        <w:pStyle w:val="paragraph"/>
      </w:pPr>
      <w:r w:rsidRPr="00BA3F58">
        <w:tab/>
        <w:t>(</w:t>
      </w:r>
      <w:r w:rsidR="00FE01A4" w:rsidRPr="00BA3F58">
        <w:t>b</w:t>
      </w:r>
      <w:r w:rsidRPr="00BA3F58">
        <w:t>)</w:t>
      </w:r>
      <w:r w:rsidRPr="00BA3F58">
        <w:tab/>
        <w:t>relates to a joint account or a partnership account</w:t>
      </w:r>
      <w:r w:rsidR="00A318C5" w:rsidRPr="00BA3F58">
        <w:t>; or</w:t>
      </w:r>
    </w:p>
    <w:p w14:paraId="105B7B52" w14:textId="70A2C2D3" w:rsidR="00A318C5" w:rsidRDefault="00A318C5" w:rsidP="00A318C5">
      <w:pPr>
        <w:pStyle w:val="paragraph"/>
      </w:pPr>
      <w:r w:rsidRPr="00BA3F58">
        <w:tab/>
        <w:t>(c)</w:t>
      </w:r>
      <w:r w:rsidRPr="00BA3F58">
        <w:tab/>
        <w:t xml:space="preserve">is made on behalf of a CDR consumer who has </w:t>
      </w:r>
      <w:r w:rsidR="00FF7242">
        <w:t xml:space="preserve">a </w:t>
      </w:r>
      <w:r w:rsidRPr="00BA3F58">
        <w:t>nominated representative.</w:t>
      </w:r>
    </w:p>
    <w:p w14:paraId="1E5109B2" w14:textId="66C3B843" w:rsidR="00A05015" w:rsidRPr="005043AC" w:rsidRDefault="005043AC" w:rsidP="00C148E2">
      <w:pPr>
        <w:pStyle w:val="notetext"/>
      </w:pPr>
      <w:r>
        <w:t>Note:</w:t>
      </w:r>
      <w:r>
        <w:tab/>
        <w:t>For paragraph (c), see paragraph 1.13(1)(c) of these rules.</w:t>
      </w:r>
    </w:p>
    <w:p w14:paraId="1B817525" w14:textId="5C188070" w:rsidR="003046EE" w:rsidRDefault="003046EE" w:rsidP="003046EE">
      <w:pPr>
        <w:pStyle w:val="SubsectionHead"/>
        <w:rPr>
          <w:i w:val="0"/>
          <w:iCs/>
        </w:rPr>
      </w:pPr>
      <w:r w:rsidRPr="00BA3F58">
        <w:rPr>
          <w:b/>
        </w:rPr>
        <w:t>initial provider</w:t>
      </w:r>
      <w:r w:rsidRPr="00BA3F58">
        <w:t>—</w:t>
      </w:r>
      <w:r>
        <w:rPr>
          <w:i w:val="0"/>
          <w:iCs/>
        </w:rPr>
        <w:t xml:space="preserve">see clause </w:t>
      </w:r>
      <w:r w:rsidR="000B17FB">
        <w:rPr>
          <w:i w:val="0"/>
          <w:iCs/>
        </w:rPr>
        <w:t>6.</w:t>
      </w:r>
      <w:r w:rsidR="002C38F5">
        <w:rPr>
          <w:i w:val="0"/>
          <w:iCs/>
        </w:rPr>
        <w:t>2</w:t>
      </w:r>
      <w:r>
        <w:rPr>
          <w:i w:val="0"/>
          <w:iCs/>
        </w:rPr>
        <w:t>.</w:t>
      </w:r>
    </w:p>
    <w:p w14:paraId="14EACDB3" w14:textId="3304394E" w:rsidR="003046EE" w:rsidRDefault="003046EE" w:rsidP="003046EE">
      <w:pPr>
        <w:pStyle w:val="SubsectionHead"/>
        <w:rPr>
          <w:i w:val="0"/>
          <w:iCs/>
        </w:rPr>
      </w:pPr>
      <w:r>
        <w:rPr>
          <w:b/>
        </w:rPr>
        <w:t>large</w:t>
      </w:r>
      <w:r w:rsidRPr="00BA3F58">
        <w:rPr>
          <w:b/>
        </w:rPr>
        <w:t xml:space="preserve"> provider</w:t>
      </w:r>
      <w:r w:rsidRPr="00BA3F58">
        <w:t>—</w:t>
      </w:r>
      <w:r>
        <w:rPr>
          <w:i w:val="0"/>
          <w:iCs/>
        </w:rPr>
        <w:t xml:space="preserve">see clause </w:t>
      </w:r>
      <w:r w:rsidR="000B17FB">
        <w:rPr>
          <w:i w:val="0"/>
          <w:iCs/>
        </w:rPr>
        <w:t>6.</w:t>
      </w:r>
      <w:r w:rsidR="002C38F5">
        <w:rPr>
          <w:i w:val="0"/>
          <w:iCs/>
        </w:rPr>
        <w:t>2</w:t>
      </w:r>
      <w:r>
        <w:rPr>
          <w:i w:val="0"/>
          <w:iCs/>
        </w:rPr>
        <w:t>.</w:t>
      </w:r>
    </w:p>
    <w:p w14:paraId="3348E98B" w14:textId="4AE812A2" w:rsidR="00840E9A" w:rsidRPr="00BA3F58" w:rsidRDefault="00840E9A" w:rsidP="00744782">
      <w:pPr>
        <w:pStyle w:val="Definition"/>
      </w:pPr>
      <w:r w:rsidRPr="00BA3F58">
        <w:rPr>
          <w:b/>
          <w:i/>
        </w:rPr>
        <w:t>tranche 1 date</w:t>
      </w:r>
      <w:r w:rsidRPr="00744782">
        <w:rPr>
          <w:bCs/>
          <w:iCs/>
        </w:rPr>
        <w:t xml:space="preserve"> </w:t>
      </w:r>
      <w:r w:rsidRPr="00BA3F58">
        <w:t xml:space="preserve">means </w:t>
      </w:r>
      <w:bookmarkStart w:id="85" w:name="_Hlk151341182"/>
      <w:r w:rsidR="00A76844" w:rsidRPr="00BA3F58">
        <w:rPr>
          <w:bCs/>
          <w:iCs/>
        </w:rPr>
        <w:t>1</w:t>
      </w:r>
      <w:r w:rsidR="00A21C9D">
        <w:rPr>
          <w:bCs/>
          <w:iCs/>
        </w:rPr>
        <w:t>3</w:t>
      </w:r>
      <w:r w:rsidR="00A76844" w:rsidRPr="00BA3F58">
        <w:rPr>
          <w:bCs/>
          <w:iCs/>
        </w:rPr>
        <w:t xml:space="preserve"> </w:t>
      </w:r>
      <w:r w:rsidR="00FF7242">
        <w:rPr>
          <w:bCs/>
          <w:iCs/>
        </w:rPr>
        <w:t xml:space="preserve">July </w:t>
      </w:r>
      <w:r w:rsidR="00A76844" w:rsidRPr="00BA3F58">
        <w:rPr>
          <w:bCs/>
          <w:iCs/>
        </w:rPr>
        <w:t>202</w:t>
      </w:r>
      <w:r w:rsidR="00FF7242">
        <w:rPr>
          <w:bCs/>
          <w:iCs/>
        </w:rPr>
        <w:t>6</w:t>
      </w:r>
      <w:bookmarkEnd w:id="85"/>
      <w:r w:rsidRPr="00BA3F58">
        <w:t>.</w:t>
      </w:r>
    </w:p>
    <w:p w14:paraId="0F344DA5" w14:textId="67CD429D" w:rsidR="00840E9A" w:rsidRPr="00BA3F58" w:rsidRDefault="00840E9A" w:rsidP="00840E9A">
      <w:pPr>
        <w:pStyle w:val="Definition"/>
      </w:pPr>
      <w:r w:rsidRPr="00BA3F58">
        <w:rPr>
          <w:b/>
          <w:i/>
        </w:rPr>
        <w:t>tranche 2 date</w:t>
      </w:r>
      <w:r w:rsidRPr="00744782">
        <w:rPr>
          <w:bCs/>
          <w:iCs/>
        </w:rPr>
        <w:t xml:space="preserve"> </w:t>
      </w:r>
      <w:r w:rsidRPr="00BA3F58">
        <w:t xml:space="preserve">means </w:t>
      </w:r>
      <w:bookmarkStart w:id="86" w:name="_Hlk151341193"/>
      <w:r w:rsidR="00AD11F1">
        <w:rPr>
          <w:bCs/>
          <w:iCs/>
        </w:rPr>
        <w:t>9 November</w:t>
      </w:r>
      <w:r w:rsidR="00FF7242">
        <w:rPr>
          <w:bCs/>
          <w:iCs/>
        </w:rPr>
        <w:t xml:space="preserve"> </w:t>
      </w:r>
      <w:r w:rsidR="00A76844" w:rsidRPr="00BA3F58">
        <w:rPr>
          <w:bCs/>
          <w:iCs/>
        </w:rPr>
        <w:t>202</w:t>
      </w:r>
      <w:r w:rsidR="00FF7242">
        <w:rPr>
          <w:bCs/>
          <w:iCs/>
        </w:rPr>
        <w:t>6</w:t>
      </w:r>
      <w:bookmarkEnd w:id="86"/>
      <w:r w:rsidRPr="00BA3F58">
        <w:t>.</w:t>
      </w:r>
    </w:p>
    <w:p w14:paraId="05B309B6" w14:textId="2FA2C48F" w:rsidR="00840E9A" w:rsidRPr="00BA3F58" w:rsidRDefault="00840E9A" w:rsidP="00913EF3">
      <w:pPr>
        <w:pStyle w:val="Definition"/>
      </w:pPr>
      <w:bookmarkStart w:id="87" w:name="_Hlk151341205"/>
      <w:r w:rsidRPr="00BA3F58">
        <w:rPr>
          <w:b/>
          <w:i/>
        </w:rPr>
        <w:t>tranche 3 date</w:t>
      </w:r>
      <w:r w:rsidRPr="00744782">
        <w:rPr>
          <w:bCs/>
          <w:iCs/>
        </w:rPr>
        <w:t xml:space="preserve"> </w:t>
      </w:r>
      <w:r w:rsidRPr="00BA3F58">
        <w:t xml:space="preserve">means </w:t>
      </w:r>
      <w:r w:rsidR="00A76844" w:rsidRPr="00BA3F58">
        <w:t>1</w:t>
      </w:r>
      <w:r w:rsidR="00C15F45">
        <w:t>0</w:t>
      </w:r>
      <w:r w:rsidR="00A76844" w:rsidRPr="00BA3F58">
        <w:t xml:space="preserve"> </w:t>
      </w:r>
      <w:r w:rsidR="00B15ECC">
        <w:t>May</w:t>
      </w:r>
      <w:r w:rsidR="00C15F45">
        <w:t xml:space="preserve"> </w:t>
      </w:r>
      <w:r w:rsidR="00A76844" w:rsidRPr="00BA3F58">
        <w:t>202</w:t>
      </w:r>
      <w:r w:rsidR="00FF7242">
        <w:t>7</w:t>
      </w:r>
      <w:r w:rsidRPr="00BA3F58">
        <w:t>.</w:t>
      </w:r>
    </w:p>
    <w:p w14:paraId="74F0C5C0" w14:textId="0B975B1B" w:rsidR="003046EE" w:rsidRDefault="003046EE" w:rsidP="00F055C6">
      <w:pPr>
        <w:pStyle w:val="ActHead5"/>
      </w:pPr>
      <w:bookmarkStart w:id="88" w:name="_Toc190683826"/>
      <w:bookmarkStart w:id="89" w:name="_Toc191450848"/>
      <w:bookmarkStart w:id="90" w:name="_Hlk177731925"/>
      <w:proofErr w:type="gramStart"/>
      <w:r w:rsidRPr="00347760">
        <w:rPr>
          <w:rStyle w:val="CharSectno"/>
        </w:rPr>
        <w:t>6.</w:t>
      </w:r>
      <w:r w:rsidR="00FF00E2">
        <w:rPr>
          <w:rStyle w:val="CharSectno"/>
        </w:rPr>
        <w:t>2</w:t>
      </w:r>
      <w:r>
        <w:t xml:space="preserve">  Meaning</w:t>
      </w:r>
      <w:proofErr w:type="gramEnd"/>
      <w:r>
        <w:t xml:space="preserve"> of </w:t>
      </w:r>
      <w:r w:rsidRPr="00347760">
        <w:rPr>
          <w:i/>
          <w:iCs/>
        </w:rPr>
        <w:t>initial provider</w:t>
      </w:r>
      <w:r>
        <w:t xml:space="preserve"> and </w:t>
      </w:r>
      <w:r w:rsidRPr="00347760">
        <w:rPr>
          <w:i/>
          <w:iCs/>
        </w:rPr>
        <w:t>large provider</w:t>
      </w:r>
      <w:bookmarkEnd w:id="88"/>
      <w:bookmarkEnd w:id="89"/>
    </w:p>
    <w:p w14:paraId="53969253" w14:textId="7C513341" w:rsidR="00D013D1" w:rsidRDefault="00631BF3" w:rsidP="004D11EA">
      <w:pPr>
        <w:pStyle w:val="subsection"/>
      </w:pPr>
      <w:bookmarkStart w:id="91" w:name="_Hlk148364521"/>
      <w:bookmarkEnd w:id="87"/>
      <w:r w:rsidRPr="00BA3F58">
        <w:tab/>
        <w:t>(</w:t>
      </w:r>
      <w:r w:rsidR="003046EE">
        <w:t>1</w:t>
      </w:r>
      <w:r w:rsidRPr="00BA3F58">
        <w:t>)</w:t>
      </w:r>
      <w:r w:rsidRPr="00BA3F58">
        <w:tab/>
      </w:r>
      <w:r w:rsidR="003046EE">
        <w:t>A</w:t>
      </w:r>
      <w:r w:rsidRPr="00BA3F58">
        <w:t xml:space="preserve"> relevant non-bank lender is an </w:t>
      </w:r>
      <w:r w:rsidRPr="00BA3F58">
        <w:rPr>
          <w:b/>
          <w:i/>
        </w:rPr>
        <w:t>initial provider</w:t>
      </w:r>
      <w:r w:rsidRPr="00BA3F58">
        <w:t xml:space="preserve"> </w:t>
      </w:r>
      <w:r w:rsidR="00A23825">
        <w:t xml:space="preserve">on and after the commencement day </w:t>
      </w:r>
      <w:r w:rsidRPr="00BA3F58">
        <w:t>if</w:t>
      </w:r>
      <w:r w:rsidR="00CC04AA">
        <w:t xml:space="preserve">, </w:t>
      </w:r>
      <w:r w:rsidR="00D508BE">
        <w:t>on the commencement day</w:t>
      </w:r>
      <w:r w:rsidR="0022686C">
        <w:t xml:space="preserve">, </w:t>
      </w:r>
      <w:r w:rsidR="006E6D10">
        <w:t>each</w:t>
      </w:r>
      <w:r w:rsidR="002B4EA0">
        <w:t xml:space="preserve"> of the following</w:t>
      </w:r>
      <w:r w:rsidR="003A618F">
        <w:t xml:space="preserve"> is over $10 billion</w:t>
      </w:r>
      <w:r w:rsidR="00D013D1">
        <w:t>:</w:t>
      </w:r>
    </w:p>
    <w:p w14:paraId="1DD650B8" w14:textId="40498F0D" w:rsidR="00D013D1" w:rsidRPr="00BD2113" w:rsidRDefault="00D013D1" w:rsidP="00D013D1">
      <w:pPr>
        <w:pStyle w:val="paragraph"/>
      </w:pPr>
      <w:r>
        <w:tab/>
      </w:r>
      <w:r w:rsidRPr="00BD2113">
        <w:t>(a)</w:t>
      </w:r>
      <w:r>
        <w:tab/>
      </w:r>
      <w:r w:rsidR="0003097D">
        <w:t xml:space="preserve">the </w:t>
      </w:r>
      <w:r w:rsidR="0004418D">
        <w:t xml:space="preserve">total </w:t>
      </w:r>
      <w:r w:rsidR="0003097D">
        <w:t>value</w:t>
      </w:r>
      <w:r w:rsidR="00D72554">
        <w:t xml:space="preserve"> of the resident loans and resident finance leases reported to</w:t>
      </w:r>
      <w:r w:rsidR="003D4D9F">
        <w:t xml:space="preserve"> the </w:t>
      </w:r>
      <w:r w:rsidR="003D4D9F" w:rsidRPr="00BA3F58">
        <w:t>Australian Prudential Regulation Authority</w:t>
      </w:r>
      <w:r w:rsidR="00435220">
        <w:t xml:space="preserve"> </w:t>
      </w:r>
      <w:r w:rsidR="00B1149F" w:rsidRPr="00C85DCB">
        <w:t xml:space="preserve">under the </w:t>
      </w:r>
      <w:r w:rsidR="004255E6">
        <w:t xml:space="preserve">applicable </w:t>
      </w:r>
      <w:r w:rsidR="00B1149F" w:rsidRPr="00C85DCB">
        <w:t>standards</w:t>
      </w:r>
      <w:r w:rsidR="00B1149F">
        <w:t xml:space="preserve"> </w:t>
      </w:r>
      <w:r w:rsidR="00B1149F" w:rsidRPr="00C85DCB">
        <w:t>by the lender</w:t>
      </w:r>
      <w:r w:rsidR="00B1149F">
        <w:t xml:space="preserve"> and ea</w:t>
      </w:r>
      <w:r w:rsidR="00B1149F" w:rsidRPr="00AB5B3B">
        <w:t xml:space="preserve">ch of its </w:t>
      </w:r>
      <w:r w:rsidR="008309B5" w:rsidRPr="00AB5B3B">
        <w:t>associated</w:t>
      </w:r>
      <w:r w:rsidR="00B1149F" w:rsidRPr="00AB5B3B">
        <w:t xml:space="preserve"> non-bank lenders in relation to the most recent calendar month </w:t>
      </w:r>
      <w:r w:rsidR="00B2755F" w:rsidRPr="00AB5B3B">
        <w:t>for</w:t>
      </w:r>
      <w:r w:rsidR="00B1149F" w:rsidRPr="00AB5B3B">
        <w:t xml:space="preserve"> which a report was </w:t>
      </w:r>
      <w:r w:rsidR="00EC16C0" w:rsidRPr="00297CCE">
        <w:t xml:space="preserve">given to </w:t>
      </w:r>
      <w:r w:rsidR="001810E1" w:rsidRPr="00297CCE">
        <w:t xml:space="preserve">the </w:t>
      </w:r>
      <w:r w:rsidR="001810E1" w:rsidRPr="00AB5B3B">
        <w:t>Australian Prudential Regulation Authority</w:t>
      </w:r>
      <w:r w:rsidR="00EC16C0" w:rsidRPr="00AB5B3B">
        <w:t xml:space="preserve"> </w:t>
      </w:r>
      <w:r w:rsidR="00AB5B3B" w:rsidRPr="00AB5B3B">
        <w:t xml:space="preserve">before the </w:t>
      </w:r>
      <w:r w:rsidR="00297CCE" w:rsidRPr="00AB5B3B">
        <w:t>commencement</w:t>
      </w:r>
      <w:r w:rsidR="00297CCE">
        <w:t> </w:t>
      </w:r>
      <w:proofErr w:type="gramStart"/>
      <w:r w:rsidR="00AB5B3B" w:rsidRPr="00AB5B3B">
        <w:t>day</w:t>
      </w:r>
      <w:r w:rsidRPr="00AB5B3B">
        <w:t>;</w:t>
      </w:r>
      <w:proofErr w:type="gramEnd"/>
    </w:p>
    <w:p w14:paraId="41E351D3" w14:textId="20F72FA2" w:rsidR="00D013D1" w:rsidRDefault="00EC6E48" w:rsidP="00D013D1">
      <w:pPr>
        <w:pStyle w:val="ListParagraph"/>
        <w:numPr>
          <w:ilvl w:val="0"/>
          <w:numId w:val="23"/>
        </w:numPr>
      </w:pPr>
      <w:r>
        <w:t xml:space="preserve">the </w:t>
      </w:r>
      <w:r w:rsidR="00E46053">
        <w:t xml:space="preserve">total </w:t>
      </w:r>
      <w:r w:rsidR="00954306">
        <w:t xml:space="preserve">value of the resident loans and resident finance leases </w:t>
      </w:r>
      <w:r w:rsidR="0004418D">
        <w:t xml:space="preserve">reported to the </w:t>
      </w:r>
      <w:r w:rsidR="0004418D" w:rsidRPr="00BA3F58">
        <w:t>Australian Prudential Regulation Authority</w:t>
      </w:r>
      <w:r w:rsidR="0004418D">
        <w:t xml:space="preserve"> under the </w:t>
      </w:r>
      <w:r w:rsidR="00D40112">
        <w:t xml:space="preserve">applicable </w:t>
      </w:r>
      <w:r w:rsidR="0004418D">
        <w:t xml:space="preserve">standards by the </w:t>
      </w:r>
      <w:r w:rsidR="0004418D" w:rsidRPr="005F7480">
        <w:t xml:space="preserve">lender </w:t>
      </w:r>
      <w:r w:rsidR="0004418D" w:rsidRPr="00F56CC5">
        <w:t>and each</w:t>
      </w:r>
      <w:r w:rsidR="00C47A7A">
        <w:t xml:space="preserve"> of its </w:t>
      </w:r>
      <w:r w:rsidR="008309B5">
        <w:t>associated</w:t>
      </w:r>
      <w:r w:rsidR="00C47A7A">
        <w:t xml:space="preserve"> non-bank lenders</w:t>
      </w:r>
      <w:r w:rsidR="00D5350F">
        <w:t xml:space="preserve"> during the 12 months </w:t>
      </w:r>
      <w:r w:rsidR="009B4585">
        <w:t>before the commencement</w:t>
      </w:r>
      <w:r w:rsidR="00D5350F">
        <w:t xml:space="preserve"> day</w:t>
      </w:r>
      <w:r w:rsidR="008250D5">
        <w:t>,</w:t>
      </w:r>
      <w:r w:rsidR="0004418D" w:rsidRPr="00F56CC5">
        <w:t xml:space="preserve"> </w:t>
      </w:r>
      <w:r w:rsidR="00012B89" w:rsidRPr="005F7480">
        <w:t>averaged</w:t>
      </w:r>
      <w:r w:rsidR="00012B89">
        <w:t xml:space="preserve"> </w:t>
      </w:r>
      <w:r w:rsidR="00954306">
        <w:t xml:space="preserve">over </w:t>
      </w:r>
      <w:r w:rsidR="00B8245C">
        <w:t xml:space="preserve">that </w:t>
      </w:r>
      <w:r w:rsidR="004221EF">
        <w:t>period</w:t>
      </w:r>
      <w:r w:rsidR="00B8245C">
        <w:t>.</w:t>
      </w:r>
    </w:p>
    <w:bookmarkEnd w:id="91"/>
    <w:p w14:paraId="7F9C6A9A" w14:textId="68331FF4" w:rsidR="00BB55BE" w:rsidRPr="00BA3F58" w:rsidRDefault="00B75B9D" w:rsidP="00BB55BE">
      <w:pPr>
        <w:pStyle w:val="subsection"/>
      </w:pPr>
      <w:r w:rsidRPr="00BA3F58">
        <w:tab/>
        <w:t>(</w:t>
      </w:r>
      <w:r w:rsidR="00A118F4">
        <w:t>2</w:t>
      </w:r>
      <w:r w:rsidRPr="00BA3F58">
        <w:t>)</w:t>
      </w:r>
      <w:r w:rsidRPr="00BA3F58">
        <w:tab/>
      </w:r>
      <w:r w:rsidR="003046EE">
        <w:t>S</w:t>
      </w:r>
      <w:r w:rsidR="00E00242">
        <w:t xml:space="preserve">ubject to this </w:t>
      </w:r>
      <w:r w:rsidR="00E17FFC">
        <w:t>clause</w:t>
      </w:r>
      <w:r w:rsidR="00E00242">
        <w:t xml:space="preserve">, </w:t>
      </w:r>
      <w:r w:rsidRPr="00BA3F58">
        <w:t>a relevant non-bank lender</w:t>
      </w:r>
      <w:r w:rsidR="00DD7057" w:rsidRPr="00BA3F58">
        <w:t xml:space="preserve"> </w:t>
      </w:r>
      <w:r w:rsidR="000A47E3" w:rsidRPr="00BA3F58">
        <w:t xml:space="preserve">is a </w:t>
      </w:r>
      <w:r w:rsidR="000A47E3" w:rsidRPr="00BA3F58">
        <w:rPr>
          <w:b/>
          <w:i/>
        </w:rPr>
        <w:t>large provider</w:t>
      </w:r>
      <w:r w:rsidR="000A47E3" w:rsidRPr="00BA3F58">
        <w:t xml:space="preserve"> on and </w:t>
      </w:r>
      <w:r w:rsidR="000A47E3">
        <w:t xml:space="preserve">after </w:t>
      </w:r>
      <w:r w:rsidR="000A47E3" w:rsidRPr="00BA3F58">
        <w:t xml:space="preserve">the first day on which it meets the </w:t>
      </w:r>
      <w:r w:rsidR="004C1034" w:rsidRPr="00BA3F58">
        <w:t xml:space="preserve">large provider </w:t>
      </w:r>
      <w:r w:rsidR="000A47E3" w:rsidRPr="00BA3F58">
        <w:t xml:space="preserve">qualification </w:t>
      </w:r>
      <w:r w:rsidR="004C1034">
        <w:t>if</w:t>
      </w:r>
      <w:r w:rsidR="00613C66">
        <w:t>, on that day</w:t>
      </w:r>
      <w:r w:rsidR="002927D3">
        <w:t>, the lender</w:t>
      </w:r>
      <w:r w:rsidR="00BB55BE" w:rsidRPr="00BA3F58">
        <w:t>:</w:t>
      </w:r>
    </w:p>
    <w:p w14:paraId="26BC88AF" w14:textId="1D042A39" w:rsidR="00BB55BE" w:rsidRPr="00BA3F58" w:rsidRDefault="00BB55BE" w:rsidP="00BB55BE">
      <w:pPr>
        <w:pStyle w:val="paragraph"/>
      </w:pPr>
      <w:r w:rsidRPr="00BA3F58">
        <w:tab/>
        <w:t>(a)</w:t>
      </w:r>
      <w:r w:rsidRPr="00BA3F58">
        <w:tab/>
      </w:r>
      <w:r w:rsidR="00B75B9D" w:rsidRPr="00BA3F58">
        <w:t>is not an initial provider</w:t>
      </w:r>
      <w:r w:rsidRPr="00BA3F58">
        <w:t>; and</w:t>
      </w:r>
    </w:p>
    <w:p w14:paraId="2E5B9BD9" w14:textId="5F6D2E22" w:rsidR="00DD7057" w:rsidRPr="00BA3F58" w:rsidRDefault="00DD7057" w:rsidP="00DD7057">
      <w:pPr>
        <w:pStyle w:val="paragraph"/>
      </w:pPr>
      <w:r w:rsidRPr="00BA3F58">
        <w:tab/>
        <w:t>(</w:t>
      </w:r>
      <w:r w:rsidR="00D443CB" w:rsidRPr="00BA3F58">
        <w:t>b</w:t>
      </w:r>
      <w:r w:rsidRPr="00BA3F58">
        <w:t>)</w:t>
      </w:r>
      <w:r w:rsidRPr="00BA3F58">
        <w:tab/>
        <w:t>m</w:t>
      </w:r>
      <w:r w:rsidR="00532275" w:rsidRPr="00BA3F58">
        <w:t xml:space="preserve">eets the large provider </w:t>
      </w:r>
      <w:r w:rsidR="00B75B9D" w:rsidRPr="00BA3F58">
        <w:t>qualification</w:t>
      </w:r>
      <w:r w:rsidR="00640D73" w:rsidRPr="00BA3F58">
        <w:t xml:space="preserve">, as set out in subclause </w:t>
      </w:r>
      <w:r w:rsidR="00846A5E">
        <w:t xml:space="preserve">(3) or </w:t>
      </w:r>
      <w:r w:rsidR="00640D73" w:rsidRPr="00BA3F58">
        <w:t>(</w:t>
      </w:r>
      <w:r w:rsidR="006658F4">
        <w:t>4</w:t>
      </w:r>
      <w:r w:rsidR="00640D73" w:rsidRPr="00BA3F58">
        <w:t>)</w:t>
      </w:r>
      <w:r w:rsidR="00DD7DC8">
        <w:t>.</w:t>
      </w:r>
    </w:p>
    <w:p w14:paraId="62FA7332" w14:textId="04D3DE0B" w:rsidR="009E1F68" w:rsidRDefault="00631BF3" w:rsidP="00B75B9D">
      <w:pPr>
        <w:pStyle w:val="subsection"/>
      </w:pPr>
      <w:bookmarkStart w:id="92" w:name="_Hlk148364921"/>
      <w:r w:rsidRPr="00BA3F58">
        <w:lastRenderedPageBreak/>
        <w:tab/>
      </w:r>
      <w:r w:rsidR="00B75B9D" w:rsidRPr="00BA3F58">
        <w:t>(</w:t>
      </w:r>
      <w:r w:rsidR="00A118F4">
        <w:t>3</w:t>
      </w:r>
      <w:r w:rsidR="00B75B9D" w:rsidRPr="00BA3F58">
        <w:t>)</w:t>
      </w:r>
      <w:r w:rsidR="00B75B9D" w:rsidRPr="00BA3F58">
        <w:tab/>
      </w:r>
      <w:r w:rsidR="00F055C6">
        <w:t>A</w:t>
      </w:r>
      <w:r w:rsidR="00B75B9D" w:rsidRPr="00BA3F58">
        <w:t xml:space="preserve"> relevant non-bank lender meets the large provider qualification on </w:t>
      </w:r>
      <w:r w:rsidR="00640D73" w:rsidRPr="00BA3F58">
        <w:t>the commencement day</w:t>
      </w:r>
      <w:r w:rsidR="00023967">
        <w:t xml:space="preserve">, or </w:t>
      </w:r>
      <w:r w:rsidR="00023967" w:rsidRPr="00BA3F58">
        <w:t>on a 1 July after th</w:t>
      </w:r>
      <w:r w:rsidR="00BE424B">
        <w:t>at</w:t>
      </w:r>
      <w:r w:rsidR="00023967" w:rsidRPr="00BA3F58">
        <w:t xml:space="preserve"> day</w:t>
      </w:r>
      <w:r w:rsidR="002817DB">
        <w:t xml:space="preserve"> (the </w:t>
      </w:r>
      <w:r w:rsidR="002817DB" w:rsidRPr="00AD77F2">
        <w:rPr>
          <w:b/>
          <w:bCs/>
          <w:i/>
          <w:iCs/>
        </w:rPr>
        <w:t>relevant day</w:t>
      </w:r>
      <w:r w:rsidR="002817DB">
        <w:t>)</w:t>
      </w:r>
      <w:r w:rsidR="00023967">
        <w:t>,</w:t>
      </w:r>
      <w:r w:rsidR="00640D73" w:rsidRPr="00BA3F58">
        <w:t xml:space="preserve"> if</w:t>
      </w:r>
      <w:r w:rsidR="009E1F68">
        <w:t>:</w:t>
      </w:r>
    </w:p>
    <w:p w14:paraId="02AFE004" w14:textId="77C92837" w:rsidR="003B459A" w:rsidRPr="006206D5" w:rsidRDefault="009E1F68" w:rsidP="00347760">
      <w:pPr>
        <w:pStyle w:val="paragraph"/>
      </w:pPr>
      <w:r>
        <w:t xml:space="preserve"> </w:t>
      </w:r>
      <w:r>
        <w:tab/>
      </w:r>
      <w:r w:rsidRPr="006206D5">
        <w:t>(a)</w:t>
      </w:r>
      <w:r w:rsidR="00E11FC5" w:rsidRPr="006206D5">
        <w:tab/>
      </w:r>
      <w:r w:rsidR="00603BF5" w:rsidRPr="006206D5">
        <w:t>each of the following is over $1 billion</w:t>
      </w:r>
      <w:r w:rsidR="003B459A" w:rsidRPr="006206D5">
        <w:t>:</w:t>
      </w:r>
    </w:p>
    <w:p w14:paraId="30319F5E" w14:textId="73DE4CF8" w:rsidR="003B459A" w:rsidRPr="006206D5" w:rsidRDefault="003B459A" w:rsidP="005D062D">
      <w:pPr>
        <w:pStyle w:val="paragraphsub"/>
      </w:pPr>
      <w:r w:rsidRPr="006206D5">
        <w:tab/>
        <w:t>(</w:t>
      </w:r>
      <w:proofErr w:type="spellStart"/>
      <w:r w:rsidRPr="006206D5">
        <w:t>i</w:t>
      </w:r>
      <w:proofErr w:type="spellEnd"/>
      <w:r w:rsidRPr="006206D5">
        <w:t>)</w:t>
      </w:r>
      <w:r w:rsidRPr="006206D5">
        <w:tab/>
      </w:r>
      <w:r w:rsidR="0075397B" w:rsidRPr="00C85DCB">
        <w:t xml:space="preserve">the total value of the resident loans and resident finance leases reported to the Australian Prudential Regulation Authority under the </w:t>
      </w:r>
      <w:r w:rsidR="00301594">
        <w:t xml:space="preserve">applicable </w:t>
      </w:r>
      <w:r w:rsidR="0075397B" w:rsidRPr="00C85DCB">
        <w:t>standards</w:t>
      </w:r>
      <w:r w:rsidR="00E10718">
        <w:t xml:space="preserve"> </w:t>
      </w:r>
      <w:r w:rsidR="0075397B" w:rsidRPr="00C85DCB">
        <w:t>by the lender</w:t>
      </w:r>
      <w:r w:rsidR="00C66D15">
        <w:t xml:space="preserve"> and </w:t>
      </w:r>
      <w:r w:rsidR="00E45E85">
        <w:t>each</w:t>
      </w:r>
      <w:r w:rsidR="005509D1">
        <w:t xml:space="preserve"> of its</w:t>
      </w:r>
      <w:r w:rsidR="00C66D15">
        <w:t xml:space="preserve"> </w:t>
      </w:r>
      <w:r w:rsidR="002022E6">
        <w:t>associated</w:t>
      </w:r>
      <w:r w:rsidR="00C66D15">
        <w:t xml:space="preserve"> non-bank lender</w:t>
      </w:r>
      <w:r w:rsidR="005509D1">
        <w:t>s</w:t>
      </w:r>
      <w:r w:rsidR="00F05CC6">
        <w:t xml:space="preserve"> in relation to the most recent calendar month </w:t>
      </w:r>
      <w:r w:rsidR="00560330" w:rsidRPr="00AB5B3B">
        <w:t xml:space="preserve">for which a report was </w:t>
      </w:r>
      <w:r w:rsidR="00560330" w:rsidRPr="00297CCE">
        <w:t xml:space="preserve">given to the </w:t>
      </w:r>
      <w:r w:rsidR="00560330" w:rsidRPr="00AB5B3B">
        <w:t xml:space="preserve">Australian Prudential Regulation Authority before the </w:t>
      </w:r>
      <w:r w:rsidR="002817DB">
        <w:t>relevant </w:t>
      </w:r>
      <w:proofErr w:type="gramStart"/>
      <w:r w:rsidR="00560330" w:rsidRPr="00AB5B3B">
        <w:t>day</w:t>
      </w:r>
      <w:r w:rsidRPr="006206D5">
        <w:t>;</w:t>
      </w:r>
      <w:proofErr w:type="gramEnd"/>
    </w:p>
    <w:p w14:paraId="312EE0E7" w14:textId="20614246" w:rsidR="005D062D" w:rsidRPr="006206D5" w:rsidRDefault="005D062D" w:rsidP="00347760">
      <w:pPr>
        <w:pStyle w:val="paragraphsub"/>
      </w:pPr>
      <w:r w:rsidRPr="006206D5">
        <w:tab/>
        <w:t>(ii)</w:t>
      </w:r>
      <w:r w:rsidRPr="006206D5">
        <w:tab/>
      </w:r>
      <w:r w:rsidR="00151F14" w:rsidRPr="00C85DCB">
        <w:t xml:space="preserve">the </w:t>
      </w:r>
      <w:r w:rsidR="00F66AFB">
        <w:t xml:space="preserve">total </w:t>
      </w:r>
      <w:r w:rsidR="00151F14" w:rsidRPr="00C85DCB">
        <w:t xml:space="preserve">value of the resident loans and resident finance leases reported to the Australian Prudential Regulation Authority </w:t>
      </w:r>
      <w:r w:rsidR="008A79AD">
        <w:t xml:space="preserve">under the </w:t>
      </w:r>
      <w:r w:rsidR="00301594">
        <w:t xml:space="preserve">applicable </w:t>
      </w:r>
      <w:r w:rsidR="008A79AD">
        <w:t xml:space="preserve">standards by the lender and </w:t>
      </w:r>
      <w:r w:rsidR="00E45E85">
        <w:t>each</w:t>
      </w:r>
      <w:r w:rsidR="005509D1">
        <w:t xml:space="preserve"> of its</w:t>
      </w:r>
      <w:r w:rsidR="008A79AD">
        <w:t xml:space="preserve"> </w:t>
      </w:r>
      <w:r w:rsidR="002022E6">
        <w:t xml:space="preserve">associated </w:t>
      </w:r>
      <w:r w:rsidR="008A79AD">
        <w:t>non-bank lender</w:t>
      </w:r>
      <w:r w:rsidR="005509D1">
        <w:t>s</w:t>
      </w:r>
      <w:r w:rsidR="008A79AD">
        <w:t xml:space="preserve"> </w:t>
      </w:r>
      <w:r w:rsidR="00EB006A">
        <w:t xml:space="preserve">during the 12 months </w:t>
      </w:r>
      <w:r w:rsidR="00560330">
        <w:t xml:space="preserve">before the </w:t>
      </w:r>
      <w:r w:rsidR="002817DB">
        <w:t>relevant</w:t>
      </w:r>
      <w:r w:rsidR="002817DB" w:rsidRPr="00D925DD">
        <w:t xml:space="preserve"> </w:t>
      </w:r>
      <w:r w:rsidR="00EB006A">
        <w:t>day,</w:t>
      </w:r>
      <w:r w:rsidR="00EB006A" w:rsidRPr="00F56CC5">
        <w:t xml:space="preserve"> </w:t>
      </w:r>
      <w:r w:rsidR="00EB006A" w:rsidRPr="005F7480">
        <w:t>averaged</w:t>
      </w:r>
      <w:r w:rsidR="00EB006A">
        <w:t xml:space="preserve"> over that </w:t>
      </w:r>
      <w:r w:rsidR="004221EF">
        <w:t>period</w:t>
      </w:r>
      <w:r w:rsidRPr="006206D5">
        <w:t>;</w:t>
      </w:r>
      <w:r w:rsidR="007E46B2">
        <w:t xml:space="preserve"> and</w:t>
      </w:r>
    </w:p>
    <w:p w14:paraId="11493AC7" w14:textId="550C041A" w:rsidR="00BB46E8" w:rsidRPr="00BB46E8" w:rsidRDefault="00D44904" w:rsidP="000B1D6E">
      <w:pPr>
        <w:pStyle w:val="paragraph"/>
      </w:pPr>
      <w:r>
        <w:tab/>
        <w:t>(b)</w:t>
      </w:r>
      <w:r>
        <w:tab/>
      </w:r>
      <w:r w:rsidR="00B75B9D" w:rsidRPr="006206D5">
        <w:t xml:space="preserve">the lender has more than </w:t>
      </w:r>
      <w:r w:rsidR="008B73B9" w:rsidRPr="006206D5">
        <w:t xml:space="preserve">1,000 </w:t>
      </w:r>
      <w:r w:rsidR="00B75B9D" w:rsidRPr="006206D5">
        <w:t>customers on that day</w:t>
      </w:r>
      <w:r w:rsidR="006206D5" w:rsidRPr="006206D5">
        <w:t>.</w:t>
      </w:r>
    </w:p>
    <w:p w14:paraId="24385365" w14:textId="74D4CF6D" w:rsidR="00D90AE8" w:rsidRPr="00BA3F58" w:rsidRDefault="00BB46E8" w:rsidP="009C1CB7">
      <w:pPr>
        <w:pStyle w:val="subsection"/>
      </w:pPr>
      <w:r>
        <w:tab/>
        <w:t>(</w:t>
      </w:r>
      <w:r w:rsidR="00A118F4">
        <w:t>4</w:t>
      </w:r>
      <w:r>
        <w:t>)</w:t>
      </w:r>
      <w:r>
        <w:tab/>
      </w:r>
      <w:bookmarkEnd w:id="92"/>
      <w:r w:rsidR="00023967">
        <w:t xml:space="preserve">A </w:t>
      </w:r>
      <w:r w:rsidR="004A2C90" w:rsidRPr="00BA3F58">
        <w:t>relevant non-bank lender</w:t>
      </w:r>
      <w:r w:rsidR="00F8527F" w:rsidRPr="00BA3F58">
        <w:t xml:space="preserve"> </w:t>
      </w:r>
      <w:r w:rsidR="00E3069D">
        <w:t xml:space="preserve">also </w:t>
      </w:r>
      <w:r w:rsidR="009852ED">
        <w:t>m</w:t>
      </w:r>
      <w:r w:rsidR="004A2C90" w:rsidRPr="00BA3F58">
        <w:t xml:space="preserve">eets the large provider qualification on a day </w:t>
      </w:r>
      <w:r w:rsidR="000773FE">
        <w:t xml:space="preserve">that is, or is after, the commencement day, </w:t>
      </w:r>
      <w:r w:rsidR="004A2C90" w:rsidRPr="00BA3F58">
        <w:t>if</w:t>
      </w:r>
      <w:r w:rsidR="00126459">
        <w:t xml:space="preserve"> </w:t>
      </w:r>
      <w:r w:rsidR="009769F5" w:rsidRPr="00BA3F58">
        <w:t xml:space="preserve">the lender </w:t>
      </w:r>
      <w:r w:rsidR="004A2C90" w:rsidRPr="00BA3F58">
        <w:t>is an accredited person</w:t>
      </w:r>
      <w:r w:rsidR="009769F5" w:rsidRPr="00BA3F58">
        <w:t xml:space="preserve"> on that day</w:t>
      </w:r>
      <w:r w:rsidR="00126459">
        <w:t>.</w:t>
      </w:r>
    </w:p>
    <w:p w14:paraId="2AEEEC00" w14:textId="742B3BC6" w:rsidR="009852ED" w:rsidRDefault="009852ED" w:rsidP="00347760">
      <w:pPr>
        <w:pStyle w:val="subsection"/>
      </w:pPr>
      <w:r>
        <w:tab/>
        <w:t>(</w:t>
      </w:r>
      <w:r w:rsidR="00A118F4">
        <w:t>5</w:t>
      </w:r>
      <w:r>
        <w:t>)</w:t>
      </w:r>
      <w:r>
        <w:tab/>
        <w:t xml:space="preserve">However, a </w:t>
      </w:r>
      <w:r w:rsidRPr="00BA3F58">
        <w:t xml:space="preserve">relevant non-bank lender </w:t>
      </w:r>
      <w:r>
        <w:t>to whom sub</w:t>
      </w:r>
      <w:r w:rsidR="002564AB">
        <w:t>clause</w:t>
      </w:r>
      <w:r>
        <w:t xml:space="preserve"> (</w:t>
      </w:r>
      <w:r w:rsidR="002D1C8D">
        <w:t>4</w:t>
      </w:r>
      <w:r>
        <w:t>) applies is taken</w:t>
      </w:r>
      <w:r w:rsidR="002F6FE1">
        <w:t>, for the purposes of that subclause,</w:t>
      </w:r>
      <w:r>
        <w:t xml:space="preserve"> to cease to meet th</w:t>
      </w:r>
      <w:r w:rsidR="001E16D3">
        <w:t>e large provider</w:t>
      </w:r>
      <w:r>
        <w:t xml:space="preserve"> qualification on and after </w:t>
      </w:r>
      <w:r w:rsidR="00263ABF">
        <w:t>a later</w:t>
      </w:r>
      <w:r>
        <w:t xml:space="preserve"> day</w:t>
      </w:r>
      <w:r w:rsidR="00263ABF">
        <w:t xml:space="preserve"> if the lender:</w:t>
      </w:r>
    </w:p>
    <w:p w14:paraId="6791E65C" w14:textId="61DDF907" w:rsidR="00263ABF" w:rsidRDefault="00263ABF" w:rsidP="00263ABF">
      <w:pPr>
        <w:pStyle w:val="paragraph"/>
      </w:pPr>
      <w:r>
        <w:tab/>
        <w:t>(a)</w:t>
      </w:r>
      <w:r>
        <w:tab/>
      </w:r>
      <w:r w:rsidR="00D03E16" w:rsidRPr="009C75C3">
        <w:t xml:space="preserve">ceases </w:t>
      </w:r>
      <w:r w:rsidR="00D03E16">
        <w:t xml:space="preserve">to </w:t>
      </w:r>
      <w:r w:rsidR="00D03E16" w:rsidRPr="009C75C3">
        <w:t xml:space="preserve">be an accredited person on </w:t>
      </w:r>
      <w:r w:rsidR="00D03E16">
        <w:t>that</w:t>
      </w:r>
      <w:r w:rsidR="00D03E16" w:rsidRPr="009C75C3">
        <w:t xml:space="preserve"> later day</w:t>
      </w:r>
      <w:r w:rsidR="00D03E16">
        <w:t>; and</w:t>
      </w:r>
    </w:p>
    <w:p w14:paraId="2434C157" w14:textId="59C8DDC3" w:rsidR="00D03E16" w:rsidRPr="00263ABF" w:rsidRDefault="00D03E16" w:rsidP="00283495">
      <w:pPr>
        <w:pStyle w:val="paragraph"/>
      </w:pPr>
      <w:r>
        <w:tab/>
        <w:t>(b)</w:t>
      </w:r>
      <w:r>
        <w:tab/>
      </w:r>
      <w:r w:rsidR="00245242" w:rsidRPr="00245242">
        <w:t xml:space="preserve">has not met the large provider qualification in subclause </w:t>
      </w:r>
      <w:r w:rsidR="00245242" w:rsidRPr="00D2428D">
        <w:t>(3) at any time</w:t>
      </w:r>
      <w:r w:rsidR="00D2428D">
        <w:t xml:space="preserve"> before that later day</w:t>
      </w:r>
      <w:r w:rsidR="00245242">
        <w:t>.</w:t>
      </w:r>
    </w:p>
    <w:p w14:paraId="3F8EB64F" w14:textId="0296B192" w:rsidR="00025469" w:rsidRPr="00BA3F58" w:rsidRDefault="00025469" w:rsidP="00025469">
      <w:pPr>
        <w:pStyle w:val="SubsectionHead"/>
      </w:pPr>
      <w:r w:rsidRPr="00BA3F58">
        <w:t xml:space="preserve">Calculating </w:t>
      </w:r>
      <w:r w:rsidR="00FB0FEB">
        <w:t>average</w:t>
      </w:r>
      <w:r w:rsidR="00AD2F5B">
        <w:t>d</w:t>
      </w:r>
      <w:r w:rsidR="00FB0FEB">
        <w:t xml:space="preserve"> </w:t>
      </w:r>
      <w:r w:rsidR="008D606B">
        <w:t xml:space="preserve">value of </w:t>
      </w:r>
      <w:r w:rsidRPr="00BA3F58">
        <w:t xml:space="preserve">resident loans and </w:t>
      </w:r>
      <w:r w:rsidR="00041FFE" w:rsidRPr="00BA3F58">
        <w:t xml:space="preserve">resident </w:t>
      </w:r>
      <w:r w:rsidRPr="00BA3F58">
        <w:t>finance leases</w:t>
      </w:r>
    </w:p>
    <w:p w14:paraId="7FD9F7D2" w14:textId="0DE47A44" w:rsidR="00815D9C" w:rsidRDefault="00815D9C" w:rsidP="00815D9C">
      <w:pPr>
        <w:pStyle w:val="subsection"/>
      </w:pPr>
      <w:r>
        <w:tab/>
        <w:t>(</w:t>
      </w:r>
      <w:r w:rsidR="00A118F4">
        <w:t>6</w:t>
      </w:r>
      <w:r>
        <w:t>)</w:t>
      </w:r>
      <w:r>
        <w:tab/>
        <w:t xml:space="preserve">For </w:t>
      </w:r>
      <w:r w:rsidR="00763E38">
        <w:t xml:space="preserve">the purpose of </w:t>
      </w:r>
      <w:r w:rsidR="00831C53">
        <w:t>calculating</w:t>
      </w:r>
      <w:r>
        <w:t xml:space="preserve"> the </w:t>
      </w:r>
      <w:r w:rsidR="00540FB4">
        <w:t>average</w:t>
      </w:r>
      <w:r w:rsidR="00AD2F5B">
        <w:t>d</w:t>
      </w:r>
      <w:r>
        <w:t xml:space="preserve"> value of resident loans and resident finance leases reported </w:t>
      </w:r>
      <w:r w:rsidR="00E94225">
        <w:t xml:space="preserve">by a </w:t>
      </w:r>
      <w:r w:rsidR="003B2B90">
        <w:t xml:space="preserve">relevant </w:t>
      </w:r>
      <w:r w:rsidR="00E94225">
        <w:t>non-bank lender</w:t>
      </w:r>
      <w:r w:rsidR="00F75975">
        <w:t xml:space="preserve"> </w:t>
      </w:r>
      <w:r w:rsidR="00CB0E68">
        <w:t xml:space="preserve">and each of its associated non-bank lenders </w:t>
      </w:r>
      <w:r w:rsidR="00F75975">
        <w:t>over 12 calendar months</w:t>
      </w:r>
      <w:r w:rsidR="00DD6BAF">
        <w:t>,</w:t>
      </w:r>
      <w:r>
        <w:t xml:space="preserve"> any month in relation to which no report was made</w:t>
      </w:r>
      <w:r w:rsidR="003B2B90">
        <w:t xml:space="preserve"> </w:t>
      </w:r>
      <w:r w:rsidR="00294A56">
        <w:t>by the lender</w:t>
      </w:r>
      <w:r w:rsidR="005E2B84">
        <w:t>,</w:t>
      </w:r>
      <w:r w:rsidR="00FE20A7">
        <w:t xml:space="preserve"> </w:t>
      </w:r>
      <w:r w:rsidR="006B22CD">
        <w:t xml:space="preserve">or any </w:t>
      </w:r>
      <w:r w:rsidR="00482C9C">
        <w:t>of its associated non-bank lenders</w:t>
      </w:r>
      <w:r w:rsidR="005E2B84">
        <w:t>,</w:t>
      </w:r>
      <w:r w:rsidR="00482C9C">
        <w:t xml:space="preserve"> </w:t>
      </w:r>
      <w:r w:rsidR="00FE20A7">
        <w:t xml:space="preserve">is </w:t>
      </w:r>
      <w:r w:rsidR="00275EFC">
        <w:t xml:space="preserve">to be </w:t>
      </w:r>
      <w:r w:rsidR="00FE20A7">
        <w:t>disregarded</w:t>
      </w:r>
      <w:r>
        <w:t>.</w:t>
      </w:r>
    </w:p>
    <w:p w14:paraId="49BCF05F" w14:textId="443D4B13" w:rsidR="000A5D90" w:rsidRPr="001E6BB7" w:rsidRDefault="001E6BB7" w:rsidP="007F7BE5">
      <w:pPr>
        <w:pStyle w:val="notetext"/>
      </w:pPr>
      <w:r>
        <w:t>Note:</w:t>
      </w:r>
      <w:r>
        <w:tab/>
        <w:t xml:space="preserve">A lender </w:t>
      </w:r>
      <w:r w:rsidR="009F703B">
        <w:t>is</w:t>
      </w:r>
      <w:r w:rsidR="000F5421">
        <w:t xml:space="preserve"> </w:t>
      </w:r>
      <w:r>
        <w:t>not required to provide a monthly report</w:t>
      </w:r>
      <w:r w:rsidR="00843404">
        <w:t xml:space="preserve"> to the</w:t>
      </w:r>
      <w:r w:rsidR="007F7BE5">
        <w:t xml:space="preserve"> </w:t>
      </w:r>
      <w:r w:rsidR="007F7BE5" w:rsidRPr="00C85DCB">
        <w:t xml:space="preserve">Australian Prudential Regulation Authority under the </w:t>
      </w:r>
      <w:r w:rsidR="003E7CA4">
        <w:t xml:space="preserve">applicable </w:t>
      </w:r>
      <w:r w:rsidR="007F7BE5" w:rsidRPr="00C85DCB">
        <w:t>standards</w:t>
      </w:r>
      <w:r>
        <w:t xml:space="preserve"> if its total assets are</w:t>
      </w:r>
      <w:r w:rsidR="001C33C1">
        <w:t xml:space="preserve"> less than $</w:t>
      </w:r>
      <w:r w:rsidR="00BE7C3F">
        <w:t>400 </w:t>
      </w:r>
      <w:r w:rsidR="001C33C1">
        <w:t>million as at the last day of its financial year.</w:t>
      </w:r>
    </w:p>
    <w:p w14:paraId="746DE8C5" w14:textId="60B9EF4B" w:rsidR="00025469" w:rsidRPr="00BA3F58" w:rsidRDefault="00CC127C" w:rsidP="00025469">
      <w:pPr>
        <w:pStyle w:val="subsection"/>
      </w:pPr>
      <w:r>
        <w:tab/>
      </w:r>
      <w:r w:rsidR="00025469" w:rsidRPr="00BA3F58">
        <w:t>(</w:t>
      </w:r>
      <w:r w:rsidR="00A118F4">
        <w:t>7</w:t>
      </w:r>
      <w:r w:rsidR="00025469" w:rsidRPr="00BA3F58">
        <w:t>)</w:t>
      </w:r>
      <w:r w:rsidR="00025469" w:rsidRPr="00BA3F58">
        <w:tab/>
        <w:t xml:space="preserve">In this clause: </w:t>
      </w:r>
    </w:p>
    <w:p w14:paraId="559F0485" w14:textId="020FD8E0" w:rsidR="00D95AEE" w:rsidRDefault="00D95AEE" w:rsidP="00D95AEE">
      <w:pPr>
        <w:pStyle w:val="Definition"/>
      </w:pPr>
      <w:r>
        <w:rPr>
          <w:b/>
          <w:bCs/>
          <w:i/>
          <w:iCs/>
        </w:rPr>
        <w:t xml:space="preserve">applicable standards </w:t>
      </w:r>
      <w:proofErr w:type="gramStart"/>
      <w:r>
        <w:t>means</w:t>
      </w:r>
      <w:proofErr w:type="gramEnd"/>
      <w:r>
        <w:t xml:space="preserve"> the </w:t>
      </w:r>
      <w:r w:rsidRPr="00BA3F58">
        <w:t xml:space="preserve">standards made by the Australian Prudential Regulation Authority under the </w:t>
      </w:r>
      <w:r w:rsidRPr="00BA3F58">
        <w:rPr>
          <w:i/>
          <w:iCs/>
          <w:shd w:val="clear" w:color="auto" w:fill="FFFFFF"/>
        </w:rPr>
        <w:t xml:space="preserve">Financial Sector (Collection of Data) </w:t>
      </w:r>
      <w:r w:rsidR="00FE7487" w:rsidRPr="00BA3F58">
        <w:rPr>
          <w:i/>
          <w:iCs/>
          <w:shd w:val="clear" w:color="auto" w:fill="FFFFFF"/>
        </w:rPr>
        <w:t>Act</w:t>
      </w:r>
      <w:r w:rsidR="00FE7487">
        <w:rPr>
          <w:i/>
          <w:iCs/>
          <w:shd w:val="clear" w:color="auto" w:fill="FFFFFF"/>
        </w:rPr>
        <w:t> </w:t>
      </w:r>
      <w:r w:rsidRPr="00BA3F58">
        <w:rPr>
          <w:i/>
          <w:iCs/>
          <w:shd w:val="clear" w:color="auto" w:fill="FFFFFF"/>
        </w:rPr>
        <w:t xml:space="preserve">2001 </w:t>
      </w:r>
      <w:r w:rsidRPr="00BA3F58">
        <w:t>dealing with the provision of information to the Authority relating to the loans</w:t>
      </w:r>
      <w:r w:rsidRPr="00BA3F58">
        <w:rPr>
          <w:b/>
          <w:bCs/>
          <w:i/>
          <w:iCs/>
        </w:rPr>
        <w:t> </w:t>
      </w:r>
      <w:r w:rsidRPr="00BA3F58">
        <w:t>and finance leases of an ADI or registered financial corporation</w:t>
      </w:r>
      <w:r>
        <w:t>.</w:t>
      </w:r>
    </w:p>
    <w:p w14:paraId="507D37E2" w14:textId="0C57112D" w:rsidR="00D95AEE" w:rsidRDefault="00D95AEE" w:rsidP="00D95AEE">
      <w:pPr>
        <w:pStyle w:val="notetext"/>
      </w:pPr>
      <w:r w:rsidRPr="000773FE">
        <w:t>Note:</w:t>
      </w:r>
      <w:r w:rsidRPr="000773FE">
        <w:tab/>
        <w:t xml:space="preserve">The </w:t>
      </w:r>
      <w:r>
        <w:t xml:space="preserve">applicable </w:t>
      </w:r>
      <w:r w:rsidRPr="000773FE">
        <w:t>standards were, in 202</w:t>
      </w:r>
      <w:r w:rsidR="00A43DDB">
        <w:t>5</w:t>
      </w:r>
      <w:r w:rsidRPr="000773FE">
        <w:t xml:space="preserve">, set out in the </w:t>
      </w:r>
      <w:r w:rsidRPr="00850E85">
        <w:rPr>
          <w:i/>
          <w:iCs/>
        </w:rPr>
        <w:t>Financial Sector (Collection of Data) (reporting standard) determination No. 9 of 2022</w:t>
      </w:r>
      <w:r w:rsidR="005C4BAF">
        <w:t xml:space="preserve"> </w:t>
      </w:r>
      <w:r w:rsidR="005C4BAF" w:rsidRPr="005C4BAF">
        <w:t>[F2022L00212]</w:t>
      </w:r>
      <w:r w:rsidRPr="000773FE">
        <w:t>.</w:t>
      </w:r>
    </w:p>
    <w:p w14:paraId="2FE804C6" w14:textId="77777777" w:rsidR="00BA35C9" w:rsidRPr="009C1CB7" w:rsidRDefault="00BA35C9" w:rsidP="00BA35C9">
      <w:pPr>
        <w:pStyle w:val="Definition"/>
      </w:pPr>
      <w:r w:rsidRPr="009C1CB7">
        <w:rPr>
          <w:b/>
          <w:bCs/>
          <w:i/>
          <w:iCs/>
        </w:rPr>
        <w:t>associated non-bank lender</w:t>
      </w:r>
      <w:r w:rsidRPr="009C1CB7">
        <w:t xml:space="preserve">: a relevant non-bank lender (the </w:t>
      </w:r>
      <w:r w:rsidRPr="009C1CB7">
        <w:rPr>
          <w:b/>
          <w:bCs/>
          <w:i/>
          <w:iCs/>
        </w:rPr>
        <w:t>first lender</w:t>
      </w:r>
      <w:r w:rsidRPr="009C1CB7">
        <w:t xml:space="preserve">) is an </w:t>
      </w:r>
      <w:r w:rsidRPr="009C1CB7">
        <w:rPr>
          <w:b/>
          <w:bCs/>
          <w:i/>
          <w:iCs/>
        </w:rPr>
        <w:t>associated non-bank lender</w:t>
      </w:r>
      <w:r w:rsidRPr="009C1CB7">
        <w:t xml:space="preserve"> of another relevant non-bank lender (the </w:t>
      </w:r>
      <w:r w:rsidRPr="009C1CB7">
        <w:rPr>
          <w:b/>
          <w:bCs/>
          <w:i/>
          <w:iCs/>
        </w:rPr>
        <w:t>second lender</w:t>
      </w:r>
      <w:r w:rsidRPr="009C1CB7">
        <w:t>) if</w:t>
      </w:r>
      <w:r>
        <w:t xml:space="preserve"> any of the following apply</w:t>
      </w:r>
      <w:r w:rsidRPr="009C1CB7">
        <w:t>:</w:t>
      </w:r>
    </w:p>
    <w:p w14:paraId="730BE456" w14:textId="2B930BAC" w:rsidR="00BA35C9" w:rsidRDefault="00BA35C9" w:rsidP="00BA35C9">
      <w:pPr>
        <w:pStyle w:val="paragraph"/>
      </w:pPr>
      <w:r>
        <w:tab/>
        <w:t>(a)</w:t>
      </w:r>
      <w:r>
        <w:tab/>
        <w:t>the first lender is a related body corporate of the second lender for the purposes of the Act (see subsection 4</w:t>
      </w:r>
      <w:proofErr w:type="gramStart"/>
      <w:r>
        <w:t>A(</w:t>
      </w:r>
      <w:proofErr w:type="gramEnd"/>
      <w:r>
        <w:t>5) of the Act);</w:t>
      </w:r>
    </w:p>
    <w:p w14:paraId="2E675702" w14:textId="77777777" w:rsidR="00300BB2" w:rsidRDefault="00300BB2" w:rsidP="00300BB2">
      <w:pPr>
        <w:pStyle w:val="paragraph"/>
      </w:pPr>
      <w:r>
        <w:lastRenderedPageBreak/>
        <w:tab/>
        <w:t>(b)</w:t>
      </w:r>
      <w:r>
        <w:tab/>
        <w:t xml:space="preserve">the first lender has </w:t>
      </w:r>
      <w:r w:rsidRPr="00DB12B2">
        <w:t xml:space="preserve">an arrangement with the second lender </w:t>
      </w:r>
      <w:r>
        <w:t>in relation to</w:t>
      </w:r>
      <w:r w:rsidRPr="00DB12B2">
        <w:t xml:space="preserve"> the administration, offering, provision or underwriting of resident loans or resident finance </w:t>
      </w:r>
      <w:proofErr w:type="gramStart"/>
      <w:r w:rsidRPr="00DB12B2">
        <w:t>leases</w:t>
      </w:r>
      <w:r>
        <w:t>;</w:t>
      </w:r>
      <w:proofErr w:type="gramEnd"/>
    </w:p>
    <w:p w14:paraId="4D81C6D9" w14:textId="77777777" w:rsidR="00300BB2" w:rsidRDefault="00300BB2" w:rsidP="00300BB2">
      <w:pPr>
        <w:pStyle w:val="paragraph"/>
      </w:pPr>
      <w:r>
        <w:tab/>
        <w:t>(c)</w:t>
      </w:r>
      <w:r>
        <w:tab/>
        <w:t xml:space="preserve">the second lender has </w:t>
      </w:r>
      <w:r w:rsidRPr="00DB12B2">
        <w:t xml:space="preserve">an arrangement with the </w:t>
      </w:r>
      <w:r>
        <w:t>first</w:t>
      </w:r>
      <w:r w:rsidRPr="00DB12B2">
        <w:t xml:space="preserve"> lender for the administration, offering, provision or underwriting of resident loans or resident finance leases</w:t>
      </w:r>
      <w:r>
        <w:t>.</w:t>
      </w:r>
    </w:p>
    <w:p w14:paraId="409B1FCB" w14:textId="3DA7572D" w:rsidR="00DC2FE7" w:rsidRPr="00BA3F58" w:rsidRDefault="00DC2FE7" w:rsidP="00DC2FE7">
      <w:pPr>
        <w:pStyle w:val="Definition"/>
      </w:pPr>
      <w:bookmarkStart w:id="93" w:name="tempbookmark"/>
      <w:bookmarkEnd w:id="93"/>
      <w:r w:rsidRPr="00BA3F58">
        <w:rPr>
          <w:b/>
          <w:i/>
        </w:rPr>
        <w:t>commenc</w:t>
      </w:r>
      <w:r w:rsidR="000E12A7" w:rsidRPr="00BA3F58">
        <w:rPr>
          <w:b/>
          <w:i/>
        </w:rPr>
        <w:t>e</w:t>
      </w:r>
      <w:r w:rsidRPr="00BA3F58">
        <w:rPr>
          <w:b/>
          <w:i/>
        </w:rPr>
        <w:t>ment day</w:t>
      </w:r>
      <w:r w:rsidRPr="00744782">
        <w:rPr>
          <w:bCs/>
          <w:i/>
          <w:iCs/>
        </w:rPr>
        <w:t xml:space="preserve"> </w:t>
      </w:r>
      <w:r w:rsidRPr="00BA3F58">
        <w:t xml:space="preserve">means </w:t>
      </w:r>
      <w:r w:rsidR="00AC56F3" w:rsidRPr="00BA3F58">
        <w:t xml:space="preserve">the </w:t>
      </w:r>
      <w:r w:rsidRPr="00BA3F58">
        <w:t xml:space="preserve">day on which the </w:t>
      </w:r>
      <w:r w:rsidR="00EF42BA" w:rsidRPr="00BA3F58">
        <w:rPr>
          <w:i/>
        </w:rPr>
        <w:t xml:space="preserve">Competition and Consumer (Consumer Data Right) Amendment </w:t>
      </w:r>
      <w:r w:rsidR="00A23158">
        <w:rPr>
          <w:i/>
        </w:rPr>
        <w:t>(202</w:t>
      </w:r>
      <w:r w:rsidR="00A43DDB">
        <w:rPr>
          <w:i/>
        </w:rPr>
        <w:t>5</w:t>
      </w:r>
      <w:r w:rsidR="00A23158">
        <w:rPr>
          <w:i/>
        </w:rPr>
        <w:t xml:space="preserve"> Measures No. </w:t>
      </w:r>
      <w:r w:rsidR="00A43DDB">
        <w:rPr>
          <w:i/>
        </w:rPr>
        <w:t>1</w:t>
      </w:r>
      <w:r w:rsidR="00A23158">
        <w:rPr>
          <w:i/>
        </w:rPr>
        <w:t xml:space="preserve">) </w:t>
      </w:r>
      <w:r w:rsidR="00FA742C" w:rsidRPr="00BA3F58">
        <w:rPr>
          <w:i/>
        </w:rPr>
        <w:t>Rules</w:t>
      </w:r>
      <w:r w:rsidR="00FA742C">
        <w:rPr>
          <w:i/>
        </w:rPr>
        <w:t> </w:t>
      </w:r>
      <w:r w:rsidR="00EF42BA" w:rsidRPr="00BA3F58">
        <w:rPr>
          <w:i/>
        </w:rPr>
        <w:t>202</w:t>
      </w:r>
      <w:r w:rsidR="00A43DDB">
        <w:rPr>
          <w:i/>
        </w:rPr>
        <w:t>5</w:t>
      </w:r>
      <w:r w:rsidR="00424136" w:rsidRPr="00BA3F58">
        <w:rPr>
          <w:i/>
        </w:rPr>
        <w:t xml:space="preserve"> </w:t>
      </w:r>
      <w:r w:rsidRPr="00BA3F58">
        <w:t>commences</w:t>
      </w:r>
      <w:r w:rsidR="000E12A7" w:rsidRPr="00BA3F58">
        <w:t>.</w:t>
      </w:r>
    </w:p>
    <w:p w14:paraId="3787C30E" w14:textId="301E43B9" w:rsidR="00025469" w:rsidRPr="00BA3F58" w:rsidRDefault="00025469" w:rsidP="00025469">
      <w:pPr>
        <w:pStyle w:val="Definition"/>
      </w:pPr>
      <w:r w:rsidRPr="00BA3F58">
        <w:rPr>
          <w:b/>
          <w:i/>
        </w:rPr>
        <w:t>finance lease</w:t>
      </w:r>
      <w:r w:rsidRPr="00744782">
        <w:rPr>
          <w:bCs/>
          <w:iCs/>
        </w:rPr>
        <w:t xml:space="preserve"> </w:t>
      </w:r>
      <w:r w:rsidRPr="00BA3F58">
        <w:t xml:space="preserve">has the meaning given by </w:t>
      </w:r>
      <w:r w:rsidR="001E3AD5" w:rsidRPr="00744782">
        <w:rPr>
          <w:i/>
          <w:iCs/>
        </w:rPr>
        <w:t>AASB 16 - Leases - February 2016</w:t>
      </w:r>
      <w:r w:rsidR="001E3AD5">
        <w:t xml:space="preserve"> </w:t>
      </w:r>
      <w:r w:rsidR="005B0F35">
        <w:t>[</w:t>
      </w:r>
      <w:r w:rsidR="00AB42D0" w:rsidRPr="00AB42D0">
        <w:t>F2016L00233</w:t>
      </w:r>
      <w:r w:rsidR="005B0F35">
        <w:t>]</w:t>
      </w:r>
      <w:r w:rsidRPr="00BA3F58">
        <w:t>.</w:t>
      </w:r>
    </w:p>
    <w:p w14:paraId="6E52C2BB" w14:textId="0A81464B" w:rsidR="00025469" w:rsidRDefault="00751689" w:rsidP="00025469">
      <w:pPr>
        <w:pStyle w:val="Definition"/>
      </w:pPr>
      <w:r>
        <w:rPr>
          <w:b/>
          <w:bCs/>
          <w:i/>
          <w:iCs/>
        </w:rPr>
        <w:t>l</w:t>
      </w:r>
      <w:r w:rsidR="00025469" w:rsidRPr="00BA3F58">
        <w:rPr>
          <w:b/>
          <w:bCs/>
          <w:i/>
          <w:iCs/>
        </w:rPr>
        <w:t>oan</w:t>
      </w:r>
      <w:r w:rsidR="00025469" w:rsidRPr="00E3069D">
        <w:t xml:space="preserve">, in relation to a </w:t>
      </w:r>
      <w:r w:rsidR="006B210B" w:rsidRPr="00E3069D">
        <w:t xml:space="preserve">relevant </w:t>
      </w:r>
      <w:r w:rsidR="00025469" w:rsidRPr="00E3069D">
        <w:t>non-bank lender,</w:t>
      </w:r>
      <w:r w:rsidR="00025469" w:rsidRPr="00BA3F58">
        <w:t xml:space="preserve"> means a financial asset</w:t>
      </w:r>
      <w:r>
        <w:t xml:space="preserve"> that is</w:t>
      </w:r>
      <w:r w:rsidR="00025469" w:rsidRPr="00BA3F58">
        <w:t>:</w:t>
      </w:r>
    </w:p>
    <w:p w14:paraId="20DF1C90" w14:textId="3ED9543D" w:rsidR="00751689" w:rsidRDefault="007B27BC" w:rsidP="00025469">
      <w:pPr>
        <w:pStyle w:val="paragraph"/>
      </w:pPr>
      <w:r>
        <w:tab/>
      </w:r>
      <w:r w:rsidRPr="007B27BC">
        <w:t>(a)</w:t>
      </w:r>
      <w:r w:rsidRPr="007B27BC">
        <w:tab/>
      </w:r>
      <w:r w:rsidR="006B210B">
        <w:t>c</w:t>
      </w:r>
      <w:r w:rsidR="00025469" w:rsidRPr="00BA3F58">
        <w:t xml:space="preserve">reated when </w:t>
      </w:r>
      <w:r w:rsidR="00751689">
        <w:t xml:space="preserve">a relevant </w:t>
      </w:r>
      <w:r w:rsidR="00751689" w:rsidRPr="00BA3F58">
        <w:t xml:space="preserve">non-bank lender </w:t>
      </w:r>
      <w:r w:rsidR="00025469" w:rsidRPr="00BA3F58">
        <w:t>lends funds directly to a debtor</w:t>
      </w:r>
      <w:r w:rsidR="00751689">
        <w:t xml:space="preserve">; </w:t>
      </w:r>
      <w:r w:rsidR="00E3069D">
        <w:t>and</w:t>
      </w:r>
    </w:p>
    <w:p w14:paraId="02545B9B" w14:textId="18FD555F" w:rsidR="00025469" w:rsidRPr="00BA3F58" w:rsidRDefault="00025469" w:rsidP="00025469">
      <w:pPr>
        <w:pStyle w:val="paragraph"/>
      </w:pPr>
      <w:r w:rsidRPr="00BA3F58">
        <w:tab/>
        <w:t>(b)</w:t>
      </w:r>
      <w:r w:rsidRPr="00BA3F58">
        <w:tab/>
        <w:t>evidenced by non-negotiable documents</w:t>
      </w:r>
      <w:r w:rsidR="00E3069D">
        <w:t>.</w:t>
      </w:r>
    </w:p>
    <w:p w14:paraId="2F866BCD" w14:textId="0D2C1B7F" w:rsidR="00991E19" w:rsidRDefault="00991E19" w:rsidP="00BD51E4">
      <w:pPr>
        <w:pStyle w:val="Definition"/>
        <w:rPr>
          <w:b/>
          <w:bCs/>
        </w:rPr>
      </w:pPr>
      <w:r w:rsidRPr="009C1CB7">
        <w:rPr>
          <w:b/>
          <w:i/>
        </w:rPr>
        <w:t>resident</w:t>
      </w:r>
      <w:r w:rsidRPr="00BA3F58">
        <w:t>, applied to a loan or a finance lease, means that the loan or finance lease is made to a resident institutional unit or units</w:t>
      </w:r>
      <w:r w:rsidR="00731008">
        <w:t>.</w:t>
      </w:r>
    </w:p>
    <w:p w14:paraId="37FBC941" w14:textId="3F54B3E7" w:rsidR="00314059" w:rsidRPr="00BA3F58" w:rsidRDefault="00314059" w:rsidP="00314059">
      <w:pPr>
        <w:pStyle w:val="Definition"/>
      </w:pPr>
      <w:r w:rsidRPr="00BA3F58">
        <w:rPr>
          <w:b/>
          <w:bCs/>
          <w:i/>
          <w:iCs/>
        </w:rPr>
        <w:t>resident</w:t>
      </w:r>
      <w:r w:rsidRPr="00BA3F58">
        <w:rPr>
          <w:b/>
          <w:i/>
        </w:rPr>
        <w:t xml:space="preserve"> institutional unit</w:t>
      </w:r>
      <w:r w:rsidRPr="00BA3F58">
        <w:t xml:space="preserve"> has the meaning given by the relevant standard made by the Australian Prudential Regulation Authority under the </w:t>
      </w:r>
      <w:r w:rsidRPr="00BA3F58">
        <w:rPr>
          <w:i/>
          <w:iCs/>
          <w:shd w:val="clear" w:color="auto" w:fill="FFFFFF"/>
        </w:rPr>
        <w:t>Financial Sector (Collection of Data) Act 2001</w:t>
      </w:r>
      <w:r w:rsidRPr="00BA3F58">
        <w:rPr>
          <w:iCs/>
          <w:shd w:val="clear" w:color="auto" w:fill="FFFFFF"/>
        </w:rPr>
        <w:t xml:space="preserve"> </w:t>
      </w:r>
      <w:r w:rsidRPr="00BA3F58">
        <w:t>dealing with definitions for the collection of E</w:t>
      </w:r>
      <w:r w:rsidR="00FC2B2C">
        <w:t xml:space="preserve">conomic </w:t>
      </w:r>
      <w:r w:rsidR="00B518F2">
        <w:t xml:space="preserve">and </w:t>
      </w:r>
      <w:r w:rsidRPr="00BA3F58">
        <w:t>F</w:t>
      </w:r>
      <w:r w:rsidR="00B518F2">
        <w:t xml:space="preserve">inancial </w:t>
      </w:r>
      <w:r w:rsidRPr="00BA3F58">
        <w:t>S</w:t>
      </w:r>
      <w:r w:rsidR="00B518F2">
        <w:t>tatistics</w:t>
      </w:r>
      <w:r w:rsidRPr="00BA3F58">
        <w:t xml:space="preserve"> information.</w:t>
      </w:r>
    </w:p>
    <w:p w14:paraId="65AC8E6B" w14:textId="57C83C40" w:rsidR="0097038A" w:rsidRPr="00347760" w:rsidRDefault="00314059" w:rsidP="00347760">
      <w:pPr>
        <w:pStyle w:val="notetext"/>
      </w:pPr>
      <w:r w:rsidRPr="003046EE">
        <w:t>Note:</w:t>
      </w:r>
      <w:r w:rsidRPr="003046EE">
        <w:tab/>
      </w:r>
      <w:r w:rsidR="003046EE" w:rsidRPr="003046EE">
        <w:t>The relevant standard was, i</w:t>
      </w:r>
      <w:r w:rsidR="000276B1" w:rsidRPr="003046EE">
        <w:t>n 202</w:t>
      </w:r>
      <w:r w:rsidR="00A43DDB">
        <w:t>5</w:t>
      </w:r>
      <w:r w:rsidRPr="003046EE">
        <w:t xml:space="preserve">, set out in the </w:t>
      </w:r>
      <w:r w:rsidRPr="003046EE">
        <w:rPr>
          <w:i/>
          <w:iCs/>
        </w:rPr>
        <w:t xml:space="preserve">Financial Sector (Collection of Data) (reporting standard) determination No. </w:t>
      </w:r>
      <w:r w:rsidR="000773FE" w:rsidRPr="003046EE">
        <w:rPr>
          <w:i/>
          <w:iCs/>
        </w:rPr>
        <w:t>5</w:t>
      </w:r>
      <w:r w:rsidRPr="003046EE">
        <w:rPr>
          <w:i/>
          <w:iCs/>
        </w:rPr>
        <w:t xml:space="preserve"> of 202</w:t>
      </w:r>
      <w:r w:rsidR="000773FE" w:rsidRPr="003046EE">
        <w:rPr>
          <w:i/>
          <w:iCs/>
        </w:rPr>
        <w:t>4</w:t>
      </w:r>
      <w:r w:rsidRPr="00CC127C">
        <w:t>.</w:t>
      </w:r>
      <w:r w:rsidR="003046EE" w:rsidRPr="00CC127C">
        <w:t xml:space="preserve"> In general terms, “resident</w:t>
      </w:r>
      <w:r w:rsidR="003046EE" w:rsidRPr="003046EE">
        <w:t xml:space="preserve"> institutional unit” </w:t>
      </w:r>
      <w:r w:rsidRPr="003046EE">
        <w:t xml:space="preserve">refers to </w:t>
      </w:r>
      <w:r w:rsidRPr="00347760">
        <w:t>an economic entity</w:t>
      </w:r>
      <w:r w:rsidR="003046EE" w:rsidRPr="00347760">
        <w:t xml:space="preserve"> </w:t>
      </w:r>
      <w:r w:rsidRPr="00347760">
        <w:t xml:space="preserve">that </w:t>
      </w:r>
      <w:proofErr w:type="gramStart"/>
      <w:r w:rsidRPr="00347760">
        <w:t>is capable of owning</w:t>
      </w:r>
      <w:proofErr w:type="gramEnd"/>
      <w:r w:rsidRPr="00347760">
        <w:t xml:space="preserve"> assets, incurring liabilities and engaging in economic activities and in transactions with other entities</w:t>
      </w:r>
      <w:r w:rsidR="003046EE" w:rsidRPr="00347760">
        <w:t xml:space="preserve">, </w:t>
      </w:r>
      <w:r w:rsidRPr="00347760">
        <w:t>and</w:t>
      </w:r>
      <w:r w:rsidR="003046EE" w:rsidRPr="00347760">
        <w:t xml:space="preserve"> </w:t>
      </w:r>
      <w:r w:rsidRPr="00347760">
        <w:t>whose centre of predominant economic interest is Australia</w:t>
      </w:r>
      <w:r w:rsidRPr="003046EE">
        <w:t>.</w:t>
      </w:r>
      <w:r w:rsidR="003046EE" w:rsidRPr="003046EE">
        <w:t xml:space="preserve"> </w:t>
      </w:r>
      <w:r w:rsidR="0097038A" w:rsidRPr="003046EE">
        <w:t>It includes individuals and groups of individuals that form a household, as well as legal entities such as businesses.</w:t>
      </w:r>
    </w:p>
    <w:p w14:paraId="63BE0040" w14:textId="5B48028C" w:rsidR="00316976" w:rsidRPr="00DC5F03" w:rsidRDefault="00316976" w:rsidP="00FA6BBC">
      <w:pPr>
        <w:pStyle w:val="ActHead5"/>
      </w:pPr>
      <w:bookmarkStart w:id="94" w:name="_Toc190683827"/>
      <w:bookmarkStart w:id="95" w:name="_Toc191450849"/>
      <w:bookmarkStart w:id="96" w:name="_Hlk152087737"/>
      <w:proofErr w:type="gramStart"/>
      <w:r w:rsidRPr="00DC5F03">
        <w:rPr>
          <w:rStyle w:val="CharSectno"/>
        </w:rPr>
        <w:t>6.</w:t>
      </w:r>
      <w:r w:rsidR="0099234E">
        <w:rPr>
          <w:rStyle w:val="CharSectno"/>
        </w:rPr>
        <w:t>3</w:t>
      </w:r>
      <w:r w:rsidRPr="00DC5F03">
        <w:t xml:space="preserve">  </w:t>
      </w:r>
      <w:r w:rsidR="00EF6C5C" w:rsidRPr="00DC5F03">
        <w:t>Obligation</w:t>
      </w:r>
      <w:proofErr w:type="gramEnd"/>
      <w:r w:rsidR="00EF6C5C" w:rsidRPr="00DC5F03">
        <w:t xml:space="preserve"> to </w:t>
      </w:r>
      <w:r w:rsidR="003D5EDF">
        <w:t>notify</w:t>
      </w:r>
      <w:r w:rsidR="003D5EDF" w:rsidRPr="00DC5F03">
        <w:t xml:space="preserve"> </w:t>
      </w:r>
      <w:r w:rsidR="003D5EDF">
        <w:t>Commission</w:t>
      </w:r>
      <w:r w:rsidR="00EF6C5C" w:rsidRPr="00DC5F03">
        <w:t xml:space="preserve"> about customer numbers</w:t>
      </w:r>
      <w:bookmarkEnd w:id="94"/>
      <w:bookmarkEnd w:id="95"/>
    </w:p>
    <w:p w14:paraId="76897000" w14:textId="30AB669D" w:rsidR="001D24C0" w:rsidRDefault="002564AB" w:rsidP="001D24C0">
      <w:pPr>
        <w:pStyle w:val="subsection"/>
        <w:rPr>
          <w:rStyle w:val="cf01"/>
          <w:rFonts w:ascii="Times New Roman" w:hAnsi="Times New Roman" w:cs="Times New Roman"/>
          <w:sz w:val="22"/>
          <w:szCs w:val="22"/>
        </w:rPr>
      </w:pPr>
      <w:r w:rsidRPr="00DC5F03">
        <w:tab/>
      </w:r>
      <w:r w:rsidR="009E40A3">
        <w:t>(1)</w:t>
      </w:r>
      <w:r w:rsidRPr="00DC5F03">
        <w:tab/>
        <w:t xml:space="preserve">A relevant non-bank lender that satisfies </w:t>
      </w:r>
      <w:r w:rsidR="00FE3BC8" w:rsidRPr="00DC5F03">
        <w:t xml:space="preserve">paragraph </w:t>
      </w:r>
      <w:r w:rsidRPr="00DC5F03">
        <w:t>6.</w:t>
      </w:r>
      <w:r w:rsidR="002D1C8D">
        <w:t>2</w:t>
      </w:r>
      <w:r w:rsidRPr="00DC5F03">
        <w:t>(</w:t>
      </w:r>
      <w:r w:rsidR="002D1C8D">
        <w:t>3</w:t>
      </w:r>
      <w:r w:rsidRPr="00DC5F03">
        <w:t>)</w:t>
      </w:r>
      <w:r w:rsidR="00FE3BC8" w:rsidRPr="00DC5F03">
        <w:t>(a)</w:t>
      </w:r>
      <w:r w:rsidRPr="00DC5F03">
        <w:t xml:space="preserve"> must, if </w:t>
      </w:r>
      <w:r>
        <w:t>requested by</w:t>
      </w:r>
      <w:r w:rsidR="00FB2E7A">
        <w:t xml:space="preserve"> the</w:t>
      </w:r>
      <w:r>
        <w:t xml:space="preserve"> </w:t>
      </w:r>
      <w:r w:rsidR="002308A0">
        <w:t>Commission</w:t>
      </w:r>
      <w:r w:rsidR="00FE3BC8">
        <w:rPr>
          <w:rStyle w:val="cf01"/>
          <w:rFonts w:ascii="Times New Roman" w:hAnsi="Times New Roman" w:cs="Times New Roman"/>
          <w:sz w:val="22"/>
          <w:szCs w:val="22"/>
        </w:rPr>
        <w:t xml:space="preserve">, </w:t>
      </w:r>
      <w:r w:rsidR="002308A0">
        <w:rPr>
          <w:rStyle w:val="cf01"/>
          <w:rFonts w:ascii="Times New Roman" w:hAnsi="Times New Roman" w:cs="Times New Roman"/>
          <w:sz w:val="22"/>
          <w:szCs w:val="22"/>
        </w:rPr>
        <w:t xml:space="preserve">notify </w:t>
      </w:r>
      <w:r w:rsidR="00FE3BC8">
        <w:rPr>
          <w:rStyle w:val="cf01"/>
          <w:rFonts w:ascii="Times New Roman" w:hAnsi="Times New Roman" w:cs="Times New Roman"/>
          <w:sz w:val="22"/>
          <w:szCs w:val="22"/>
        </w:rPr>
        <w:t xml:space="preserve">the </w:t>
      </w:r>
      <w:r w:rsidR="002308A0">
        <w:rPr>
          <w:rStyle w:val="cf01"/>
          <w:rFonts w:ascii="Times New Roman" w:hAnsi="Times New Roman" w:cs="Times New Roman"/>
          <w:sz w:val="22"/>
          <w:szCs w:val="22"/>
        </w:rPr>
        <w:t>Commission</w:t>
      </w:r>
      <w:r w:rsidR="002F0D63">
        <w:rPr>
          <w:rStyle w:val="cf01"/>
          <w:rFonts w:ascii="Times New Roman" w:hAnsi="Times New Roman" w:cs="Times New Roman"/>
          <w:sz w:val="22"/>
          <w:szCs w:val="22"/>
        </w:rPr>
        <w:t xml:space="preserve"> of the following</w:t>
      </w:r>
      <w:r w:rsidR="002B080E">
        <w:rPr>
          <w:rStyle w:val="cf01"/>
          <w:rFonts w:ascii="Times New Roman" w:hAnsi="Times New Roman" w:cs="Times New Roman"/>
          <w:sz w:val="22"/>
          <w:szCs w:val="22"/>
        </w:rPr>
        <w:t>,</w:t>
      </w:r>
      <w:r w:rsidR="00892AE5">
        <w:rPr>
          <w:rStyle w:val="cf01"/>
          <w:rFonts w:ascii="Times New Roman" w:hAnsi="Times New Roman" w:cs="Times New Roman"/>
          <w:sz w:val="22"/>
          <w:szCs w:val="22"/>
        </w:rPr>
        <w:t xml:space="preserve"> </w:t>
      </w:r>
      <w:r w:rsidR="00892AE5" w:rsidRPr="00C86CF2">
        <w:rPr>
          <w:rStyle w:val="cf01"/>
          <w:rFonts w:ascii="Times New Roman" w:hAnsi="Times New Roman" w:cs="Times New Roman"/>
          <w:sz w:val="22"/>
          <w:szCs w:val="22"/>
        </w:rPr>
        <w:t>in writing</w:t>
      </w:r>
      <w:r w:rsidR="00D22765">
        <w:rPr>
          <w:rStyle w:val="cf01"/>
          <w:rFonts w:ascii="Times New Roman" w:hAnsi="Times New Roman" w:cs="Times New Roman"/>
          <w:sz w:val="22"/>
          <w:szCs w:val="22"/>
        </w:rPr>
        <w:t>,</w:t>
      </w:r>
      <w:r w:rsidR="00231490">
        <w:rPr>
          <w:rStyle w:val="cf01"/>
          <w:rFonts w:ascii="Times New Roman" w:hAnsi="Times New Roman" w:cs="Times New Roman"/>
          <w:sz w:val="22"/>
          <w:szCs w:val="22"/>
        </w:rPr>
        <w:t xml:space="preserve"> as soon as </w:t>
      </w:r>
      <w:r w:rsidR="000D1232">
        <w:rPr>
          <w:rStyle w:val="cf01"/>
          <w:rFonts w:ascii="Times New Roman" w:hAnsi="Times New Roman" w:cs="Times New Roman"/>
          <w:sz w:val="22"/>
          <w:szCs w:val="22"/>
        </w:rPr>
        <w:t xml:space="preserve">practicable </w:t>
      </w:r>
      <w:r w:rsidR="00231490">
        <w:rPr>
          <w:rStyle w:val="cf01"/>
          <w:rFonts w:ascii="Times New Roman" w:hAnsi="Times New Roman" w:cs="Times New Roman"/>
          <w:sz w:val="22"/>
          <w:szCs w:val="22"/>
        </w:rPr>
        <w:t>after receiving the request</w:t>
      </w:r>
      <w:r w:rsidR="00F5689C">
        <w:rPr>
          <w:rStyle w:val="cf01"/>
          <w:rFonts w:ascii="Times New Roman" w:hAnsi="Times New Roman" w:cs="Times New Roman"/>
          <w:sz w:val="22"/>
          <w:szCs w:val="22"/>
        </w:rPr>
        <w:t>:</w:t>
      </w:r>
    </w:p>
    <w:p w14:paraId="63F96F93" w14:textId="5EBA3C46" w:rsidR="00C0063E" w:rsidRDefault="00C0063E" w:rsidP="00F5689C">
      <w:pPr>
        <w:pStyle w:val="paragraph"/>
        <w:rPr>
          <w:rStyle w:val="cf01"/>
          <w:rFonts w:ascii="Times New Roman" w:hAnsi="Times New Roman" w:cs="Times New Roman"/>
          <w:sz w:val="22"/>
          <w:szCs w:val="22"/>
        </w:rPr>
      </w:pPr>
      <w:r>
        <w:rPr>
          <w:rStyle w:val="cf01"/>
          <w:rFonts w:ascii="Times New Roman" w:hAnsi="Times New Roman" w:cs="Times New Roman"/>
          <w:sz w:val="22"/>
          <w:szCs w:val="22"/>
        </w:rPr>
        <w:tab/>
        <w:t>(a)</w:t>
      </w:r>
      <w:r>
        <w:rPr>
          <w:rStyle w:val="cf01"/>
          <w:rFonts w:ascii="Times New Roman" w:hAnsi="Times New Roman" w:cs="Times New Roman"/>
          <w:sz w:val="22"/>
          <w:szCs w:val="22"/>
        </w:rPr>
        <w:tab/>
      </w:r>
      <w:r w:rsidR="00393992">
        <w:rPr>
          <w:rStyle w:val="cf01"/>
          <w:rFonts w:ascii="Times New Roman" w:hAnsi="Times New Roman" w:cs="Times New Roman"/>
          <w:sz w:val="22"/>
          <w:szCs w:val="22"/>
        </w:rPr>
        <w:t>the total value of the resident loans and resident finance leases</w:t>
      </w:r>
      <w:r w:rsidR="00FB50BC">
        <w:rPr>
          <w:rStyle w:val="cf01"/>
          <w:rFonts w:ascii="Times New Roman" w:hAnsi="Times New Roman" w:cs="Times New Roman"/>
          <w:sz w:val="22"/>
          <w:szCs w:val="22"/>
        </w:rPr>
        <w:t xml:space="preserve"> mentio</w:t>
      </w:r>
      <w:r w:rsidR="002406E6">
        <w:rPr>
          <w:rStyle w:val="cf01"/>
          <w:rFonts w:ascii="Times New Roman" w:hAnsi="Times New Roman" w:cs="Times New Roman"/>
          <w:sz w:val="22"/>
          <w:szCs w:val="22"/>
        </w:rPr>
        <w:t xml:space="preserve">ned in </w:t>
      </w:r>
      <w:r w:rsidR="00AF7793">
        <w:rPr>
          <w:rStyle w:val="cf01"/>
          <w:rFonts w:ascii="Times New Roman" w:hAnsi="Times New Roman" w:cs="Times New Roman"/>
          <w:sz w:val="22"/>
          <w:szCs w:val="22"/>
        </w:rPr>
        <w:t>sub</w:t>
      </w:r>
      <w:r w:rsidR="002406E6">
        <w:rPr>
          <w:rStyle w:val="cf01"/>
          <w:rFonts w:ascii="Times New Roman" w:hAnsi="Times New Roman" w:cs="Times New Roman"/>
          <w:sz w:val="22"/>
          <w:szCs w:val="22"/>
        </w:rPr>
        <w:t>paragraph</w:t>
      </w:r>
      <w:r w:rsidR="000A290A">
        <w:rPr>
          <w:rStyle w:val="cf01"/>
          <w:rFonts w:ascii="Times New Roman" w:hAnsi="Times New Roman" w:cs="Times New Roman"/>
          <w:sz w:val="22"/>
          <w:szCs w:val="22"/>
        </w:rPr>
        <w:t>s</w:t>
      </w:r>
      <w:r w:rsidR="002406E6">
        <w:rPr>
          <w:rStyle w:val="cf01"/>
          <w:rFonts w:ascii="Times New Roman" w:hAnsi="Times New Roman" w:cs="Times New Roman"/>
          <w:sz w:val="22"/>
          <w:szCs w:val="22"/>
        </w:rPr>
        <w:t xml:space="preserve"> 6.</w:t>
      </w:r>
      <w:r w:rsidR="000F6CD3">
        <w:rPr>
          <w:rStyle w:val="cf01"/>
          <w:rFonts w:ascii="Times New Roman" w:hAnsi="Times New Roman" w:cs="Times New Roman"/>
          <w:sz w:val="22"/>
          <w:szCs w:val="22"/>
        </w:rPr>
        <w:t>2</w:t>
      </w:r>
      <w:r w:rsidR="002406E6">
        <w:rPr>
          <w:rStyle w:val="cf01"/>
          <w:rFonts w:ascii="Times New Roman" w:hAnsi="Times New Roman" w:cs="Times New Roman"/>
          <w:sz w:val="22"/>
          <w:szCs w:val="22"/>
        </w:rPr>
        <w:t>(</w:t>
      </w:r>
      <w:r w:rsidR="000F6CD3">
        <w:rPr>
          <w:rStyle w:val="cf01"/>
          <w:rFonts w:ascii="Times New Roman" w:hAnsi="Times New Roman" w:cs="Times New Roman"/>
          <w:sz w:val="22"/>
          <w:szCs w:val="22"/>
        </w:rPr>
        <w:t>3</w:t>
      </w:r>
      <w:r w:rsidR="002406E6">
        <w:rPr>
          <w:rStyle w:val="cf01"/>
          <w:rFonts w:ascii="Times New Roman" w:hAnsi="Times New Roman" w:cs="Times New Roman"/>
          <w:sz w:val="22"/>
          <w:szCs w:val="22"/>
        </w:rPr>
        <w:t>)(a)</w:t>
      </w:r>
      <w:r w:rsidR="000A290A">
        <w:rPr>
          <w:rStyle w:val="cf01"/>
          <w:rFonts w:ascii="Times New Roman" w:hAnsi="Times New Roman" w:cs="Times New Roman"/>
          <w:sz w:val="22"/>
          <w:szCs w:val="22"/>
        </w:rPr>
        <w:t>(</w:t>
      </w:r>
      <w:proofErr w:type="spellStart"/>
      <w:r w:rsidR="000A290A">
        <w:rPr>
          <w:rStyle w:val="cf01"/>
          <w:rFonts w:ascii="Times New Roman" w:hAnsi="Times New Roman" w:cs="Times New Roman"/>
          <w:sz w:val="22"/>
          <w:szCs w:val="22"/>
        </w:rPr>
        <w:t>i</w:t>
      </w:r>
      <w:proofErr w:type="spellEnd"/>
      <w:r w:rsidR="000A290A">
        <w:rPr>
          <w:rStyle w:val="cf01"/>
          <w:rFonts w:ascii="Times New Roman" w:hAnsi="Times New Roman" w:cs="Times New Roman"/>
          <w:sz w:val="22"/>
          <w:szCs w:val="22"/>
        </w:rPr>
        <w:t>) and (ii</w:t>
      </w:r>
      <w:proofErr w:type="gramStart"/>
      <w:r w:rsidR="002406E6">
        <w:rPr>
          <w:rStyle w:val="cf01"/>
          <w:rFonts w:ascii="Times New Roman" w:hAnsi="Times New Roman" w:cs="Times New Roman"/>
          <w:sz w:val="22"/>
          <w:szCs w:val="22"/>
        </w:rPr>
        <w:t>)</w:t>
      </w:r>
      <w:r w:rsidR="006423FA">
        <w:rPr>
          <w:rStyle w:val="cf01"/>
          <w:rFonts w:ascii="Times New Roman" w:hAnsi="Times New Roman" w:cs="Times New Roman"/>
          <w:sz w:val="22"/>
          <w:szCs w:val="22"/>
        </w:rPr>
        <w:t>;</w:t>
      </w:r>
      <w:proofErr w:type="gramEnd"/>
    </w:p>
    <w:p w14:paraId="22BB6865" w14:textId="7018F217" w:rsidR="00316976" w:rsidRDefault="00F5689C" w:rsidP="006E70A7">
      <w:pPr>
        <w:pStyle w:val="paragraph"/>
      </w:pPr>
      <w:r>
        <w:rPr>
          <w:rStyle w:val="cf01"/>
          <w:rFonts w:ascii="Times New Roman" w:hAnsi="Times New Roman" w:cs="Times New Roman"/>
          <w:sz w:val="22"/>
          <w:szCs w:val="22"/>
        </w:rPr>
        <w:tab/>
        <w:t>(</w:t>
      </w:r>
      <w:r w:rsidR="006E70A7">
        <w:rPr>
          <w:rStyle w:val="cf01"/>
          <w:rFonts w:ascii="Times New Roman" w:hAnsi="Times New Roman" w:cs="Times New Roman"/>
          <w:sz w:val="22"/>
          <w:szCs w:val="22"/>
        </w:rPr>
        <w:t>b</w:t>
      </w:r>
      <w:r>
        <w:rPr>
          <w:rStyle w:val="cf01"/>
          <w:rFonts w:ascii="Times New Roman" w:hAnsi="Times New Roman" w:cs="Times New Roman"/>
          <w:sz w:val="22"/>
          <w:szCs w:val="22"/>
        </w:rPr>
        <w:t>)</w:t>
      </w:r>
      <w:r>
        <w:rPr>
          <w:rStyle w:val="cf01"/>
          <w:rFonts w:ascii="Times New Roman" w:hAnsi="Times New Roman" w:cs="Times New Roman"/>
          <w:sz w:val="22"/>
          <w:szCs w:val="22"/>
        </w:rPr>
        <w:tab/>
      </w:r>
      <w:r w:rsidR="00FE3BC8">
        <w:rPr>
          <w:rStyle w:val="cf01"/>
          <w:rFonts w:ascii="Times New Roman" w:hAnsi="Times New Roman" w:cs="Times New Roman"/>
          <w:sz w:val="22"/>
          <w:szCs w:val="22"/>
        </w:rPr>
        <w:t xml:space="preserve">whether the lender also satisfies </w:t>
      </w:r>
      <w:r w:rsidR="00EF6C5C">
        <w:t>paragraph 6.</w:t>
      </w:r>
      <w:r w:rsidR="000F6CD3">
        <w:t>2</w:t>
      </w:r>
      <w:r w:rsidR="00EF6C5C">
        <w:t>(</w:t>
      </w:r>
      <w:r w:rsidR="000F6CD3">
        <w:t>3</w:t>
      </w:r>
      <w:r w:rsidR="00EF6C5C">
        <w:t>)(b).</w:t>
      </w:r>
    </w:p>
    <w:p w14:paraId="661FA3C1" w14:textId="60A316A6" w:rsidR="002D781C" w:rsidRDefault="00616006" w:rsidP="00082291">
      <w:pPr>
        <w:spacing w:before="180" w:line="240" w:lineRule="auto"/>
        <w:ind w:left="1134"/>
        <w:rPr>
          <w:rFonts w:eastAsia="Times New Roman" w:cs="Times New Roman"/>
          <w:color w:val="000000"/>
          <w:szCs w:val="22"/>
          <w:lang w:eastAsia="en-AU"/>
        </w:rPr>
      </w:pPr>
      <w:r>
        <w:t>Civil penalty:</w:t>
      </w:r>
      <w:r w:rsidR="00422700">
        <w:tab/>
      </w:r>
      <w:r w:rsidR="002D781C" w:rsidRPr="002D781C">
        <w:rPr>
          <w:rFonts w:eastAsia="Times New Roman" w:cs="Times New Roman"/>
          <w:color w:val="000000"/>
          <w:szCs w:val="22"/>
          <w:lang w:eastAsia="en-AU"/>
        </w:rPr>
        <w:t>$250,000.</w:t>
      </w:r>
    </w:p>
    <w:p w14:paraId="75F9FB27" w14:textId="321D07B5" w:rsidR="009E40A3" w:rsidRDefault="009E40A3" w:rsidP="009E40A3">
      <w:pPr>
        <w:pStyle w:val="subsection"/>
      </w:pPr>
      <w:bookmarkStart w:id="97" w:name="_Hlk131588008"/>
      <w:bookmarkEnd w:id="90"/>
      <w:bookmarkEnd w:id="96"/>
      <w:r>
        <w:tab/>
        <w:t>(2)</w:t>
      </w:r>
      <w:r>
        <w:tab/>
        <w:t>A relevant non-bank lender must notify the Commission in writing as soon as practicable if</w:t>
      </w:r>
      <w:r w:rsidR="000B78A8">
        <w:t>,</w:t>
      </w:r>
      <w:r w:rsidR="003E0957">
        <w:t xml:space="preserve"> </w:t>
      </w:r>
      <w:r w:rsidR="003E0957" w:rsidRPr="00744782">
        <w:t>o</w:t>
      </w:r>
      <w:r w:rsidR="00DD0567" w:rsidRPr="00744782">
        <w:t>n</w:t>
      </w:r>
      <w:r w:rsidR="003E0957" w:rsidRPr="00744782">
        <w:t xml:space="preserve"> a day mentioned in </w:t>
      </w:r>
      <w:r w:rsidR="000B0BC2" w:rsidRPr="00744782">
        <w:t>subclause 6.</w:t>
      </w:r>
      <w:r w:rsidR="005B5746" w:rsidRPr="00744782">
        <w:t>2</w:t>
      </w:r>
      <w:r w:rsidR="003E0957" w:rsidRPr="00744782">
        <w:t>(</w:t>
      </w:r>
      <w:r w:rsidR="005B5746" w:rsidRPr="00744782">
        <w:t>3</w:t>
      </w:r>
      <w:r w:rsidR="003E0957" w:rsidRPr="00744782">
        <w:t>)</w:t>
      </w:r>
      <w:r w:rsidR="000B78A8">
        <w:t>,</w:t>
      </w:r>
      <w:r w:rsidRPr="005B5746">
        <w:rPr>
          <w:i/>
          <w:iCs/>
        </w:rPr>
        <w:t xml:space="preserve"> </w:t>
      </w:r>
      <w:r w:rsidRPr="005B5746">
        <w:t>it</w:t>
      </w:r>
      <w:r>
        <w:t xml:space="preserve"> satisfies paragraph</w:t>
      </w:r>
      <w:r w:rsidR="00B41B81">
        <w:t> </w:t>
      </w:r>
      <w:r>
        <w:t>6.</w:t>
      </w:r>
      <w:r w:rsidR="000F6CD3">
        <w:t>2</w:t>
      </w:r>
      <w:r>
        <w:t>(</w:t>
      </w:r>
      <w:r w:rsidR="000F6CD3">
        <w:t>3</w:t>
      </w:r>
      <w:r>
        <w:t>)(a)</w:t>
      </w:r>
      <w:r w:rsidR="00FB271E">
        <w:t xml:space="preserve"> but does </w:t>
      </w:r>
      <w:r w:rsidR="00FB271E" w:rsidRPr="00744782">
        <w:rPr>
          <w:i/>
          <w:iCs/>
        </w:rPr>
        <w:t>not</w:t>
      </w:r>
      <w:r w:rsidR="00FB271E">
        <w:t xml:space="preserve"> satisfy </w:t>
      </w:r>
      <w:r w:rsidR="00F66109">
        <w:t>paragraph 6.</w:t>
      </w:r>
      <w:r w:rsidR="000F6CD3">
        <w:t>2</w:t>
      </w:r>
      <w:r w:rsidR="00F66109">
        <w:t>(</w:t>
      </w:r>
      <w:r w:rsidR="000F6CD3">
        <w:t>3</w:t>
      </w:r>
      <w:r w:rsidR="00F66109">
        <w:t>)(b)</w:t>
      </w:r>
      <w:r>
        <w:t>.</w:t>
      </w:r>
    </w:p>
    <w:p w14:paraId="1224F936" w14:textId="77777777" w:rsidR="009E40A3" w:rsidRDefault="009E40A3" w:rsidP="009E40A3">
      <w:pPr>
        <w:spacing w:before="180" w:line="240" w:lineRule="auto"/>
        <w:ind w:left="1134"/>
        <w:rPr>
          <w:rFonts w:eastAsia="Times New Roman" w:cs="Times New Roman"/>
          <w:color w:val="000000"/>
          <w:szCs w:val="22"/>
          <w:lang w:eastAsia="en-AU"/>
        </w:rPr>
      </w:pPr>
      <w:r>
        <w:t>Civil penalty:</w:t>
      </w:r>
      <w:r>
        <w:tab/>
      </w:r>
      <w:r w:rsidRPr="002D781C">
        <w:rPr>
          <w:rFonts w:eastAsia="Times New Roman" w:cs="Times New Roman"/>
          <w:color w:val="000000"/>
          <w:szCs w:val="22"/>
          <w:lang w:eastAsia="en-AU"/>
        </w:rPr>
        <w:t>$250,000.</w:t>
      </w:r>
    </w:p>
    <w:p w14:paraId="3D1BCD40" w14:textId="1D74FC5E" w:rsidR="00025469" w:rsidRPr="00BA3F58" w:rsidRDefault="00BA3F58" w:rsidP="00823BC1">
      <w:pPr>
        <w:pStyle w:val="ActHead5"/>
      </w:pPr>
      <w:bookmarkStart w:id="98" w:name="_Toc190683828"/>
      <w:bookmarkStart w:id="99" w:name="_Toc191450850"/>
      <w:proofErr w:type="gramStart"/>
      <w:r>
        <w:lastRenderedPageBreak/>
        <w:t>6.</w:t>
      </w:r>
      <w:r w:rsidR="0099234E">
        <w:t>4</w:t>
      </w:r>
      <w:r w:rsidR="00823BC1" w:rsidRPr="00BA3F58">
        <w:t xml:space="preserve">  </w:t>
      </w:r>
      <w:r w:rsidR="00025469" w:rsidRPr="00BA3F58">
        <w:t>Application</w:t>
      </w:r>
      <w:proofErr w:type="gramEnd"/>
      <w:r w:rsidR="00025469" w:rsidRPr="00BA3F58">
        <w:t xml:space="preserve"> to </w:t>
      </w:r>
      <w:r w:rsidR="009E5792" w:rsidRPr="00BA3F58">
        <w:t>initial provider</w:t>
      </w:r>
      <w:r w:rsidR="00025469" w:rsidRPr="00BA3F58">
        <w:t>s</w:t>
      </w:r>
      <w:bookmarkEnd w:id="98"/>
      <w:bookmarkEnd w:id="99"/>
    </w:p>
    <w:p w14:paraId="6E9DE5F7" w14:textId="6A7B9864" w:rsidR="00025469" w:rsidRPr="00BA3F58" w:rsidRDefault="009536E7" w:rsidP="00A0229D">
      <w:pPr>
        <w:pStyle w:val="subsection"/>
      </w:pPr>
      <w:r>
        <w:tab/>
        <w:t>(1)</w:t>
      </w:r>
      <w:r w:rsidR="00A24DA1">
        <w:tab/>
      </w:r>
      <w:r w:rsidR="00281D98" w:rsidRPr="00BA3F58">
        <w:t>T</w:t>
      </w:r>
      <w:r w:rsidR="00025469" w:rsidRPr="00BA3F58">
        <w:t>hese rules apply</w:t>
      </w:r>
      <w:r w:rsidR="00EF6C5C">
        <w:t>,</w:t>
      </w:r>
      <w:r w:rsidR="00025469" w:rsidRPr="00BA3F58">
        <w:t xml:space="preserve"> </w:t>
      </w:r>
      <w:r w:rsidR="00EF6C5C" w:rsidRPr="00BA3F58">
        <w:t>as set out in the following table</w:t>
      </w:r>
      <w:r w:rsidR="00EF6C5C">
        <w:t>,</w:t>
      </w:r>
      <w:r w:rsidR="00EF6C5C" w:rsidRPr="00BA3F58">
        <w:t xml:space="preserve"> </w:t>
      </w:r>
      <w:r w:rsidR="00025469" w:rsidRPr="00BA3F58">
        <w:t xml:space="preserve">in relation to </w:t>
      </w:r>
      <w:r w:rsidR="00281D98" w:rsidRPr="00BA3F58">
        <w:t>a relevant non</w:t>
      </w:r>
      <w:r w:rsidR="00C3315D">
        <w:noBreakHyphen/>
      </w:r>
      <w:r w:rsidR="00281D98" w:rsidRPr="00BA3F58">
        <w:t>bank lender that is an initial provider</w:t>
      </w:r>
      <w:r w:rsidR="00EF6C5C">
        <w:t>.</w:t>
      </w:r>
    </w:p>
    <w:p w14:paraId="2EAC9406" w14:textId="77777777" w:rsidR="00025469" w:rsidRPr="0029440A" w:rsidRDefault="00025469" w:rsidP="00744782">
      <w:pPr>
        <w:pStyle w:val="Tabletext"/>
      </w:pPr>
    </w:p>
    <w:tbl>
      <w:tblPr>
        <w:tblStyle w:val="TableGrid"/>
        <w:tblW w:w="4263" w:type="pct"/>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427"/>
        <w:gridCol w:w="2693"/>
        <w:gridCol w:w="3968"/>
      </w:tblGrid>
      <w:tr w:rsidR="00CB45C1" w:rsidRPr="00BA3F58" w14:paraId="256C80A6" w14:textId="77777777" w:rsidTr="009B4DEC">
        <w:trPr>
          <w:tblHeader/>
        </w:trPr>
        <w:tc>
          <w:tcPr>
            <w:tcW w:w="301" w:type="pct"/>
            <w:tcBorders>
              <w:top w:val="single" w:sz="12" w:space="0" w:color="auto"/>
              <w:bottom w:val="single" w:sz="6" w:space="0" w:color="auto"/>
            </w:tcBorders>
            <w:shd w:val="clear" w:color="auto" w:fill="auto"/>
          </w:tcPr>
          <w:p w14:paraId="2DB76AC5" w14:textId="77777777" w:rsidR="00025469" w:rsidRPr="00BA3F58" w:rsidRDefault="00025469" w:rsidP="00DC2131">
            <w:pPr>
              <w:pStyle w:val="TableHeading"/>
              <w:keepLines/>
              <w:spacing w:after="60"/>
              <w:jc w:val="center"/>
            </w:pPr>
          </w:p>
        </w:tc>
        <w:tc>
          <w:tcPr>
            <w:tcW w:w="4699" w:type="pct"/>
            <w:gridSpan w:val="2"/>
            <w:tcBorders>
              <w:top w:val="single" w:sz="12" w:space="0" w:color="auto"/>
              <w:bottom w:val="single" w:sz="6" w:space="0" w:color="auto"/>
            </w:tcBorders>
            <w:shd w:val="clear" w:color="auto" w:fill="auto"/>
          </w:tcPr>
          <w:p w14:paraId="7087D112" w14:textId="1C2DB9EC" w:rsidR="00025469" w:rsidRPr="00BA3F58" w:rsidRDefault="00025469" w:rsidP="00DC2131">
            <w:pPr>
              <w:pStyle w:val="TableHeading"/>
              <w:keepLines/>
              <w:spacing w:after="60"/>
              <w:jc w:val="center"/>
            </w:pPr>
            <w:r w:rsidRPr="00BA3F58">
              <w:t xml:space="preserve">Application to </w:t>
            </w:r>
            <w:r w:rsidR="009E5792" w:rsidRPr="00BA3F58">
              <w:t>initial provider</w:t>
            </w:r>
            <w:r w:rsidRPr="00BA3F58">
              <w:t>s</w:t>
            </w:r>
          </w:p>
        </w:tc>
      </w:tr>
      <w:tr w:rsidR="00CB45C1" w:rsidRPr="00BA3F58" w14:paraId="2A9904E5" w14:textId="77777777" w:rsidTr="009B4DEC">
        <w:trPr>
          <w:tblHeader/>
        </w:trPr>
        <w:tc>
          <w:tcPr>
            <w:tcW w:w="301" w:type="pct"/>
            <w:tcBorders>
              <w:top w:val="single" w:sz="6" w:space="0" w:color="auto"/>
              <w:bottom w:val="single" w:sz="12" w:space="0" w:color="auto"/>
            </w:tcBorders>
            <w:shd w:val="clear" w:color="auto" w:fill="auto"/>
          </w:tcPr>
          <w:p w14:paraId="4E90235D" w14:textId="77777777" w:rsidR="00F927D2" w:rsidRPr="00BA3F58" w:rsidRDefault="00F927D2" w:rsidP="00DC2131">
            <w:pPr>
              <w:pStyle w:val="TableHeading"/>
              <w:keepLines/>
            </w:pPr>
          </w:p>
        </w:tc>
        <w:tc>
          <w:tcPr>
            <w:tcW w:w="1900" w:type="pct"/>
            <w:tcBorders>
              <w:top w:val="single" w:sz="6" w:space="0" w:color="auto"/>
              <w:bottom w:val="single" w:sz="12" w:space="0" w:color="auto"/>
            </w:tcBorders>
            <w:shd w:val="clear" w:color="auto" w:fill="auto"/>
          </w:tcPr>
          <w:p w14:paraId="4A4B08AE" w14:textId="537C3F36" w:rsidR="00F927D2" w:rsidRPr="00BA3F58" w:rsidRDefault="00F927D2" w:rsidP="00DC2131">
            <w:pPr>
              <w:pStyle w:val="TableHeading"/>
              <w:keepLines/>
            </w:pPr>
            <w:r w:rsidRPr="00BA3F58">
              <w:t>Column 1</w:t>
            </w:r>
          </w:p>
          <w:p w14:paraId="3B98E9BB" w14:textId="5290431B" w:rsidR="00F927D2" w:rsidRPr="00BA3F58" w:rsidRDefault="00F927D2" w:rsidP="00DC2131">
            <w:pPr>
              <w:pStyle w:val="TableHeading"/>
              <w:keepLines/>
            </w:pPr>
            <w:r w:rsidRPr="00BA3F58">
              <w:t>T</w:t>
            </w:r>
            <w:r w:rsidR="00281D98" w:rsidRPr="00BA3F58">
              <w:t>ype of request</w:t>
            </w:r>
          </w:p>
        </w:tc>
        <w:tc>
          <w:tcPr>
            <w:tcW w:w="2799" w:type="pct"/>
            <w:tcBorders>
              <w:top w:val="single" w:sz="6" w:space="0" w:color="auto"/>
              <w:bottom w:val="single" w:sz="12" w:space="0" w:color="auto"/>
            </w:tcBorders>
            <w:shd w:val="clear" w:color="auto" w:fill="auto"/>
          </w:tcPr>
          <w:p w14:paraId="744B81B3" w14:textId="56933555" w:rsidR="00F927D2" w:rsidRPr="00BA3F58" w:rsidRDefault="00F927D2" w:rsidP="00DC2131">
            <w:pPr>
              <w:pStyle w:val="TableHeading"/>
              <w:keepLines/>
            </w:pPr>
            <w:r w:rsidRPr="00BA3F58">
              <w:t>Column 2</w:t>
            </w:r>
          </w:p>
          <w:p w14:paraId="0FBB96E8" w14:textId="359FB0C9" w:rsidR="00F927D2" w:rsidRPr="00BA3F58" w:rsidRDefault="00281D98" w:rsidP="00DC2131">
            <w:pPr>
              <w:pStyle w:val="TableHeading"/>
              <w:keepLines/>
            </w:pPr>
            <w:r w:rsidRPr="00BA3F58">
              <w:t>Application of rules</w:t>
            </w:r>
          </w:p>
        </w:tc>
      </w:tr>
      <w:tr w:rsidR="00CB45C1" w:rsidRPr="00BA3F58" w14:paraId="27FAF08D" w14:textId="77777777" w:rsidTr="009B4DEC">
        <w:tc>
          <w:tcPr>
            <w:tcW w:w="301" w:type="pct"/>
            <w:tcBorders>
              <w:top w:val="single" w:sz="12" w:space="0" w:color="auto"/>
              <w:bottom w:val="single" w:sz="2" w:space="0" w:color="auto"/>
            </w:tcBorders>
            <w:shd w:val="clear" w:color="auto" w:fill="auto"/>
          </w:tcPr>
          <w:p w14:paraId="4B5D8B06" w14:textId="77777777" w:rsidR="00F927D2" w:rsidRPr="00BA3F58" w:rsidRDefault="00F927D2" w:rsidP="0035048C">
            <w:pPr>
              <w:pStyle w:val="Tabletext"/>
            </w:pPr>
            <w:r w:rsidRPr="00BA3F58">
              <w:t>1</w:t>
            </w:r>
          </w:p>
        </w:tc>
        <w:tc>
          <w:tcPr>
            <w:tcW w:w="1900" w:type="pct"/>
            <w:tcBorders>
              <w:top w:val="single" w:sz="12" w:space="0" w:color="auto"/>
              <w:bottom w:val="single" w:sz="2" w:space="0" w:color="auto"/>
            </w:tcBorders>
            <w:shd w:val="clear" w:color="auto" w:fill="auto"/>
          </w:tcPr>
          <w:p w14:paraId="6C46E158" w14:textId="12F076E6" w:rsidR="00F927D2" w:rsidRPr="00BA3F58" w:rsidRDefault="00281D98" w:rsidP="0035048C">
            <w:pPr>
              <w:pStyle w:val="Tabletext"/>
            </w:pPr>
            <w:r w:rsidRPr="00BA3F58">
              <w:t>A</w:t>
            </w:r>
            <w:r w:rsidR="00F927D2" w:rsidRPr="00BA3F58">
              <w:t xml:space="preserve"> product data request under Part 2</w:t>
            </w:r>
            <w:r w:rsidRPr="00BA3F58">
              <w:t xml:space="preserve"> of these rules</w:t>
            </w:r>
          </w:p>
        </w:tc>
        <w:tc>
          <w:tcPr>
            <w:tcW w:w="2799" w:type="pct"/>
            <w:tcBorders>
              <w:top w:val="single" w:sz="12" w:space="0" w:color="auto"/>
              <w:bottom w:val="single" w:sz="2" w:space="0" w:color="auto"/>
            </w:tcBorders>
            <w:shd w:val="clear" w:color="auto" w:fill="auto"/>
          </w:tcPr>
          <w:p w14:paraId="009D2757" w14:textId="0A08F0AB" w:rsidR="00F927D2" w:rsidRPr="00BA3F58" w:rsidRDefault="00281D98" w:rsidP="00744782">
            <w:pPr>
              <w:pStyle w:val="Tabletext"/>
            </w:pPr>
            <w:r w:rsidRPr="00BA3F58">
              <w:t xml:space="preserve">On and after </w:t>
            </w:r>
            <w:r w:rsidR="00F927D2" w:rsidRPr="00BA3F58">
              <w:t>the tranche 1 date</w:t>
            </w:r>
          </w:p>
        </w:tc>
      </w:tr>
      <w:tr w:rsidR="00CB45C1" w:rsidRPr="00BA3F58" w14:paraId="7E8FB8E4" w14:textId="77777777" w:rsidTr="009B4DEC">
        <w:tc>
          <w:tcPr>
            <w:tcW w:w="301" w:type="pct"/>
            <w:tcBorders>
              <w:top w:val="single" w:sz="2" w:space="0" w:color="auto"/>
              <w:bottom w:val="single" w:sz="12" w:space="0" w:color="auto"/>
            </w:tcBorders>
            <w:shd w:val="clear" w:color="auto" w:fill="auto"/>
          </w:tcPr>
          <w:p w14:paraId="60EB10B0" w14:textId="77777777" w:rsidR="00F927D2" w:rsidRPr="00BA3F58" w:rsidRDefault="00F927D2" w:rsidP="006D6F5F">
            <w:pPr>
              <w:pStyle w:val="Tabletext"/>
            </w:pPr>
            <w:r w:rsidRPr="00BA3F58">
              <w:t>2</w:t>
            </w:r>
          </w:p>
        </w:tc>
        <w:tc>
          <w:tcPr>
            <w:tcW w:w="1900" w:type="pct"/>
            <w:tcBorders>
              <w:top w:val="single" w:sz="2" w:space="0" w:color="auto"/>
              <w:bottom w:val="single" w:sz="12" w:space="0" w:color="auto"/>
            </w:tcBorders>
            <w:shd w:val="clear" w:color="auto" w:fill="auto"/>
          </w:tcPr>
          <w:p w14:paraId="5F1BCF08" w14:textId="3B271CF6" w:rsidR="00F927D2" w:rsidRPr="00BA3F58" w:rsidRDefault="00281D98" w:rsidP="006D6F5F">
            <w:pPr>
              <w:pStyle w:val="Tabletext"/>
            </w:pPr>
            <w:r w:rsidRPr="00BA3F58">
              <w:t>A</w:t>
            </w:r>
            <w:r w:rsidR="00F927D2" w:rsidRPr="00BA3F58">
              <w:t xml:space="preserve"> consumer data request under Part 4</w:t>
            </w:r>
            <w:r w:rsidRPr="00BA3F58">
              <w:t xml:space="preserve"> of these rules</w:t>
            </w:r>
            <w:r w:rsidR="00F927D2" w:rsidRPr="00BA3F58">
              <w:t xml:space="preserve">, other than a complex request </w:t>
            </w:r>
          </w:p>
        </w:tc>
        <w:tc>
          <w:tcPr>
            <w:tcW w:w="2799" w:type="pct"/>
            <w:tcBorders>
              <w:top w:val="single" w:sz="2" w:space="0" w:color="auto"/>
              <w:bottom w:val="single" w:sz="12" w:space="0" w:color="auto"/>
            </w:tcBorders>
            <w:shd w:val="clear" w:color="auto" w:fill="auto"/>
          </w:tcPr>
          <w:p w14:paraId="4AC18ECA" w14:textId="7B2FA1CA" w:rsidR="00F927D2" w:rsidRPr="00BA3F58" w:rsidRDefault="00281D98" w:rsidP="00744782">
            <w:pPr>
              <w:pStyle w:val="Tabletext"/>
            </w:pPr>
            <w:r w:rsidRPr="00BA3F58">
              <w:t xml:space="preserve">On and after </w:t>
            </w:r>
            <w:r w:rsidR="00F927D2" w:rsidRPr="00BA3F58">
              <w:t>the tranche 2 date</w:t>
            </w:r>
          </w:p>
        </w:tc>
      </w:tr>
    </w:tbl>
    <w:p w14:paraId="442EEBB6" w14:textId="77777777" w:rsidR="00CF72AA" w:rsidRPr="0029440A" w:rsidRDefault="00CF72AA" w:rsidP="00744782">
      <w:pPr>
        <w:pStyle w:val="Tabletext"/>
      </w:pPr>
      <w:bookmarkStart w:id="100" w:name="_Hlk131587224"/>
    </w:p>
    <w:p w14:paraId="67CA6CB3" w14:textId="23653509" w:rsidR="00A24DA1" w:rsidRDefault="00AB77BC" w:rsidP="00A0229D">
      <w:pPr>
        <w:pStyle w:val="subsection"/>
      </w:pPr>
      <w:r>
        <w:tab/>
        <w:t>(2)</w:t>
      </w:r>
      <w:r>
        <w:tab/>
      </w:r>
      <w:r w:rsidR="00136958" w:rsidRPr="00136958">
        <w:t xml:space="preserve">These rules </w:t>
      </w:r>
      <w:r w:rsidR="00136958">
        <w:t xml:space="preserve">do not </w:t>
      </w:r>
      <w:r w:rsidR="00136958" w:rsidRPr="00136958">
        <w:t>apply</w:t>
      </w:r>
      <w:r w:rsidR="00845FBB">
        <w:t xml:space="preserve"> to </w:t>
      </w:r>
      <w:r w:rsidR="00FD0D81">
        <w:t>a complex request under Part 4</w:t>
      </w:r>
      <w:r w:rsidR="00F820C2">
        <w:t>,</w:t>
      </w:r>
      <w:r w:rsidR="00136958" w:rsidRPr="00136958">
        <w:t xml:space="preserve"> in relation to a relevant non</w:t>
      </w:r>
      <w:r w:rsidR="007F735A">
        <w:noBreakHyphen/>
      </w:r>
      <w:r w:rsidR="00136958" w:rsidRPr="00136958">
        <w:t>bank lender that is an initial provider</w:t>
      </w:r>
      <w:r w:rsidR="00F820C2">
        <w:t>.</w:t>
      </w:r>
    </w:p>
    <w:p w14:paraId="37F41733" w14:textId="628D74E5" w:rsidR="007B4E76" w:rsidRPr="00BA3F58" w:rsidRDefault="00BA3F58" w:rsidP="007B4E76">
      <w:pPr>
        <w:pStyle w:val="ActHead5"/>
      </w:pPr>
      <w:bookmarkStart w:id="101" w:name="_Toc190683829"/>
      <w:bookmarkStart w:id="102" w:name="_Toc191450851"/>
      <w:proofErr w:type="gramStart"/>
      <w:r>
        <w:t>6.</w:t>
      </w:r>
      <w:r w:rsidR="0099234E">
        <w:t>5</w:t>
      </w:r>
      <w:r w:rsidR="007B4E76" w:rsidRPr="00BA3F58">
        <w:t xml:space="preserve">  Application</w:t>
      </w:r>
      <w:proofErr w:type="gramEnd"/>
      <w:r w:rsidR="007B4E76" w:rsidRPr="00BA3F58">
        <w:t xml:space="preserve"> to large providers</w:t>
      </w:r>
      <w:bookmarkEnd w:id="101"/>
      <w:bookmarkEnd w:id="102"/>
    </w:p>
    <w:p w14:paraId="2A2ADE17" w14:textId="360D27B0" w:rsidR="007B4E76" w:rsidRPr="00BA3F58" w:rsidRDefault="007B4E76" w:rsidP="007B4E76">
      <w:pPr>
        <w:pStyle w:val="subsection"/>
        <w:keepNext/>
        <w:keepLines/>
      </w:pPr>
      <w:r w:rsidRPr="00BA3F58">
        <w:tab/>
        <w:t>(1)</w:t>
      </w:r>
      <w:r w:rsidRPr="00BA3F58">
        <w:tab/>
        <w:t xml:space="preserve">In this </w:t>
      </w:r>
      <w:r w:rsidR="002C2992">
        <w:t>clause</w:t>
      </w:r>
      <w:r w:rsidRPr="00BA3F58">
        <w:t xml:space="preserve">, where a relevant non-bank lender is a large provider, its </w:t>
      </w:r>
      <w:r w:rsidR="00776B5E" w:rsidRPr="00BA3F58">
        <w:rPr>
          <w:b/>
          <w:i/>
        </w:rPr>
        <w:t>LP</w:t>
      </w:r>
      <w:r w:rsidR="00776B5E">
        <w:rPr>
          <w:b/>
          <w:i/>
        </w:rPr>
        <w:t> </w:t>
      </w:r>
      <w:r w:rsidRPr="00BA3F58">
        <w:rPr>
          <w:b/>
          <w:i/>
        </w:rPr>
        <w:t>date</w:t>
      </w:r>
      <w:r w:rsidRPr="00BA3F58">
        <w:t xml:space="preserve"> is the date that it became a large provider.</w:t>
      </w:r>
    </w:p>
    <w:p w14:paraId="4996D4AC" w14:textId="08D09322" w:rsidR="007B4E76" w:rsidRPr="00BA3F58" w:rsidRDefault="007B4E76" w:rsidP="007B4E76">
      <w:pPr>
        <w:pStyle w:val="subsection"/>
        <w:keepNext/>
        <w:keepLines/>
      </w:pPr>
      <w:r w:rsidRPr="00BA3F58">
        <w:tab/>
        <w:t>(2)</w:t>
      </w:r>
      <w:r w:rsidRPr="00BA3F58">
        <w:tab/>
        <w:t xml:space="preserve">These rules apply in relation to such a large provider with an LP date that is on or before </w:t>
      </w:r>
      <w:r w:rsidR="005C79EE">
        <w:t>13 July 2025</w:t>
      </w:r>
      <w:r w:rsidRPr="00BA3F58">
        <w:t xml:space="preserve"> as set out in the following table</w:t>
      </w:r>
      <w:r w:rsidR="00794531">
        <w:t>.</w:t>
      </w:r>
    </w:p>
    <w:p w14:paraId="3A69ACCA" w14:textId="77777777" w:rsidR="007B4E76" w:rsidRPr="00921D28" w:rsidRDefault="007B4E76" w:rsidP="009C1CB7">
      <w:pPr>
        <w:pStyle w:val="Tabletext"/>
      </w:pPr>
    </w:p>
    <w:tbl>
      <w:tblPr>
        <w:tblStyle w:val="TableGrid"/>
        <w:tblW w:w="42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
        <w:gridCol w:w="2685"/>
        <w:gridCol w:w="3956"/>
      </w:tblGrid>
      <w:tr w:rsidR="00835D8E" w:rsidRPr="00BA3F58" w14:paraId="4BB6B023" w14:textId="77777777" w:rsidTr="00CB5EC7">
        <w:trPr>
          <w:tblHeader/>
        </w:trPr>
        <w:tc>
          <w:tcPr>
            <w:tcW w:w="301" w:type="pct"/>
            <w:tcBorders>
              <w:top w:val="single" w:sz="12" w:space="0" w:color="auto"/>
              <w:left w:val="nil"/>
              <w:bottom w:val="single" w:sz="2" w:space="0" w:color="auto"/>
              <w:right w:val="nil"/>
            </w:tcBorders>
          </w:tcPr>
          <w:p w14:paraId="0316A737" w14:textId="77777777" w:rsidR="007B4E76" w:rsidRPr="00BA3F58" w:rsidRDefault="007B4E76">
            <w:pPr>
              <w:pStyle w:val="TableHeading"/>
              <w:keepLines/>
              <w:spacing w:after="60"/>
              <w:jc w:val="center"/>
              <w:rPr>
                <w:lang w:eastAsia="en-US"/>
              </w:rPr>
            </w:pPr>
          </w:p>
        </w:tc>
        <w:tc>
          <w:tcPr>
            <w:tcW w:w="4699" w:type="pct"/>
            <w:gridSpan w:val="2"/>
            <w:tcBorders>
              <w:top w:val="single" w:sz="12" w:space="0" w:color="auto"/>
              <w:left w:val="nil"/>
              <w:bottom w:val="single" w:sz="2" w:space="0" w:color="auto"/>
              <w:right w:val="nil"/>
            </w:tcBorders>
            <w:hideMark/>
          </w:tcPr>
          <w:p w14:paraId="171996B1" w14:textId="44A936A6" w:rsidR="007B4E76" w:rsidRPr="00BA3F58" w:rsidRDefault="007B4E76">
            <w:pPr>
              <w:pStyle w:val="TableHeading"/>
              <w:keepLines/>
              <w:spacing w:after="60"/>
              <w:jc w:val="center"/>
              <w:rPr>
                <w:lang w:eastAsia="en-US"/>
              </w:rPr>
            </w:pPr>
            <w:r w:rsidRPr="00BA3F58">
              <w:rPr>
                <w:lang w:eastAsia="en-US"/>
              </w:rPr>
              <w:t xml:space="preserve">Application to large providers with LP date on or before </w:t>
            </w:r>
            <w:r w:rsidR="00557A30" w:rsidRPr="00557A30">
              <w:t>13 July 2025</w:t>
            </w:r>
          </w:p>
        </w:tc>
      </w:tr>
      <w:tr w:rsidR="00835D8E" w:rsidRPr="00BA3F58" w14:paraId="5CBD5733" w14:textId="77777777" w:rsidTr="007B4E76">
        <w:trPr>
          <w:tblHeader/>
        </w:trPr>
        <w:tc>
          <w:tcPr>
            <w:tcW w:w="301" w:type="pct"/>
            <w:tcBorders>
              <w:top w:val="single" w:sz="2" w:space="0" w:color="auto"/>
              <w:left w:val="nil"/>
              <w:bottom w:val="single" w:sz="12" w:space="0" w:color="auto"/>
              <w:right w:val="nil"/>
            </w:tcBorders>
          </w:tcPr>
          <w:p w14:paraId="3A900329" w14:textId="77777777" w:rsidR="007B4E76" w:rsidRPr="00BA3F58" w:rsidRDefault="007B4E76">
            <w:pPr>
              <w:pStyle w:val="TableHeading"/>
              <w:keepLines/>
              <w:rPr>
                <w:lang w:eastAsia="en-US"/>
              </w:rPr>
            </w:pPr>
          </w:p>
        </w:tc>
        <w:tc>
          <w:tcPr>
            <w:tcW w:w="1900" w:type="pct"/>
            <w:tcBorders>
              <w:top w:val="single" w:sz="2" w:space="0" w:color="auto"/>
              <w:left w:val="nil"/>
              <w:bottom w:val="single" w:sz="12" w:space="0" w:color="auto"/>
              <w:right w:val="nil"/>
            </w:tcBorders>
            <w:hideMark/>
          </w:tcPr>
          <w:p w14:paraId="41D60A92" w14:textId="77777777" w:rsidR="007B4E76" w:rsidRPr="00BA3F58" w:rsidRDefault="007B4E76">
            <w:pPr>
              <w:pStyle w:val="TableHeading"/>
              <w:keepLines/>
              <w:rPr>
                <w:lang w:eastAsia="en-US"/>
              </w:rPr>
            </w:pPr>
            <w:r w:rsidRPr="00BA3F58">
              <w:rPr>
                <w:lang w:eastAsia="en-US"/>
              </w:rPr>
              <w:t>Column 1</w:t>
            </w:r>
          </w:p>
          <w:p w14:paraId="4B60523D" w14:textId="77777777" w:rsidR="007B4E76" w:rsidRPr="00BA3F58" w:rsidRDefault="007B4E76">
            <w:pPr>
              <w:pStyle w:val="TableHeading"/>
              <w:keepLines/>
              <w:rPr>
                <w:lang w:eastAsia="en-US"/>
              </w:rPr>
            </w:pPr>
            <w:r w:rsidRPr="00BA3F58">
              <w:rPr>
                <w:lang w:eastAsia="en-US"/>
              </w:rPr>
              <w:t>Type of request</w:t>
            </w:r>
          </w:p>
        </w:tc>
        <w:tc>
          <w:tcPr>
            <w:tcW w:w="2799" w:type="pct"/>
            <w:tcBorders>
              <w:top w:val="single" w:sz="2" w:space="0" w:color="auto"/>
              <w:left w:val="nil"/>
              <w:bottom w:val="single" w:sz="12" w:space="0" w:color="auto"/>
              <w:right w:val="nil"/>
            </w:tcBorders>
            <w:hideMark/>
          </w:tcPr>
          <w:p w14:paraId="493FC7C6" w14:textId="77777777" w:rsidR="007B4E76" w:rsidRPr="00BA3F58" w:rsidRDefault="007B4E76">
            <w:pPr>
              <w:pStyle w:val="TableHeading"/>
              <w:keepLines/>
              <w:rPr>
                <w:lang w:eastAsia="en-US"/>
              </w:rPr>
            </w:pPr>
            <w:r w:rsidRPr="00BA3F58">
              <w:rPr>
                <w:lang w:eastAsia="en-US"/>
              </w:rPr>
              <w:t>Column 2</w:t>
            </w:r>
          </w:p>
          <w:p w14:paraId="2EDFDA10" w14:textId="77777777" w:rsidR="007B4E76" w:rsidRPr="00BA3F58" w:rsidRDefault="007B4E76">
            <w:pPr>
              <w:pStyle w:val="TableHeading"/>
              <w:keepLines/>
              <w:rPr>
                <w:lang w:eastAsia="en-US"/>
              </w:rPr>
            </w:pPr>
            <w:r w:rsidRPr="00BA3F58">
              <w:rPr>
                <w:lang w:eastAsia="en-US"/>
              </w:rPr>
              <w:t>Application of rules</w:t>
            </w:r>
          </w:p>
        </w:tc>
      </w:tr>
      <w:tr w:rsidR="00835D8E" w:rsidRPr="00BA3F58" w14:paraId="29B4A5A4" w14:textId="77777777" w:rsidTr="00F35655">
        <w:tc>
          <w:tcPr>
            <w:tcW w:w="301" w:type="pct"/>
            <w:tcBorders>
              <w:top w:val="single" w:sz="12" w:space="0" w:color="auto"/>
              <w:left w:val="nil"/>
              <w:bottom w:val="single" w:sz="2" w:space="0" w:color="auto"/>
              <w:right w:val="nil"/>
            </w:tcBorders>
            <w:hideMark/>
          </w:tcPr>
          <w:p w14:paraId="66C732FD" w14:textId="77777777" w:rsidR="007B4E76" w:rsidRPr="00BA3F58" w:rsidRDefault="007B4E76">
            <w:pPr>
              <w:pStyle w:val="Tabletext"/>
              <w:rPr>
                <w:lang w:eastAsia="en-US"/>
              </w:rPr>
            </w:pPr>
            <w:r w:rsidRPr="00BA3F58">
              <w:rPr>
                <w:lang w:eastAsia="en-US"/>
              </w:rPr>
              <w:t>1</w:t>
            </w:r>
          </w:p>
        </w:tc>
        <w:tc>
          <w:tcPr>
            <w:tcW w:w="1900" w:type="pct"/>
            <w:tcBorders>
              <w:top w:val="single" w:sz="12" w:space="0" w:color="auto"/>
              <w:left w:val="nil"/>
              <w:bottom w:val="single" w:sz="2" w:space="0" w:color="auto"/>
              <w:right w:val="nil"/>
            </w:tcBorders>
            <w:hideMark/>
          </w:tcPr>
          <w:p w14:paraId="02FC1098" w14:textId="77777777" w:rsidR="007B4E76" w:rsidRPr="00BA3F58" w:rsidRDefault="007B4E76">
            <w:pPr>
              <w:pStyle w:val="Tabletext"/>
              <w:rPr>
                <w:lang w:eastAsia="en-US"/>
              </w:rPr>
            </w:pPr>
            <w:r w:rsidRPr="00BA3F58">
              <w:rPr>
                <w:lang w:eastAsia="en-US"/>
              </w:rPr>
              <w:t>A product data request under Part 2 of these rules</w:t>
            </w:r>
          </w:p>
        </w:tc>
        <w:tc>
          <w:tcPr>
            <w:tcW w:w="2799" w:type="pct"/>
            <w:tcBorders>
              <w:top w:val="single" w:sz="12" w:space="0" w:color="auto"/>
              <w:left w:val="nil"/>
              <w:bottom w:val="single" w:sz="2" w:space="0" w:color="auto"/>
              <w:right w:val="nil"/>
            </w:tcBorders>
            <w:hideMark/>
          </w:tcPr>
          <w:p w14:paraId="1C4F4FC9" w14:textId="42BA11E0" w:rsidR="007B4E76" w:rsidRPr="00BA3F58" w:rsidRDefault="007B4E76" w:rsidP="00744782">
            <w:pPr>
              <w:pStyle w:val="Tabletext"/>
            </w:pPr>
            <w:r w:rsidRPr="00BA3F58">
              <w:rPr>
                <w:lang w:eastAsia="en-US"/>
              </w:rPr>
              <w:t xml:space="preserve">On and </w:t>
            </w:r>
            <w:r w:rsidR="00FA6BBC">
              <w:rPr>
                <w:lang w:eastAsia="en-US"/>
              </w:rPr>
              <w:t>after</w:t>
            </w:r>
            <w:r w:rsidRPr="00BA3F58">
              <w:rPr>
                <w:lang w:eastAsia="en-US"/>
              </w:rPr>
              <w:t xml:space="preserve"> the tranche 1 date</w:t>
            </w:r>
          </w:p>
        </w:tc>
      </w:tr>
      <w:tr w:rsidR="00835D8E" w:rsidRPr="00BA3F58" w14:paraId="5A34EE71" w14:textId="77777777" w:rsidTr="00F35655">
        <w:tc>
          <w:tcPr>
            <w:tcW w:w="301" w:type="pct"/>
            <w:tcBorders>
              <w:top w:val="single" w:sz="2" w:space="0" w:color="auto"/>
              <w:left w:val="nil"/>
              <w:bottom w:val="single" w:sz="12" w:space="0" w:color="auto"/>
              <w:right w:val="nil"/>
            </w:tcBorders>
            <w:hideMark/>
          </w:tcPr>
          <w:p w14:paraId="12435355" w14:textId="77777777" w:rsidR="007B4E76" w:rsidRPr="00BA3F58" w:rsidRDefault="007B4E76">
            <w:pPr>
              <w:pStyle w:val="Tabletext"/>
              <w:rPr>
                <w:lang w:eastAsia="en-US"/>
              </w:rPr>
            </w:pPr>
            <w:r w:rsidRPr="00BA3F58">
              <w:rPr>
                <w:lang w:eastAsia="en-US"/>
              </w:rPr>
              <w:t>2</w:t>
            </w:r>
          </w:p>
        </w:tc>
        <w:tc>
          <w:tcPr>
            <w:tcW w:w="1900" w:type="pct"/>
            <w:tcBorders>
              <w:top w:val="single" w:sz="2" w:space="0" w:color="auto"/>
              <w:left w:val="nil"/>
              <w:bottom w:val="single" w:sz="12" w:space="0" w:color="auto"/>
              <w:right w:val="nil"/>
            </w:tcBorders>
            <w:hideMark/>
          </w:tcPr>
          <w:p w14:paraId="3BE093AF" w14:textId="77777777" w:rsidR="007B4E76" w:rsidRPr="00BA3F58" w:rsidRDefault="007B4E76">
            <w:pPr>
              <w:pStyle w:val="Tabletext"/>
              <w:rPr>
                <w:lang w:eastAsia="en-US"/>
              </w:rPr>
            </w:pPr>
            <w:r w:rsidRPr="00BA3F58">
              <w:rPr>
                <w:lang w:eastAsia="en-US"/>
              </w:rPr>
              <w:t xml:space="preserve">A consumer data request under Part 4 of these rules, other than a complex request </w:t>
            </w:r>
          </w:p>
        </w:tc>
        <w:tc>
          <w:tcPr>
            <w:tcW w:w="2799" w:type="pct"/>
            <w:tcBorders>
              <w:top w:val="single" w:sz="2" w:space="0" w:color="auto"/>
              <w:left w:val="nil"/>
              <w:bottom w:val="single" w:sz="12" w:space="0" w:color="auto"/>
              <w:right w:val="nil"/>
            </w:tcBorders>
            <w:hideMark/>
          </w:tcPr>
          <w:p w14:paraId="41544DAE" w14:textId="4CA7547B" w:rsidR="007B4E76" w:rsidRPr="00BA3F58" w:rsidRDefault="00FA6BBC" w:rsidP="00744782">
            <w:pPr>
              <w:pStyle w:val="Tabletext"/>
            </w:pPr>
            <w:r>
              <w:rPr>
                <w:lang w:eastAsia="en-US"/>
              </w:rPr>
              <w:t>On and after</w:t>
            </w:r>
            <w:r w:rsidR="007B4E76" w:rsidRPr="00BA3F58">
              <w:rPr>
                <w:lang w:eastAsia="en-US"/>
              </w:rPr>
              <w:t xml:space="preserve"> the tranche </w:t>
            </w:r>
            <w:r w:rsidR="00055237">
              <w:rPr>
                <w:lang w:eastAsia="en-US"/>
              </w:rPr>
              <w:t>3</w:t>
            </w:r>
            <w:r w:rsidR="007B4E76" w:rsidRPr="00BA3F58">
              <w:rPr>
                <w:lang w:eastAsia="en-US"/>
              </w:rPr>
              <w:t xml:space="preserve"> date</w:t>
            </w:r>
          </w:p>
        </w:tc>
      </w:tr>
    </w:tbl>
    <w:p w14:paraId="2FBD20F7" w14:textId="77777777" w:rsidR="007B4E76" w:rsidRPr="00921D28" w:rsidRDefault="007B4E76" w:rsidP="009C1CB7">
      <w:pPr>
        <w:pStyle w:val="Tabletext"/>
      </w:pPr>
    </w:p>
    <w:p w14:paraId="05A6769B" w14:textId="38750198" w:rsidR="007B4E76" w:rsidRPr="00BA3F58" w:rsidRDefault="007B4E76" w:rsidP="007B4E76">
      <w:pPr>
        <w:pStyle w:val="subsection"/>
        <w:keepNext/>
        <w:keepLines/>
      </w:pPr>
      <w:r w:rsidRPr="00BA3F58">
        <w:tab/>
        <w:t>(</w:t>
      </w:r>
      <w:r w:rsidR="002A1158" w:rsidRPr="00BA3F58">
        <w:t>3)</w:t>
      </w:r>
      <w:r w:rsidRPr="00BA3F58">
        <w:tab/>
        <w:t xml:space="preserve">These rules apply in relation to such a large provider with an LP date that is after </w:t>
      </w:r>
      <w:r w:rsidR="00477DD0">
        <w:t>13 July 2025</w:t>
      </w:r>
      <w:r w:rsidR="008F0B51">
        <w:t xml:space="preserve"> date</w:t>
      </w:r>
      <w:r w:rsidR="00B51439" w:rsidRPr="00BA3F58">
        <w:t xml:space="preserve"> </w:t>
      </w:r>
      <w:r w:rsidRPr="00BA3F58">
        <w:t>as set out in the following table</w:t>
      </w:r>
      <w:r w:rsidR="00794531">
        <w:t>.</w:t>
      </w:r>
    </w:p>
    <w:p w14:paraId="5E20C7BD" w14:textId="77777777" w:rsidR="007B4E76" w:rsidRPr="0014308F" w:rsidRDefault="007B4E76" w:rsidP="009C1CB7">
      <w:pPr>
        <w:pStyle w:val="Tabletext"/>
      </w:pPr>
    </w:p>
    <w:tbl>
      <w:tblPr>
        <w:tblStyle w:val="TableGrid"/>
        <w:tblW w:w="42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
        <w:gridCol w:w="2685"/>
        <w:gridCol w:w="3956"/>
      </w:tblGrid>
      <w:tr w:rsidR="00835D8E" w:rsidRPr="00BA3F58" w14:paraId="7C985393" w14:textId="77777777" w:rsidTr="002C6EAC">
        <w:trPr>
          <w:tblHeader/>
        </w:trPr>
        <w:tc>
          <w:tcPr>
            <w:tcW w:w="301" w:type="pct"/>
            <w:tcBorders>
              <w:top w:val="single" w:sz="12" w:space="0" w:color="auto"/>
              <w:left w:val="nil"/>
              <w:bottom w:val="single" w:sz="2" w:space="0" w:color="auto"/>
              <w:right w:val="nil"/>
            </w:tcBorders>
          </w:tcPr>
          <w:p w14:paraId="2A9B76AD" w14:textId="77777777" w:rsidR="007B4E76" w:rsidRPr="00BA3F58" w:rsidRDefault="007B4E76">
            <w:pPr>
              <w:pStyle w:val="TableHeading"/>
              <w:keepLines/>
              <w:spacing w:after="60"/>
              <w:jc w:val="center"/>
              <w:rPr>
                <w:lang w:eastAsia="en-US"/>
              </w:rPr>
            </w:pPr>
          </w:p>
        </w:tc>
        <w:tc>
          <w:tcPr>
            <w:tcW w:w="4699" w:type="pct"/>
            <w:gridSpan w:val="2"/>
            <w:tcBorders>
              <w:top w:val="single" w:sz="12" w:space="0" w:color="auto"/>
              <w:left w:val="nil"/>
              <w:bottom w:val="single" w:sz="2" w:space="0" w:color="auto"/>
              <w:right w:val="nil"/>
            </w:tcBorders>
            <w:hideMark/>
          </w:tcPr>
          <w:p w14:paraId="29249C99" w14:textId="36EB86D4" w:rsidR="007B4E76" w:rsidRPr="00BA3F58" w:rsidRDefault="007B4E76">
            <w:pPr>
              <w:pStyle w:val="TableHeading"/>
              <w:keepLines/>
              <w:spacing w:after="60"/>
              <w:jc w:val="center"/>
              <w:rPr>
                <w:lang w:eastAsia="en-US"/>
              </w:rPr>
            </w:pPr>
            <w:r w:rsidRPr="00BA3F58">
              <w:rPr>
                <w:lang w:eastAsia="en-US"/>
              </w:rPr>
              <w:t xml:space="preserve">Application to large providers with LP date after </w:t>
            </w:r>
            <w:r w:rsidR="00557A30" w:rsidRPr="00557A30">
              <w:rPr>
                <w:lang w:eastAsia="en-US"/>
              </w:rPr>
              <w:t>13 July 2025</w:t>
            </w:r>
          </w:p>
        </w:tc>
      </w:tr>
      <w:tr w:rsidR="00835D8E" w:rsidRPr="00BA3F58" w14:paraId="701433B8" w14:textId="77777777" w:rsidTr="007B4E76">
        <w:trPr>
          <w:tblHeader/>
        </w:trPr>
        <w:tc>
          <w:tcPr>
            <w:tcW w:w="301" w:type="pct"/>
            <w:tcBorders>
              <w:top w:val="single" w:sz="2" w:space="0" w:color="auto"/>
              <w:left w:val="nil"/>
              <w:bottom w:val="single" w:sz="12" w:space="0" w:color="auto"/>
              <w:right w:val="nil"/>
            </w:tcBorders>
          </w:tcPr>
          <w:p w14:paraId="7ACB1EDE" w14:textId="77777777" w:rsidR="007B4E76" w:rsidRPr="00BA3F58" w:rsidRDefault="007B4E76">
            <w:pPr>
              <w:pStyle w:val="TableHeading"/>
              <w:keepLines/>
              <w:rPr>
                <w:lang w:eastAsia="en-US"/>
              </w:rPr>
            </w:pPr>
          </w:p>
        </w:tc>
        <w:tc>
          <w:tcPr>
            <w:tcW w:w="1900" w:type="pct"/>
            <w:tcBorders>
              <w:top w:val="single" w:sz="2" w:space="0" w:color="auto"/>
              <w:left w:val="nil"/>
              <w:bottom w:val="single" w:sz="12" w:space="0" w:color="auto"/>
              <w:right w:val="nil"/>
            </w:tcBorders>
            <w:hideMark/>
          </w:tcPr>
          <w:p w14:paraId="5D6C1D36" w14:textId="77777777" w:rsidR="007B4E76" w:rsidRPr="00BA3F58" w:rsidRDefault="007B4E76">
            <w:pPr>
              <w:pStyle w:val="TableHeading"/>
              <w:keepLines/>
              <w:rPr>
                <w:lang w:eastAsia="en-US"/>
              </w:rPr>
            </w:pPr>
            <w:r w:rsidRPr="00BA3F58">
              <w:rPr>
                <w:lang w:eastAsia="en-US"/>
              </w:rPr>
              <w:t>Column 1</w:t>
            </w:r>
          </w:p>
          <w:p w14:paraId="17A9967B" w14:textId="77777777" w:rsidR="007B4E76" w:rsidRPr="00BA3F58" w:rsidRDefault="007B4E76">
            <w:pPr>
              <w:pStyle w:val="TableHeading"/>
              <w:keepLines/>
              <w:rPr>
                <w:lang w:eastAsia="en-US"/>
              </w:rPr>
            </w:pPr>
            <w:r w:rsidRPr="00BA3F58">
              <w:rPr>
                <w:lang w:eastAsia="en-US"/>
              </w:rPr>
              <w:t>Type of request</w:t>
            </w:r>
          </w:p>
        </w:tc>
        <w:tc>
          <w:tcPr>
            <w:tcW w:w="2799" w:type="pct"/>
            <w:tcBorders>
              <w:top w:val="single" w:sz="2" w:space="0" w:color="auto"/>
              <w:left w:val="nil"/>
              <w:bottom w:val="single" w:sz="12" w:space="0" w:color="auto"/>
              <w:right w:val="nil"/>
            </w:tcBorders>
            <w:hideMark/>
          </w:tcPr>
          <w:p w14:paraId="5FFEBBCE" w14:textId="77777777" w:rsidR="007B4E76" w:rsidRPr="00BA3F58" w:rsidRDefault="007B4E76">
            <w:pPr>
              <w:pStyle w:val="TableHeading"/>
              <w:keepLines/>
              <w:rPr>
                <w:lang w:eastAsia="en-US"/>
              </w:rPr>
            </w:pPr>
            <w:r w:rsidRPr="00BA3F58">
              <w:rPr>
                <w:lang w:eastAsia="en-US"/>
              </w:rPr>
              <w:t>Column 2</w:t>
            </w:r>
          </w:p>
          <w:p w14:paraId="4A77C6D8" w14:textId="77777777" w:rsidR="007B4E76" w:rsidRPr="00BA3F58" w:rsidRDefault="007B4E76">
            <w:pPr>
              <w:pStyle w:val="TableHeading"/>
              <w:keepLines/>
              <w:rPr>
                <w:lang w:eastAsia="en-US"/>
              </w:rPr>
            </w:pPr>
            <w:r w:rsidRPr="00BA3F58">
              <w:rPr>
                <w:lang w:eastAsia="en-US"/>
              </w:rPr>
              <w:t>Application of rules</w:t>
            </w:r>
          </w:p>
        </w:tc>
      </w:tr>
      <w:tr w:rsidR="00835D8E" w:rsidRPr="00BA3F58" w14:paraId="27A48899" w14:textId="77777777" w:rsidTr="00F35655">
        <w:tc>
          <w:tcPr>
            <w:tcW w:w="301" w:type="pct"/>
            <w:tcBorders>
              <w:top w:val="single" w:sz="12" w:space="0" w:color="auto"/>
              <w:left w:val="nil"/>
              <w:bottom w:val="single" w:sz="2" w:space="0" w:color="auto"/>
              <w:right w:val="nil"/>
            </w:tcBorders>
            <w:hideMark/>
          </w:tcPr>
          <w:p w14:paraId="5210FF39" w14:textId="77777777" w:rsidR="007B4E76" w:rsidRPr="00BA3F58" w:rsidRDefault="007B4E76">
            <w:pPr>
              <w:pStyle w:val="Tabletext"/>
              <w:rPr>
                <w:lang w:eastAsia="en-US"/>
              </w:rPr>
            </w:pPr>
            <w:r w:rsidRPr="00BA3F58">
              <w:rPr>
                <w:lang w:eastAsia="en-US"/>
              </w:rPr>
              <w:t>1</w:t>
            </w:r>
          </w:p>
        </w:tc>
        <w:tc>
          <w:tcPr>
            <w:tcW w:w="1900" w:type="pct"/>
            <w:tcBorders>
              <w:top w:val="single" w:sz="12" w:space="0" w:color="auto"/>
              <w:left w:val="nil"/>
              <w:bottom w:val="single" w:sz="2" w:space="0" w:color="auto"/>
              <w:right w:val="nil"/>
            </w:tcBorders>
            <w:hideMark/>
          </w:tcPr>
          <w:p w14:paraId="711BFE67" w14:textId="77777777" w:rsidR="007B4E76" w:rsidRPr="00BA3F58" w:rsidRDefault="007B4E76">
            <w:pPr>
              <w:pStyle w:val="Tabletext"/>
              <w:rPr>
                <w:lang w:eastAsia="en-US"/>
              </w:rPr>
            </w:pPr>
            <w:r w:rsidRPr="00BA3F58">
              <w:rPr>
                <w:lang w:eastAsia="en-US"/>
              </w:rPr>
              <w:t>A product data request under Part 2 of these rules</w:t>
            </w:r>
          </w:p>
        </w:tc>
        <w:tc>
          <w:tcPr>
            <w:tcW w:w="2799" w:type="pct"/>
            <w:tcBorders>
              <w:top w:val="single" w:sz="12" w:space="0" w:color="auto"/>
              <w:left w:val="nil"/>
              <w:bottom w:val="single" w:sz="2" w:space="0" w:color="auto"/>
              <w:right w:val="nil"/>
            </w:tcBorders>
            <w:hideMark/>
          </w:tcPr>
          <w:p w14:paraId="264E5F23" w14:textId="71D117FB" w:rsidR="007B4E76" w:rsidRPr="00BA3F58" w:rsidRDefault="00FA6BBC" w:rsidP="002C6EAC">
            <w:pPr>
              <w:pStyle w:val="Tabletext"/>
              <w:rPr>
                <w:lang w:eastAsia="en-US"/>
              </w:rPr>
            </w:pPr>
            <w:r>
              <w:rPr>
                <w:lang w:eastAsia="en-US"/>
              </w:rPr>
              <w:t>On and after</w:t>
            </w:r>
            <w:r w:rsidR="007B4E76" w:rsidRPr="00BA3F58">
              <w:rPr>
                <w:lang w:eastAsia="en-US"/>
              </w:rPr>
              <w:t xml:space="preserve"> the day 12 months after its LP date </w:t>
            </w:r>
          </w:p>
        </w:tc>
      </w:tr>
      <w:tr w:rsidR="00835D8E" w:rsidRPr="00BA3F58" w14:paraId="2E702023" w14:textId="77777777" w:rsidTr="00F35655">
        <w:tc>
          <w:tcPr>
            <w:tcW w:w="301" w:type="pct"/>
            <w:tcBorders>
              <w:top w:val="single" w:sz="2" w:space="0" w:color="auto"/>
              <w:left w:val="nil"/>
              <w:bottom w:val="single" w:sz="12" w:space="0" w:color="auto"/>
              <w:right w:val="nil"/>
            </w:tcBorders>
            <w:hideMark/>
          </w:tcPr>
          <w:p w14:paraId="6E1928FA" w14:textId="77777777" w:rsidR="007B4E76" w:rsidRPr="00BA3F58" w:rsidRDefault="007B4E76">
            <w:pPr>
              <w:pStyle w:val="Tabletext"/>
              <w:rPr>
                <w:lang w:eastAsia="en-US"/>
              </w:rPr>
            </w:pPr>
            <w:r w:rsidRPr="00BA3F58">
              <w:rPr>
                <w:lang w:eastAsia="en-US"/>
              </w:rPr>
              <w:t>2</w:t>
            </w:r>
          </w:p>
        </w:tc>
        <w:tc>
          <w:tcPr>
            <w:tcW w:w="1900" w:type="pct"/>
            <w:tcBorders>
              <w:top w:val="single" w:sz="2" w:space="0" w:color="auto"/>
              <w:left w:val="nil"/>
              <w:bottom w:val="single" w:sz="12" w:space="0" w:color="auto"/>
              <w:right w:val="nil"/>
            </w:tcBorders>
            <w:hideMark/>
          </w:tcPr>
          <w:p w14:paraId="5645DF07" w14:textId="77777777" w:rsidR="007B4E76" w:rsidRPr="00BA3F58" w:rsidRDefault="007B4E76">
            <w:pPr>
              <w:pStyle w:val="Tabletext"/>
              <w:rPr>
                <w:lang w:eastAsia="en-US"/>
              </w:rPr>
            </w:pPr>
            <w:r w:rsidRPr="00BA3F58">
              <w:rPr>
                <w:lang w:eastAsia="en-US"/>
              </w:rPr>
              <w:t xml:space="preserve">A consumer data request under Part 4 of these rules, other than a complex request </w:t>
            </w:r>
          </w:p>
        </w:tc>
        <w:tc>
          <w:tcPr>
            <w:tcW w:w="2799" w:type="pct"/>
            <w:tcBorders>
              <w:top w:val="single" w:sz="2" w:space="0" w:color="auto"/>
              <w:left w:val="nil"/>
              <w:bottom w:val="single" w:sz="12" w:space="0" w:color="auto"/>
              <w:right w:val="nil"/>
            </w:tcBorders>
            <w:hideMark/>
          </w:tcPr>
          <w:p w14:paraId="5189F213" w14:textId="7D91E367" w:rsidR="007B4E76" w:rsidRPr="00BA3F58" w:rsidRDefault="00FA6BBC">
            <w:pPr>
              <w:pStyle w:val="Tabletext"/>
              <w:rPr>
                <w:lang w:eastAsia="en-US"/>
              </w:rPr>
            </w:pPr>
            <w:r>
              <w:rPr>
                <w:lang w:eastAsia="en-US"/>
              </w:rPr>
              <w:t>On and after</w:t>
            </w:r>
            <w:r w:rsidR="007B4E76" w:rsidRPr="00BA3F58">
              <w:rPr>
                <w:lang w:eastAsia="en-US"/>
              </w:rPr>
              <w:t xml:space="preserve"> the day 15 months after its LP date</w:t>
            </w:r>
          </w:p>
          <w:p w14:paraId="34189746" w14:textId="77777777" w:rsidR="007B4E76" w:rsidRPr="00BA3F58" w:rsidRDefault="007B4E76">
            <w:pPr>
              <w:pStyle w:val="Tablea"/>
              <w:rPr>
                <w:lang w:eastAsia="en-US"/>
              </w:rPr>
            </w:pPr>
            <w:r w:rsidRPr="00BA3F58">
              <w:rPr>
                <w:lang w:eastAsia="en-US"/>
              </w:rPr>
              <w:t xml:space="preserve"> </w:t>
            </w:r>
          </w:p>
        </w:tc>
      </w:tr>
    </w:tbl>
    <w:p w14:paraId="10CC4FCA" w14:textId="77777777" w:rsidR="00943652" w:rsidRDefault="00943652" w:rsidP="009C1CB7">
      <w:pPr>
        <w:pStyle w:val="Tabletext"/>
      </w:pPr>
    </w:p>
    <w:p w14:paraId="63311616" w14:textId="3FF7E6F5" w:rsidR="00DC0DC8" w:rsidRDefault="00DC0DC8" w:rsidP="00DC0DC8">
      <w:pPr>
        <w:pStyle w:val="subsection"/>
      </w:pPr>
      <w:r>
        <w:tab/>
        <w:t>(4)</w:t>
      </w:r>
      <w:r>
        <w:tab/>
      </w:r>
      <w:r w:rsidRPr="00136958">
        <w:t xml:space="preserve">These rules </w:t>
      </w:r>
      <w:r>
        <w:t xml:space="preserve">do not </w:t>
      </w:r>
      <w:r w:rsidRPr="00136958">
        <w:t>apply</w:t>
      </w:r>
      <w:r>
        <w:t xml:space="preserve"> to a complex request under Part 4,</w:t>
      </w:r>
      <w:r w:rsidRPr="00136958">
        <w:t xml:space="preserve"> in relation to a relevant non</w:t>
      </w:r>
      <w:r>
        <w:noBreakHyphen/>
      </w:r>
      <w:r w:rsidRPr="00136958">
        <w:t>bank lender that is a</w:t>
      </w:r>
      <w:r w:rsidR="00A67B91">
        <w:t xml:space="preserve"> large</w:t>
      </w:r>
      <w:r w:rsidRPr="00136958">
        <w:t xml:space="preserve"> provider</w:t>
      </w:r>
      <w:r>
        <w:t>.</w:t>
      </w:r>
    </w:p>
    <w:p w14:paraId="68B4BA73" w14:textId="776BF5F5" w:rsidR="00943652" w:rsidRPr="00BA3F58" w:rsidRDefault="00BA3F58" w:rsidP="00943652">
      <w:pPr>
        <w:pStyle w:val="ActHead5"/>
      </w:pPr>
      <w:bookmarkStart w:id="103" w:name="_Toc190683830"/>
      <w:bookmarkStart w:id="104" w:name="_Toc191450852"/>
      <w:proofErr w:type="gramStart"/>
      <w:r>
        <w:t>6.</w:t>
      </w:r>
      <w:r w:rsidR="0099234E">
        <w:t>6</w:t>
      </w:r>
      <w:r w:rsidR="00DC2131" w:rsidRPr="00BA3F58">
        <w:t xml:space="preserve">  Application</w:t>
      </w:r>
      <w:proofErr w:type="gramEnd"/>
      <w:r w:rsidR="00DC2131" w:rsidRPr="00BA3F58">
        <w:t xml:space="preserve"> to other </w:t>
      </w:r>
      <w:r w:rsidR="00111094">
        <w:t>non-bank lenders</w:t>
      </w:r>
      <w:bookmarkEnd w:id="103"/>
      <w:bookmarkEnd w:id="104"/>
    </w:p>
    <w:p w14:paraId="672F6FD6" w14:textId="40C263A7" w:rsidR="001F37F2" w:rsidRDefault="00DC2131" w:rsidP="006B2F28">
      <w:pPr>
        <w:pStyle w:val="subsection"/>
      </w:pPr>
      <w:r w:rsidRPr="00BA3F58">
        <w:tab/>
      </w:r>
      <w:r w:rsidRPr="00BA3F58">
        <w:tab/>
      </w:r>
      <w:bookmarkStart w:id="105" w:name="_Hlk148367143"/>
      <w:r w:rsidR="00C62DB4" w:rsidRPr="00BA3F58">
        <w:t>These</w:t>
      </w:r>
      <w:bookmarkEnd w:id="105"/>
      <w:r w:rsidRPr="00BA3F58">
        <w:t xml:space="preserve"> rules </w:t>
      </w:r>
      <w:r w:rsidR="005B5EBE">
        <w:t>only</w:t>
      </w:r>
      <w:r w:rsidRPr="00BA3F58">
        <w:t xml:space="preserve"> apply in relation to a relevant non-bank lender that</w:t>
      </w:r>
      <w:r w:rsidR="001F37F2">
        <w:t>:</w:t>
      </w:r>
    </w:p>
    <w:p w14:paraId="7A9844C8" w14:textId="0813580E" w:rsidR="001F37F2" w:rsidRDefault="001F37F2" w:rsidP="001F37F2">
      <w:pPr>
        <w:pStyle w:val="paragraph"/>
      </w:pPr>
      <w:r>
        <w:tab/>
        <w:t>(a)</w:t>
      </w:r>
      <w:r>
        <w:tab/>
      </w:r>
      <w:r w:rsidR="00DC2131" w:rsidRPr="00BA3F58">
        <w:t>is an initial provider</w:t>
      </w:r>
      <w:r>
        <w:t>;</w:t>
      </w:r>
      <w:r w:rsidR="00DC2131" w:rsidRPr="00BA3F58">
        <w:t xml:space="preserve"> or</w:t>
      </w:r>
    </w:p>
    <w:p w14:paraId="495DBCBC" w14:textId="77643488" w:rsidR="001F37F2" w:rsidRDefault="001F37F2" w:rsidP="001F37F2">
      <w:pPr>
        <w:pStyle w:val="paragraph"/>
      </w:pPr>
      <w:r>
        <w:tab/>
        <w:t>(b)</w:t>
      </w:r>
      <w:r>
        <w:tab/>
      </w:r>
      <w:r w:rsidR="00B33B76">
        <w:t xml:space="preserve">is </w:t>
      </w:r>
      <w:r w:rsidR="00DC2131" w:rsidRPr="00BA3F58">
        <w:t>a large provider</w:t>
      </w:r>
      <w:r w:rsidR="007927E1">
        <w:t>;</w:t>
      </w:r>
      <w:r>
        <w:t xml:space="preserve"> or</w:t>
      </w:r>
    </w:p>
    <w:p w14:paraId="1B013946" w14:textId="6C0317C3" w:rsidR="00B04A28" w:rsidRPr="00070850" w:rsidRDefault="001F37F2" w:rsidP="000D2B4D">
      <w:pPr>
        <w:pStyle w:val="paragraph"/>
        <w:rPr>
          <w:i/>
          <w:iCs/>
        </w:rPr>
      </w:pPr>
      <w:r>
        <w:tab/>
        <w:t>(c)</w:t>
      </w:r>
      <w:r>
        <w:tab/>
      </w:r>
      <w:r w:rsidR="00B33B76" w:rsidRPr="00B33B76">
        <w:t>has notified the Commission under clause 6.11 that it wishes Part 2 or Part</w:t>
      </w:r>
      <w:r w:rsidR="00CE0335">
        <w:t> </w:t>
      </w:r>
      <w:r w:rsidR="00B33B76" w:rsidRPr="00B33B76">
        <w:t>4 of these rules to apply to it from a specified date</w:t>
      </w:r>
      <w:r w:rsidR="00DC2131" w:rsidRPr="00BA3F58">
        <w:t>.</w:t>
      </w:r>
    </w:p>
    <w:p w14:paraId="2EDFDFF9" w14:textId="03C7A960" w:rsidR="00025469" w:rsidRPr="00BA3F58" w:rsidRDefault="00BA3F58" w:rsidP="00823BC1">
      <w:pPr>
        <w:pStyle w:val="ActHead5"/>
      </w:pPr>
      <w:bookmarkStart w:id="106" w:name="_Toc190683831"/>
      <w:bookmarkStart w:id="107" w:name="_Toc191450853"/>
      <w:bookmarkStart w:id="108" w:name="_Hlk131587429"/>
      <w:bookmarkEnd w:id="100"/>
      <w:proofErr w:type="gramStart"/>
      <w:r>
        <w:t>6.</w:t>
      </w:r>
      <w:r w:rsidR="0099234E">
        <w:t>7</w:t>
      </w:r>
      <w:r w:rsidR="00823BC1" w:rsidRPr="00BA3F58">
        <w:t xml:space="preserve">  </w:t>
      </w:r>
      <w:r w:rsidR="00025469" w:rsidRPr="00BA3F58">
        <w:t>Consumer</w:t>
      </w:r>
      <w:proofErr w:type="gramEnd"/>
      <w:r w:rsidR="00025469" w:rsidRPr="00BA3F58">
        <w:t xml:space="preserve"> data requests under Part 3 of these rules</w:t>
      </w:r>
      <w:bookmarkEnd w:id="106"/>
      <w:bookmarkEnd w:id="107"/>
    </w:p>
    <w:p w14:paraId="5DA02E7E" w14:textId="77777777" w:rsidR="00025469" w:rsidRPr="00BA3F58" w:rsidRDefault="00025469" w:rsidP="00025469">
      <w:pPr>
        <w:pStyle w:val="subsection"/>
      </w:pPr>
      <w:r w:rsidRPr="00BA3F58">
        <w:tab/>
      </w:r>
      <w:r w:rsidRPr="00BA3F58">
        <w:tab/>
        <w:t xml:space="preserve">Part 3 of these rules does </w:t>
      </w:r>
      <w:r w:rsidRPr="00744782">
        <w:rPr>
          <w:i/>
          <w:iCs/>
        </w:rPr>
        <w:t>not</w:t>
      </w:r>
      <w:r w:rsidRPr="00BA3F58">
        <w:t xml:space="preserve"> apply in relation to NBL sector data.</w:t>
      </w:r>
    </w:p>
    <w:p w14:paraId="343F86C5" w14:textId="73809026" w:rsidR="00025469" w:rsidRPr="00BA3F58" w:rsidRDefault="00025469" w:rsidP="00744782">
      <w:pPr>
        <w:pStyle w:val="ActHead3"/>
      </w:pPr>
      <w:bookmarkStart w:id="109" w:name="_Toc190683832"/>
      <w:bookmarkStart w:id="110" w:name="_Toc191450854"/>
      <w:bookmarkEnd w:id="97"/>
      <w:bookmarkEnd w:id="108"/>
      <w:r w:rsidRPr="00BA3F58">
        <w:t>Division 6.</w:t>
      </w:r>
      <w:r w:rsidR="00C62DB4" w:rsidRPr="00BA3F58">
        <w:t>2</w:t>
      </w:r>
      <w:r w:rsidRPr="00BA3F58">
        <w:t>—Application to data holders in the banking sector</w:t>
      </w:r>
      <w:bookmarkEnd w:id="109"/>
      <w:bookmarkEnd w:id="110"/>
    </w:p>
    <w:p w14:paraId="0421F296" w14:textId="442823A3" w:rsidR="00025469" w:rsidRPr="00BA3F58" w:rsidRDefault="00BA3F58" w:rsidP="00823BC1">
      <w:pPr>
        <w:pStyle w:val="ActHead5"/>
      </w:pPr>
      <w:bookmarkStart w:id="111" w:name="_Toc190683833"/>
      <w:bookmarkStart w:id="112" w:name="_Toc191450855"/>
      <w:proofErr w:type="gramStart"/>
      <w:r>
        <w:t>6.</w:t>
      </w:r>
      <w:r w:rsidR="0014308F">
        <w:t>8</w:t>
      </w:r>
      <w:r w:rsidR="00823BC1" w:rsidRPr="00BA3F58">
        <w:t xml:space="preserve">  </w:t>
      </w:r>
      <w:r w:rsidR="00025469" w:rsidRPr="00BA3F58">
        <w:t>Consumer</w:t>
      </w:r>
      <w:proofErr w:type="gramEnd"/>
      <w:r w:rsidR="00025469" w:rsidRPr="00BA3F58">
        <w:t xml:space="preserve"> data requests under Part 3 of these rules</w:t>
      </w:r>
      <w:bookmarkEnd w:id="111"/>
      <w:bookmarkEnd w:id="112"/>
    </w:p>
    <w:p w14:paraId="25640EC1" w14:textId="77777777" w:rsidR="00025469" w:rsidRPr="00BA3F58" w:rsidRDefault="00025469" w:rsidP="00025469">
      <w:pPr>
        <w:pStyle w:val="subsection"/>
      </w:pPr>
      <w:r w:rsidRPr="00BA3F58">
        <w:tab/>
      </w:r>
      <w:r w:rsidRPr="00BA3F58">
        <w:tab/>
        <w:t xml:space="preserve">Part 3 of these rules does </w:t>
      </w:r>
      <w:r w:rsidRPr="00744782">
        <w:rPr>
          <w:i/>
          <w:iCs/>
        </w:rPr>
        <w:t>not</w:t>
      </w:r>
      <w:r w:rsidRPr="00BA3F58">
        <w:t xml:space="preserve"> apply in relation to banking sector data.</w:t>
      </w:r>
    </w:p>
    <w:p w14:paraId="0A96C6AD" w14:textId="1FD6F806" w:rsidR="00025469" w:rsidRPr="00BA3F58" w:rsidRDefault="00BA3F58" w:rsidP="00823BC1">
      <w:pPr>
        <w:pStyle w:val="ActHead5"/>
      </w:pPr>
      <w:bookmarkStart w:id="113" w:name="_Toc190683834"/>
      <w:bookmarkStart w:id="114" w:name="_Toc191450856"/>
      <w:proofErr w:type="gramStart"/>
      <w:r>
        <w:t>6.</w:t>
      </w:r>
      <w:r w:rsidR="0014308F">
        <w:t>9</w:t>
      </w:r>
      <w:r w:rsidR="00823BC1" w:rsidRPr="00BA3F58">
        <w:t xml:space="preserve">  </w:t>
      </w:r>
      <w:r w:rsidR="00025469" w:rsidRPr="00BA3F58">
        <w:t>Entities</w:t>
      </w:r>
      <w:proofErr w:type="gramEnd"/>
      <w:r w:rsidR="00025469" w:rsidRPr="00BA3F58">
        <w:t xml:space="preserve"> that become </w:t>
      </w:r>
      <w:r w:rsidR="008344CF" w:rsidRPr="00BA3F58">
        <w:t xml:space="preserve">unrestricted </w:t>
      </w:r>
      <w:r w:rsidR="00025469" w:rsidRPr="00BA3F58">
        <w:t>ADIs after specified date</w:t>
      </w:r>
      <w:bookmarkEnd w:id="113"/>
      <w:bookmarkEnd w:id="114"/>
    </w:p>
    <w:p w14:paraId="291DCF12" w14:textId="0549966C" w:rsidR="003C28D6" w:rsidRPr="00BA3F58" w:rsidRDefault="00025469" w:rsidP="003C28D6">
      <w:pPr>
        <w:pStyle w:val="subsection"/>
        <w:rPr>
          <w:i/>
        </w:rPr>
      </w:pPr>
      <w:bookmarkStart w:id="115" w:name="_Hlk151309081"/>
      <w:r w:rsidRPr="00BA3F58">
        <w:tab/>
      </w:r>
      <w:r w:rsidR="003C28D6" w:rsidRPr="00BA3F58">
        <w:t>(1)</w:t>
      </w:r>
      <w:r w:rsidR="003C28D6" w:rsidRPr="00BA3F58">
        <w:tab/>
        <w:t xml:space="preserve">This clause applies to a person who becomes an unrestricted ADI on a day (the </w:t>
      </w:r>
      <w:r w:rsidR="003C28D6" w:rsidRPr="00BA3F58">
        <w:rPr>
          <w:b/>
          <w:i/>
        </w:rPr>
        <w:t>relevant day</w:t>
      </w:r>
      <w:r w:rsidR="003C28D6" w:rsidRPr="00BA3F58">
        <w:t>)</w:t>
      </w:r>
      <w:r w:rsidR="003C28D6" w:rsidRPr="00BA3F58">
        <w:rPr>
          <w:b/>
          <w:i/>
        </w:rPr>
        <w:t xml:space="preserve"> </w:t>
      </w:r>
      <w:r w:rsidR="003C28D6" w:rsidRPr="00BA3F58">
        <w:t xml:space="preserve">that is on or after the </w:t>
      </w:r>
      <w:r w:rsidR="00FF2D00">
        <w:t xml:space="preserve">day </w:t>
      </w:r>
      <w:r w:rsidR="003C28D6" w:rsidRPr="00BA3F58">
        <w:t xml:space="preserve">the </w:t>
      </w:r>
      <w:r w:rsidR="003C28D6" w:rsidRPr="00BA3F58">
        <w:rPr>
          <w:i/>
        </w:rPr>
        <w:t>Competition and Consumer (Consumer Data Right) Amendment Rules (</w:t>
      </w:r>
      <w:r w:rsidR="00717E47">
        <w:rPr>
          <w:i/>
        </w:rPr>
        <w:t>202</w:t>
      </w:r>
      <w:r w:rsidR="007927E1">
        <w:rPr>
          <w:i/>
        </w:rPr>
        <w:t>5</w:t>
      </w:r>
      <w:r w:rsidR="00717E47">
        <w:rPr>
          <w:i/>
        </w:rPr>
        <w:t xml:space="preserve"> Measures </w:t>
      </w:r>
      <w:r w:rsidR="003C28D6" w:rsidRPr="00BA3F58">
        <w:rPr>
          <w:i/>
        </w:rPr>
        <w:t>No</w:t>
      </w:r>
      <w:r w:rsidR="00FF2D00" w:rsidRPr="00BA3F58">
        <w:rPr>
          <w:i/>
        </w:rPr>
        <w:t>.</w:t>
      </w:r>
      <w:r w:rsidR="00FF2D00">
        <w:rPr>
          <w:i/>
        </w:rPr>
        <w:t> </w:t>
      </w:r>
      <w:r w:rsidR="007927E1">
        <w:rPr>
          <w:i/>
        </w:rPr>
        <w:t>1</w:t>
      </w:r>
      <w:r w:rsidR="00FF2D00" w:rsidRPr="00BA3F58">
        <w:rPr>
          <w:i/>
        </w:rPr>
        <w:t>)</w:t>
      </w:r>
      <w:r w:rsidR="00FF2D00">
        <w:rPr>
          <w:i/>
        </w:rPr>
        <w:t> </w:t>
      </w:r>
      <w:r w:rsidR="003C28D6" w:rsidRPr="00BA3F58">
        <w:rPr>
          <w:i/>
        </w:rPr>
        <w:t>202</w:t>
      </w:r>
      <w:r w:rsidR="007927E1">
        <w:rPr>
          <w:i/>
        </w:rPr>
        <w:t>5</w:t>
      </w:r>
      <w:r w:rsidR="00E7145F">
        <w:rPr>
          <w:iCs/>
        </w:rPr>
        <w:t xml:space="preserve"> commences</w:t>
      </w:r>
      <w:r w:rsidR="003C28D6" w:rsidRPr="00BA3F58">
        <w:rPr>
          <w:i/>
        </w:rPr>
        <w:t>.</w:t>
      </w:r>
    </w:p>
    <w:p w14:paraId="779DB3E9" w14:textId="77777777" w:rsidR="003C28D6" w:rsidRPr="00010BBD" w:rsidRDefault="003C28D6" w:rsidP="00ED7796">
      <w:pPr>
        <w:pStyle w:val="notetext"/>
      </w:pPr>
      <w:r w:rsidRPr="00010BBD">
        <w:t>Note:</w:t>
      </w:r>
      <w:r w:rsidRPr="00010BBD">
        <w:tab/>
        <w:t xml:space="preserve">This includes a person who was previously a restricted </w:t>
      </w:r>
      <w:proofErr w:type="gramStart"/>
      <w:r w:rsidRPr="00010BBD">
        <w:t>ADI, and</w:t>
      </w:r>
      <w:proofErr w:type="gramEnd"/>
      <w:r w:rsidRPr="00010BBD">
        <w:t xml:space="preserve"> was therefore an excluded data holder for this sector.</w:t>
      </w:r>
    </w:p>
    <w:p w14:paraId="780BF1B2" w14:textId="665D589A" w:rsidR="003C28D6" w:rsidRPr="00BA3F58" w:rsidRDefault="003C28D6" w:rsidP="003C28D6">
      <w:pPr>
        <w:pStyle w:val="subsection"/>
      </w:pPr>
      <w:r w:rsidRPr="00BA3F58">
        <w:tab/>
        <w:t>(2)</w:t>
      </w:r>
      <w:r w:rsidRPr="00BA3F58">
        <w:tab/>
        <w:t>These rules apply in relation to the person:</w:t>
      </w:r>
    </w:p>
    <w:p w14:paraId="7D4423D6" w14:textId="12E0CB8D" w:rsidR="003C28D6" w:rsidRPr="00BA3F58" w:rsidRDefault="003C28D6" w:rsidP="003C28D6">
      <w:pPr>
        <w:pStyle w:val="paragraph"/>
      </w:pPr>
      <w:r w:rsidRPr="00BA3F58">
        <w:tab/>
        <w:t>(a)</w:t>
      </w:r>
      <w:r w:rsidRPr="00BA3F58">
        <w:tab/>
        <w:t>in respect of a product data request—</w:t>
      </w:r>
      <w:r w:rsidR="00FA6BBC">
        <w:t>on and after</w:t>
      </w:r>
      <w:r w:rsidRPr="00BA3F58">
        <w:t xml:space="preserve"> the day that is 12 months after the relevant day; and</w:t>
      </w:r>
    </w:p>
    <w:p w14:paraId="3A1FB16B" w14:textId="5F8A89A4" w:rsidR="003C28D6" w:rsidRPr="00BA3F58" w:rsidRDefault="003C28D6" w:rsidP="003C28D6">
      <w:pPr>
        <w:pStyle w:val="paragraph"/>
      </w:pPr>
      <w:r w:rsidRPr="00BA3F58">
        <w:tab/>
        <w:t>(b)</w:t>
      </w:r>
      <w:r w:rsidRPr="00BA3F58">
        <w:tab/>
        <w:t>in respect of a consumer data request made by an accredited person, other than a complex request—</w:t>
      </w:r>
      <w:r w:rsidR="00FA6BBC">
        <w:t>on and after</w:t>
      </w:r>
      <w:r w:rsidRPr="00BA3F58">
        <w:t xml:space="preserve"> the day that is 15 months after the relevant day; and</w:t>
      </w:r>
    </w:p>
    <w:p w14:paraId="6CE62644" w14:textId="60CF351D" w:rsidR="003C28D6" w:rsidRPr="00BA3F58" w:rsidRDefault="003C28D6" w:rsidP="003C28D6">
      <w:pPr>
        <w:pStyle w:val="paragraph"/>
      </w:pPr>
      <w:r w:rsidRPr="00BA3F58">
        <w:tab/>
        <w:t>(c)</w:t>
      </w:r>
      <w:r w:rsidRPr="00BA3F58">
        <w:tab/>
        <w:t>in respect of a complex request made by an accredited person—</w:t>
      </w:r>
      <w:r w:rsidR="00FA6BBC">
        <w:t>on and after</w:t>
      </w:r>
      <w:r w:rsidRPr="00BA3F58">
        <w:t xml:space="preserve"> the day that is 18 months after the relevant day.</w:t>
      </w:r>
    </w:p>
    <w:p w14:paraId="2843B5A2" w14:textId="1C273DD9" w:rsidR="00F700AF" w:rsidRPr="00BA3F58" w:rsidRDefault="00BA3F58" w:rsidP="00823BC1">
      <w:pPr>
        <w:pStyle w:val="ActHead5"/>
      </w:pPr>
      <w:bookmarkStart w:id="116" w:name="_Toc190683835"/>
      <w:bookmarkStart w:id="117" w:name="_Toc191450857"/>
      <w:bookmarkEnd w:id="115"/>
      <w:proofErr w:type="gramStart"/>
      <w:r>
        <w:t>6.</w:t>
      </w:r>
      <w:r w:rsidR="0014308F">
        <w:t>10</w:t>
      </w:r>
      <w:r w:rsidR="00823BC1" w:rsidRPr="00BA3F58">
        <w:t xml:space="preserve">  </w:t>
      </w:r>
      <w:r w:rsidR="006F153D" w:rsidRPr="00BA3F58">
        <w:t>Providers</w:t>
      </w:r>
      <w:proofErr w:type="gramEnd"/>
      <w:r w:rsidR="006F153D" w:rsidRPr="00BA3F58">
        <w:t xml:space="preserve"> of buy now, pay later products</w:t>
      </w:r>
      <w:bookmarkEnd w:id="116"/>
      <w:bookmarkEnd w:id="117"/>
    </w:p>
    <w:p w14:paraId="3FB65F31" w14:textId="35C06BAF" w:rsidR="00F700AF" w:rsidRPr="00BA3F58" w:rsidRDefault="00F700AF" w:rsidP="00F700AF">
      <w:pPr>
        <w:pStyle w:val="subsection"/>
        <w:keepNext/>
        <w:keepLines/>
      </w:pPr>
      <w:r w:rsidRPr="00BA3F58">
        <w:tab/>
        <w:t>(1)</w:t>
      </w:r>
      <w:r w:rsidRPr="00BA3F58">
        <w:tab/>
        <w:t xml:space="preserve">In this </w:t>
      </w:r>
      <w:r w:rsidR="006C09E8">
        <w:t>clause</w:t>
      </w:r>
      <w:r w:rsidRPr="00BA3F58">
        <w:t xml:space="preserve">, where a </w:t>
      </w:r>
      <w:r w:rsidR="006F53FC" w:rsidRPr="00BA3F58">
        <w:t>data holder</w:t>
      </w:r>
      <w:r w:rsidRPr="00BA3F58">
        <w:t xml:space="preserve"> in the banking sector offers</w:t>
      </w:r>
      <w:r w:rsidR="0099030A" w:rsidRPr="00BA3F58">
        <w:t xml:space="preserve"> </w:t>
      </w:r>
      <w:r w:rsidRPr="00BA3F58">
        <w:t>a covered product that is a buy now, pay later product</w:t>
      </w:r>
      <w:r w:rsidR="00AC7EBF" w:rsidRPr="00BA3F58">
        <w:t xml:space="preserve"> (a </w:t>
      </w:r>
      <w:r w:rsidR="00AC7EBF" w:rsidRPr="00BA3F58">
        <w:rPr>
          <w:b/>
          <w:i/>
        </w:rPr>
        <w:t>BNPL product</w:t>
      </w:r>
      <w:r w:rsidR="00AC7EBF" w:rsidRPr="00BA3F58">
        <w:t>)</w:t>
      </w:r>
      <w:r w:rsidRPr="00BA3F58">
        <w:t xml:space="preserve">, its </w:t>
      </w:r>
      <w:r w:rsidR="00AC7EBF" w:rsidRPr="00BA3F58">
        <w:rPr>
          <w:b/>
          <w:i/>
        </w:rPr>
        <w:t xml:space="preserve">BNPL </w:t>
      </w:r>
      <w:r w:rsidRPr="00BA3F58">
        <w:rPr>
          <w:b/>
          <w:i/>
        </w:rPr>
        <w:t>date</w:t>
      </w:r>
      <w:r w:rsidRPr="00BA3F58">
        <w:t xml:space="preserve"> is the date that it first offer</w:t>
      </w:r>
      <w:r w:rsidR="0099030A" w:rsidRPr="00BA3F58">
        <w:t>ed</w:t>
      </w:r>
      <w:r w:rsidRPr="00BA3F58">
        <w:t xml:space="preserve"> a </w:t>
      </w:r>
      <w:r w:rsidR="00AC7EBF" w:rsidRPr="00BA3F58">
        <w:t xml:space="preserve">BNPL </w:t>
      </w:r>
      <w:r w:rsidRPr="00BA3F58">
        <w:t>product.</w:t>
      </w:r>
    </w:p>
    <w:p w14:paraId="657DAAA6" w14:textId="69A11F3F" w:rsidR="00F700AF" w:rsidRPr="00BA3F58" w:rsidRDefault="00F700AF" w:rsidP="00F700AF">
      <w:pPr>
        <w:pStyle w:val="subsection"/>
        <w:keepNext/>
        <w:keepLines/>
      </w:pPr>
      <w:r w:rsidRPr="00BA3F58">
        <w:tab/>
        <w:t>(2)</w:t>
      </w:r>
      <w:r w:rsidRPr="00BA3F58">
        <w:tab/>
        <w:t xml:space="preserve">These rules apply in relation to such a </w:t>
      </w:r>
      <w:r w:rsidR="006F53FC" w:rsidRPr="00BA3F58">
        <w:t>data holder</w:t>
      </w:r>
      <w:r w:rsidRPr="00BA3F58">
        <w:t xml:space="preserve"> with a </w:t>
      </w:r>
      <w:r w:rsidR="00AC7EBF" w:rsidRPr="00BA3F58">
        <w:t xml:space="preserve">BNPL </w:t>
      </w:r>
      <w:r w:rsidRPr="00BA3F58">
        <w:t xml:space="preserve">date that is on or before </w:t>
      </w:r>
      <w:r w:rsidR="00401526">
        <w:t>the tranche 1 date</w:t>
      </w:r>
      <w:r w:rsidR="00AB48B7" w:rsidRPr="00BA3F58">
        <w:t xml:space="preserve">, in </w:t>
      </w:r>
      <w:r w:rsidR="0099030A" w:rsidRPr="00BA3F58">
        <w:t>respect of</w:t>
      </w:r>
      <w:r w:rsidR="00AB48B7" w:rsidRPr="00BA3F58">
        <w:t xml:space="preserve"> </w:t>
      </w:r>
      <w:r w:rsidR="00AC7EBF" w:rsidRPr="00BA3F58">
        <w:t>CDR data that relates to a BNPL product</w:t>
      </w:r>
      <w:r w:rsidR="00AB48B7" w:rsidRPr="00BA3F58">
        <w:t>,</w:t>
      </w:r>
      <w:r w:rsidRPr="00BA3F58">
        <w:t xml:space="preserve"> as set out in the following table:</w:t>
      </w:r>
    </w:p>
    <w:p w14:paraId="21088C41" w14:textId="77777777" w:rsidR="00F700AF" w:rsidRPr="0014308F" w:rsidRDefault="00F700AF" w:rsidP="009C1CB7">
      <w:pPr>
        <w:pStyle w:val="Tabletext"/>
      </w:pPr>
    </w:p>
    <w:tbl>
      <w:tblPr>
        <w:tblStyle w:val="TableGrid"/>
        <w:tblW w:w="42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
        <w:gridCol w:w="2685"/>
        <w:gridCol w:w="3956"/>
      </w:tblGrid>
      <w:tr w:rsidR="00835D8E" w:rsidRPr="00BA3F58" w14:paraId="6FEAEBEA" w14:textId="77777777" w:rsidTr="00CD7D11">
        <w:trPr>
          <w:tblHeader/>
        </w:trPr>
        <w:tc>
          <w:tcPr>
            <w:tcW w:w="301" w:type="pct"/>
            <w:tcBorders>
              <w:top w:val="single" w:sz="12" w:space="0" w:color="auto"/>
              <w:left w:val="nil"/>
              <w:bottom w:val="single" w:sz="2" w:space="0" w:color="auto"/>
              <w:right w:val="nil"/>
            </w:tcBorders>
          </w:tcPr>
          <w:p w14:paraId="5FF96D4E" w14:textId="77777777" w:rsidR="00F700AF" w:rsidRPr="00BA3F58" w:rsidRDefault="00F700AF" w:rsidP="00F700AF">
            <w:pPr>
              <w:pStyle w:val="TableHeading"/>
              <w:keepLines/>
              <w:spacing w:after="60"/>
              <w:jc w:val="center"/>
              <w:rPr>
                <w:lang w:eastAsia="en-US"/>
              </w:rPr>
            </w:pPr>
          </w:p>
        </w:tc>
        <w:tc>
          <w:tcPr>
            <w:tcW w:w="4699" w:type="pct"/>
            <w:gridSpan w:val="2"/>
            <w:tcBorders>
              <w:top w:val="single" w:sz="12" w:space="0" w:color="auto"/>
              <w:left w:val="nil"/>
              <w:bottom w:val="single" w:sz="2" w:space="0" w:color="auto"/>
              <w:right w:val="nil"/>
            </w:tcBorders>
            <w:hideMark/>
          </w:tcPr>
          <w:p w14:paraId="7EE3456A" w14:textId="7D66C249" w:rsidR="00F700AF" w:rsidRPr="00BA3F58" w:rsidRDefault="00AB48B7" w:rsidP="00F700AF">
            <w:pPr>
              <w:pStyle w:val="TableHeading"/>
              <w:keepLines/>
              <w:spacing w:after="60"/>
              <w:jc w:val="center"/>
              <w:rPr>
                <w:lang w:eastAsia="en-US"/>
              </w:rPr>
            </w:pPr>
            <w:r w:rsidRPr="00BA3F58">
              <w:t xml:space="preserve">Application to </w:t>
            </w:r>
            <w:r w:rsidR="006F53FC" w:rsidRPr="00BA3F58">
              <w:t>data holder</w:t>
            </w:r>
            <w:r w:rsidRPr="00BA3F58">
              <w:t xml:space="preserve"> </w:t>
            </w:r>
            <w:r w:rsidRPr="00BA3F58">
              <w:rPr>
                <w:lang w:eastAsia="en-US"/>
              </w:rPr>
              <w:t xml:space="preserve">with </w:t>
            </w:r>
            <w:r w:rsidR="00AC7EBF" w:rsidRPr="00BA3F58">
              <w:rPr>
                <w:lang w:eastAsia="en-US"/>
              </w:rPr>
              <w:t xml:space="preserve">BNPL </w:t>
            </w:r>
            <w:r w:rsidRPr="00BA3F58">
              <w:rPr>
                <w:lang w:eastAsia="en-US"/>
              </w:rPr>
              <w:t xml:space="preserve">date on or before </w:t>
            </w:r>
            <w:r w:rsidR="00401526">
              <w:t>the tranche 1 date</w:t>
            </w:r>
            <w:r w:rsidRPr="00BA3F58">
              <w:rPr>
                <w:lang w:eastAsia="en-US"/>
              </w:rPr>
              <w:t xml:space="preserve">, </w:t>
            </w:r>
            <w:r w:rsidRPr="00BA3F58">
              <w:t xml:space="preserve">in respect of </w:t>
            </w:r>
            <w:r w:rsidR="00AC7EBF" w:rsidRPr="00BA3F58">
              <w:t xml:space="preserve">CDR </w:t>
            </w:r>
            <w:r w:rsidRPr="00BA3F58">
              <w:t>data</w:t>
            </w:r>
            <w:r w:rsidR="00AC7EBF" w:rsidRPr="00BA3F58">
              <w:t xml:space="preserve"> that relates to a BNPL product</w:t>
            </w:r>
          </w:p>
        </w:tc>
      </w:tr>
      <w:tr w:rsidR="00835D8E" w:rsidRPr="00BA3F58" w14:paraId="73EFBF3A" w14:textId="77777777" w:rsidTr="00F700AF">
        <w:trPr>
          <w:tblHeader/>
        </w:trPr>
        <w:tc>
          <w:tcPr>
            <w:tcW w:w="301" w:type="pct"/>
            <w:tcBorders>
              <w:top w:val="single" w:sz="2" w:space="0" w:color="auto"/>
              <w:left w:val="nil"/>
              <w:bottom w:val="single" w:sz="12" w:space="0" w:color="auto"/>
              <w:right w:val="nil"/>
            </w:tcBorders>
          </w:tcPr>
          <w:p w14:paraId="22696C51" w14:textId="77777777" w:rsidR="00F700AF" w:rsidRPr="00BA3F58" w:rsidRDefault="00F700AF" w:rsidP="00F700AF">
            <w:pPr>
              <w:pStyle w:val="TableHeading"/>
              <w:keepLines/>
              <w:rPr>
                <w:lang w:eastAsia="en-US"/>
              </w:rPr>
            </w:pPr>
          </w:p>
        </w:tc>
        <w:tc>
          <w:tcPr>
            <w:tcW w:w="1900" w:type="pct"/>
            <w:tcBorders>
              <w:top w:val="single" w:sz="2" w:space="0" w:color="auto"/>
              <w:left w:val="nil"/>
              <w:bottom w:val="single" w:sz="12" w:space="0" w:color="auto"/>
              <w:right w:val="nil"/>
            </w:tcBorders>
            <w:hideMark/>
          </w:tcPr>
          <w:p w14:paraId="416D2017" w14:textId="77777777" w:rsidR="00F700AF" w:rsidRPr="00BA3F58" w:rsidRDefault="00F700AF" w:rsidP="00F700AF">
            <w:pPr>
              <w:pStyle w:val="TableHeading"/>
              <w:keepLines/>
              <w:rPr>
                <w:lang w:eastAsia="en-US"/>
              </w:rPr>
            </w:pPr>
            <w:r w:rsidRPr="00BA3F58">
              <w:rPr>
                <w:lang w:eastAsia="en-US"/>
              </w:rPr>
              <w:t>Column 1</w:t>
            </w:r>
          </w:p>
          <w:p w14:paraId="1274E2D5" w14:textId="77777777" w:rsidR="00F700AF" w:rsidRPr="00BA3F58" w:rsidRDefault="00F700AF" w:rsidP="00F700AF">
            <w:pPr>
              <w:pStyle w:val="TableHeading"/>
              <w:keepLines/>
              <w:rPr>
                <w:lang w:eastAsia="en-US"/>
              </w:rPr>
            </w:pPr>
            <w:r w:rsidRPr="00BA3F58">
              <w:rPr>
                <w:lang w:eastAsia="en-US"/>
              </w:rPr>
              <w:t>Type of request</w:t>
            </w:r>
          </w:p>
        </w:tc>
        <w:tc>
          <w:tcPr>
            <w:tcW w:w="2799" w:type="pct"/>
            <w:tcBorders>
              <w:top w:val="single" w:sz="2" w:space="0" w:color="auto"/>
              <w:left w:val="nil"/>
              <w:bottom w:val="single" w:sz="12" w:space="0" w:color="auto"/>
              <w:right w:val="nil"/>
            </w:tcBorders>
            <w:hideMark/>
          </w:tcPr>
          <w:p w14:paraId="292EBC01" w14:textId="77777777" w:rsidR="00F700AF" w:rsidRPr="00BA3F58" w:rsidRDefault="00F700AF" w:rsidP="00F700AF">
            <w:pPr>
              <w:pStyle w:val="TableHeading"/>
              <w:keepLines/>
              <w:rPr>
                <w:lang w:eastAsia="en-US"/>
              </w:rPr>
            </w:pPr>
            <w:r w:rsidRPr="00BA3F58">
              <w:rPr>
                <w:lang w:eastAsia="en-US"/>
              </w:rPr>
              <w:t>Column 2</w:t>
            </w:r>
          </w:p>
          <w:p w14:paraId="00EF35CE" w14:textId="77777777" w:rsidR="00F700AF" w:rsidRPr="00BA3F58" w:rsidRDefault="00F700AF" w:rsidP="00F700AF">
            <w:pPr>
              <w:pStyle w:val="TableHeading"/>
              <w:keepLines/>
              <w:rPr>
                <w:lang w:eastAsia="en-US"/>
              </w:rPr>
            </w:pPr>
            <w:r w:rsidRPr="00BA3F58">
              <w:rPr>
                <w:lang w:eastAsia="en-US"/>
              </w:rPr>
              <w:t>Application of rules</w:t>
            </w:r>
          </w:p>
        </w:tc>
      </w:tr>
      <w:tr w:rsidR="00835D8E" w:rsidRPr="00BA3F58" w14:paraId="72CB8A70" w14:textId="77777777" w:rsidTr="00180E96">
        <w:tc>
          <w:tcPr>
            <w:tcW w:w="301" w:type="pct"/>
            <w:tcBorders>
              <w:top w:val="single" w:sz="12" w:space="0" w:color="auto"/>
              <w:left w:val="nil"/>
              <w:bottom w:val="single" w:sz="2" w:space="0" w:color="auto"/>
              <w:right w:val="nil"/>
            </w:tcBorders>
            <w:hideMark/>
          </w:tcPr>
          <w:p w14:paraId="4F881865" w14:textId="77777777" w:rsidR="00F700AF" w:rsidRPr="00BA3F58" w:rsidRDefault="00F700AF" w:rsidP="00F700AF">
            <w:pPr>
              <w:pStyle w:val="Tabletext"/>
              <w:rPr>
                <w:lang w:eastAsia="en-US"/>
              </w:rPr>
            </w:pPr>
            <w:r w:rsidRPr="00BA3F58">
              <w:rPr>
                <w:lang w:eastAsia="en-US"/>
              </w:rPr>
              <w:t>1</w:t>
            </w:r>
          </w:p>
        </w:tc>
        <w:tc>
          <w:tcPr>
            <w:tcW w:w="1900" w:type="pct"/>
            <w:tcBorders>
              <w:top w:val="single" w:sz="12" w:space="0" w:color="auto"/>
              <w:left w:val="nil"/>
              <w:bottom w:val="single" w:sz="2" w:space="0" w:color="auto"/>
              <w:right w:val="nil"/>
            </w:tcBorders>
            <w:hideMark/>
          </w:tcPr>
          <w:p w14:paraId="331CB787" w14:textId="77777777" w:rsidR="00F700AF" w:rsidRPr="00BA3F58" w:rsidRDefault="00F700AF" w:rsidP="00F700AF">
            <w:pPr>
              <w:pStyle w:val="Tabletext"/>
              <w:rPr>
                <w:lang w:eastAsia="en-US"/>
              </w:rPr>
            </w:pPr>
            <w:r w:rsidRPr="00BA3F58">
              <w:rPr>
                <w:lang w:eastAsia="en-US"/>
              </w:rPr>
              <w:t>A product data request under Part 2 of these rules</w:t>
            </w:r>
          </w:p>
        </w:tc>
        <w:tc>
          <w:tcPr>
            <w:tcW w:w="2799" w:type="pct"/>
            <w:tcBorders>
              <w:top w:val="single" w:sz="12" w:space="0" w:color="auto"/>
              <w:left w:val="nil"/>
              <w:bottom w:val="single" w:sz="2" w:space="0" w:color="auto"/>
              <w:right w:val="nil"/>
            </w:tcBorders>
            <w:hideMark/>
          </w:tcPr>
          <w:p w14:paraId="3D1F3F48" w14:textId="411612BE" w:rsidR="00F700AF" w:rsidRPr="00BA3F58" w:rsidRDefault="00FA6BBC" w:rsidP="00744782">
            <w:pPr>
              <w:pStyle w:val="Tabletext"/>
            </w:pPr>
            <w:r>
              <w:rPr>
                <w:lang w:eastAsia="en-US"/>
              </w:rPr>
              <w:t>On and after</w:t>
            </w:r>
            <w:r w:rsidR="00F700AF" w:rsidRPr="00BA3F58">
              <w:rPr>
                <w:lang w:eastAsia="en-US"/>
              </w:rPr>
              <w:t xml:space="preserve"> the tranche 1 date</w:t>
            </w:r>
          </w:p>
        </w:tc>
      </w:tr>
      <w:tr w:rsidR="00835D8E" w:rsidRPr="00BA3F58" w14:paraId="1D9D38C7" w14:textId="77777777" w:rsidTr="00180E96">
        <w:tc>
          <w:tcPr>
            <w:tcW w:w="301" w:type="pct"/>
            <w:tcBorders>
              <w:top w:val="single" w:sz="2" w:space="0" w:color="auto"/>
              <w:left w:val="nil"/>
              <w:bottom w:val="single" w:sz="12" w:space="0" w:color="auto"/>
              <w:right w:val="nil"/>
            </w:tcBorders>
            <w:hideMark/>
          </w:tcPr>
          <w:p w14:paraId="058AF05D" w14:textId="77777777" w:rsidR="00F700AF" w:rsidRPr="00BA3F58" w:rsidRDefault="00F700AF" w:rsidP="00F700AF">
            <w:pPr>
              <w:pStyle w:val="Tabletext"/>
              <w:rPr>
                <w:lang w:eastAsia="en-US"/>
              </w:rPr>
            </w:pPr>
            <w:r w:rsidRPr="00BA3F58">
              <w:rPr>
                <w:lang w:eastAsia="en-US"/>
              </w:rPr>
              <w:t>2</w:t>
            </w:r>
          </w:p>
        </w:tc>
        <w:tc>
          <w:tcPr>
            <w:tcW w:w="1900" w:type="pct"/>
            <w:tcBorders>
              <w:top w:val="single" w:sz="2" w:space="0" w:color="auto"/>
              <w:left w:val="nil"/>
              <w:bottom w:val="single" w:sz="12" w:space="0" w:color="auto"/>
              <w:right w:val="nil"/>
            </w:tcBorders>
            <w:hideMark/>
          </w:tcPr>
          <w:p w14:paraId="3E33D50F" w14:textId="77777777" w:rsidR="00F700AF" w:rsidRPr="00BA3F58" w:rsidRDefault="00F700AF" w:rsidP="00F700AF">
            <w:pPr>
              <w:pStyle w:val="Tabletext"/>
              <w:rPr>
                <w:lang w:eastAsia="en-US"/>
              </w:rPr>
            </w:pPr>
            <w:r w:rsidRPr="00BA3F58">
              <w:rPr>
                <w:lang w:eastAsia="en-US"/>
              </w:rPr>
              <w:t xml:space="preserve">A consumer data request under Part 4 of these rules, other than a complex request </w:t>
            </w:r>
          </w:p>
        </w:tc>
        <w:tc>
          <w:tcPr>
            <w:tcW w:w="2799" w:type="pct"/>
            <w:tcBorders>
              <w:top w:val="single" w:sz="2" w:space="0" w:color="auto"/>
              <w:left w:val="nil"/>
              <w:bottom w:val="single" w:sz="12" w:space="0" w:color="auto"/>
              <w:right w:val="nil"/>
            </w:tcBorders>
            <w:hideMark/>
          </w:tcPr>
          <w:p w14:paraId="3414D0DB" w14:textId="6E65C284" w:rsidR="00F700AF" w:rsidRPr="00BA3F58" w:rsidRDefault="00FA6BBC" w:rsidP="00744782">
            <w:pPr>
              <w:pStyle w:val="Tabletext"/>
            </w:pPr>
            <w:r>
              <w:rPr>
                <w:lang w:eastAsia="en-US"/>
              </w:rPr>
              <w:t>On and after</w:t>
            </w:r>
            <w:r w:rsidR="00F700AF" w:rsidRPr="00BA3F58">
              <w:rPr>
                <w:lang w:eastAsia="en-US"/>
              </w:rPr>
              <w:t xml:space="preserve"> the tranche </w:t>
            </w:r>
            <w:r w:rsidR="00A469A6" w:rsidRPr="00BA3F58">
              <w:rPr>
                <w:lang w:eastAsia="en-US"/>
              </w:rPr>
              <w:t>2</w:t>
            </w:r>
            <w:r w:rsidR="00F700AF" w:rsidRPr="00BA3F58">
              <w:rPr>
                <w:lang w:eastAsia="en-US"/>
              </w:rPr>
              <w:t xml:space="preserve"> date</w:t>
            </w:r>
          </w:p>
        </w:tc>
      </w:tr>
    </w:tbl>
    <w:p w14:paraId="20986FCE" w14:textId="77777777" w:rsidR="00F700AF" w:rsidRPr="0014308F" w:rsidRDefault="00F700AF" w:rsidP="009C1CB7">
      <w:pPr>
        <w:pStyle w:val="Tabletext"/>
      </w:pPr>
    </w:p>
    <w:p w14:paraId="55F30208" w14:textId="14F98BE4" w:rsidR="00AB48B7" w:rsidRPr="00BA3F58" w:rsidRDefault="00AB48B7" w:rsidP="00AB48B7">
      <w:pPr>
        <w:pStyle w:val="subsection"/>
        <w:keepNext/>
        <w:keepLines/>
      </w:pPr>
      <w:r w:rsidRPr="00BA3F58">
        <w:tab/>
        <w:t>(</w:t>
      </w:r>
      <w:r w:rsidR="002A1158" w:rsidRPr="00BA3F58">
        <w:t>3</w:t>
      </w:r>
      <w:r w:rsidRPr="00BA3F58">
        <w:t>)</w:t>
      </w:r>
      <w:r w:rsidRPr="00BA3F58">
        <w:tab/>
        <w:t xml:space="preserve">These rules apply in relation to such a </w:t>
      </w:r>
      <w:r w:rsidR="006F53FC" w:rsidRPr="00BA3F58">
        <w:t>data holder</w:t>
      </w:r>
      <w:r w:rsidRPr="00BA3F58">
        <w:t xml:space="preserve"> with a </w:t>
      </w:r>
      <w:r w:rsidR="00AC7EBF" w:rsidRPr="00BA3F58">
        <w:t xml:space="preserve">BNPL </w:t>
      </w:r>
      <w:r w:rsidRPr="00BA3F58">
        <w:t xml:space="preserve">date that is </w:t>
      </w:r>
      <w:r w:rsidR="00010BBD">
        <w:t xml:space="preserve">between </w:t>
      </w:r>
      <w:r w:rsidR="009B3FAF">
        <w:t>14</w:t>
      </w:r>
      <w:r w:rsidR="00010BBD">
        <w:t xml:space="preserve"> July</w:t>
      </w:r>
      <w:r w:rsidR="00010BBD" w:rsidRPr="00BA3F58">
        <w:t xml:space="preserve"> 202</w:t>
      </w:r>
      <w:r w:rsidR="009B3FAF">
        <w:t>6</w:t>
      </w:r>
      <w:r w:rsidR="00010BBD">
        <w:t xml:space="preserve"> and </w:t>
      </w:r>
      <w:r w:rsidR="00CF3507">
        <w:t>10 May</w:t>
      </w:r>
      <w:r w:rsidR="00010BBD">
        <w:t xml:space="preserve"> 2027</w:t>
      </w:r>
      <w:r w:rsidRPr="00BA3F58">
        <w:t xml:space="preserve">, in </w:t>
      </w:r>
      <w:r w:rsidR="003A46DD" w:rsidRPr="00BA3F58">
        <w:t>respect of CDR data that relates to a BNPL product</w:t>
      </w:r>
      <w:r w:rsidRPr="00BA3F58">
        <w:t>, as set out in the following table:</w:t>
      </w:r>
    </w:p>
    <w:p w14:paraId="63CDC4A6" w14:textId="77777777" w:rsidR="00F700AF" w:rsidRPr="0014308F" w:rsidRDefault="00F700AF" w:rsidP="009C1CB7">
      <w:pPr>
        <w:pStyle w:val="Tabletext"/>
      </w:pPr>
    </w:p>
    <w:tbl>
      <w:tblPr>
        <w:tblStyle w:val="TableGrid"/>
        <w:tblW w:w="42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
        <w:gridCol w:w="2685"/>
        <w:gridCol w:w="3956"/>
      </w:tblGrid>
      <w:tr w:rsidR="00835D8E" w:rsidRPr="00BA3F58" w14:paraId="5D87BCFD" w14:textId="77777777" w:rsidTr="009923DA">
        <w:trPr>
          <w:tblHeader/>
        </w:trPr>
        <w:tc>
          <w:tcPr>
            <w:tcW w:w="301" w:type="pct"/>
            <w:tcBorders>
              <w:top w:val="single" w:sz="12" w:space="0" w:color="auto"/>
              <w:left w:val="nil"/>
              <w:bottom w:val="single" w:sz="2" w:space="0" w:color="auto"/>
              <w:right w:val="nil"/>
            </w:tcBorders>
          </w:tcPr>
          <w:p w14:paraId="67FDF0D7" w14:textId="77777777" w:rsidR="00F700AF" w:rsidRPr="00BA3F58" w:rsidRDefault="00F700AF" w:rsidP="00F700AF">
            <w:pPr>
              <w:pStyle w:val="TableHeading"/>
              <w:keepLines/>
              <w:spacing w:after="60"/>
              <w:jc w:val="center"/>
              <w:rPr>
                <w:lang w:eastAsia="en-US"/>
              </w:rPr>
            </w:pPr>
          </w:p>
        </w:tc>
        <w:tc>
          <w:tcPr>
            <w:tcW w:w="4699" w:type="pct"/>
            <w:gridSpan w:val="2"/>
            <w:tcBorders>
              <w:top w:val="single" w:sz="12" w:space="0" w:color="auto"/>
              <w:left w:val="nil"/>
              <w:bottom w:val="single" w:sz="2" w:space="0" w:color="auto"/>
              <w:right w:val="nil"/>
            </w:tcBorders>
            <w:hideMark/>
          </w:tcPr>
          <w:p w14:paraId="140D4E76" w14:textId="081F8D21" w:rsidR="00F700AF" w:rsidRPr="00BA3F58" w:rsidRDefault="00AB48B7" w:rsidP="00F700AF">
            <w:pPr>
              <w:pStyle w:val="TableHeading"/>
              <w:keepLines/>
              <w:spacing w:after="60"/>
              <w:jc w:val="center"/>
              <w:rPr>
                <w:lang w:eastAsia="en-US"/>
              </w:rPr>
            </w:pPr>
            <w:r w:rsidRPr="00BA3F58">
              <w:t xml:space="preserve">Application to </w:t>
            </w:r>
            <w:r w:rsidR="006F53FC" w:rsidRPr="00BA3F58">
              <w:t>data holder</w:t>
            </w:r>
            <w:r w:rsidRPr="00BA3F58">
              <w:t xml:space="preserve"> </w:t>
            </w:r>
            <w:r w:rsidRPr="00BA3F58">
              <w:rPr>
                <w:lang w:eastAsia="en-US"/>
              </w:rPr>
              <w:t xml:space="preserve">with </w:t>
            </w:r>
            <w:r w:rsidR="00AC7EBF" w:rsidRPr="00BA3F58">
              <w:rPr>
                <w:lang w:eastAsia="en-US"/>
              </w:rPr>
              <w:t xml:space="preserve">BNPL </w:t>
            </w:r>
            <w:r w:rsidRPr="00BA3F58">
              <w:rPr>
                <w:lang w:eastAsia="en-US"/>
              </w:rPr>
              <w:t xml:space="preserve">date </w:t>
            </w:r>
            <w:r w:rsidR="00A13B99" w:rsidRPr="00BA3F58">
              <w:rPr>
                <w:lang w:eastAsia="en-US"/>
              </w:rPr>
              <w:t xml:space="preserve">after </w:t>
            </w:r>
            <w:r w:rsidR="00401526">
              <w:t>the tranche 1 date</w:t>
            </w:r>
            <w:r w:rsidRPr="00BA3F58">
              <w:rPr>
                <w:lang w:eastAsia="en-US"/>
              </w:rPr>
              <w:t xml:space="preserve">, </w:t>
            </w:r>
            <w:r w:rsidRPr="00BA3F58">
              <w:t xml:space="preserve">in respect of </w:t>
            </w:r>
            <w:r w:rsidR="00AC7EBF" w:rsidRPr="00BA3F58">
              <w:t>CDR data that relates to a BNPL product</w:t>
            </w:r>
          </w:p>
        </w:tc>
      </w:tr>
      <w:tr w:rsidR="00835D8E" w:rsidRPr="00BA3F58" w14:paraId="2526E633" w14:textId="77777777" w:rsidTr="00F700AF">
        <w:trPr>
          <w:tblHeader/>
        </w:trPr>
        <w:tc>
          <w:tcPr>
            <w:tcW w:w="301" w:type="pct"/>
            <w:tcBorders>
              <w:top w:val="single" w:sz="2" w:space="0" w:color="auto"/>
              <w:left w:val="nil"/>
              <w:bottom w:val="single" w:sz="12" w:space="0" w:color="auto"/>
              <w:right w:val="nil"/>
            </w:tcBorders>
          </w:tcPr>
          <w:p w14:paraId="3B6A119F" w14:textId="77777777" w:rsidR="00F700AF" w:rsidRPr="00BA3F58" w:rsidRDefault="00F700AF" w:rsidP="00F700AF">
            <w:pPr>
              <w:pStyle w:val="TableHeading"/>
              <w:keepLines/>
              <w:rPr>
                <w:lang w:eastAsia="en-US"/>
              </w:rPr>
            </w:pPr>
          </w:p>
        </w:tc>
        <w:tc>
          <w:tcPr>
            <w:tcW w:w="1900" w:type="pct"/>
            <w:tcBorders>
              <w:top w:val="single" w:sz="2" w:space="0" w:color="auto"/>
              <w:left w:val="nil"/>
              <w:bottom w:val="single" w:sz="12" w:space="0" w:color="auto"/>
              <w:right w:val="nil"/>
            </w:tcBorders>
            <w:hideMark/>
          </w:tcPr>
          <w:p w14:paraId="6F32E730" w14:textId="77777777" w:rsidR="00F700AF" w:rsidRPr="00BA3F58" w:rsidRDefault="00F700AF" w:rsidP="00F700AF">
            <w:pPr>
              <w:pStyle w:val="TableHeading"/>
              <w:keepLines/>
              <w:rPr>
                <w:lang w:eastAsia="en-US"/>
              </w:rPr>
            </w:pPr>
            <w:r w:rsidRPr="00BA3F58">
              <w:rPr>
                <w:lang w:eastAsia="en-US"/>
              </w:rPr>
              <w:t>Column 1</w:t>
            </w:r>
          </w:p>
          <w:p w14:paraId="0EDC01E5" w14:textId="77777777" w:rsidR="00F700AF" w:rsidRPr="00BA3F58" w:rsidRDefault="00F700AF" w:rsidP="00F700AF">
            <w:pPr>
              <w:pStyle w:val="TableHeading"/>
              <w:keepLines/>
              <w:rPr>
                <w:lang w:eastAsia="en-US"/>
              </w:rPr>
            </w:pPr>
            <w:r w:rsidRPr="00BA3F58">
              <w:rPr>
                <w:lang w:eastAsia="en-US"/>
              </w:rPr>
              <w:t>Type of request</w:t>
            </w:r>
          </w:p>
        </w:tc>
        <w:tc>
          <w:tcPr>
            <w:tcW w:w="2799" w:type="pct"/>
            <w:tcBorders>
              <w:top w:val="single" w:sz="2" w:space="0" w:color="auto"/>
              <w:left w:val="nil"/>
              <w:bottom w:val="single" w:sz="12" w:space="0" w:color="auto"/>
              <w:right w:val="nil"/>
            </w:tcBorders>
            <w:hideMark/>
          </w:tcPr>
          <w:p w14:paraId="29415F92" w14:textId="77777777" w:rsidR="00F700AF" w:rsidRPr="00BA3F58" w:rsidRDefault="00F700AF" w:rsidP="00F700AF">
            <w:pPr>
              <w:pStyle w:val="TableHeading"/>
              <w:keepLines/>
              <w:rPr>
                <w:lang w:eastAsia="en-US"/>
              </w:rPr>
            </w:pPr>
            <w:r w:rsidRPr="00BA3F58">
              <w:rPr>
                <w:lang w:eastAsia="en-US"/>
              </w:rPr>
              <w:t>Column 2</w:t>
            </w:r>
          </w:p>
          <w:p w14:paraId="4BFC326A" w14:textId="77777777" w:rsidR="00F700AF" w:rsidRPr="00BA3F58" w:rsidRDefault="00F700AF" w:rsidP="00F700AF">
            <w:pPr>
              <w:pStyle w:val="TableHeading"/>
              <w:keepLines/>
              <w:rPr>
                <w:lang w:eastAsia="en-US"/>
              </w:rPr>
            </w:pPr>
            <w:r w:rsidRPr="00BA3F58">
              <w:rPr>
                <w:lang w:eastAsia="en-US"/>
              </w:rPr>
              <w:t>Application of rules</w:t>
            </w:r>
          </w:p>
        </w:tc>
      </w:tr>
      <w:tr w:rsidR="00835D8E" w:rsidRPr="00BA3F58" w14:paraId="6C3FCB66" w14:textId="77777777" w:rsidTr="00D2428D">
        <w:tc>
          <w:tcPr>
            <w:tcW w:w="301" w:type="pct"/>
            <w:tcBorders>
              <w:top w:val="single" w:sz="12" w:space="0" w:color="auto"/>
              <w:left w:val="nil"/>
              <w:bottom w:val="single" w:sz="2" w:space="0" w:color="auto"/>
              <w:right w:val="nil"/>
            </w:tcBorders>
            <w:hideMark/>
          </w:tcPr>
          <w:p w14:paraId="6059F643" w14:textId="77777777" w:rsidR="00F700AF" w:rsidRPr="00BA3F58" w:rsidRDefault="00F700AF" w:rsidP="00F700AF">
            <w:pPr>
              <w:pStyle w:val="Tabletext"/>
              <w:rPr>
                <w:lang w:eastAsia="en-US"/>
              </w:rPr>
            </w:pPr>
            <w:r w:rsidRPr="00BA3F58">
              <w:rPr>
                <w:lang w:eastAsia="en-US"/>
              </w:rPr>
              <w:t>1</w:t>
            </w:r>
          </w:p>
        </w:tc>
        <w:tc>
          <w:tcPr>
            <w:tcW w:w="1900" w:type="pct"/>
            <w:tcBorders>
              <w:top w:val="single" w:sz="12" w:space="0" w:color="auto"/>
              <w:left w:val="nil"/>
              <w:bottom w:val="single" w:sz="2" w:space="0" w:color="auto"/>
              <w:right w:val="nil"/>
            </w:tcBorders>
            <w:hideMark/>
          </w:tcPr>
          <w:p w14:paraId="764949F8" w14:textId="77777777" w:rsidR="00F700AF" w:rsidRPr="00BA3F58" w:rsidRDefault="00F700AF" w:rsidP="00F700AF">
            <w:pPr>
              <w:pStyle w:val="Tabletext"/>
              <w:rPr>
                <w:lang w:eastAsia="en-US"/>
              </w:rPr>
            </w:pPr>
            <w:r w:rsidRPr="00BA3F58">
              <w:rPr>
                <w:lang w:eastAsia="en-US"/>
              </w:rPr>
              <w:t>A product data request under Part 2 of these rules</w:t>
            </w:r>
          </w:p>
        </w:tc>
        <w:tc>
          <w:tcPr>
            <w:tcW w:w="2799" w:type="pct"/>
            <w:tcBorders>
              <w:top w:val="single" w:sz="12" w:space="0" w:color="auto"/>
              <w:left w:val="nil"/>
              <w:bottom w:val="single" w:sz="2" w:space="0" w:color="auto"/>
              <w:right w:val="nil"/>
            </w:tcBorders>
            <w:hideMark/>
          </w:tcPr>
          <w:p w14:paraId="5E227DC5" w14:textId="63145F0E" w:rsidR="00F700AF" w:rsidRPr="00BA3F58" w:rsidRDefault="00FA6BBC" w:rsidP="00744782">
            <w:pPr>
              <w:pStyle w:val="Tabletext"/>
            </w:pPr>
            <w:r>
              <w:rPr>
                <w:lang w:eastAsia="en-US"/>
              </w:rPr>
              <w:t>On and after</w:t>
            </w:r>
            <w:r w:rsidR="00F700AF" w:rsidRPr="00BA3F58">
              <w:rPr>
                <w:lang w:eastAsia="en-US"/>
              </w:rPr>
              <w:t xml:space="preserve"> the day 12 months after its </w:t>
            </w:r>
            <w:r w:rsidR="00AC7EBF" w:rsidRPr="00BA3F58">
              <w:rPr>
                <w:lang w:eastAsia="en-US"/>
              </w:rPr>
              <w:t xml:space="preserve">BNPL </w:t>
            </w:r>
            <w:r w:rsidR="00F700AF" w:rsidRPr="00BA3F58">
              <w:rPr>
                <w:lang w:eastAsia="en-US"/>
              </w:rPr>
              <w:t>date</w:t>
            </w:r>
          </w:p>
        </w:tc>
      </w:tr>
      <w:tr w:rsidR="00835D8E" w:rsidRPr="00BA3F58" w14:paraId="60D7F1F3" w14:textId="77777777" w:rsidTr="00CB3694">
        <w:tc>
          <w:tcPr>
            <w:tcW w:w="301" w:type="pct"/>
            <w:tcBorders>
              <w:top w:val="single" w:sz="2" w:space="0" w:color="auto"/>
              <w:left w:val="nil"/>
              <w:bottom w:val="single" w:sz="12" w:space="0" w:color="auto"/>
              <w:right w:val="nil"/>
            </w:tcBorders>
            <w:hideMark/>
          </w:tcPr>
          <w:p w14:paraId="666B0A47" w14:textId="77777777" w:rsidR="00F700AF" w:rsidRPr="00BA3F58" w:rsidRDefault="00F700AF" w:rsidP="00F700AF">
            <w:pPr>
              <w:pStyle w:val="Tabletext"/>
              <w:rPr>
                <w:lang w:eastAsia="en-US"/>
              </w:rPr>
            </w:pPr>
            <w:r w:rsidRPr="00BA3F58">
              <w:rPr>
                <w:lang w:eastAsia="en-US"/>
              </w:rPr>
              <w:t>2</w:t>
            </w:r>
          </w:p>
        </w:tc>
        <w:tc>
          <w:tcPr>
            <w:tcW w:w="1900" w:type="pct"/>
            <w:tcBorders>
              <w:top w:val="single" w:sz="2" w:space="0" w:color="auto"/>
              <w:left w:val="nil"/>
              <w:bottom w:val="single" w:sz="12" w:space="0" w:color="auto"/>
              <w:right w:val="nil"/>
            </w:tcBorders>
            <w:hideMark/>
          </w:tcPr>
          <w:p w14:paraId="33763A4F" w14:textId="77777777" w:rsidR="00F700AF" w:rsidRPr="00BA3F58" w:rsidRDefault="00F700AF" w:rsidP="00F700AF">
            <w:pPr>
              <w:pStyle w:val="Tabletext"/>
              <w:rPr>
                <w:lang w:eastAsia="en-US"/>
              </w:rPr>
            </w:pPr>
            <w:r w:rsidRPr="00BA3F58">
              <w:rPr>
                <w:lang w:eastAsia="en-US"/>
              </w:rPr>
              <w:t xml:space="preserve">A consumer data request under Part 4 of these rules, other than a complex request </w:t>
            </w:r>
          </w:p>
        </w:tc>
        <w:tc>
          <w:tcPr>
            <w:tcW w:w="2799" w:type="pct"/>
            <w:tcBorders>
              <w:top w:val="single" w:sz="2" w:space="0" w:color="auto"/>
              <w:left w:val="nil"/>
              <w:bottom w:val="single" w:sz="12" w:space="0" w:color="auto"/>
              <w:right w:val="nil"/>
            </w:tcBorders>
            <w:hideMark/>
          </w:tcPr>
          <w:p w14:paraId="10B73E26" w14:textId="550708C0" w:rsidR="00F700AF" w:rsidRPr="00BA3F58" w:rsidRDefault="00FA6BBC" w:rsidP="00744782">
            <w:pPr>
              <w:pStyle w:val="Tabletext"/>
            </w:pPr>
            <w:r>
              <w:rPr>
                <w:lang w:eastAsia="en-US"/>
              </w:rPr>
              <w:t>On and after</w:t>
            </w:r>
            <w:r w:rsidR="00F700AF" w:rsidRPr="00BA3F58">
              <w:rPr>
                <w:lang w:eastAsia="en-US"/>
              </w:rPr>
              <w:t xml:space="preserve"> the day 15 months after its </w:t>
            </w:r>
            <w:r w:rsidR="00AC7EBF" w:rsidRPr="00BA3F58">
              <w:rPr>
                <w:lang w:eastAsia="en-US"/>
              </w:rPr>
              <w:t>BNPL</w:t>
            </w:r>
            <w:r w:rsidR="00835D8E" w:rsidRPr="00BA3F58">
              <w:rPr>
                <w:lang w:eastAsia="en-US"/>
              </w:rPr>
              <w:t xml:space="preserve"> </w:t>
            </w:r>
            <w:r w:rsidR="00F700AF" w:rsidRPr="00BA3F58">
              <w:rPr>
                <w:lang w:eastAsia="en-US"/>
              </w:rPr>
              <w:t>date</w:t>
            </w:r>
          </w:p>
        </w:tc>
      </w:tr>
    </w:tbl>
    <w:p w14:paraId="76B25005" w14:textId="77777777" w:rsidR="00F700AF" w:rsidRPr="0014308F" w:rsidRDefault="00F700AF" w:rsidP="009C1CB7">
      <w:pPr>
        <w:pStyle w:val="Tabletext"/>
      </w:pPr>
    </w:p>
    <w:p w14:paraId="14782D45" w14:textId="5567D9DB" w:rsidR="00783178" w:rsidRDefault="00783178" w:rsidP="00783178">
      <w:pPr>
        <w:pStyle w:val="subsection"/>
      </w:pPr>
      <w:bookmarkStart w:id="118" w:name="_Toc190683836"/>
      <w:r>
        <w:tab/>
        <w:t>(4)</w:t>
      </w:r>
      <w:r>
        <w:tab/>
      </w:r>
      <w:r w:rsidRPr="00136958">
        <w:t xml:space="preserve">These rules </w:t>
      </w:r>
      <w:r>
        <w:t xml:space="preserve">do not </w:t>
      </w:r>
      <w:r w:rsidRPr="00136958">
        <w:t>apply</w:t>
      </w:r>
      <w:r>
        <w:t xml:space="preserve"> to a complex request under Part 4,</w:t>
      </w:r>
      <w:r w:rsidRPr="00136958">
        <w:t xml:space="preserve"> in relation to </w:t>
      </w:r>
      <w:r w:rsidR="001F01DE">
        <w:t xml:space="preserve">such </w:t>
      </w:r>
      <w:r w:rsidRPr="00136958">
        <w:t xml:space="preserve">a </w:t>
      </w:r>
      <w:r w:rsidR="00060F39">
        <w:t>data holder</w:t>
      </w:r>
      <w:r w:rsidR="00B57B14">
        <w:t xml:space="preserve"> </w:t>
      </w:r>
      <w:r w:rsidR="00B57B14" w:rsidRPr="00BA3F58">
        <w:t>in respect of CDR data that relates to a BNPL product</w:t>
      </w:r>
      <w:r>
        <w:t>.</w:t>
      </w:r>
    </w:p>
    <w:p w14:paraId="414F0370" w14:textId="5CAB1C8E" w:rsidR="00C62DB4" w:rsidRPr="00BA3F58" w:rsidRDefault="00C62DB4" w:rsidP="00744782">
      <w:pPr>
        <w:pStyle w:val="ActHead3"/>
      </w:pPr>
      <w:bookmarkStart w:id="119" w:name="_Toc191450858"/>
      <w:r w:rsidRPr="00BA3F58">
        <w:t xml:space="preserve">Division 6.3—Disclosing CDR data voluntarily: banking </w:t>
      </w:r>
      <w:r w:rsidR="00BC223D">
        <w:t xml:space="preserve">sector </w:t>
      </w:r>
      <w:r w:rsidRPr="00BA3F58">
        <w:t>and NBL sector</w:t>
      </w:r>
      <w:bookmarkEnd w:id="118"/>
      <w:bookmarkEnd w:id="119"/>
    </w:p>
    <w:p w14:paraId="0F43B6E8" w14:textId="58AD7D32" w:rsidR="00C62DB4" w:rsidRPr="00BA3F58" w:rsidRDefault="00BA3F58" w:rsidP="00C62DB4">
      <w:pPr>
        <w:pStyle w:val="ActHead5"/>
      </w:pPr>
      <w:bookmarkStart w:id="120" w:name="_Toc190683837"/>
      <w:bookmarkStart w:id="121" w:name="_Toc191450859"/>
      <w:proofErr w:type="gramStart"/>
      <w:r>
        <w:t>6.</w:t>
      </w:r>
      <w:r w:rsidR="00402964">
        <w:t>11</w:t>
      </w:r>
      <w:r w:rsidR="00C62DB4" w:rsidRPr="00BA3F58">
        <w:t xml:space="preserve">  </w:t>
      </w:r>
      <w:r w:rsidR="00821815">
        <w:t>D</w:t>
      </w:r>
      <w:r w:rsidR="00C62DB4" w:rsidRPr="00BA3F58">
        <w:t>isclos</w:t>
      </w:r>
      <w:r w:rsidR="00821815">
        <w:t>ur</w:t>
      </w:r>
      <w:r w:rsidR="007B208F">
        <w:t>e</w:t>
      </w:r>
      <w:proofErr w:type="gramEnd"/>
      <w:r w:rsidR="00C62DB4" w:rsidRPr="00BA3F58">
        <w:t xml:space="preserve"> </w:t>
      </w:r>
      <w:r w:rsidR="006E76B9">
        <w:t xml:space="preserve">of </w:t>
      </w:r>
      <w:r w:rsidR="00C62DB4" w:rsidRPr="00BA3F58">
        <w:t>CDR data voluntarily</w:t>
      </w:r>
      <w:bookmarkEnd w:id="120"/>
      <w:bookmarkEnd w:id="121"/>
    </w:p>
    <w:p w14:paraId="0027BC2E" w14:textId="41EE4368" w:rsidR="00A76A59" w:rsidRDefault="00655C4F" w:rsidP="00C62DB4">
      <w:pPr>
        <w:pStyle w:val="subsection"/>
      </w:pPr>
      <w:r>
        <w:tab/>
        <w:t>(1)</w:t>
      </w:r>
      <w:r>
        <w:tab/>
        <w:t>A data holder in the banking sector or NBL sector, other than an excluded data holder</w:t>
      </w:r>
      <w:r w:rsidR="00064775">
        <w:t xml:space="preserve">, may notify the Commission that it wishes Part 2 </w:t>
      </w:r>
      <w:r w:rsidR="00A55D00">
        <w:t>or</w:t>
      </w:r>
      <w:r w:rsidR="00064775">
        <w:t xml:space="preserve"> Part 4 </w:t>
      </w:r>
      <w:r w:rsidR="00FF592A">
        <w:t xml:space="preserve">of these rules </w:t>
      </w:r>
      <w:r w:rsidR="00064775">
        <w:t>to apply to it from a specified date.</w:t>
      </w:r>
    </w:p>
    <w:p w14:paraId="33CCA63E" w14:textId="683B40C7" w:rsidR="00C62DB4" w:rsidRPr="00BA3F58" w:rsidRDefault="00C62DB4" w:rsidP="00C62DB4">
      <w:pPr>
        <w:pStyle w:val="subsection"/>
      </w:pPr>
      <w:r w:rsidRPr="00BA3F58">
        <w:tab/>
      </w:r>
      <w:r w:rsidR="005B3A30">
        <w:t>(</w:t>
      </w:r>
      <w:r w:rsidR="00D42D0B">
        <w:t>2</w:t>
      </w:r>
      <w:r w:rsidR="005B3A30">
        <w:t>)</w:t>
      </w:r>
      <w:r w:rsidRPr="00BA3F58">
        <w:tab/>
      </w:r>
      <w:r w:rsidR="003D3236">
        <w:t>The data holder</w:t>
      </w:r>
      <w:r w:rsidR="00782354">
        <w:t>, from that specified date,</w:t>
      </w:r>
      <w:r w:rsidRPr="00BA3F58">
        <w:t xml:space="preserve"> may:</w:t>
      </w:r>
    </w:p>
    <w:p w14:paraId="4D1268B2" w14:textId="7062358C" w:rsidR="00C62DB4" w:rsidRPr="00BA3F58" w:rsidRDefault="00C62DB4" w:rsidP="00C62DB4">
      <w:pPr>
        <w:pStyle w:val="paragraph"/>
      </w:pPr>
      <w:r w:rsidRPr="00BA3F58">
        <w:tab/>
        <w:t>(a)</w:t>
      </w:r>
      <w:r w:rsidRPr="00BA3F58">
        <w:tab/>
        <w:t>receive a request under Part 2 or Part 4 of these rules</w:t>
      </w:r>
      <w:r w:rsidR="00736CD7">
        <w:t xml:space="preserve"> from a </w:t>
      </w:r>
      <w:r w:rsidR="005B5746">
        <w:t xml:space="preserve">CDR </w:t>
      </w:r>
      <w:r w:rsidR="00736CD7">
        <w:t>consumer who is eligible in relation to that data holder</w:t>
      </w:r>
      <w:r w:rsidRPr="00BA3F58">
        <w:t>; and</w:t>
      </w:r>
    </w:p>
    <w:p w14:paraId="56475C24" w14:textId="63931831" w:rsidR="00C62DB4" w:rsidRDefault="00C62DB4" w:rsidP="00C62DB4">
      <w:pPr>
        <w:pStyle w:val="paragraph"/>
      </w:pPr>
      <w:r w:rsidRPr="00BA3F58">
        <w:tab/>
        <w:t>(b)</w:t>
      </w:r>
      <w:r w:rsidRPr="00BA3F58">
        <w:tab/>
        <w:t>disclose required or voluntary product or consumer data in response to the request</w:t>
      </w:r>
      <w:r w:rsidR="00563375">
        <w:t>.</w:t>
      </w:r>
    </w:p>
    <w:p w14:paraId="0AA6A500" w14:textId="018BCD9B" w:rsidR="00C62DB4" w:rsidRPr="00BA3F58" w:rsidRDefault="003B75D3" w:rsidP="00863A35">
      <w:pPr>
        <w:pStyle w:val="subsection"/>
      </w:pPr>
      <w:r>
        <w:tab/>
        <w:t>(</w:t>
      </w:r>
      <w:r w:rsidR="008177A6">
        <w:t>3</w:t>
      </w:r>
      <w:r>
        <w:t>)</w:t>
      </w:r>
      <w:r>
        <w:tab/>
        <w:t>T</w:t>
      </w:r>
      <w:r w:rsidR="00C62DB4" w:rsidRPr="00BA3F58">
        <w:t xml:space="preserve">hese rules apply </w:t>
      </w:r>
      <w:r w:rsidR="00E670A4">
        <w:t xml:space="preserve">to </w:t>
      </w:r>
      <w:r w:rsidR="00E670A4" w:rsidRPr="00BA3F58">
        <w:t xml:space="preserve">the data holder </w:t>
      </w:r>
      <w:r w:rsidR="00C62DB4" w:rsidRPr="00BA3F58">
        <w:t>in respect of th</w:t>
      </w:r>
      <w:r w:rsidR="00E670A4">
        <w:t>at</w:t>
      </w:r>
      <w:r w:rsidR="00C62DB4" w:rsidRPr="00BA3F58">
        <w:t xml:space="preserve"> request</w:t>
      </w:r>
      <w:r w:rsidR="00E670A4">
        <w:t>,</w:t>
      </w:r>
      <w:r w:rsidR="00C62DB4" w:rsidRPr="00BA3F58">
        <w:t xml:space="preserve"> and</w:t>
      </w:r>
      <w:r w:rsidR="00E670A4">
        <w:t xml:space="preserve"> all subsequent requests</w:t>
      </w:r>
      <w:r w:rsidR="00F17FE2">
        <w:t xml:space="preserve"> </w:t>
      </w:r>
      <w:r w:rsidR="00F17FE2" w:rsidRPr="00BA3F58">
        <w:t>under Part 2 or Part 4 of these rules</w:t>
      </w:r>
      <w:r w:rsidR="00BF4F61">
        <w:t xml:space="preserve"> by consumers who are eligible in relation to that data holder</w:t>
      </w:r>
      <w:r w:rsidR="00C62DB4" w:rsidRPr="00BA3F58">
        <w:t>.</w:t>
      </w:r>
    </w:p>
    <w:p w14:paraId="3614B543" w14:textId="2DF1953A" w:rsidR="00C62DB4" w:rsidRPr="00BA3F58" w:rsidRDefault="00C62DB4" w:rsidP="00C62DB4">
      <w:pPr>
        <w:pStyle w:val="notetext"/>
      </w:pPr>
      <w:r w:rsidRPr="00BA3F58">
        <w:t>Note:</w:t>
      </w:r>
      <w:r w:rsidRPr="00BA3F58">
        <w:tab/>
        <w:t xml:space="preserve">This clause means that, among other things, a data holder who elects to receive and respond to such a request must comply with all aspects of these rules relevant to </w:t>
      </w:r>
      <w:r w:rsidRPr="00BA3F58">
        <w:lastRenderedPageBreak/>
        <w:t>handling it</w:t>
      </w:r>
      <w:r w:rsidR="00E670A4">
        <w:t xml:space="preserve"> (and all future requests</w:t>
      </w:r>
      <w:r w:rsidR="00452DE2">
        <w:t xml:space="preserve"> by eligible consumers</w:t>
      </w:r>
      <w:r w:rsidR="00E670A4">
        <w:t>)</w:t>
      </w:r>
      <w:r w:rsidRPr="00BA3F58">
        <w:t xml:space="preserve">. For instance, the data holder would need to provide the consumer dashboard in accordance with subrule 1.15(1) upon receiving a request under Part </w:t>
      </w:r>
      <w:proofErr w:type="gramStart"/>
      <w:r w:rsidRPr="00BA3F58">
        <w:t>4, and</w:t>
      </w:r>
      <w:proofErr w:type="gramEnd"/>
      <w:r w:rsidRPr="00BA3F58">
        <w:t xml:space="preserve"> would need to meet the internal and external dispute resolution requirements.</w:t>
      </w:r>
    </w:p>
    <w:p w14:paraId="72067727" w14:textId="77777777" w:rsidR="00025469" w:rsidRPr="00BA3F58" w:rsidRDefault="00025469" w:rsidP="00744782">
      <w:pPr>
        <w:pStyle w:val="ActHead3"/>
      </w:pPr>
      <w:bookmarkStart w:id="122" w:name="_Toc190683838"/>
      <w:bookmarkStart w:id="123" w:name="_Toc191450860"/>
      <w:r w:rsidRPr="00BA3F58">
        <w:t>Division 6.4—Application to trial products</w:t>
      </w:r>
      <w:bookmarkEnd w:id="122"/>
      <w:bookmarkEnd w:id="123"/>
    </w:p>
    <w:p w14:paraId="7D15F805" w14:textId="1F73B736" w:rsidR="00025469" w:rsidRPr="00BA3F58" w:rsidRDefault="00BA3F58" w:rsidP="00823BC1">
      <w:pPr>
        <w:pStyle w:val="ActHead5"/>
      </w:pPr>
      <w:bookmarkStart w:id="124" w:name="_Toc190683839"/>
      <w:bookmarkStart w:id="125" w:name="_Toc191450861"/>
      <w:proofErr w:type="gramStart"/>
      <w:r>
        <w:t>6.1</w:t>
      </w:r>
      <w:r w:rsidR="00402964">
        <w:t>2</w:t>
      </w:r>
      <w:r w:rsidR="00823BC1" w:rsidRPr="00BA3F58">
        <w:t xml:space="preserve">  </w:t>
      </w:r>
      <w:r w:rsidR="00025469" w:rsidRPr="00BA3F58">
        <w:t>CDR</w:t>
      </w:r>
      <w:proofErr w:type="gramEnd"/>
      <w:r w:rsidR="00025469" w:rsidRPr="00BA3F58">
        <w:t xml:space="preserve"> data relating to trial products</w:t>
      </w:r>
      <w:bookmarkEnd w:id="124"/>
      <w:bookmarkEnd w:id="125"/>
    </w:p>
    <w:p w14:paraId="56C300AF" w14:textId="2F3B8AC4" w:rsidR="006339CE" w:rsidRPr="00BA3F58" w:rsidRDefault="006339CE" w:rsidP="006339CE">
      <w:pPr>
        <w:pStyle w:val="subsection"/>
      </w:pPr>
      <w:r w:rsidRPr="00BA3F58">
        <w:tab/>
        <w:t>(1)</w:t>
      </w:r>
      <w:r w:rsidRPr="00BA3F58">
        <w:tab/>
        <w:t xml:space="preserve">These rules do not apply in respect of banking sector data or NBL sector data that relates to a trial product, </w:t>
      </w:r>
      <w:r w:rsidR="00731AA9">
        <w:t>while</w:t>
      </w:r>
      <w:r w:rsidRPr="00BA3F58">
        <w:t xml:space="preserve"> the product</w:t>
      </w:r>
      <w:r w:rsidR="00371271">
        <w:t xml:space="preserve"> is a trial product</w:t>
      </w:r>
      <w:r w:rsidRPr="00BA3F58">
        <w:t>.</w:t>
      </w:r>
    </w:p>
    <w:p w14:paraId="46AD3A13" w14:textId="3A3557F1" w:rsidR="002E38A0" w:rsidRDefault="002E38A0" w:rsidP="002E38A0">
      <w:pPr>
        <w:pStyle w:val="subsection"/>
      </w:pPr>
      <w:r w:rsidRPr="00BA3F58">
        <w:tab/>
        <w:t>(2)</w:t>
      </w:r>
      <w:r w:rsidRPr="00BA3F58">
        <w:tab/>
      </w:r>
      <w:r w:rsidR="001E5E4B">
        <w:t>If</w:t>
      </w:r>
      <w:r w:rsidRPr="00BA3F58">
        <w:t xml:space="preserve"> a covered product ceases to be a trial product under subclause 1.5(2), these rules apply in respect of banking sector data or NBL sector data relating to that product (including </w:t>
      </w:r>
      <w:bookmarkStart w:id="126" w:name="_Hlk148367786"/>
      <w:r w:rsidR="002225CE" w:rsidRPr="00BA3F58">
        <w:t xml:space="preserve">such </w:t>
      </w:r>
      <w:r w:rsidRPr="00BA3F58">
        <w:t>data</w:t>
      </w:r>
      <w:bookmarkEnd w:id="126"/>
      <w:r w:rsidRPr="00BA3F58">
        <w:t xml:space="preserve"> generated while the product was a trial product).</w:t>
      </w:r>
    </w:p>
    <w:p w14:paraId="48AE0064" w14:textId="1FEA2D26" w:rsidR="00840E9A" w:rsidRPr="00BA3F58" w:rsidRDefault="00A469A6" w:rsidP="00840E9A">
      <w:pPr>
        <w:pStyle w:val="ItemHead"/>
      </w:pPr>
      <w:proofErr w:type="gramStart"/>
      <w:r w:rsidRPr="00BA3F58">
        <w:rPr>
          <w:noProof/>
        </w:rPr>
        <w:t>31</w:t>
      </w:r>
      <w:r w:rsidR="00E42354" w:rsidRPr="00BA3F58">
        <w:t xml:space="preserve">  </w:t>
      </w:r>
      <w:r w:rsidR="003A300D">
        <w:t>Part</w:t>
      </w:r>
      <w:proofErr w:type="gramEnd"/>
      <w:r w:rsidR="003A300D">
        <w:t xml:space="preserve"> 7 of </w:t>
      </w:r>
      <w:r w:rsidR="00840E9A" w:rsidRPr="00BA3F58">
        <w:t>Schedule 3 (heading)</w:t>
      </w:r>
    </w:p>
    <w:p w14:paraId="4C902F05" w14:textId="2EDB9FA1" w:rsidR="00904168" w:rsidRDefault="00840E9A" w:rsidP="00840E9A">
      <w:pPr>
        <w:pStyle w:val="Item"/>
      </w:pPr>
      <w:r w:rsidRPr="00BA3F58">
        <w:t xml:space="preserve">Omit </w:t>
      </w:r>
      <w:r w:rsidR="000D6F11">
        <w:t>“</w:t>
      </w:r>
      <w:r w:rsidRPr="00BA3F58">
        <w:t>banking sector</w:t>
      </w:r>
      <w:r w:rsidR="000D6F11">
        <w:t>”</w:t>
      </w:r>
      <w:r w:rsidRPr="00BA3F58">
        <w:t xml:space="preserve">, substitute </w:t>
      </w:r>
      <w:r w:rsidR="000D6F11">
        <w:t>“</w:t>
      </w:r>
      <w:r w:rsidRPr="00BA3F58">
        <w:t xml:space="preserve">banking </w:t>
      </w:r>
      <w:r w:rsidR="00410D54">
        <w:t xml:space="preserve">sector </w:t>
      </w:r>
      <w:r w:rsidRPr="00BA3F58">
        <w:t>and NBL sector</w:t>
      </w:r>
      <w:r w:rsidR="000D6F11">
        <w:t>”</w:t>
      </w:r>
      <w:r w:rsidRPr="00BA3F58">
        <w:t>.</w:t>
      </w:r>
    </w:p>
    <w:p w14:paraId="4E4347D8" w14:textId="75D2D91A" w:rsidR="00904168" w:rsidRDefault="00904168" w:rsidP="00111F10">
      <w:pPr>
        <w:pStyle w:val="ItemHead"/>
      </w:pPr>
      <w:proofErr w:type="gramStart"/>
      <w:r>
        <w:t>3</w:t>
      </w:r>
      <w:r w:rsidR="000821FC">
        <w:t>2</w:t>
      </w:r>
      <w:r>
        <w:t xml:space="preserve">  Before</w:t>
      </w:r>
      <w:proofErr w:type="gramEnd"/>
      <w:r>
        <w:t xml:space="preserve"> clause 7.1</w:t>
      </w:r>
      <w:r w:rsidR="005758C2">
        <w:t xml:space="preserve"> of Schedule 3</w:t>
      </w:r>
    </w:p>
    <w:p w14:paraId="5651CC93" w14:textId="34DFB388" w:rsidR="00840E9A" w:rsidRDefault="00904168" w:rsidP="00904168">
      <w:pPr>
        <w:pStyle w:val="Item"/>
      </w:pPr>
      <w:r>
        <w:t>Insert:</w:t>
      </w:r>
    </w:p>
    <w:p w14:paraId="13A86081" w14:textId="0528537B" w:rsidR="00904168" w:rsidRDefault="00904168" w:rsidP="00111F10">
      <w:pPr>
        <w:pStyle w:val="ActHead5"/>
      </w:pPr>
      <w:bookmarkStart w:id="127" w:name="_Toc190683840"/>
      <w:bookmarkStart w:id="128" w:name="_Toc191450862"/>
      <w:proofErr w:type="gramStart"/>
      <w:r w:rsidRPr="00031472">
        <w:rPr>
          <w:rStyle w:val="CharSectno"/>
        </w:rPr>
        <w:t>7.1A</w:t>
      </w:r>
      <w:r>
        <w:t xml:space="preserve">  </w:t>
      </w:r>
      <w:r w:rsidR="00493A04">
        <w:t>Transfer</w:t>
      </w:r>
      <w:proofErr w:type="gramEnd"/>
      <w:r w:rsidR="00493A04">
        <w:t xml:space="preserve"> of data sharing obligations between d</w:t>
      </w:r>
      <w:r w:rsidR="00BB4848">
        <w:t>ata holders</w:t>
      </w:r>
      <w:bookmarkEnd w:id="127"/>
      <w:bookmarkEnd w:id="128"/>
    </w:p>
    <w:p w14:paraId="5ADD76DB" w14:textId="75491B89" w:rsidR="001C02F4" w:rsidRDefault="00AA0297" w:rsidP="00111F10">
      <w:pPr>
        <w:pStyle w:val="subsection"/>
      </w:pPr>
      <w:r>
        <w:tab/>
      </w:r>
      <w:r w:rsidRPr="00031472">
        <w:t>(1)</w:t>
      </w:r>
      <w:r>
        <w:tab/>
        <w:t>A</w:t>
      </w:r>
      <w:r w:rsidRPr="00031472">
        <w:t xml:space="preserve"> data holder </w:t>
      </w:r>
      <w:r w:rsidRPr="00BA3F58">
        <w:t xml:space="preserve">in the banking </w:t>
      </w:r>
      <w:r w:rsidR="00F212B0">
        <w:t xml:space="preserve">sector </w:t>
      </w:r>
      <w:r w:rsidRPr="00BA3F58">
        <w:t>or NBL sector</w:t>
      </w:r>
      <w:r w:rsidRPr="00AA0297">
        <w:t xml:space="preserve"> </w:t>
      </w:r>
      <w:r w:rsidRPr="00031472">
        <w:t>(the </w:t>
      </w:r>
      <w:r w:rsidRPr="00031472">
        <w:rPr>
          <w:b/>
          <w:bCs/>
          <w:i/>
          <w:iCs/>
        </w:rPr>
        <w:t>first data holder</w:t>
      </w:r>
      <w:r w:rsidRPr="00031472">
        <w:t xml:space="preserve">) </w:t>
      </w:r>
      <w:r>
        <w:t>may elect to comply with these rules</w:t>
      </w:r>
      <w:r w:rsidR="001C02F4">
        <w:t xml:space="preserve"> in the place of </w:t>
      </w:r>
      <w:r w:rsidR="001C02F4" w:rsidRPr="009366E5">
        <w:t xml:space="preserve">another data holder </w:t>
      </w:r>
      <w:r w:rsidR="001C02F4">
        <w:t xml:space="preserve">in </w:t>
      </w:r>
      <w:r w:rsidR="004B32D1">
        <w:t xml:space="preserve">the </w:t>
      </w:r>
      <w:r w:rsidR="00505797" w:rsidRPr="00BA3F58">
        <w:t xml:space="preserve">banking </w:t>
      </w:r>
      <w:r w:rsidR="00505797">
        <w:t xml:space="preserve">sector </w:t>
      </w:r>
      <w:r w:rsidR="00505797" w:rsidRPr="00BA3F58">
        <w:t>or NBL</w:t>
      </w:r>
      <w:r w:rsidR="004B32D1">
        <w:t xml:space="preserve"> </w:t>
      </w:r>
      <w:r w:rsidR="001C02F4">
        <w:t xml:space="preserve">sector </w:t>
      </w:r>
      <w:r w:rsidR="001C02F4" w:rsidRPr="009366E5">
        <w:t>(the </w:t>
      </w:r>
      <w:r w:rsidR="001C02F4" w:rsidRPr="00031472">
        <w:rPr>
          <w:b/>
          <w:bCs/>
          <w:i/>
          <w:iCs/>
        </w:rPr>
        <w:t>second data holder</w:t>
      </w:r>
      <w:r w:rsidR="001C02F4" w:rsidRPr="009366E5">
        <w:t>)</w:t>
      </w:r>
      <w:r w:rsidR="001C02F4">
        <w:t>, in relation to a covered product, if:</w:t>
      </w:r>
    </w:p>
    <w:p w14:paraId="0EA29FC2" w14:textId="74C54FC8" w:rsidR="00111F10" w:rsidRDefault="001C02F4" w:rsidP="001C02F4">
      <w:pPr>
        <w:pStyle w:val="paragraph"/>
      </w:pPr>
      <w:r>
        <w:tab/>
        <w:t>(a)</w:t>
      </w:r>
      <w:r>
        <w:tab/>
      </w:r>
      <w:r w:rsidR="005C51E6">
        <w:t>either</w:t>
      </w:r>
      <w:r w:rsidR="00111F10">
        <w:t>:</w:t>
      </w:r>
    </w:p>
    <w:p w14:paraId="4681AF97" w14:textId="268178EB" w:rsidR="00AA0297" w:rsidRDefault="00111F10" w:rsidP="00111F10">
      <w:pPr>
        <w:pStyle w:val="paragraphsub"/>
      </w:pPr>
      <w:r>
        <w:tab/>
        <w:t>(</w:t>
      </w:r>
      <w:proofErr w:type="spellStart"/>
      <w:r>
        <w:t>i</w:t>
      </w:r>
      <w:proofErr w:type="spellEnd"/>
      <w:r>
        <w:t>)</w:t>
      </w:r>
      <w:r>
        <w:tab/>
      </w:r>
      <w:r w:rsidR="005C51E6" w:rsidRPr="008C7EFD">
        <w:t xml:space="preserve">the </w:t>
      </w:r>
      <w:r w:rsidR="005C51E6">
        <w:t>second</w:t>
      </w:r>
      <w:r w:rsidR="005C51E6" w:rsidRPr="008C7EFD">
        <w:t xml:space="preserve"> data holder</w:t>
      </w:r>
      <w:r w:rsidR="005C51E6" w:rsidRPr="005C51E6">
        <w:t xml:space="preserve"> </w:t>
      </w:r>
      <w:r w:rsidR="00AA0297" w:rsidRPr="00031472">
        <w:t>offers the product on behalf of the </w:t>
      </w:r>
      <w:r>
        <w:t>first</w:t>
      </w:r>
      <w:r w:rsidR="00AA0297" w:rsidRPr="00031472">
        <w:t xml:space="preserve"> data holder, such that the </w:t>
      </w:r>
      <w:r>
        <w:t xml:space="preserve">first </w:t>
      </w:r>
      <w:r w:rsidR="00AA0297" w:rsidRPr="00031472">
        <w:t xml:space="preserve">data holder is the data holder that </w:t>
      </w:r>
      <w:proofErr w:type="gramStart"/>
      <w:r w:rsidR="00AA0297" w:rsidRPr="00031472">
        <w:t>enters into</w:t>
      </w:r>
      <w:proofErr w:type="gramEnd"/>
      <w:r w:rsidR="00AA0297" w:rsidRPr="00031472">
        <w:t xml:space="preserve"> contracts with consumers to provide the product;</w:t>
      </w:r>
      <w:r w:rsidR="001C02F4">
        <w:t xml:space="preserve"> or</w:t>
      </w:r>
    </w:p>
    <w:p w14:paraId="61B758FC" w14:textId="5FEA6320" w:rsidR="00111F10" w:rsidRDefault="00111F10" w:rsidP="00031472">
      <w:pPr>
        <w:pStyle w:val="paragraphsub"/>
      </w:pPr>
      <w:r>
        <w:tab/>
        <w:t>(ii)</w:t>
      </w:r>
      <w:r>
        <w:tab/>
      </w:r>
      <w:r w:rsidR="00CB1659">
        <w:t>the first and second data holders are related bodies corporate f</w:t>
      </w:r>
      <w:r w:rsidR="004F5A04">
        <w:t>or the purposes of the Act</w:t>
      </w:r>
      <w:r>
        <w:t xml:space="preserve"> (</w:t>
      </w:r>
      <w:r w:rsidR="00C22DC8">
        <w:t>see subsection 4</w:t>
      </w:r>
      <w:proofErr w:type="gramStart"/>
      <w:r w:rsidR="00C22DC8">
        <w:t>A(</w:t>
      </w:r>
      <w:proofErr w:type="gramEnd"/>
      <w:r w:rsidR="00C22DC8">
        <w:t>5) of the Act</w:t>
      </w:r>
      <w:r>
        <w:t>); and</w:t>
      </w:r>
    </w:p>
    <w:p w14:paraId="25DA66FB" w14:textId="3A87A68D" w:rsidR="001C02F4" w:rsidRDefault="001C02F4" w:rsidP="001C02F4">
      <w:pPr>
        <w:pStyle w:val="paragraph"/>
      </w:pPr>
      <w:r>
        <w:tab/>
        <w:t>(b)</w:t>
      </w:r>
      <w:r>
        <w:tab/>
      </w:r>
      <w:r w:rsidR="00111F10">
        <w:t xml:space="preserve">both </w:t>
      </w:r>
      <w:r w:rsidR="00111F10" w:rsidRPr="009366E5">
        <w:t>data holder</w:t>
      </w:r>
      <w:r w:rsidR="00111F10">
        <w:t>s have agreed to the election in writing.</w:t>
      </w:r>
    </w:p>
    <w:p w14:paraId="1512F3DA" w14:textId="010D4402" w:rsidR="00567C0A" w:rsidRPr="003F6471" w:rsidRDefault="00AD3A15" w:rsidP="00567C0A">
      <w:pPr>
        <w:pStyle w:val="subsection"/>
      </w:pPr>
      <w:r>
        <w:tab/>
      </w:r>
      <w:r w:rsidR="00D448FE">
        <w:t>(2)</w:t>
      </w:r>
      <w:r>
        <w:tab/>
      </w:r>
      <w:r w:rsidR="00984A98">
        <w:t>If a</w:t>
      </w:r>
      <w:r w:rsidR="00EC1899">
        <w:t>n</w:t>
      </w:r>
      <w:r w:rsidR="00984A98">
        <w:t xml:space="preserve"> election is in effect under subclause (</w:t>
      </w:r>
      <w:r w:rsidR="0020744F">
        <w:t>1</w:t>
      </w:r>
      <w:r w:rsidR="00984A98">
        <w:t>)</w:t>
      </w:r>
      <w:r w:rsidR="00567C0A">
        <w:t>,</w:t>
      </w:r>
      <w:r w:rsidR="00BC0CA3">
        <w:t xml:space="preserve"> </w:t>
      </w:r>
      <w:r w:rsidR="00984A98" w:rsidRPr="00494DA4">
        <w:t>these</w:t>
      </w:r>
      <w:r w:rsidR="00984A98">
        <w:t xml:space="preserve"> rules apply in relation to the </w:t>
      </w:r>
      <w:r w:rsidR="000A6076">
        <w:t xml:space="preserve">first data </w:t>
      </w:r>
      <w:r w:rsidR="000A6076" w:rsidRPr="003F6471">
        <w:t xml:space="preserve">holder </w:t>
      </w:r>
      <w:r w:rsidR="00033CB1" w:rsidRPr="003F6471">
        <w:t xml:space="preserve">in relation to the covered product </w:t>
      </w:r>
      <w:r w:rsidR="000A6076" w:rsidRPr="003F6471">
        <w:t xml:space="preserve">as if </w:t>
      </w:r>
      <w:r w:rsidR="0020744F" w:rsidRPr="003F6471">
        <w:t xml:space="preserve">it </w:t>
      </w:r>
      <w:r w:rsidR="000A6076" w:rsidRPr="003F6471">
        <w:t>were the second data holder</w:t>
      </w:r>
      <w:r w:rsidR="00567C0A" w:rsidRPr="003F6471">
        <w:t>.</w:t>
      </w:r>
    </w:p>
    <w:p w14:paraId="1B2211D9" w14:textId="1A035B99" w:rsidR="00840E9A" w:rsidRPr="00BA3F58" w:rsidRDefault="00A469A6" w:rsidP="00840E9A">
      <w:pPr>
        <w:pStyle w:val="ItemHead"/>
      </w:pPr>
      <w:proofErr w:type="gramStart"/>
      <w:r w:rsidRPr="00BA3F58">
        <w:rPr>
          <w:noProof/>
        </w:rPr>
        <w:t>3</w:t>
      </w:r>
      <w:r w:rsidR="000821FC">
        <w:rPr>
          <w:noProof/>
        </w:rPr>
        <w:t>3</w:t>
      </w:r>
      <w:r w:rsidR="00E42354" w:rsidRPr="00BA3F58">
        <w:t xml:space="preserve">  </w:t>
      </w:r>
      <w:r w:rsidR="009C02E6">
        <w:t>C</w:t>
      </w:r>
      <w:r w:rsidR="00840E9A" w:rsidRPr="00BA3F58">
        <w:t>lause</w:t>
      </w:r>
      <w:proofErr w:type="gramEnd"/>
      <w:r w:rsidR="00840E9A" w:rsidRPr="00BA3F58">
        <w:t xml:space="preserve"> 7.1 </w:t>
      </w:r>
      <w:r w:rsidR="009C02E6">
        <w:t xml:space="preserve">of Schedule 3 </w:t>
      </w:r>
      <w:r w:rsidR="00840E9A" w:rsidRPr="00BA3F58">
        <w:t>(heading)</w:t>
      </w:r>
    </w:p>
    <w:p w14:paraId="051381A2" w14:textId="37915EE2" w:rsidR="00840E9A" w:rsidRPr="00BA3F58" w:rsidRDefault="00840E9A" w:rsidP="00840E9A">
      <w:pPr>
        <w:pStyle w:val="Item"/>
      </w:pPr>
      <w:r w:rsidRPr="00BA3F58">
        <w:t xml:space="preserve">Omit </w:t>
      </w:r>
      <w:r w:rsidR="000D6F11">
        <w:t>“</w:t>
      </w:r>
      <w:r w:rsidRPr="00BA3F58">
        <w:t>banking sector</w:t>
      </w:r>
      <w:r w:rsidR="000D6F11">
        <w:t>”</w:t>
      </w:r>
      <w:r w:rsidRPr="00BA3F58">
        <w:t xml:space="preserve">, substitute </w:t>
      </w:r>
      <w:r w:rsidR="000D6F11">
        <w:t>“</w:t>
      </w:r>
      <w:r w:rsidRPr="00BA3F58">
        <w:t xml:space="preserve">banking </w:t>
      </w:r>
      <w:r w:rsidR="00C207AF">
        <w:t xml:space="preserve">sector </w:t>
      </w:r>
      <w:r w:rsidRPr="00BA3F58">
        <w:t>and NBL sector</w:t>
      </w:r>
      <w:r w:rsidR="000D6F11">
        <w:t>”</w:t>
      </w:r>
      <w:r w:rsidRPr="00BA3F58">
        <w:t>.</w:t>
      </w:r>
    </w:p>
    <w:p w14:paraId="5860E87C" w14:textId="11248E2B" w:rsidR="00840E9A" w:rsidRPr="00BA3F58" w:rsidRDefault="00A469A6" w:rsidP="00840E9A">
      <w:pPr>
        <w:pStyle w:val="ItemHead"/>
      </w:pPr>
      <w:proofErr w:type="gramStart"/>
      <w:r w:rsidRPr="00BA3F58">
        <w:rPr>
          <w:noProof/>
        </w:rPr>
        <w:t>3</w:t>
      </w:r>
      <w:r w:rsidR="000821FC">
        <w:rPr>
          <w:noProof/>
        </w:rPr>
        <w:t>4</w:t>
      </w:r>
      <w:r w:rsidR="00E42354" w:rsidRPr="00BA3F58">
        <w:t xml:space="preserve">  </w:t>
      </w:r>
      <w:r w:rsidR="009C02E6">
        <w:t>C</w:t>
      </w:r>
      <w:r w:rsidR="00840E9A" w:rsidRPr="00BA3F58">
        <w:t>lause</w:t>
      </w:r>
      <w:proofErr w:type="gramEnd"/>
      <w:r w:rsidR="00840E9A" w:rsidRPr="00BA3F58">
        <w:t xml:space="preserve"> 7.1 </w:t>
      </w:r>
      <w:r w:rsidR="009C02E6">
        <w:t>of Schedule 3</w:t>
      </w:r>
    </w:p>
    <w:p w14:paraId="18C3C593" w14:textId="7F40FF34" w:rsidR="00840E9A" w:rsidRPr="00BA3F58" w:rsidRDefault="00840E9A" w:rsidP="00840E9A">
      <w:pPr>
        <w:pStyle w:val="Item"/>
      </w:pPr>
      <w:r w:rsidRPr="00BA3F58">
        <w:t xml:space="preserve">Omit </w:t>
      </w:r>
      <w:r w:rsidR="000D6F11">
        <w:t>“</w:t>
      </w:r>
      <w:r w:rsidRPr="00BA3F58">
        <w:t>banking sector</w:t>
      </w:r>
      <w:r w:rsidR="000D6F11">
        <w:t>”</w:t>
      </w:r>
      <w:r w:rsidRPr="00BA3F58">
        <w:t xml:space="preserve">, substitute </w:t>
      </w:r>
      <w:r w:rsidR="000D6F11">
        <w:t>“</w:t>
      </w:r>
      <w:r w:rsidRPr="00BA3F58">
        <w:t>banking</w:t>
      </w:r>
      <w:r w:rsidR="00C207AF">
        <w:t xml:space="preserve"> sector</w:t>
      </w:r>
      <w:r w:rsidRPr="00BA3F58">
        <w:t xml:space="preserve"> and NBL sector</w:t>
      </w:r>
      <w:r w:rsidR="000D6F11">
        <w:t>”</w:t>
      </w:r>
      <w:r w:rsidRPr="00BA3F58">
        <w:t>.</w:t>
      </w:r>
    </w:p>
    <w:p w14:paraId="297F5ACA" w14:textId="10B25327" w:rsidR="00035AA6" w:rsidRPr="00BA3F58" w:rsidRDefault="00A469A6" w:rsidP="00035AA6">
      <w:pPr>
        <w:pStyle w:val="ItemHead"/>
      </w:pPr>
      <w:proofErr w:type="gramStart"/>
      <w:r w:rsidRPr="00BA3F58">
        <w:rPr>
          <w:noProof/>
        </w:rPr>
        <w:t>3</w:t>
      </w:r>
      <w:r w:rsidR="000821FC">
        <w:rPr>
          <w:noProof/>
        </w:rPr>
        <w:t>5</w:t>
      </w:r>
      <w:r w:rsidR="00E42354" w:rsidRPr="00BA3F58">
        <w:t xml:space="preserve">  </w:t>
      </w:r>
      <w:r w:rsidR="0098292B">
        <w:t>P</w:t>
      </w:r>
      <w:r w:rsidR="00035AA6" w:rsidRPr="00BA3F58">
        <w:t>aragraph</w:t>
      </w:r>
      <w:proofErr w:type="gramEnd"/>
      <w:r w:rsidR="00035AA6" w:rsidRPr="00BA3F58">
        <w:t xml:space="preserve"> 7.2(</w:t>
      </w:r>
      <w:r w:rsidR="00FE0B70">
        <w:t>1</w:t>
      </w:r>
      <w:r w:rsidR="00035AA6" w:rsidRPr="00BA3F58">
        <w:t xml:space="preserve">)(a) </w:t>
      </w:r>
      <w:r w:rsidR="0098292B">
        <w:t>of Schedule 3</w:t>
      </w:r>
    </w:p>
    <w:p w14:paraId="15CACEAD" w14:textId="2F867241" w:rsidR="00035AA6" w:rsidRPr="00BA3F58" w:rsidRDefault="007927E1" w:rsidP="00035AA6">
      <w:pPr>
        <w:pStyle w:val="Item"/>
      </w:pPr>
      <w:r>
        <w:t>Repeal</w:t>
      </w:r>
      <w:r w:rsidRPr="00BA3F58">
        <w:t xml:space="preserve"> </w:t>
      </w:r>
      <w:r w:rsidR="00035AA6" w:rsidRPr="00BA3F58">
        <w:t>the paragraph, substitute:</w:t>
      </w:r>
    </w:p>
    <w:p w14:paraId="20678DC7" w14:textId="77777777" w:rsidR="00035AA6" w:rsidRPr="00BA3F58" w:rsidRDefault="00035AA6" w:rsidP="00035AA6">
      <w:pPr>
        <w:pStyle w:val="paragraph"/>
      </w:pPr>
      <w:r w:rsidRPr="00BA3F58">
        <w:tab/>
        <w:t>(a)</w:t>
      </w:r>
      <w:r w:rsidRPr="00BA3F58">
        <w:tab/>
        <w:t>the person is an ADI or a relevant non-bank lender; and</w:t>
      </w:r>
    </w:p>
    <w:p w14:paraId="142E3F38" w14:textId="055786FE" w:rsidR="00BD3F1C" w:rsidRPr="00BA3F58" w:rsidRDefault="00BD3F1C" w:rsidP="00BD3F1C">
      <w:pPr>
        <w:pStyle w:val="paragraph"/>
      </w:pPr>
      <w:r w:rsidRPr="00BA3F58">
        <w:tab/>
        <w:t>(aa)</w:t>
      </w:r>
      <w:r w:rsidRPr="00BA3F58">
        <w:tab/>
        <w:t>under Part 6 of this Schedule, these rules already apply to the person in their capacity as a data holder of other CDR data;</w:t>
      </w:r>
      <w:r w:rsidR="009D7541" w:rsidRPr="00BA3F58">
        <w:t xml:space="preserve"> and</w:t>
      </w:r>
    </w:p>
    <w:p w14:paraId="2A9AEC26" w14:textId="6777F007" w:rsidR="009F464E" w:rsidRPr="00BA3F58" w:rsidRDefault="00A469A6" w:rsidP="009F464E">
      <w:pPr>
        <w:pStyle w:val="ItemHead"/>
      </w:pPr>
      <w:proofErr w:type="gramStart"/>
      <w:r w:rsidRPr="00BA3F58">
        <w:rPr>
          <w:noProof/>
        </w:rPr>
        <w:lastRenderedPageBreak/>
        <w:t>3</w:t>
      </w:r>
      <w:r w:rsidR="000821FC">
        <w:rPr>
          <w:noProof/>
        </w:rPr>
        <w:t>6</w:t>
      </w:r>
      <w:r w:rsidR="00E42354" w:rsidRPr="00BA3F58">
        <w:t xml:space="preserve">  </w:t>
      </w:r>
      <w:r w:rsidR="0098292B">
        <w:t>After</w:t>
      </w:r>
      <w:proofErr w:type="gramEnd"/>
      <w:r w:rsidR="0098292B">
        <w:t xml:space="preserve"> Part 7 of </w:t>
      </w:r>
      <w:r w:rsidR="009F464E" w:rsidRPr="00BA3F58">
        <w:t>Schedule 3</w:t>
      </w:r>
    </w:p>
    <w:p w14:paraId="14622D6C" w14:textId="77777777" w:rsidR="009F464E" w:rsidRPr="00BA3F58" w:rsidRDefault="009F464E" w:rsidP="009F464E">
      <w:pPr>
        <w:pStyle w:val="Item"/>
      </w:pPr>
      <w:r w:rsidRPr="00BA3F58">
        <w:t>Insert:</w:t>
      </w:r>
    </w:p>
    <w:p w14:paraId="157543E1" w14:textId="0724189C" w:rsidR="009F464E" w:rsidRPr="00BA3F58" w:rsidRDefault="009F464E" w:rsidP="00744782">
      <w:pPr>
        <w:pStyle w:val="ActHead2"/>
      </w:pPr>
      <w:bookmarkStart w:id="129" w:name="_Toc190683841"/>
      <w:bookmarkStart w:id="130" w:name="_Toc191450863"/>
      <w:bookmarkStart w:id="131" w:name="_Hlk129873912"/>
      <w:r w:rsidRPr="00BA3F58">
        <w:t xml:space="preserve">Part 8—Entities that move </w:t>
      </w:r>
      <w:r w:rsidR="00E86C52" w:rsidRPr="00BA3F58">
        <w:t xml:space="preserve">from NBL </w:t>
      </w:r>
      <w:r w:rsidR="005104D6">
        <w:t xml:space="preserve">sector </w:t>
      </w:r>
      <w:r w:rsidR="00E86C52" w:rsidRPr="00BA3F58">
        <w:t>to banking sector</w:t>
      </w:r>
      <w:bookmarkEnd w:id="129"/>
      <w:bookmarkEnd w:id="130"/>
    </w:p>
    <w:p w14:paraId="4EB9D8B1" w14:textId="14F5C3B7" w:rsidR="009F464E" w:rsidRPr="00BA3F58" w:rsidRDefault="009F464E" w:rsidP="00744782">
      <w:pPr>
        <w:pStyle w:val="ActHead5"/>
      </w:pPr>
      <w:bookmarkStart w:id="132" w:name="_Toc190683842"/>
      <w:bookmarkStart w:id="133" w:name="_Hlk129872855"/>
      <w:bookmarkStart w:id="134" w:name="_Toc191450864"/>
      <w:bookmarkEnd w:id="131"/>
      <w:proofErr w:type="gramStart"/>
      <w:r w:rsidRPr="00BA3F58">
        <w:t xml:space="preserve">8.1  </w:t>
      </w:r>
      <w:r w:rsidR="00861775" w:rsidRPr="00BA3F58">
        <w:t>Moving</w:t>
      </w:r>
      <w:proofErr w:type="gramEnd"/>
      <w:r w:rsidR="00861775" w:rsidRPr="00BA3F58">
        <w:t xml:space="preserve"> from the NBL sector to the banking sector</w:t>
      </w:r>
      <w:bookmarkEnd w:id="132"/>
      <w:bookmarkEnd w:id="133"/>
      <w:bookmarkEnd w:id="134"/>
    </w:p>
    <w:p w14:paraId="4ABAE2DB" w14:textId="77777777" w:rsidR="00BA3538" w:rsidRPr="00BA3F58" w:rsidRDefault="00BA3538" w:rsidP="0057180B">
      <w:pPr>
        <w:pStyle w:val="SubsectionHead"/>
      </w:pPr>
      <w:r w:rsidRPr="00BA3F58">
        <w:t>Clause applies where data holder moves from NBL to banking sector</w:t>
      </w:r>
    </w:p>
    <w:p w14:paraId="337AD929" w14:textId="0BF7391C" w:rsidR="00025469" w:rsidRPr="00BA3F58" w:rsidRDefault="00025469" w:rsidP="00025469">
      <w:pPr>
        <w:pStyle w:val="subsection"/>
      </w:pPr>
      <w:r w:rsidRPr="00BA3F58">
        <w:tab/>
        <w:t>(1)</w:t>
      </w:r>
      <w:r w:rsidRPr="00BA3F58">
        <w:tab/>
        <w:t>This clause applies where:</w:t>
      </w:r>
    </w:p>
    <w:p w14:paraId="0AE9D2EA" w14:textId="4CB8B080" w:rsidR="00025469" w:rsidRPr="00BA3F58" w:rsidRDefault="00025469" w:rsidP="00025469">
      <w:pPr>
        <w:pStyle w:val="paragraph"/>
      </w:pPr>
      <w:bookmarkStart w:id="135" w:name="_Hlk151341600"/>
      <w:r w:rsidRPr="00BA3F58">
        <w:tab/>
        <w:t>(a)</w:t>
      </w:r>
      <w:r w:rsidRPr="00BA3F58">
        <w:tab/>
      </w:r>
      <w:r w:rsidR="00FD0703" w:rsidRPr="00BA3F58">
        <w:t xml:space="preserve">for the purpose of moving to the banking sector, </w:t>
      </w:r>
      <w:r w:rsidRPr="00BA3F58">
        <w:t>a person ceases to be a data holder in the NBL sector at a particular time (the</w:t>
      </w:r>
      <w:r w:rsidR="00F53665" w:rsidRPr="00BA3F58">
        <w:rPr>
          <w:b/>
          <w:i/>
        </w:rPr>
        <w:t xml:space="preserve"> NBL exit </w:t>
      </w:r>
      <w:r w:rsidRPr="00BA3F58">
        <w:rPr>
          <w:b/>
          <w:i/>
        </w:rPr>
        <w:t>time</w:t>
      </w:r>
      <w:r w:rsidRPr="00BA3F58">
        <w:rPr>
          <w:b/>
        </w:rPr>
        <w:t>)</w:t>
      </w:r>
      <w:r w:rsidRPr="00BA3F58">
        <w:t>; and</w:t>
      </w:r>
    </w:p>
    <w:p w14:paraId="474D0664" w14:textId="6EBD615E" w:rsidR="00025469" w:rsidRPr="00BA3F58" w:rsidRDefault="00025469" w:rsidP="00025469">
      <w:pPr>
        <w:pStyle w:val="paragraph"/>
      </w:pPr>
      <w:r w:rsidRPr="00BA3F58">
        <w:tab/>
        <w:t>(b)</w:t>
      </w:r>
      <w:r w:rsidRPr="00BA3F58">
        <w:tab/>
      </w:r>
      <w:r w:rsidR="00F53665" w:rsidRPr="00BA3F58">
        <w:t xml:space="preserve">at a time </w:t>
      </w:r>
      <w:r w:rsidR="00FD0703" w:rsidRPr="00BA3F58">
        <w:t>as soon as practicable thereafter</w:t>
      </w:r>
      <w:r w:rsidR="00F53665" w:rsidRPr="00BA3F58">
        <w:t xml:space="preserve"> (the </w:t>
      </w:r>
      <w:r w:rsidR="00F53665" w:rsidRPr="00BA3F58">
        <w:rPr>
          <w:b/>
          <w:i/>
        </w:rPr>
        <w:t>transition time</w:t>
      </w:r>
      <w:r w:rsidR="00F53665" w:rsidRPr="00BA3F58">
        <w:rPr>
          <w:b/>
        </w:rPr>
        <w:t>)</w:t>
      </w:r>
      <w:r w:rsidRPr="00BA3F58">
        <w:t>, the person becomes a data holder in the banking sector; and</w:t>
      </w:r>
    </w:p>
    <w:bookmarkEnd w:id="135"/>
    <w:p w14:paraId="70FB0AAF" w14:textId="3C4D114A" w:rsidR="00025469" w:rsidRPr="00BA3F58" w:rsidRDefault="00025469" w:rsidP="00025469">
      <w:pPr>
        <w:pStyle w:val="paragraph"/>
      </w:pPr>
      <w:r w:rsidRPr="00BA3F58">
        <w:tab/>
        <w:t>(c)</w:t>
      </w:r>
      <w:r w:rsidRPr="00BA3F58">
        <w:tab/>
        <w:t>immediately before the</w:t>
      </w:r>
      <w:r w:rsidR="00F53665" w:rsidRPr="00BA3F58">
        <w:t xml:space="preserve"> NBL exit</w:t>
      </w:r>
      <w:r w:rsidRPr="00BA3F58">
        <w:t xml:space="preserve"> time:</w:t>
      </w:r>
    </w:p>
    <w:p w14:paraId="69D5CC0A" w14:textId="7B3B7617" w:rsidR="00025469" w:rsidRPr="00BA3F58" w:rsidRDefault="00025469" w:rsidP="00025469">
      <w:pPr>
        <w:pStyle w:val="paragraphsub"/>
      </w:pPr>
      <w:r w:rsidRPr="00BA3F58">
        <w:tab/>
        <w:t>(</w:t>
      </w:r>
      <w:proofErr w:type="spellStart"/>
      <w:r w:rsidRPr="00BA3F58">
        <w:t>i</w:t>
      </w:r>
      <w:proofErr w:type="spellEnd"/>
      <w:r w:rsidRPr="00BA3F58">
        <w:t>)</w:t>
      </w:r>
      <w:r w:rsidRPr="00BA3F58">
        <w:tab/>
        <w:t xml:space="preserve">a request was on foot under Part 2 or 4 of these rules in respect of </w:t>
      </w:r>
      <w:r w:rsidR="00A13B99" w:rsidRPr="00BA3F58">
        <w:t xml:space="preserve">NBL sector </w:t>
      </w:r>
      <w:r w:rsidRPr="00BA3F58">
        <w:t>data of the data holder; or</w:t>
      </w:r>
    </w:p>
    <w:p w14:paraId="4A018E33" w14:textId="72D68559" w:rsidR="00025469" w:rsidRPr="00BA3F58" w:rsidRDefault="00025469" w:rsidP="00025469">
      <w:pPr>
        <w:pStyle w:val="paragraphsub"/>
      </w:pPr>
      <w:r w:rsidRPr="00BA3F58">
        <w:tab/>
        <w:t>(ii)</w:t>
      </w:r>
      <w:r w:rsidRPr="00BA3F58">
        <w:tab/>
        <w:t xml:space="preserve">a current authorisation or consent given under Part 4 of these rules in respect of </w:t>
      </w:r>
      <w:r w:rsidR="001E021F" w:rsidRPr="00BA3F58">
        <w:t xml:space="preserve">NBL sector </w:t>
      </w:r>
      <w:r w:rsidRPr="00BA3F58">
        <w:t>data covered by such a request was in existence.</w:t>
      </w:r>
    </w:p>
    <w:p w14:paraId="38B909F4" w14:textId="77777777" w:rsidR="00025469" w:rsidRPr="00BA3F58" w:rsidRDefault="00025469" w:rsidP="00025469">
      <w:pPr>
        <w:pStyle w:val="SubsectionHead"/>
      </w:pPr>
      <w:r w:rsidRPr="00BA3F58">
        <w:t>Request taken to be made in respect of banking sector</w:t>
      </w:r>
    </w:p>
    <w:p w14:paraId="2DBF9DCC" w14:textId="0D636EE7" w:rsidR="00025469" w:rsidRPr="00BA3F58" w:rsidRDefault="00025469" w:rsidP="00025469">
      <w:pPr>
        <w:pStyle w:val="subsection"/>
      </w:pPr>
      <w:r w:rsidRPr="00BA3F58">
        <w:tab/>
        <w:t>(2)</w:t>
      </w:r>
      <w:r w:rsidRPr="00BA3F58">
        <w:tab/>
        <w:t xml:space="preserve">The request, consent or authorisation mentioned in subclause (1) remains effective </w:t>
      </w:r>
      <w:r w:rsidR="00A13B99" w:rsidRPr="00BA3F58">
        <w:t xml:space="preserve">after the transition time </w:t>
      </w:r>
      <w:r w:rsidRPr="00BA3F58">
        <w:t xml:space="preserve">as though it had instead been made </w:t>
      </w:r>
      <w:r w:rsidR="001E021F" w:rsidRPr="00BA3F58">
        <w:t>on the basis that the data holder was in the banking sector, and the NBL sector data was banking sector data.</w:t>
      </w:r>
    </w:p>
    <w:p w14:paraId="70BE8540" w14:textId="3AA2522F" w:rsidR="00025469" w:rsidRPr="00BA3F58" w:rsidRDefault="00025469" w:rsidP="00025469">
      <w:pPr>
        <w:pStyle w:val="subsection"/>
      </w:pPr>
      <w:r w:rsidRPr="00BA3F58">
        <w:tab/>
        <w:t>(3)</w:t>
      </w:r>
      <w:r w:rsidRPr="00BA3F58">
        <w:tab/>
        <w:t>To avoid doubt, without limiting subclause (2):</w:t>
      </w:r>
    </w:p>
    <w:p w14:paraId="580AD126" w14:textId="77777777" w:rsidR="00025469" w:rsidRPr="00BA3F58" w:rsidRDefault="00025469" w:rsidP="00025469">
      <w:pPr>
        <w:pStyle w:val="paragraph"/>
      </w:pPr>
      <w:r w:rsidRPr="00BA3F58">
        <w:tab/>
        <w:t>(a)</w:t>
      </w:r>
      <w:r w:rsidRPr="00BA3F58">
        <w:tab/>
        <w:t>these rules apply as though a reference in the request, authorisation or consent to the data holder and the CDR data in the NBL sector were a reference to the data holder and CDR data in the banking sector; and</w:t>
      </w:r>
    </w:p>
    <w:p w14:paraId="32068409" w14:textId="0037ACBF" w:rsidR="00025469" w:rsidRPr="00BA3F58" w:rsidRDefault="00025469" w:rsidP="00025469">
      <w:pPr>
        <w:pStyle w:val="paragraph"/>
      </w:pPr>
      <w:r w:rsidRPr="00BA3F58">
        <w:tab/>
        <w:t>(b)</w:t>
      </w:r>
      <w:r w:rsidRPr="00BA3F58">
        <w:tab/>
        <w:t>the consent or authorisation does not expire merely because the data holder has</w:t>
      </w:r>
      <w:r w:rsidR="00A13B99" w:rsidRPr="00BA3F58">
        <w:t xml:space="preserve"> ceased to operate in in the NBL sector.</w:t>
      </w:r>
    </w:p>
    <w:p w14:paraId="2EE4CB77" w14:textId="77777777" w:rsidR="00C0441D" w:rsidRPr="00BA3F58" w:rsidRDefault="00C0441D" w:rsidP="00C0441D">
      <w:pPr>
        <w:pStyle w:val="SubsectionHead"/>
      </w:pPr>
      <w:r w:rsidRPr="00BA3F58">
        <w:t>Data holder must respond to the request</w:t>
      </w:r>
    </w:p>
    <w:p w14:paraId="1A5E641B" w14:textId="3B996969" w:rsidR="00C0441D" w:rsidRPr="00BA3F58" w:rsidRDefault="00C0441D" w:rsidP="00C0441D">
      <w:pPr>
        <w:pStyle w:val="subsection"/>
      </w:pPr>
      <w:r w:rsidRPr="00BA3F58">
        <w:tab/>
        <w:t>(4)</w:t>
      </w:r>
      <w:r w:rsidRPr="00BA3F58">
        <w:tab/>
        <w:t xml:space="preserve">Despite anything else in this Schedule, the data holder must respond to the request in accordance with Part 2 </w:t>
      </w:r>
      <w:r w:rsidR="003638F3" w:rsidRPr="00BA3F58">
        <w:t xml:space="preserve">or </w:t>
      </w:r>
      <w:r w:rsidRPr="00BA3F58">
        <w:t>Part 4</w:t>
      </w:r>
      <w:r w:rsidR="003638F3" w:rsidRPr="00BA3F58">
        <w:t xml:space="preserve"> as the case requires</w:t>
      </w:r>
      <w:r w:rsidRPr="00BA3F58">
        <w:t>.</w:t>
      </w:r>
    </w:p>
    <w:p w14:paraId="32332B6A" w14:textId="53D9E6ED" w:rsidR="00C0441D" w:rsidRPr="00BA3F58" w:rsidRDefault="00C0441D" w:rsidP="00C0441D">
      <w:pPr>
        <w:pStyle w:val="notetext"/>
      </w:pPr>
      <w:r w:rsidRPr="00BA3F58">
        <w:t>Note:</w:t>
      </w:r>
      <w:r w:rsidRPr="00BA3F58">
        <w:tab/>
        <w:t>If the data holder has become a restricted ADI, it will be an excluded ADI, and this provision will override clause 1.1A. If it becomes an unrestricted ADI, this provision will override the allowance of time</w:t>
      </w:r>
      <w:r w:rsidR="00A469A6" w:rsidRPr="00BA3F58">
        <w:t xml:space="preserve"> in clause </w:t>
      </w:r>
      <w:r w:rsidR="007927E1">
        <w:t>6.9</w:t>
      </w:r>
      <w:r w:rsidRPr="00BA3F58">
        <w:t>.</w:t>
      </w:r>
    </w:p>
    <w:p w14:paraId="3F040FF5" w14:textId="77777777" w:rsidR="00025469" w:rsidRPr="00BA3F58" w:rsidRDefault="00025469" w:rsidP="00025469">
      <w:pPr>
        <w:pStyle w:val="SubsectionHead"/>
      </w:pPr>
      <w:r w:rsidRPr="00BA3F58">
        <w:t>CDR consumer must be notified of change of sector</w:t>
      </w:r>
    </w:p>
    <w:p w14:paraId="19E4F6CF" w14:textId="1418F9BD" w:rsidR="00025469" w:rsidRPr="00BA3F58" w:rsidRDefault="00025469" w:rsidP="00025469">
      <w:pPr>
        <w:pStyle w:val="subsection"/>
      </w:pPr>
      <w:r w:rsidRPr="00BA3F58">
        <w:tab/>
        <w:t>(</w:t>
      </w:r>
      <w:r w:rsidR="00C0441D" w:rsidRPr="00BA3F58">
        <w:t>5</w:t>
      </w:r>
      <w:r w:rsidRPr="00BA3F58">
        <w:t>)</w:t>
      </w:r>
      <w:r w:rsidRPr="00BA3F58">
        <w:tab/>
        <w:t>As soon as practicable after the transition time, the data holder must give a written notification to each CDR consumer in respect of whom a request mentioned in subclause (1) is on foot that:</w:t>
      </w:r>
    </w:p>
    <w:p w14:paraId="7FDD1DA4" w14:textId="77777777" w:rsidR="00025469" w:rsidRPr="00BA3F58" w:rsidRDefault="00025469" w:rsidP="00025469">
      <w:pPr>
        <w:pStyle w:val="paragraph"/>
      </w:pPr>
      <w:r w:rsidRPr="00BA3F58">
        <w:tab/>
        <w:t>(a)</w:t>
      </w:r>
      <w:r w:rsidRPr="00BA3F58">
        <w:tab/>
        <w:t>the data holder has ceased to operate in the NBL sector; and</w:t>
      </w:r>
    </w:p>
    <w:p w14:paraId="60C7107E" w14:textId="58C64ED6" w:rsidR="00025469" w:rsidRPr="00BA3F58" w:rsidRDefault="00025469" w:rsidP="00025469">
      <w:pPr>
        <w:pStyle w:val="paragraph"/>
      </w:pPr>
      <w:r w:rsidRPr="00BA3F58">
        <w:lastRenderedPageBreak/>
        <w:tab/>
        <w:t>(b)</w:t>
      </w:r>
      <w:r w:rsidRPr="00BA3F58">
        <w:tab/>
        <w:t>the data holder is now operating in the banking sector; and</w:t>
      </w:r>
    </w:p>
    <w:p w14:paraId="4ACB5D28" w14:textId="3EC13BD2" w:rsidR="001E021F" w:rsidRPr="00BA3F58" w:rsidRDefault="001E021F" w:rsidP="00025469">
      <w:pPr>
        <w:pStyle w:val="paragraph"/>
      </w:pPr>
      <w:r w:rsidRPr="00BA3F58">
        <w:tab/>
        <w:t>(c)</w:t>
      </w:r>
      <w:r w:rsidRPr="00BA3F58">
        <w:tab/>
        <w:t>the data requested is now banking sector data; and</w:t>
      </w:r>
    </w:p>
    <w:p w14:paraId="4FD08B9D" w14:textId="08B0A713" w:rsidR="00025469" w:rsidRPr="00BA3F58" w:rsidRDefault="00025469" w:rsidP="00025469">
      <w:pPr>
        <w:pStyle w:val="paragraph"/>
      </w:pPr>
      <w:r w:rsidRPr="00BA3F58">
        <w:tab/>
        <w:t>(</w:t>
      </w:r>
      <w:r w:rsidR="001E021F" w:rsidRPr="00BA3F58">
        <w:t>d</w:t>
      </w:r>
      <w:r w:rsidRPr="00BA3F58">
        <w:t>)</w:t>
      </w:r>
      <w:r w:rsidRPr="00BA3F58">
        <w:tab/>
        <w:t xml:space="preserve">the CDR consumer may, under </w:t>
      </w:r>
      <w:r w:rsidR="001A6DE6" w:rsidRPr="00BA3F58">
        <w:t xml:space="preserve">rule </w:t>
      </w:r>
      <w:r w:rsidRPr="00BA3F58">
        <w:t>4.13</w:t>
      </w:r>
      <w:r w:rsidR="00804F1D">
        <w:t>, 4.20J</w:t>
      </w:r>
      <w:r w:rsidRPr="00BA3F58">
        <w:t xml:space="preserve"> or 4.25, choose to withdraw an authorisation or consent given under Part 4 in respect of the request.</w:t>
      </w:r>
    </w:p>
    <w:p w14:paraId="0E88D7B6" w14:textId="3F4B5EAA" w:rsidR="00025469" w:rsidRPr="00BA3F58" w:rsidRDefault="00025469" w:rsidP="00025469">
      <w:pPr>
        <w:pStyle w:val="subsection"/>
      </w:pPr>
      <w:r w:rsidRPr="00BA3F58">
        <w:tab/>
      </w:r>
      <w:r w:rsidR="00C0441D" w:rsidRPr="00BA3F58">
        <w:t>(6)</w:t>
      </w:r>
      <w:r w:rsidRPr="00BA3F58">
        <w:tab/>
        <w:t>As soon as practicable after the transition time, the data holder must give a written notification to each accredited person who made a consumer data request mentioned in subclause (1) that:</w:t>
      </w:r>
    </w:p>
    <w:p w14:paraId="32C81425" w14:textId="77777777" w:rsidR="00025469" w:rsidRPr="00BA3F58" w:rsidRDefault="00025469" w:rsidP="00025469">
      <w:pPr>
        <w:pStyle w:val="paragraph"/>
      </w:pPr>
      <w:r w:rsidRPr="00BA3F58">
        <w:tab/>
        <w:t>(a)</w:t>
      </w:r>
      <w:r w:rsidRPr="00BA3F58">
        <w:tab/>
        <w:t>the data holder has ceased to operate in the NBL sector; and</w:t>
      </w:r>
    </w:p>
    <w:p w14:paraId="40B99DAB" w14:textId="77777777" w:rsidR="00025469" w:rsidRPr="00BA3F58" w:rsidRDefault="00025469" w:rsidP="00025469">
      <w:pPr>
        <w:pStyle w:val="paragraph"/>
      </w:pPr>
      <w:r w:rsidRPr="00BA3F58">
        <w:tab/>
        <w:t>(b)</w:t>
      </w:r>
      <w:r w:rsidRPr="00BA3F58">
        <w:tab/>
        <w:t>the data holder is now operating in the banking sector.</w:t>
      </w:r>
    </w:p>
    <w:p w14:paraId="0948EDF0" w14:textId="32D86E87" w:rsidR="007F229C" w:rsidRDefault="003638F3" w:rsidP="00A3046A">
      <w:pPr>
        <w:pStyle w:val="subsection"/>
      </w:pPr>
      <w:r w:rsidRPr="00BA3F58">
        <w:tab/>
        <w:t>(7)</w:t>
      </w:r>
      <w:r w:rsidRPr="00BA3F58">
        <w:tab/>
        <w:t xml:space="preserve">Where an accredited person would be required to update the consumer dashboard of a relevant CDR consumer under </w:t>
      </w:r>
      <w:r w:rsidR="00AF26D1" w:rsidRPr="00BA3F58">
        <w:t>rule</w:t>
      </w:r>
      <w:r w:rsidRPr="00BA3F58">
        <w:t xml:space="preserve"> 4.19 </w:t>
      </w:r>
      <w:proofErr w:type="gramStart"/>
      <w:r w:rsidRPr="00BA3F58">
        <w:t>as a result of</w:t>
      </w:r>
      <w:proofErr w:type="gramEnd"/>
      <w:r w:rsidRPr="00BA3F58">
        <w:t xml:space="preserve"> the sector change mentioned in subclause (1</w:t>
      </w:r>
      <w:r w:rsidR="00334D7B" w:rsidRPr="00BA3F58">
        <w:t>)</w:t>
      </w:r>
      <w:r w:rsidRPr="00BA3F58">
        <w:t>, the accredited person must instead update the consumer dashboard within a reasonable period after receiving the notification mentioned in subclause (</w:t>
      </w:r>
      <w:r w:rsidR="00010BBD">
        <w:t>6</w:t>
      </w:r>
      <w:r w:rsidRPr="00BA3F58">
        <w:t>).</w:t>
      </w:r>
    </w:p>
    <w:p w14:paraId="63CB3399" w14:textId="5066B592" w:rsidR="00DF426E" w:rsidRPr="00BA3F58" w:rsidRDefault="00DF426E" w:rsidP="00744782">
      <w:pPr>
        <w:pStyle w:val="ActHead7"/>
        <w:pageBreakBefore/>
      </w:pPr>
      <w:bookmarkStart w:id="136" w:name="_Toc191450865"/>
      <w:r w:rsidRPr="00BA3F58">
        <w:rPr>
          <w:rStyle w:val="CharAmPartNo"/>
        </w:rPr>
        <w:lastRenderedPageBreak/>
        <w:t>Part </w:t>
      </w:r>
      <w:r>
        <w:rPr>
          <w:rStyle w:val="CharAmPartNo"/>
        </w:rPr>
        <w:t>3</w:t>
      </w:r>
      <w:r w:rsidRPr="00BA3F58">
        <w:t>—</w:t>
      </w:r>
      <w:r w:rsidRPr="00BA3F58">
        <w:rPr>
          <w:rStyle w:val="CharAmPartText"/>
        </w:rPr>
        <w:t>General amendments</w:t>
      </w:r>
      <w:r w:rsidR="00AC354C">
        <w:rPr>
          <w:rStyle w:val="CharAmPartText"/>
        </w:rPr>
        <w:t xml:space="preserve"> of listed </w:t>
      </w:r>
      <w:r w:rsidR="00AC354C" w:rsidRPr="0040018E">
        <w:rPr>
          <w:rStyle w:val="CharAmPartText"/>
        </w:rPr>
        <w:t>provisions</w:t>
      </w:r>
      <w:bookmarkEnd w:id="136"/>
    </w:p>
    <w:p w14:paraId="41F1DAD1" w14:textId="77777777" w:rsidR="00E803FE" w:rsidRPr="00BA3F58" w:rsidRDefault="00E803FE" w:rsidP="00E803FE">
      <w:pPr>
        <w:pStyle w:val="ActHead9"/>
      </w:pPr>
      <w:bookmarkStart w:id="137" w:name="_Toc191450866"/>
      <w:r w:rsidRPr="00BA3F58">
        <w:t>Competition and Consumer (Consumer Data Right) Rules 2020</w:t>
      </w:r>
      <w:bookmarkEnd w:id="137"/>
    </w:p>
    <w:p w14:paraId="2286526F" w14:textId="5B146356" w:rsidR="002E50AE" w:rsidRPr="0005338F" w:rsidRDefault="003D4B2C" w:rsidP="002E50AE">
      <w:pPr>
        <w:pStyle w:val="ItemHead"/>
      </w:pPr>
      <w:proofErr w:type="gramStart"/>
      <w:r>
        <w:t>3</w:t>
      </w:r>
      <w:r w:rsidR="000821FC">
        <w:t>7</w:t>
      </w:r>
      <w:r w:rsidR="002E50AE">
        <w:t xml:space="preserve">  Amendments</w:t>
      </w:r>
      <w:proofErr w:type="gramEnd"/>
      <w:r w:rsidR="002E50AE">
        <w:t xml:space="preserve"> of listed provisions—banking and non-bank lenders sectors</w:t>
      </w:r>
    </w:p>
    <w:p w14:paraId="16153156" w14:textId="1B236EAE" w:rsidR="002E50AE" w:rsidRPr="00BA3F58" w:rsidRDefault="002E50AE" w:rsidP="002E50AE">
      <w:pPr>
        <w:pStyle w:val="Item"/>
      </w:pPr>
      <w:r w:rsidRPr="00BA3F58">
        <w:t xml:space="preserve">Omit </w:t>
      </w:r>
      <w:r>
        <w:t>“</w:t>
      </w:r>
      <w:r w:rsidRPr="00BA3F58">
        <w:t>banking sector</w:t>
      </w:r>
      <w:r>
        <w:t>”</w:t>
      </w:r>
      <w:r w:rsidRPr="00BA3F58">
        <w:t xml:space="preserve">, substitute </w:t>
      </w:r>
      <w:r>
        <w:t>“</w:t>
      </w:r>
      <w:r w:rsidRPr="00BA3F58">
        <w:t xml:space="preserve">banking </w:t>
      </w:r>
      <w:r w:rsidR="003C6454">
        <w:t xml:space="preserve">sector </w:t>
      </w:r>
      <w:r w:rsidRPr="00BA3F58">
        <w:t>and non-bank lenders sector</w:t>
      </w:r>
      <w:r>
        <w:t>”</w:t>
      </w:r>
      <w:r w:rsidRPr="00BA3F58">
        <w:t xml:space="preserve"> in the following provisions:</w:t>
      </w:r>
    </w:p>
    <w:p w14:paraId="46126EE2" w14:textId="77777777" w:rsidR="002E50AE" w:rsidRDefault="002E50AE" w:rsidP="002E50AE">
      <w:pPr>
        <w:pStyle w:val="paragraph"/>
        <w:numPr>
          <w:ilvl w:val="0"/>
          <w:numId w:val="16"/>
        </w:numPr>
      </w:pPr>
      <w:r>
        <w:t>sub</w:t>
      </w:r>
      <w:r w:rsidRPr="00BA3F58">
        <w:t>rule 1.</w:t>
      </w:r>
      <w:r>
        <w:t xml:space="preserve">7(1), </w:t>
      </w:r>
      <w:r w:rsidRPr="00BA3F58">
        <w:t>note</w:t>
      </w:r>
      <w:r>
        <w:t>s</w:t>
      </w:r>
      <w:r w:rsidRPr="00BA3F58">
        <w:t xml:space="preserve"> to </w:t>
      </w:r>
      <w:r>
        <w:t>the following definitions:</w:t>
      </w:r>
    </w:p>
    <w:p w14:paraId="4C34A83F" w14:textId="77777777" w:rsidR="002E50AE" w:rsidRPr="00911EC7" w:rsidRDefault="002E50AE" w:rsidP="002E50AE">
      <w:pPr>
        <w:pStyle w:val="paragraphsub"/>
      </w:pPr>
      <w:r>
        <w:tab/>
        <w:t>(</w:t>
      </w:r>
      <w:proofErr w:type="spellStart"/>
      <w:r>
        <w:t>i</w:t>
      </w:r>
      <w:proofErr w:type="spellEnd"/>
      <w:r>
        <w:t>)</w:t>
      </w:r>
      <w:r>
        <w:tab/>
      </w:r>
      <w:r>
        <w:tab/>
      </w:r>
      <w:r w:rsidRPr="00911EC7">
        <w:rPr>
          <w:b/>
          <w:bCs/>
          <w:i/>
          <w:iCs/>
        </w:rPr>
        <w:t xml:space="preserve">law relevant to the management of CDR </w:t>
      </w:r>
      <w:proofErr w:type="gramStart"/>
      <w:r w:rsidRPr="00911EC7">
        <w:rPr>
          <w:b/>
          <w:bCs/>
          <w:i/>
          <w:iCs/>
        </w:rPr>
        <w:t>data</w:t>
      </w:r>
      <w:r w:rsidRPr="00911EC7">
        <w:t>;</w:t>
      </w:r>
      <w:proofErr w:type="gramEnd"/>
    </w:p>
    <w:p w14:paraId="1B27520E" w14:textId="77777777" w:rsidR="002E50AE" w:rsidRPr="00911EC7" w:rsidRDefault="002E50AE" w:rsidP="002E50AE">
      <w:pPr>
        <w:pStyle w:val="paragraphsub"/>
      </w:pPr>
      <w:r w:rsidRPr="00911EC7">
        <w:tab/>
        <w:t>(</w:t>
      </w:r>
      <w:r>
        <w:t>ii</w:t>
      </w:r>
      <w:r w:rsidRPr="00911EC7">
        <w:t>)</w:t>
      </w:r>
      <w:r w:rsidRPr="00911EC7">
        <w:tab/>
      </w:r>
      <w:r w:rsidRPr="00911EC7">
        <w:rPr>
          <w:b/>
          <w:bCs/>
          <w:i/>
          <w:iCs/>
        </w:rPr>
        <w:t xml:space="preserve">meet the external dispute resolution </w:t>
      </w:r>
      <w:proofErr w:type="gramStart"/>
      <w:r w:rsidRPr="00911EC7">
        <w:rPr>
          <w:b/>
          <w:bCs/>
          <w:i/>
          <w:iCs/>
        </w:rPr>
        <w:t>requirements</w:t>
      </w:r>
      <w:r w:rsidRPr="00911EC7">
        <w:t>;</w:t>
      </w:r>
      <w:proofErr w:type="gramEnd"/>
    </w:p>
    <w:p w14:paraId="4E839C68" w14:textId="77777777" w:rsidR="002E50AE" w:rsidRPr="00911EC7" w:rsidRDefault="002E50AE" w:rsidP="002E50AE">
      <w:pPr>
        <w:pStyle w:val="paragraphsub"/>
      </w:pPr>
      <w:r w:rsidRPr="00911EC7">
        <w:tab/>
        <w:t>(</w:t>
      </w:r>
      <w:r>
        <w:t>iii)</w:t>
      </w:r>
      <w:r w:rsidRPr="00911EC7">
        <w:tab/>
      </w:r>
      <w:r w:rsidRPr="00911EC7">
        <w:rPr>
          <w:b/>
          <w:bCs/>
          <w:i/>
          <w:iCs/>
        </w:rPr>
        <w:t xml:space="preserve">meet the internal dispute resolution </w:t>
      </w:r>
      <w:proofErr w:type="gramStart"/>
      <w:r w:rsidRPr="00911EC7">
        <w:rPr>
          <w:b/>
          <w:bCs/>
          <w:i/>
          <w:iCs/>
        </w:rPr>
        <w:t>requireme</w:t>
      </w:r>
      <w:r w:rsidRPr="00377D7D">
        <w:rPr>
          <w:b/>
          <w:bCs/>
          <w:i/>
          <w:iCs/>
        </w:rPr>
        <w:t>nts</w:t>
      </w:r>
      <w:r w:rsidRPr="00911EC7">
        <w:t>;</w:t>
      </w:r>
      <w:proofErr w:type="gramEnd"/>
    </w:p>
    <w:p w14:paraId="2A1419E6" w14:textId="10025E8F" w:rsidR="002E50AE" w:rsidRPr="00911EC7" w:rsidRDefault="002E50AE" w:rsidP="002E50AE">
      <w:pPr>
        <w:pStyle w:val="paragraphsub"/>
      </w:pPr>
      <w:r w:rsidRPr="00911EC7">
        <w:tab/>
        <w:t>(</w:t>
      </w:r>
      <w:r>
        <w:t>iv</w:t>
      </w:r>
      <w:r w:rsidRPr="00911EC7">
        <w:t>)</w:t>
      </w:r>
      <w:r w:rsidRPr="00911EC7">
        <w:tab/>
      </w:r>
      <w:r w:rsidRPr="00911EC7">
        <w:rPr>
          <w:b/>
          <w:bCs/>
          <w:i/>
          <w:iCs/>
        </w:rPr>
        <w:t xml:space="preserve">required consumer </w:t>
      </w:r>
      <w:proofErr w:type="gramStart"/>
      <w:r w:rsidRPr="00911EC7">
        <w:rPr>
          <w:b/>
          <w:bCs/>
          <w:i/>
          <w:iCs/>
        </w:rPr>
        <w:t>data</w:t>
      </w:r>
      <w:r w:rsidRPr="00911EC7">
        <w:t>;</w:t>
      </w:r>
      <w:proofErr w:type="gramEnd"/>
    </w:p>
    <w:p w14:paraId="60325768" w14:textId="77777777" w:rsidR="002E50AE" w:rsidRPr="00911EC7" w:rsidRDefault="002E50AE" w:rsidP="002E50AE">
      <w:pPr>
        <w:pStyle w:val="paragraphsub"/>
      </w:pPr>
      <w:r w:rsidRPr="00911EC7">
        <w:tab/>
        <w:t>(</w:t>
      </w:r>
      <w:r>
        <w:t>v</w:t>
      </w:r>
      <w:r w:rsidRPr="00911EC7">
        <w:t>)</w:t>
      </w:r>
      <w:r w:rsidRPr="00911EC7">
        <w:tab/>
      </w:r>
      <w:r w:rsidRPr="00911EC7">
        <w:rPr>
          <w:b/>
          <w:bCs/>
          <w:i/>
          <w:iCs/>
        </w:rPr>
        <w:t xml:space="preserve">required product </w:t>
      </w:r>
      <w:proofErr w:type="gramStart"/>
      <w:r w:rsidRPr="00911EC7">
        <w:rPr>
          <w:b/>
          <w:bCs/>
          <w:i/>
          <w:iCs/>
        </w:rPr>
        <w:t>data</w:t>
      </w:r>
      <w:r w:rsidRPr="00911EC7">
        <w:t>;</w:t>
      </w:r>
      <w:proofErr w:type="gramEnd"/>
    </w:p>
    <w:p w14:paraId="06501C3B" w14:textId="77777777" w:rsidR="002E50AE" w:rsidRPr="00911EC7" w:rsidRDefault="002E50AE" w:rsidP="002E50AE">
      <w:pPr>
        <w:pStyle w:val="paragraphsub"/>
      </w:pPr>
      <w:r w:rsidRPr="00911EC7">
        <w:tab/>
        <w:t>(</w:t>
      </w:r>
      <w:r>
        <w:t>vi</w:t>
      </w:r>
      <w:r w:rsidRPr="00911EC7">
        <w:t>)</w:t>
      </w:r>
      <w:r w:rsidRPr="00911EC7">
        <w:tab/>
      </w:r>
      <w:r w:rsidRPr="00911EC7">
        <w:rPr>
          <w:b/>
          <w:bCs/>
          <w:i/>
          <w:iCs/>
        </w:rPr>
        <w:t xml:space="preserve">voluntary consumer </w:t>
      </w:r>
      <w:proofErr w:type="gramStart"/>
      <w:r w:rsidRPr="00911EC7">
        <w:rPr>
          <w:b/>
          <w:bCs/>
          <w:i/>
          <w:iCs/>
        </w:rPr>
        <w:t>data</w:t>
      </w:r>
      <w:r w:rsidRPr="00911EC7">
        <w:t>;</w:t>
      </w:r>
      <w:proofErr w:type="gramEnd"/>
    </w:p>
    <w:p w14:paraId="4A57C90B" w14:textId="77777777" w:rsidR="002E50AE" w:rsidRDefault="002E50AE" w:rsidP="002E50AE">
      <w:pPr>
        <w:pStyle w:val="paragraphsub"/>
      </w:pPr>
      <w:r w:rsidRPr="00911EC7">
        <w:tab/>
        <w:t>(</w:t>
      </w:r>
      <w:r>
        <w:t>vii</w:t>
      </w:r>
      <w:r w:rsidRPr="00911EC7">
        <w:t>)</w:t>
      </w:r>
      <w:r w:rsidRPr="00911EC7">
        <w:tab/>
      </w:r>
      <w:r w:rsidRPr="00911EC7">
        <w:rPr>
          <w:b/>
          <w:bCs/>
          <w:i/>
          <w:iCs/>
        </w:rPr>
        <w:t xml:space="preserve">voluntary product </w:t>
      </w:r>
      <w:proofErr w:type="gramStart"/>
      <w:r w:rsidRPr="00911EC7">
        <w:rPr>
          <w:b/>
          <w:bCs/>
          <w:i/>
          <w:iCs/>
        </w:rPr>
        <w:t>data</w:t>
      </w:r>
      <w:r w:rsidRPr="00AE57B6">
        <w:t>;</w:t>
      </w:r>
      <w:proofErr w:type="gramEnd"/>
    </w:p>
    <w:p w14:paraId="24C87B06" w14:textId="77777777" w:rsidR="002E50AE" w:rsidRDefault="002E50AE" w:rsidP="002E50AE">
      <w:pPr>
        <w:pStyle w:val="paragraph"/>
        <w:numPr>
          <w:ilvl w:val="0"/>
          <w:numId w:val="16"/>
        </w:numPr>
      </w:pPr>
      <w:r w:rsidRPr="00BA3F58">
        <w:t>rule 1.10B (note to heading</w:t>
      </w:r>
      <w:proofErr w:type="gramStart"/>
      <w:r w:rsidRPr="00BA3F58">
        <w:t>);</w:t>
      </w:r>
      <w:proofErr w:type="gramEnd"/>
    </w:p>
    <w:p w14:paraId="3A24485B" w14:textId="77777777" w:rsidR="002E50AE" w:rsidRPr="00BA3F58" w:rsidRDefault="002E50AE" w:rsidP="002E50AE">
      <w:pPr>
        <w:pStyle w:val="paragraph"/>
      </w:pPr>
      <w:r w:rsidRPr="00BA3F58">
        <w:tab/>
      </w:r>
      <w:r>
        <w:t>(c)</w:t>
      </w:r>
      <w:r w:rsidRPr="00BA3F58">
        <w:tab/>
        <w:t>subrule 1.15(1) (note 2</w:t>
      </w:r>
      <w:proofErr w:type="gramStart"/>
      <w:r w:rsidRPr="00BA3F58">
        <w:t>);</w:t>
      </w:r>
      <w:proofErr w:type="gramEnd"/>
    </w:p>
    <w:p w14:paraId="1CF8A739" w14:textId="77777777" w:rsidR="002E50AE" w:rsidRPr="00BA3F58" w:rsidRDefault="002E50AE" w:rsidP="002E50AE">
      <w:pPr>
        <w:pStyle w:val="paragraph"/>
      </w:pPr>
      <w:r w:rsidRPr="00BA3F58">
        <w:tab/>
      </w:r>
      <w:r>
        <w:t>(d)</w:t>
      </w:r>
      <w:r w:rsidRPr="00BA3F58">
        <w:tab/>
        <w:t>subrule 2.3(1) (note</w:t>
      </w:r>
      <w:proofErr w:type="gramStart"/>
      <w:r w:rsidRPr="00BA3F58">
        <w:t>);</w:t>
      </w:r>
      <w:proofErr w:type="gramEnd"/>
    </w:p>
    <w:p w14:paraId="0A33F939" w14:textId="0361E6A6" w:rsidR="002E50AE" w:rsidRPr="00BA3F58" w:rsidRDefault="002E50AE" w:rsidP="002E50AE">
      <w:pPr>
        <w:pStyle w:val="paragraph"/>
      </w:pPr>
      <w:r w:rsidRPr="00BA3F58">
        <w:tab/>
      </w:r>
      <w:r>
        <w:t>(e)</w:t>
      </w:r>
      <w:r w:rsidRPr="00BA3F58">
        <w:tab/>
        <w:t>subrule 2.4(2) (note</w:t>
      </w:r>
      <w:proofErr w:type="gramStart"/>
      <w:r w:rsidRPr="00BA3F58">
        <w:t>);</w:t>
      </w:r>
      <w:proofErr w:type="gramEnd"/>
    </w:p>
    <w:p w14:paraId="06ECA613" w14:textId="77777777" w:rsidR="002E50AE" w:rsidRPr="00BA3F58" w:rsidRDefault="002E50AE" w:rsidP="002E50AE">
      <w:pPr>
        <w:pStyle w:val="paragraph"/>
      </w:pPr>
      <w:r w:rsidRPr="00BA3F58">
        <w:tab/>
      </w:r>
      <w:r>
        <w:t>(f)</w:t>
      </w:r>
      <w:r w:rsidRPr="00BA3F58">
        <w:tab/>
        <w:t>subrule 2.4(3) (note 1</w:t>
      </w:r>
      <w:proofErr w:type="gramStart"/>
      <w:r w:rsidRPr="00BA3F58">
        <w:t>);</w:t>
      </w:r>
      <w:proofErr w:type="gramEnd"/>
    </w:p>
    <w:p w14:paraId="3FABDA61" w14:textId="697CFE97" w:rsidR="002E50AE" w:rsidRPr="00BA3F58" w:rsidRDefault="002E50AE" w:rsidP="002E50AE">
      <w:pPr>
        <w:pStyle w:val="paragraph"/>
      </w:pPr>
      <w:r w:rsidRPr="00BA3F58">
        <w:tab/>
      </w:r>
      <w:r>
        <w:t>(g)</w:t>
      </w:r>
      <w:r w:rsidRPr="00BA3F58">
        <w:tab/>
        <w:t>subrule 4.4(2) (note 2</w:t>
      </w:r>
      <w:proofErr w:type="gramStart"/>
      <w:r w:rsidRPr="00BA3F58">
        <w:t>)</w:t>
      </w:r>
      <w:r w:rsidR="007927E1">
        <w:t>;</w:t>
      </w:r>
      <w:proofErr w:type="gramEnd"/>
    </w:p>
    <w:p w14:paraId="3EE58CE9" w14:textId="77777777" w:rsidR="002E50AE" w:rsidRPr="00BA3F58" w:rsidRDefault="002E50AE" w:rsidP="002E50AE">
      <w:pPr>
        <w:pStyle w:val="paragraph"/>
      </w:pPr>
      <w:r w:rsidRPr="00BA3F58">
        <w:tab/>
      </w:r>
      <w:r>
        <w:t>(h)</w:t>
      </w:r>
      <w:r w:rsidRPr="00BA3F58">
        <w:tab/>
        <w:t>subrule 4.5(1) (note</w:t>
      </w:r>
      <w:proofErr w:type="gramStart"/>
      <w:r w:rsidRPr="00BA3F58">
        <w:t>);</w:t>
      </w:r>
      <w:proofErr w:type="gramEnd"/>
      <w:r w:rsidRPr="00BA3F58">
        <w:t xml:space="preserve"> </w:t>
      </w:r>
    </w:p>
    <w:p w14:paraId="075BA00A" w14:textId="77777777" w:rsidR="002E50AE" w:rsidRPr="00BA3F58" w:rsidRDefault="002E50AE" w:rsidP="002E50AE">
      <w:pPr>
        <w:pStyle w:val="paragraph"/>
      </w:pPr>
      <w:r w:rsidRPr="00BA3F58">
        <w:tab/>
      </w:r>
      <w:r>
        <w:t>(</w:t>
      </w:r>
      <w:proofErr w:type="spellStart"/>
      <w:r>
        <w:t>i</w:t>
      </w:r>
      <w:proofErr w:type="spellEnd"/>
      <w:r>
        <w:t>)</w:t>
      </w:r>
      <w:r w:rsidRPr="00BA3F58">
        <w:tab/>
        <w:t>subrule 4.5(2) (note 1</w:t>
      </w:r>
      <w:proofErr w:type="gramStart"/>
      <w:r w:rsidRPr="00BA3F58">
        <w:t>);</w:t>
      </w:r>
      <w:proofErr w:type="gramEnd"/>
    </w:p>
    <w:p w14:paraId="6117477E" w14:textId="77777777" w:rsidR="002E50AE" w:rsidRPr="00BA3F58" w:rsidRDefault="002E50AE" w:rsidP="002E50AE">
      <w:pPr>
        <w:pStyle w:val="paragraph"/>
      </w:pPr>
      <w:r w:rsidRPr="00BA3F58">
        <w:tab/>
      </w:r>
      <w:r>
        <w:t>(j)</w:t>
      </w:r>
      <w:r w:rsidRPr="00BA3F58">
        <w:tab/>
        <w:t>subrule 4.5(3) (note 1</w:t>
      </w:r>
      <w:proofErr w:type="gramStart"/>
      <w:r w:rsidRPr="00BA3F58">
        <w:t>);</w:t>
      </w:r>
      <w:proofErr w:type="gramEnd"/>
    </w:p>
    <w:p w14:paraId="551E9EE3" w14:textId="77777777" w:rsidR="002E50AE" w:rsidRPr="00BA3F58" w:rsidRDefault="002E50AE" w:rsidP="002E50AE">
      <w:pPr>
        <w:pStyle w:val="paragraph"/>
      </w:pPr>
      <w:r w:rsidRPr="00BA3F58">
        <w:tab/>
      </w:r>
      <w:r>
        <w:t>(k)</w:t>
      </w:r>
      <w:r w:rsidRPr="00BA3F58">
        <w:tab/>
        <w:t>subrule 4.6(2) (note 1</w:t>
      </w:r>
      <w:proofErr w:type="gramStart"/>
      <w:r w:rsidRPr="00BA3F58">
        <w:t>);</w:t>
      </w:r>
      <w:proofErr w:type="gramEnd"/>
      <w:r w:rsidRPr="00BA3F58">
        <w:t xml:space="preserve"> </w:t>
      </w:r>
    </w:p>
    <w:p w14:paraId="12C25CCF" w14:textId="77777777" w:rsidR="002E50AE" w:rsidRPr="00BA3F58" w:rsidRDefault="002E50AE" w:rsidP="002E50AE">
      <w:pPr>
        <w:pStyle w:val="paragraph"/>
      </w:pPr>
      <w:r w:rsidRPr="00BA3F58">
        <w:tab/>
      </w:r>
      <w:r>
        <w:t>(l)</w:t>
      </w:r>
      <w:r w:rsidRPr="00BA3F58">
        <w:tab/>
        <w:t>subrule 4.6(4) (note 1</w:t>
      </w:r>
      <w:proofErr w:type="gramStart"/>
      <w:r w:rsidRPr="00BA3F58">
        <w:t>);</w:t>
      </w:r>
      <w:proofErr w:type="gramEnd"/>
    </w:p>
    <w:p w14:paraId="456F2BB8" w14:textId="77777777" w:rsidR="002E50AE" w:rsidRPr="00BA3F58" w:rsidRDefault="002E50AE" w:rsidP="002E50AE">
      <w:pPr>
        <w:pStyle w:val="paragraph"/>
      </w:pPr>
      <w:r w:rsidRPr="00BA3F58">
        <w:tab/>
      </w:r>
      <w:r>
        <w:t>(m)</w:t>
      </w:r>
      <w:r w:rsidRPr="00BA3F58">
        <w:tab/>
        <w:t>subrule 4.7B(1) (note</w:t>
      </w:r>
      <w:proofErr w:type="gramStart"/>
      <w:r w:rsidRPr="00BA3F58">
        <w:t>);</w:t>
      </w:r>
      <w:proofErr w:type="gramEnd"/>
    </w:p>
    <w:p w14:paraId="54ED065D" w14:textId="77777777" w:rsidR="002E50AE" w:rsidRPr="00BA3F58" w:rsidRDefault="002E50AE" w:rsidP="002E50AE">
      <w:pPr>
        <w:pStyle w:val="paragraph"/>
      </w:pPr>
      <w:r w:rsidRPr="00BA3F58">
        <w:tab/>
      </w:r>
      <w:r>
        <w:t>(n)</w:t>
      </w:r>
      <w:r w:rsidRPr="00BA3F58">
        <w:tab/>
        <w:t>subrule 5.12(1) (notes 4 and 5</w:t>
      </w:r>
      <w:proofErr w:type="gramStart"/>
      <w:r w:rsidRPr="00BA3F58">
        <w:t>);</w:t>
      </w:r>
      <w:proofErr w:type="gramEnd"/>
    </w:p>
    <w:p w14:paraId="2419F36E" w14:textId="77777777" w:rsidR="002E50AE" w:rsidRPr="00BA3F58" w:rsidRDefault="002E50AE" w:rsidP="002E50AE">
      <w:pPr>
        <w:pStyle w:val="paragraph"/>
      </w:pPr>
      <w:r w:rsidRPr="00BA3F58">
        <w:tab/>
      </w:r>
      <w:r>
        <w:t>(o)</w:t>
      </w:r>
      <w:r w:rsidRPr="00BA3F58">
        <w:tab/>
        <w:t>rule 6.1 (note 1</w:t>
      </w:r>
      <w:proofErr w:type="gramStart"/>
      <w:r w:rsidRPr="00BA3F58">
        <w:t>);</w:t>
      </w:r>
      <w:proofErr w:type="gramEnd"/>
    </w:p>
    <w:p w14:paraId="129C8E0B" w14:textId="2EC7B4E6" w:rsidR="002E50AE" w:rsidRDefault="002E50AE" w:rsidP="007F42CC">
      <w:pPr>
        <w:pStyle w:val="paragraph"/>
        <w:tabs>
          <w:tab w:val="left" w:pos="2160"/>
          <w:tab w:val="left" w:pos="2880"/>
          <w:tab w:val="right" w:pos="8313"/>
        </w:tabs>
      </w:pPr>
      <w:r w:rsidRPr="00BA3F58">
        <w:tab/>
      </w:r>
      <w:r>
        <w:t>(p)</w:t>
      </w:r>
      <w:r w:rsidRPr="00BA3F58">
        <w:tab/>
        <w:t>rule 6.2 (note 2).</w:t>
      </w:r>
    </w:p>
    <w:p w14:paraId="7F7853A4" w14:textId="3833D25A" w:rsidR="0051231A" w:rsidRPr="0005338F" w:rsidRDefault="0051231A" w:rsidP="0051231A">
      <w:pPr>
        <w:pStyle w:val="ItemHead"/>
      </w:pPr>
      <w:proofErr w:type="gramStart"/>
      <w:r>
        <w:t>3</w:t>
      </w:r>
      <w:r w:rsidR="000821FC">
        <w:t>8</w:t>
      </w:r>
      <w:r>
        <w:t xml:space="preserve">  Amendments</w:t>
      </w:r>
      <w:proofErr w:type="gramEnd"/>
      <w:r>
        <w:t xml:space="preserve"> of listed provisions—</w:t>
      </w:r>
      <w:r w:rsidR="008D603A">
        <w:t xml:space="preserve">CDR </w:t>
      </w:r>
      <w:r w:rsidR="003B6391">
        <w:t>Accreditor</w:t>
      </w:r>
    </w:p>
    <w:p w14:paraId="462DAB6C" w14:textId="3959C335" w:rsidR="0051231A" w:rsidRDefault="0051231A" w:rsidP="0051231A">
      <w:pPr>
        <w:pStyle w:val="Item"/>
      </w:pPr>
      <w:r w:rsidRPr="00BA3F58">
        <w:t xml:space="preserve">Omit </w:t>
      </w:r>
      <w:r>
        <w:t>“</w:t>
      </w:r>
      <w:r w:rsidR="00CD1877">
        <w:t xml:space="preserve">Data </w:t>
      </w:r>
      <w:r w:rsidR="003B6391">
        <w:t>Recipient Accreditor</w:t>
      </w:r>
      <w:r>
        <w:t>”</w:t>
      </w:r>
      <w:r w:rsidR="00D516F7">
        <w:t xml:space="preserve"> (wherever occurring)</w:t>
      </w:r>
      <w:r w:rsidR="0081013D">
        <w:t xml:space="preserve"> and</w:t>
      </w:r>
      <w:r w:rsidRPr="00BA3F58">
        <w:t xml:space="preserve"> substitute </w:t>
      </w:r>
      <w:r>
        <w:t>“</w:t>
      </w:r>
      <w:r w:rsidR="003B6391">
        <w:t>CDR Accreditor</w:t>
      </w:r>
      <w:r>
        <w:t>”</w:t>
      </w:r>
      <w:r w:rsidRPr="00BA3F58">
        <w:t xml:space="preserve"> in the following provisions:</w:t>
      </w:r>
    </w:p>
    <w:p w14:paraId="49BAD054" w14:textId="663881AE" w:rsidR="00A512FD" w:rsidRDefault="00A512FD" w:rsidP="00A512FD">
      <w:pPr>
        <w:pStyle w:val="paragraph"/>
      </w:pPr>
      <w:r>
        <w:tab/>
        <w:t>(a)</w:t>
      </w:r>
      <w:r>
        <w:tab/>
        <w:t xml:space="preserve">rule </w:t>
      </w:r>
      <w:proofErr w:type="gramStart"/>
      <w:r w:rsidR="008A4DF8">
        <w:t>5.1</w:t>
      </w:r>
      <w:r w:rsidR="007D6390">
        <w:t>;</w:t>
      </w:r>
      <w:proofErr w:type="gramEnd"/>
    </w:p>
    <w:p w14:paraId="78E39D29" w14:textId="2A33B4FB" w:rsidR="000068FD" w:rsidRDefault="00111516" w:rsidP="00A512FD">
      <w:pPr>
        <w:pStyle w:val="paragraph"/>
      </w:pPr>
      <w:r>
        <w:tab/>
        <w:t>(b)</w:t>
      </w:r>
      <w:r>
        <w:tab/>
      </w:r>
      <w:r w:rsidR="00E127C4">
        <w:t>paragraph</w:t>
      </w:r>
      <w:r>
        <w:t xml:space="preserve"> 5.1B(8)</w:t>
      </w:r>
      <w:r w:rsidR="00E127C4">
        <w:t>(a</w:t>
      </w:r>
      <w:proofErr w:type="gramStart"/>
      <w:r w:rsidR="00E127C4">
        <w:t>)</w:t>
      </w:r>
      <w:r>
        <w:t>;</w:t>
      </w:r>
      <w:proofErr w:type="gramEnd"/>
    </w:p>
    <w:p w14:paraId="54B4D0BD" w14:textId="7035D2A1" w:rsidR="00572633" w:rsidRDefault="00572633" w:rsidP="00A512FD">
      <w:pPr>
        <w:pStyle w:val="paragraph"/>
      </w:pPr>
      <w:r>
        <w:tab/>
        <w:t>(c)</w:t>
      </w:r>
      <w:r>
        <w:tab/>
      </w:r>
      <w:r w:rsidR="00A949D5">
        <w:t xml:space="preserve">subrules </w:t>
      </w:r>
      <w:r>
        <w:t>5.2</w:t>
      </w:r>
      <w:r w:rsidR="00A949D5">
        <w:t>(1) and (2</w:t>
      </w:r>
      <w:proofErr w:type="gramStart"/>
      <w:r w:rsidR="00A949D5">
        <w:t>);</w:t>
      </w:r>
      <w:proofErr w:type="gramEnd"/>
    </w:p>
    <w:p w14:paraId="19131B43" w14:textId="54151B79" w:rsidR="00DC0522" w:rsidRDefault="00DC0522" w:rsidP="00A512FD">
      <w:pPr>
        <w:pStyle w:val="paragraph"/>
      </w:pPr>
      <w:r>
        <w:tab/>
        <w:t>(d)</w:t>
      </w:r>
      <w:r>
        <w:tab/>
      </w:r>
      <w:r w:rsidR="00EA1216">
        <w:t>rule 5.3 (heading</w:t>
      </w:r>
      <w:proofErr w:type="gramStart"/>
      <w:r w:rsidR="00EA1216">
        <w:t>);</w:t>
      </w:r>
      <w:proofErr w:type="gramEnd"/>
    </w:p>
    <w:p w14:paraId="0228F305" w14:textId="6A8FC5BE" w:rsidR="00923F35" w:rsidRDefault="00923F35" w:rsidP="00A512FD">
      <w:pPr>
        <w:pStyle w:val="paragraph"/>
      </w:pPr>
      <w:r>
        <w:tab/>
        <w:t>(</w:t>
      </w:r>
      <w:r w:rsidR="00CA7A9D">
        <w:t>e</w:t>
      </w:r>
      <w:r>
        <w:t>)</w:t>
      </w:r>
      <w:r>
        <w:tab/>
        <w:t xml:space="preserve">subrule </w:t>
      </w:r>
      <w:proofErr w:type="gramStart"/>
      <w:r>
        <w:t>5.3(1)</w:t>
      </w:r>
      <w:r w:rsidR="0012585B">
        <w:t>;</w:t>
      </w:r>
      <w:proofErr w:type="gramEnd"/>
    </w:p>
    <w:p w14:paraId="084A7C50" w14:textId="43A2925C" w:rsidR="0012585B" w:rsidRDefault="0012585B" w:rsidP="009C1CB7">
      <w:pPr>
        <w:pStyle w:val="paragraph"/>
        <w:tabs>
          <w:tab w:val="left" w:pos="2160"/>
          <w:tab w:val="left" w:pos="2880"/>
          <w:tab w:val="left" w:pos="3600"/>
          <w:tab w:val="left" w:pos="5640"/>
        </w:tabs>
      </w:pPr>
      <w:r>
        <w:tab/>
        <w:t>(</w:t>
      </w:r>
      <w:r w:rsidR="00CA7A9D">
        <w:t>f</w:t>
      </w:r>
      <w:r>
        <w:t>)</w:t>
      </w:r>
      <w:r>
        <w:tab/>
        <w:t>paragraph 5.3(2)(</w:t>
      </w:r>
      <w:r w:rsidR="0041727E">
        <w:t>b</w:t>
      </w:r>
      <w:proofErr w:type="gramStart"/>
      <w:r>
        <w:t>);</w:t>
      </w:r>
      <w:proofErr w:type="gramEnd"/>
    </w:p>
    <w:p w14:paraId="31DAE808" w14:textId="2AD66D65" w:rsidR="00CA7A9D" w:rsidRDefault="00CA7A9D" w:rsidP="00A512FD">
      <w:pPr>
        <w:pStyle w:val="paragraph"/>
      </w:pPr>
      <w:r>
        <w:tab/>
        <w:t>(g)</w:t>
      </w:r>
      <w:r>
        <w:tab/>
        <w:t>subrule 5.3(2) (note</w:t>
      </w:r>
      <w:proofErr w:type="gramStart"/>
      <w:r>
        <w:t>);</w:t>
      </w:r>
      <w:proofErr w:type="gramEnd"/>
    </w:p>
    <w:p w14:paraId="2CB6648B" w14:textId="0878CF11" w:rsidR="00CA7A9D" w:rsidRDefault="00CA7A9D" w:rsidP="00A512FD">
      <w:pPr>
        <w:pStyle w:val="paragraph"/>
      </w:pPr>
      <w:r>
        <w:tab/>
        <w:t>(h)</w:t>
      </w:r>
      <w:r>
        <w:tab/>
      </w:r>
      <w:r w:rsidR="00ED4038">
        <w:t>rule 5.4 (heading</w:t>
      </w:r>
      <w:proofErr w:type="gramStart"/>
      <w:r w:rsidR="00ED4038">
        <w:t>);</w:t>
      </w:r>
      <w:proofErr w:type="gramEnd"/>
    </w:p>
    <w:p w14:paraId="44E33B8E" w14:textId="5B939936" w:rsidR="00ED4038" w:rsidRDefault="00ED4038" w:rsidP="00A512FD">
      <w:pPr>
        <w:pStyle w:val="paragraph"/>
      </w:pPr>
      <w:r>
        <w:tab/>
        <w:t>(</w:t>
      </w:r>
      <w:proofErr w:type="spellStart"/>
      <w:r>
        <w:t>i</w:t>
      </w:r>
      <w:proofErr w:type="spellEnd"/>
      <w:r>
        <w:t>)</w:t>
      </w:r>
      <w:r>
        <w:tab/>
        <w:t>subrules 5.3 (1), (2) and (3</w:t>
      </w:r>
      <w:proofErr w:type="gramStart"/>
      <w:r>
        <w:t>);</w:t>
      </w:r>
      <w:proofErr w:type="gramEnd"/>
    </w:p>
    <w:p w14:paraId="0D21B837" w14:textId="26936105" w:rsidR="00ED4038" w:rsidRDefault="00ED4038" w:rsidP="00A512FD">
      <w:pPr>
        <w:pStyle w:val="paragraph"/>
      </w:pPr>
      <w:r>
        <w:tab/>
        <w:t>(j)</w:t>
      </w:r>
      <w:r>
        <w:tab/>
        <w:t>rule 5.5 (note</w:t>
      </w:r>
      <w:r w:rsidR="004C1B14">
        <w:t xml:space="preserve"> to heading</w:t>
      </w:r>
      <w:proofErr w:type="gramStart"/>
      <w:r>
        <w:t>);</w:t>
      </w:r>
      <w:proofErr w:type="gramEnd"/>
    </w:p>
    <w:p w14:paraId="4911684D" w14:textId="591EDD27" w:rsidR="00D62771" w:rsidRDefault="00D62771" w:rsidP="00A512FD">
      <w:pPr>
        <w:pStyle w:val="paragraph"/>
      </w:pPr>
      <w:r>
        <w:lastRenderedPageBreak/>
        <w:tab/>
        <w:t>(k)</w:t>
      </w:r>
      <w:r>
        <w:tab/>
        <w:t xml:space="preserve">rule </w:t>
      </w:r>
      <w:proofErr w:type="gramStart"/>
      <w:r>
        <w:t>5.6</w:t>
      </w:r>
      <w:r w:rsidR="00A6465F">
        <w:t>;</w:t>
      </w:r>
      <w:proofErr w:type="gramEnd"/>
    </w:p>
    <w:p w14:paraId="591F3273" w14:textId="2A6067C4" w:rsidR="00A6465F" w:rsidRDefault="00A6465F" w:rsidP="00A512FD">
      <w:pPr>
        <w:pStyle w:val="paragraph"/>
      </w:pPr>
      <w:r>
        <w:tab/>
        <w:t>(l)</w:t>
      </w:r>
      <w:r>
        <w:tab/>
        <w:t xml:space="preserve">subrule </w:t>
      </w:r>
      <w:proofErr w:type="gramStart"/>
      <w:r>
        <w:t>5.7</w:t>
      </w:r>
      <w:r w:rsidR="000C31F0">
        <w:t>(1)</w:t>
      </w:r>
      <w:r>
        <w:t>;</w:t>
      </w:r>
      <w:proofErr w:type="gramEnd"/>
    </w:p>
    <w:p w14:paraId="14E80796" w14:textId="569132A8" w:rsidR="00E14CDB" w:rsidRDefault="00E14CDB" w:rsidP="00A512FD">
      <w:pPr>
        <w:pStyle w:val="paragraph"/>
      </w:pPr>
      <w:r>
        <w:tab/>
        <w:t>(m)</w:t>
      </w:r>
      <w:r>
        <w:tab/>
        <w:t xml:space="preserve">rule </w:t>
      </w:r>
      <w:proofErr w:type="gramStart"/>
      <w:r>
        <w:t>5.8;</w:t>
      </w:r>
      <w:proofErr w:type="gramEnd"/>
    </w:p>
    <w:p w14:paraId="1CA89503" w14:textId="23042966" w:rsidR="000C31F0" w:rsidRDefault="000C31F0" w:rsidP="00A512FD">
      <w:pPr>
        <w:pStyle w:val="paragraph"/>
      </w:pPr>
      <w:r>
        <w:tab/>
        <w:t>(n)</w:t>
      </w:r>
      <w:r>
        <w:tab/>
      </w:r>
      <w:r w:rsidR="005C3D2E">
        <w:t>subrules 5.10(1), (1A</w:t>
      </w:r>
      <w:r w:rsidR="007F4BFB">
        <w:t>)</w:t>
      </w:r>
      <w:r w:rsidR="005C3D2E">
        <w:t xml:space="preserve"> and (3</w:t>
      </w:r>
      <w:proofErr w:type="gramStart"/>
      <w:r w:rsidR="005C3D2E">
        <w:t>);</w:t>
      </w:r>
      <w:proofErr w:type="gramEnd"/>
    </w:p>
    <w:p w14:paraId="3C488C56" w14:textId="299D5C09" w:rsidR="005C3D2E" w:rsidRDefault="005C3D2E" w:rsidP="00A512FD">
      <w:pPr>
        <w:pStyle w:val="paragraph"/>
      </w:pPr>
      <w:r>
        <w:tab/>
        <w:t>(o)</w:t>
      </w:r>
      <w:r>
        <w:tab/>
      </w:r>
      <w:r w:rsidR="00F54B1B">
        <w:t xml:space="preserve">subrule </w:t>
      </w:r>
      <w:proofErr w:type="gramStart"/>
      <w:r w:rsidR="00F54B1B">
        <w:t>5.11(1);</w:t>
      </w:r>
      <w:proofErr w:type="gramEnd"/>
    </w:p>
    <w:p w14:paraId="4228840C" w14:textId="77777777" w:rsidR="00C67B36" w:rsidRDefault="00F54B1B" w:rsidP="00A512FD">
      <w:pPr>
        <w:pStyle w:val="paragraph"/>
      </w:pPr>
      <w:r>
        <w:tab/>
        <w:t>(p)</w:t>
      </w:r>
      <w:r w:rsidR="00431A54">
        <w:tab/>
        <w:t>subrules 5.14(1)</w:t>
      </w:r>
      <w:r w:rsidR="0094116B">
        <w:t>, (2), (3) and (5</w:t>
      </w:r>
      <w:proofErr w:type="gramStart"/>
      <w:r w:rsidR="0094116B">
        <w:t>);</w:t>
      </w:r>
      <w:proofErr w:type="gramEnd"/>
    </w:p>
    <w:p w14:paraId="23828018" w14:textId="77777777" w:rsidR="00C67B36" w:rsidRDefault="00C67B36" w:rsidP="00A512FD">
      <w:pPr>
        <w:pStyle w:val="paragraph"/>
      </w:pPr>
      <w:r>
        <w:tab/>
        <w:t>(q)</w:t>
      </w:r>
      <w:r>
        <w:tab/>
        <w:t xml:space="preserve">rule </w:t>
      </w:r>
      <w:proofErr w:type="gramStart"/>
      <w:r>
        <w:t>5.15;</w:t>
      </w:r>
      <w:proofErr w:type="gramEnd"/>
    </w:p>
    <w:p w14:paraId="261CA9A1" w14:textId="1096AB09" w:rsidR="00AB63D8" w:rsidRDefault="00C67B36" w:rsidP="00A512FD">
      <w:pPr>
        <w:pStyle w:val="paragraph"/>
      </w:pPr>
      <w:r>
        <w:tab/>
        <w:t>(r)</w:t>
      </w:r>
      <w:r>
        <w:tab/>
      </w:r>
      <w:r w:rsidR="004D7ACC">
        <w:t>sub</w:t>
      </w:r>
      <w:r w:rsidR="00AB63D8">
        <w:t>rule 5.17</w:t>
      </w:r>
      <w:r w:rsidR="004D7ACC">
        <w:t>(1)</w:t>
      </w:r>
      <w:r w:rsidR="00E44840">
        <w:t>,</w:t>
      </w:r>
      <w:r w:rsidR="00AB63D8">
        <w:t xml:space="preserve"> table (heading</w:t>
      </w:r>
      <w:proofErr w:type="gramStart"/>
      <w:r w:rsidR="00AB63D8">
        <w:t>);</w:t>
      </w:r>
      <w:proofErr w:type="gramEnd"/>
    </w:p>
    <w:p w14:paraId="33943859" w14:textId="0E669C04" w:rsidR="00B06260" w:rsidRDefault="00AB63D8" w:rsidP="00A512FD">
      <w:pPr>
        <w:pStyle w:val="paragraph"/>
      </w:pPr>
      <w:r>
        <w:tab/>
        <w:t>(s)</w:t>
      </w:r>
      <w:r>
        <w:tab/>
      </w:r>
      <w:r w:rsidR="0091448F">
        <w:t>sub</w:t>
      </w:r>
      <w:r>
        <w:t>rule 5.17</w:t>
      </w:r>
      <w:r w:rsidR="0091448F">
        <w:t>(1)</w:t>
      </w:r>
      <w:r>
        <w:t xml:space="preserve"> table</w:t>
      </w:r>
      <w:r w:rsidR="00B65D83">
        <w:t xml:space="preserve">, items </w:t>
      </w:r>
      <w:r w:rsidR="00755902">
        <w:t xml:space="preserve">1 to 4, </w:t>
      </w:r>
      <w:r w:rsidR="00B06260">
        <w:t xml:space="preserve">6, 8 and </w:t>
      </w:r>
      <w:proofErr w:type="gramStart"/>
      <w:r w:rsidR="00B06260">
        <w:t>10;</w:t>
      </w:r>
      <w:proofErr w:type="gramEnd"/>
    </w:p>
    <w:p w14:paraId="6C74C131" w14:textId="77777777" w:rsidR="006F1362" w:rsidRDefault="00B06260" w:rsidP="00A512FD">
      <w:pPr>
        <w:pStyle w:val="paragraph"/>
      </w:pPr>
      <w:r>
        <w:tab/>
        <w:t>(t)</w:t>
      </w:r>
      <w:r>
        <w:tab/>
      </w:r>
      <w:r w:rsidR="006F1362">
        <w:t xml:space="preserve">subrule </w:t>
      </w:r>
      <w:proofErr w:type="gramStart"/>
      <w:r w:rsidR="006F1362">
        <w:t>5.18(1);</w:t>
      </w:r>
      <w:proofErr w:type="gramEnd"/>
    </w:p>
    <w:p w14:paraId="375847CB" w14:textId="77777777" w:rsidR="006F1362" w:rsidRDefault="006F1362" w:rsidP="00A512FD">
      <w:pPr>
        <w:pStyle w:val="paragraph"/>
      </w:pPr>
      <w:r>
        <w:tab/>
        <w:t>(u)</w:t>
      </w:r>
      <w:r>
        <w:tab/>
        <w:t>subrules 5.19(1) and (2</w:t>
      </w:r>
      <w:proofErr w:type="gramStart"/>
      <w:r>
        <w:t>);</w:t>
      </w:r>
      <w:proofErr w:type="gramEnd"/>
    </w:p>
    <w:p w14:paraId="587EC68F" w14:textId="3C79DD8A" w:rsidR="001D5165" w:rsidRDefault="001D5165" w:rsidP="00A512FD">
      <w:pPr>
        <w:pStyle w:val="paragraph"/>
      </w:pPr>
      <w:r>
        <w:tab/>
        <w:t>(v)</w:t>
      </w:r>
      <w:r>
        <w:tab/>
        <w:t xml:space="preserve">subrule </w:t>
      </w:r>
      <w:proofErr w:type="gramStart"/>
      <w:r>
        <w:t>5.20(2);</w:t>
      </w:r>
      <w:proofErr w:type="gramEnd"/>
    </w:p>
    <w:p w14:paraId="43D9042E" w14:textId="4B1A1C98" w:rsidR="001D5165" w:rsidRDefault="001D5165" w:rsidP="00A512FD">
      <w:pPr>
        <w:pStyle w:val="paragraph"/>
      </w:pPr>
      <w:r>
        <w:tab/>
        <w:t>(w)</w:t>
      </w:r>
      <w:r>
        <w:tab/>
      </w:r>
      <w:r w:rsidR="00FF4AE1">
        <w:t>paragraphs 5.21(1)(a) and (b</w:t>
      </w:r>
      <w:proofErr w:type="gramStart"/>
      <w:r w:rsidR="00FF4AE1">
        <w:t>);</w:t>
      </w:r>
      <w:proofErr w:type="gramEnd"/>
    </w:p>
    <w:p w14:paraId="045726DD" w14:textId="7412EBEF" w:rsidR="00A46079" w:rsidRDefault="00A46079" w:rsidP="00A512FD">
      <w:pPr>
        <w:pStyle w:val="paragraph"/>
      </w:pPr>
      <w:r>
        <w:tab/>
        <w:t>(x)</w:t>
      </w:r>
      <w:r>
        <w:tab/>
        <w:t xml:space="preserve">paragraph </w:t>
      </w:r>
      <w:proofErr w:type="gramStart"/>
      <w:r>
        <w:t>5.24(c);</w:t>
      </w:r>
      <w:proofErr w:type="gramEnd"/>
    </w:p>
    <w:p w14:paraId="574F4E3A" w14:textId="4A5F1F45" w:rsidR="000D570C" w:rsidRDefault="000D570C" w:rsidP="00A512FD">
      <w:pPr>
        <w:pStyle w:val="paragraph"/>
      </w:pPr>
      <w:r>
        <w:tab/>
        <w:t>(y)</w:t>
      </w:r>
      <w:r>
        <w:tab/>
        <w:t>paragraphs 5.2</w:t>
      </w:r>
      <w:r w:rsidR="00EC56A9">
        <w:t>6</w:t>
      </w:r>
      <w:r>
        <w:t>(a) and (c</w:t>
      </w:r>
      <w:proofErr w:type="gramStart"/>
      <w:r>
        <w:t>);</w:t>
      </w:r>
      <w:proofErr w:type="gramEnd"/>
    </w:p>
    <w:p w14:paraId="3DA2F561" w14:textId="6873014A" w:rsidR="00A952D9" w:rsidRDefault="00A952D9" w:rsidP="00A512FD">
      <w:pPr>
        <w:pStyle w:val="paragraph"/>
      </w:pPr>
      <w:r>
        <w:tab/>
        <w:t>(z)</w:t>
      </w:r>
      <w:r>
        <w:tab/>
        <w:t xml:space="preserve">rule </w:t>
      </w:r>
      <w:proofErr w:type="gramStart"/>
      <w:r>
        <w:t>5.28;</w:t>
      </w:r>
      <w:proofErr w:type="gramEnd"/>
    </w:p>
    <w:p w14:paraId="406A9597" w14:textId="12570E28" w:rsidR="00935E24" w:rsidRDefault="00935E24" w:rsidP="00A512FD">
      <w:pPr>
        <w:pStyle w:val="paragraph"/>
      </w:pPr>
      <w:r>
        <w:tab/>
        <w:t>(z</w:t>
      </w:r>
      <w:r w:rsidR="00447986">
        <w:t>a</w:t>
      </w:r>
      <w:r>
        <w:t>)</w:t>
      </w:r>
      <w:r>
        <w:tab/>
      </w:r>
      <w:r w:rsidR="006C1122">
        <w:t xml:space="preserve">paragraph </w:t>
      </w:r>
      <w:proofErr w:type="gramStart"/>
      <w:r w:rsidR="006C1122">
        <w:t>5.30(d);</w:t>
      </w:r>
      <w:proofErr w:type="gramEnd"/>
    </w:p>
    <w:p w14:paraId="128FB8FC" w14:textId="003E5BED" w:rsidR="006C1122" w:rsidRDefault="006C1122" w:rsidP="00A512FD">
      <w:pPr>
        <w:pStyle w:val="paragraph"/>
      </w:pPr>
      <w:r>
        <w:tab/>
        <w:t>(</w:t>
      </w:r>
      <w:proofErr w:type="spellStart"/>
      <w:r>
        <w:t>z</w:t>
      </w:r>
      <w:r w:rsidR="00447986">
        <w:t>b</w:t>
      </w:r>
      <w:proofErr w:type="spellEnd"/>
      <w:r>
        <w:t>)</w:t>
      </w:r>
      <w:r>
        <w:tab/>
      </w:r>
      <w:r w:rsidR="003A1EAC">
        <w:t>paragraphs 9.2(a) and (b</w:t>
      </w:r>
      <w:proofErr w:type="gramStart"/>
      <w:r w:rsidR="003A1EAC">
        <w:t>);</w:t>
      </w:r>
      <w:proofErr w:type="gramEnd"/>
    </w:p>
    <w:p w14:paraId="492C125B" w14:textId="5DA6FB16" w:rsidR="003B38FB" w:rsidRDefault="003B38FB" w:rsidP="00A512FD">
      <w:pPr>
        <w:pStyle w:val="paragraph"/>
      </w:pPr>
      <w:r>
        <w:tab/>
        <w:t>(</w:t>
      </w:r>
      <w:proofErr w:type="spellStart"/>
      <w:r>
        <w:t>z</w:t>
      </w:r>
      <w:r w:rsidR="00447986">
        <w:t>c</w:t>
      </w:r>
      <w:proofErr w:type="spellEnd"/>
      <w:r>
        <w:t>)</w:t>
      </w:r>
      <w:r>
        <w:tab/>
      </w:r>
      <w:r w:rsidR="003C2F16">
        <w:t xml:space="preserve">rule </w:t>
      </w:r>
      <w:proofErr w:type="gramStart"/>
      <w:r w:rsidR="003C2F16">
        <w:t>9.7</w:t>
      </w:r>
      <w:r>
        <w:t>;</w:t>
      </w:r>
      <w:proofErr w:type="gramEnd"/>
    </w:p>
    <w:p w14:paraId="791E156F" w14:textId="227AD1F7" w:rsidR="00F333CF" w:rsidRDefault="00F333CF" w:rsidP="00A512FD">
      <w:pPr>
        <w:pStyle w:val="paragraph"/>
      </w:pPr>
      <w:r>
        <w:tab/>
        <w:t>(</w:t>
      </w:r>
      <w:proofErr w:type="spellStart"/>
      <w:r>
        <w:t>z</w:t>
      </w:r>
      <w:r w:rsidR="00447986">
        <w:t>d</w:t>
      </w:r>
      <w:proofErr w:type="spellEnd"/>
      <w:r>
        <w:t>)</w:t>
      </w:r>
      <w:r>
        <w:tab/>
        <w:t xml:space="preserve">subclause 2.1(1) of Schedule 1, definition of </w:t>
      </w:r>
      <w:proofErr w:type="gramStart"/>
      <w:r w:rsidRPr="009C1CB7">
        <w:rPr>
          <w:b/>
          <w:bCs/>
          <w:i/>
          <w:iCs/>
        </w:rPr>
        <w:t>approved</w:t>
      </w:r>
      <w:r>
        <w:t>;</w:t>
      </w:r>
      <w:proofErr w:type="gramEnd"/>
    </w:p>
    <w:p w14:paraId="46555C12" w14:textId="49023069" w:rsidR="00F333CF" w:rsidRDefault="00F333CF" w:rsidP="00A512FD">
      <w:pPr>
        <w:pStyle w:val="paragraph"/>
      </w:pPr>
      <w:r>
        <w:tab/>
        <w:t>(z</w:t>
      </w:r>
      <w:r w:rsidR="00447986">
        <w:t>e</w:t>
      </w:r>
      <w:r>
        <w:t>)</w:t>
      </w:r>
      <w:r>
        <w:tab/>
      </w:r>
      <w:r w:rsidR="0000699D">
        <w:t>subclause</w:t>
      </w:r>
      <w:r w:rsidR="008426D3">
        <w:t>s</w:t>
      </w:r>
      <w:r w:rsidR="0000699D">
        <w:t xml:space="preserve"> 2.1(2)</w:t>
      </w:r>
      <w:r w:rsidR="008426D3">
        <w:t>, (3) and (4)</w:t>
      </w:r>
      <w:r w:rsidR="0000699D">
        <w:t xml:space="preserve"> of Schedule </w:t>
      </w:r>
      <w:proofErr w:type="gramStart"/>
      <w:r w:rsidR="0000699D">
        <w:t>1;</w:t>
      </w:r>
      <w:proofErr w:type="gramEnd"/>
    </w:p>
    <w:p w14:paraId="3BF00639" w14:textId="36DEE194" w:rsidR="00707A54" w:rsidRPr="00476F97" w:rsidRDefault="0000699D" w:rsidP="00B1741C">
      <w:pPr>
        <w:pStyle w:val="paragraph"/>
      </w:pPr>
      <w:r>
        <w:tab/>
        <w:t>(</w:t>
      </w:r>
      <w:proofErr w:type="spellStart"/>
      <w:r>
        <w:t>z</w:t>
      </w:r>
      <w:r w:rsidR="00447986">
        <w:t>f</w:t>
      </w:r>
      <w:proofErr w:type="spellEnd"/>
      <w:r>
        <w:t>)</w:t>
      </w:r>
      <w:r>
        <w:tab/>
      </w:r>
      <w:r w:rsidR="00BC26EC">
        <w:t>clause 9.3 of Schedule 4</w:t>
      </w:r>
      <w:r w:rsidR="007278ED">
        <w:t>.</w:t>
      </w:r>
    </w:p>
    <w:sectPr w:rsidR="00707A54" w:rsidRPr="00476F97" w:rsidSect="007F48ED">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3D91" w14:textId="77777777" w:rsidR="008F2814" w:rsidRDefault="008F2814" w:rsidP="0048364F">
      <w:pPr>
        <w:spacing w:line="240" w:lineRule="auto"/>
      </w:pPr>
      <w:r>
        <w:separator/>
      </w:r>
    </w:p>
  </w:endnote>
  <w:endnote w:type="continuationSeparator" w:id="0">
    <w:p w14:paraId="753B8E43" w14:textId="77777777" w:rsidR="008F2814" w:rsidRDefault="008F2814" w:rsidP="0048364F">
      <w:pPr>
        <w:spacing w:line="240" w:lineRule="auto"/>
      </w:pPr>
      <w:r>
        <w:continuationSeparator/>
      </w:r>
    </w:p>
  </w:endnote>
  <w:endnote w:type="continuationNotice" w:id="1">
    <w:p w14:paraId="519ADD01" w14:textId="77777777" w:rsidR="008F2814" w:rsidRDefault="008F28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ECA9" w14:textId="00C3D994" w:rsidR="00A469A6" w:rsidRPr="005F1388" w:rsidRDefault="00A469A6" w:rsidP="00685F42">
    <w:pPr>
      <w:pStyle w:val="Footer"/>
      <w:tabs>
        <w:tab w:val="clear" w:pos="4153"/>
        <w:tab w:val="clear" w:pos="8306"/>
        <w:tab w:val="center" w:pos="4150"/>
        <w:tab w:val="right" w:pos="8307"/>
      </w:tabs>
      <w:spacing w:before="120"/>
      <w:jc w:val="right"/>
      <w:rPr>
        <w:i/>
        <w:sz w:val="18"/>
      </w:rPr>
    </w:pPr>
    <w:r w:rsidRPr="005F1388">
      <w:rPr>
        <w:i/>
        <w:sz w:val="18"/>
      </w:rPr>
      <w:fldChar w:fldCharType="begin"/>
    </w:r>
    <w:r w:rsidRPr="005F1388">
      <w:rPr>
        <w:i/>
        <w:sz w:val="18"/>
      </w:rPr>
      <w:instrText xml:space="preserve"> FILENAME \p </w:instrText>
    </w:r>
    <w:r w:rsidRPr="005F1388">
      <w:rPr>
        <w:i/>
        <w:sz w:val="18"/>
      </w:rPr>
      <w:fldChar w:fldCharType="separate"/>
    </w:r>
    <w:r w:rsidR="001C7C31">
      <w:rPr>
        <w:i/>
        <w:noProof/>
        <w:sz w:val="18"/>
      </w:rPr>
      <w:t>https://austreasury.sharepoint.com/sites/leg-meas-function/measure3/V8 non-bank lending and compliance costs/MASTER-LI-TSY_47_0020-CDR_Rules_non-bank_lending.docx</w:t>
    </w:r>
    <w:r w:rsidRPr="005F1388">
      <w:rPr>
        <w:i/>
        <w:sz w:val="18"/>
      </w:rPr>
      <w:fldChar w:fldCharType="end"/>
    </w:r>
    <w:r w:rsidRPr="005F1388">
      <w:rPr>
        <w:i/>
        <w:sz w:val="18"/>
      </w:rPr>
      <w:t xml:space="preserve"> </w:t>
    </w:r>
    <w:r w:rsidRPr="005F1388">
      <w:rPr>
        <w:i/>
        <w:sz w:val="18"/>
      </w:rPr>
      <w:fldChar w:fldCharType="begin"/>
    </w:r>
    <w:r w:rsidRPr="005F1388">
      <w:rPr>
        <w:i/>
        <w:sz w:val="18"/>
      </w:rPr>
      <w:instrText xml:space="preserve"> TIME \@ "d/M/yyyy h:mm AM/PM" </w:instrText>
    </w:r>
    <w:r w:rsidRPr="005F1388">
      <w:rPr>
        <w:i/>
        <w:sz w:val="18"/>
      </w:rPr>
      <w:fldChar w:fldCharType="separate"/>
    </w:r>
    <w:r w:rsidR="007928FC">
      <w:rPr>
        <w:i/>
        <w:noProof/>
        <w:sz w:val="18"/>
      </w:rPr>
      <w:t>28/2/2025 4:14 PM</w:t>
    </w:r>
    <w:r w:rsidRPr="005F138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F60" w14:textId="1F6BAE5F" w:rsidR="00A469A6" w:rsidRPr="00ED79B6" w:rsidRDefault="00A469A6" w:rsidP="00685F42">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DB99" w14:textId="1E2BCCBE" w:rsidR="00A469A6" w:rsidRPr="00E33C1C" w:rsidRDefault="00A469A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469A6" w14:paraId="20877027" w14:textId="77777777" w:rsidTr="00D56A0D">
      <w:tc>
        <w:tcPr>
          <w:tcW w:w="709" w:type="dxa"/>
          <w:tcBorders>
            <w:top w:val="nil"/>
            <w:left w:val="nil"/>
            <w:bottom w:val="nil"/>
            <w:right w:val="nil"/>
          </w:tcBorders>
        </w:tcPr>
        <w:p w14:paraId="27F65227" w14:textId="77777777" w:rsidR="00A469A6" w:rsidRDefault="00A469A6" w:rsidP="007D7FC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BA6647" w14:textId="2636FB2F" w:rsidR="00A469A6" w:rsidRDefault="00A469A6" w:rsidP="007D7FC9">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C7C31">
            <w:rPr>
              <w:i/>
              <w:noProof/>
              <w:sz w:val="18"/>
            </w:rPr>
            <w:t>Competition and Consumer (Consumer Data Right) Amendment (2025 Measures No. 1) Rules 2025</w:t>
          </w:r>
          <w:r>
            <w:rPr>
              <w:i/>
              <w:sz w:val="18"/>
            </w:rPr>
            <w:fldChar w:fldCharType="end"/>
          </w:r>
        </w:p>
      </w:tc>
      <w:tc>
        <w:tcPr>
          <w:tcW w:w="1383" w:type="dxa"/>
          <w:tcBorders>
            <w:top w:val="nil"/>
            <w:left w:val="nil"/>
            <w:bottom w:val="nil"/>
            <w:right w:val="nil"/>
          </w:tcBorders>
        </w:tcPr>
        <w:p w14:paraId="1CF28FE8" w14:textId="77777777" w:rsidR="00A469A6" w:rsidRDefault="00A469A6" w:rsidP="007D7FC9">
          <w:pPr>
            <w:spacing w:line="0" w:lineRule="atLeast"/>
            <w:jc w:val="right"/>
            <w:rPr>
              <w:sz w:val="18"/>
            </w:rPr>
          </w:pPr>
        </w:p>
      </w:tc>
    </w:tr>
    <w:tr w:rsidR="00A469A6" w14:paraId="4E846152"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E65CD7" w14:textId="46BC2A15" w:rsidR="00A469A6" w:rsidRDefault="00A469A6" w:rsidP="007D7FC9">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C7C31">
            <w:rPr>
              <w:i/>
              <w:noProof/>
              <w:sz w:val="18"/>
            </w:rPr>
            <w:t>https://austreasury.sharepoint.com/sites/leg-meas-function/measure3/V8 non-bank lending and compliance costs/MASTER-LI-TSY_47_0020-CDR_Rules_non-bank_lending.docx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928FC">
            <w:rPr>
              <w:i/>
              <w:noProof/>
              <w:sz w:val="18"/>
            </w:rPr>
            <w:t>28/2/2025 4:14 PM</w:t>
          </w:r>
          <w:r w:rsidRPr="00ED79B6">
            <w:rPr>
              <w:i/>
              <w:sz w:val="18"/>
            </w:rPr>
            <w:fldChar w:fldCharType="end"/>
          </w:r>
        </w:p>
      </w:tc>
    </w:tr>
  </w:tbl>
  <w:p w14:paraId="47966FFD" w14:textId="77777777" w:rsidR="00A469A6" w:rsidRPr="00ED79B6" w:rsidRDefault="00A469A6"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13DF" w14:textId="443F20D4" w:rsidR="00A469A6" w:rsidRPr="00E33C1C" w:rsidRDefault="00A469A6"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79"/>
      <w:gridCol w:w="710"/>
    </w:tblGrid>
    <w:tr w:rsidR="00A469A6" w14:paraId="6DE0C809" w14:textId="77777777" w:rsidTr="00D96466">
      <w:tc>
        <w:tcPr>
          <w:tcW w:w="1383" w:type="dxa"/>
          <w:tcBorders>
            <w:top w:val="nil"/>
            <w:left w:val="nil"/>
            <w:bottom w:val="nil"/>
            <w:right w:val="nil"/>
          </w:tcBorders>
        </w:tcPr>
        <w:p w14:paraId="0C6A2077" w14:textId="77777777" w:rsidR="00A469A6" w:rsidRDefault="00A469A6" w:rsidP="007D7FC9">
          <w:pPr>
            <w:spacing w:line="0" w:lineRule="atLeast"/>
            <w:rPr>
              <w:sz w:val="18"/>
            </w:rPr>
          </w:pPr>
        </w:p>
      </w:tc>
      <w:tc>
        <w:tcPr>
          <w:tcW w:w="6379" w:type="dxa"/>
          <w:tcBorders>
            <w:top w:val="nil"/>
            <w:left w:val="nil"/>
            <w:bottom w:val="nil"/>
            <w:right w:val="nil"/>
          </w:tcBorders>
        </w:tcPr>
        <w:p w14:paraId="5E6C2F86" w14:textId="5C70E72D" w:rsidR="00A469A6" w:rsidRDefault="00A469A6"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07402">
            <w:rPr>
              <w:i/>
              <w:noProof/>
              <w:sz w:val="18"/>
            </w:rPr>
            <w:t>Competition and Consumer (Consumer Data Right) Amendment (2025 Measures No. 1) Rules 2025</w:t>
          </w:r>
          <w:r>
            <w:rPr>
              <w:i/>
              <w:sz w:val="18"/>
            </w:rPr>
            <w:fldChar w:fldCharType="end"/>
          </w:r>
        </w:p>
      </w:tc>
      <w:tc>
        <w:tcPr>
          <w:tcW w:w="710" w:type="dxa"/>
          <w:tcBorders>
            <w:top w:val="nil"/>
            <w:left w:val="nil"/>
            <w:bottom w:val="nil"/>
            <w:right w:val="nil"/>
          </w:tcBorders>
        </w:tcPr>
        <w:p w14:paraId="77680DA7" w14:textId="77777777" w:rsidR="00A469A6" w:rsidRDefault="00A469A6" w:rsidP="007D7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66F196" w14:textId="4E444B93" w:rsidR="00A469A6" w:rsidRPr="00ED79B6" w:rsidRDefault="00A469A6" w:rsidP="00A2372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70AE" w14:textId="63817D60" w:rsidR="00290BCC" w:rsidRDefault="00290B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F6B4" w14:textId="074081A5" w:rsidR="00A469A6" w:rsidRPr="00E33C1C" w:rsidRDefault="00A469A6"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A469A6" w14:paraId="650EF2FC" w14:textId="77777777" w:rsidTr="00056310">
      <w:tc>
        <w:tcPr>
          <w:tcW w:w="709" w:type="dxa"/>
          <w:tcBorders>
            <w:top w:val="nil"/>
            <w:left w:val="nil"/>
            <w:bottom w:val="nil"/>
            <w:right w:val="nil"/>
          </w:tcBorders>
        </w:tcPr>
        <w:p w14:paraId="37F71715" w14:textId="77777777" w:rsidR="00A469A6" w:rsidRDefault="00A469A6" w:rsidP="007D7FC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D3D433E" w14:textId="28F1660E" w:rsidR="00A469A6" w:rsidRDefault="00A469A6" w:rsidP="007D7FC9">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07402">
            <w:rPr>
              <w:i/>
              <w:noProof/>
              <w:sz w:val="18"/>
            </w:rPr>
            <w:t>Competition and Consumer (Consumer Data Right) Amendment (2025 Measures No. 1) Rules 2025</w:t>
          </w:r>
          <w:r>
            <w:rPr>
              <w:i/>
              <w:sz w:val="18"/>
            </w:rPr>
            <w:fldChar w:fldCharType="end"/>
          </w:r>
        </w:p>
      </w:tc>
      <w:tc>
        <w:tcPr>
          <w:tcW w:w="1384" w:type="dxa"/>
          <w:tcBorders>
            <w:top w:val="nil"/>
            <w:left w:val="nil"/>
            <w:bottom w:val="nil"/>
            <w:right w:val="nil"/>
          </w:tcBorders>
        </w:tcPr>
        <w:p w14:paraId="5249675B" w14:textId="77777777" w:rsidR="00A469A6" w:rsidRDefault="00A469A6" w:rsidP="007D7FC9">
          <w:pPr>
            <w:spacing w:line="0" w:lineRule="atLeast"/>
            <w:jc w:val="right"/>
            <w:rPr>
              <w:sz w:val="18"/>
            </w:rPr>
          </w:pPr>
        </w:p>
      </w:tc>
    </w:tr>
  </w:tbl>
  <w:p w14:paraId="098CA117" w14:textId="77777777" w:rsidR="00A469A6" w:rsidRPr="00ED79B6" w:rsidRDefault="00A469A6" w:rsidP="00A2372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D11A" w14:textId="1260DAC8" w:rsidR="00A469A6" w:rsidRPr="00E33C1C" w:rsidRDefault="00A469A6"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A469A6" w14:paraId="6BCEE5A2" w14:textId="77777777" w:rsidTr="00056310">
      <w:tc>
        <w:tcPr>
          <w:tcW w:w="1384" w:type="dxa"/>
          <w:tcBorders>
            <w:top w:val="nil"/>
            <w:left w:val="nil"/>
            <w:bottom w:val="nil"/>
            <w:right w:val="nil"/>
          </w:tcBorders>
        </w:tcPr>
        <w:p w14:paraId="7589AE14" w14:textId="77777777" w:rsidR="00A469A6" w:rsidRDefault="00A469A6" w:rsidP="007D7FC9">
          <w:pPr>
            <w:spacing w:line="0" w:lineRule="atLeast"/>
            <w:rPr>
              <w:sz w:val="18"/>
            </w:rPr>
          </w:pPr>
        </w:p>
      </w:tc>
      <w:tc>
        <w:tcPr>
          <w:tcW w:w="6379" w:type="dxa"/>
          <w:tcBorders>
            <w:top w:val="nil"/>
            <w:left w:val="nil"/>
            <w:bottom w:val="nil"/>
            <w:right w:val="nil"/>
          </w:tcBorders>
        </w:tcPr>
        <w:p w14:paraId="3DE83B17" w14:textId="26FEBE71" w:rsidR="00A469A6" w:rsidRDefault="00A469A6" w:rsidP="007D7FC9">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07402">
            <w:rPr>
              <w:i/>
              <w:noProof/>
              <w:sz w:val="18"/>
            </w:rPr>
            <w:t>Competition and Consumer (Consumer Data Right) Amendment (2025 Measures No. 1) Rules 2025</w:t>
          </w:r>
          <w:r>
            <w:rPr>
              <w:i/>
              <w:sz w:val="18"/>
            </w:rPr>
            <w:fldChar w:fldCharType="end"/>
          </w:r>
        </w:p>
      </w:tc>
      <w:tc>
        <w:tcPr>
          <w:tcW w:w="709" w:type="dxa"/>
          <w:tcBorders>
            <w:top w:val="nil"/>
            <w:left w:val="nil"/>
            <w:bottom w:val="nil"/>
            <w:right w:val="nil"/>
          </w:tcBorders>
        </w:tcPr>
        <w:p w14:paraId="112FA4B8" w14:textId="77777777" w:rsidR="00A469A6" w:rsidRDefault="00A469A6" w:rsidP="007D7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B4C59EE" w14:textId="6C0A01EF" w:rsidR="00A469A6" w:rsidRPr="00ED79B6" w:rsidRDefault="00A469A6" w:rsidP="00A2372D">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7BE2" w14:textId="0C76AC3E" w:rsidR="00A469A6" w:rsidRPr="00E33C1C" w:rsidRDefault="00A469A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469A6" w14:paraId="4E1C7B5C" w14:textId="77777777" w:rsidTr="007A6863">
      <w:tc>
        <w:tcPr>
          <w:tcW w:w="1384" w:type="dxa"/>
          <w:tcBorders>
            <w:top w:val="nil"/>
            <w:left w:val="nil"/>
            <w:bottom w:val="nil"/>
            <w:right w:val="nil"/>
          </w:tcBorders>
        </w:tcPr>
        <w:p w14:paraId="2C2D7926" w14:textId="77777777" w:rsidR="00A469A6" w:rsidRDefault="00A469A6" w:rsidP="007D7FC9">
          <w:pPr>
            <w:spacing w:line="0" w:lineRule="atLeast"/>
            <w:rPr>
              <w:sz w:val="18"/>
            </w:rPr>
          </w:pPr>
        </w:p>
      </w:tc>
      <w:tc>
        <w:tcPr>
          <w:tcW w:w="6379" w:type="dxa"/>
          <w:tcBorders>
            <w:top w:val="nil"/>
            <w:left w:val="nil"/>
            <w:bottom w:val="nil"/>
            <w:right w:val="nil"/>
          </w:tcBorders>
        </w:tcPr>
        <w:p w14:paraId="678D7DF2" w14:textId="22BEDDA8" w:rsidR="00A469A6" w:rsidRDefault="00A469A6" w:rsidP="007D7F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C7C3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A259045" w14:textId="77777777" w:rsidR="00A469A6" w:rsidRDefault="00A469A6" w:rsidP="007D7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A469A6" w14:paraId="0A1E6F2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B55F86" w14:textId="62D7B119" w:rsidR="00A469A6" w:rsidRDefault="00A469A6" w:rsidP="007D7FC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C7C31">
            <w:rPr>
              <w:i/>
              <w:noProof/>
              <w:sz w:val="18"/>
            </w:rPr>
            <w:t>https://austreasury.sharepoint.com/sites/leg-meas-function/measure3/V8 non-bank lending and compliance costs/MASTER-LI-TSY_47_0020-CDR_Rules_non-bank_lending.docx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928FC">
            <w:rPr>
              <w:i/>
              <w:noProof/>
              <w:sz w:val="18"/>
            </w:rPr>
            <w:t>28/2/2025 4:14 PM</w:t>
          </w:r>
          <w:r w:rsidRPr="00ED79B6">
            <w:rPr>
              <w:i/>
              <w:sz w:val="18"/>
            </w:rPr>
            <w:fldChar w:fldCharType="end"/>
          </w:r>
        </w:p>
      </w:tc>
    </w:tr>
  </w:tbl>
  <w:p w14:paraId="4C99D120" w14:textId="77777777" w:rsidR="00A469A6" w:rsidRPr="00ED79B6" w:rsidRDefault="00A469A6"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26EE" w14:textId="77777777" w:rsidR="008F2814" w:rsidRDefault="008F2814" w:rsidP="0048364F">
      <w:pPr>
        <w:spacing w:line="240" w:lineRule="auto"/>
      </w:pPr>
      <w:r>
        <w:separator/>
      </w:r>
    </w:p>
  </w:footnote>
  <w:footnote w:type="continuationSeparator" w:id="0">
    <w:p w14:paraId="44AC140E" w14:textId="77777777" w:rsidR="008F2814" w:rsidRDefault="008F2814" w:rsidP="0048364F">
      <w:pPr>
        <w:spacing w:line="240" w:lineRule="auto"/>
      </w:pPr>
      <w:r>
        <w:continuationSeparator/>
      </w:r>
    </w:p>
  </w:footnote>
  <w:footnote w:type="continuationNotice" w:id="1">
    <w:p w14:paraId="0B979AAF" w14:textId="77777777" w:rsidR="008F2814" w:rsidRDefault="008F28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3B59" w14:textId="102F641D" w:rsidR="00A469A6" w:rsidRPr="005F1388" w:rsidRDefault="00A469A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5103" w14:textId="746CEBFA" w:rsidR="00A469A6" w:rsidRPr="005F1388" w:rsidRDefault="00A469A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9252" w14:textId="4C41FA97" w:rsidR="00A469A6" w:rsidRPr="00ED79B6" w:rsidRDefault="00A469A6" w:rsidP="00220A0C">
    <w:pPr>
      <w:pBdr>
        <w:bottom w:val="single" w:sz="6" w:space="1" w:color="auto"/>
      </w:pBdr>
      <w:spacing w:before="10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0395" w14:textId="3F3263E7" w:rsidR="00180FA1" w:rsidRPr="00ED79B6" w:rsidRDefault="00180FA1" w:rsidP="00180FA1">
    <w:pPr>
      <w:pBdr>
        <w:bottom w:val="single" w:sz="6" w:space="1" w:color="auto"/>
      </w:pBdr>
      <w:spacing w:before="1000" w:line="240" w:lineRule="auto"/>
    </w:pPr>
  </w:p>
  <w:p w14:paraId="2C36E8B4" w14:textId="65182DE2" w:rsidR="00A469A6" w:rsidRPr="00180FA1" w:rsidRDefault="00A469A6" w:rsidP="00180F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38EE" w14:textId="10BCD652" w:rsidR="00A469A6" w:rsidRPr="00ED79B6" w:rsidRDefault="00A469A6" w:rsidP="0048364F">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6033" w14:textId="1A120ED5" w:rsidR="008269C9" w:rsidRDefault="00830EF6" w:rsidP="008269C9">
    <w:pPr>
      <w:rPr>
        <w:b/>
        <w:sz w:val="20"/>
      </w:rPr>
    </w:pPr>
    <w:r>
      <w:rPr>
        <w:b/>
        <w:sz w:val="20"/>
      </w:rPr>
      <w:t xml:space="preserve">  </w:t>
    </w:r>
    <w:r w:rsidR="008269C9">
      <w:rPr>
        <w:b/>
        <w:sz w:val="20"/>
      </w:rPr>
      <w:fldChar w:fldCharType="begin"/>
    </w:r>
    <w:r w:rsidR="008269C9">
      <w:rPr>
        <w:b/>
        <w:sz w:val="20"/>
      </w:rPr>
      <w:instrText xml:space="preserve"> STYLEREF CharAmSchNo </w:instrText>
    </w:r>
    <w:r w:rsidR="008269C9">
      <w:rPr>
        <w:b/>
        <w:sz w:val="20"/>
      </w:rPr>
      <w:fldChar w:fldCharType="separate"/>
    </w:r>
    <w:r w:rsidR="00D07402">
      <w:rPr>
        <w:b/>
        <w:noProof/>
        <w:sz w:val="20"/>
      </w:rPr>
      <w:t>Schedule 1</w:t>
    </w:r>
    <w:r w:rsidR="008269C9">
      <w:rPr>
        <w:b/>
        <w:sz w:val="20"/>
      </w:rPr>
      <w:fldChar w:fldCharType="end"/>
    </w:r>
    <w:r w:rsidR="008269C9">
      <w:rPr>
        <w:sz w:val="20"/>
      </w:rPr>
      <w:t xml:space="preserve">  </w:t>
    </w:r>
    <w:r w:rsidR="008269C9">
      <w:rPr>
        <w:sz w:val="20"/>
      </w:rPr>
      <w:fldChar w:fldCharType="begin"/>
    </w:r>
    <w:r w:rsidR="008269C9">
      <w:rPr>
        <w:sz w:val="20"/>
      </w:rPr>
      <w:instrText xml:space="preserve"> STYLEREF CharAmSchText </w:instrText>
    </w:r>
    <w:r w:rsidR="008269C9">
      <w:rPr>
        <w:sz w:val="20"/>
      </w:rPr>
      <w:fldChar w:fldCharType="separate"/>
    </w:r>
    <w:r w:rsidR="00D07402">
      <w:rPr>
        <w:noProof/>
        <w:sz w:val="20"/>
      </w:rPr>
      <w:t>Amendments</w:t>
    </w:r>
    <w:r w:rsidR="008269C9">
      <w:rPr>
        <w:sz w:val="20"/>
      </w:rPr>
      <w:fldChar w:fldCharType="end"/>
    </w:r>
  </w:p>
  <w:p w14:paraId="30897103" w14:textId="253DFAAA" w:rsidR="00A469A6" w:rsidRDefault="00830EF6" w:rsidP="0048364F">
    <w:pPr>
      <w:rPr>
        <w:sz w:val="20"/>
      </w:rPr>
    </w:pPr>
    <w:r>
      <w:rPr>
        <w:b/>
        <w:sz w:val="20"/>
      </w:rPr>
      <w:t xml:space="preserve">  </w:t>
    </w:r>
    <w:r w:rsidR="00A469A6">
      <w:rPr>
        <w:b/>
        <w:sz w:val="20"/>
      </w:rPr>
      <w:fldChar w:fldCharType="begin"/>
    </w:r>
    <w:r w:rsidR="00A469A6">
      <w:rPr>
        <w:b/>
        <w:sz w:val="20"/>
      </w:rPr>
      <w:instrText xml:space="preserve"> STYLEREF CharAmPartNo </w:instrText>
    </w:r>
    <w:r w:rsidR="00A469A6">
      <w:rPr>
        <w:b/>
        <w:sz w:val="20"/>
      </w:rPr>
      <w:fldChar w:fldCharType="separate"/>
    </w:r>
    <w:r w:rsidR="00D07402">
      <w:rPr>
        <w:b/>
        <w:noProof/>
        <w:sz w:val="20"/>
      </w:rPr>
      <w:t>Part 2</w:t>
    </w:r>
    <w:r w:rsidR="00A469A6">
      <w:rPr>
        <w:b/>
        <w:sz w:val="20"/>
      </w:rPr>
      <w:fldChar w:fldCharType="end"/>
    </w:r>
    <w:r w:rsidR="00A469A6" w:rsidRPr="00A961C4">
      <w:rPr>
        <w:sz w:val="20"/>
      </w:rPr>
      <w:t xml:space="preserve">  </w:t>
    </w:r>
    <w:r w:rsidR="00A469A6">
      <w:rPr>
        <w:sz w:val="20"/>
      </w:rPr>
      <w:fldChar w:fldCharType="begin"/>
    </w:r>
    <w:r w:rsidR="00A469A6">
      <w:rPr>
        <w:sz w:val="20"/>
      </w:rPr>
      <w:instrText xml:space="preserve"> STYLEREF CharAmPartText </w:instrText>
    </w:r>
    <w:r w:rsidR="00A469A6">
      <w:rPr>
        <w:sz w:val="20"/>
      </w:rPr>
      <w:fldChar w:fldCharType="separate"/>
    </w:r>
    <w:r w:rsidR="00D07402">
      <w:rPr>
        <w:noProof/>
        <w:sz w:val="20"/>
      </w:rPr>
      <w:t>Extension of the consumer data right to the non-bank lenders sector</w:t>
    </w:r>
    <w:r w:rsidR="00A469A6">
      <w:rPr>
        <w:sz w:val="20"/>
      </w:rPr>
      <w:fldChar w:fldCharType="end"/>
    </w:r>
  </w:p>
  <w:p w14:paraId="7690DEFB" w14:textId="7115C035" w:rsidR="00830EF6" w:rsidRPr="00744782" w:rsidRDefault="00830EF6" w:rsidP="0048364F">
    <w:pPr>
      <w:rPr>
        <w:sz w:val="20"/>
      </w:rPr>
    </w:pPr>
    <w:r>
      <w:rPr>
        <w:sz w:val="20"/>
      </w:rPr>
      <w:t xml:space="preserve">  </w:t>
    </w:r>
  </w:p>
  <w:p w14:paraId="328B3AAB" w14:textId="77777777" w:rsidR="00830EF6" w:rsidRPr="00A961C4" w:rsidRDefault="00830EF6" w:rsidP="007F48ED">
    <w:pPr>
      <w:pBdr>
        <w:bottom w:val="single" w:sz="6" w:space="1" w:color="auto"/>
      </w:pBdr>
      <w:spacing w:after="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853F" w14:textId="38ED6FDB" w:rsidR="008269C9" w:rsidRPr="00A961C4" w:rsidRDefault="008269C9" w:rsidP="008269C9">
    <w:pPr>
      <w:jc w:val="right"/>
      <w:rPr>
        <w:sz w:val="20"/>
      </w:rPr>
    </w:pPr>
    <w:r w:rsidRPr="00A961C4">
      <w:rPr>
        <w:sz w:val="20"/>
      </w:rPr>
      <w:fldChar w:fldCharType="begin"/>
    </w:r>
    <w:r w:rsidRPr="00A961C4">
      <w:rPr>
        <w:sz w:val="20"/>
      </w:rPr>
      <w:instrText xml:space="preserve"> STYLEREF CharAmSchText </w:instrText>
    </w:r>
    <w:r w:rsidR="00D07402">
      <w:rPr>
        <w:sz w:val="20"/>
      </w:rPr>
      <w:fldChar w:fldCharType="separate"/>
    </w:r>
    <w:r w:rsidR="00D0740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07402">
      <w:rPr>
        <w:b/>
        <w:sz w:val="20"/>
      </w:rPr>
      <w:fldChar w:fldCharType="separate"/>
    </w:r>
    <w:r w:rsidR="00D07402">
      <w:rPr>
        <w:b/>
        <w:noProof/>
        <w:sz w:val="20"/>
      </w:rPr>
      <w:t>Schedule 1</w:t>
    </w:r>
    <w:r>
      <w:rPr>
        <w:b/>
        <w:sz w:val="20"/>
      </w:rPr>
      <w:fldChar w:fldCharType="end"/>
    </w:r>
    <w:r w:rsidR="002C30BD">
      <w:rPr>
        <w:b/>
        <w:sz w:val="20"/>
      </w:rPr>
      <w:t xml:space="preserve">  </w:t>
    </w:r>
  </w:p>
  <w:p w14:paraId="172EF284" w14:textId="6415EA14" w:rsidR="00A469A6" w:rsidRPr="00744782" w:rsidRDefault="00A469A6" w:rsidP="0048364F">
    <w:pPr>
      <w:jc w:val="right"/>
      <w:rPr>
        <w:sz w:val="20"/>
      </w:rPr>
    </w:pPr>
    <w:r w:rsidRPr="00A961C4">
      <w:rPr>
        <w:sz w:val="20"/>
      </w:rPr>
      <w:fldChar w:fldCharType="begin"/>
    </w:r>
    <w:r w:rsidRPr="00A961C4">
      <w:rPr>
        <w:sz w:val="20"/>
      </w:rPr>
      <w:instrText xml:space="preserve"> STYLEREF CharAmPartText </w:instrText>
    </w:r>
    <w:r w:rsidR="00D07402">
      <w:rPr>
        <w:sz w:val="20"/>
      </w:rPr>
      <w:fldChar w:fldCharType="separate"/>
    </w:r>
    <w:r w:rsidR="00D07402">
      <w:rPr>
        <w:noProof/>
        <w:sz w:val="20"/>
      </w:rPr>
      <w:t>General amendments of listed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07402">
      <w:rPr>
        <w:b/>
        <w:sz w:val="20"/>
      </w:rPr>
      <w:fldChar w:fldCharType="separate"/>
    </w:r>
    <w:r w:rsidR="00D07402">
      <w:rPr>
        <w:b/>
        <w:noProof/>
        <w:sz w:val="20"/>
      </w:rPr>
      <w:t>Part 3</w:t>
    </w:r>
    <w:r w:rsidRPr="00A961C4">
      <w:rPr>
        <w:b/>
        <w:sz w:val="20"/>
      </w:rPr>
      <w:fldChar w:fldCharType="end"/>
    </w:r>
    <w:r w:rsidR="002C30BD">
      <w:rPr>
        <w:b/>
        <w:sz w:val="20"/>
      </w:rPr>
      <w:t xml:space="preserve">  </w:t>
    </w:r>
  </w:p>
  <w:p w14:paraId="119A8E51" w14:textId="5088CA51" w:rsidR="00B96919" w:rsidRPr="00744782" w:rsidRDefault="002C30BD" w:rsidP="0048364F">
    <w:pPr>
      <w:jc w:val="right"/>
      <w:rPr>
        <w:sz w:val="20"/>
      </w:rPr>
    </w:pPr>
    <w:r>
      <w:rPr>
        <w:b/>
        <w:sz w:val="20"/>
      </w:rPr>
      <w:t xml:space="preserve">  </w:t>
    </w:r>
  </w:p>
  <w:p w14:paraId="7F1A5FBB" w14:textId="77777777" w:rsidR="00A469A6" w:rsidRPr="00A961C4" w:rsidRDefault="00A469A6" w:rsidP="007F48ED">
    <w:pPr>
      <w:pBdr>
        <w:bottom w:val="single" w:sz="6" w:space="1" w:color="auto"/>
      </w:pBdr>
      <w:spacing w:after="12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BDC4" w14:textId="0F269242" w:rsidR="00A469A6" w:rsidRPr="00A961C4" w:rsidRDefault="00A469A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82C3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E8C6AB16"/>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2"/>
      <w:lvlText w:val="%2.%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BAA2519A"/>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93024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864B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0E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033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6B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A61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60F0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A87"/>
    <w:multiLevelType w:val="hybridMultilevel"/>
    <w:tmpl w:val="A8427B32"/>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1" w15:restartNumberingAfterBreak="0">
    <w:nsid w:val="03272EA4"/>
    <w:multiLevelType w:val="hybridMultilevel"/>
    <w:tmpl w:val="14543A32"/>
    <w:lvl w:ilvl="0" w:tplc="9F4CC62C">
      <w:start w:val="2"/>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25803"/>
    <w:multiLevelType w:val="hybridMultilevel"/>
    <w:tmpl w:val="57E6966A"/>
    <w:lvl w:ilvl="0" w:tplc="E97496D4">
      <w:start w:val="1"/>
      <w:numFmt w:val="decimal"/>
      <w:lvlText w:val="%1."/>
      <w:lvlJc w:val="left"/>
      <w:pPr>
        <w:ind w:left="1020" w:hanging="360"/>
      </w:pPr>
    </w:lvl>
    <w:lvl w:ilvl="1" w:tplc="C73A74BC">
      <w:start w:val="1"/>
      <w:numFmt w:val="decimal"/>
      <w:lvlText w:val="%2."/>
      <w:lvlJc w:val="left"/>
      <w:pPr>
        <w:ind w:left="1020" w:hanging="360"/>
      </w:pPr>
    </w:lvl>
    <w:lvl w:ilvl="2" w:tplc="DBE0BCE0">
      <w:start w:val="1"/>
      <w:numFmt w:val="decimal"/>
      <w:lvlText w:val="%3."/>
      <w:lvlJc w:val="left"/>
      <w:pPr>
        <w:ind w:left="1020" w:hanging="360"/>
      </w:pPr>
    </w:lvl>
    <w:lvl w:ilvl="3" w:tplc="824AF06A">
      <w:start w:val="1"/>
      <w:numFmt w:val="decimal"/>
      <w:lvlText w:val="%4."/>
      <w:lvlJc w:val="left"/>
      <w:pPr>
        <w:ind w:left="1020" w:hanging="360"/>
      </w:pPr>
    </w:lvl>
    <w:lvl w:ilvl="4" w:tplc="CCD46082">
      <w:start w:val="1"/>
      <w:numFmt w:val="decimal"/>
      <w:lvlText w:val="%5."/>
      <w:lvlJc w:val="left"/>
      <w:pPr>
        <w:ind w:left="1020" w:hanging="360"/>
      </w:pPr>
    </w:lvl>
    <w:lvl w:ilvl="5" w:tplc="DB8ACEC8">
      <w:start w:val="1"/>
      <w:numFmt w:val="decimal"/>
      <w:lvlText w:val="%6."/>
      <w:lvlJc w:val="left"/>
      <w:pPr>
        <w:ind w:left="1020" w:hanging="360"/>
      </w:pPr>
    </w:lvl>
    <w:lvl w:ilvl="6" w:tplc="60BA5BCA">
      <w:start w:val="1"/>
      <w:numFmt w:val="decimal"/>
      <w:lvlText w:val="%7."/>
      <w:lvlJc w:val="left"/>
      <w:pPr>
        <w:ind w:left="1020" w:hanging="360"/>
      </w:pPr>
    </w:lvl>
    <w:lvl w:ilvl="7" w:tplc="A912C5B2">
      <w:start w:val="1"/>
      <w:numFmt w:val="decimal"/>
      <w:lvlText w:val="%8."/>
      <w:lvlJc w:val="left"/>
      <w:pPr>
        <w:ind w:left="1020" w:hanging="360"/>
      </w:pPr>
    </w:lvl>
    <w:lvl w:ilvl="8" w:tplc="B81239F2">
      <w:start w:val="1"/>
      <w:numFmt w:val="decimal"/>
      <w:lvlText w:val="%9."/>
      <w:lvlJc w:val="left"/>
      <w:pPr>
        <w:ind w:left="1020" w:hanging="360"/>
      </w:pPr>
    </w:lvl>
  </w:abstractNum>
  <w:abstractNum w:abstractNumId="14" w15:restartNumberingAfterBreak="0">
    <w:nsid w:val="0EB6082A"/>
    <w:multiLevelType w:val="hybridMultilevel"/>
    <w:tmpl w:val="668EC910"/>
    <w:lvl w:ilvl="0" w:tplc="FFFFFFFF">
      <w:start w:val="2"/>
      <w:numFmt w:val="lowerLetter"/>
      <w:lvlText w:val="(%1)"/>
      <w:lvlJc w:val="left"/>
      <w:pPr>
        <w:ind w:left="16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5053DB"/>
    <w:multiLevelType w:val="hybridMultilevel"/>
    <w:tmpl w:val="8D7681D4"/>
    <w:lvl w:ilvl="0" w:tplc="0946123A">
      <w:start w:val="1"/>
      <w:numFmt w:val="decimal"/>
      <w:lvlText w:val="%1."/>
      <w:lvlJc w:val="left"/>
      <w:pPr>
        <w:ind w:left="720" w:hanging="360"/>
      </w:pPr>
    </w:lvl>
    <w:lvl w:ilvl="1" w:tplc="804E9DF6">
      <w:start w:val="1"/>
      <w:numFmt w:val="decimal"/>
      <w:lvlText w:val="%2."/>
      <w:lvlJc w:val="left"/>
      <w:pPr>
        <w:ind w:left="720" w:hanging="360"/>
      </w:pPr>
    </w:lvl>
    <w:lvl w:ilvl="2" w:tplc="6818F7B2">
      <w:start w:val="1"/>
      <w:numFmt w:val="decimal"/>
      <w:lvlText w:val="%3."/>
      <w:lvlJc w:val="left"/>
      <w:pPr>
        <w:ind w:left="720" w:hanging="360"/>
      </w:pPr>
    </w:lvl>
    <w:lvl w:ilvl="3" w:tplc="0B006056">
      <w:start w:val="1"/>
      <w:numFmt w:val="decimal"/>
      <w:lvlText w:val="%4."/>
      <w:lvlJc w:val="left"/>
      <w:pPr>
        <w:ind w:left="720" w:hanging="360"/>
      </w:pPr>
    </w:lvl>
    <w:lvl w:ilvl="4" w:tplc="5178C2EC">
      <w:start w:val="1"/>
      <w:numFmt w:val="decimal"/>
      <w:lvlText w:val="%5."/>
      <w:lvlJc w:val="left"/>
      <w:pPr>
        <w:ind w:left="720" w:hanging="360"/>
      </w:pPr>
    </w:lvl>
    <w:lvl w:ilvl="5" w:tplc="8FEAACE6">
      <w:start w:val="1"/>
      <w:numFmt w:val="decimal"/>
      <w:lvlText w:val="%6."/>
      <w:lvlJc w:val="left"/>
      <w:pPr>
        <w:ind w:left="720" w:hanging="360"/>
      </w:pPr>
    </w:lvl>
    <w:lvl w:ilvl="6" w:tplc="7CC86FFA">
      <w:start w:val="1"/>
      <w:numFmt w:val="decimal"/>
      <w:lvlText w:val="%7."/>
      <w:lvlJc w:val="left"/>
      <w:pPr>
        <w:ind w:left="720" w:hanging="360"/>
      </w:pPr>
    </w:lvl>
    <w:lvl w:ilvl="7" w:tplc="227A2D38">
      <w:start w:val="1"/>
      <w:numFmt w:val="decimal"/>
      <w:lvlText w:val="%8."/>
      <w:lvlJc w:val="left"/>
      <w:pPr>
        <w:ind w:left="720" w:hanging="360"/>
      </w:pPr>
    </w:lvl>
    <w:lvl w:ilvl="8" w:tplc="40649352">
      <w:start w:val="1"/>
      <w:numFmt w:val="decimal"/>
      <w:lvlText w:val="%9."/>
      <w:lvlJc w:val="left"/>
      <w:pPr>
        <w:ind w:left="720" w:hanging="360"/>
      </w:pPr>
    </w:lvl>
  </w:abstractNum>
  <w:abstractNum w:abstractNumId="16" w15:restartNumberingAfterBreak="0">
    <w:nsid w:val="1F5A05DF"/>
    <w:multiLevelType w:val="hybridMultilevel"/>
    <w:tmpl w:val="D800257E"/>
    <w:lvl w:ilvl="0" w:tplc="78FE265A">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15:restartNumberingAfterBreak="0">
    <w:nsid w:val="34C06966"/>
    <w:multiLevelType w:val="hybridMultilevel"/>
    <w:tmpl w:val="971A583A"/>
    <w:lvl w:ilvl="0" w:tplc="FACCF046">
      <w:start w:val="1"/>
      <w:numFmt w:val="bullet"/>
      <w:lvlText w:val=""/>
      <w:lvlJc w:val="left"/>
      <w:pPr>
        <w:ind w:left="1020" w:hanging="360"/>
      </w:pPr>
      <w:rPr>
        <w:rFonts w:ascii="Symbol" w:hAnsi="Symbol"/>
      </w:rPr>
    </w:lvl>
    <w:lvl w:ilvl="1" w:tplc="516AB1DC">
      <w:start w:val="1"/>
      <w:numFmt w:val="bullet"/>
      <w:lvlText w:val=""/>
      <w:lvlJc w:val="left"/>
      <w:pPr>
        <w:ind w:left="1020" w:hanging="360"/>
      </w:pPr>
      <w:rPr>
        <w:rFonts w:ascii="Symbol" w:hAnsi="Symbol"/>
      </w:rPr>
    </w:lvl>
    <w:lvl w:ilvl="2" w:tplc="C73E0DA8">
      <w:start w:val="1"/>
      <w:numFmt w:val="bullet"/>
      <w:lvlText w:val=""/>
      <w:lvlJc w:val="left"/>
      <w:pPr>
        <w:ind w:left="1020" w:hanging="360"/>
      </w:pPr>
      <w:rPr>
        <w:rFonts w:ascii="Symbol" w:hAnsi="Symbol"/>
      </w:rPr>
    </w:lvl>
    <w:lvl w:ilvl="3" w:tplc="64684FCC">
      <w:start w:val="1"/>
      <w:numFmt w:val="bullet"/>
      <w:lvlText w:val=""/>
      <w:lvlJc w:val="left"/>
      <w:pPr>
        <w:ind w:left="1020" w:hanging="360"/>
      </w:pPr>
      <w:rPr>
        <w:rFonts w:ascii="Symbol" w:hAnsi="Symbol"/>
      </w:rPr>
    </w:lvl>
    <w:lvl w:ilvl="4" w:tplc="B300A304">
      <w:start w:val="1"/>
      <w:numFmt w:val="bullet"/>
      <w:lvlText w:val=""/>
      <w:lvlJc w:val="left"/>
      <w:pPr>
        <w:ind w:left="1020" w:hanging="360"/>
      </w:pPr>
      <w:rPr>
        <w:rFonts w:ascii="Symbol" w:hAnsi="Symbol"/>
      </w:rPr>
    </w:lvl>
    <w:lvl w:ilvl="5" w:tplc="5BE86FB6">
      <w:start w:val="1"/>
      <w:numFmt w:val="bullet"/>
      <w:lvlText w:val=""/>
      <w:lvlJc w:val="left"/>
      <w:pPr>
        <w:ind w:left="1020" w:hanging="360"/>
      </w:pPr>
      <w:rPr>
        <w:rFonts w:ascii="Symbol" w:hAnsi="Symbol"/>
      </w:rPr>
    </w:lvl>
    <w:lvl w:ilvl="6" w:tplc="03EE11AE">
      <w:start w:val="1"/>
      <w:numFmt w:val="bullet"/>
      <w:lvlText w:val=""/>
      <w:lvlJc w:val="left"/>
      <w:pPr>
        <w:ind w:left="1020" w:hanging="360"/>
      </w:pPr>
      <w:rPr>
        <w:rFonts w:ascii="Symbol" w:hAnsi="Symbol"/>
      </w:rPr>
    </w:lvl>
    <w:lvl w:ilvl="7" w:tplc="91EC798E">
      <w:start w:val="1"/>
      <w:numFmt w:val="bullet"/>
      <w:lvlText w:val=""/>
      <w:lvlJc w:val="left"/>
      <w:pPr>
        <w:ind w:left="1020" w:hanging="360"/>
      </w:pPr>
      <w:rPr>
        <w:rFonts w:ascii="Symbol" w:hAnsi="Symbol"/>
      </w:rPr>
    </w:lvl>
    <w:lvl w:ilvl="8" w:tplc="C9B269CC">
      <w:start w:val="1"/>
      <w:numFmt w:val="bullet"/>
      <w:lvlText w:val=""/>
      <w:lvlJc w:val="left"/>
      <w:pPr>
        <w:ind w:left="1020" w:hanging="360"/>
      </w:pPr>
      <w:rPr>
        <w:rFonts w:ascii="Symbol" w:hAnsi="Symbol"/>
      </w:rPr>
    </w:lvl>
  </w:abstractNum>
  <w:abstractNum w:abstractNumId="18" w15:restartNumberingAfterBreak="0">
    <w:nsid w:val="37ED2BF7"/>
    <w:multiLevelType w:val="hybridMultilevel"/>
    <w:tmpl w:val="63ECDF6C"/>
    <w:lvl w:ilvl="0" w:tplc="6B1EF2E8">
      <w:start w:val="1"/>
      <w:numFmt w:val="lowerLetter"/>
      <w:lvlText w:val="(%1)"/>
      <w:lvlJc w:val="left"/>
      <w:pPr>
        <w:ind w:left="1809" w:hanging="369"/>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9" w15:restartNumberingAfterBreak="0">
    <w:nsid w:val="37F90982"/>
    <w:multiLevelType w:val="hybridMultilevel"/>
    <w:tmpl w:val="A8427B32"/>
    <w:lvl w:ilvl="0" w:tplc="FE1AB162">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0" w15:restartNumberingAfterBreak="0">
    <w:nsid w:val="3A162CC8"/>
    <w:multiLevelType w:val="hybridMultilevel"/>
    <w:tmpl w:val="4FC82256"/>
    <w:lvl w:ilvl="0" w:tplc="776AB64A">
      <w:start w:val="35"/>
      <w:numFmt w:val="lowerLetter"/>
      <w:lvlText w:val="(%1)"/>
      <w:lvlJc w:val="left"/>
      <w:pPr>
        <w:ind w:left="16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1692B58"/>
    <w:multiLevelType w:val="hybridMultilevel"/>
    <w:tmpl w:val="20AE1280"/>
    <w:lvl w:ilvl="0" w:tplc="1896798C">
      <w:start w:val="1"/>
      <w:numFmt w:val="decimal"/>
      <w:lvlText w:val="%1."/>
      <w:lvlJc w:val="left"/>
      <w:pPr>
        <w:ind w:left="1020" w:hanging="360"/>
      </w:pPr>
    </w:lvl>
    <w:lvl w:ilvl="1" w:tplc="8E1C2D14">
      <w:start w:val="1"/>
      <w:numFmt w:val="decimal"/>
      <w:lvlText w:val="%2."/>
      <w:lvlJc w:val="left"/>
      <w:pPr>
        <w:ind w:left="1020" w:hanging="360"/>
      </w:pPr>
    </w:lvl>
    <w:lvl w:ilvl="2" w:tplc="C366C7D6">
      <w:start w:val="1"/>
      <w:numFmt w:val="decimal"/>
      <w:lvlText w:val="%3."/>
      <w:lvlJc w:val="left"/>
      <w:pPr>
        <w:ind w:left="1020" w:hanging="360"/>
      </w:pPr>
    </w:lvl>
    <w:lvl w:ilvl="3" w:tplc="E918BDD4">
      <w:start w:val="1"/>
      <w:numFmt w:val="decimal"/>
      <w:lvlText w:val="%4."/>
      <w:lvlJc w:val="left"/>
      <w:pPr>
        <w:ind w:left="1020" w:hanging="360"/>
      </w:pPr>
    </w:lvl>
    <w:lvl w:ilvl="4" w:tplc="E424FABC">
      <w:start w:val="1"/>
      <w:numFmt w:val="decimal"/>
      <w:lvlText w:val="%5."/>
      <w:lvlJc w:val="left"/>
      <w:pPr>
        <w:ind w:left="1020" w:hanging="360"/>
      </w:pPr>
    </w:lvl>
    <w:lvl w:ilvl="5" w:tplc="A302F6E0">
      <w:start w:val="1"/>
      <w:numFmt w:val="decimal"/>
      <w:lvlText w:val="%6."/>
      <w:lvlJc w:val="left"/>
      <w:pPr>
        <w:ind w:left="1020" w:hanging="360"/>
      </w:pPr>
    </w:lvl>
    <w:lvl w:ilvl="6" w:tplc="A0127628">
      <w:start w:val="1"/>
      <w:numFmt w:val="decimal"/>
      <w:lvlText w:val="%7."/>
      <w:lvlJc w:val="left"/>
      <w:pPr>
        <w:ind w:left="1020" w:hanging="360"/>
      </w:pPr>
    </w:lvl>
    <w:lvl w:ilvl="7" w:tplc="5BFE9F08">
      <w:start w:val="1"/>
      <w:numFmt w:val="decimal"/>
      <w:lvlText w:val="%8."/>
      <w:lvlJc w:val="left"/>
      <w:pPr>
        <w:ind w:left="1020" w:hanging="360"/>
      </w:pPr>
    </w:lvl>
    <w:lvl w:ilvl="8" w:tplc="9DEAA5C4">
      <w:start w:val="1"/>
      <w:numFmt w:val="decimal"/>
      <w:lvlText w:val="%9."/>
      <w:lvlJc w:val="left"/>
      <w:pPr>
        <w:ind w:left="1020" w:hanging="360"/>
      </w:pPr>
    </w:lvl>
  </w:abstractNum>
  <w:abstractNum w:abstractNumId="23" w15:restartNumberingAfterBreak="0">
    <w:nsid w:val="423A7EEF"/>
    <w:multiLevelType w:val="hybridMultilevel"/>
    <w:tmpl w:val="BBAAFF74"/>
    <w:lvl w:ilvl="0" w:tplc="0C090001">
      <w:start w:val="1"/>
      <w:numFmt w:val="bullet"/>
      <w:lvlText w:val=""/>
      <w:lvlJc w:val="left"/>
      <w:pPr>
        <w:ind w:left="2714" w:hanging="360"/>
      </w:pPr>
      <w:rPr>
        <w:rFonts w:ascii="Symbol" w:hAnsi="Symbol" w:hint="default"/>
      </w:rPr>
    </w:lvl>
    <w:lvl w:ilvl="1" w:tplc="0C090003" w:tentative="1">
      <w:start w:val="1"/>
      <w:numFmt w:val="bullet"/>
      <w:lvlText w:val="o"/>
      <w:lvlJc w:val="left"/>
      <w:pPr>
        <w:ind w:left="3434" w:hanging="360"/>
      </w:pPr>
      <w:rPr>
        <w:rFonts w:ascii="Courier New" w:hAnsi="Courier New" w:cs="Courier New" w:hint="default"/>
      </w:rPr>
    </w:lvl>
    <w:lvl w:ilvl="2" w:tplc="0C090005" w:tentative="1">
      <w:start w:val="1"/>
      <w:numFmt w:val="bullet"/>
      <w:lvlText w:val=""/>
      <w:lvlJc w:val="left"/>
      <w:pPr>
        <w:ind w:left="4154" w:hanging="360"/>
      </w:pPr>
      <w:rPr>
        <w:rFonts w:ascii="Wingdings" w:hAnsi="Wingdings" w:hint="default"/>
      </w:rPr>
    </w:lvl>
    <w:lvl w:ilvl="3" w:tplc="0C090001" w:tentative="1">
      <w:start w:val="1"/>
      <w:numFmt w:val="bullet"/>
      <w:lvlText w:val=""/>
      <w:lvlJc w:val="left"/>
      <w:pPr>
        <w:ind w:left="4874" w:hanging="360"/>
      </w:pPr>
      <w:rPr>
        <w:rFonts w:ascii="Symbol" w:hAnsi="Symbol" w:hint="default"/>
      </w:rPr>
    </w:lvl>
    <w:lvl w:ilvl="4" w:tplc="0C090003" w:tentative="1">
      <w:start w:val="1"/>
      <w:numFmt w:val="bullet"/>
      <w:lvlText w:val="o"/>
      <w:lvlJc w:val="left"/>
      <w:pPr>
        <w:ind w:left="5594" w:hanging="360"/>
      </w:pPr>
      <w:rPr>
        <w:rFonts w:ascii="Courier New" w:hAnsi="Courier New" w:cs="Courier New" w:hint="default"/>
      </w:rPr>
    </w:lvl>
    <w:lvl w:ilvl="5" w:tplc="0C090005" w:tentative="1">
      <w:start w:val="1"/>
      <w:numFmt w:val="bullet"/>
      <w:lvlText w:val=""/>
      <w:lvlJc w:val="left"/>
      <w:pPr>
        <w:ind w:left="6314" w:hanging="360"/>
      </w:pPr>
      <w:rPr>
        <w:rFonts w:ascii="Wingdings" w:hAnsi="Wingdings" w:hint="default"/>
      </w:rPr>
    </w:lvl>
    <w:lvl w:ilvl="6" w:tplc="0C090001" w:tentative="1">
      <w:start w:val="1"/>
      <w:numFmt w:val="bullet"/>
      <w:lvlText w:val=""/>
      <w:lvlJc w:val="left"/>
      <w:pPr>
        <w:ind w:left="7034" w:hanging="360"/>
      </w:pPr>
      <w:rPr>
        <w:rFonts w:ascii="Symbol" w:hAnsi="Symbol" w:hint="default"/>
      </w:rPr>
    </w:lvl>
    <w:lvl w:ilvl="7" w:tplc="0C090003" w:tentative="1">
      <w:start w:val="1"/>
      <w:numFmt w:val="bullet"/>
      <w:lvlText w:val="o"/>
      <w:lvlJc w:val="left"/>
      <w:pPr>
        <w:ind w:left="7754" w:hanging="360"/>
      </w:pPr>
      <w:rPr>
        <w:rFonts w:ascii="Courier New" w:hAnsi="Courier New" w:cs="Courier New" w:hint="default"/>
      </w:rPr>
    </w:lvl>
    <w:lvl w:ilvl="8" w:tplc="0C090005" w:tentative="1">
      <w:start w:val="1"/>
      <w:numFmt w:val="bullet"/>
      <w:lvlText w:val=""/>
      <w:lvlJc w:val="left"/>
      <w:pPr>
        <w:ind w:left="8474" w:hanging="360"/>
      </w:pPr>
      <w:rPr>
        <w:rFonts w:ascii="Wingdings" w:hAnsi="Wingdings" w:hint="default"/>
      </w:rPr>
    </w:lvl>
  </w:abstractNum>
  <w:abstractNum w:abstractNumId="24" w15:restartNumberingAfterBreak="0">
    <w:nsid w:val="48BC1EB4"/>
    <w:multiLevelType w:val="hybridMultilevel"/>
    <w:tmpl w:val="181A2658"/>
    <w:lvl w:ilvl="0" w:tplc="87901968">
      <w:start w:val="1"/>
      <w:numFmt w:val="decimal"/>
      <w:lvlText w:val="%1."/>
      <w:lvlJc w:val="left"/>
      <w:pPr>
        <w:ind w:left="720" w:hanging="360"/>
      </w:pPr>
    </w:lvl>
    <w:lvl w:ilvl="1" w:tplc="F3C6B6FE">
      <w:start w:val="1"/>
      <w:numFmt w:val="decimal"/>
      <w:lvlText w:val="%2."/>
      <w:lvlJc w:val="left"/>
      <w:pPr>
        <w:ind w:left="720" w:hanging="360"/>
      </w:pPr>
    </w:lvl>
    <w:lvl w:ilvl="2" w:tplc="DE2A9F3A">
      <w:start w:val="1"/>
      <w:numFmt w:val="decimal"/>
      <w:lvlText w:val="%3."/>
      <w:lvlJc w:val="left"/>
      <w:pPr>
        <w:ind w:left="720" w:hanging="360"/>
      </w:pPr>
    </w:lvl>
    <w:lvl w:ilvl="3" w:tplc="DA243D62">
      <w:start w:val="1"/>
      <w:numFmt w:val="decimal"/>
      <w:lvlText w:val="%4."/>
      <w:lvlJc w:val="left"/>
      <w:pPr>
        <w:ind w:left="720" w:hanging="360"/>
      </w:pPr>
    </w:lvl>
    <w:lvl w:ilvl="4" w:tplc="3356D3B4">
      <w:start w:val="1"/>
      <w:numFmt w:val="decimal"/>
      <w:lvlText w:val="%5."/>
      <w:lvlJc w:val="left"/>
      <w:pPr>
        <w:ind w:left="720" w:hanging="360"/>
      </w:pPr>
    </w:lvl>
    <w:lvl w:ilvl="5" w:tplc="5DECA966">
      <w:start w:val="1"/>
      <w:numFmt w:val="decimal"/>
      <w:lvlText w:val="%6."/>
      <w:lvlJc w:val="left"/>
      <w:pPr>
        <w:ind w:left="720" w:hanging="360"/>
      </w:pPr>
    </w:lvl>
    <w:lvl w:ilvl="6" w:tplc="31C4AE16">
      <w:start w:val="1"/>
      <w:numFmt w:val="decimal"/>
      <w:lvlText w:val="%7."/>
      <w:lvlJc w:val="left"/>
      <w:pPr>
        <w:ind w:left="720" w:hanging="360"/>
      </w:pPr>
    </w:lvl>
    <w:lvl w:ilvl="7" w:tplc="FAE012C2">
      <w:start w:val="1"/>
      <w:numFmt w:val="decimal"/>
      <w:lvlText w:val="%8."/>
      <w:lvlJc w:val="left"/>
      <w:pPr>
        <w:ind w:left="720" w:hanging="360"/>
      </w:pPr>
    </w:lvl>
    <w:lvl w:ilvl="8" w:tplc="11FE837C">
      <w:start w:val="1"/>
      <w:numFmt w:val="decimal"/>
      <w:lvlText w:val="%9."/>
      <w:lvlJc w:val="left"/>
      <w:pPr>
        <w:ind w:left="720" w:hanging="360"/>
      </w:pPr>
    </w:lvl>
  </w:abstractNum>
  <w:abstractNum w:abstractNumId="25" w15:restartNumberingAfterBreak="0">
    <w:nsid w:val="4CAD4E5B"/>
    <w:multiLevelType w:val="hybridMultilevel"/>
    <w:tmpl w:val="57DAD836"/>
    <w:lvl w:ilvl="0" w:tplc="27AAF3C2">
      <w:start w:val="1"/>
      <w:numFmt w:val="decimal"/>
      <w:lvlText w:val="%1."/>
      <w:lvlJc w:val="left"/>
      <w:pPr>
        <w:ind w:left="1020" w:hanging="360"/>
      </w:pPr>
    </w:lvl>
    <w:lvl w:ilvl="1" w:tplc="E5D6BFD4">
      <w:start w:val="1"/>
      <w:numFmt w:val="decimal"/>
      <w:lvlText w:val="%2."/>
      <w:lvlJc w:val="left"/>
      <w:pPr>
        <w:ind w:left="1020" w:hanging="360"/>
      </w:pPr>
    </w:lvl>
    <w:lvl w:ilvl="2" w:tplc="A540143C">
      <w:start w:val="1"/>
      <w:numFmt w:val="decimal"/>
      <w:lvlText w:val="%3."/>
      <w:lvlJc w:val="left"/>
      <w:pPr>
        <w:ind w:left="1020" w:hanging="360"/>
      </w:pPr>
    </w:lvl>
    <w:lvl w:ilvl="3" w:tplc="9DC07970">
      <w:start w:val="1"/>
      <w:numFmt w:val="decimal"/>
      <w:lvlText w:val="%4."/>
      <w:lvlJc w:val="left"/>
      <w:pPr>
        <w:ind w:left="1020" w:hanging="360"/>
      </w:pPr>
    </w:lvl>
    <w:lvl w:ilvl="4" w:tplc="56F8D616">
      <w:start w:val="1"/>
      <w:numFmt w:val="decimal"/>
      <w:lvlText w:val="%5."/>
      <w:lvlJc w:val="left"/>
      <w:pPr>
        <w:ind w:left="1020" w:hanging="360"/>
      </w:pPr>
    </w:lvl>
    <w:lvl w:ilvl="5" w:tplc="A744901A">
      <w:start w:val="1"/>
      <w:numFmt w:val="decimal"/>
      <w:lvlText w:val="%6."/>
      <w:lvlJc w:val="left"/>
      <w:pPr>
        <w:ind w:left="1020" w:hanging="360"/>
      </w:pPr>
    </w:lvl>
    <w:lvl w:ilvl="6" w:tplc="E0C0BE80">
      <w:start w:val="1"/>
      <w:numFmt w:val="decimal"/>
      <w:lvlText w:val="%7."/>
      <w:lvlJc w:val="left"/>
      <w:pPr>
        <w:ind w:left="1020" w:hanging="360"/>
      </w:pPr>
    </w:lvl>
    <w:lvl w:ilvl="7" w:tplc="D4FEC358">
      <w:start w:val="1"/>
      <w:numFmt w:val="decimal"/>
      <w:lvlText w:val="%8."/>
      <w:lvlJc w:val="left"/>
      <w:pPr>
        <w:ind w:left="1020" w:hanging="360"/>
      </w:pPr>
    </w:lvl>
    <w:lvl w:ilvl="8" w:tplc="9FD4F42C">
      <w:start w:val="1"/>
      <w:numFmt w:val="decimal"/>
      <w:lvlText w:val="%9."/>
      <w:lvlJc w:val="left"/>
      <w:pPr>
        <w:ind w:left="1020" w:hanging="360"/>
      </w:pPr>
    </w:lvl>
  </w:abstractNum>
  <w:abstractNum w:abstractNumId="26" w15:restartNumberingAfterBreak="0">
    <w:nsid w:val="4DFC7EAA"/>
    <w:multiLevelType w:val="hybridMultilevel"/>
    <w:tmpl w:val="0792D8FE"/>
    <w:lvl w:ilvl="0" w:tplc="2CB6D1CA">
      <w:start w:val="1"/>
      <w:numFmt w:val="decimal"/>
      <w:lvlText w:val="%1."/>
      <w:lvlJc w:val="left"/>
      <w:pPr>
        <w:ind w:left="1020" w:hanging="360"/>
      </w:pPr>
    </w:lvl>
    <w:lvl w:ilvl="1" w:tplc="C7B028C2">
      <w:start w:val="1"/>
      <w:numFmt w:val="decimal"/>
      <w:lvlText w:val="%2."/>
      <w:lvlJc w:val="left"/>
      <w:pPr>
        <w:ind w:left="1020" w:hanging="360"/>
      </w:pPr>
    </w:lvl>
    <w:lvl w:ilvl="2" w:tplc="021A047A">
      <w:start w:val="1"/>
      <w:numFmt w:val="decimal"/>
      <w:lvlText w:val="%3."/>
      <w:lvlJc w:val="left"/>
      <w:pPr>
        <w:ind w:left="1020" w:hanging="360"/>
      </w:pPr>
    </w:lvl>
    <w:lvl w:ilvl="3" w:tplc="337699AE">
      <w:start w:val="1"/>
      <w:numFmt w:val="decimal"/>
      <w:lvlText w:val="%4."/>
      <w:lvlJc w:val="left"/>
      <w:pPr>
        <w:ind w:left="1020" w:hanging="360"/>
      </w:pPr>
    </w:lvl>
    <w:lvl w:ilvl="4" w:tplc="1F045254">
      <w:start w:val="1"/>
      <w:numFmt w:val="decimal"/>
      <w:lvlText w:val="%5."/>
      <w:lvlJc w:val="left"/>
      <w:pPr>
        <w:ind w:left="1020" w:hanging="360"/>
      </w:pPr>
    </w:lvl>
    <w:lvl w:ilvl="5" w:tplc="D3CE0D60">
      <w:start w:val="1"/>
      <w:numFmt w:val="decimal"/>
      <w:lvlText w:val="%6."/>
      <w:lvlJc w:val="left"/>
      <w:pPr>
        <w:ind w:left="1020" w:hanging="360"/>
      </w:pPr>
    </w:lvl>
    <w:lvl w:ilvl="6" w:tplc="A16ADC9E">
      <w:start w:val="1"/>
      <w:numFmt w:val="decimal"/>
      <w:lvlText w:val="%7."/>
      <w:lvlJc w:val="left"/>
      <w:pPr>
        <w:ind w:left="1020" w:hanging="360"/>
      </w:pPr>
    </w:lvl>
    <w:lvl w:ilvl="7" w:tplc="2382A3E6">
      <w:start w:val="1"/>
      <w:numFmt w:val="decimal"/>
      <w:lvlText w:val="%8."/>
      <w:lvlJc w:val="left"/>
      <w:pPr>
        <w:ind w:left="1020" w:hanging="360"/>
      </w:pPr>
    </w:lvl>
    <w:lvl w:ilvl="8" w:tplc="4FB41B4C">
      <w:start w:val="1"/>
      <w:numFmt w:val="decimal"/>
      <w:lvlText w:val="%9."/>
      <w:lvlJc w:val="left"/>
      <w:pPr>
        <w:ind w:left="1020" w:hanging="360"/>
      </w:pPr>
    </w:lvl>
  </w:abstractNum>
  <w:abstractNum w:abstractNumId="27" w15:restartNumberingAfterBreak="0">
    <w:nsid w:val="4E6114BF"/>
    <w:multiLevelType w:val="hybridMultilevel"/>
    <w:tmpl w:val="DFD6A0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4FBB6CBC"/>
    <w:multiLevelType w:val="hybridMultilevel"/>
    <w:tmpl w:val="668EC910"/>
    <w:lvl w:ilvl="0" w:tplc="D3588DBC">
      <w:start w:val="2"/>
      <w:numFmt w:val="lowerLetter"/>
      <w:lvlText w:val="(%1)"/>
      <w:lvlJc w:val="left"/>
      <w:pPr>
        <w:ind w:left="16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D50D5F"/>
    <w:multiLevelType w:val="hybridMultilevel"/>
    <w:tmpl w:val="E54C4E0E"/>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30" w15:restartNumberingAfterBreak="0">
    <w:nsid w:val="5C1E28CB"/>
    <w:multiLevelType w:val="hybridMultilevel"/>
    <w:tmpl w:val="AB22DC48"/>
    <w:lvl w:ilvl="0" w:tplc="9DF2CDC0">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1" w15:restartNumberingAfterBreak="0">
    <w:nsid w:val="60990DC0"/>
    <w:multiLevelType w:val="hybridMultilevel"/>
    <w:tmpl w:val="4072BEA2"/>
    <w:lvl w:ilvl="0" w:tplc="E6CCD70A">
      <w:start w:val="1"/>
      <w:numFmt w:val="bullet"/>
      <w:lvlText w:val=""/>
      <w:lvlJc w:val="left"/>
      <w:pPr>
        <w:ind w:left="720" w:hanging="360"/>
      </w:pPr>
      <w:rPr>
        <w:rFonts w:ascii="Symbol" w:hAnsi="Symbol"/>
      </w:rPr>
    </w:lvl>
    <w:lvl w:ilvl="1" w:tplc="4CFCB4BC">
      <w:start w:val="1"/>
      <w:numFmt w:val="bullet"/>
      <w:lvlText w:val=""/>
      <w:lvlJc w:val="left"/>
      <w:pPr>
        <w:ind w:left="720" w:hanging="360"/>
      </w:pPr>
      <w:rPr>
        <w:rFonts w:ascii="Symbol" w:hAnsi="Symbol"/>
      </w:rPr>
    </w:lvl>
    <w:lvl w:ilvl="2" w:tplc="346EC818">
      <w:start w:val="1"/>
      <w:numFmt w:val="bullet"/>
      <w:lvlText w:val=""/>
      <w:lvlJc w:val="left"/>
      <w:pPr>
        <w:ind w:left="720" w:hanging="360"/>
      </w:pPr>
      <w:rPr>
        <w:rFonts w:ascii="Symbol" w:hAnsi="Symbol"/>
      </w:rPr>
    </w:lvl>
    <w:lvl w:ilvl="3" w:tplc="E59C556E">
      <w:start w:val="1"/>
      <w:numFmt w:val="bullet"/>
      <w:lvlText w:val=""/>
      <w:lvlJc w:val="left"/>
      <w:pPr>
        <w:ind w:left="720" w:hanging="360"/>
      </w:pPr>
      <w:rPr>
        <w:rFonts w:ascii="Symbol" w:hAnsi="Symbol"/>
      </w:rPr>
    </w:lvl>
    <w:lvl w:ilvl="4" w:tplc="C9A685E4">
      <w:start w:val="1"/>
      <w:numFmt w:val="bullet"/>
      <w:lvlText w:val=""/>
      <w:lvlJc w:val="left"/>
      <w:pPr>
        <w:ind w:left="720" w:hanging="360"/>
      </w:pPr>
      <w:rPr>
        <w:rFonts w:ascii="Symbol" w:hAnsi="Symbol"/>
      </w:rPr>
    </w:lvl>
    <w:lvl w:ilvl="5" w:tplc="F9E44D0E">
      <w:start w:val="1"/>
      <w:numFmt w:val="bullet"/>
      <w:lvlText w:val=""/>
      <w:lvlJc w:val="left"/>
      <w:pPr>
        <w:ind w:left="720" w:hanging="360"/>
      </w:pPr>
      <w:rPr>
        <w:rFonts w:ascii="Symbol" w:hAnsi="Symbol"/>
      </w:rPr>
    </w:lvl>
    <w:lvl w:ilvl="6" w:tplc="84CE4DD8">
      <w:start w:val="1"/>
      <w:numFmt w:val="bullet"/>
      <w:lvlText w:val=""/>
      <w:lvlJc w:val="left"/>
      <w:pPr>
        <w:ind w:left="720" w:hanging="360"/>
      </w:pPr>
      <w:rPr>
        <w:rFonts w:ascii="Symbol" w:hAnsi="Symbol"/>
      </w:rPr>
    </w:lvl>
    <w:lvl w:ilvl="7" w:tplc="B8EA90F4">
      <w:start w:val="1"/>
      <w:numFmt w:val="bullet"/>
      <w:lvlText w:val=""/>
      <w:lvlJc w:val="left"/>
      <w:pPr>
        <w:ind w:left="720" w:hanging="360"/>
      </w:pPr>
      <w:rPr>
        <w:rFonts w:ascii="Symbol" w:hAnsi="Symbol"/>
      </w:rPr>
    </w:lvl>
    <w:lvl w:ilvl="8" w:tplc="884406D4">
      <w:start w:val="1"/>
      <w:numFmt w:val="bullet"/>
      <w:lvlText w:val=""/>
      <w:lvlJc w:val="left"/>
      <w:pPr>
        <w:ind w:left="720" w:hanging="360"/>
      </w:pPr>
      <w:rPr>
        <w:rFonts w:ascii="Symbol" w:hAnsi="Symbol"/>
      </w:rPr>
    </w:lvl>
  </w:abstractNum>
  <w:abstractNum w:abstractNumId="32" w15:restartNumberingAfterBreak="0">
    <w:nsid w:val="62FA5E52"/>
    <w:multiLevelType w:val="hybridMultilevel"/>
    <w:tmpl w:val="5A82A362"/>
    <w:lvl w:ilvl="0" w:tplc="5866A3FC">
      <w:start w:val="1"/>
      <w:numFmt w:val="decimal"/>
      <w:lvlText w:val="%1)"/>
      <w:lvlJc w:val="left"/>
      <w:pPr>
        <w:ind w:left="1020" w:hanging="360"/>
      </w:pPr>
    </w:lvl>
    <w:lvl w:ilvl="1" w:tplc="627243FC">
      <w:start w:val="1"/>
      <w:numFmt w:val="decimal"/>
      <w:lvlText w:val="%2)"/>
      <w:lvlJc w:val="left"/>
      <w:pPr>
        <w:ind w:left="1020" w:hanging="360"/>
      </w:pPr>
    </w:lvl>
    <w:lvl w:ilvl="2" w:tplc="A6744216">
      <w:start w:val="1"/>
      <w:numFmt w:val="decimal"/>
      <w:lvlText w:val="%3)"/>
      <w:lvlJc w:val="left"/>
      <w:pPr>
        <w:ind w:left="1020" w:hanging="360"/>
      </w:pPr>
    </w:lvl>
    <w:lvl w:ilvl="3" w:tplc="BAA02E06">
      <w:start w:val="1"/>
      <w:numFmt w:val="decimal"/>
      <w:lvlText w:val="%4)"/>
      <w:lvlJc w:val="left"/>
      <w:pPr>
        <w:ind w:left="1020" w:hanging="360"/>
      </w:pPr>
    </w:lvl>
    <w:lvl w:ilvl="4" w:tplc="1AE2A86E">
      <w:start w:val="1"/>
      <w:numFmt w:val="decimal"/>
      <w:lvlText w:val="%5)"/>
      <w:lvlJc w:val="left"/>
      <w:pPr>
        <w:ind w:left="1020" w:hanging="360"/>
      </w:pPr>
    </w:lvl>
    <w:lvl w:ilvl="5" w:tplc="3076973E">
      <w:start w:val="1"/>
      <w:numFmt w:val="decimal"/>
      <w:lvlText w:val="%6)"/>
      <w:lvlJc w:val="left"/>
      <w:pPr>
        <w:ind w:left="1020" w:hanging="360"/>
      </w:pPr>
    </w:lvl>
    <w:lvl w:ilvl="6" w:tplc="98126484">
      <w:start w:val="1"/>
      <w:numFmt w:val="decimal"/>
      <w:lvlText w:val="%7)"/>
      <w:lvlJc w:val="left"/>
      <w:pPr>
        <w:ind w:left="1020" w:hanging="360"/>
      </w:pPr>
    </w:lvl>
    <w:lvl w:ilvl="7" w:tplc="99CA8786">
      <w:start w:val="1"/>
      <w:numFmt w:val="decimal"/>
      <w:lvlText w:val="%8)"/>
      <w:lvlJc w:val="left"/>
      <w:pPr>
        <w:ind w:left="1020" w:hanging="360"/>
      </w:pPr>
    </w:lvl>
    <w:lvl w:ilvl="8" w:tplc="C6A05E2E">
      <w:start w:val="1"/>
      <w:numFmt w:val="decimal"/>
      <w:lvlText w:val="%9)"/>
      <w:lvlJc w:val="left"/>
      <w:pPr>
        <w:ind w:left="1020" w:hanging="360"/>
      </w:pPr>
    </w:lvl>
  </w:abstractNum>
  <w:abstractNum w:abstractNumId="33" w15:restartNumberingAfterBreak="0">
    <w:nsid w:val="6A9B1C13"/>
    <w:multiLevelType w:val="hybridMultilevel"/>
    <w:tmpl w:val="6DD881A2"/>
    <w:lvl w:ilvl="0" w:tplc="A63AA370">
      <w:start w:val="1"/>
      <w:numFmt w:val="decimal"/>
      <w:lvlText w:val="%1."/>
      <w:lvlJc w:val="left"/>
      <w:pPr>
        <w:ind w:left="1020" w:hanging="360"/>
      </w:pPr>
    </w:lvl>
    <w:lvl w:ilvl="1" w:tplc="8B54979E">
      <w:start w:val="1"/>
      <w:numFmt w:val="decimal"/>
      <w:lvlText w:val="%2."/>
      <w:lvlJc w:val="left"/>
      <w:pPr>
        <w:ind w:left="1020" w:hanging="360"/>
      </w:pPr>
    </w:lvl>
    <w:lvl w:ilvl="2" w:tplc="ECF0761E">
      <w:start w:val="1"/>
      <w:numFmt w:val="decimal"/>
      <w:lvlText w:val="%3."/>
      <w:lvlJc w:val="left"/>
      <w:pPr>
        <w:ind w:left="1020" w:hanging="360"/>
      </w:pPr>
    </w:lvl>
    <w:lvl w:ilvl="3" w:tplc="B9A22160">
      <w:start w:val="1"/>
      <w:numFmt w:val="decimal"/>
      <w:lvlText w:val="%4."/>
      <w:lvlJc w:val="left"/>
      <w:pPr>
        <w:ind w:left="1020" w:hanging="360"/>
      </w:pPr>
    </w:lvl>
    <w:lvl w:ilvl="4" w:tplc="E7401958">
      <w:start w:val="1"/>
      <w:numFmt w:val="decimal"/>
      <w:lvlText w:val="%5."/>
      <w:lvlJc w:val="left"/>
      <w:pPr>
        <w:ind w:left="1020" w:hanging="360"/>
      </w:pPr>
    </w:lvl>
    <w:lvl w:ilvl="5" w:tplc="AD0EA558">
      <w:start w:val="1"/>
      <w:numFmt w:val="decimal"/>
      <w:lvlText w:val="%6."/>
      <w:lvlJc w:val="left"/>
      <w:pPr>
        <w:ind w:left="1020" w:hanging="360"/>
      </w:pPr>
    </w:lvl>
    <w:lvl w:ilvl="6" w:tplc="C0E21A36">
      <w:start w:val="1"/>
      <w:numFmt w:val="decimal"/>
      <w:lvlText w:val="%7."/>
      <w:lvlJc w:val="left"/>
      <w:pPr>
        <w:ind w:left="1020" w:hanging="360"/>
      </w:pPr>
    </w:lvl>
    <w:lvl w:ilvl="7" w:tplc="DEF85DB6">
      <w:start w:val="1"/>
      <w:numFmt w:val="decimal"/>
      <w:lvlText w:val="%8."/>
      <w:lvlJc w:val="left"/>
      <w:pPr>
        <w:ind w:left="1020" w:hanging="360"/>
      </w:pPr>
    </w:lvl>
    <w:lvl w:ilvl="8" w:tplc="7812A69C">
      <w:start w:val="1"/>
      <w:numFmt w:val="decimal"/>
      <w:lvlText w:val="%9."/>
      <w:lvlJc w:val="left"/>
      <w:pPr>
        <w:ind w:left="1020" w:hanging="360"/>
      </w:pPr>
    </w:lvl>
  </w:abstractNum>
  <w:abstractNum w:abstractNumId="34" w15:restartNumberingAfterBreak="0">
    <w:nsid w:val="6D8318B2"/>
    <w:multiLevelType w:val="multilevel"/>
    <w:tmpl w:val="1466CB3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D94FD7"/>
    <w:multiLevelType w:val="hybridMultilevel"/>
    <w:tmpl w:val="744887B0"/>
    <w:lvl w:ilvl="0" w:tplc="2C3A20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1215C05"/>
    <w:multiLevelType w:val="hybridMultilevel"/>
    <w:tmpl w:val="9E745908"/>
    <w:lvl w:ilvl="0" w:tplc="9DF2CDC0">
      <w:start w:val="2"/>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7" w15:restartNumberingAfterBreak="0">
    <w:nsid w:val="7810455F"/>
    <w:multiLevelType w:val="hybridMultilevel"/>
    <w:tmpl w:val="0AE8E884"/>
    <w:lvl w:ilvl="0" w:tplc="8E12E1DC">
      <w:start w:val="1"/>
      <w:numFmt w:val="bullet"/>
      <w:lvlText w:val=""/>
      <w:lvlJc w:val="left"/>
      <w:pPr>
        <w:ind w:left="720" w:hanging="360"/>
      </w:pPr>
      <w:rPr>
        <w:rFonts w:ascii="Symbol" w:hAnsi="Symbol"/>
      </w:rPr>
    </w:lvl>
    <w:lvl w:ilvl="1" w:tplc="56E87566">
      <w:start w:val="1"/>
      <w:numFmt w:val="bullet"/>
      <w:lvlText w:val=""/>
      <w:lvlJc w:val="left"/>
      <w:pPr>
        <w:ind w:left="720" w:hanging="360"/>
      </w:pPr>
      <w:rPr>
        <w:rFonts w:ascii="Symbol" w:hAnsi="Symbol"/>
      </w:rPr>
    </w:lvl>
    <w:lvl w:ilvl="2" w:tplc="676871B4">
      <w:start w:val="1"/>
      <w:numFmt w:val="bullet"/>
      <w:lvlText w:val=""/>
      <w:lvlJc w:val="left"/>
      <w:pPr>
        <w:ind w:left="720" w:hanging="360"/>
      </w:pPr>
      <w:rPr>
        <w:rFonts w:ascii="Symbol" w:hAnsi="Symbol"/>
      </w:rPr>
    </w:lvl>
    <w:lvl w:ilvl="3" w:tplc="6F2A0A62">
      <w:start w:val="1"/>
      <w:numFmt w:val="bullet"/>
      <w:lvlText w:val=""/>
      <w:lvlJc w:val="left"/>
      <w:pPr>
        <w:ind w:left="720" w:hanging="360"/>
      </w:pPr>
      <w:rPr>
        <w:rFonts w:ascii="Symbol" w:hAnsi="Symbol"/>
      </w:rPr>
    </w:lvl>
    <w:lvl w:ilvl="4" w:tplc="AB8493EE">
      <w:start w:val="1"/>
      <w:numFmt w:val="bullet"/>
      <w:lvlText w:val=""/>
      <w:lvlJc w:val="left"/>
      <w:pPr>
        <w:ind w:left="720" w:hanging="360"/>
      </w:pPr>
      <w:rPr>
        <w:rFonts w:ascii="Symbol" w:hAnsi="Symbol"/>
      </w:rPr>
    </w:lvl>
    <w:lvl w:ilvl="5" w:tplc="75AEF6DA">
      <w:start w:val="1"/>
      <w:numFmt w:val="bullet"/>
      <w:lvlText w:val=""/>
      <w:lvlJc w:val="left"/>
      <w:pPr>
        <w:ind w:left="720" w:hanging="360"/>
      </w:pPr>
      <w:rPr>
        <w:rFonts w:ascii="Symbol" w:hAnsi="Symbol"/>
      </w:rPr>
    </w:lvl>
    <w:lvl w:ilvl="6" w:tplc="AD6C76D0">
      <w:start w:val="1"/>
      <w:numFmt w:val="bullet"/>
      <w:lvlText w:val=""/>
      <w:lvlJc w:val="left"/>
      <w:pPr>
        <w:ind w:left="720" w:hanging="360"/>
      </w:pPr>
      <w:rPr>
        <w:rFonts w:ascii="Symbol" w:hAnsi="Symbol"/>
      </w:rPr>
    </w:lvl>
    <w:lvl w:ilvl="7" w:tplc="7FF2E5A2">
      <w:start w:val="1"/>
      <w:numFmt w:val="bullet"/>
      <w:lvlText w:val=""/>
      <w:lvlJc w:val="left"/>
      <w:pPr>
        <w:ind w:left="720" w:hanging="360"/>
      </w:pPr>
      <w:rPr>
        <w:rFonts w:ascii="Symbol" w:hAnsi="Symbol"/>
      </w:rPr>
    </w:lvl>
    <w:lvl w:ilvl="8" w:tplc="037AAD64">
      <w:start w:val="1"/>
      <w:numFmt w:val="bullet"/>
      <w:lvlText w:val=""/>
      <w:lvlJc w:val="left"/>
      <w:pPr>
        <w:ind w:left="720" w:hanging="360"/>
      </w:pPr>
      <w:rPr>
        <w:rFonts w:ascii="Symbol" w:hAnsi="Symbol"/>
      </w:rPr>
    </w:lvl>
  </w:abstractNum>
  <w:abstractNum w:abstractNumId="38" w15:restartNumberingAfterBreak="0">
    <w:nsid w:val="7CE524AC"/>
    <w:multiLevelType w:val="hybridMultilevel"/>
    <w:tmpl w:val="668EC910"/>
    <w:lvl w:ilvl="0" w:tplc="FFFFFFFF">
      <w:start w:val="2"/>
      <w:numFmt w:val="lowerLetter"/>
      <w:lvlText w:val="(%1)"/>
      <w:lvlJc w:val="left"/>
      <w:pPr>
        <w:ind w:left="16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044365">
    <w:abstractNumId w:val="9"/>
  </w:num>
  <w:num w:numId="2" w16cid:durableId="1100176664">
    <w:abstractNumId w:val="7"/>
  </w:num>
  <w:num w:numId="3" w16cid:durableId="428280614">
    <w:abstractNumId w:val="6"/>
  </w:num>
  <w:num w:numId="4" w16cid:durableId="729614029">
    <w:abstractNumId w:val="5"/>
  </w:num>
  <w:num w:numId="5" w16cid:durableId="2059163020">
    <w:abstractNumId w:val="4"/>
  </w:num>
  <w:num w:numId="6" w16cid:durableId="931470216">
    <w:abstractNumId w:val="8"/>
  </w:num>
  <w:num w:numId="7" w16cid:durableId="540290603">
    <w:abstractNumId w:val="3"/>
  </w:num>
  <w:num w:numId="8" w16cid:durableId="1267887774">
    <w:abstractNumId w:val="2"/>
  </w:num>
  <w:num w:numId="9" w16cid:durableId="735007319">
    <w:abstractNumId w:val="1"/>
  </w:num>
  <w:num w:numId="10" w16cid:durableId="629701217">
    <w:abstractNumId w:val="0"/>
  </w:num>
  <w:num w:numId="11" w16cid:durableId="656887598">
    <w:abstractNumId w:val="21"/>
  </w:num>
  <w:num w:numId="12" w16cid:durableId="1818690283">
    <w:abstractNumId w:val="12"/>
  </w:num>
  <w:num w:numId="13" w16cid:durableId="1892690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919703">
    <w:abstractNumId w:val="11"/>
  </w:num>
  <w:num w:numId="15" w16cid:durableId="477845292">
    <w:abstractNumId w:val="23"/>
  </w:num>
  <w:num w:numId="16" w16cid:durableId="1904439839">
    <w:abstractNumId w:val="30"/>
  </w:num>
  <w:num w:numId="17" w16cid:durableId="586378998">
    <w:abstractNumId w:val="29"/>
  </w:num>
  <w:num w:numId="18" w16cid:durableId="1470198643">
    <w:abstractNumId w:val="18"/>
  </w:num>
  <w:num w:numId="19" w16cid:durableId="1641567913">
    <w:abstractNumId w:val="36"/>
  </w:num>
  <w:num w:numId="20" w16cid:durableId="765810606">
    <w:abstractNumId w:val="19"/>
  </w:num>
  <w:num w:numId="21" w16cid:durableId="393554329">
    <w:abstractNumId w:val="35"/>
  </w:num>
  <w:num w:numId="22" w16cid:durableId="1922644037">
    <w:abstractNumId w:val="10"/>
  </w:num>
  <w:num w:numId="23" w16cid:durableId="63914927">
    <w:abstractNumId w:val="28"/>
  </w:num>
  <w:num w:numId="24" w16cid:durableId="1631087275">
    <w:abstractNumId w:val="14"/>
  </w:num>
  <w:num w:numId="25" w16cid:durableId="2017415351">
    <w:abstractNumId w:val="20"/>
  </w:num>
  <w:num w:numId="26" w16cid:durableId="1362779227">
    <w:abstractNumId w:val="32"/>
  </w:num>
  <w:num w:numId="27" w16cid:durableId="463081083">
    <w:abstractNumId w:val="38"/>
  </w:num>
  <w:num w:numId="28" w16cid:durableId="503861413">
    <w:abstractNumId w:val="17"/>
  </w:num>
  <w:num w:numId="29" w16cid:durableId="933510812">
    <w:abstractNumId w:val="31"/>
  </w:num>
  <w:num w:numId="30" w16cid:durableId="725183965">
    <w:abstractNumId w:val="37"/>
  </w:num>
  <w:num w:numId="31" w16cid:durableId="2141072071">
    <w:abstractNumId w:val="25"/>
  </w:num>
  <w:num w:numId="32" w16cid:durableId="1801803233">
    <w:abstractNumId w:val="22"/>
  </w:num>
  <w:num w:numId="33" w16cid:durableId="720637355">
    <w:abstractNumId w:val="13"/>
  </w:num>
  <w:num w:numId="34" w16cid:durableId="545872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0598288">
    <w:abstractNumId w:val="15"/>
  </w:num>
  <w:num w:numId="36" w16cid:durableId="1278753568">
    <w:abstractNumId w:val="26"/>
  </w:num>
  <w:num w:numId="37" w16cid:durableId="1368024853">
    <w:abstractNumId w:val="24"/>
  </w:num>
  <w:num w:numId="38" w16cid:durableId="257570007">
    <w:abstractNumId w:val="33"/>
  </w:num>
  <w:num w:numId="39" w16cid:durableId="855004270">
    <w:abstractNumId w:val="16"/>
  </w:num>
  <w:num w:numId="40" w16cid:durableId="17804894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865C399-2652-4D81-ACA2-BD708A6277C3}"/>
    <w:docVar w:name="dgnword-eventsink" w:val="2157083467648"/>
  </w:docVars>
  <w:rsids>
    <w:rsidRoot w:val="00A9655F"/>
    <w:rsid w:val="00000051"/>
    <w:rsid w:val="00000263"/>
    <w:rsid w:val="00000AF6"/>
    <w:rsid w:val="00000B9B"/>
    <w:rsid w:val="00000D06"/>
    <w:rsid w:val="00001417"/>
    <w:rsid w:val="00001C53"/>
    <w:rsid w:val="00001F21"/>
    <w:rsid w:val="00001FBE"/>
    <w:rsid w:val="00002426"/>
    <w:rsid w:val="000024C6"/>
    <w:rsid w:val="00004430"/>
    <w:rsid w:val="000044BA"/>
    <w:rsid w:val="000046FE"/>
    <w:rsid w:val="000053D3"/>
    <w:rsid w:val="00006720"/>
    <w:rsid w:val="000068FD"/>
    <w:rsid w:val="0000699D"/>
    <w:rsid w:val="00006FE2"/>
    <w:rsid w:val="00007252"/>
    <w:rsid w:val="00007966"/>
    <w:rsid w:val="00007C80"/>
    <w:rsid w:val="00007D38"/>
    <w:rsid w:val="00007ECE"/>
    <w:rsid w:val="00010BBD"/>
    <w:rsid w:val="000113BC"/>
    <w:rsid w:val="0001213A"/>
    <w:rsid w:val="00012168"/>
    <w:rsid w:val="00012B89"/>
    <w:rsid w:val="00012BED"/>
    <w:rsid w:val="000131C1"/>
    <w:rsid w:val="000136AF"/>
    <w:rsid w:val="0001377D"/>
    <w:rsid w:val="00013C1D"/>
    <w:rsid w:val="00014437"/>
    <w:rsid w:val="0001446C"/>
    <w:rsid w:val="000145F5"/>
    <w:rsid w:val="00014E7D"/>
    <w:rsid w:val="00015BB6"/>
    <w:rsid w:val="0001610B"/>
    <w:rsid w:val="0001622A"/>
    <w:rsid w:val="00016692"/>
    <w:rsid w:val="00016793"/>
    <w:rsid w:val="00020242"/>
    <w:rsid w:val="00020D0D"/>
    <w:rsid w:val="00021B41"/>
    <w:rsid w:val="00021E9F"/>
    <w:rsid w:val="0002296B"/>
    <w:rsid w:val="0002351A"/>
    <w:rsid w:val="00023967"/>
    <w:rsid w:val="00023E15"/>
    <w:rsid w:val="00023F94"/>
    <w:rsid w:val="00024803"/>
    <w:rsid w:val="00024DC3"/>
    <w:rsid w:val="00024F70"/>
    <w:rsid w:val="00025469"/>
    <w:rsid w:val="000254AC"/>
    <w:rsid w:val="00025579"/>
    <w:rsid w:val="00025861"/>
    <w:rsid w:val="00026052"/>
    <w:rsid w:val="00026127"/>
    <w:rsid w:val="0002628B"/>
    <w:rsid w:val="00026653"/>
    <w:rsid w:val="00026874"/>
    <w:rsid w:val="00027251"/>
    <w:rsid w:val="000276B1"/>
    <w:rsid w:val="0003097D"/>
    <w:rsid w:val="00031472"/>
    <w:rsid w:val="0003292E"/>
    <w:rsid w:val="00032D13"/>
    <w:rsid w:val="000333C1"/>
    <w:rsid w:val="00033613"/>
    <w:rsid w:val="00033776"/>
    <w:rsid w:val="00033CB1"/>
    <w:rsid w:val="00033E74"/>
    <w:rsid w:val="00033F51"/>
    <w:rsid w:val="00035A29"/>
    <w:rsid w:val="00035AA6"/>
    <w:rsid w:val="00035F8C"/>
    <w:rsid w:val="000360DA"/>
    <w:rsid w:val="00037E39"/>
    <w:rsid w:val="0004044E"/>
    <w:rsid w:val="000408FF"/>
    <w:rsid w:val="00040D3E"/>
    <w:rsid w:val="000412FC"/>
    <w:rsid w:val="00041701"/>
    <w:rsid w:val="00041FFE"/>
    <w:rsid w:val="000421BA"/>
    <w:rsid w:val="00043BDE"/>
    <w:rsid w:val="0004418D"/>
    <w:rsid w:val="00044523"/>
    <w:rsid w:val="00044BC2"/>
    <w:rsid w:val="00044C53"/>
    <w:rsid w:val="00044D92"/>
    <w:rsid w:val="00045734"/>
    <w:rsid w:val="00045BA4"/>
    <w:rsid w:val="00046312"/>
    <w:rsid w:val="000468E7"/>
    <w:rsid w:val="00046A5F"/>
    <w:rsid w:val="00046AAE"/>
    <w:rsid w:val="00047690"/>
    <w:rsid w:val="000506E9"/>
    <w:rsid w:val="00051202"/>
    <w:rsid w:val="0005120E"/>
    <w:rsid w:val="00051215"/>
    <w:rsid w:val="00051A4F"/>
    <w:rsid w:val="00051C40"/>
    <w:rsid w:val="000525AC"/>
    <w:rsid w:val="00052618"/>
    <w:rsid w:val="00052A08"/>
    <w:rsid w:val="00052B5B"/>
    <w:rsid w:val="0005338F"/>
    <w:rsid w:val="0005363D"/>
    <w:rsid w:val="0005387F"/>
    <w:rsid w:val="00054577"/>
    <w:rsid w:val="000545F9"/>
    <w:rsid w:val="00054823"/>
    <w:rsid w:val="00055237"/>
    <w:rsid w:val="00056310"/>
    <w:rsid w:val="00057D84"/>
    <w:rsid w:val="00057F39"/>
    <w:rsid w:val="00057F77"/>
    <w:rsid w:val="00060131"/>
    <w:rsid w:val="00060AEC"/>
    <w:rsid w:val="00060F39"/>
    <w:rsid w:val="000614BF"/>
    <w:rsid w:val="00061676"/>
    <w:rsid w:val="00063250"/>
    <w:rsid w:val="000632F3"/>
    <w:rsid w:val="0006378D"/>
    <w:rsid w:val="00064015"/>
    <w:rsid w:val="000642DA"/>
    <w:rsid w:val="00064775"/>
    <w:rsid w:val="00064BC0"/>
    <w:rsid w:val="000659A5"/>
    <w:rsid w:val="00065A94"/>
    <w:rsid w:val="00066ED7"/>
    <w:rsid w:val="0006764A"/>
    <w:rsid w:val="00070850"/>
    <w:rsid w:val="00070D07"/>
    <w:rsid w:val="00071192"/>
    <w:rsid w:val="0007169C"/>
    <w:rsid w:val="00071717"/>
    <w:rsid w:val="000719DF"/>
    <w:rsid w:val="00071C2F"/>
    <w:rsid w:val="000723D4"/>
    <w:rsid w:val="00072713"/>
    <w:rsid w:val="00075001"/>
    <w:rsid w:val="00075F25"/>
    <w:rsid w:val="00076CE5"/>
    <w:rsid w:val="000770DF"/>
    <w:rsid w:val="000773FE"/>
    <w:rsid w:val="00077593"/>
    <w:rsid w:val="00077894"/>
    <w:rsid w:val="000805F7"/>
    <w:rsid w:val="0008065B"/>
    <w:rsid w:val="00081D2C"/>
    <w:rsid w:val="000821FC"/>
    <w:rsid w:val="00082291"/>
    <w:rsid w:val="0008289B"/>
    <w:rsid w:val="00083F48"/>
    <w:rsid w:val="00084484"/>
    <w:rsid w:val="00084832"/>
    <w:rsid w:val="00085CDA"/>
    <w:rsid w:val="0008649F"/>
    <w:rsid w:val="000864A5"/>
    <w:rsid w:val="00086C59"/>
    <w:rsid w:val="00086F03"/>
    <w:rsid w:val="000902FB"/>
    <w:rsid w:val="00090955"/>
    <w:rsid w:val="00090A4F"/>
    <w:rsid w:val="000933E8"/>
    <w:rsid w:val="00093737"/>
    <w:rsid w:val="00094142"/>
    <w:rsid w:val="00094A01"/>
    <w:rsid w:val="0009646D"/>
    <w:rsid w:val="00096BF3"/>
    <w:rsid w:val="00097A3A"/>
    <w:rsid w:val="000A00AD"/>
    <w:rsid w:val="000A0716"/>
    <w:rsid w:val="000A16E9"/>
    <w:rsid w:val="000A1D47"/>
    <w:rsid w:val="000A290A"/>
    <w:rsid w:val="000A329F"/>
    <w:rsid w:val="000A3668"/>
    <w:rsid w:val="000A3D12"/>
    <w:rsid w:val="000A47E3"/>
    <w:rsid w:val="000A5145"/>
    <w:rsid w:val="000A5A48"/>
    <w:rsid w:val="000A5B9E"/>
    <w:rsid w:val="000A5D81"/>
    <w:rsid w:val="000A5D90"/>
    <w:rsid w:val="000A5E0A"/>
    <w:rsid w:val="000A6076"/>
    <w:rsid w:val="000A69DE"/>
    <w:rsid w:val="000A73F6"/>
    <w:rsid w:val="000A7DF9"/>
    <w:rsid w:val="000B0933"/>
    <w:rsid w:val="000B09C3"/>
    <w:rsid w:val="000B0BC2"/>
    <w:rsid w:val="000B17FB"/>
    <w:rsid w:val="000B1B3B"/>
    <w:rsid w:val="000B1D6E"/>
    <w:rsid w:val="000B1DC3"/>
    <w:rsid w:val="000B1DFF"/>
    <w:rsid w:val="000B2A3F"/>
    <w:rsid w:val="000B2D0B"/>
    <w:rsid w:val="000B2E7A"/>
    <w:rsid w:val="000B49E6"/>
    <w:rsid w:val="000B520B"/>
    <w:rsid w:val="000B68E9"/>
    <w:rsid w:val="000B7589"/>
    <w:rsid w:val="000B772A"/>
    <w:rsid w:val="000B78A8"/>
    <w:rsid w:val="000C0197"/>
    <w:rsid w:val="000C06F1"/>
    <w:rsid w:val="000C121C"/>
    <w:rsid w:val="000C14DB"/>
    <w:rsid w:val="000C1713"/>
    <w:rsid w:val="000C2F6A"/>
    <w:rsid w:val="000C31F0"/>
    <w:rsid w:val="000C3668"/>
    <w:rsid w:val="000C400D"/>
    <w:rsid w:val="000C42D7"/>
    <w:rsid w:val="000C5E1B"/>
    <w:rsid w:val="000C6445"/>
    <w:rsid w:val="000C700A"/>
    <w:rsid w:val="000C7D4E"/>
    <w:rsid w:val="000C7D64"/>
    <w:rsid w:val="000D05EF"/>
    <w:rsid w:val="000D0831"/>
    <w:rsid w:val="000D0B29"/>
    <w:rsid w:val="000D1232"/>
    <w:rsid w:val="000D14AA"/>
    <w:rsid w:val="000D1834"/>
    <w:rsid w:val="000D2B4D"/>
    <w:rsid w:val="000D51B1"/>
    <w:rsid w:val="000D5485"/>
    <w:rsid w:val="000D570C"/>
    <w:rsid w:val="000D58FA"/>
    <w:rsid w:val="000D5D65"/>
    <w:rsid w:val="000D5E7F"/>
    <w:rsid w:val="000D6F0F"/>
    <w:rsid w:val="000D6F11"/>
    <w:rsid w:val="000D70B8"/>
    <w:rsid w:val="000E12A7"/>
    <w:rsid w:val="000E162B"/>
    <w:rsid w:val="000E1926"/>
    <w:rsid w:val="000E1BD3"/>
    <w:rsid w:val="000E1C88"/>
    <w:rsid w:val="000E2F7D"/>
    <w:rsid w:val="000E336E"/>
    <w:rsid w:val="000E39FE"/>
    <w:rsid w:val="000E3C39"/>
    <w:rsid w:val="000E64F1"/>
    <w:rsid w:val="000E68AD"/>
    <w:rsid w:val="000E6E4D"/>
    <w:rsid w:val="000E7628"/>
    <w:rsid w:val="000E78A2"/>
    <w:rsid w:val="000F17C7"/>
    <w:rsid w:val="000F1F10"/>
    <w:rsid w:val="000F2072"/>
    <w:rsid w:val="000F21C1"/>
    <w:rsid w:val="000F276B"/>
    <w:rsid w:val="000F34D7"/>
    <w:rsid w:val="000F39FA"/>
    <w:rsid w:val="000F4178"/>
    <w:rsid w:val="000F4244"/>
    <w:rsid w:val="000F4334"/>
    <w:rsid w:val="000F4645"/>
    <w:rsid w:val="000F4E19"/>
    <w:rsid w:val="000F4FAB"/>
    <w:rsid w:val="000F52AC"/>
    <w:rsid w:val="000F5421"/>
    <w:rsid w:val="000F6953"/>
    <w:rsid w:val="000F6CD3"/>
    <w:rsid w:val="000F745F"/>
    <w:rsid w:val="000F75BC"/>
    <w:rsid w:val="00100ADD"/>
    <w:rsid w:val="00100F40"/>
    <w:rsid w:val="00101F44"/>
    <w:rsid w:val="00103253"/>
    <w:rsid w:val="0010377E"/>
    <w:rsid w:val="001040FB"/>
    <w:rsid w:val="00105D72"/>
    <w:rsid w:val="0010745C"/>
    <w:rsid w:val="001077D7"/>
    <w:rsid w:val="00107978"/>
    <w:rsid w:val="001079A3"/>
    <w:rsid w:val="00107CEA"/>
    <w:rsid w:val="00107E91"/>
    <w:rsid w:val="00107FBA"/>
    <w:rsid w:val="00110176"/>
    <w:rsid w:val="00110317"/>
    <w:rsid w:val="00110812"/>
    <w:rsid w:val="00110F52"/>
    <w:rsid w:val="00111094"/>
    <w:rsid w:val="00111516"/>
    <w:rsid w:val="00111CEF"/>
    <w:rsid w:val="00111F10"/>
    <w:rsid w:val="00111FB2"/>
    <w:rsid w:val="001124ED"/>
    <w:rsid w:val="001131EC"/>
    <w:rsid w:val="001135F8"/>
    <w:rsid w:val="00113959"/>
    <w:rsid w:val="001141F5"/>
    <w:rsid w:val="00114CF4"/>
    <w:rsid w:val="00114F67"/>
    <w:rsid w:val="0011544E"/>
    <w:rsid w:val="0011561C"/>
    <w:rsid w:val="00115EE6"/>
    <w:rsid w:val="00116260"/>
    <w:rsid w:val="001169FE"/>
    <w:rsid w:val="00117277"/>
    <w:rsid w:val="001175DC"/>
    <w:rsid w:val="00117EC3"/>
    <w:rsid w:val="001203CA"/>
    <w:rsid w:val="0012052E"/>
    <w:rsid w:val="00120AD5"/>
    <w:rsid w:val="00122C19"/>
    <w:rsid w:val="001238D1"/>
    <w:rsid w:val="00124870"/>
    <w:rsid w:val="00124FDE"/>
    <w:rsid w:val="0012585B"/>
    <w:rsid w:val="00125975"/>
    <w:rsid w:val="00126459"/>
    <w:rsid w:val="00126791"/>
    <w:rsid w:val="00126B0D"/>
    <w:rsid w:val="00126E11"/>
    <w:rsid w:val="00127300"/>
    <w:rsid w:val="00130D7A"/>
    <w:rsid w:val="00131EE7"/>
    <w:rsid w:val="00132353"/>
    <w:rsid w:val="00134C25"/>
    <w:rsid w:val="001352C9"/>
    <w:rsid w:val="0013537C"/>
    <w:rsid w:val="001355F1"/>
    <w:rsid w:val="0013562E"/>
    <w:rsid w:val="00135E16"/>
    <w:rsid w:val="0013623A"/>
    <w:rsid w:val="00136958"/>
    <w:rsid w:val="001407CC"/>
    <w:rsid w:val="0014157C"/>
    <w:rsid w:val="00141E08"/>
    <w:rsid w:val="001428F1"/>
    <w:rsid w:val="0014308F"/>
    <w:rsid w:val="00143CB2"/>
    <w:rsid w:val="0014450A"/>
    <w:rsid w:val="0014484D"/>
    <w:rsid w:val="00144CA3"/>
    <w:rsid w:val="0014608F"/>
    <w:rsid w:val="0014750F"/>
    <w:rsid w:val="00147904"/>
    <w:rsid w:val="0015044F"/>
    <w:rsid w:val="00150D14"/>
    <w:rsid w:val="00151855"/>
    <w:rsid w:val="00151A1C"/>
    <w:rsid w:val="00151F14"/>
    <w:rsid w:val="001523C3"/>
    <w:rsid w:val="00152D47"/>
    <w:rsid w:val="00153414"/>
    <w:rsid w:val="00154BEF"/>
    <w:rsid w:val="00155713"/>
    <w:rsid w:val="001559D8"/>
    <w:rsid w:val="00155EA4"/>
    <w:rsid w:val="00155F48"/>
    <w:rsid w:val="001601BB"/>
    <w:rsid w:val="00160BD7"/>
    <w:rsid w:val="0016111D"/>
    <w:rsid w:val="001623D3"/>
    <w:rsid w:val="001630D6"/>
    <w:rsid w:val="00163A34"/>
    <w:rsid w:val="001643C9"/>
    <w:rsid w:val="00165568"/>
    <w:rsid w:val="001655B5"/>
    <w:rsid w:val="0016566B"/>
    <w:rsid w:val="001659A1"/>
    <w:rsid w:val="00165F2F"/>
    <w:rsid w:val="00166082"/>
    <w:rsid w:val="001668A4"/>
    <w:rsid w:val="0016691D"/>
    <w:rsid w:val="00166C2F"/>
    <w:rsid w:val="00167078"/>
    <w:rsid w:val="001677CC"/>
    <w:rsid w:val="00167840"/>
    <w:rsid w:val="00167D5D"/>
    <w:rsid w:val="001710E4"/>
    <w:rsid w:val="00171401"/>
    <w:rsid w:val="001716C9"/>
    <w:rsid w:val="00172A9B"/>
    <w:rsid w:val="00173C36"/>
    <w:rsid w:val="001749FE"/>
    <w:rsid w:val="00174E69"/>
    <w:rsid w:val="00175078"/>
    <w:rsid w:val="00175376"/>
    <w:rsid w:val="001755A7"/>
    <w:rsid w:val="0017708F"/>
    <w:rsid w:val="00177378"/>
    <w:rsid w:val="001774BC"/>
    <w:rsid w:val="001776AD"/>
    <w:rsid w:val="00180E96"/>
    <w:rsid w:val="00180FA1"/>
    <w:rsid w:val="001810E1"/>
    <w:rsid w:val="0018169E"/>
    <w:rsid w:val="00181714"/>
    <w:rsid w:val="00181F0B"/>
    <w:rsid w:val="001825AD"/>
    <w:rsid w:val="00183600"/>
    <w:rsid w:val="00184261"/>
    <w:rsid w:val="00184548"/>
    <w:rsid w:val="00184680"/>
    <w:rsid w:val="00185364"/>
    <w:rsid w:val="0018538C"/>
    <w:rsid w:val="00185C67"/>
    <w:rsid w:val="001861D2"/>
    <w:rsid w:val="00186333"/>
    <w:rsid w:val="001866DE"/>
    <w:rsid w:val="00187C0F"/>
    <w:rsid w:val="00187F4F"/>
    <w:rsid w:val="001905BF"/>
    <w:rsid w:val="00190DA9"/>
    <w:rsid w:val="001917D1"/>
    <w:rsid w:val="00191822"/>
    <w:rsid w:val="00191AD5"/>
    <w:rsid w:val="00192902"/>
    <w:rsid w:val="001930A6"/>
    <w:rsid w:val="00193461"/>
    <w:rsid w:val="001939E1"/>
    <w:rsid w:val="00194674"/>
    <w:rsid w:val="001946D8"/>
    <w:rsid w:val="00194C51"/>
    <w:rsid w:val="00195382"/>
    <w:rsid w:val="001956B4"/>
    <w:rsid w:val="00195789"/>
    <w:rsid w:val="00195872"/>
    <w:rsid w:val="00195CA6"/>
    <w:rsid w:val="00196031"/>
    <w:rsid w:val="00196AC8"/>
    <w:rsid w:val="001A02D5"/>
    <w:rsid w:val="001A0BC4"/>
    <w:rsid w:val="001A27A7"/>
    <w:rsid w:val="001A321C"/>
    <w:rsid w:val="001A3803"/>
    <w:rsid w:val="001A3B9F"/>
    <w:rsid w:val="001A3DFC"/>
    <w:rsid w:val="001A43C1"/>
    <w:rsid w:val="001A533F"/>
    <w:rsid w:val="001A55AE"/>
    <w:rsid w:val="001A65C0"/>
    <w:rsid w:val="001A65DC"/>
    <w:rsid w:val="001A6772"/>
    <w:rsid w:val="001A6DE6"/>
    <w:rsid w:val="001A7346"/>
    <w:rsid w:val="001B05E9"/>
    <w:rsid w:val="001B080E"/>
    <w:rsid w:val="001B0D0A"/>
    <w:rsid w:val="001B1446"/>
    <w:rsid w:val="001B20B8"/>
    <w:rsid w:val="001B320A"/>
    <w:rsid w:val="001B37D9"/>
    <w:rsid w:val="001B3AB7"/>
    <w:rsid w:val="001B3E16"/>
    <w:rsid w:val="001B41E5"/>
    <w:rsid w:val="001B4EC6"/>
    <w:rsid w:val="001B5541"/>
    <w:rsid w:val="001B5B56"/>
    <w:rsid w:val="001B6456"/>
    <w:rsid w:val="001B656F"/>
    <w:rsid w:val="001B690B"/>
    <w:rsid w:val="001B738D"/>
    <w:rsid w:val="001B7A5D"/>
    <w:rsid w:val="001B7AED"/>
    <w:rsid w:val="001B7C25"/>
    <w:rsid w:val="001C02F4"/>
    <w:rsid w:val="001C042F"/>
    <w:rsid w:val="001C11A7"/>
    <w:rsid w:val="001C1E07"/>
    <w:rsid w:val="001C1F27"/>
    <w:rsid w:val="001C25E2"/>
    <w:rsid w:val="001C2EDF"/>
    <w:rsid w:val="001C304B"/>
    <w:rsid w:val="001C33C1"/>
    <w:rsid w:val="001C41F8"/>
    <w:rsid w:val="001C41FD"/>
    <w:rsid w:val="001C691F"/>
    <w:rsid w:val="001C69C4"/>
    <w:rsid w:val="001C6A4E"/>
    <w:rsid w:val="001C7143"/>
    <w:rsid w:val="001C72EC"/>
    <w:rsid w:val="001C7300"/>
    <w:rsid w:val="001C79F2"/>
    <w:rsid w:val="001C7C31"/>
    <w:rsid w:val="001C7FFE"/>
    <w:rsid w:val="001D07D8"/>
    <w:rsid w:val="001D0D29"/>
    <w:rsid w:val="001D1024"/>
    <w:rsid w:val="001D1984"/>
    <w:rsid w:val="001D24C0"/>
    <w:rsid w:val="001D2BEE"/>
    <w:rsid w:val="001D32FC"/>
    <w:rsid w:val="001D46D0"/>
    <w:rsid w:val="001D46FB"/>
    <w:rsid w:val="001D5165"/>
    <w:rsid w:val="001D53E1"/>
    <w:rsid w:val="001D5719"/>
    <w:rsid w:val="001D5B1E"/>
    <w:rsid w:val="001D6634"/>
    <w:rsid w:val="001E021F"/>
    <w:rsid w:val="001E0631"/>
    <w:rsid w:val="001E0A8D"/>
    <w:rsid w:val="001E16D3"/>
    <w:rsid w:val="001E178D"/>
    <w:rsid w:val="001E1860"/>
    <w:rsid w:val="001E2284"/>
    <w:rsid w:val="001E3590"/>
    <w:rsid w:val="001E36D8"/>
    <w:rsid w:val="001E3705"/>
    <w:rsid w:val="001E3AD5"/>
    <w:rsid w:val="001E476D"/>
    <w:rsid w:val="001E4DA2"/>
    <w:rsid w:val="001E5349"/>
    <w:rsid w:val="001E596C"/>
    <w:rsid w:val="001E5E4B"/>
    <w:rsid w:val="001E5E6B"/>
    <w:rsid w:val="001E5F45"/>
    <w:rsid w:val="001E62C4"/>
    <w:rsid w:val="001E6B11"/>
    <w:rsid w:val="001E6BB7"/>
    <w:rsid w:val="001E7407"/>
    <w:rsid w:val="001E7D50"/>
    <w:rsid w:val="001F01DE"/>
    <w:rsid w:val="001F03EE"/>
    <w:rsid w:val="001F09E6"/>
    <w:rsid w:val="001F0B16"/>
    <w:rsid w:val="001F0C6C"/>
    <w:rsid w:val="001F133D"/>
    <w:rsid w:val="001F1E60"/>
    <w:rsid w:val="001F28B3"/>
    <w:rsid w:val="001F2C59"/>
    <w:rsid w:val="001F37F2"/>
    <w:rsid w:val="001F38E7"/>
    <w:rsid w:val="001F3A94"/>
    <w:rsid w:val="001F45B6"/>
    <w:rsid w:val="001F4625"/>
    <w:rsid w:val="001F493A"/>
    <w:rsid w:val="001F4C54"/>
    <w:rsid w:val="001F517E"/>
    <w:rsid w:val="001F5B6B"/>
    <w:rsid w:val="001F6CD0"/>
    <w:rsid w:val="0020071F"/>
    <w:rsid w:val="00200FF0"/>
    <w:rsid w:val="00201506"/>
    <w:rsid w:val="00201D27"/>
    <w:rsid w:val="002022E6"/>
    <w:rsid w:val="002029C4"/>
    <w:rsid w:val="00202DEC"/>
    <w:rsid w:val="0020300C"/>
    <w:rsid w:val="00203220"/>
    <w:rsid w:val="002033A6"/>
    <w:rsid w:val="00203569"/>
    <w:rsid w:val="002035BA"/>
    <w:rsid w:val="00203CAC"/>
    <w:rsid w:val="00203E8C"/>
    <w:rsid w:val="00204921"/>
    <w:rsid w:val="00204D02"/>
    <w:rsid w:val="00204DAC"/>
    <w:rsid w:val="002051C3"/>
    <w:rsid w:val="00205A18"/>
    <w:rsid w:val="002064DC"/>
    <w:rsid w:val="002065C1"/>
    <w:rsid w:val="002067D6"/>
    <w:rsid w:val="0020744F"/>
    <w:rsid w:val="00207FDE"/>
    <w:rsid w:val="00210935"/>
    <w:rsid w:val="00210ACB"/>
    <w:rsid w:val="00212203"/>
    <w:rsid w:val="00212576"/>
    <w:rsid w:val="002138FC"/>
    <w:rsid w:val="00214081"/>
    <w:rsid w:val="002141DB"/>
    <w:rsid w:val="00214768"/>
    <w:rsid w:val="0021491C"/>
    <w:rsid w:val="00214A4B"/>
    <w:rsid w:val="00214E44"/>
    <w:rsid w:val="0021584C"/>
    <w:rsid w:val="0021674F"/>
    <w:rsid w:val="00220169"/>
    <w:rsid w:val="00220A0C"/>
    <w:rsid w:val="00220C09"/>
    <w:rsid w:val="00220C86"/>
    <w:rsid w:val="0022185D"/>
    <w:rsid w:val="00221E6A"/>
    <w:rsid w:val="002225CE"/>
    <w:rsid w:val="00222649"/>
    <w:rsid w:val="00222E59"/>
    <w:rsid w:val="0022345D"/>
    <w:rsid w:val="00223E4A"/>
    <w:rsid w:val="002244FC"/>
    <w:rsid w:val="002257A3"/>
    <w:rsid w:val="0022678A"/>
    <w:rsid w:val="0022686C"/>
    <w:rsid w:val="002276F2"/>
    <w:rsid w:val="002302EA"/>
    <w:rsid w:val="002308A0"/>
    <w:rsid w:val="00230AE2"/>
    <w:rsid w:val="00231490"/>
    <w:rsid w:val="00231AD6"/>
    <w:rsid w:val="0023268F"/>
    <w:rsid w:val="00232E38"/>
    <w:rsid w:val="00232E49"/>
    <w:rsid w:val="00233351"/>
    <w:rsid w:val="002337F5"/>
    <w:rsid w:val="00233A73"/>
    <w:rsid w:val="00233FBF"/>
    <w:rsid w:val="0023411E"/>
    <w:rsid w:val="002356F9"/>
    <w:rsid w:val="00235C64"/>
    <w:rsid w:val="00236C26"/>
    <w:rsid w:val="002371F8"/>
    <w:rsid w:val="00237EA8"/>
    <w:rsid w:val="00237F30"/>
    <w:rsid w:val="002404E7"/>
    <w:rsid w:val="002406E6"/>
    <w:rsid w:val="00240749"/>
    <w:rsid w:val="00240956"/>
    <w:rsid w:val="002414DC"/>
    <w:rsid w:val="002415ED"/>
    <w:rsid w:val="0024183C"/>
    <w:rsid w:val="00241970"/>
    <w:rsid w:val="002424AB"/>
    <w:rsid w:val="00242569"/>
    <w:rsid w:val="00243124"/>
    <w:rsid w:val="0024329D"/>
    <w:rsid w:val="00243AEF"/>
    <w:rsid w:val="0024400F"/>
    <w:rsid w:val="002442B5"/>
    <w:rsid w:val="00244BF4"/>
    <w:rsid w:val="00245242"/>
    <w:rsid w:val="0024565A"/>
    <w:rsid w:val="00245792"/>
    <w:rsid w:val="00245D5E"/>
    <w:rsid w:val="00246308"/>
    <w:rsid w:val="002468D7"/>
    <w:rsid w:val="00246A0B"/>
    <w:rsid w:val="00247914"/>
    <w:rsid w:val="00247F70"/>
    <w:rsid w:val="0025003C"/>
    <w:rsid w:val="0025084B"/>
    <w:rsid w:val="00250F4E"/>
    <w:rsid w:val="0025118E"/>
    <w:rsid w:val="002516FF"/>
    <w:rsid w:val="00252999"/>
    <w:rsid w:val="00252CC5"/>
    <w:rsid w:val="00254410"/>
    <w:rsid w:val="002548B1"/>
    <w:rsid w:val="002564AB"/>
    <w:rsid w:val="00256668"/>
    <w:rsid w:val="002568D5"/>
    <w:rsid w:val="00256978"/>
    <w:rsid w:val="00256C2A"/>
    <w:rsid w:val="002578F7"/>
    <w:rsid w:val="0026197C"/>
    <w:rsid w:val="00261AEF"/>
    <w:rsid w:val="00261BC9"/>
    <w:rsid w:val="00263428"/>
    <w:rsid w:val="00263549"/>
    <w:rsid w:val="00263612"/>
    <w:rsid w:val="00263A1B"/>
    <w:rsid w:val="00263A6C"/>
    <w:rsid w:val="00263ABF"/>
    <w:rsid w:val="0026503C"/>
    <w:rsid w:val="002658C1"/>
    <w:rsid w:val="00265AF5"/>
    <w:rsid w:val="002667E0"/>
    <w:rsid w:val="00266AE7"/>
    <w:rsid w:val="0026714D"/>
    <w:rsid w:val="00270138"/>
    <w:rsid w:val="00270862"/>
    <w:rsid w:val="00270C7B"/>
    <w:rsid w:val="00271447"/>
    <w:rsid w:val="002715B6"/>
    <w:rsid w:val="00271A33"/>
    <w:rsid w:val="00271AD8"/>
    <w:rsid w:val="00271BC4"/>
    <w:rsid w:val="002733D1"/>
    <w:rsid w:val="00274202"/>
    <w:rsid w:val="00274763"/>
    <w:rsid w:val="002749AB"/>
    <w:rsid w:val="00274C1D"/>
    <w:rsid w:val="002755EF"/>
    <w:rsid w:val="00275EFC"/>
    <w:rsid w:val="002774B9"/>
    <w:rsid w:val="0028060A"/>
    <w:rsid w:val="002807BF"/>
    <w:rsid w:val="002817DB"/>
    <w:rsid w:val="00281D98"/>
    <w:rsid w:val="0028267F"/>
    <w:rsid w:val="00283495"/>
    <w:rsid w:val="00284F85"/>
    <w:rsid w:val="00285019"/>
    <w:rsid w:val="00285491"/>
    <w:rsid w:val="00285CDD"/>
    <w:rsid w:val="00285F27"/>
    <w:rsid w:val="002860D6"/>
    <w:rsid w:val="00286470"/>
    <w:rsid w:val="00286919"/>
    <w:rsid w:val="00287EAE"/>
    <w:rsid w:val="00290BCC"/>
    <w:rsid w:val="00290F55"/>
    <w:rsid w:val="00291167"/>
    <w:rsid w:val="002913FE"/>
    <w:rsid w:val="00291545"/>
    <w:rsid w:val="00291A98"/>
    <w:rsid w:val="002927D3"/>
    <w:rsid w:val="00292E6A"/>
    <w:rsid w:val="0029440A"/>
    <w:rsid w:val="002946E5"/>
    <w:rsid w:val="00294A56"/>
    <w:rsid w:val="00295096"/>
    <w:rsid w:val="00295B07"/>
    <w:rsid w:val="00296619"/>
    <w:rsid w:val="002968A3"/>
    <w:rsid w:val="00296C99"/>
    <w:rsid w:val="0029721C"/>
    <w:rsid w:val="00297795"/>
    <w:rsid w:val="00297CCE"/>
    <w:rsid w:val="00297ECB"/>
    <w:rsid w:val="002A0164"/>
    <w:rsid w:val="002A1158"/>
    <w:rsid w:val="002A1E93"/>
    <w:rsid w:val="002A20DD"/>
    <w:rsid w:val="002A2350"/>
    <w:rsid w:val="002A2B09"/>
    <w:rsid w:val="002A2CA1"/>
    <w:rsid w:val="002A2D9E"/>
    <w:rsid w:val="002A3E13"/>
    <w:rsid w:val="002A41B3"/>
    <w:rsid w:val="002A4BE7"/>
    <w:rsid w:val="002A4F02"/>
    <w:rsid w:val="002A4F9B"/>
    <w:rsid w:val="002A54F4"/>
    <w:rsid w:val="002A5ED1"/>
    <w:rsid w:val="002A647B"/>
    <w:rsid w:val="002A70DC"/>
    <w:rsid w:val="002A7FA1"/>
    <w:rsid w:val="002B080E"/>
    <w:rsid w:val="002B0D9C"/>
    <w:rsid w:val="002B10AE"/>
    <w:rsid w:val="002B118C"/>
    <w:rsid w:val="002B3C14"/>
    <w:rsid w:val="002B46D4"/>
    <w:rsid w:val="002B49F7"/>
    <w:rsid w:val="002B4BF2"/>
    <w:rsid w:val="002B4D41"/>
    <w:rsid w:val="002B4EA0"/>
    <w:rsid w:val="002B51B6"/>
    <w:rsid w:val="002B553E"/>
    <w:rsid w:val="002B58F9"/>
    <w:rsid w:val="002B5F8F"/>
    <w:rsid w:val="002B642B"/>
    <w:rsid w:val="002B705F"/>
    <w:rsid w:val="002B7A3A"/>
    <w:rsid w:val="002B7DA6"/>
    <w:rsid w:val="002B7DEA"/>
    <w:rsid w:val="002C0C23"/>
    <w:rsid w:val="002C152A"/>
    <w:rsid w:val="002C2992"/>
    <w:rsid w:val="002C30BD"/>
    <w:rsid w:val="002C38F5"/>
    <w:rsid w:val="002C3A19"/>
    <w:rsid w:val="002C4A37"/>
    <w:rsid w:val="002C6754"/>
    <w:rsid w:val="002C6DDE"/>
    <w:rsid w:val="002C6EAC"/>
    <w:rsid w:val="002C75AE"/>
    <w:rsid w:val="002C7820"/>
    <w:rsid w:val="002C7B51"/>
    <w:rsid w:val="002C7C43"/>
    <w:rsid w:val="002D043A"/>
    <w:rsid w:val="002D12FD"/>
    <w:rsid w:val="002D1C8D"/>
    <w:rsid w:val="002D2593"/>
    <w:rsid w:val="002D2C27"/>
    <w:rsid w:val="002D358D"/>
    <w:rsid w:val="002D5679"/>
    <w:rsid w:val="002D63C6"/>
    <w:rsid w:val="002D66B3"/>
    <w:rsid w:val="002D7474"/>
    <w:rsid w:val="002D781C"/>
    <w:rsid w:val="002D786C"/>
    <w:rsid w:val="002D78A1"/>
    <w:rsid w:val="002D7959"/>
    <w:rsid w:val="002E06D7"/>
    <w:rsid w:val="002E0CB3"/>
    <w:rsid w:val="002E1102"/>
    <w:rsid w:val="002E1288"/>
    <w:rsid w:val="002E285B"/>
    <w:rsid w:val="002E2D86"/>
    <w:rsid w:val="002E2EF2"/>
    <w:rsid w:val="002E3109"/>
    <w:rsid w:val="002E38A0"/>
    <w:rsid w:val="002E48D2"/>
    <w:rsid w:val="002E50AE"/>
    <w:rsid w:val="002E5277"/>
    <w:rsid w:val="002E5415"/>
    <w:rsid w:val="002E5A56"/>
    <w:rsid w:val="002E69D9"/>
    <w:rsid w:val="002E7981"/>
    <w:rsid w:val="002F039C"/>
    <w:rsid w:val="002F0D63"/>
    <w:rsid w:val="002F0F70"/>
    <w:rsid w:val="002F1B8B"/>
    <w:rsid w:val="002F1DB9"/>
    <w:rsid w:val="002F2461"/>
    <w:rsid w:val="002F2830"/>
    <w:rsid w:val="002F2C0E"/>
    <w:rsid w:val="002F33CE"/>
    <w:rsid w:val="002F3F3E"/>
    <w:rsid w:val="002F428F"/>
    <w:rsid w:val="002F45FA"/>
    <w:rsid w:val="002F48CC"/>
    <w:rsid w:val="002F6682"/>
    <w:rsid w:val="002F6A11"/>
    <w:rsid w:val="002F6FE1"/>
    <w:rsid w:val="00300024"/>
    <w:rsid w:val="00300873"/>
    <w:rsid w:val="00300B9C"/>
    <w:rsid w:val="00300BB2"/>
    <w:rsid w:val="00301594"/>
    <w:rsid w:val="00302424"/>
    <w:rsid w:val="0030259B"/>
    <w:rsid w:val="0030338F"/>
    <w:rsid w:val="0030386F"/>
    <w:rsid w:val="003046EE"/>
    <w:rsid w:val="0030506C"/>
    <w:rsid w:val="00305B03"/>
    <w:rsid w:val="003064FC"/>
    <w:rsid w:val="00306EF1"/>
    <w:rsid w:val="003106F0"/>
    <w:rsid w:val="00310BBA"/>
    <w:rsid w:val="00311230"/>
    <w:rsid w:val="0031195C"/>
    <w:rsid w:val="00312238"/>
    <w:rsid w:val="003135F6"/>
    <w:rsid w:val="00313E56"/>
    <w:rsid w:val="00314059"/>
    <w:rsid w:val="003146FD"/>
    <w:rsid w:val="003147AC"/>
    <w:rsid w:val="003147FA"/>
    <w:rsid w:val="00314848"/>
    <w:rsid w:val="003165EB"/>
    <w:rsid w:val="00316976"/>
    <w:rsid w:val="00316A70"/>
    <w:rsid w:val="0031713F"/>
    <w:rsid w:val="00317E25"/>
    <w:rsid w:val="003206B2"/>
    <w:rsid w:val="003209F4"/>
    <w:rsid w:val="0032134B"/>
    <w:rsid w:val="00321359"/>
    <w:rsid w:val="0032173B"/>
    <w:rsid w:val="0032174F"/>
    <w:rsid w:val="00321913"/>
    <w:rsid w:val="003229C3"/>
    <w:rsid w:val="00322B34"/>
    <w:rsid w:val="00323070"/>
    <w:rsid w:val="00323184"/>
    <w:rsid w:val="00323A9B"/>
    <w:rsid w:val="00323CC5"/>
    <w:rsid w:val="0032465C"/>
    <w:rsid w:val="00324E0A"/>
    <w:rsid w:val="00325445"/>
    <w:rsid w:val="00326404"/>
    <w:rsid w:val="0032696C"/>
    <w:rsid w:val="00327DE0"/>
    <w:rsid w:val="0033050F"/>
    <w:rsid w:val="003313FC"/>
    <w:rsid w:val="003316DC"/>
    <w:rsid w:val="003322C2"/>
    <w:rsid w:val="00332556"/>
    <w:rsid w:val="00332E0D"/>
    <w:rsid w:val="0033303B"/>
    <w:rsid w:val="003342B5"/>
    <w:rsid w:val="00334597"/>
    <w:rsid w:val="00334A65"/>
    <w:rsid w:val="00334B71"/>
    <w:rsid w:val="00334D7B"/>
    <w:rsid w:val="00334EC4"/>
    <w:rsid w:val="003358B6"/>
    <w:rsid w:val="00335FE9"/>
    <w:rsid w:val="00337C0E"/>
    <w:rsid w:val="00340278"/>
    <w:rsid w:val="00340D72"/>
    <w:rsid w:val="00340FBE"/>
    <w:rsid w:val="00341473"/>
    <w:rsid w:val="00341564"/>
    <w:rsid w:val="003415D3"/>
    <w:rsid w:val="00341658"/>
    <w:rsid w:val="0034420E"/>
    <w:rsid w:val="00344451"/>
    <w:rsid w:val="00344D98"/>
    <w:rsid w:val="003456E1"/>
    <w:rsid w:val="0034621D"/>
    <w:rsid w:val="00346335"/>
    <w:rsid w:val="00346A00"/>
    <w:rsid w:val="00347760"/>
    <w:rsid w:val="0035048C"/>
    <w:rsid w:val="00350CBB"/>
    <w:rsid w:val="00351A84"/>
    <w:rsid w:val="003524B7"/>
    <w:rsid w:val="00352B0F"/>
    <w:rsid w:val="003535AF"/>
    <w:rsid w:val="00353CAE"/>
    <w:rsid w:val="00353FE9"/>
    <w:rsid w:val="003544C2"/>
    <w:rsid w:val="00354FB9"/>
    <w:rsid w:val="003556A5"/>
    <w:rsid w:val="003557B5"/>
    <w:rsid w:val="00355C0C"/>
    <w:rsid w:val="003561B0"/>
    <w:rsid w:val="003563F6"/>
    <w:rsid w:val="00356D38"/>
    <w:rsid w:val="00357406"/>
    <w:rsid w:val="00357F99"/>
    <w:rsid w:val="0036011A"/>
    <w:rsid w:val="00360DD3"/>
    <w:rsid w:val="0036173D"/>
    <w:rsid w:val="00362002"/>
    <w:rsid w:val="003620C1"/>
    <w:rsid w:val="0036234F"/>
    <w:rsid w:val="003636D4"/>
    <w:rsid w:val="003638F3"/>
    <w:rsid w:val="00363BD9"/>
    <w:rsid w:val="00363E00"/>
    <w:rsid w:val="00364E49"/>
    <w:rsid w:val="00365422"/>
    <w:rsid w:val="00366D2C"/>
    <w:rsid w:val="00367960"/>
    <w:rsid w:val="00370109"/>
    <w:rsid w:val="003702CB"/>
    <w:rsid w:val="00371271"/>
    <w:rsid w:val="0037299F"/>
    <w:rsid w:val="00372E9C"/>
    <w:rsid w:val="00373445"/>
    <w:rsid w:val="00373C24"/>
    <w:rsid w:val="003740CE"/>
    <w:rsid w:val="00374430"/>
    <w:rsid w:val="00374A9D"/>
    <w:rsid w:val="00375801"/>
    <w:rsid w:val="003763BC"/>
    <w:rsid w:val="00377D6B"/>
    <w:rsid w:val="00377D7D"/>
    <w:rsid w:val="00380DB9"/>
    <w:rsid w:val="0038115A"/>
    <w:rsid w:val="00381407"/>
    <w:rsid w:val="00382902"/>
    <w:rsid w:val="00382AF5"/>
    <w:rsid w:val="003838E8"/>
    <w:rsid w:val="003842A6"/>
    <w:rsid w:val="00384BC4"/>
    <w:rsid w:val="00385D06"/>
    <w:rsid w:val="00386DCA"/>
    <w:rsid w:val="003915E1"/>
    <w:rsid w:val="00392BC4"/>
    <w:rsid w:val="003932D7"/>
    <w:rsid w:val="00393992"/>
    <w:rsid w:val="00393BD3"/>
    <w:rsid w:val="00393DC0"/>
    <w:rsid w:val="0039402D"/>
    <w:rsid w:val="00395EEA"/>
    <w:rsid w:val="0039611F"/>
    <w:rsid w:val="003961C6"/>
    <w:rsid w:val="00396200"/>
    <w:rsid w:val="00396C19"/>
    <w:rsid w:val="003974A5"/>
    <w:rsid w:val="003975E2"/>
    <w:rsid w:val="00397B37"/>
    <w:rsid w:val="003A0939"/>
    <w:rsid w:val="003A0B18"/>
    <w:rsid w:val="003A15AC"/>
    <w:rsid w:val="003A1EAC"/>
    <w:rsid w:val="003A2137"/>
    <w:rsid w:val="003A2AFF"/>
    <w:rsid w:val="003A300D"/>
    <w:rsid w:val="003A42A5"/>
    <w:rsid w:val="003A46DD"/>
    <w:rsid w:val="003A56EB"/>
    <w:rsid w:val="003A5A30"/>
    <w:rsid w:val="003A5C80"/>
    <w:rsid w:val="003A618F"/>
    <w:rsid w:val="003A61E3"/>
    <w:rsid w:val="003A65D1"/>
    <w:rsid w:val="003A71A1"/>
    <w:rsid w:val="003A7DC8"/>
    <w:rsid w:val="003A7DF3"/>
    <w:rsid w:val="003B0627"/>
    <w:rsid w:val="003B082C"/>
    <w:rsid w:val="003B0CCF"/>
    <w:rsid w:val="003B12D3"/>
    <w:rsid w:val="003B18F6"/>
    <w:rsid w:val="003B1D7A"/>
    <w:rsid w:val="003B1DC7"/>
    <w:rsid w:val="003B2B90"/>
    <w:rsid w:val="003B38FB"/>
    <w:rsid w:val="003B3C67"/>
    <w:rsid w:val="003B3FA3"/>
    <w:rsid w:val="003B459A"/>
    <w:rsid w:val="003B475E"/>
    <w:rsid w:val="003B4BAE"/>
    <w:rsid w:val="003B5496"/>
    <w:rsid w:val="003B56D1"/>
    <w:rsid w:val="003B5870"/>
    <w:rsid w:val="003B6391"/>
    <w:rsid w:val="003B724B"/>
    <w:rsid w:val="003B75D3"/>
    <w:rsid w:val="003B77D1"/>
    <w:rsid w:val="003B78F8"/>
    <w:rsid w:val="003C011B"/>
    <w:rsid w:val="003C1638"/>
    <w:rsid w:val="003C2160"/>
    <w:rsid w:val="003C28D6"/>
    <w:rsid w:val="003C2AEC"/>
    <w:rsid w:val="003C2F16"/>
    <w:rsid w:val="003C3442"/>
    <w:rsid w:val="003C3756"/>
    <w:rsid w:val="003C4F03"/>
    <w:rsid w:val="003C5F2B"/>
    <w:rsid w:val="003C6182"/>
    <w:rsid w:val="003C6454"/>
    <w:rsid w:val="003C7490"/>
    <w:rsid w:val="003C7FC9"/>
    <w:rsid w:val="003D014A"/>
    <w:rsid w:val="003D0BFE"/>
    <w:rsid w:val="003D11CC"/>
    <w:rsid w:val="003D1F66"/>
    <w:rsid w:val="003D3236"/>
    <w:rsid w:val="003D32FF"/>
    <w:rsid w:val="003D349F"/>
    <w:rsid w:val="003D391D"/>
    <w:rsid w:val="003D3D29"/>
    <w:rsid w:val="003D3E03"/>
    <w:rsid w:val="003D3F4E"/>
    <w:rsid w:val="003D4B2C"/>
    <w:rsid w:val="003D4D9F"/>
    <w:rsid w:val="003D5700"/>
    <w:rsid w:val="003D5E3C"/>
    <w:rsid w:val="003D5EDF"/>
    <w:rsid w:val="003D6376"/>
    <w:rsid w:val="003D67E5"/>
    <w:rsid w:val="003D6DE6"/>
    <w:rsid w:val="003D76BD"/>
    <w:rsid w:val="003E0383"/>
    <w:rsid w:val="003E0957"/>
    <w:rsid w:val="003E4524"/>
    <w:rsid w:val="003E4AB7"/>
    <w:rsid w:val="003E54E3"/>
    <w:rsid w:val="003E57C3"/>
    <w:rsid w:val="003E57D2"/>
    <w:rsid w:val="003E6781"/>
    <w:rsid w:val="003E67A5"/>
    <w:rsid w:val="003E6CBB"/>
    <w:rsid w:val="003E6E13"/>
    <w:rsid w:val="003E79B4"/>
    <w:rsid w:val="003E7CA4"/>
    <w:rsid w:val="003E7D53"/>
    <w:rsid w:val="003F016C"/>
    <w:rsid w:val="003F0858"/>
    <w:rsid w:val="003F0F5A"/>
    <w:rsid w:val="003F1C68"/>
    <w:rsid w:val="003F1F47"/>
    <w:rsid w:val="003F291D"/>
    <w:rsid w:val="003F2C18"/>
    <w:rsid w:val="003F4185"/>
    <w:rsid w:val="003F5081"/>
    <w:rsid w:val="003F5319"/>
    <w:rsid w:val="003F5EB9"/>
    <w:rsid w:val="003F6368"/>
    <w:rsid w:val="003F6471"/>
    <w:rsid w:val="003F6A3A"/>
    <w:rsid w:val="003F70AF"/>
    <w:rsid w:val="003F7B2D"/>
    <w:rsid w:val="003F7D4D"/>
    <w:rsid w:val="00400013"/>
    <w:rsid w:val="0040018E"/>
    <w:rsid w:val="004001A2"/>
    <w:rsid w:val="00400525"/>
    <w:rsid w:val="00400600"/>
    <w:rsid w:val="00400933"/>
    <w:rsid w:val="00400A30"/>
    <w:rsid w:val="004014CB"/>
    <w:rsid w:val="00401526"/>
    <w:rsid w:val="0040163F"/>
    <w:rsid w:val="00401701"/>
    <w:rsid w:val="004018F9"/>
    <w:rsid w:val="004019FA"/>
    <w:rsid w:val="00401AF4"/>
    <w:rsid w:val="00401DB2"/>
    <w:rsid w:val="004022CA"/>
    <w:rsid w:val="0040244E"/>
    <w:rsid w:val="00402964"/>
    <w:rsid w:val="004031FA"/>
    <w:rsid w:val="004034D4"/>
    <w:rsid w:val="00404F34"/>
    <w:rsid w:val="00405333"/>
    <w:rsid w:val="0040737C"/>
    <w:rsid w:val="00407EDA"/>
    <w:rsid w:val="00410D54"/>
    <w:rsid w:val="004116CD"/>
    <w:rsid w:val="004118C9"/>
    <w:rsid w:val="0041491D"/>
    <w:rsid w:val="00414ADE"/>
    <w:rsid w:val="00414C88"/>
    <w:rsid w:val="0041507D"/>
    <w:rsid w:val="004150CB"/>
    <w:rsid w:val="00415AEC"/>
    <w:rsid w:val="0041727E"/>
    <w:rsid w:val="00417BA3"/>
    <w:rsid w:val="004200B5"/>
    <w:rsid w:val="00420BCD"/>
    <w:rsid w:val="00420E0F"/>
    <w:rsid w:val="0042132B"/>
    <w:rsid w:val="004221EF"/>
    <w:rsid w:val="00422700"/>
    <w:rsid w:val="00422C2F"/>
    <w:rsid w:val="00423899"/>
    <w:rsid w:val="00424136"/>
    <w:rsid w:val="00424CA9"/>
    <w:rsid w:val="004255E6"/>
    <w:rsid w:val="004257BB"/>
    <w:rsid w:val="004261D9"/>
    <w:rsid w:val="00426753"/>
    <w:rsid w:val="00426843"/>
    <w:rsid w:val="00426A1E"/>
    <w:rsid w:val="004301B5"/>
    <w:rsid w:val="004307F8"/>
    <w:rsid w:val="00430EA3"/>
    <w:rsid w:val="00431323"/>
    <w:rsid w:val="004316C5"/>
    <w:rsid w:val="00431A54"/>
    <w:rsid w:val="00431F4D"/>
    <w:rsid w:val="00432A83"/>
    <w:rsid w:val="00432F46"/>
    <w:rsid w:val="004337CB"/>
    <w:rsid w:val="00433B3D"/>
    <w:rsid w:val="00433B7F"/>
    <w:rsid w:val="00434222"/>
    <w:rsid w:val="00434332"/>
    <w:rsid w:val="00434379"/>
    <w:rsid w:val="00435220"/>
    <w:rsid w:val="0043533E"/>
    <w:rsid w:val="00435E9F"/>
    <w:rsid w:val="004379B5"/>
    <w:rsid w:val="004379FB"/>
    <w:rsid w:val="00437A8E"/>
    <w:rsid w:val="00440525"/>
    <w:rsid w:val="00441294"/>
    <w:rsid w:val="0044137F"/>
    <w:rsid w:val="00441D91"/>
    <w:rsid w:val="0044291A"/>
    <w:rsid w:val="00442F88"/>
    <w:rsid w:val="0044358F"/>
    <w:rsid w:val="0044359B"/>
    <w:rsid w:val="00443A88"/>
    <w:rsid w:val="00445055"/>
    <w:rsid w:val="00445361"/>
    <w:rsid w:val="00445AF0"/>
    <w:rsid w:val="00445CB0"/>
    <w:rsid w:val="0044614F"/>
    <w:rsid w:val="004470FE"/>
    <w:rsid w:val="00447986"/>
    <w:rsid w:val="004479BB"/>
    <w:rsid w:val="00450021"/>
    <w:rsid w:val="00451811"/>
    <w:rsid w:val="004519A6"/>
    <w:rsid w:val="00451F9B"/>
    <w:rsid w:val="0045216D"/>
    <w:rsid w:val="00452DE2"/>
    <w:rsid w:val="00453870"/>
    <w:rsid w:val="00453A93"/>
    <w:rsid w:val="00453A9E"/>
    <w:rsid w:val="00454199"/>
    <w:rsid w:val="004542A3"/>
    <w:rsid w:val="00454434"/>
    <w:rsid w:val="00456089"/>
    <w:rsid w:val="0045722F"/>
    <w:rsid w:val="0045753D"/>
    <w:rsid w:val="00457788"/>
    <w:rsid w:val="00457BC3"/>
    <w:rsid w:val="00457C21"/>
    <w:rsid w:val="0046021B"/>
    <w:rsid w:val="00460499"/>
    <w:rsid w:val="00460B86"/>
    <w:rsid w:val="00461201"/>
    <w:rsid w:val="0046261A"/>
    <w:rsid w:val="004635B8"/>
    <w:rsid w:val="00463EBB"/>
    <w:rsid w:val="00464861"/>
    <w:rsid w:val="004657C7"/>
    <w:rsid w:val="0046658D"/>
    <w:rsid w:val="00466B46"/>
    <w:rsid w:val="004672EC"/>
    <w:rsid w:val="004675EC"/>
    <w:rsid w:val="00467C83"/>
    <w:rsid w:val="00467DEA"/>
    <w:rsid w:val="00467E1D"/>
    <w:rsid w:val="00467F80"/>
    <w:rsid w:val="004707DB"/>
    <w:rsid w:val="00471763"/>
    <w:rsid w:val="00471D21"/>
    <w:rsid w:val="00472181"/>
    <w:rsid w:val="00472AA0"/>
    <w:rsid w:val="00472B0A"/>
    <w:rsid w:val="00472FAE"/>
    <w:rsid w:val="00474835"/>
    <w:rsid w:val="0047494F"/>
    <w:rsid w:val="004755EC"/>
    <w:rsid w:val="00475922"/>
    <w:rsid w:val="00475AA5"/>
    <w:rsid w:val="00475C45"/>
    <w:rsid w:val="004760AC"/>
    <w:rsid w:val="00476F97"/>
    <w:rsid w:val="00477DD0"/>
    <w:rsid w:val="004810A4"/>
    <w:rsid w:val="004810F1"/>
    <w:rsid w:val="00481251"/>
    <w:rsid w:val="004818AF"/>
    <w:rsid w:val="004819C7"/>
    <w:rsid w:val="00482237"/>
    <w:rsid w:val="00482679"/>
    <w:rsid w:val="00482C9C"/>
    <w:rsid w:val="0048303D"/>
    <w:rsid w:val="004832CE"/>
    <w:rsid w:val="0048364F"/>
    <w:rsid w:val="004845A4"/>
    <w:rsid w:val="00484E6B"/>
    <w:rsid w:val="00485BE9"/>
    <w:rsid w:val="00485CC1"/>
    <w:rsid w:val="0048684C"/>
    <w:rsid w:val="00487425"/>
    <w:rsid w:val="00487A75"/>
    <w:rsid w:val="0049000A"/>
    <w:rsid w:val="00490F2E"/>
    <w:rsid w:val="00491A20"/>
    <w:rsid w:val="00493A04"/>
    <w:rsid w:val="00494DA4"/>
    <w:rsid w:val="004963AB"/>
    <w:rsid w:val="00496DB3"/>
    <w:rsid w:val="00496F97"/>
    <w:rsid w:val="004972EB"/>
    <w:rsid w:val="00497841"/>
    <w:rsid w:val="004A07E5"/>
    <w:rsid w:val="004A083E"/>
    <w:rsid w:val="004A2472"/>
    <w:rsid w:val="004A2C90"/>
    <w:rsid w:val="004A4223"/>
    <w:rsid w:val="004A4D4B"/>
    <w:rsid w:val="004A53EA"/>
    <w:rsid w:val="004A5AC8"/>
    <w:rsid w:val="004A5CB5"/>
    <w:rsid w:val="004A5DF3"/>
    <w:rsid w:val="004A7289"/>
    <w:rsid w:val="004A7E1E"/>
    <w:rsid w:val="004A7F89"/>
    <w:rsid w:val="004B0CCA"/>
    <w:rsid w:val="004B226E"/>
    <w:rsid w:val="004B2A0B"/>
    <w:rsid w:val="004B318C"/>
    <w:rsid w:val="004B32B0"/>
    <w:rsid w:val="004B32D1"/>
    <w:rsid w:val="004B38F2"/>
    <w:rsid w:val="004B3C3A"/>
    <w:rsid w:val="004B3CEC"/>
    <w:rsid w:val="004B4A27"/>
    <w:rsid w:val="004B5347"/>
    <w:rsid w:val="004B56CF"/>
    <w:rsid w:val="004B5CAA"/>
    <w:rsid w:val="004B5D3D"/>
    <w:rsid w:val="004B5D71"/>
    <w:rsid w:val="004B73FD"/>
    <w:rsid w:val="004C0405"/>
    <w:rsid w:val="004C05B4"/>
    <w:rsid w:val="004C1034"/>
    <w:rsid w:val="004C1B14"/>
    <w:rsid w:val="004C29D1"/>
    <w:rsid w:val="004C2B10"/>
    <w:rsid w:val="004C2CCC"/>
    <w:rsid w:val="004C3A5D"/>
    <w:rsid w:val="004C4CEC"/>
    <w:rsid w:val="004C5936"/>
    <w:rsid w:val="004C5D3C"/>
    <w:rsid w:val="004C6B99"/>
    <w:rsid w:val="004C77F0"/>
    <w:rsid w:val="004C7D92"/>
    <w:rsid w:val="004D0757"/>
    <w:rsid w:val="004D0798"/>
    <w:rsid w:val="004D0A7F"/>
    <w:rsid w:val="004D112D"/>
    <w:rsid w:val="004D11EA"/>
    <w:rsid w:val="004D1A43"/>
    <w:rsid w:val="004D2147"/>
    <w:rsid w:val="004D21D1"/>
    <w:rsid w:val="004D288C"/>
    <w:rsid w:val="004D5110"/>
    <w:rsid w:val="004D53EC"/>
    <w:rsid w:val="004D59AC"/>
    <w:rsid w:val="004D6A1A"/>
    <w:rsid w:val="004D7ACC"/>
    <w:rsid w:val="004E09BF"/>
    <w:rsid w:val="004E1F54"/>
    <w:rsid w:val="004E21B3"/>
    <w:rsid w:val="004E2E1C"/>
    <w:rsid w:val="004E3A05"/>
    <w:rsid w:val="004E3A4C"/>
    <w:rsid w:val="004E4F8B"/>
    <w:rsid w:val="004E5792"/>
    <w:rsid w:val="004E589F"/>
    <w:rsid w:val="004E6B92"/>
    <w:rsid w:val="004E73D1"/>
    <w:rsid w:val="004F0856"/>
    <w:rsid w:val="004F0C61"/>
    <w:rsid w:val="004F1661"/>
    <w:rsid w:val="004F1731"/>
    <w:rsid w:val="004F1E91"/>
    <w:rsid w:val="004F1FAC"/>
    <w:rsid w:val="004F201B"/>
    <w:rsid w:val="004F2871"/>
    <w:rsid w:val="004F2A67"/>
    <w:rsid w:val="004F2AA4"/>
    <w:rsid w:val="004F3F8A"/>
    <w:rsid w:val="004F4289"/>
    <w:rsid w:val="004F441D"/>
    <w:rsid w:val="004F4469"/>
    <w:rsid w:val="004F545E"/>
    <w:rsid w:val="004F5923"/>
    <w:rsid w:val="004F5A04"/>
    <w:rsid w:val="004F5D0F"/>
    <w:rsid w:val="004F5FB8"/>
    <w:rsid w:val="004F62A3"/>
    <w:rsid w:val="004F676E"/>
    <w:rsid w:val="004F69A1"/>
    <w:rsid w:val="004F715F"/>
    <w:rsid w:val="004F77B0"/>
    <w:rsid w:val="005013ED"/>
    <w:rsid w:val="00501D8D"/>
    <w:rsid w:val="00501FEE"/>
    <w:rsid w:val="005021D5"/>
    <w:rsid w:val="00502CB2"/>
    <w:rsid w:val="005043AC"/>
    <w:rsid w:val="00505797"/>
    <w:rsid w:val="0050583E"/>
    <w:rsid w:val="005063FE"/>
    <w:rsid w:val="00506886"/>
    <w:rsid w:val="005104D6"/>
    <w:rsid w:val="0051058F"/>
    <w:rsid w:val="005106D0"/>
    <w:rsid w:val="00511026"/>
    <w:rsid w:val="00511A92"/>
    <w:rsid w:val="0051231A"/>
    <w:rsid w:val="005123D4"/>
    <w:rsid w:val="00514783"/>
    <w:rsid w:val="00514AFA"/>
    <w:rsid w:val="00514D6A"/>
    <w:rsid w:val="00515A2D"/>
    <w:rsid w:val="00516311"/>
    <w:rsid w:val="00516566"/>
    <w:rsid w:val="00516B8D"/>
    <w:rsid w:val="00517528"/>
    <w:rsid w:val="00517A04"/>
    <w:rsid w:val="00520AC5"/>
    <w:rsid w:val="00521D72"/>
    <w:rsid w:val="00521FE1"/>
    <w:rsid w:val="00522048"/>
    <w:rsid w:val="0052204B"/>
    <w:rsid w:val="005222EA"/>
    <w:rsid w:val="0052289E"/>
    <w:rsid w:val="0052308B"/>
    <w:rsid w:val="005236C3"/>
    <w:rsid w:val="00524382"/>
    <w:rsid w:val="00524539"/>
    <w:rsid w:val="00524811"/>
    <w:rsid w:val="005248A9"/>
    <w:rsid w:val="00525124"/>
    <w:rsid w:val="0052540D"/>
    <w:rsid w:val="0052558F"/>
    <w:rsid w:val="00525BF2"/>
    <w:rsid w:val="00525C8C"/>
    <w:rsid w:val="0052686F"/>
    <w:rsid w:val="00526AE9"/>
    <w:rsid w:val="0052756C"/>
    <w:rsid w:val="00530230"/>
    <w:rsid w:val="00530CC9"/>
    <w:rsid w:val="00530F3C"/>
    <w:rsid w:val="0053119C"/>
    <w:rsid w:val="00532275"/>
    <w:rsid w:val="0053233D"/>
    <w:rsid w:val="00532955"/>
    <w:rsid w:val="00533AA4"/>
    <w:rsid w:val="00533C6D"/>
    <w:rsid w:val="00535194"/>
    <w:rsid w:val="005359CC"/>
    <w:rsid w:val="00535CC0"/>
    <w:rsid w:val="00535E62"/>
    <w:rsid w:val="005363D9"/>
    <w:rsid w:val="0053678F"/>
    <w:rsid w:val="005368D1"/>
    <w:rsid w:val="00536B92"/>
    <w:rsid w:val="00537BAF"/>
    <w:rsid w:val="00537FBC"/>
    <w:rsid w:val="005400B2"/>
    <w:rsid w:val="00540271"/>
    <w:rsid w:val="00540C40"/>
    <w:rsid w:val="00540FB4"/>
    <w:rsid w:val="00541848"/>
    <w:rsid w:val="00541D73"/>
    <w:rsid w:val="00541EC4"/>
    <w:rsid w:val="00542966"/>
    <w:rsid w:val="00543469"/>
    <w:rsid w:val="005435DB"/>
    <w:rsid w:val="00543E97"/>
    <w:rsid w:val="005445D6"/>
    <w:rsid w:val="00544615"/>
    <w:rsid w:val="00544A6A"/>
    <w:rsid w:val="005452CB"/>
    <w:rsid w:val="005452CC"/>
    <w:rsid w:val="005455A6"/>
    <w:rsid w:val="00545602"/>
    <w:rsid w:val="00545AC9"/>
    <w:rsid w:val="00546FA3"/>
    <w:rsid w:val="005478DB"/>
    <w:rsid w:val="00550422"/>
    <w:rsid w:val="0055051A"/>
    <w:rsid w:val="005509D1"/>
    <w:rsid w:val="0055121D"/>
    <w:rsid w:val="005532E3"/>
    <w:rsid w:val="00554243"/>
    <w:rsid w:val="0055432A"/>
    <w:rsid w:val="005545E1"/>
    <w:rsid w:val="00554E46"/>
    <w:rsid w:val="00555317"/>
    <w:rsid w:val="00556234"/>
    <w:rsid w:val="005565E8"/>
    <w:rsid w:val="0055674E"/>
    <w:rsid w:val="0055679C"/>
    <w:rsid w:val="0055746F"/>
    <w:rsid w:val="00557A30"/>
    <w:rsid w:val="00557C7A"/>
    <w:rsid w:val="00557E31"/>
    <w:rsid w:val="005601EC"/>
    <w:rsid w:val="00560330"/>
    <w:rsid w:val="005604C9"/>
    <w:rsid w:val="00560D0F"/>
    <w:rsid w:val="00561131"/>
    <w:rsid w:val="00562A58"/>
    <w:rsid w:val="00563375"/>
    <w:rsid w:val="005637FA"/>
    <w:rsid w:val="00564289"/>
    <w:rsid w:val="00564611"/>
    <w:rsid w:val="0056469B"/>
    <w:rsid w:val="00564A57"/>
    <w:rsid w:val="00564D05"/>
    <w:rsid w:val="005670BF"/>
    <w:rsid w:val="0056756D"/>
    <w:rsid w:val="00567C0A"/>
    <w:rsid w:val="005713B9"/>
    <w:rsid w:val="00571643"/>
    <w:rsid w:val="0057180B"/>
    <w:rsid w:val="00571BC1"/>
    <w:rsid w:val="00572633"/>
    <w:rsid w:val="00573494"/>
    <w:rsid w:val="00573F3C"/>
    <w:rsid w:val="005742DB"/>
    <w:rsid w:val="00574773"/>
    <w:rsid w:val="005749CB"/>
    <w:rsid w:val="00574E9B"/>
    <w:rsid w:val="00575368"/>
    <w:rsid w:val="005758C2"/>
    <w:rsid w:val="005761D3"/>
    <w:rsid w:val="00580DE5"/>
    <w:rsid w:val="00581134"/>
    <w:rsid w:val="00581211"/>
    <w:rsid w:val="00581A85"/>
    <w:rsid w:val="005844C8"/>
    <w:rsid w:val="00584811"/>
    <w:rsid w:val="0058570F"/>
    <w:rsid w:val="00585ACE"/>
    <w:rsid w:val="0058611A"/>
    <w:rsid w:val="0058620F"/>
    <w:rsid w:val="0058633D"/>
    <w:rsid w:val="00586507"/>
    <w:rsid w:val="005865F8"/>
    <w:rsid w:val="00586762"/>
    <w:rsid w:val="005867CD"/>
    <w:rsid w:val="00586E92"/>
    <w:rsid w:val="005873FC"/>
    <w:rsid w:val="005879B1"/>
    <w:rsid w:val="005919E6"/>
    <w:rsid w:val="00591EF5"/>
    <w:rsid w:val="00592E96"/>
    <w:rsid w:val="0059305E"/>
    <w:rsid w:val="00593AA6"/>
    <w:rsid w:val="00593B98"/>
    <w:rsid w:val="00594161"/>
    <w:rsid w:val="00594749"/>
    <w:rsid w:val="00594770"/>
    <w:rsid w:val="00594A48"/>
    <w:rsid w:val="0059535C"/>
    <w:rsid w:val="005973C4"/>
    <w:rsid w:val="005976D8"/>
    <w:rsid w:val="00597F2E"/>
    <w:rsid w:val="005A030B"/>
    <w:rsid w:val="005A0B4C"/>
    <w:rsid w:val="005A0BCC"/>
    <w:rsid w:val="005A1443"/>
    <w:rsid w:val="005A1F9D"/>
    <w:rsid w:val="005A23E7"/>
    <w:rsid w:val="005A2420"/>
    <w:rsid w:val="005A3570"/>
    <w:rsid w:val="005A35CE"/>
    <w:rsid w:val="005A3805"/>
    <w:rsid w:val="005A38E2"/>
    <w:rsid w:val="005A3E35"/>
    <w:rsid w:val="005A4691"/>
    <w:rsid w:val="005A482B"/>
    <w:rsid w:val="005A50F2"/>
    <w:rsid w:val="005A6A69"/>
    <w:rsid w:val="005A6F80"/>
    <w:rsid w:val="005A7A4B"/>
    <w:rsid w:val="005B0026"/>
    <w:rsid w:val="005B071C"/>
    <w:rsid w:val="005B0F35"/>
    <w:rsid w:val="005B3A30"/>
    <w:rsid w:val="005B4067"/>
    <w:rsid w:val="005B4413"/>
    <w:rsid w:val="005B4C55"/>
    <w:rsid w:val="005B5021"/>
    <w:rsid w:val="005B5746"/>
    <w:rsid w:val="005B5EBE"/>
    <w:rsid w:val="005B604C"/>
    <w:rsid w:val="005B642D"/>
    <w:rsid w:val="005B7515"/>
    <w:rsid w:val="005B78F3"/>
    <w:rsid w:val="005C02A8"/>
    <w:rsid w:val="005C213A"/>
    <w:rsid w:val="005C2D17"/>
    <w:rsid w:val="005C36E0"/>
    <w:rsid w:val="005C3D2E"/>
    <w:rsid w:val="005C3E64"/>
    <w:rsid w:val="005C3F41"/>
    <w:rsid w:val="005C4690"/>
    <w:rsid w:val="005C490A"/>
    <w:rsid w:val="005C4BAF"/>
    <w:rsid w:val="005C5154"/>
    <w:rsid w:val="005C51E6"/>
    <w:rsid w:val="005C5C1E"/>
    <w:rsid w:val="005C5E73"/>
    <w:rsid w:val="005C76B5"/>
    <w:rsid w:val="005C79EE"/>
    <w:rsid w:val="005D01F3"/>
    <w:rsid w:val="005D062D"/>
    <w:rsid w:val="005D168D"/>
    <w:rsid w:val="005D59DC"/>
    <w:rsid w:val="005D5EA1"/>
    <w:rsid w:val="005D61F3"/>
    <w:rsid w:val="005D69F4"/>
    <w:rsid w:val="005D71F4"/>
    <w:rsid w:val="005E0527"/>
    <w:rsid w:val="005E07ED"/>
    <w:rsid w:val="005E0923"/>
    <w:rsid w:val="005E1E57"/>
    <w:rsid w:val="005E2700"/>
    <w:rsid w:val="005E2A20"/>
    <w:rsid w:val="005E2B84"/>
    <w:rsid w:val="005E2E59"/>
    <w:rsid w:val="005E3829"/>
    <w:rsid w:val="005E3860"/>
    <w:rsid w:val="005E3B0E"/>
    <w:rsid w:val="005E3BFC"/>
    <w:rsid w:val="005E405A"/>
    <w:rsid w:val="005E4D5F"/>
    <w:rsid w:val="005E4FBC"/>
    <w:rsid w:val="005E53C0"/>
    <w:rsid w:val="005E596C"/>
    <w:rsid w:val="005E61A1"/>
    <w:rsid w:val="005E61D3"/>
    <w:rsid w:val="005E734B"/>
    <w:rsid w:val="005F01D1"/>
    <w:rsid w:val="005F0840"/>
    <w:rsid w:val="005F2A0B"/>
    <w:rsid w:val="005F30EB"/>
    <w:rsid w:val="005F3457"/>
    <w:rsid w:val="005F36DE"/>
    <w:rsid w:val="005F3B4D"/>
    <w:rsid w:val="005F4353"/>
    <w:rsid w:val="005F4612"/>
    <w:rsid w:val="005F495D"/>
    <w:rsid w:val="005F4ACA"/>
    <w:rsid w:val="005F4BB6"/>
    <w:rsid w:val="005F4C88"/>
    <w:rsid w:val="005F52C8"/>
    <w:rsid w:val="005F7480"/>
    <w:rsid w:val="005F75B4"/>
    <w:rsid w:val="005F7738"/>
    <w:rsid w:val="005F7758"/>
    <w:rsid w:val="005F77CF"/>
    <w:rsid w:val="00600219"/>
    <w:rsid w:val="006015CF"/>
    <w:rsid w:val="006015FA"/>
    <w:rsid w:val="00601CCC"/>
    <w:rsid w:val="00602687"/>
    <w:rsid w:val="006028D3"/>
    <w:rsid w:val="00602E27"/>
    <w:rsid w:val="00602FE0"/>
    <w:rsid w:val="0060373E"/>
    <w:rsid w:val="00603BF5"/>
    <w:rsid w:val="0060599A"/>
    <w:rsid w:val="00605D71"/>
    <w:rsid w:val="00605FD4"/>
    <w:rsid w:val="00606191"/>
    <w:rsid w:val="00606AFE"/>
    <w:rsid w:val="00607909"/>
    <w:rsid w:val="00607B40"/>
    <w:rsid w:val="00607D8B"/>
    <w:rsid w:val="00610425"/>
    <w:rsid w:val="00610758"/>
    <w:rsid w:val="00610A50"/>
    <w:rsid w:val="00610CEB"/>
    <w:rsid w:val="00610DB8"/>
    <w:rsid w:val="00611AE0"/>
    <w:rsid w:val="00612117"/>
    <w:rsid w:val="006124D7"/>
    <w:rsid w:val="00612ABB"/>
    <w:rsid w:val="00612EE3"/>
    <w:rsid w:val="00613C66"/>
    <w:rsid w:val="00613EAD"/>
    <w:rsid w:val="00614536"/>
    <w:rsid w:val="00614A05"/>
    <w:rsid w:val="00614A58"/>
    <w:rsid w:val="00615883"/>
    <w:rsid w:val="006158AC"/>
    <w:rsid w:val="00616006"/>
    <w:rsid w:val="006173C4"/>
    <w:rsid w:val="0061762A"/>
    <w:rsid w:val="0062047B"/>
    <w:rsid w:val="006206D5"/>
    <w:rsid w:val="00622CB9"/>
    <w:rsid w:val="00623828"/>
    <w:rsid w:val="006242FD"/>
    <w:rsid w:val="00625257"/>
    <w:rsid w:val="006252AC"/>
    <w:rsid w:val="0062561C"/>
    <w:rsid w:val="00625F8D"/>
    <w:rsid w:val="00627F6A"/>
    <w:rsid w:val="00630526"/>
    <w:rsid w:val="0063066A"/>
    <w:rsid w:val="00630A3D"/>
    <w:rsid w:val="00631BF3"/>
    <w:rsid w:val="00631C23"/>
    <w:rsid w:val="006339CE"/>
    <w:rsid w:val="00634FA4"/>
    <w:rsid w:val="00635A1E"/>
    <w:rsid w:val="00635C7D"/>
    <w:rsid w:val="00636A8D"/>
    <w:rsid w:val="00636F5B"/>
    <w:rsid w:val="00637D65"/>
    <w:rsid w:val="00640402"/>
    <w:rsid w:val="00640D73"/>
    <w:rsid w:val="00640DF6"/>
    <w:rsid w:val="00640F78"/>
    <w:rsid w:val="006416EE"/>
    <w:rsid w:val="00641A31"/>
    <w:rsid w:val="006423FA"/>
    <w:rsid w:val="0064273E"/>
    <w:rsid w:val="006429F2"/>
    <w:rsid w:val="006438EA"/>
    <w:rsid w:val="00645D0B"/>
    <w:rsid w:val="00645FE8"/>
    <w:rsid w:val="00646BDD"/>
    <w:rsid w:val="00646E7B"/>
    <w:rsid w:val="00646FA0"/>
    <w:rsid w:val="0064798B"/>
    <w:rsid w:val="0065039A"/>
    <w:rsid w:val="00650863"/>
    <w:rsid w:val="00651468"/>
    <w:rsid w:val="00651629"/>
    <w:rsid w:val="00651FFB"/>
    <w:rsid w:val="0065216A"/>
    <w:rsid w:val="0065332C"/>
    <w:rsid w:val="00654AFF"/>
    <w:rsid w:val="00654EEA"/>
    <w:rsid w:val="00654F2F"/>
    <w:rsid w:val="006559BA"/>
    <w:rsid w:val="00655C4F"/>
    <w:rsid w:val="00655D6A"/>
    <w:rsid w:val="006562FF"/>
    <w:rsid w:val="00656827"/>
    <w:rsid w:val="00656DE9"/>
    <w:rsid w:val="00656EBD"/>
    <w:rsid w:val="0065717F"/>
    <w:rsid w:val="006579A6"/>
    <w:rsid w:val="006602E6"/>
    <w:rsid w:val="00661036"/>
    <w:rsid w:val="00661696"/>
    <w:rsid w:val="00661934"/>
    <w:rsid w:val="00661A49"/>
    <w:rsid w:val="00662370"/>
    <w:rsid w:val="00662436"/>
    <w:rsid w:val="00662D67"/>
    <w:rsid w:val="00662E89"/>
    <w:rsid w:val="00662EF5"/>
    <w:rsid w:val="00664093"/>
    <w:rsid w:val="006642F1"/>
    <w:rsid w:val="006650A5"/>
    <w:rsid w:val="006658F4"/>
    <w:rsid w:val="0066607E"/>
    <w:rsid w:val="006665B1"/>
    <w:rsid w:val="006668BF"/>
    <w:rsid w:val="00666A57"/>
    <w:rsid w:val="00670821"/>
    <w:rsid w:val="00670F70"/>
    <w:rsid w:val="00672026"/>
    <w:rsid w:val="00672118"/>
    <w:rsid w:val="00674163"/>
    <w:rsid w:val="006745D3"/>
    <w:rsid w:val="00674ED7"/>
    <w:rsid w:val="006757DA"/>
    <w:rsid w:val="0067588F"/>
    <w:rsid w:val="0067694F"/>
    <w:rsid w:val="00676E31"/>
    <w:rsid w:val="00677119"/>
    <w:rsid w:val="00677473"/>
    <w:rsid w:val="00677CC2"/>
    <w:rsid w:val="00682A8A"/>
    <w:rsid w:val="00684845"/>
    <w:rsid w:val="006848EA"/>
    <w:rsid w:val="00684E59"/>
    <w:rsid w:val="00685741"/>
    <w:rsid w:val="00685BF7"/>
    <w:rsid w:val="00685F42"/>
    <w:rsid w:val="006866A1"/>
    <w:rsid w:val="00686868"/>
    <w:rsid w:val="0068733B"/>
    <w:rsid w:val="00687617"/>
    <w:rsid w:val="00687B1D"/>
    <w:rsid w:val="00690037"/>
    <w:rsid w:val="00690693"/>
    <w:rsid w:val="00690A2C"/>
    <w:rsid w:val="006911E9"/>
    <w:rsid w:val="006916D5"/>
    <w:rsid w:val="0069207B"/>
    <w:rsid w:val="006920EA"/>
    <w:rsid w:val="006925FD"/>
    <w:rsid w:val="006933CB"/>
    <w:rsid w:val="0069400C"/>
    <w:rsid w:val="006943C0"/>
    <w:rsid w:val="00695955"/>
    <w:rsid w:val="00696303"/>
    <w:rsid w:val="00696635"/>
    <w:rsid w:val="006A028E"/>
    <w:rsid w:val="006A0899"/>
    <w:rsid w:val="006A1634"/>
    <w:rsid w:val="006A1645"/>
    <w:rsid w:val="006A17B7"/>
    <w:rsid w:val="006A1E5F"/>
    <w:rsid w:val="006A292F"/>
    <w:rsid w:val="006A3698"/>
    <w:rsid w:val="006A37C6"/>
    <w:rsid w:val="006A3AB7"/>
    <w:rsid w:val="006A3F96"/>
    <w:rsid w:val="006A4309"/>
    <w:rsid w:val="006A44DB"/>
    <w:rsid w:val="006A5125"/>
    <w:rsid w:val="006A535E"/>
    <w:rsid w:val="006A5BCC"/>
    <w:rsid w:val="006A6D0C"/>
    <w:rsid w:val="006A6DF7"/>
    <w:rsid w:val="006A6EFF"/>
    <w:rsid w:val="006A7F0B"/>
    <w:rsid w:val="006B182A"/>
    <w:rsid w:val="006B210B"/>
    <w:rsid w:val="006B21FB"/>
    <w:rsid w:val="006B22CD"/>
    <w:rsid w:val="006B2619"/>
    <w:rsid w:val="006B2F28"/>
    <w:rsid w:val="006B3B80"/>
    <w:rsid w:val="006B41CC"/>
    <w:rsid w:val="006B4354"/>
    <w:rsid w:val="006B4915"/>
    <w:rsid w:val="006B4B0E"/>
    <w:rsid w:val="006B57E2"/>
    <w:rsid w:val="006B67F5"/>
    <w:rsid w:val="006B69FE"/>
    <w:rsid w:val="006B6EA5"/>
    <w:rsid w:val="006B7006"/>
    <w:rsid w:val="006B73E1"/>
    <w:rsid w:val="006B7481"/>
    <w:rsid w:val="006C03E7"/>
    <w:rsid w:val="006C0967"/>
    <w:rsid w:val="006C09D5"/>
    <w:rsid w:val="006C09E8"/>
    <w:rsid w:val="006C1122"/>
    <w:rsid w:val="006C1220"/>
    <w:rsid w:val="006C1281"/>
    <w:rsid w:val="006C3BE7"/>
    <w:rsid w:val="006C3CEC"/>
    <w:rsid w:val="006C44F9"/>
    <w:rsid w:val="006C5C2F"/>
    <w:rsid w:val="006C7A22"/>
    <w:rsid w:val="006C7F8C"/>
    <w:rsid w:val="006D0C49"/>
    <w:rsid w:val="006D2595"/>
    <w:rsid w:val="006D2C6B"/>
    <w:rsid w:val="006D3182"/>
    <w:rsid w:val="006D46B5"/>
    <w:rsid w:val="006D67F5"/>
    <w:rsid w:val="006D6F5F"/>
    <w:rsid w:val="006D7AB9"/>
    <w:rsid w:val="006E01C2"/>
    <w:rsid w:val="006E0597"/>
    <w:rsid w:val="006E0980"/>
    <w:rsid w:val="006E0A99"/>
    <w:rsid w:val="006E20E9"/>
    <w:rsid w:val="006E2151"/>
    <w:rsid w:val="006E360C"/>
    <w:rsid w:val="006E6061"/>
    <w:rsid w:val="006E636A"/>
    <w:rsid w:val="006E6D10"/>
    <w:rsid w:val="006E70A7"/>
    <w:rsid w:val="006E72E7"/>
    <w:rsid w:val="006E76B9"/>
    <w:rsid w:val="006F1166"/>
    <w:rsid w:val="006F1362"/>
    <w:rsid w:val="006F153D"/>
    <w:rsid w:val="006F1BEC"/>
    <w:rsid w:val="006F1E41"/>
    <w:rsid w:val="006F368D"/>
    <w:rsid w:val="006F384D"/>
    <w:rsid w:val="006F4751"/>
    <w:rsid w:val="006F4CEB"/>
    <w:rsid w:val="006F5307"/>
    <w:rsid w:val="006F53FC"/>
    <w:rsid w:val="006F542D"/>
    <w:rsid w:val="006F544E"/>
    <w:rsid w:val="006F5497"/>
    <w:rsid w:val="006F567D"/>
    <w:rsid w:val="006F590D"/>
    <w:rsid w:val="006F5C9F"/>
    <w:rsid w:val="006F6A32"/>
    <w:rsid w:val="007008BE"/>
    <w:rsid w:val="00700B2C"/>
    <w:rsid w:val="00700BE7"/>
    <w:rsid w:val="00701130"/>
    <w:rsid w:val="00703653"/>
    <w:rsid w:val="007041ED"/>
    <w:rsid w:val="007048B1"/>
    <w:rsid w:val="00704E58"/>
    <w:rsid w:val="0070541E"/>
    <w:rsid w:val="00705B36"/>
    <w:rsid w:val="007061EF"/>
    <w:rsid w:val="0070653C"/>
    <w:rsid w:val="00707052"/>
    <w:rsid w:val="007077BE"/>
    <w:rsid w:val="00707886"/>
    <w:rsid w:val="00707998"/>
    <w:rsid w:val="00707A54"/>
    <w:rsid w:val="007107A4"/>
    <w:rsid w:val="0071126D"/>
    <w:rsid w:val="007116A4"/>
    <w:rsid w:val="00712506"/>
    <w:rsid w:val="00713084"/>
    <w:rsid w:val="0071346F"/>
    <w:rsid w:val="007139A2"/>
    <w:rsid w:val="00714C2F"/>
    <w:rsid w:val="00715C8C"/>
    <w:rsid w:val="007161BF"/>
    <w:rsid w:val="00717E47"/>
    <w:rsid w:val="0072068A"/>
    <w:rsid w:val="007206A8"/>
    <w:rsid w:val="00720F9E"/>
    <w:rsid w:val="00720FC2"/>
    <w:rsid w:val="007211AF"/>
    <w:rsid w:val="00722027"/>
    <w:rsid w:val="007220D5"/>
    <w:rsid w:val="00722678"/>
    <w:rsid w:val="0072279E"/>
    <w:rsid w:val="00722A42"/>
    <w:rsid w:val="00723762"/>
    <w:rsid w:val="00723C0D"/>
    <w:rsid w:val="007240B4"/>
    <w:rsid w:val="007240BF"/>
    <w:rsid w:val="00724530"/>
    <w:rsid w:val="007255C7"/>
    <w:rsid w:val="0072582F"/>
    <w:rsid w:val="0072596A"/>
    <w:rsid w:val="00725F61"/>
    <w:rsid w:val="0072607F"/>
    <w:rsid w:val="007262F6"/>
    <w:rsid w:val="00726FE0"/>
    <w:rsid w:val="0072758F"/>
    <w:rsid w:val="007278ED"/>
    <w:rsid w:val="00727A91"/>
    <w:rsid w:val="00731008"/>
    <w:rsid w:val="007310A2"/>
    <w:rsid w:val="00731400"/>
    <w:rsid w:val="0073187B"/>
    <w:rsid w:val="00731AA9"/>
    <w:rsid w:val="00731E00"/>
    <w:rsid w:val="0073289E"/>
    <w:rsid w:val="00732A3E"/>
    <w:rsid w:val="00732CFE"/>
    <w:rsid w:val="00732E9D"/>
    <w:rsid w:val="00733E4D"/>
    <w:rsid w:val="00734125"/>
    <w:rsid w:val="0073443C"/>
    <w:rsid w:val="0073491A"/>
    <w:rsid w:val="0073504A"/>
    <w:rsid w:val="00736CD7"/>
    <w:rsid w:val="00736EDC"/>
    <w:rsid w:val="00736F08"/>
    <w:rsid w:val="00737D2B"/>
    <w:rsid w:val="0074037D"/>
    <w:rsid w:val="00740497"/>
    <w:rsid w:val="0074180A"/>
    <w:rsid w:val="007418B4"/>
    <w:rsid w:val="00741AA7"/>
    <w:rsid w:val="00742166"/>
    <w:rsid w:val="00743012"/>
    <w:rsid w:val="007434A9"/>
    <w:rsid w:val="00744059"/>
    <w:rsid w:val="007440B7"/>
    <w:rsid w:val="0074441C"/>
    <w:rsid w:val="00744782"/>
    <w:rsid w:val="00744910"/>
    <w:rsid w:val="00744B5B"/>
    <w:rsid w:val="00744D2D"/>
    <w:rsid w:val="00744E87"/>
    <w:rsid w:val="007450D0"/>
    <w:rsid w:val="00745AB6"/>
    <w:rsid w:val="00746FC8"/>
    <w:rsid w:val="00746FE1"/>
    <w:rsid w:val="00747808"/>
    <w:rsid w:val="00747993"/>
    <w:rsid w:val="0075097E"/>
    <w:rsid w:val="00751109"/>
    <w:rsid w:val="00751689"/>
    <w:rsid w:val="00751E3A"/>
    <w:rsid w:val="00752422"/>
    <w:rsid w:val="0075397B"/>
    <w:rsid w:val="00753FB8"/>
    <w:rsid w:val="00754C45"/>
    <w:rsid w:val="00754D7E"/>
    <w:rsid w:val="00754F91"/>
    <w:rsid w:val="007558B8"/>
    <w:rsid w:val="00755902"/>
    <w:rsid w:val="0076065C"/>
    <w:rsid w:val="007607D3"/>
    <w:rsid w:val="0076083A"/>
    <w:rsid w:val="007610C3"/>
    <w:rsid w:val="0076176C"/>
    <w:rsid w:val="00761D1E"/>
    <w:rsid w:val="00762111"/>
    <w:rsid w:val="007625BD"/>
    <w:rsid w:val="00762EA6"/>
    <w:rsid w:val="007634AD"/>
    <w:rsid w:val="00763953"/>
    <w:rsid w:val="00763E38"/>
    <w:rsid w:val="00763E52"/>
    <w:rsid w:val="00764A66"/>
    <w:rsid w:val="00764B02"/>
    <w:rsid w:val="00765398"/>
    <w:rsid w:val="007658E4"/>
    <w:rsid w:val="00765A14"/>
    <w:rsid w:val="00766345"/>
    <w:rsid w:val="007671C1"/>
    <w:rsid w:val="00767839"/>
    <w:rsid w:val="007708C1"/>
    <w:rsid w:val="007715C9"/>
    <w:rsid w:val="00771BB2"/>
    <w:rsid w:val="00772DA3"/>
    <w:rsid w:val="00774668"/>
    <w:rsid w:val="0077484D"/>
    <w:rsid w:val="00774C3D"/>
    <w:rsid w:val="00774EDD"/>
    <w:rsid w:val="00775462"/>
    <w:rsid w:val="007757EC"/>
    <w:rsid w:val="00776038"/>
    <w:rsid w:val="00776857"/>
    <w:rsid w:val="00776B5E"/>
    <w:rsid w:val="00776BC4"/>
    <w:rsid w:val="007773AF"/>
    <w:rsid w:val="00777483"/>
    <w:rsid w:val="00777970"/>
    <w:rsid w:val="00777FCC"/>
    <w:rsid w:val="007807B9"/>
    <w:rsid w:val="00780F7B"/>
    <w:rsid w:val="00781997"/>
    <w:rsid w:val="00781C98"/>
    <w:rsid w:val="00781DA5"/>
    <w:rsid w:val="00782021"/>
    <w:rsid w:val="00782354"/>
    <w:rsid w:val="007823A2"/>
    <w:rsid w:val="007823F8"/>
    <w:rsid w:val="0078304A"/>
    <w:rsid w:val="00783178"/>
    <w:rsid w:val="00783A0C"/>
    <w:rsid w:val="00784793"/>
    <w:rsid w:val="00784B00"/>
    <w:rsid w:val="00784B35"/>
    <w:rsid w:val="00786C26"/>
    <w:rsid w:val="00786F13"/>
    <w:rsid w:val="00787292"/>
    <w:rsid w:val="00787AF9"/>
    <w:rsid w:val="00787DE7"/>
    <w:rsid w:val="0079017D"/>
    <w:rsid w:val="007916F8"/>
    <w:rsid w:val="00791C09"/>
    <w:rsid w:val="00791DD6"/>
    <w:rsid w:val="007927E1"/>
    <w:rsid w:val="007928FC"/>
    <w:rsid w:val="00792E2C"/>
    <w:rsid w:val="00793B7E"/>
    <w:rsid w:val="00794531"/>
    <w:rsid w:val="007951BD"/>
    <w:rsid w:val="0079525A"/>
    <w:rsid w:val="00796649"/>
    <w:rsid w:val="00796CA7"/>
    <w:rsid w:val="00796F39"/>
    <w:rsid w:val="0079717E"/>
    <w:rsid w:val="00797C1C"/>
    <w:rsid w:val="007A0AB8"/>
    <w:rsid w:val="007A1651"/>
    <w:rsid w:val="007A35E6"/>
    <w:rsid w:val="007A4838"/>
    <w:rsid w:val="007A5226"/>
    <w:rsid w:val="007A56AD"/>
    <w:rsid w:val="007A6834"/>
    <w:rsid w:val="007A6863"/>
    <w:rsid w:val="007A6AFF"/>
    <w:rsid w:val="007A6FE8"/>
    <w:rsid w:val="007A7145"/>
    <w:rsid w:val="007A77FA"/>
    <w:rsid w:val="007A7A57"/>
    <w:rsid w:val="007B0D00"/>
    <w:rsid w:val="007B0F61"/>
    <w:rsid w:val="007B10CB"/>
    <w:rsid w:val="007B1A6E"/>
    <w:rsid w:val="007B208F"/>
    <w:rsid w:val="007B2484"/>
    <w:rsid w:val="007B2722"/>
    <w:rsid w:val="007B27BC"/>
    <w:rsid w:val="007B4E76"/>
    <w:rsid w:val="007B5064"/>
    <w:rsid w:val="007B5BF5"/>
    <w:rsid w:val="007B5CA1"/>
    <w:rsid w:val="007B5E9F"/>
    <w:rsid w:val="007B6B46"/>
    <w:rsid w:val="007B6C4B"/>
    <w:rsid w:val="007B749B"/>
    <w:rsid w:val="007B7BF3"/>
    <w:rsid w:val="007C08B3"/>
    <w:rsid w:val="007C0BBB"/>
    <w:rsid w:val="007C1783"/>
    <w:rsid w:val="007C1EAF"/>
    <w:rsid w:val="007C3B3C"/>
    <w:rsid w:val="007C4D6D"/>
    <w:rsid w:val="007C5875"/>
    <w:rsid w:val="007C5896"/>
    <w:rsid w:val="007C6637"/>
    <w:rsid w:val="007C7B8A"/>
    <w:rsid w:val="007D03FB"/>
    <w:rsid w:val="007D0FCE"/>
    <w:rsid w:val="007D1BD0"/>
    <w:rsid w:val="007D1CE8"/>
    <w:rsid w:val="007D2639"/>
    <w:rsid w:val="007D266E"/>
    <w:rsid w:val="007D302E"/>
    <w:rsid w:val="007D3DE5"/>
    <w:rsid w:val="007D4494"/>
    <w:rsid w:val="007D45AE"/>
    <w:rsid w:val="007D45C1"/>
    <w:rsid w:val="007D47BE"/>
    <w:rsid w:val="007D4E98"/>
    <w:rsid w:val="007D4FAB"/>
    <w:rsid w:val="007D511D"/>
    <w:rsid w:val="007D6302"/>
    <w:rsid w:val="007D6390"/>
    <w:rsid w:val="007D6AF1"/>
    <w:rsid w:val="007D6F64"/>
    <w:rsid w:val="007D7632"/>
    <w:rsid w:val="007D78BC"/>
    <w:rsid w:val="007D7956"/>
    <w:rsid w:val="007D7C25"/>
    <w:rsid w:val="007D7FC9"/>
    <w:rsid w:val="007E00A9"/>
    <w:rsid w:val="007E00E0"/>
    <w:rsid w:val="007E066B"/>
    <w:rsid w:val="007E2897"/>
    <w:rsid w:val="007E2A76"/>
    <w:rsid w:val="007E30BC"/>
    <w:rsid w:val="007E440C"/>
    <w:rsid w:val="007E46B2"/>
    <w:rsid w:val="007E6055"/>
    <w:rsid w:val="007E6599"/>
    <w:rsid w:val="007E69AC"/>
    <w:rsid w:val="007E6AF6"/>
    <w:rsid w:val="007E7899"/>
    <w:rsid w:val="007E7D4A"/>
    <w:rsid w:val="007F195C"/>
    <w:rsid w:val="007F229C"/>
    <w:rsid w:val="007F2379"/>
    <w:rsid w:val="007F2AF0"/>
    <w:rsid w:val="007F3339"/>
    <w:rsid w:val="007F3371"/>
    <w:rsid w:val="007F38CB"/>
    <w:rsid w:val="007F3F33"/>
    <w:rsid w:val="007F42CC"/>
    <w:rsid w:val="007F48ED"/>
    <w:rsid w:val="007F4BFB"/>
    <w:rsid w:val="007F4D61"/>
    <w:rsid w:val="007F5BFE"/>
    <w:rsid w:val="007F67F6"/>
    <w:rsid w:val="007F6BE3"/>
    <w:rsid w:val="007F6D09"/>
    <w:rsid w:val="007F735A"/>
    <w:rsid w:val="007F789D"/>
    <w:rsid w:val="007F7947"/>
    <w:rsid w:val="007F7BE5"/>
    <w:rsid w:val="00800B79"/>
    <w:rsid w:val="0080215B"/>
    <w:rsid w:val="00804207"/>
    <w:rsid w:val="00804800"/>
    <w:rsid w:val="00804E59"/>
    <w:rsid w:val="00804F1D"/>
    <w:rsid w:val="00806661"/>
    <w:rsid w:val="00806E4E"/>
    <w:rsid w:val="00807430"/>
    <w:rsid w:val="0080786E"/>
    <w:rsid w:val="00807D5F"/>
    <w:rsid w:val="0081013D"/>
    <w:rsid w:val="008105A0"/>
    <w:rsid w:val="00810D89"/>
    <w:rsid w:val="00812F45"/>
    <w:rsid w:val="0081333A"/>
    <w:rsid w:val="008137F4"/>
    <w:rsid w:val="008149D8"/>
    <w:rsid w:val="00815D9C"/>
    <w:rsid w:val="00816E77"/>
    <w:rsid w:val="008177A6"/>
    <w:rsid w:val="008204C2"/>
    <w:rsid w:val="008208CA"/>
    <w:rsid w:val="00820A4F"/>
    <w:rsid w:val="00820CB9"/>
    <w:rsid w:val="00821022"/>
    <w:rsid w:val="0082141C"/>
    <w:rsid w:val="00821815"/>
    <w:rsid w:val="00822324"/>
    <w:rsid w:val="00823AAF"/>
    <w:rsid w:val="00823BC1"/>
    <w:rsid w:val="008242CD"/>
    <w:rsid w:val="00824D2D"/>
    <w:rsid w:val="008250D5"/>
    <w:rsid w:val="0082519D"/>
    <w:rsid w:val="00825976"/>
    <w:rsid w:val="00826196"/>
    <w:rsid w:val="008267C0"/>
    <w:rsid w:val="00826828"/>
    <w:rsid w:val="008269C9"/>
    <w:rsid w:val="00827D99"/>
    <w:rsid w:val="0083073D"/>
    <w:rsid w:val="008309B5"/>
    <w:rsid w:val="00830EF6"/>
    <w:rsid w:val="00831C53"/>
    <w:rsid w:val="00831EB8"/>
    <w:rsid w:val="00832A97"/>
    <w:rsid w:val="008344CF"/>
    <w:rsid w:val="00835CD8"/>
    <w:rsid w:val="00835D6C"/>
    <w:rsid w:val="00835D8E"/>
    <w:rsid w:val="00836419"/>
    <w:rsid w:val="00836482"/>
    <w:rsid w:val="00836A2A"/>
    <w:rsid w:val="00836D49"/>
    <w:rsid w:val="008371FF"/>
    <w:rsid w:val="00837B59"/>
    <w:rsid w:val="008400A9"/>
    <w:rsid w:val="00840914"/>
    <w:rsid w:val="00840BE4"/>
    <w:rsid w:val="00840C1E"/>
    <w:rsid w:val="00840D4E"/>
    <w:rsid w:val="00840E9A"/>
    <w:rsid w:val="0084172C"/>
    <w:rsid w:val="008419BE"/>
    <w:rsid w:val="008419C7"/>
    <w:rsid w:val="008425AA"/>
    <w:rsid w:val="008426D3"/>
    <w:rsid w:val="00842B63"/>
    <w:rsid w:val="0084321C"/>
    <w:rsid w:val="00843404"/>
    <w:rsid w:val="00843D29"/>
    <w:rsid w:val="0084476E"/>
    <w:rsid w:val="00845F19"/>
    <w:rsid w:val="00845FBB"/>
    <w:rsid w:val="008463FA"/>
    <w:rsid w:val="00846569"/>
    <w:rsid w:val="00846991"/>
    <w:rsid w:val="00846A0A"/>
    <w:rsid w:val="00846A5E"/>
    <w:rsid w:val="00846D7C"/>
    <w:rsid w:val="0084705B"/>
    <w:rsid w:val="0084705D"/>
    <w:rsid w:val="0084775E"/>
    <w:rsid w:val="00850E85"/>
    <w:rsid w:val="008520F1"/>
    <w:rsid w:val="008523D3"/>
    <w:rsid w:val="00852932"/>
    <w:rsid w:val="008558F4"/>
    <w:rsid w:val="00855DC8"/>
    <w:rsid w:val="008566DC"/>
    <w:rsid w:val="00856A31"/>
    <w:rsid w:val="0085755B"/>
    <w:rsid w:val="00857940"/>
    <w:rsid w:val="00857DFF"/>
    <w:rsid w:val="00857FA6"/>
    <w:rsid w:val="00860277"/>
    <w:rsid w:val="00860C17"/>
    <w:rsid w:val="0086159A"/>
    <w:rsid w:val="00861775"/>
    <w:rsid w:val="00861C9B"/>
    <w:rsid w:val="008626F3"/>
    <w:rsid w:val="00862FDA"/>
    <w:rsid w:val="00863A35"/>
    <w:rsid w:val="00864442"/>
    <w:rsid w:val="00864643"/>
    <w:rsid w:val="008647C2"/>
    <w:rsid w:val="00864F43"/>
    <w:rsid w:val="008652BB"/>
    <w:rsid w:val="00865676"/>
    <w:rsid w:val="008663B8"/>
    <w:rsid w:val="00866C3C"/>
    <w:rsid w:val="00866E72"/>
    <w:rsid w:val="008677C2"/>
    <w:rsid w:val="00867E13"/>
    <w:rsid w:val="00870256"/>
    <w:rsid w:val="008707DC"/>
    <w:rsid w:val="00870DD5"/>
    <w:rsid w:val="00870F8D"/>
    <w:rsid w:val="008710A8"/>
    <w:rsid w:val="0087264D"/>
    <w:rsid w:val="00872DE0"/>
    <w:rsid w:val="00873BBA"/>
    <w:rsid w:val="008754D0"/>
    <w:rsid w:val="00876940"/>
    <w:rsid w:val="00876F8C"/>
    <w:rsid w:val="008773D5"/>
    <w:rsid w:val="00877D48"/>
    <w:rsid w:val="008809F0"/>
    <w:rsid w:val="00880A30"/>
    <w:rsid w:val="00882987"/>
    <w:rsid w:val="00882C2F"/>
    <w:rsid w:val="0088345B"/>
    <w:rsid w:val="008837DF"/>
    <w:rsid w:val="00883940"/>
    <w:rsid w:val="008842BF"/>
    <w:rsid w:val="00884BF9"/>
    <w:rsid w:val="00884C23"/>
    <w:rsid w:val="00885253"/>
    <w:rsid w:val="00885538"/>
    <w:rsid w:val="00886199"/>
    <w:rsid w:val="008863AD"/>
    <w:rsid w:val="0088665F"/>
    <w:rsid w:val="0088706E"/>
    <w:rsid w:val="00891151"/>
    <w:rsid w:val="008914DC"/>
    <w:rsid w:val="0089216C"/>
    <w:rsid w:val="0089280E"/>
    <w:rsid w:val="00892AE5"/>
    <w:rsid w:val="008933BD"/>
    <w:rsid w:val="0089381D"/>
    <w:rsid w:val="00894BDB"/>
    <w:rsid w:val="00894C67"/>
    <w:rsid w:val="008961CC"/>
    <w:rsid w:val="008964B3"/>
    <w:rsid w:val="00896CA4"/>
    <w:rsid w:val="00897B12"/>
    <w:rsid w:val="008A04E2"/>
    <w:rsid w:val="008A11BF"/>
    <w:rsid w:val="008A14CA"/>
    <w:rsid w:val="008A16A5"/>
    <w:rsid w:val="008A1B66"/>
    <w:rsid w:val="008A221B"/>
    <w:rsid w:val="008A253B"/>
    <w:rsid w:val="008A27F2"/>
    <w:rsid w:val="008A29B5"/>
    <w:rsid w:val="008A3436"/>
    <w:rsid w:val="008A4DF8"/>
    <w:rsid w:val="008A4EE2"/>
    <w:rsid w:val="008A500A"/>
    <w:rsid w:val="008A575D"/>
    <w:rsid w:val="008A5C09"/>
    <w:rsid w:val="008A626B"/>
    <w:rsid w:val="008A6598"/>
    <w:rsid w:val="008A6AFD"/>
    <w:rsid w:val="008A6CC6"/>
    <w:rsid w:val="008A6F3B"/>
    <w:rsid w:val="008A79AD"/>
    <w:rsid w:val="008B1739"/>
    <w:rsid w:val="008B39BD"/>
    <w:rsid w:val="008B3E9F"/>
    <w:rsid w:val="008B402D"/>
    <w:rsid w:val="008B40E2"/>
    <w:rsid w:val="008B4847"/>
    <w:rsid w:val="008B535A"/>
    <w:rsid w:val="008B6771"/>
    <w:rsid w:val="008B73B9"/>
    <w:rsid w:val="008C0357"/>
    <w:rsid w:val="008C0497"/>
    <w:rsid w:val="008C0B7C"/>
    <w:rsid w:val="008C17CC"/>
    <w:rsid w:val="008C181A"/>
    <w:rsid w:val="008C2385"/>
    <w:rsid w:val="008C241B"/>
    <w:rsid w:val="008C29DE"/>
    <w:rsid w:val="008C2B5D"/>
    <w:rsid w:val="008C3124"/>
    <w:rsid w:val="008C3B20"/>
    <w:rsid w:val="008C4586"/>
    <w:rsid w:val="008C5576"/>
    <w:rsid w:val="008C616A"/>
    <w:rsid w:val="008C68F1"/>
    <w:rsid w:val="008C6CBE"/>
    <w:rsid w:val="008D00B4"/>
    <w:rsid w:val="008D0EE0"/>
    <w:rsid w:val="008D1892"/>
    <w:rsid w:val="008D1B45"/>
    <w:rsid w:val="008D225D"/>
    <w:rsid w:val="008D2319"/>
    <w:rsid w:val="008D3A6F"/>
    <w:rsid w:val="008D4071"/>
    <w:rsid w:val="008D4806"/>
    <w:rsid w:val="008D490C"/>
    <w:rsid w:val="008D4D66"/>
    <w:rsid w:val="008D5774"/>
    <w:rsid w:val="008D5B14"/>
    <w:rsid w:val="008D5B99"/>
    <w:rsid w:val="008D603A"/>
    <w:rsid w:val="008D606B"/>
    <w:rsid w:val="008D7363"/>
    <w:rsid w:val="008D7691"/>
    <w:rsid w:val="008D7A27"/>
    <w:rsid w:val="008E122F"/>
    <w:rsid w:val="008E13A4"/>
    <w:rsid w:val="008E1968"/>
    <w:rsid w:val="008E1DBB"/>
    <w:rsid w:val="008E2A42"/>
    <w:rsid w:val="008E2E70"/>
    <w:rsid w:val="008E35DD"/>
    <w:rsid w:val="008E3D11"/>
    <w:rsid w:val="008E4702"/>
    <w:rsid w:val="008E4AD4"/>
    <w:rsid w:val="008E4D3A"/>
    <w:rsid w:val="008E52FC"/>
    <w:rsid w:val="008E56BB"/>
    <w:rsid w:val="008E5715"/>
    <w:rsid w:val="008E5760"/>
    <w:rsid w:val="008E69AA"/>
    <w:rsid w:val="008E6DD8"/>
    <w:rsid w:val="008E7D28"/>
    <w:rsid w:val="008F0140"/>
    <w:rsid w:val="008F0477"/>
    <w:rsid w:val="008F0B43"/>
    <w:rsid w:val="008F0B51"/>
    <w:rsid w:val="008F1E85"/>
    <w:rsid w:val="008F1F14"/>
    <w:rsid w:val="008F2814"/>
    <w:rsid w:val="008F2EA5"/>
    <w:rsid w:val="008F3C05"/>
    <w:rsid w:val="008F4F1C"/>
    <w:rsid w:val="008F58A9"/>
    <w:rsid w:val="008F68E7"/>
    <w:rsid w:val="008F7613"/>
    <w:rsid w:val="009005C9"/>
    <w:rsid w:val="00900FDB"/>
    <w:rsid w:val="00902020"/>
    <w:rsid w:val="009036C5"/>
    <w:rsid w:val="00904168"/>
    <w:rsid w:val="009048EF"/>
    <w:rsid w:val="00904F5A"/>
    <w:rsid w:val="00906061"/>
    <w:rsid w:val="00906837"/>
    <w:rsid w:val="00906D76"/>
    <w:rsid w:val="009105B6"/>
    <w:rsid w:val="00911868"/>
    <w:rsid w:val="00911EC7"/>
    <w:rsid w:val="00912894"/>
    <w:rsid w:val="009134C1"/>
    <w:rsid w:val="00913EF3"/>
    <w:rsid w:val="009140CB"/>
    <w:rsid w:val="0091441D"/>
    <w:rsid w:val="0091448F"/>
    <w:rsid w:val="0091515F"/>
    <w:rsid w:val="009162DF"/>
    <w:rsid w:val="00920B71"/>
    <w:rsid w:val="00920DAB"/>
    <w:rsid w:val="00921368"/>
    <w:rsid w:val="00921D28"/>
    <w:rsid w:val="00921EF8"/>
    <w:rsid w:val="00922219"/>
    <w:rsid w:val="00922428"/>
    <w:rsid w:val="00922764"/>
    <w:rsid w:val="00922C57"/>
    <w:rsid w:val="009230A6"/>
    <w:rsid w:val="00923C64"/>
    <w:rsid w:val="00923F35"/>
    <w:rsid w:val="00924D9F"/>
    <w:rsid w:val="00925D08"/>
    <w:rsid w:val="00925E5F"/>
    <w:rsid w:val="009267C2"/>
    <w:rsid w:val="00927040"/>
    <w:rsid w:val="00927588"/>
    <w:rsid w:val="0092788C"/>
    <w:rsid w:val="00930D89"/>
    <w:rsid w:val="009312E0"/>
    <w:rsid w:val="0093143C"/>
    <w:rsid w:val="0093170B"/>
    <w:rsid w:val="00931D6F"/>
    <w:rsid w:val="00931D83"/>
    <w:rsid w:val="00932173"/>
    <w:rsid w:val="00932377"/>
    <w:rsid w:val="00934E4F"/>
    <w:rsid w:val="009350ED"/>
    <w:rsid w:val="00935A83"/>
    <w:rsid w:val="00935E24"/>
    <w:rsid w:val="00937927"/>
    <w:rsid w:val="00937BBA"/>
    <w:rsid w:val="00937D3B"/>
    <w:rsid w:val="0094053A"/>
    <w:rsid w:val="009406C0"/>
    <w:rsid w:val="00940D21"/>
    <w:rsid w:val="0094116B"/>
    <w:rsid w:val="00941354"/>
    <w:rsid w:val="0094143F"/>
    <w:rsid w:val="00942D34"/>
    <w:rsid w:val="00943040"/>
    <w:rsid w:val="00943102"/>
    <w:rsid w:val="0094315D"/>
    <w:rsid w:val="00943652"/>
    <w:rsid w:val="00944F73"/>
    <w:rsid w:val="0094523D"/>
    <w:rsid w:val="00946672"/>
    <w:rsid w:val="00947116"/>
    <w:rsid w:val="009471F7"/>
    <w:rsid w:val="0095109C"/>
    <w:rsid w:val="00952D33"/>
    <w:rsid w:val="009534C1"/>
    <w:rsid w:val="009536E7"/>
    <w:rsid w:val="0095384D"/>
    <w:rsid w:val="009542B0"/>
    <w:rsid w:val="00954306"/>
    <w:rsid w:val="00955927"/>
    <w:rsid w:val="009559E6"/>
    <w:rsid w:val="00955A99"/>
    <w:rsid w:val="00955EDC"/>
    <w:rsid w:val="00956499"/>
    <w:rsid w:val="009576D7"/>
    <w:rsid w:val="00957E7C"/>
    <w:rsid w:val="0096099E"/>
    <w:rsid w:val="00960A79"/>
    <w:rsid w:val="009621B0"/>
    <w:rsid w:val="00963901"/>
    <w:rsid w:val="00963F54"/>
    <w:rsid w:val="00964F43"/>
    <w:rsid w:val="00964F7E"/>
    <w:rsid w:val="009656F5"/>
    <w:rsid w:val="0097038A"/>
    <w:rsid w:val="009708C5"/>
    <w:rsid w:val="00971799"/>
    <w:rsid w:val="0097297A"/>
    <w:rsid w:val="00973E68"/>
    <w:rsid w:val="00974AF0"/>
    <w:rsid w:val="00974B2D"/>
    <w:rsid w:val="00974BF6"/>
    <w:rsid w:val="00975DFC"/>
    <w:rsid w:val="00975E67"/>
    <w:rsid w:val="00975EAA"/>
    <w:rsid w:val="0097651B"/>
    <w:rsid w:val="009769F5"/>
    <w:rsid w:val="00976A63"/>
    <w:rsid w:val="00976C5F"/>
    <w:rsid w:val="00977E27"/>
    <w:rsid w:val="00980018"/>
    <w:rsid w:val="009804BE"/>
    <w:rsid w:val="00980B18"/>
    <w:rsid w:val="009817E5"/>
    <w:rsid w:val="00981969"/>
    <w:rsid w:val="009819DA"/>
    <w:rsid w:val="0098292B"/>
    <w:rsid w:val="00982D58"/>
    <w:rsid w:val="0098320C"/>
    <w:rsid w:val="00983419"/>
    <w:rsid w:val="009839A3"/>
    <w:rsid w:val="00984660"/>
    <w:rsid w:val="00984A98"/>
    <w:rsid w:val="00984BFA"/>
    <w:rsid w:val="009852ED"/>
    <w:rsid w:val="0098577C"/>
    <w:rsid w:val="0098588D"/>
    <w:rsid w:val="00985C9D"/>
    <w:rsid w:val="00985DB5"/>
    <w:rsid w:val="009873E6"/>
    <w:rsid w:val="00987BE9"/>
    <w:rsid w:val="0099030A"/>
    <w:rsid w:val="009911C1"/>
    <w:rsid w:val="00991226"/>
    <w:rsid w:val="00991929"/>
    <w:rsid w:val="00991E19"/>
    <w:rsid w:val="00991F36"/>
    <w:rsid w:val="0099234E"/>
    <w:rsid w:val="009923DA"/>
    <w:rsid w:val="00992D60"/>
    <w:rsid w:val="00993AE3"/>
    <w:rsid w:val="00993B0B"/>
    <w:rsid w:val="00993CB2"/>
    <w:rsid w:val="00994587"/>
    <w:rsid w:val="009951C8"/>
    <w:rsid w:val="00995752"/>
    <w:rsid w:val="00995EE2"/>
    <w:rsid w:val="00996B95"/>
    <w:rsid w:val="00997B65"/>
    <w:rsid w:val="009A0E23"/>
    <w:rsid w:val="009A0F5F"/>
    <w:rsid w:val="009A4546"/>
    <w:rsid w:val="009A51C8"/>
    <w:rsid w:val="009A62D7"/>
    <w:rsid w:val="009A6B6A"/>
    <w:rsid w:val="009A6D1F"/>
    <w:rsid w:val="009A70F2"/>
    <w:rsid w:val="009A72D8"/>
    <w:rsid w:val="009A7F75"/>
    <w:rsid w:val="009B0824"/>
    <w:rsid w:val="009B1062"/>
    <w:rsid w:val="009B109C"/>
    <w:rsid w:val="009B10AD"/>
    <w:rsid w:val="009B202C"/>
    <w:rsid w:val="009B2722"/>
    <w:rsid w:val="009B2BDE"/>
    <w:rsid w:val="009B3577"/>
    <w:rsid w:val="009B3D88"/>
    <w:rsid w:val="009B3FAF"/>
    <w:rsid w:val="009B450A"/>
    <w:rsid w:val="009B4585"/>
    <w:rsid w:val="009B4A1B"/>
    <w:rsid w:val="009B4DEC"/>
    <w:rsid w:val="009B7915"/>
    <w:rsid w:val="009B7B56"/>
    <w:rsid w:val="009C02E6"/>
    <w:rsid w:val="009C0581"/>
    <w:rsid w:val="009C064F"/>
    <w:rsid w:val="009C06B8"/>
    <w:rsid w:val="009C072C"/>
    <w:rsid w:val="009C08E0"/>
    <w:rsid w:val="009C0E18"/>
    <w:rsid w:val="009C0F80"/>
    <w:rsid w:val="009C19BA"/>
    <w:rsid w:val="009C1CB7"/>
    <w:rsid w:val="009C2A35"/>
    <w:rsid w:val="009C3431"/>
    <w:rsid w:val="009C4331"/>
    <w:rsid w:val="009C449A"/>
    <w:rsid w:val="009C44FF"/>
    <w:rsid w:val="009C4A9D"/>
    <w:rsid w:val="009C4B9F"/>
    <w:rsid w:val="009C4C7E"/>
    <w:rsid w:val="009C503A"/>
    <w:rsid w:val="009C5989"/>
    <w:rsid w:val="009C5DA8"/>
    <w:rsid w:val="009C648E"/>
    <w:rsid w:val="009C7303"/>
    <w:rsid w:val="009C7E13"/>
    <w:rsid w:val="009D08DA"/>
    <w:rsid w:val="009D1F6C"/>
    <w:rsid w:val="009D3B53"/>
    <w:rsid w:val="009D3F83"/>
    <w:rsid w:val="009D40BC"/>
    <w:rsid w:val="009D49DD"/>
    <w:rsid w:val="009D5CF8"/>
    <w:rsid w:val="009D5FA3"/>
    <w:rsid w:val="009D649D"/>
    <w:rsid w:val="009D6C0A"/>
    <w:rsid w:val="009D7541"/>
    <w:rsid w:val="009E0CD6"/>
    <w:rsid w:val="009E1AD6"/>
    <w:rsid w:val="009E1F68"/>
    <w:rsid w:val="009E36ED"/>
    <w:rsid w:val="009E40A3"/>
    <w:rsid w:val="009E43EE"/>
    <w:rsid w:val="009E446C"/>
    <w:rsid w:val="009E5792"/>
    <w:rsid w:val="009E6A79"/>
    <w:rsid w:val="009E73A6"/>
    <w:rsid w:val="009E7B15"/>
    <w:rsid w:val="009F0054"/>
    <w:rsid w:val="009F0F5C"/>
    <w:rsid w:val="009F2723"/>
    <w:rsid w:val="009F31CF"/>
    <w:rsid w:val="009F376A"/>
    <w:rsid w:val="009F3DA9"/>
    <w:rsid w:val="009F402E"/>
    <w:rsid w:val="009F4511"/>
    <w:rsid w:val="009F464E"/>
    <w:rsid w:val="009F495D"/>
    <w:rsid w:val="009F4F25"/>
    <w:rsid w:val="009F556F"/>
    <w:rsid w:val="009F5A9D"/>
    <w:rsid w:val="009F6532"/>
    <w:rsid w:val="009F703B"/>
    <w:rsid w:val="009F70FB"/>
    <w:rsid w:val="009F7BC0"/>
    <w:rsid w:val="009F7C18"/>
    <w:rsid w:val="009F7C6D"/>
    <w:rsid w:val="00A007DC"/>
    <w:rsid w:val="00A0178F"/>
    <w:rsid w:val="00A01A45"/>
    <w:rsid w:val="00A01BA5"/>
    <w:rsid w:val="00A02016"/>
    <w:rsid w:val="00A020C6"/>
    <w:rsid w:val="00A0229D"/>
    <w:rsid w:val="00A02BA4"/>
    <w:rsid w:val="00A03B34"/>
    <w:rsid w:val="00A03E1E"/>
    <w:rsid w:val="00A04389"/>
    <w:rsid w:val="00A04FA7"/>
    <w:rsid w:val="00A05015"/>
    <w:rsid w:val="00A05275"/>
    <w:rsid w:val="00A05EDB"/>
    <w:rsid w:val="00A06860"/>
    <w:rsid w:val="00A06A43"/>
    <w:rsid w:val="00A0723D"/>
    <w:rsid w:val="00A07D05"/>
    <w:rsid w:val="00A07D76"/>
    <w:rsid w:val="00A1010F"/>
    <w:rsid w:val="00A108A4"/>
    <w:rsid w:val="00A11038"/>
    <w:rsid w:val="00A11054"/>
    <w:rsid w:val="00A118F4"/>
    <w:rsid w:val="00A12035"/>
    <w:rsid w:val="00A1250E"/>
    <w:rsid w:val="00A130BA"/>
    <w:rsid w:val="00A136F5"/>
    <w:rsid w:val="00A13756"/>
    <w:rsid w:val="00A13B99"/>
    <w:rsid w:val="00A13E5C"/>
    <w:rsid w:val="00A143D7"/>
    <w:rsid w:val="00A1547E"/>
    <w:rsid w:val="00A1579D"/>
    <w:rsid w:val="00A15FD1"/>
    <w:rsid w:val="00A165E4"/>
    <w:rsid w:val="00A1727A"/>
    <w:rsid w:val="00A1781F"/>
    <w:rsid w:val="00A20135"/>
    <w:rsid w:val="00A21C9D"/>
    <w:rsid w:val="00A22831"/>
    <w:rsid w:val="00A22A2E"/>
    <w:rsid w:val="00A22BD4"/>
    <w:rsid w:val="00A23158"/>
    <w:rsid w:val="00A231E2"/>
    <w:rsid w:val="00A233EF"/>
    <w:rsid w:val="00A2343B"/>
    <w:rsid w:val="00A2372D"/>
    <w:rsid w:val="00A23825"/>
    <w:rsid w:val="00A243B9"/>
    <w:rsid w:val="00A248E3"/>
    <w:rsid w:val="00A24DA1"/>
    <w:rsid w:val="00A2550D"/>
    <w:rsid w:val="00A25E22"/>
    <w:rsid w:val="00A264D4"/>
    <w:rsid w:val="00A27A0B"/>
    <w:rsid w:val="00A30120"/>
    <w:rsid w:val="00A3046A"/>
    <w:rsid w:val="00A30D9A"/>
    <w:rsid w:val="00A316D7"/>
    <w:rsid w:val="00A318C5"/>
    <w:rsid w:val="00A3207D"/>
    <w:rsid w:val="00A32114"/>
    <w:rsid w:val="00A32C07"/>
    <w:rsid w:val="00A33324"/>
    <w:rsid w:val="00A346DC"/>
    <w:rsid w:val="00A35D61"/>
    <w:rsid w:val="00A36DB5"/>
    <w:rsid w:val="00A37153"/>
    <w:rsid w:val="00A37806"/>
    <w:rsid w:val="00A3793A"/>
    <w:rsid w:val="00A4007A"/>
    <w:rsid w:val="00A40617"/>
    <w:rsid w:val="00A41541"/>
    <w:rsid w:val="00A4169B"/>
    <w:rsid w:val="00A41817"/>
    <w:rsid w:val="00A41D4E"/>
    <w:rsid w:val="00A421D4"/>
    <w:rsid w:val="00A42650"/>
    <w:rsid w:val="00A42752"/>
    <w:rsid w:val="00A42B43"/>
    <w:rsid w:val="00A43DDB"/>
    <w:rsid w:val="00A44411"/>
    <w:rsid w:val="00A445F2"/>
    <w:rsid w:val="00A44BBE"/>
    <w:rsid w:val="00A45BA8"/>
    <w:rsid w:val="00A45BDE"/>
    <w:rsid w:val="00A46079"/>
    <w:rsid w:val="00A466B3"/>
    <w:rsid w:val="00A469A6"/>
    <w:rsid w:val="00A47323"/>
    <w:rsid w:val="00A47454"/>
    <w:rsid w:val="00A47C96"/>
    <w:rsid w:val="00A50D55"/>
    <w:rsid w:val="00A50E05"/>
    <w:rsid w:val="00A50F0D"/>
    <w:rsid w:val="00A512FD"/>
    <w:rsid w:val="00A5165B"/>
    <w:rsid w:val="00A52A11"/>
    <w:rsid w:val="00A52FDA"/>
    <w:rsid w:val="00A53CCF"/>
    <w:rsid w:val="00A53E19"/>
    <w:rsid w:val="00A5434E"/>
    <w:rsid w:val="00A54442"/>
    <w:rsid w:val="00A55572"/>
    <w:rsid w:val="00A55709"/>
    <w:rsid w:val="00A55C0E"/>
    <w:rsid w:val="00A55D00"/>
    <w:rsid w:val="00A55DFE"/>
    <w:rsid w:val="00A562DD"/>
    <w:rsid w:val="00A56E1C"/>
    <w:rsid w:val="00A56E45"/>
    <w:rsid w:val="00A57887"/>
    <w:rsid w:val="00A57BF5"/>
    <w:rsid w:val="00A61047"/>
    <w:rsid w:val="00A612B0"/>
    <w:rsid w:val="00A6194A"/>
    <w:rsid w:val="00A62022"/>
    <w:rsid w:val="00A62250"/>
    <w:rsid w:val="00A63D4D"/>
    <w:rsid w:val="00A64243"/>
    <w:rsid w:val="00A6465F"/>
    <w:rsid w:val="00A64912"/>
    <w:rsid w:val="00A652C8"/>
    <w:rsid w:val="00A6585D"/>
    <w:rsid w:val="00A66879"/>
    <w:rsid w:val="00A66D95"/>
    <w:rsid w:val="00A673DF"/>
    <w:rsid w:val="00A67B91"/>
    <w:rsid w:val="00A704CC"/>
    <w:rsid w:val="00A7075A"/>
    <w:rsid w:val="00A70A74"/>
    <w:rsid w:val="00A70EF8"/>
    <w:rsid w:val="00A70EFA"/>
    <w:rsid w:val="00A721EB"/>
    <w:rsid w:val="00A723E1"/>
    <w:rsid w:val="00A728A4"/>
    <w:rsid w:val="00A73A60"/>
    <w:rsid w:val="00A73D9C"/>
    <w:rsid w:val="00A758E2"/>
    <w:rsid w:val="00A75CD9"/>
    <w:rsid w:val="00A76844"/>
    <w:rsid w:val="00A76A59"/>
    <w:rsid w:val="00A76BA3"/>
    <w:rsid w:val="00A7721C"/>
    <w:rsid w:val="00A77493"/>
    <w:rsid w:val="00A77689"/>
    <w:rsid w:val="00A813BD"/>
    <w:rsid w:val="00A819EE"/>
    <w:rsid w:val="00A82CF3"/>
    <w:rsid w:val="00A82F17"/>
    <w:rsid w:val="00A83FA8"/>
    <w:rsid w:val="00A8457B"/>
    <w:rsid w:val="00A85994"/>
    <w:rsid w:val="00A86253"/>
    <w:rsid w:val="00A86CEC"/>
    <w:rsid w:val="00A86D01"/>
    <w:rsid w:val="00A86D90"/>
    <w:rsid w:val="00A87FEC"/>
    <w:rsid w:val="00A904D9"/>
    <w:rsid w:val="00A904E3"/>
    <w:rsid w:val="00A9205B"/>
    <w:rsid w:val="00A933F7"/>
    <w:rsid w:val="00A9427B"/>
    <w:rsid w:val="00A944EF"/>
    <w:rsid w:val="00A949D5"/>
    <w:rsid w:val="00A94C70"/>
    <w:rsid w:val="00A952D9"/>
    <w:rsid w:val="00A95422"/>
    <w:rsid w:val="00A9655F"/>
    <w:rsid w:val="00A97178"/>
    <w:rsid w:val="00A97716"/>
    <w:rsid w:val="00A97E6F"/>
    <w:rsid w:val="00AA0297"/>
    <w:rsid w:val="00AA0343"/>
    <w:rsid w:val="00AA0E66"/>
    <w:rsid w:val="00AA1DFC"/>
    <w:rsid w:val="00AA23C4"/>
    <w:rsid w:val="00AA2A5C"/>
    <w:rsid w:val="00AA2E90"/>
    <w:rsid w:val="00AA3E8C"/>
    <w:rsid w:val="00AA4178"/>
    <w:rsid w:val="00AA5E83"/>
    <w:rsid w:val="00AA6112"/>
    <w:rsid w:val="00AA61EF"/>
    <w:rsid w:val="00AA6799"/>
    <w:rsid w:val="00AA74F4"/>
    <w:rsid w:val="00AB02B0"/>
    <w:rsid w:val="00AB1B0E"/>
    <w:rsid w:val="00AB2778"/>
    <w:rsid w:val="00AB2806"/>
    <w:rsid w:val="00AB29A7"/>
    <w:rsid w:val="00AB3506"/>
    <w:rsid w:val="00AB3B2E"/>
    <w:rsid w:val="00AB42A0"/>
    <w:rsid w:val="00AB42D0"/>
    <w:rsid w:val="00AB48B7"/>
    <w:rsid w:val="00AB4EBF"/>
    <w:rsid w:val="00AB53DC"/>
    <w:rsid w:val="00AB5B3B"/>
    <w:rsid w:val="00AB63D8"/>
    <w:rsid w:val="00AB7726"/>
    <w:rsid w:val="00AB77BC"/>
    <w:rsid w:val="00AB78E9"/>
    <w:rsid w:val="00AC02B9"/>
    <w:rsid w:val="00AC0DF6"/>
    <w:rsid w:val="00AC1BFA"/>
    <w:rsid w:val="00AC2294"/>
    <w:rsid w:val="00AC2E59"/>
    <w:rsid w:val="00AC2EA8"/>
    <w:rsid w:val="00AC354C"/>
    <w:rsid w:val="00AC4F23"/>
    <w:rsid w:val="00AC53E7"/>
    <w:rsid w:val="00AC56F3"/>
    <w:rsid w:val="00AC59FC"/>
    <w:rsid w:val="00AC5C69"/>
    <w:rsid w:val="00AC5E57"/>
    <w:rsid w:val="00AC6C56"/>
    <w:rsid w:val="00AC7A9E"/>
    <w:rsid w:val="00AC7EBF"/>
    <w:rsid w:val="00AC7F6E"/>
    <w:rsid w:val="00AD03E2"/>
    <w:rsid w:val="00AD0EA2"/>
    <w:rsid w:val="00AD11F1"/>
    <w:rsid w:val="00AD2DB6"/>
    <w:rsid w:val="00AD2F5B"/>
    <w:rsid w:val="00AD31AD"/>
    <w:rsid w:val="00AD3467"/>
    <w:rsid w:val="00AD3A15"/>
    <w:rsid w:val="00AD3DCE"/>
    <w:rsid w:val="00AD3E31"/>
    <w:rsid w:val="00AD3E95"/>
    <w:rsid w:val="00AD45D2"/>
    <w:rsid w:val="00AD4775"/>
    <w:rsid w:val="00AD5641"/>
    <w:rsid w:val="00AD6807"/>
    <w:rsid w:val="00AD6D02"/>
    <w:rsid w:val="00AD77F2"/>
    <w:rsid w:val="00AD7C56"/>
    <w:rsid w:val="00AE06AE"/>
    <w:rsid w:val="00AE0F9B"/>
    <w:rsid w:val="00AE1E40"/>
    <w:rsid w:val="00AE232D"/>
    <w:rsid w:val="00AE2A57"/>
    <w:rsid w:val="00AE2DCE"/>
    <w:rsid w:val="00AE37B2"/>
    <w:rsid w:val="00AE43DC"/>
    <w:rsid w:val="00AE5040"/>
    <w:rsid w:val="00AE57B6"/>
    <w:rsid w:val="00AE5A73"/>
    <w:rsid w:val="00AE60BD"/>
    <w:rsid w:val="00AE767F"/>
    <w:rsid w:val="00AE77BE"/>
    <w:rsid w:val="00AE7885"/>
    <w:rsid w:val="00AF15F3"/>
    <w:rsid w:val="00AF2550"/>
    <w:rsid w:val="00AF26D1"/>
    <w:rsid w:val="00AF2803"/>
    <w:rsid w:val="00AF44FE"/>
    <w:rsid w:val="00AF55FF"/>
    <w:rsid w:val="00AF687E"/>
    <w:rsid w:val="00AF7793"/>
    <w:rsid w:val="00AF7F13"/>
    <w:rsid w:val="00B007FD"/>
    <w:rsid w:val="00B00CAD"/>
    <w:rsid w:val="00B00E89"/>
    <w:rsid w:val="00B01ADC"/>
    <w:rsid w:val="00B01C8D"/>
    <w:rsid w:val="00B01E4E"/>
    <w:rsid w:val="00B025EB"/>
    <w:rsid w:val="00B02D33"/>
    <w:rsid w:val="00B0305E"/>
    <w:rsid w:val="00B032D8"/>
    <w:rsid w:val="00B03A59"/>
    <w:rsid w:val="00B045A3"/>
    <w:rsid w:val="00B04A28"/>
    <w:rsid w:val="00B053DB"/>
    <w:rsid w:val="00B056C2"/>
    <w:rsid w:val="00B058CE"/>
    <w:rsid w:val="00B05CFE"/>
    <w:rsid w:val="00B06260"/>
    <w:rsid w:val="00B07DB6"/>
    <w:rsid w:val="00B1064C"/>
    <w:rsid w:val="00B10743"/>
    <w:rsid w:val="00B108FD"/>
    <w:rsid w:val="00B1149F"/>
    <w:rsid w:val="00B11FD3"/>
    <w:rsid w:val="00B1248F"/>
    <w:rsid w:val="00B12B99"/>
    <w:rsid w:val="00B12F11"/>
    <w:rsid w:val="00B14207"/>
    <w:rsid w:val="00B1425B"/>
    <w:rsid w:val="00B14B9E"/>
    <w:rsid w:val="00B14C47"/>
    <w:rsid w:val="00B15ECC"/>
    <w:rsid w:val="00B164DF"/>
    <w:rsid w:val="00B1741C"/>
    <w:rsid w:val="00B21EBB"/>
    <w:rsid w:val="00B229C2"/>
    <w:rsid w:val="00B235C7"/>
    <w:rsid w:val="00B23BBF"/>
    <w:rsid w:val="00B23F70"/>
    <w:rsid w:val="00B24627"/>
    <w:rsid w:val="00B24737"/>
    <w:rsid w:val="00B24F65"/>
    <w:rsid w:val="00B256BE"/>
    <w:rsid w:val="00B25C55"/>
    <w:rsid w:val="00B25EB4"/>
    <w:rsid w:val="00B26130"/>
    <w:rsid w:val="00B2755F"/>
    <w:rsid w:val="00B2783A"/>
    <w:rsid w:val="00B30BC3"/>
    <w:rsid w:val="00B30C44"/>
    <w:rsid w:val="00B32382"/>
    <w:rsid w:val="00B33485"/>
    <w:rsid w:val="00B33A6B"/>
    <w:rsid w:val="00B33B3C"/>
    <w:rsid w:val="00B33B76"/>
    <w:rsid w:val="00B34013"/>
    <w:rsid w:val="00B34060"/>
    <w:rsid w:val="00B3630B"/>
    <w:rsid w:val="00B363CA"/>
    <w:rsid w:val="00B36B65"/>
    <w:rsid w:val="00B36C82"/>
    <w:rsid w:val="00B37E1D"/>
    <w:rsid w:val="00B401C7"/>
    <w:rsid w:val="00B40CBF"/>
    <w:rsid w:val="00B40D74"/>
    <w:rsid w:val="00B412F4"/>
    <w:rsid w:val="00B4137E"/>
    <w:rsid w:val="00B41627"/>
    <w:rsid w:val="00B41B81"/>
    <w:rsid w:val="00B42331"/>
    <w:rsid w:val="00B4272A"/>
    <w:rsid w:val="00B43198"/>
    <w:rsid w:val="00B4330A"/>
    <w:rsid w:val="00B44037"/>
    <w:rsid w:val="00B44B64"/>
    <w:rsid w:val="00B44E1D"/>
    <w:rsid w:val="00B45D11"/>
    <w:rsid w:val="00B46DB3"/>
    <w:rsid w:val="00B47294"/>
    <w:rsid w:val="00B47B4E"/>
    <w:rsid w:val="00B50A09"/>
    <w:rsid w:val="00B50BA1"/>
    <w:rsid w:val="00B513C2"/>
    <w:rsid w:val="00B51439"/>
    <w:rsid w:val="00B518F2"/>
    <w:rsid w:val="00B51C46"/>
    <w:rsid w:val="00B5226B"/>
    <w:rsid w:val="00B52663"/>
    <w:rsid w:val="00B52AB3"/>
    <w:rsid w:val="00B532FD"/>
    <w:rsid w:val="00B53820"/>
    <w:rsid w:val="00B54CD7"/>
    <w:rsid w:val="00B551A5"/>
    <w:rsid w:val="00B5567E"/>
    <w:rsid w:val="00B5573C"/>
    <w:rsid w:val="00B559BA"/>
    <w:rsid w:val="00B55BE2"/>
    <w:rsid w:val="00B55DA5"/>
    <w:rsid w:val="00B56211"/>
    <w:rsid w:val="00B56AD7"/>
    <w:rsid w:val="00B56C43"/>
    <w:rsid w:val="00B56DCB"/>
    <w:rsid w:val="00B57574"/>
    <w:rsid w:val="00B57930"/>
    <w:rsid w:val="00B57B14"/>
    <w:rsid w:val="00B60080"/>
    <w:rsid w:val="00B6082F"/>
    <w:rsid w:val="00B60C4D"/>
    <w:rsid w:val="00B6242C"/>
    <w:rsid w:val="00B62638"/>
    <w:rsid w:val="00B63B19"/>
    <w:rsid w:val="00B6475B"/>
    <w:rsid w:val="00B64B40"/>
    <w:rsid w:val="00B65013"/>
    <w:rsid w:val="00B656E1"/>
    <w:rsid w:val="00B65805"/>
    <w:rsid w:val="00B65B38"/>
    <w:rsid w:val="00B65C1C"/>
    <w:rsid w:val="00B65D83"/>
    <w:rsid w:val="00B67D77"/>
    <w:rsid w:val="00B70286"/>
    <w:rsid w:val="00B70C52"/>
    <w:rsid w:val="00B71972"/>
    <w:rsid w:val="00B72A3C"/>
    <w:rsid w:val="00B73374"/>
    <w:rsid w:val="00B7382C"/>
    <w:rsid w:val="00B755F7"/>
    <w:rsid w:val="00B75B9D"/>
    <w:rsid w:val="00B7637D"/>
    <w:rsid w:val="00B7638E"/>
    <w:rsid w:val="00B76700"/>
    <w:rsid w:val="00B76F4D"/>
    <w:rsid w:val="00B770D2"/>
    <w:rsid w:val="00B77242"/>
    <w:rsid w:val="00B80547"/>
    <w:rsid w:val="00B81897"/>
    <w:rsid w:val="00B82106"/>
    <w:rsid w:val="00B8245C"/>
    <w:rsid w:val="00B827AE"/>
    <w:rsid w:val="00B8383B"/>
    <w:rsid w:val="00B8385C"/>
    <w:rsid w:val="00B83AB3"/>
    <w:rsid w:val="00B83DAA"/>
    <w:rsid w:val="00B84684"/>
    <w:rsid w:val="00B85673"/>
    <w:rsid w:val="00B85B53"/>
    <w:rsid w:val="00B861C0"/>
    <w:rsid w:val="00B86514"/>
    <w:rsid w:val="00B86ECA"/>
    <w:rsid w:val="00B90C82"/>
    <w:rsid w:val="00B9153D"/>
    <w:rsid w:val="00B91D93"/>
    <w:rsid w:val="00B92AE9"/>
    <w:rsid w:val="00B92C13"/>
    <w:rsid w:val="00B9346A"/>
    <w:rsid w:val="00B93EA8"/>
    <w:rsid w:val="00B942D3"/>
    <w:rsid w:val="00B9444F"/>
    <w:rsid w:val="00B95829"/>
    <w:rsid w:val="00B96074"/>
    <w:rsid w:val="00B96919"/>
    <w:rsid w:val="00B96BCC"/>
    <w:rsid w:val="00B96D48"/>
    <w:rsid w:val="00B97251"/>
    <w:rsid w:val="00B974D8"/>
    <w:rsid w:val="00B97F56"/>
    <w:rsid w:val="00BA0C41"/>
    <w:rsid w:val="00BA0F9E"/>
    <w:rsid w:val="00BA1354"/>
    <w:rsid w:val="00BA1D60"/>
    <w:rsid w:val="00BA216F"/>
    <w:rsid w:val="00BA2CB2"/>
    <w:rsid w:val="00BA33E5"/>
    <w:rsid w:val="00BA3538"/>
    <w:rsid w:val="00BA35C9"/>
    <w:rsid w:val="00BA3F58"/>
    <w:rsid w:val="00BA47A3"/>
    <w:rsid w:val="00BA5026"/>
    <w:rsid w:val="00BA5F79"/>
    <w:rsid w:val="00BA6475"/>
    <w:rsid w:val="00BA6DB4"/>
    <w:rsid w:val="00BA6E31"/>
    <w:rsid w:val="00BA707D"/>
    <w:rsid w:val="00BA7B09"/>
    <w:rsid w:val="00BA7E8C"/>
    <w:rsid w:val="00BB01B3"/>
    <w:rsid w:val="00BB0F13"/>
    <w:rsid w:val="00BB14D7"/>
    <w:rsid w:val="00BB3DC0"/>
    <w:rsid w:val="00BB442E"/>
    <w:rsid w:val="00BB46E8"/>
    <w:rsid w:val="00BB4848"/>
    <w:rsid w:val="00BB55BE"/>
    <w:rsid w:val="00BB62D0"/>
    <w:rsid w:val="00BB6E58"/>
    <w:rsid w:val="00BB6E79"/>
    <w:rsid w:val="00BC0CA3"/>
    <w:rsid w:val="00BC1AF9"/>
    <w:rsid w:val="00BC1B87"/>
    <w:rsid w:val="00BC223D"/>
    <w:rsid w:val="00BC26EC"/>
    <w:rsid w:val="00BC2874"/>
    <w:rsid w:val="00BC37CC"/>
    <w:rsid w:val="00BC4E51"/>
    <w:rsid w:val="00BC580D"/>
    <w:rsid w:val="00BC638F"/>
    <w:rsid w:val="00BC682F"/>
    <w:rsid w:val="00BC6E6A"/>
    <w:rsid w:val="00BC76B7"/>
    <w:rsid w:val="00BD05A1"/>
    <w:rsid w:val="00BD0AAB"/>
    <w:rsid w:val="00BD0D9F"/>
    <w:rsid w:val="00BD2113"/>
    <w:rsid w:val="00BD2337"/>
    <w:rsid w:val="00BD27E9"/>
    <w:rsid w:val="00BD281B"/>
    <w:rsid w:val="00BD3F1C"/>
    <w:rsid w:val="00BD473D"/>
    <w:rsid w:val="00BD5174"/>
    <w:rsid w:val="00BD51E4"/>
    <w:rsid w:val="00BD53A9"/>
    <w:rsid w:val="00BD55D4"/>
    <w:rsid w:val="00BD5937"/>
    <w:rsid w:val="00BD5B0D"/>
    <w:rsid w:val="00BD641A"/>
    <w:rsid w:val="00BD76A5"/>
    <w:rsid w:val="00BD7E9B"/>
    <w:rsid w:val="00BD7F3A"/>
    <w:rsid w:val="00BE088F"/>
    <w:rsid w:val="00BE12D6"/>
    <w:rsid w:val="00BE1381"/>
    <w:rsid w:val="00BE2916"/>
    <w:rsid w:val="00BE2F92"/>
    <w:rsid w:val="00BE320A"/>
    <w:rsid w:val="00BE34E1"/>
    <w:rsid w:val="00BE3B31"/>
    <w:rsid w:val="00BE424B"/>
    <w:rsid w:val="00BE5B87"/>
    <w:rsid w:val="00BE608F"/>
    <w:rsid w:val="00BE67CD"/>
    <w:rsid w:val="00BE719A"/>
    <w:rsid w:val="00BE720A"/>
    <w:rsid w:val="00BE7C3F"/>
    <w:rsid w:val="00BF106E"/>
    <w:rsid w:val="00BF1139"/>
    <w:rsid w:val="00BF1777"/>
    <w:rsid w:val="00BF17FA"/>
    <w:rsid w:val="00BF2E1C"/>
    <w:rsid w:val="00BF2FDC"/>
    <w:rsid w:val="00BF3256"/>
    <w:rsid w:val="00BF3C7B"/>
    <w:rsid w:val="00BF41C1"/>
    <w:rsid w:val="00BF4F61"/>
    <w:rsid w:val="00BF5702"/>
    <w:rsid w:val="00BF5AA3"/>
    <w:rsid w:val="00BF602E"/>
    <w:rsid w:val="00BF6650"/>
    <w:rsid w:val="00BF696A"/>
    <w:rsid w:val="00BF7607"/>
    <w:rsid w:val="00BF7C91"/>
    <w:rsid w:val="00C00460"/>
    <w:rsid w:val="00C0063E"/>
    <w:rsid w:val="00C009BA"/>
    <w:rsid w:val="00C010B6"/>
    <w:rsid w:val="00C02109"/>
    <w:rsid w:val="00C04250"/>
    <w:rsid w:val="00C0441D"/>
    <w:rsid w:val="00C044B3"/>
    <w:rsid w:val="00C04EF6"/>
    <w:rsid w:val="00C04F8D"/>
    <w:rsid w:val="00C0505B"/>
    <w:rsid w:val="00C066D5"/>
    <w:rsid w:val="00C067E5"/>
    <w:rsid w:val="00C06DDA"/>
    <w:rsid w:val="00C10E84"/>
    <w:rsid w:val="00C10EA4"/>
    <w:rsid w:val="00C1114B"/>
    <w:rsid w:val="00C1348D"/>
    <w:rsid w:val="00C139B7"/>
    <w:rsid w:val="00C1430C"/>
    <w:rsid w:val="00C148E2"/>
    <w:rsid w:val="00C14BB1"/>
    <w:rsid w:val="00C151A6"/>
    <w:rsid w:val="00C15654"/>
    <w:rsid w:val="00C15F45"/>
    <w:rsid w:val="00C164CA"/>
    <w:rsid w:val="00C20549"/>
    <w:rsid w:val="00C207AF"/>
    <w:rsid w:val="00C21144"/>
    <w:rsid w:val="00C21165"/>
    <w:rsid w:val="00C21D17"/>
    <w:rsid w:val="00C2269F"/>
    <w:rsid w:val="00C22DC8"/>
    <w:rsid w:val="00C2359B"/>
    <w:rsid w:val="00C2386A"/>
    <w:rsid w:val="00C24CFA"/>
    <w:rsid w:val="00C24D88"/>
    <w:rsid w:val="00C24E46"/>
    <w:rsid w:val="00C25088"/>
    <w:rsid w:val="00C25B5F"/>
    <w:rsid w:val="00C27F26"/>
    <w:rsid w:val="00C27F5A"/>
    <w:rsid w:val="00C3006E"/>
    <w:rsid w:val="00C30992"/>
    <w:rsid w:val="00C3106D"/>
    <w:rsid w:val="00C31CA1"/>
    <w:rsid w:val="00C32E3E"/>
    <w:rsid w:val="00C3315D"/>
    <w:rsid w:val="00C3410A"/>
    <w:rsid w:val="00C3445B"/>
    <w:rsid w:val="00C357E6"/>
    <w:rsid w:val="00C36007"/>
    <w:rsid w:val="00C36671"/>
    <w:rsid w:val="00C36E00"/>
    <w:rsid w:val="00C37603"/>
    <w:rsid w:val="00C37A04"/>
    <w:rsid w:val="00C4087D"/>
    <w:rsid w:val="00C40A36"/>
    <w:rsid w:val="00C40A3E"/>
    <w:rsid w:val="00C415BB"/>
    <w:rsid w:val="00C41B35"/>
    <w:rsid w:val="00C42BF8"/>
    <w:rsid w:val="00C43A53"/>
    <w:rsid w:val="00C444BF"/>
    <w:rsid w:val="00C44560"/>
    <w:rsid w:val="00C44D7B"/>
    <w:rsid w:val="00C45070"/>
    <w:rsid w:val="00C4528F"/>
    <w:rsid w:val="00C45465"/>
    <w:rsid w:val="00C45EAA"/>
    <w:rsid w:val="00C460AE"/>
    <w:rsid w:val="00C4662A"/>
    <w:rsid w:val="00C47A7A"/>
    <w:rsid w:val="00C50043"/>
    <w:rsid w:val="00C5082E"/>
    <w:rsid w:val="00C50A0F"/>
    <w:rsid w:val="00C51D16"/>
    <w:rsid w:val="00C5268D"/>
    <w:rsid w:val="00C52CBD"/>
    <w:rsid w:val="00C52F3A"/>
    <w:rsid w:val="00C53298"/>
    <w:rsid w:val="00C53955"/>
    <w:rsid w:val="00C5441E"/>
    <w:rsid w:val="00C549F3"/>
    <w:rsid w:val="00C54BF0"/>
    <w:rsid w:val="00C55877"/>
    <w:rsid w:val="00C55A83"/>
    <w:rsid w:val="00C55B34"/>
    <w:rsid w:val="00C57166"/>
    <w:rsid w:val="00C57950"/>
    <w:rsid w:val="00C607CF"/>
    <w:rsid w:val="00C60D87"/>
    <w:rsid w:val="00C616E3"/>
    <w:rsid w:val="00C62DB4"/>
    <w:rsid w:val="00C63B42"/>
    <w:rsid w:val="00C63DED"/>
    <w:rsid w:val="00C648AF"/>
    <w:rsid w:val="00C64982"/>
    <w:rsid w:val="00C65999"/>
    <w:rsid w:val="00C666AD"/>
    <w:rsid w:val="00C66A88"/>
    <w:rsid w:val="00C66CA0"/>
    <w:rsid w:val="00C66D15"/>
    <w:rsid w:val="00C67385"/>
    <w:rsid w:val="00C67662"/>
    <w:rsid w:val="00C67B36"/>
    <w:rsid w:val="00C67E5E"/>
    <w:rsid w:val="00C7086D"/>
    <w:rsid w:val="00C715AC"/>
    <w:rsid w:val="00C71B09"/>
    <w:rsid w:val="00C72063"/>
    <w:rsid w:val="00C72B62"/>
    <w:rsid w:val="00C72FE7"/>
    <w:rsid w:val="00C739AC"/>
    <w:rsid w:val="00C74852"/>
    <w:rsid w:val="00C74ABE"/>
    <w:rsid w:val="00C7573B"/>
    <w:rsid w:val="00C75A53"/>
    <w:rsid w:val="00C75AA3"/>
    <w:rsid w:val="00C76CF3"/>
    <w:rsid w:val="00C77B23"/>
    <w:rsid w:val="00C809F1"/>
    <w:rsid w:val="00C8191A"/>
    <w:rsid w:val="00C81A74"/>
    <w:rsid w:val="00C81C4D"/>
    <w:rsid w:val="00C82B44"/>
    <w:rsid w:val="00C83532"/>
    <w:rsid w:val="00C83766"/>
    <w:rsid w:val="00C8538C"/>
    <w:rsid w:val="00C85878"/>
    <w:rsid w:val="00C8592A"/>
    <w:rsid w:val="00C85DCB"/>
    <w:rsid w:val="00C86CF2"/>
    <w:rsid w:val="00C876B9"/>
    <w:rsid w:val="00C90AE9"/>
    <w:rsid w:val="00C918E7"/>
    <w:rsid w:val="00C91B7E"/>
    <w:rsid w:val="00C925E4"/>
    <w:rsid w:val="00C92743"/>
    <w:rsid w:val="00C92C38"/>
    <w:rsid w:val="00C9386C"/>
    <w:rsid w:val="00C95CDD"/>
    <w:rsid w:val="00C9697E"/>
    <w:rsid w:val="00CA0AA3"/>
    <w:rsid w:val="00CA21C5"/>
    <w:rsid w:val="00CA283D"/>
    <w:rsid w:val="00CA2918"/>
    <w:rsid w:val="00CA2952"/>
    <w:rsid w:val="00CA3140"/>
    <w:rsid w:val="00CA45E3"/>
    <w:rsid w:val="00CA5160"/>
    <w:rsid w:val="00CA533B"/>
    <w:rsid w:val="00CA5352"/>
    <w:rsid w:val="00CA5482"/>
    <w:rsid w:val="00CA62AB"/>
    <w:rsid w:val="00CA772C"/>
    <w:rsid w:val="00CA7844"/>
    <w:rsid w:val="00CA7A9D"/>
    <w:rsid w:val="00CB0B35"/>
    <w:rsid w:val="00CB0E68"/>
    <w:rsid w:val="00CB1659"/>
    <w:rsid w:val="00CB2473"/>
    <w:rsid w:val="00CB24AD"/>
    <w:rsid w:val="00CB308F"/>
    <w:rsid w:val="00CB3694"/>
    <w:rsid w:val="00CB4597"/>
    <w:rsid w:val="00CB45C1"/>
    <w:rsid w:val="00CB47D6"/>
    <w:rsid w:val="00CB5378"/>
    <w:rsid w:val="00CB58EF"/>
    <w:rsid w:val="00CB5AAA"/>
    <w:rsid w:val="00CB5C31"/>
    <w:rsid w:val="00CB5D6C"/>
    <w:rsid w:val="00CB5EC7"/>
    <w:rsid w:val="00CB5F2C"/>
    <w:rsid w:val="00CB702E"/>
    <w:rsid w:val="00CB751D"/>
    <w:rsid w:val="00CB7568"/>
    <w:rsid w:val="00CB76A4"/>
    <w:rsid w:val="00CC04AA"/>
    <w:rsid w:val="00CC067B"/>
    <w:rsid w:val="00CC086D"/>
    <w:rsid w:val="00CC127C"/>
    <w:rsid w:val="00CC1717"/>
    <w:rsid w:val="00CC3874"/>
    <w:rsid w:val="00CC4A58"/>
    <w:rsid w:val="00CC4CA6"/>
    <w:rsid w:val="00CC4E69"/>
    <w:rsid w:val="00CC5652"/>
    <w:rsid w:val="00CD0453"/>
    <w:rsid w:val="00CD0EC2"/>
    <w:rsid w:val="00CD125C"/>
    <w:rsid w:val="00CD1877"/>
    <w:rsid w:val="00CD2545"/>
    <w:rsid w:val="00CD2619"/>
    <w:rsid w:val="00CD292B"/>
    <w:rsid w:val="00CD2F6F"/>
    <w:rsid w:val="00CD34F1"/>
    <w:rsid w:val="00CD5565"/>
    <w:rsid w:val="00CD55AD"/>
    <w:rsid w:val="00CD5685"/>
    <w:rsid w:val="00CD5B6F"/>
    <w:rsid w:val="00CD5CB1"/>
    <w:rsid w:val="00CD6CC5"/>
    <w:rsid w:val="00CD6EC5"/>
    <w:rsid w:val="00CD70E4"/>
    <w:rsid w:val="00CD7374"/>
    <w:rsid w:val="00CD7D11"/>
    <w:rsid w:val="00CE0335"/>
    <w:rsid w:val="00CE03C4"/>
    <w:rsid w:val="00CE105D"/>
    <w:rsid w:val="00CE16CE"/>
    <w:rsid w:val="00CE1AEF"/>
    <w:rsid w:val="00CE245C"/>
    <w:rsid w:val="00CE345C"/>
    <w:rsid w:val="00CE37BC"/>
    <w:rsid w:val="00CE421F"/>
    <w:rsid w:val="00CE49FD"/>
    <w:rsid w:val="00CE52A3"/>
    <w:rsid w:val="00CE5865"/>
    <w:rsid w:val="00CE5DAA"/>
    <w:rsid w:val="00CE642D"/>
    <w:rsid w:val="00CE691B"/>
    <w:rsid w:val="00CE7D64"/>
    <w:rsid w:val="00CF0B95"/>
    <w:rsid w:val="00CF0BB2"/>
    <w:rsid w:val="00CF16A0"/>
    <w:rsid w:val="00CF1896"/>
    <w:rsid w:val="00CF26D9"/>
    <w:rsid w:val="00CF2D1E"/>
    <w:rsid w:val="00CF34FC"/>
    <w:rsid w:val="00CF3507"/>
    <w:rsid w:val="00CF3944"/>
    <w:rsid w:val="00CF4768"/>
    <w:rsid w:val="00CF48D3"/>
    <w:rsid w:val="00CF72AA"/>
    <w:rsid w:val="00CF7744"/>
    <w:rsid w:val="00D00758"/>
    <w:rsid w:val="00D0124C"/>
    <w:rsid w:val="00D013D1"/>
    <w:rsid w:val="00D0175A"/>
    <w:rsid w:val="00D01C64"/>
    <w:rsid w:val="00D01EB4"/>
    <w:rsid w:val="00D020C6"/>
    <w:rsid w:val="00D02385"/>
    <w:rsid w:val="00D024F9"/>
    <w:rsid w:val="00D038BF"/>
    <w:rsid w:val="00D03BAD"/>
    <w:rsid w:val="00D03E16"/>
    <w:rsid w:val="00D041AE"/>
    <w:rsid w:val="00D05CE2"/>
    <w:rsid w:val="00D05E4B"/>
    <w:rsid w:val="00D06090"/>
    <w:rsid w:val="00D069A3"/>
    <w:rsid w:val="00D06A8E"/>
    <w:rsid w:val="00D06EDA"/>
    <w:rsid w:val="00D07402"/>
    <w:rsid w:val="00D07B4E"/>
    <w:rsid w:val="00D10143"/>
    <w:rsid w:val="00D101A1"/>
    <w:rsid w:val="00D10D29"/>
    <w:rsid w:val="00D11385"/>
    <w:rsid w:val="00D11B2B"/>
    <w:rsid w:val="00D11C8D"/>
    <w:rsid w:val="00D12120"/>
    <w:rsid w:val="00D1266B"/>
    <w:rsid w:val="00D12837"/>
    <w:rsid w:val="00D13441"/>
    <w:rsid w:val="00D14678"/>
    <w:rsid w:val="00D14CB4"/>
    <w:rsid w:val="00D1508F"/>
    <w:rsid w:val="00D15D59"/>
    <w:rsid w:val="00D15E3C"/>
    <w:rsid w:val="00D20502"/>
    <w:rsid w:val="00D209A7"/>
    <w:rsid w:val="00D2186C"/>
    <w:rsid w:val="00D22356"/>
    <w:rsid w:val="00D22765"/>
    <w:rsid w:val="00D2428D"/>
    <w:rsid w:val="00D243A3"/>
    <w:rsid w:val="00D24E75"/>
    <w:rsid w:val="00D27B5E"/>
    <w:rsid w:val="00D27D69"/>
    <w:rsid w:val="00D30303"/>
    <w:rsid w:val="00D30399"/>
    <w:rsid w:val="00D310C4"/>
    <w:rsid w:val="00D319F9"/>
    <w:rsid w:val="00D31D68"/>
    <w:rsid w:val="00D3200B"/>
    <w:rsid w:val="00D3200D"/>
    <w:rsid w:val="00D33374"/>
    <w:rsid w:val="00D33440"/>
    <w:rsid w:val="00D33584"/>
    <w:rsid w:val="00D338B3"/>
    <w:rsid w:val="00D34BC3"/>
    <w:rsid w:val="00D355D4"/>
    <w:rsid w:val="00D35DE3"/>
    <w:rsid w:val="00D366A4"/>
    <w:rsid w:val="00D3692B"/>
    <w:rsid w:val="00D36DC1"/>
    <w:rsid w:val="00D36F79"/>
    <w:rsid w:val="00D40112"/>
    <w:rsid w:val="00D40CAF"/>
    <w:rsid w:val="00D41EC7"/>
    <w:rsid w:val="00D42CDF"/>
    <w:rsid w:val="00D42D0B"/>
    <w:rsid w:val="00D43784"/>
    <w:rsid w:val="00D43E91"/>
    <w:rsid w:val="00D443CB"/>
    <w:rsid w:val="00D4452F"/>
    <w:rsid w:val="00D44541"/>
    <w:rsid w:val="00D448FE"/>
    <w:rsid w:val="00D44904"/>
    <w:rsid w:val="00D451A9"/>
    <w:rsid w:val="00D47D24"/>
    <w:rsid w:val="00D508BE"/>
    <w:rsid w:val="00D516F7"/>
    <w:rsid w:val="00D517EF"/>
    <w:rsid w:val="00D52EFE"/>
    <w:rsid w:val="00D53318"/>
    <w:rsid w:val="00D5350F"/>
    <w:rsid w:val="00D539E8"/>
    <w:rsid w:val="00D5508C"/>
    <w:rsid w:val="00D55A84"/>
    <w:rsid w:val="00D55B00"/>
    <w:rsid w:val="00D562FA"/>
    <w:rsid w:val="00D56A0D"/>
    <w:rsid w:val="00D57465"/>
    <w:rsid w:val="00D57B13"/>
    <w:rsid w:val="00D61101"/>
    <w:rsid w:val="00D62362"/>
    <w:rsid w:val="00D62771"/>
    <w:rsid w:val="00D637C0"/>
    <w:rsid w:val="00D63D6A"/>
    <w:rsid w:val="00D63EF6"/>
    <w:rsid w:val="00D65210"/>
    <w:rsid w:val="00D66518"/>
    <w:rsid w:val="00D66B35"/>
    <w:rsid w:val="00D66D1E"/>
    <w:rsid w:val="00D67600"/>
    <w:rsid w:val="00D678C2"/>
    <w:rsid w:val="00D679FA"/>
    <w:rsid w:val="00D703E8"/>
    <w:rsid w:val="00D70DFB"/>
    <w:rsid w:val="00D7117F"/>
    <w:rsid w:val="00D7120B"/>
    <w:rsid w:val="00D717AD"/>
    <w:rsid w:val="00D71D58"/>
    <w:rsid w:val="00D71EEA"/>
    <w:rsid w:val="00D72554"/>
    <w:rsid w:val="00D72E8D"/>
    <w:rsid w:val="00D735CD"/>
    <w:rsid w:val="00D74C58"/>
    <w:rsid w:val="00D74C85"/>
    <w:rsid w:val="00D757FC"/>
    <w:rsid w:val="00D75ADE"/>
    <w:rsid w:val="00D75D6D"/>
    <w:rsid w:val="00D75EBD"/>
    <w:rsid w:val="00D763F7"/>
    <w:rsid w:val="00D766DF"/>
    <w:rsid w:val="00D768B3"/>
    <w:rsid w:val="00D803C1"/>
    <w:rsid w:val="00D80CA5"/>
    <w:rsid w:val="00D81035"/>
    <w:rsid w:val="00D826FA"/>
    <w:rsid w:val="00D837FF"/>
    <w:rsid w:val="00D838F8"/>
    <w:rsid w:val="00D84D7F"/>
    <w:rsid w:val="00D9024B"/>
    <w:rsid w:val="00D90662"/>
    <w:rsid w:val="00D90AE8"/>
    <w:rsid w:val="00D90F21"/>
    <w:rsid w:val="00D91105"/>
    <w:rsid w:val="00D912DD"/>
    <w:rsid w:val="00D91DF6"/>
    <w:rsid w:val="00D92528"/>
    <w:rsid w:val="00D9253C"/>
    <w:rsid w:val="00D925DD"/>
    <w:rsid w:val="00D92BD8"/>
    <w:rsid w:val="00D94DE2"/>
    <w:rsid w:val="00D9538D"/>
    <w:rsid w:val="00D95891"/>
    <w:rsid w:val="00D95AEE"/>
    <w:rsid w:val="00D96466"/>
    <w:rsid w:val="00D96C2F"/>
    <w:rsid w:val="00D973D2"/>
    <w:rsid w:val="00D9761E"/>
    <w:rsid w:val="00D97862"/>
    <w:rsid w:val="00DA0539"/>
    <w:rsid w:val="00DA10B7"/>
    <w:rsid w:val="00DA27CA"/>
    <w:rsid w:val="00DA2C11"/>
    <w:rsid w:val="00DA3B91"/>
    <w:rsid w:val="00DA4CD1"/>
    <w:rsid w:val="00DA4F3A"/>
    <w:rsid w:val="00DA530F"/>
    <w:rsid w:val="00DA6D83"/>
    <w:rsid w:val="00DA7594"/>
    <w:rsid w:val="00DA780B"/>
    <w:rsid w:val="00DA7A17"/>
    <w:rsid w:val="00DB006D"/>
    <w:rsid w:val="00DB0355"/>
    <w:rsid w:val="00DB0C8E"/>
    <w:rsid w:val="00DB0F38"/>
    <w:rsid w:val="00DB0F71"/>
    <w:rsid w:val="00DB114C"/>
    <w:rsid w:val="00DB12B2"/>
    <w:rsid w:val="00DB39B1"/>
    <w:rsid w:val="00DB40F8"/>
    <w:rsid w:val="00DB48AC"/>
    <w:rsid w:val="00DB54E7"/>
    <w:rsid w:val="00DB5CB4"/>
    <w:rsid w:val="00DB6AE0"/>
    <w:rsid w:val="00DB6C3F"/>
    <w:rsid w:val="00DB773E"/>
    <w:rsid w:val="00DB7CEB"/>
    <w:rsid w:val="00DB7DA8"/>
    <w:rsid w:val="00DC0522"/>
    <w:rsid w:val="00DC0DC8"/>
    <w:rsid w:val="00DC0DD8"/>
    <w:rsid w:val="00DC1A26"/>
    <w:rsid w:val="00DC1D96"/>
    <w:rsid w:val="00DC1EA5"/>
    <w:rsid w:val="00DC2131"/>
    <w:rsid w:val="00DC2FE7"/>
    <w:rsid w:val="00DC34BB"/>
    <w:rsid w:val="00DC38AD"/>
    <w:rsid w:val="00DC3998"/>
    <w:rsid w:val="00DC45D6"/>
    <w:rsid w:val="00DC471B"/>
    <w:rsid w:val="00DC5F03"/>
    <w:rsid w:val="00DC62AD"/>
    <w:rsid w:val="00DC6415"/>
    <w:rsid w:val="00DC6881"/>
    <w:rsid w:val="00DC6B11"/>
    <w:rsid w:val="00DC7336"/>
    <w:rsid w:val="00DD02BB"/>
    <w:rsid w:val="00DD04B5"/>
    <w:rsid w:val="00DD0567"/>
    <w:rsid w:val="00DD06C7"/>
    <w:rsid w:val="00DD06D7"/>
    <w:rsid w:val="00DD0F60"/>
    <w:rsid w:val="00DD114B"/>
    <w:rsid w:val="00DD149D"/>
    <w:rsid w:val="00DD1A9C"/>
    <w:rsid w:val="00DD348D"/>
    <w:rsid w:val="00DD4821"/>
    <w:rsid w:val="00DD4A18"/>
    <w:rsid w:val="00DD507C"/>
    <w:rsid w:val="00DD59E4"/>
    <w:rsid w:val="00DD5C53"/>
    <w:rsid w:val="00DD5FE9"/>
    <w:rsid w:val="00DD655C"/>
    <w:rsid w:val="00DD6AEC"/>
    <w:rsid w:val="00DD6AEF"/>
    <w:rsid w:val="00DD6BAF"/>
    <w:rsid w:val="00DD7057"/>
    <w:rsid w:val="00DD76D1"/>
    <w:rsid w:val="00DD7DC8"/>
    <w:rsid w:val="00DE10E7"/>
    <w:rsid w:val="00DE1463"/>
    <w:rsid w:val="00DE149E"/>
    <w:rsid w:val="00DE1720"/>
    <w:rsid w:val="00DE1D14"/>
    <w:rsid w:val="00DE206A"/>
    <w:rsid w:val="00DE2841"/>
    <w:rsid w:val="00DE3256"/>
    <w:rsid w:val="00DE38D9"/>
    <w:rsid w:val="00DE67D7"/>
    <w:rsid w:val="00DE7530"/>
    <w:rsid w:val="00DF0478"/>
    <w:rsid w:val="00DF1270"/>
    <w:rsid w:val="00DF19C7"/>
    <w:rsid w:val="00DF1A98"/>
    <w:rsid w:val="00DF1FCA"/>
    <w:rsid w:val="00DF2656"/>
    <w:rsid w:val="00DF2780"/>
    <w:rsid w:val="00DF3242"/>
    <w:rsid w:val="00DF3EC4"/>
    <w:rsid w:val="00DF426E"/>
    <w:rsid w:val="00DF460A"/>
    <w:rsid w:val="00DF53D2"/>
    <w:rsid w:val="00DF58B8"/>
    <w:rsid w:val="00DF5921"/>
    <w:rsid w:val="00DF59E7"/>
    <w:rsid w:val="00DF6660"/>
    <w:rsid w:val="00DF730D"/>
    <w:rsid w:val="00DF7350"/>
    <w:rsid w:val="00E001F2"/>
    <w:rsid w:val="00E00242"/>
    <w:rsid w:val="00E00FDA"/>
    <w:rsid w:val="00E014AA"/>
    <w:rsid w:val="00E01FEF"/>
    <w:rsid w:val="00E02D53"/>
    <w:rsid w:val="00E03993"/>
    <w:rsid w:val="00E04513"/>
    <w:rsid w:val="00E04C46"/>
    <w:rsid w:val="00E051AE"/>
    <w:rsid w:val="00E05704"/>
    <w:rsid w:val="00E065F8"/>
    <w:rsid w:val="00E06DB7"/>
    <w:rsid w:val="00E078AC"/>
    <w:rsid w:val="00E07C4D"/>
    <w:rsid w:val="00E10718"/>
    <w:rsid w:val="00E10D35"/>
    <w:rsid w:val="00E110E4"/>
    <w:rsid w:val="00E11FC5"/>
    <w:rsid w:val="00E127C4"/>
    <w:rsid w:val="00E128F4"/>
    <w:rsid w:val="00E12F1A"/>
    <w:rsid w:val="00E13855"/>
    <w:rsid w:val="00E13E9E"/>
    <w:rsid w:val="00E14CDB"/>
    <w:rsid w:val="00E150AA"/>
    <w:rsid w:val="00E17FFC"/>
    <w:rsid w:val="00E20244"/>
    <w:rsid w:val="00E203DD"/>
    <w:rsid w:val="00E2149A"/>
    <w:rsid w:val="00E21775"/>
    <w:rsid w:val="00E21CFB"/>
    <w:rsid w:val="00E2244F"/>
    <w:rsid w:val="00E225BE"/>
    <w:rsid w:val="00E225F3"/>
    <w:rsid w:val="00E22678"/>
    <w:rsid w:val="00E2278A"/>
    <w:rsid w:val="00E22935"/>
    <w:rsid w:val="00E22AFC"/>
    <w:rsid w:val="00E22B58"/>
    <w:rsid w:val="00E231B5"/>
    <w:rsid w:val="00E23990"/>
    <w:rsid w:val="00E23C2C"/>
    <w:rsid w:val="00E2453B"/>
    <w:rsid w:val="00E25AA6"/>
    <w:rsid w:val="00E26FAA"/>
    <w:rsid w:val="00E2782A"/>
    <w:rsid w:val="00E3069D"/>
    <w:rsid w:val="00E30A98"/>
    <w:rsid w:val="00E30E2A"/>
    <w:rsid w:val="00E313AF"/>
    <w:rsid w:val="00E3156D"/>
    <w:rsid w:val="00E335A7"/>
    <w:rsid w:val="00E345D0"/>
    <w:rsid w:val="00E353B0"/>
    <w:rsid w:val="00E3636F"/>
    <w:rsid w:val="00E4015D"/>
    <w:rsid w:val="00E4214B"/>
    <w:rsid w:val="00E42354"/>
    <w:rsid w:val="00E42B8C"/>
    <w:rsid w:val="00E42DD9"/>
    <w:rsid w:val="00E437B9"/>
    <w:rsid w:val="00E44678"/>
    <w:rsid w:val="00E44840"/>
    <w:rsid w:val="00E44C65"/>
    <w:rsid w:val="00E44F0D"/>
    <w:rsid w:val="00E453B5"/>
    <w:rsid w:val="00E45A8D"/>
    <w:rsid w:val="00E45E85"/>
    <w:rsid w:val="00E46053"/>
    <w:rsid w:val="00E511B9"/>
    <w:rsid w:val="00E51743"/>
    <w:rsid w:val="00E52709"/>
    <w:rsid w:val="00E538E7"/>
    <w:rsid w:val="00E54292"/>
    <w:rsid w:val="00E543EE"/>
    <w:rsid w:val="00E548DE"/>
    <w:rsid w:val="00E550FC"/>
    <w:rsid w:val="00E5521E"/>
    <w:rsid w:val="00E55260"/>
    <w:rsid w:val="00E55B50"/>
    <w:rsid w:val="00E5691F"/>
    <w:rsid w:val="00E56D0F"/>
    <w:rsid w:val="00E572D6"/>
    <w:rsid w:val="00E573EE"/>
    <w:rsid w:val="00E57F7C"/>
    <w:rsid w:val="00E57FB5"/>
    <w:rsid w:val="00E60191"/>
    <w:rsid w:val="00E60389"/>
    <w:rsid w:val="00E614BB"/>
    <w:rsid w:val="00E625F0"/>
    <w:rsid w:val="00E626AD"/>
    <w:rsid w:val="00E63222"/>
    <w:rsid w:val="00E63BE1"/>
    <w:rsid w:val="00E63F37"/>
    <w:rsid w:val="00E64348"/>
    <w:rsid w:val="00E6479C"/>
    <w:rsid w:val="00E651D5"/>
    <w:rsid w:val="00E65303"/>
    <w:rsid w:val="00E661D0"/>
    <w:rsid w:val="00E66AE4"/>
    <w:rsid w:val="00E66F03"/>
    <w:rsid w:val="00E670A4"/>
    <w:rsid w:val="00E673DD"/>
    <w:rsid w:val="00E67CC3"/>
    <w:rsid w:val="00E7145F"/>
    <w:rsid w:val="00E71CB7"/>
    <w:rsid w:val="00E72656"/>
    <w:rsid w:val="00E72755"/>
    <w:rsid w:val="00E7277A"/>
    <w:rsid w:val="00E72DBA"/>
    <w:rsid w:val="00E735A1"/>
    <w:rsid w:val="00E7391F"/>
    <w:rsid w:val="00E74DC7"/>
    <w:rsid w:val="00E75305"/>
    <w:rsid w:val="00E75F69"/>
    <w:rsid w:val="00E76982"/>
    <w:rsid w:val="00E803FE"/>
    <w:rsid w:val="00E81DF4"/>
    <w:rsid w:val="00E82AAF"/>
    <w:rsid w:val="00E844E9"/>
    <w:rsid w:val="00E844FD"/>
    <w:rsid w:val="00E84CC9"/>
    <w:rsid w:val="00E85B8A"/>
    <w:rsid w:val="00E8609C"/>
    <w:rsid w:val="00E867DA"/>
    <w:rsid w:val="00E86953"/>
    <w:rsid w:val="00E86C52"/>
    <w:rsid w:val="00E87699"/>
    <w:rsid w:val="00E87F93"/>
    <w:rsid w:val="00E92C02"/>
    <w:rsid w:val="00E92E27"/>
    <w:rsid w:val="00E94225"/>
    <w:rsid w:val="00E9586B"/>
    <w:rsid w:val="00E95E54"/>
    <w:rsid w:val="00E96C24"/>
    <w:rsid w:val="00E97334"/>
    <w:rsid w:val="00E97D47"/>
    <w:rsid w:val="00EA02F1"/>
    <w:rsid w:val="00EA0A48"/>
    <w:rsid w:val="00EA0D36"/>
    <w:rsid w:val="00EA1055"/>
    <w:rsid w:val="00EA1216"/>
    <w:rsid w:val="00EA15C6"/>
    <w:rsid w:val="00EA292D"/>
    <w:rsid w:val="00EA399B"/>
    <w:rsid w:val="00EA7050"/>
    <w:rsid w:val="00EB006A"/>
    <w:rsid w:val="00EB043F"/>
    <w:rsid w:val="00EB04C9"/>
    <w:rsid w:val="00EB2198"/>
    <w:rsid w:val="00EB2B4E"/>
    <w:rsid w:val="00EB2E1E"/>
    <w:rsid w:val="00EB3816"/>
    <w:rsid w:val="00EB4F30"/>
    <w:rsid w:val="00EB5470"/>
    <w:rsid w:val="00EB5BDE"/>
    <w:rsid w:val="00EB631F"/>
    <w:rsid w:val="00EB6493"/>
    <w:rsid w:val="00EB6646"/>
    <w:rsid w:val="00EB6D0C"/>
    <w:rsid w:val="00EB6E1C"/>
    <w:rsid w:val="00EB6F4D"/>
    <w:rsid w:val="00EC028E"/>
    <w:rsid w:val="00EC0844"/>
    <w:rsid w:val="00EC0FDC"/>
    <w:rsid w:val="00EC16C0"/>
    <w:rsid w:val="00EC1763"/>
    <w:rsid w:val="00EC1899"/>
    <w:rsid w:val="00EC1A78"/>
    <w:rsid w:val="00EC23E8"/>
    <w:rsid w:val="00EC2F2F"/>
    <w:rsid w:val="00EC3C9A"/>
    <w:rsid w:val="00EC4E35"/>
    <w:rsid w:val="00EC56A9"/>
    <w:rsid w:val="00EC609B"/>
    <w:rsid w:val="00EC6712"/>
    <w:rsid w:val="00EC6AE2"/>
    <w:rsid w:val="00EC6B75"/>
    <w:rsid w:val="00EC6E48"/>
    <w:rsid w:val="00EC7129"/>
    <w:rsid w:val="00EC78CF"/>
    <w:rsid w:val="00EC7BE2"/>
    <w:rsid w:val="00ED019A"/>
    <w:rsid w:val="00ED0E4D"/>
    <w:rsid w:val="00ED0FBA"/>
    <w:rsid w:val="00ED1739"/>
    <w:rsid w:val="00ED1D79"/>
    <w:rsid w:val="00ED1F37"/>
    <w:rsid w:val="00ED20BE"/>
    <w:rsid w:val="00ED2361"/>
    <w:rsid w:val="00ED23E6"/>
    <w:rsid w:val="00ED2E2F"/>
    <w:rsid w:val="00ED2E7C"/>
    <w:rsid w:val="00ED305F"/>
    <w:rsid w:val="00ED3142"/>
    <w:rsid w:val="00ED4038"/>
    <w:rsid w:val="00ED4928"/>
    <w:rsid w:val="00ED49F4"/>
    <w:rsid w:val="00ED5162"/>
    <w:rsid w:val="00ED6C6C"/>
    <w:rsid w:val="00ED6FD8"/>
    <w:rsid w:val="00ED7796"/>
    <w:rsid w:val="00EE096F"/>
    <w:rsid w:val="00EE0ACF"/>
    <w:rsid w:val="00EE182C"/>
    <w:rsid w:val="00EE19B2"/>
    <w:rsid w:val="00EE1E13"/>
    <w:rsid w:val="00EE22F0"/>
    <w:rsid w:val="00EE2DEC"/>
    <w:rsid w:val="00EE2F45"/>
    <w:rsid w:val="00EE3124"/>
    <w:rsid w:val="00EE3BD3"/>
    <w:rsid w:val="00EE3CE1"/>
    <w:rsid w:val="00EE457D"/>
    <w:rsid w:val="00EE5A17"/>
    <w:rsid w:val="00EE5B2E"/>
    <w:rsid w:val="00EE6190"/>
    <w:rsid w:val="00EE6280"/>
    <w:rsid w:val="00EE776C"/>
    <w:rsid w:val="00EE7AC5"/>
    <w:rsid w:val="00EE7C0F"/>
    <w:rsid w:val="00EF030A"/>
    <w:rsid w:val="00EF0E47"/>
    <w:rsid w:val="00EF19F5"/>
    <w:rsid w:val="00EF1F4F"/>
    <w:rsid w:val="00EF2E3A"/>
    <w:rsid w:val="00EF3918"/>
    <w:rsid w:val="00EF3BC2"/>
    <w:rsid w:val="00EF3C10"/>
    <w:rsid w:val="00EF42BA"/>
    <w:rsid w:val="00EF46A2"/>
    <w:rsid w:val="00EF4FD8"/>
    <w:rsid w:val="00EF566D"/>
    <w:rsid w:val="00EF5E2C"/>
    <w:rsid w:val="00EF6083"/>
    <w:rsid w:val="00EF6402"/>
    <w:rsid w:val="00EF6C5C"/>
    <w:rsid w:val="00EF71D9"/>
    <w:rsid w:val="00EF776A"/>
    <w:rsid w:val="00EF7C5D"/>
    <w:rsid w:val="00F00525"/>
    <w:rsid w:val="00F006B6"/>
    <w:rsid w:val="00F01B3A"/>
    <w:rsid w:val="00F01D9C"/>
    <w:rsid w:val="00F02BCD"/>
    <w:rsid w:val="00F030E8"/>
    <w:rsid w:val="00F03803"/>
    <w:rsid w:val="00F043EC"/>
    <w:rsid w:val="00F04700"/>
    <w:rsid w:val="00F047E2"/>
    <w:rsid w:val="00F04978"/>
    <w:rsid w:val="00F04D57"/>
    <w:rsid w:val="00F04E8D"/>
    <w:rsid w:val="00F055C6"/>
    <w:rsid w:val="00F0588A"/>
    <w:rsid w:val="00F05B85"/>
    <w:rsid w:val="00F05CC6"/>
    <w:rsid w:val="00F05E55"/>
    <w:rsid w:val="00F078DC"/>
    <w:rsid w:val="00F07D51"/>
    <w:rsid w:val="00F1132B"/>
    <w:rsid w:val="00F11FE7"/>
    <w:rsid w:val="00F11FE8"/>
    <w:rsid w:val="00F12957"/>
    <w:rsid w:val="00F129CB"/>
    <w:rsid w:val="00F13E86"/>
    <w:rsid w:val="00F15F97"/>
    <w:rsid w:val="00F16FD6"/>
    <w:rsid w:val="00F17249"/>
    <w:rsid w:val="00F17DAD"/>
    <w:rsid w:val="00F17FE2"/>
    <w:rsid w:val="00F2055B"/>
    <w:rsid w:val="00F206E0"/>
    <w:rsid w:val="00F2105A"/>
    <w:rsid w:val="00F212B0"/>
    <w:rsid w:val="00F218EA"/>
    <w:rsid w:val="00F22503"/>
    <w:rsid w:val="00F24246"/>
    <w:rsid w:val="00F24326"/>
    <w:rsid w:val="00F2588F"/>
    <w:rsid w:val="00F2701F"/>
    <w:rsid w:val="00F27C19"/>
    <w:rsid w:val="00F27DC4"/>
    <w:rsid w:val="00F30FC8"/>
    <w:rsid w:val="00F319F6"/>
    <w:rsid w:val="00F31B00"/>
    <w:rsid w:val="00F31C8C"/>
    <w:rsid w:val="00F327EB"/>
    <w:rsid w:val="00F32959"/>
    <w:rsid w:val="00F32ECB"/>
    <w:rsid w:val="00F32FCB"/>
    <w:rsid w:val="00F33099"/>
    <w:rsid w:val="00F333CF"/>
    <w:rsid w:val="00F33AF8"/>
    <w:rsid w:val="00F351BF"/>
    <w:rsid w:val="00F35655"/>
    <w:rsid w:val="00F35AEB"/>
    <w:rsid w:val="00F36C5E"/>
    <w:rsid w:val="00F374B0"/>
    <w:rsid w:val="00F37641"/>
    <w:rsid w:val="00F37E4C"/>
    <w:rsid w:val="00F411EC"/>
    <w:rsid w:val="00F423E4"/>
    <w:rsid w:val="00F42509"/>
    <w:rsid w:val="00F45178"/>
    <w:rsid w:val="00F457A1"/>
    <w:rsid w:val="00F45C08"/>
    <w:rsid w:val="00F46818"/>
    <w:rsid w:val="00F46B7A"/>
    <w:rsid w:val="00F46E6C"/>
    <w:rsid w:val="00F47269"/>
    <w:rsid w:val="00F510A3"/>
    <w:rsid w:val="00F51460"/>
    <w:rsid w:val="00F51DA7"/>
    <w:rsid w:val="00F53665"/>
    <w:rsid w:val="00F53893"/>
    <w:rsid w:val="00F5423C"/>
    <w:rsid w:val="00F5481E"/>
    <w:rsid w:val="00F5483D"/>
    <w:rsid w:val="00F54B1B"/>
    <w:rsid w:val="00F552EA"/>
    <w:rsid w:val="00F556BF"/>
    <w:rsid w:val="00F558E6"/>
    <w:rsid w:val="00F55BCE"/>
    <w:rsid w:val="00F55E42"/>
    <w:rsid w:val="00F56298"/>
    <w:rsid w:val="00F5689C"/>
    <w:rsid w:val="00F56CC5"/>
    <w:rsid w:val="00F5796C"/>
    <w:rsid w:val="00F57E0A"/>
    <w:rsid w:val="00F60314"/>
    <w:rsid w:val="00F60342"/>
    <w:rsid w:val="00F60819"/>
    <w:rsid w:val="00F60C28"/>
    <w:rsid w:val="00F613D7"/>
    <w:rsid w:val="00F61B65"/>
    <w:rsid w:val="00F61F8F"/>
    <w:rsid w:val="00F63079"/>
    <w:rsid w:val="00F638CB"/>
    <w:rsid w:val="00F63A9B"/>
    <w:rsid w:val="00F65769"/>
    <w:rsid w:val="00F65777"/>
    <w:rsid w:val="00F658DF"/>
    <w:rsid w:val="00F66109"/>
    <w:rsid w:val="00F66212"/>
    <w:rsid w:val="00F66AC9"/>
    <w:rsid w:val="00F66AFB"/>
    <w:rsid w:val="00F6709F"/>
    <w:rsid w:val="00F677A9"/>
    <w:rsid w:val="00F67AF4"/>
    <w:rsid w:val="00F700AF"/>
    <w:rsid w:val="00F718EF"/>
    <w:rsid w:val="00F71A90"/>
    <w:rsid w:val="00F732EA"/>
    <w:rsid w:val="00F736CE"/>
    <w:rsid w:val="00F73C86"/>
    <w:rsid w:val="00F73C9B"/>
    <w:rsid w:val="00F73EC7"/>
    <w:rsid w:val="00F74956"/>
    <w:rsid w:val="00F75062"/>
    <w:rsid w:val="00F75975"/>
    <w:rsid w:val="00F767DE"/>
    <w:rsid w:val="00F77161"/>
    <w:rsid w:val="00F771D8"/>
    <w:rsid w:val="00F778A1"/>
    <w:rsid w:val="00F820C2"/>
    <w:rsid w:val="00F826C7"/>
    <w:rsid w:val="00F836B0"/>
    <w:rsid w:val="00F83C9A"/>
    <w:rsid w:val="00F83F99"/>
    <w:rsid w:val="00F843AD"/>
    <w:rsid w:val="00F84CF5"/>
    <w:rsid w:val="00F8527F"/>
    <w:rsid w:val="00F8612E"/>
    <w:rsid w:val="00F874D0"/>
    <w:rsid w:val="00F8754A"/>
    <w:rsid w:val="00F877B3"/>
    <w:rsid w:val="00F877FB"/>
    <w:rsid w:val="00F91605"/>
    <w:rsid w:val="00F91B58"/>
    <w:rsid w:val="00F91BBC"/>
    <w:rsid w:val="00F91BE4"/>
    <w:rsid w:val="00F9225B"/>
    <w:rsid w:val="00F927D2"/>
    <w:rsid w:val="00F9306E"/>
    <w:rsid w:val="00F93335"/>
    <w:rsid w:val="00F93A7B"/>
    <w:rsid w:val="00F943B4"/>
    <w:rsid w:val="00F952E8"/>
    <w:rsid w:val="00F957B8"/>
    <w:rsid w:val="00F95B3C"/>
    <w:rsid w:val="00F95C74"/>
    <w:rsid w:val="00F96016"/>
    <w:rsid w:val="00F96911"/>
    <w:rsid w:val="00F96C64"/>
    <w:rsid w:val="00F97454"/>
    <w:rsid w:val="00FA06C1"/>
    <w:rsid w:val="00FA084E"/>
    <w:rsid w:val="00FA10FD"/>
    <w:rsid w:val="00FA1539"/>
    <w:rsid w:val="00FA1AD4"/>
    <w:rsid w:val="00FA2078"/>
    <w:rsid w:val="00FA2368"/>
    <w:rsid w:val="00FA299F"/>
    <w:rsid w:val="00FA2CA2"/>
    <w:rsid w:val="00FA3842"/>
    <w:rsid w:val="00FA420B"/>
    <w:rsid w:val="00FA4BCB"/>
    <w:rsid w:val="00FA6AE8"/>
    <w:rsid w:val="00FA6BBC"/>
    <w:rsid w:val="00FA742C"/>
    <w:rsid w:val="00FB0FEB"/>
    <w:rsid w:val="00FB148E"/>
    <w:rsid w:val="00FB14DA"/>
    <w:rsid w:val="00FB1B0F"/>
    <w:rsid w:val="00FB2209"/>
    <w:rsid w:val="00FB271E"/>
    <w:rsid w:val="00FB2E7A"/>
    <w:rsid w:val="00FB3B01"/>
    <w:rsid w:val="00FB4594"/>
    <w:rsid w:val="00FB4EB7"/>
    <w:rsid w:val="00FB4F68"/>
    <w:rsid w:val="00FB50BC"/>
    <w:rsid w:val="00FB5523"/>
    <w:rsid w:val="00FB5A28"/>
    <w:rsid w:val="00FB6CB2"/>
    <w:rsid w:val="00FB6D49"/>
    <w:rsid w:val="00FB7C47"/>
    <w:rsid w:val="00FC036A"/>
    <w:rsid w:val="00FC03F1"/>
    <w:rsid w:val="00FC10D2"/>
    <w:rsid w:val="00FC12FA"/>
    <w:rsid w:val="00FC15B3"/>
    <w:rsid w:val="00FC2AB7"/>
    <w:rsid w:val="00FC2B2C"/>
    <w:rsid w:val="00FC2DE1"/>
    <w:rsid w:val="00FC2E12"/>
    <w:rsid w:val="00FC37B9"/>
    <w:rsid w:val="00FC3E5B"/>
    <w:rsid w:val="00FC4A3D"/>
    <w:rsid w:val="00FC4DB6"/>
    <w:rsid w:val="00FC5B91"/>
    <w:rsid w:val="00FC6845"/>
    <w:rsid w:val="00FC6C56"/>
    <w:rsid w:val="00FC7F7C"/>
    <w:rsid w:val="00FD02E5"/>
    <w:rsid w:val="00FD05C5"/>
    <w:rsid w:val="00FD0703"/>
    <w:rsid w:val="00FD0C88"/>
    <w:rsid w:val="00FD0D81"/>
    <w:rsid w:val="00FD13B0"/>
    <w:rsid w:val="00FD242E"/>
    <w:rsid w:val="00FD29D6"/>
    <w:rsid w:val="00FD46C0"/>
    <w:rsid w:val="00FD67BB"/>
    <w:rsid w:val="00FD7E7F"/>
    <w:rsid w:val="00FE01A4"/>
    <w:rsid w:val="00FE05AC"/>
    <w:rsid w:val="00FE0781"/>
    <w:rsid w:val="00FE088E"/>
    <w:rsid w:val="00FE0B70"/>
    <w:rsid w:val="00FE0CB4"/>
    <w:rsid w:val="00FE0E48"/>
    <w:rsid w:val="00FE0F0D"/>
    <w:rsid w:val="00FE20A7"/>
    <w:rsid w:val="00FE2951"/>
    <w:rsid w:val="00FE30A8"/>
    <w:rsid w:val="00FE371D"/>
    <w:rsid w:val="00FE3BC8"/>
    <w:rsid w:val="00FE4C45"/>
    <w:rsid w:val="00FE5603"/>
    <w:rsid w:val="00FE5F6B"/>
    <w:rsid w:val="00FE6866"/>
    <w:rsid w:val="00FE7274"/>
    <w:rsid w:val="00FE7487"/>
    <w:rsid w:val="00FE771B"/>
    <w:rsid w:val="00FF00E2"/>
    <w:rsid w:val="00FF051C"/>
    <w:rsid w:val="00FF20B7"/>
    <w:rsid w:val="00FF24A8"/>
    <w:rsid w:val="00FF2D00"/>
    <w:rsid w:val="00FF308F"/>
    <w:rsid w:val="00FF33F0"/>
    <w:rsid w:val="00FF36D0"/>
    <w:rsid w:val="00FF39DE"/>
    <w:rsid w:val="00FF4AE1"/>
    <w:rsid w:val="00FF4BA2"/>
    <w:rsid w:val="00FF4CD3"/>
    <w:rsid w:val="00FF4F6D"/>
    <w:rsid w:val="00FF57AA"/>
    <w:rsid w:val="00FF592A"/>
    <w:rsid w:val="00FF5B09"/>
    <w:rsid w:val="00FF65A9"/>
    <w:rsid w:val="00FF6E86"/>
    <w:rsid w:val="00FF7242"/>
    <w:rsid w:val="4E6A71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B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545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52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52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52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52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52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52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52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link w:val="notedraftChar"/>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0F9E"/>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customStyle="1" w:styleId="TOC51">
    <w:name w:val="TOC 51"/>
    <w:basedOn w:val="OPCParaBase"/>
    <w:next w:val="Normal"/>
    <w:uiPriority w:val="39"/>
    <w:unhideWhenUsed/>
    <w:rsid w:val="004748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3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5268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AE0F9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7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7D64"/>
    <w:rPr>
      <w:sz w:val="22"/>
    </w:rPr>
  </w:style>
  <w:style w:type="paragraph" w:customStyle="1" w:styleId="SOTextNote">
    <w:name w:val="SO TextNote"/>
    <w:aliases w:val="sont"/>
    <w:basedOn w:val="SOText"/>
    <w:qFormat/>
    <w:rsid w:val="00D95891"/>
    <w:pPr>
      <w:spacing w:before="122" w:line="198" w:lineRule="exact"/>
      <w:ind w:left="1843" w:hanging="709"/>
    </w:pPr>
    <w:rPr>
      <w:sz w:val="18"/>
    </w:rPr>
  </w:style>
  <w:style w:type="paragraph" w:customStyle="1" w:styleId="SOPara">
    <w:name w:val="SO Para"/>
    <w:aliases w:val="soa"/>
    <w:basedOn w:val="SOText"/>
    <w:link w:val="SOParaChar"/>
    <w:qFormat/>
    <w:rsid w:val="007A35E6"/>
    <w:pPr>
      <w:tabs>
        <w:tab w:val="right" w:pos="1786"/>
      </w:tabs>
      <w:spacing w:before="40"/>
      <w:ind w:left="2070" w:hanging="936"/>
    </w:pPr>
  </w:style>
  <w:style w:type="character" w:customStyle="1" w:styleId="SOParaChar">
    <w:name w:val="SO Para Char"/>
    <w:aliases w:val="soa Char"/>
    <w:basedOn w:val="DefaultParagraphFont"/>
    <w:link w:val="SOPara"/>
    <w:rsid w:val="007A35E6"/>
    <w:rPr>
      <w:sz w:val="22"/>
    </w:rPr>
  </w:style>
  <w:style w:type="paragraph" w:customStyle="1" w:styleId="FileName">
    <w:name w:val="FileName"/>
    <w:basedOn w:val="Normal"/>
    <w:rsid w:val="00117277"/>
  </w:style>
  <w:style w:type="paragraph" w:customStyle="1" w:styleId="TableHeading">
    <w:name w:val="TableHeading"/>
    <w:aliases w:val="th"/>
    <w:basedOn w:val="OPCParaBase"/>
    <w:next w:val="Tabletext"/>
    <w:rsid w:val="00A5165B"/>
    <w:pPr>
      <w:keepNext/>
      <w:spacing w:before="60" w:line="240" w:lineRule="atLeast"/>
    </w:pPr>
    <w:rPr>
      <w:b/>
      <w:sz w:val="20"/>
    </w:rPr>
  </w:style>
  <w:style w:type="paragraph" w:customStyle="1" w:styleId="SOHeadBold">
    <w:name w:val="SO HeadBold"/>
    <w:aliases w:val="sohb"/>
    <w:basedOn w:val="SOText"/>
    <w:next w:val="SOText"/>
    <w:link w:val="SOHeadBoldChar"/>
    <w:qFormat/>
    <w:rsid w:val="008D5B99"/>
    <w:rPr>
      <w:b/>
    </w:rPr>
  </w:style>
  <w:style w:type="character" w:customStyle="1" w:styleId="SOHeadBoldChar">
    <w:name w:val="SO HeadBold Char"/>
    <w:aliases w:val="sohb Char"/>
    <w:basedOn w:val="DefaultParagraphFont"/>
    <w:link w:val="SOHeadBold"/>
    <w:rsid w:val="008D5B99"/>
    <w:rPr>
      <w:b/>
      <w:sz w:val="22"/>
    </w:rPr>
  </w:style>
  <w:style w:type="paragraph" w:customStyle="1" w:styleId="SOHeadItalic">
    <w:name w:val="SO HeadItalic"/>
    <w:aliases w:val="sohi"/>
    <w:basedOn w:val="SOText"/>
    <w:next w:val="SOText"/>
    <w:link w:val="SOHeadItalicChar"/>
    <w:qFormat/>
    <w:rsid w:val="00983419"/>
    <w:rPr>
      <w:i/>
    </w:rPr>
  </w:style>
  <w:style w:type="character" w:customStyle="1" w:styleId="SOHeadItalicChar">
    <w:name w:val="SO HeadItalic Char"/>
    <w:aliases w:val="sohi Char"/>
    <w:basedOn w:val="DefaultParagraphFont"/>
    <w:link w:val="SOHeadItalic"/>
    <w:rsid w:val="00983419"/>
    <w:rPr>
      <w:i/>
      <w:sz w:val="22"/>
    </w:rPr>
  </w:style>
  <w:style w:type="paragraph" w:customStyle="1" w:styleId="SOBullet">
    <w:name w:val="SO Bullet"/>
    <w:aliases w:val="sotb"/>
    <w:basedOn w:val="SOText"/>
    <w:link w:val="SOBulletChar"/>
    <w:qFormat/>
    <w:rsid w:val="003F0F5A"/>
    <w:pPr>
      <w:ind w:left="1559" w:hanging="425"/>
    </w:pPr>
  </w:style>
  <w:style w:type="character" w:customStyle="1" w:styleId="SOBulletChar">
    <w:name w:val="SO Bullet Char"/>
    <w:aliases w:val="sotb Char"/>
    <w:basedOn w:val="DefaultParagraphFont"/>
    <w:link w:val="SOBullet"/>
    <w:rsid w:val="003F0F5A"/>
    <w:rPr>
      <w:sz w:val="22"/>
    </w:rPr>
  </w:style>
  <w:style w:type="paragraph" w:customStyle="1" w:styleId="SOBulletNote">
    <w:name w:val="SO BulletNote"/>
    <w:aliases w:val="sonb"/>
    <w:basedOn w:val="SOTextNote"/>
    <w:link w:val="SOBulletNoteChar"/>
    <w:qFormat/>
    <w:rsid w:val="00DB5CB4"/>
    <w:pPr>
      <w:tabs>
        <w:tab w:val="left" w:pos="1560"/>
      </w:tabs>
      <w:ind w:left="2268" w:hanging="1134"/>
    </w:pPr>
  </w:style>
  <w:style w:type="character" w:customStyle="1" w:styleId="SOBulletNoteChar">
    <w:name w:val="SO BulletNote Char"/>
    <w:aliases w:val="sonb Char"/>
    <w:basedOn w:val="DefaultParagraphFont"/>
    <w:link w:val="SOBulletNote"/>
    <w:rsid w:val="00DB5CB4"/>
    <w:rPr>
      <w:sz w:val="18"/>
    </w:rPr>
  </w:style>
  <w:style w:type="paragraph" w:customStyle="1" w:styleId="SOText2">
    <w:name w:val="SO Text2"/>
    <w:aliases w:val="sot2"/>
    <w:basedOn w:val="Normal"/>
    <w:next w:val="SOText"/>
    <w:link w:val="SOText2Char"/>
    <w:rsid w:val="00332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E0D"/>
    <w:rPr>
      <w:sz w:val="22"/>
    </w:rPr>
  </w:style>
  <w:style w:type="paragraph" w:customStyle="1" w:styleId="SubPartCASA">
    <w:name w:val="SubPart(CASA)"/>
    <w:aliases w:val="csp"/>
    <w:basedOn w:val="OPCParaBase"/>
    <w:next w:val="ActHead3"/>
    <w:rsid w:val="004261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52CC"/>
    <w:rPr>
      <w:rFonts w:eastAsia="Times New Roman" w:cs="Times New Roman"/>
      <w:sz w:val="22"/>
      <w:lang w:eastAsia="en-AU"/>
    </w:rPr>
  </w:style>
  <w:style w:type="character" w:customStyle="1" w:styleId="notetextChar">
    <w:name w:val="note(text) Char"/>
    <w:aliases w:val="n Char,n_Main Char"/>
    <w:basedOn w:val="DefaultParagraphFont"/>
    <w:link w:val="notetext"/>
    <w:rsid w:val="005452CC"/>
    <w:rPr>
      <w:rFonts w:eastAsia="Times New Roman" w:cs="Times New Roman"/>
      <w:sz w:val="18"/>
      <w:lang w:eastAsia="en-AU"/>
    </w:rPr>
  </w:style>
  <w:style w:type="character" w:customStyle="1" w:styleId="Heading1Char">
    <w:name w:val="Heading 1 Char"/>
    <w:basedOn w:val="DefaultParagraphFont"/>
    <w:link w:val="Heading1"/>
    <w:uiPriority w:val="9"/>
    <w:rsid w:val="00545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5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52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52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52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52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52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52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52CC"/>
    <w:rPr>
      <w:rFonts w:asciiTheme="majorHAnsi" w:eastAsiaTheme="majorEastAsia" w:hAnsiTheme="majorHAnsi" w:cstheme="majorBidi"/>
      <w:i/>
      <w:iCs/>
      <w:color w:val="404040" w:themeColor="text1" w:themeTint="BF"/>
    </w:rPr>
  </w:style>
  <w:style w:type="character" w:customStyle="1" w:styleId="TabletextChar">
    <w:name w:val="Tabletext Char"/>
    <w:aliases w:val="tt Char"/>
    <w:basedOn w:val="DefaultParagraphFont"/>
    <w:link w:val="Tabletext"/>
    <w:rsid w:val="00A9655F"/>
    <w:rPr>
      <w:rFonts w:eastAsia="Times New Roman" w:cs="Times New Roman"/>
      <w:lang w:eastAsia="en-AU"/>
    </w:rPr>
  </w:style>
  <w:style w:type="character" w:customStyle="1" w:styleId="paragraphChar">
    <w:name w:val="paragraph Char"/>
    <w:aliases w:val="a Char"/>
    <w:link w:val="paragraph"/>
    <w:locked/>
    <w:rsid w:val="00A466B3"/>
    <w:rPr>
      <w:rFonts w:eastAsia="Times New Roman" w:cs="Times New Roman"/>
      <w:sz w:val="22"/>
      <w:lang w:eastAsia="en-AU"/>
    </w:rPr>
  </w:style>
  <w:style w:type="paragraph" w:styleId="CommentText">
    <w:name w:val="annotation text"/>
    <w:basedOn w:val="Normal"/>
    <w:link w:val="CommentTextChar"/>
    <w:uiPriority w:val="99"/>
    <w:rsid w:val="00A466B3"/>
    <w:rPr>
      <w:sz w:val="20"/>
    </w:rPr>
  </w:style>
  <w:style w:type="character" w:customStyle="1" w:styleId="CommentTextChar">
    <w:name w:val="Comment Text Char"/>
    <w:basedOn w:val="DefaultParagraphFont"/>
    <w:link w:val="CommentText"/>
    <w:uiPriority w:val="99"/>
    <w:rsid w:val="00A466B3"/>
  </w:style>
  <w:style w:type="character" w:styleId="CommentReference">
    <w:name w:val="annotation reference"/>
    <w:basedOn w:val="DefaultParagraphFont"/>
    <w:rsid w:val="00A466B3"/>
    <w:rPr>
      <w:sz w:val="16"/>
      <w:szCs w:val="16"/>
    </w:rPr>
  </w:style>
  <w:style w:type="character" w:customStyle="1" w:styleId="ActHead5Char">
    <w:name w:val="ActHead 5 Char"/>
    <w:aliases w:val="s Char"/>
    <w:link w:val="ActHead5"/>
    <w:rsid w:val="00A466B3"/>
    <w:rPr>
      <w:rFonts w:eastAsia="Times New Roman" w:cs="Times New Roman"/>
      <w:b/>
      <w:kern w:val="28"/>
      <w:sz w:val="24"/>
      <w:lang w:eastAsia="en-AU"/>
    </w:rPr>
  </w:style>
  <w:style w:type="character" w:customStyle="1" w:styleId="ItemHeadChar">
    <w:name w:val="ItemHead Char"/>
    <w:aliases w:val="ih Char"/>
    <w:link w:val="ItemHead"/>
    <w:rsid w:val="00FE771B"/>
    <w:rPr>
      <w:rFonts w:ascii="Arial" w:eastAsia="Times New Roman" w:hAnsi="Arial"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F0588A"/>
    <w:pPr>
      <w:spacing w:line="240" w:lineRule="auto"/>
    </w:pPr>
    <w:rPr>
      <w:b/>
      <w:bCs/>
    </w:rPr>
  </w:style>
  <w:style w:type="character" w:customStyle="1" w:styleId="CommentSubjectChar">
    <w:name w:val="Comment Subject Char"/>
    <w:basedOn w:val="CommentTextChar"/>
    <w:link w:val="CommentSubject"/>
    <w:uiPriority w:val="99"/>
    <w:semiHidden/>
    <w:rsid w:val="00F0588A"/>
    <w:rPr>
      <w:b/>
      <w:bCs/>
    </w:rPr>
  </w:style>
  <w:style w:type="paragraph" w:customStyle="1" w:styleId="nDrafterComment">
    <w:name w:val="n_Drafter_Comment"/>
    <w:basedOn w:val="Normal"/>
    <w:link w:val="nDrafterCommentChar"/>
    <w:qFormat/>
    <w:rsid w:val="0076083A"/>
    <w:pPr>
      <w:spacing w:before="80"/>
    </w:pPr>
    <w:rPr>
      <w:rFonts w:ascii="Arial" w:eastAsia="Calibri" w:hAnsi="Arial" w:cs="Times New Roman"/>
      <w:color w:val="7030A0"/>
    </w:rPr>
  </w:style>
  <w:style w:type="paragraph" w:customStyle="1" w:styleId="TableAAA">
    <w:name w:val="Table(AAA)"/>
    <w:basedOn w:val="TableAA"/>
    <w:autoRedefine/>
    <w:rsid w:val="000E1BD3"/>
    <w:pPr>
      <w:tabs>
        <w:tab w:val="clear" w:pos="-6543"/>
        <w:tab w:val="clear" w:pos="-6260"/>
        <w:tab w:val="right" w:pos="1701"/>
      </w:tabs>
      <w:spacing w:before="40" w:after="40"/>
      <w:ind w:left="1701" w:hanging="397"/>
    </w:pPr>
  </w:style>
  <w:style w:type="character" w:customStyle="1" w:styleId="nDrafterCommentChar">
    <w:name w:val="n_Drafter_Comment Char"/>
    <w:basedOn w:val="DefaultParagraphFont"/>
    <w:link w:val="nDrafterComment"/>
    <w:locked/>
    <w:rsid w:val="0076083A"/>
    <w:rPr>
      <w:rFonts w:ascii="Arial" w:eastAsia="Calibri" w:hAnsi="Arial" w:cs="Times New Roman"/>
      <w:color w:val="7030A0"/>
      <w:sz w:val="22"/>
    </w:rPr>
  </w:style>
  <w:style w:type="paragraph" w:customStyle="1" w:styleId="PlainParagraph">
    <w:name w:val="Plain Paragraph"/>
    <w:aliases w:val="PP,Article Plain Paragraph,The imTHePreviouslyPlain Paragraph"/>
    <w:basedOn w:val="Normal"/>
    <w:link w:val="PlainParagraphChar"/>
    <w:qFormat/>
    <w:rsid w:val="0014157C"/>
    <w:pPr>
      <w:spacing w:before="140" w:after="140" w:line="280" w:lineRule="atLeast"/>
    </w:pPr>
    <w:rPr>
      <w:rFonts w:ascii="Arial" w:eastAsia="Times New Roman" w:hAnsi="Arial" w:cs="Arial"/>
      <w:szCs w:val="22"/>
      <w:lang w:eastAsia="en-AU"/>
    </w:rPr>
  </w:style>
  <w:style w:type="character" w:customStyle="1" w:styleId="PlainParagraphChar">
    <w:name w:val="Plain Paragraph Char"/>
    <w:aliases w:val="PP Char,Article Plain Paragraph Char,The imTHePreviouslyPlain Paragraph Char"/>
    <w:basedOn w:val="DefaultParagraphFont"/>
    <w:link w:val="PlainParagraph"/>
    <w:rsid w:val="0014157C"/>
    <w:rPr>
      <w:rFonts w:ascii="Arial" w:eastAsia="Times New Roman" w:hAnsi="Arial" w:cs="Arial"/>
      <w:sz w:val="22"/>
      <w:szCs w:val="22"/>
      <w:lang w:eastAsia="en-AU"/>
    </w:rPr>
  </w:style>
  <w:style w:type="character" w:styleId="Hyperlink">
    <w:name w:val="Hyperlink"/>
    <w:basedOn w:val="DefaultParagraphFont"/>
    <w:uiPriority w:val="99"/>
    <w:unhideWhenUsed/>
    <w:rsid w:val="00B65C1C"/>
    <w:rPr>
      <w:color w:val="0000FF" w:themeColor="hyperlink"/>
      <w:u w:val="single"/>
    </w:rPr>
  </w:style>
  <w:style w:type="character" w:styleId="UnresolvedMention">
    <w:name w:val="Unresolved Mention"/>
    <w:basedOn w:val="DefaultParagraphFont"/>
    <w:uiPriority w:val="99"/>
    <w:semiHidden/>
    <w:unhideWhenUsed/>
    <w:rsid w:val="00B65C1C"/>
    <w:rPr>
      <w:color w:val="605E5C"/>
      <w:shd w:val="clear" w:color="auto" w:fill="E1DFDD"/>
    </w:rPr>
  </w:style>
  <w:style w:type="paragraph" w:customStyle="1" w:styleId="subsection20">
    <w:name w:val="subsection_2"/>
    <w:basedOn w:val="subsection"/>
    <w:autoRedefine/>
    <w:rsid w:val="00BA3538"/>
    <w:pPr>
      <w:spacing w:before="40"/>
    </w:pPr>
  </w:style>
  <w:style w:type="paragraph" w:customStyle="1" w:styleId="ttDraftstrip">
    <w:name w:val="tt_Draft_strip"/>
    <w:basedOn w:val="Normal"/>
    <w:qFormat/>
    <w:rsid w:val="008A575D"/>
    <w:pPr>
      <w:shd w:val="clear" w:color="auto" w:fill="99CCFF"/>
      <w:tabs>
        <w:tab w:val="center" w:pos="4253"/>
        <w:tab w:val="right" w:pos="8505"/>
      </w:tabs>
      <w:spacing w:before="400" w:after="300"/>
    </w:pPr>
    <w:rPr>
      <w:rFonts w:ascii="Arial" w:eastAsia="Calibri" w:hAnsi="Arial" w:cs="Arial"/>
      <w:b/>
      <w:sz w:val="32"/>
      <w:szCs w:val="32"/>
    </w:rPr>
  </w:style>
  <w:style w:type="paragraph" w:styleId="Bibliography">
    <w:name w:val="Bibliography"/>
    <w:basedOn w:val="Normal"/>
    <w:next w:val="Normal"/>
    <w:uiPriority w:val="37"/>
    <w:semiHidden/>
    <w:unhideWhenUsed/>
    <w:rsid w:val="00720F9E"/>
  </w:style>
  <w:style w:type="paragraph" w:styleId="BlockText">
    <w:name w:val="Block Text"/>
    <w:basedOn w:val="Normal"/>
    <w:uiPriority w:val="99"/>
    <w:semiHidden/>
    <w:unhideWhenUsed/>
    <w:rsid w:val="00720F9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20F9E"/>
    <w:pPr>
      <w:spacing w:after="120"/>
    </w:pPr>
  </w:style>
  <w:style w:type="character" w:customStyle="1" w:styleId="BodyTextChar">
    <w:name w:val="Body Text Char"/>
    <w:basedOn w:val="DefaultParagraphFont"/>
    <w:link w:val="BodyText"/>
    <w:uiPriority w:val="99"/>
    <w:semiHidden/>
    <w:rsid w:val="00720F9E"/>
    <w:rPr>
      <w:sz w:val="22"/>
    </w:rPr>
  </w:style>
  <w:style w:type="paragraph" w:styleId="BodyText2">
    <w:name w:val="Body Text 2"/>
    <w:basedOn w:val="Normal"/>
    <w:link w:val="BodyText2Char"/>
    <w:uiPriority w:val="99"/>
    <w:semiHidden/>
    <w:unhideWhenUsed/>
    <w:rsid w:val="00720F9E"/>
    <w:pPr>
      <w:spacing w:after="120" w:line="480" w:lineRule="auto"/>
    </w:pPr>
  </w:style>
  <w:style w:type="character" w:customStyle="1" w:styleId="BodyText2Char">
    <w:name w:val="Body Text 2 Char"/>
    <w:basedOn w:val="DefaultParagraphFont"/>
    <w:link w:val="BodyText2"/>
    <w:uiPriority w:val="99"/>
    <w:semiHidden/>
    <w:rsid w:val="00720F9E"/>
    <w:rPr>
      <w:sz w:val="22"/>
    </w:rPr>
  </w:style>
  <w:style w:type="paragraph" w:styleId="BodyText3">
    <w:name w:val="Body Text 3"/>
    <w:basedOn w:val="Normal"/>
    <w:link w:val="BodyText3Char"/>
    <w:uiPriority w:val="99"/>
    <w:semiHidden/>
    <w:unhideWhenUsed/>
    <w:rsid w:val="00720F9E"/>
    <w:pPr>
      <w:spacing w:after="120"/>
    </w:pPr>
    <w:rPr>
      <w:sz w:val="16"/>
      <w:szCs w:val="16"/>
    </w:rPr>
  </w:style>
  <w:style w:type="character" w:customStyle="1" w:styleId="BodyText3Char">
    <w:name w:val="Body Text 3 Char"/>
    <w:basedOn w:val="DefaultParagraphFont"/>
    <w:link w:val="BodyText3"/>
    <w:uiPriority w:val="99"/>
    <w:semiHidden/>
    <w:rsid w:val="00720F9E"/>
    <w:rPr>
      <w:sz w:val="16"/>
      <w:szCs w:val="16"/>
    </w:rPr>
  </w:style>
  <w:style w:type="paragraph" w:styleId="BodyTextFirstIndent">
    <w:name w:val="Body Text First Indent"/>
    <w:basedOn w:val="BodyText"/>
    <w:link w:val="BodyTextFirstIndentChar"/>
    <w:uiPriority w:val="99"/>
    <w:semiHidden/>
    <w:unhideWhenUsed/>
    <w:rsid w:val="00720F9E"/>
    <w:pPr>
      <w:spacing w:after="0"/>
      <w:ind w:firstLine="360"/>
    </w:pPr>
  </w:style>
  <w:style w:type="character" w:customStyle="1" w:styleId="BodyTextFirstIndentChar">
    <w:name w:val="Body Text First Indent Char"/>
    <w:basedOn w:val="BodyTextChar"/>
    <w:link w:val="BodyTextFirstIndent"/>
    <w:uiPriority w:val="99"/>
    <w:semiHidden/>
    <w:rsid w:val="00720F9E"/>
    <w:rPr>
      <w:sz w:val="22"/>
    </w:rPr>
  </w:style>
  <w:style w:type="paragraph" w:styleId="BodyTextIndent">
    <w:name w:val="Body Text Indent"/>
    <w:basedOn w:val="Normal"/>
    <w:link w:val="BodyTextIndentChar"/>
    <w:uiPriority w:val="99"/>
    <w:semiHidden/>
    <w:unhideWhenUsed/>
    <w:rsid w:val="00720F9E"/>
    <w:pPr>
      <w:spacing w:after="120"/>
      <w:ind w:left="283"/>
    </w:pPr>
  </w:style>
  <w:style w:type="character" w:customStyle="1" w:styleId="BodyTextIndentChar">
    <w:name w:val="Body Text Indent Char"/>
    <w:basedOn w:val="DefaultParagraphFont"/>
    <w:link w:val="BodyTextIndent"/>
    <w:uiPriority w:val="99"/>
    <w:semiHidden/>
    <w:rsid w:val="00720F9E"/>
    <w:rPr>
      <w:sz w:val="22"/>
    </w:rPr>
  </w:style>
  <w:style w:type="paragraph" w:styleId="BodyTextFirstIndent2">
    <w:name w:val="Body Text First Indent 2"/>
    <w:basedOn w:val="BodyTextIndent"/>
    <w:link w:val="BodyTextFirstIndent2Char"/>
    <w:uiPriority w:val="99"/>
    <w:semiHidden/>
    <w:unhideWhenUsed/>
    <w:rsid w:val="00720F9E"/>
    <w:pPr>
      <w:spacing w:after="0"/>
      <w:ind w:left="360" w:firstLine="360"/>
    </w:pPr>
  </w:style>
  <w:style w:type="character" w:customStyle="1" w:styleId="BodyTextFirstIndent2Char">
    <w:name w:val="Body Text First Indent 2 Char"/>
    <w:basedOn w:val="BodyTextIndentChar"/>
    <w:link w:val="BodyTextFirstIndent2"/>
    <w:uiPriority w:val="99"/>
    <w:semiHidden/>
    <w:rsid w:val="00720F9E"/>
    <w:rPr>
      <w:sz w:val="22"/>
    </w:rPr>
  </w:style>
  <w:style w:type="paragraph" w:styleId="BodyTextIndent2">
    <w:name w:val="Body Text Indent 2"/>
    <w:basedOn w:val="Normal"/>
    <w:link w:val="BodyTextIndent2Char"/>
    <w:uiPriority w:val="99"/>
    <w:semiHidden/>
    <w:unhideWhenUsed/>
    <w:rsid w:val="00720F9E"/>
    <w:pPr>
      <w:spacing w:after="120" w:line="480" w:lineRule="auto"/>
      <w:ind w:left="283"/>
    </w:pPr>
  </w:style>
  <w:style w:type="character" w:customStyle="1" w:styleId="BodyTextIndent2Char">
    <w:name w:val="Body Text Indent 2 Char"/>
    <w:basedOn w:val="DefaultParagraphFont"/>
    <w:link w:val="BodyTextIndent2"/>
    <w:uiPriority w:val="99"/>
    <w:semiHidden/>
    <w:rsid w:val="00720F9E"/>
    <w:rPr>
      <w:sz w:val="22"/>
    </w:rPr>
  </w:style>
  <w:style w:type="paragraph" w:styleId="BodyTextIndent3">
    <w:name w:val="Body Text Indent 3"/>
    <w:basedOn w:val="Normal"/>
    <w:link w:val="BodyTextIndent3Char"/>
    <w:uiPriority w:val="99"/>
    <w:semiHidden/>
    <w:unhideWhenUsed/>
    <w:rsid w:val="00720F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0F9E"/>
    <w:rPr>
      <w:sz w:val="16"/>
      <w:szCs w:val="16"/>
    </w:rPr>
  </w:style>
  <w:style w:type="paragraph" w:styleId="Caption">
    <w:name w:val="caption"/>
    <w:basedOn w:val="Normal"/>
    <w:next w:val="Normal"/>
    <w:uiPriority w:val="35"/>
    <w:semiHidden/>
    <w:unhideWhenUsed/>
    <w:qFormat/>
    <w:rsid w:val="00720F9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20F9E"/>
    <w:pPr>
      <w:spacing w:line="240" w:lineRule="auto"/>
      <w:ind w:left="4252"/>
    </w:pPr>
  </w:style>
  <w:style w:type="character" w:customStyle="1" w:styleId="ClosingChar">
    <w:name w:val="Closing Char"/>
    <w:basedOn w:val="DefaultParagraphFont"/>
    <w:link w:val="Closing"/>
    <w:uiPriority w:val="99"/>
    <w:semiHidden/>
    <w:rsid w:val="00720F9E"/>
    <w:rPr>
      <w:sz w:val="22"/>
    </w:rPr>
  </w:style>
  <w:style w:type="paragraph" w:styleId="Date">
    <w:name w:val="Date"/>
    <w:basedOn w:val="Normal"/>
    <w:next w:val="Normal"/>
    <w:link w:val="DateChar"/>
    <w:uiPriority w:val="99"/>
    <w:semiHidden/>
    <w:unhideWhenUsed/>
    <w:rsid w:val="00720F9E"/>
  </w:style>
  <w:style w:type="character" w:customStyle="1" w:styleId="DateChar">
    <w:name w:val="Date Char"/>
    <w:basedOn w:val="DefaultParagraphFont"/>
    <w:link w:val="Date"/>
    <w:uiPriority w:val="99"/>
    <w:semiHidden/>
    <w:rsid w:val="00720F9E"/>
    <w:rPr>
      <w:sz w:val="22"/>
    </w:rPr>
  </w:style>
  <w:style w:type="paragraph" w:styleId="DocumentMap">
    <w:name w:val="Document Map"/>
    <w:basedOn w:val="Normal"/>
    <w:link w:val="DocumentMapChar"/>
    <w:uiPriority w:val="99"/>
    <w:semiHidden/>
    <w:unhideWhenUsed/>
    <w:rsid w:val="00720F9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0F9E"/>
    <w:rPr>
      <w:rFonts w:ascii="Segoe UI" w:hAnsi="Segoe UI" w:cs="Segoe UI"/>
      <w:sz w:val="16"/>
      <w:szCs w:val="16"/>
    </w:rPr>
  </w:style>
  <w:style w:type="paragraph" w:styleId="E-mailSignature">
    <w:name w:val="E-mail Signature"/>
    <w:basedOn w:val="Normal"/>
    <w:link w:val="E-mailSignatureChar"/>
    <w:uiPriority w:val="99"/>
    <w:semiHidden/>
    <w:unhideWhenUsed/>
    <w:rsid w:val="00720F9E"/>
    <w:pPr>
      <w:spacing w:line="240" w:lineRule="auto"/>
    </w:pPr>
  </w:style>
  <w:style w:type="character" w:customStyle="1" w:styleId="E-mailSignatureChar">
    <w:name w:val="E-mail Signature Char"/>
    <w:basedOn w:val="DefaultParagraphFont"/>
    <w:link w:val="E-mailSignature"/>
    <w:uiPriority w:val="99"/>
    <w:semiHidden/>
    <w:rsid w:val="00720F9E"/>
    <w:rPr>
      <w:sz w:val="22"/>
    </w:rPr>
  </w:style>
  <w:style w:type="paragraph" w:styleId="EndnoteText">
    <w:name w:val="endnote text"/>
    <w:basedOn w:val="Normal"/>
    <w:link w:val="EndnoteTextChar"/>
    <w:uiPriority w:val="99"/>
    <w:semiHidden/>
    <w:unhideWhenUsed/>
    <w:rsid w:val="00720F9E"/>
    <w:pPr>
      <w:spacing w:line="240" w:lineRule="auto"/>
    </w:pPr>
    <w:rPr>
      <w:sz w:val="20"/>
    </w:rPr>
  </w:style>
  <w:style w:type="character" w:customStyle="1" w:styleId="EndnoteTextChar">
    <w:name w:val="Endnote Text Char"/>
    <w:basedOn w:val="DefaultParagraphFont"/>
    <w:link w:val="EndnoteText"/>
    <w:uiPriority w:val="99"/>
    <w:semiHidden/>
    <w:rsid w:val="00720F9E"/>
  </w:style>
  <w:style w:type="paragraph" w:styleId="EnvelopeAddress">
    <w:name w:val="envelope address"/>
    <w:basedOn w:val="Normal"/>
    <w:uiPriority w:val="99"/>
    <w:semiHidden/>
    <w:unhideWhenUsed/>
    <w:rsid w:val="00720F9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0F9E"/>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20F9E"/>
    <w:pPr>
      <w:spacing w:line="240" w:lineRule="auto"/>
    </w:pPr>
    <w:rPr>
      <w:sz w:val="20"/>
    </w:rPr>
  </w:style>
  <w:style w:type="character" w:customStyle="1" w:styleId="FootnoteTextChar">
    <w:name w:val="Footnote Text Char"/>
    <w:basedOn w:val="DefaultParagraphFont"/>
    <w:link w:val="FootnoteText"/>
    <w:uiPriority w:val="99"/>
    <w:semiHidden/>
    <w:rsid w:val="00720F9E"/>
  </w:style>
  <w:style w:type="paragraph" w:styleId="HTMLAddress">
    <w:name w:val="HTML Address"/>
    <w:basedOn w:val="Normal"/>
    <w:link w:val="HTMLAddressChar"/>
    <w:uiPriority w:val="99"/>
    <w:semiHidden/>
    <w:unhideWhenUsed/>
    <w:rsid w:val="00720F9E"/>
    <w:pPr>
      <w:spacing w:line="240" w:lineRule="auto"/>
    </w:pPr>
    <w:rPr>
      <w:i/>
      <w:iCs/>
    </w:rPr>
  </w:style>
  <w:style w:type="character" w:customStyle="1" w:styleId="HTMLAddressChar">
    <w:name w:val="HTML Address Char"/>
    <w:basedOn w:val="DefaultParagraphFont"/>
    <w:link w:val="HTMLAddress"/>
    <w:uiPriority w:val="99"/>
    <w:semiHidden/>
    <w:rsid w:val="00720F9E"/>
    <w:rPr>
      <w:i/>
      <w:iCs/>
      <w:sz w:val="22"/>
    </w:rPr>
  </w:style>
  <w:style w:type="paragraph" w:styleId="HTMLPreformatted">
    <w:name w:val="HTML Preformatted"/>
    <w:basedOn w:val="Normal"/>
    <w:link w:val="HTMLPreformattedChar"/>
    <w:uiPriority w:val="99"/>
    <w:semiHidden/>
    <w:unhideWhenUsed/>
    <w:rsid w:val="00720F9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20F9E"/>
    <w:rPr>
      <w:rFonts w:ascii="Consolas" w:hAnsi="Consolas"/>
    </w:rPr>
  </w:style>
  <w:style w:type="paragraph" w:styleId="Index1">
    <w:name w:val="index 1"/>
    <w:basedOn w:val="Normal"/>
    <w:next w:val="Normal"/>
    <w:autoRedefine/>
    <w:uiPriority w:val="99"/>
    <w:semiHidden/>
    <w:unhideWhenUsed/>
    <w:rsid w:val="00720F9E"/>
    <w:pPr>
      <w:spacing w:line="240" w:lineRule="auto"/>
      <w:ind w:left="220" w:hanging="220"/>
    </w:pPr>
  </w:style>
  <w:style w:type="paragraph" w:styleId="Index2">
    <w:name w:val="index 2"/>
    <w:basedOn w:val="Normal"/>
    <w:next w:val="Normal"/>
    <w:autoRedefine/>
    <w:uiPriority w:val="99"/>
    <w:semiHidden/>
    <w:unhideWhenUsed/>
    <w:rsid w:val="00720F9E"/>
    <w:pPr>
      <w:spacing w:line="240" w:lineRule="auto"/>
      <w:ind w:left="440" w:hanging="220"/>
    </w:pPr>
  </w:style>
  <w:style w:type="paragraph" w:styleId="Index3">
    <w:name w:val="index 3"/>
    <w:basedOn w:val="Normal"/>
    <w:next w:val="Normal"/>
    <w:autoRedefine/>
    <w:uiPriority w:val="99"/>
    <w:semiHidden/>
    <w:unhideWhenUsed/>
    <w:rsid w:val="00720F9E"/>
    <w:pPr>
      <w:spacing w:line="240" w:lineRule="auto"/>
      <w:ind w:left="660" w:hanging="220"/>
    </w:pPr>
  </w:style>
  <w:style w:type="paragraph" w:styleId="Index4">
    <w:name w:val="index 4"/>
    <w:basedOn w:val="Normal"/>
    <w:next w:val="Normal"/>
    <w:autoRedefine/>
    <w:uiPriority w:val="99"/>
    <w:semiHidden/>
    <w:unhideWhenUsed/>
    <w:rsid w:val="00720F9E"/>
    <w:pPr>
      <w:spacing w:line="240" w:lineRule="auto"/>
      <w:ind w:left="880" w:hanging="220"/>
    </w:pPr>
  </w:style>
  <w:style w:type="paragraph" w:styleId="Index5">
    <w:name w:val="index 5"/>
    <w:basedOn w:val="Normal"/>
    <w:next w:val="Normal"/>
    <w:autoRedefine/>
    <w:uiPriority w:val="99"/>
    <w:semiHidden/>
    <w:unhideWhenUsed/>
    <w:rsid w:val="00720F9E"/>
    <w:pPr>
      <w:spacing w:line="240" w:lineRule="auto"/>
      <w:ind w:left="1100" w:hanging="220"/>
    </w:pPr>
  </w:style>
  <w:style w:type="paragraph" w:styleId="Index6">
    <w:name w:val="index 6"/>
    <w:basedOn w:val="Normal"/>
    <w:next w:val="Normal"/>
    <w:autoRedefine/>
    <w:uiPriority w:val="99"/>
    <w:semiHidden/>
    <w:unhideWhenUsed/>
    <w:rsid w:val="00720F9E"/>
    <w:pPr>
      <w:spacing w:line="240" w:lineRule="auto"/>
      <w:ind w:left="1320" w:hanging="220"/>
    </w:pPr>
  </w:style>
  <w:style w:type="paragraph" w:styleId="Index7">
    <w:name w:val="index 7"/>
    <w:basedOn w:val="Normal"/>
    <w:next w:val="Normal"/>
    <w:autoRedefine/>
    <w:uiPriority w:val="99"/>
    <w:semiHidden/>
    <w:unhideWhenUsed/>
    <w:rsid w:val="00720F9E"/>
    <w:pPr>
      <w:spacing w:line="240" w:lineRule="auto"/>
      <w:ind w:left="1540" w:hanging="220"/>
    </w:pPr>
  </w:style>
  <w:style w:type="paragraph" w:styleId="Index8">
    <w:name w:val="index 8"/>
    <w:basedOn w:val="Normal"/>
    <w:next w:val="Normal"/>
    <w:autoRedefine/>
    <w:uiPriority w:val="99"/>
    <w:semiHidden/>
    <w:unhideWhenUsed/>
    <w:rsid w:val="00720F9E"/>
    <w:pPr>
      <w:spacing w:line="240" w:lineRule="auto"/>
      <w:ind w:left="1760" w:hanging="220"/>
    </w:pPr>
  </w:style>
  <w:style w:type="paragraph" w:styleId="Index9">
    <w:name w:val="index 9"/>
    <w:basedOn w:val="Normal"/>
    <w:next w:val="Normal"/>
    <w:autoRedefine/>
    <w:uiPriority w:val="99"/>
    <w:semiHidden/>
    <w:unhideWhenUsed/>
    <w:rsid w:val="00720F9E"/>
    <w:pPr>
      <w:spacing w:line="240" w:lineRule="auto"/>
      <w:ind w:left="1980" w:hanging="220"/>
    </w:pPr>
  </w:style>
  <w:style w:type="paragraph" w:styleId="IndexHeading">
    <w:name w:val="index heading"/>
    <w:basedOn w:val="Normal"/>
    <w:next w:val="Index1"/>
    <w:uiPriority w:val="99"/>
    <w:semiHidden/>
    <w:unhideWhenUsed/>
    <w:rsid w:val="00720F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0F9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0F9E"/>
    <w:rPr>
      <w:i/>
      <w:iCs/>
      <w:color w:val="4F81BD" w:themeColor="accent1"/>
      <w:sz w:val="22"/>
    </w:rPr>
  </w:style>
  <w:style w:type="paragraph" w:styleId="List">
    <w:name w:val="List"/>
    <w:basedOn w:val="Normal"/>
    <w:uiPriority w:val="99"/>
    <w:semiHidden/>
    <w:unhideWhenUsed/>
    <w:rsid w:val="00720F9E"/>
    <w:pPr>
      <w:ind w:left="283" w:hanging="283"/>
      <w:contextualSpacing/>
    </w:pPr>
  </w:style>
  <w:style w:type="paragraph" w:styleId="List2">
    <w:name w:val="List 2"/>
    <w:basedOn w:val="Normal"/>
    <w:uiPriority w:val="99"/>
    <w:semiHidden/>
    <w:unhideWhenUsed/>
    <w:rsid w:val="00720F9E"/>
    <w:pPr>
      <w:ind w:left="566" w:hanging="283"/>
      <w:contextualSpacing/>
    </w:pPr>
  </w:style>
  <w:style w:type="paragraph" w:styleId="List3">
    <w:name w:val="List 3"/>
    <w:basedOn w:val="Normal"/>
    <w:uiPriority w:val="99"/>
    <w:semiHidden/>
    <w:unhideWhenUsed/>
    <w:rsid w:val="00720F9E"/>
    <w:pPr>
      <w:ind w:left="849" w:hanging="283"/>
      <w:contextualSpacing/>
    </w:pPr>
  </w:style>
  <w:style w:type="paragraph" w:styleId="List4">
    <w:name w:val="List 4"/>
    <w:basedOn w:val="Normal"/>
    <w:uiPriority w:val="99"/>
    <w:semiHidden/>
    <w:unhideWhenUsed/>
    <w:rsid w:val="00720F9E"/>
    <w:pPr>
      <w:ind w:left="1132" w:hanging="283"/>
      <w:contextualSpacing/>
    </w:pPr>
  </w:style>
  <w:style w:type="paragraph" w:styleId="List5">
    <w:name w:val="List 5"/>
    <w:basedOn w:val="Normal"/>
    <w:uiPriority w:val="99"/>
    <w:semiHidden/>
    <w:unhideWhenUsed/>
    <w:rsid w:val="00720F9E"/>
    <w:pPr>
      <w:ind w:left="1415" w:hanging="283"/>
      <w:contextualSpacing/>
    </w:pPr>
  </w:style>
  <w:style w:type="paragraph" w:styleId="ListBullet">
    <w:name w:val="List Bullet"/>
    <w:basedOn w:val="Normal"/>
    <w:uiPriority w:val="99"/>
    <w:semiHidden/>
    <w:unhideWhenUsed/>
    <w:rsid w:val="00720F9E"/>
    <w:pPr>
      <w:contextualSpacing/>
    </w:pPr>
  </w:style>
  <w:style w:type="paragraph" w:styleId="ListBullet2">
    <w:name w:val="List Bullet 2"/>
    <w:basedOn w:val="Normal"/>
    <w:uiPriority w:val="99"/>
    <w:semiHidden/>
    <w:unhideWhenUsed/>
    <w:rsid w:val="00720F9E"/>
    <w:pPr>
      <w:contextualSpacing/>
    </w:pPr>
  </w:style>
  <w:style w:type="paragraph" w:styleId="ListBullet3">
    <w:name w:val="List Bullet 3"/>
    <w:basedOn w:val="Normal"/>
    <w:uiPriority w:val="99"/>
    <w:semiHidden/>
    <w:unhideWhenUsed/>
    <w:rsid w:val="00720F9E"/>
    <w:pPr>
      <w:contextualSpacing/>
    </w:pPr>
  </w:style>
  <w:style w:type="paragraph" w:styleId="ListBullet4">
    <w:name w:val="List Bullet 4"/>
    <w:basedOn w:val="Normal"/>
    <w:uiPriority w:val="99"/>
    <w:semiHidden/>
    <w:unhideWhenUsed/>
    <w:rsid w:val="00720F9E"/>
    <w:pPr>
      <w:contextualSpacing/>
    </w:pPr>
  </w:style>
  <w:style w:type="paragraph" w:styleId="ListBullet5">
    <w:name w:val="List Bullet 5"/>
    <w:basedOn w:val="Normal"/>
    <w:uiPriority w:val="99"/>
    <w:semiHidden/>
    <w:unhideWhenUsed/>
    <w:rsid w:val="00720F9E"/>
    <w:pPr>
      <w:contextualSpacing/>
    </w:pPr>
  </w:style>
  <w:style w:type="paragraph" w:styleId="ListContinue">
    <w:name w:val="List Continue"/>
    <w:basedOn w:val="Normal"/>
    <w:uiPriority w:val="99"/>
    <w:semiHidden/>
    <w:unhideWhenUsed/>
    <w:rsid w:val="00720F9E"/>
    <w:pPr>
      <w:spacing w:after="120"/>
      <w:ind w:left="283"/>
      <w:contextualSpacing/>
    </w:pPr>
  </w:style>
  <w:style w:type="paragraph" w:styleId="ListContinue2">
    <w:name w:val="List Continue 2"/>
    <w:basedOn w:val="Normal"/>
    <w:uiPriority w:val="99"/>
    <w:semiHidden/>
    <w:unhideWhenUsed/>
    <w:rsid w:val="00720F9E"/>
    <w:pPr>
      <w:spacing w:after="120"/>
      <w:ind w:left="566"/>
      <w:contextualSpacing/>
    </w:pPr>
  </w:style>
  <w:style w:type="paragraph" w:styleId="ListContinue3">
    <w:name w:val="List Continue 3"/>
    <w:basedOn w:val="Normal"/>
    <w:uiPriority w:val="99"/>
    <w:semiHidden/>
    <w:unhideWhenUsed/>
    <w:rsid w:val="00720F9E"/>
    <w:pPr>
      <w:spacing w:after="120"/>
      <w:ind w:left="849"/>
      <w:contextualSpacing/>
    </w:pPr>
  </w:style>
  <w:style w:type="paragraph" w:styleId="ListContinue4">
    <w:name w:val="List Continue 4"/>
    <w:basedOn w:val="Normal"/>
    <w:uiPriority w:val="99"/>
    <w:semiHidden/>
    <w:unhideWhenUsed/>
    <w:rsid w:val="00720F9E"/>
    <w:pPr>
      <w:spacing w:after="120"/>
      <w:ind w:left="1132"/>
      <w:contextualSpacing/>
    </w:pPr>
  </w:style>
  <w:style w:type="paragraph" w:styleId="ListContinue5">
    <w:name w:val="List Continue 5"/>
    <w:basedOn w:val="Normal"/>
    <w:uiPriority w:val="99"/>
    <w:semiHidden/>
    <w:unhideWhenUsed/>
    <w:rsid w:val="00720F9E"/>
    <w:pPr>
      <w:spacing w:after="120"/>
      <w:ind w:left="1415"/>
      <w:contextualSpacing/>
    </w:pPr>
  </w:style>
  <w:style w:type="paragraph" w:styleId="ListNumber">
    <w:name w:val="List Number"/>
    <w:basedOn w:val="Normal"/>
    <w:uiPriority w:val="99"/>
    <w:semiHidden/>
    <w:unhideWhenUsed/>
    <w:rsid w:val="00720F9E"/>
    <w:pPr>
      <w:contextualSpacing/>
    </w:pPr>
  </w:style>
  <w:style w:type="paragraph" w:styleId="ListNumber2">
    <w:name w:val="List Number 2"/>
    <w:basedOn w:val="Normal"/>
    <w:uiPriority w:val="99"/>
    <w:semiHidden/>
    <w:unhideWhenUsed/>
    <w:rsid w:val="00720F9E"/>
    <w:pPr>
      <w:contextualSpacing/>
    </w:pPr>
  </w:style>
  <w:style w:type="paragraph" w:styleId="ListNumber3">
    <w:name w:val="List Number 3"/>
    <w:basedOn w:val="Normal"/>
    <w:uiPriority w:val="99"/>
    <w:semiHidden/>
    <w:unhideWhenUsed/>
    <w:rsid w:val="00720F9E"/>
    <w:pPr>
      <w:contextualSpacing/>
    </w:pPr>
  </w:style>
  <w:style w:type="paragraph" w:styleId="ListNumber4">
    <w:name w:val="List Number 4"/>
    <w:basedOn w:val="Normal"/>
    <w:uiPriority w:val="99"/>
    <w:semiHidden/>
    <w:unhideWhenUsed/>
    <w:rsid w:val="00720F9E"/>
    <w:pPr>
      <w:contextualSpacing/>
    </w:pPr>
  </w:style>
  <w:style w:type="paragraph" w:styleId="ListNumber5">
    <w:name w:val="List Number 5"/>
    <w:basedOn w:val="Normal"/>
    <w:uiPriority w:val="99"/>
    <w:semiHidden/>
    <w:unhideWhenUsed/>
    <w:rsid w:val="00720F9E"/>
    <w:pPr>
      <w:contextualSpacing/>
    </w:pPr>
  </w:style>
  <w:style w:type="paragraph" w:styleId="ListParagraph">
    <w:name w:val="List Paragraph"/>
    <w:basedOn w:val="Normal"/>
    <w:uiPriority w:val="34"/>
    <w:qFormat/>
    <w:rsid w:val="00720F9E"/>
    <w:pPr>
      <w:ind w:left="720"/>
      <w:contextualSpacing/>
    </w:pPr>
  </w:style>
  <w:style w:type="paragraph" w:styleId="MacroText">
    <w:name w:val="macro"/>
    <w:link w:val="MacroTextChar"/>
    <w:uiPriority w:val="99"/>
    <w:semiHidden/>
    <w:unhideWhenUsed/>
    <w:rsid w:val="00720F9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20F9E"/>
    <w:rPr>
      <w:rFonts w:ascii="Consolas" w:hAnsi="Consolas"/>
    </w:rPr>
  </w:style>
  <w:style w:type="paragraph" w:styleId="MessageHeader">
    <w:name w:val="Message Header"/>
    <w:basedOn w:val="Normal"/>
    <w:link w:val="MessageHeaderChar"/>
    <w:uiPriority w:val="99"/>
    <w:semiHidden/>
    <w:unhideWhenUsed/>
    <w:rsid w:val="00720F9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0F9E"/>
    <w:rPr>
      <w:rFonts w:asciiTheme="majorHAnsi" w:eastAsiaTheme="majorEastAsia" w:hAnsiTheme="majorHAnsi" w:cstheme="majorBidi"/>
      <w:sz w:val="24"/>
      <w:szCs w:val="24"/>
      <w:shd w:val="pct20" w:color="auto" w:fill="auto"/>
    </w:rPr>
  </w:style>
  <w:style w:type="paragraph" w:styleId="NoSpacing">
    <w:name w:val="No Spacing"/>
    <w:uiPriority w:val="1"/>
    <w:qFormat/>
    <w:rsid w:val="00720F9E"/>
    <w:rPr>
      <w:sz w:val="22"/>
    </w:rPr>
  </w:style>
  <w:style w:type="paragraph" w:styleId="NormalWeb">
    <w:name w:val="Normal (Web)"/>
    <w:basedOn w:val="Normal"/>
    <w:uiPriority w:val="99"/>
    <w:semiHidden/>
    <w:unhideWhenUsed/>
    <w:rsid w:val="00720F9E"/>
    <w:rPr>
      <w:rFonts w:cs="Times New Roman"/>
      <w:sz w:val="24"/>
      <w:szCs w:val="24"/>
    </w:rPr>
  </w:style>
  <w:style w:type="paragraph" w:styleId="NormalIndent">
    <w:name w:val="Normal Indent"/>
    <w:basedOn w:val="Normal"/>
    <w:uiPriority w:val="99"/>
    <w:semiHidden/>
    <w:unhideWhenUsed/>
    <w:rsid w:val="00720F9E"/>
    <w:pPr>
      <w:ind w:left="720"/>
    </w:pPr>
  </w:style>
  <w:style w:type="paragraph" w:styleId="NoteHeading">
    <w:name w:val="Note Heading"/>
    <w:basedOn w:val="Normal"/>
    <w:next w:val="Normal"/>
    <w:link w:val="NoteHeadingChar"/>
    <w:uiPriority w:val="99"/>
    <w:semiHidden/>
    <w:unhideWhenUsed/>
    <w:rsid w:val="00720F9E"/>
    <w:pPr>
      <w:spacing w:line="240" w:lineRule="auto"/>
    </w:pPr>
  </w:style>
  <w:style w:type="character" w:customStyle="1" w:styleId="NoteHeadingChar">
    <w:name w:val="Note Heading Char"/>
    <w:basedOn w:val="DefaultParagraphFont"/>
    <w:link w:val="NoteHeading"/>
    <w:uiPriority w:val="99"/>
    <w:semiHidden/>
    <w:rsid w:val="00720F9E"/>
    <w:rPr>
      <w:sz w:val="22"/>
    </w:rPr>
  </w:style>
  <w:style w:type="paragraph" w:styleId="PlainText">
    <w:name w:val="Plain Text"/>
    <w:basedOn w:val="Normal"/>
    <w:link w:val="PlainTextChar"/>
    <w:uiPriority w:val="99"/>
    <w:semiHidden/>
    <w:unhideWhenUsed/>
    <w:rsid w:val="00720F9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0F9E"/>
    <w:rPr>
      <w:rFonts w:ascii="Consolas" w:hAnsi="Consolas"/>
      <w:sz w:val="21"/>
      <w:szCs w:val="21"/>
    </w:rPr>
  </w:style>
  <w:style w:type="paragraph" w:styleId="Quote">
    <w:name w:val="Quote"/>
    <w:basedOn w:val="Normal"/>
    <w:next w:val="Normal"/>
    <w:link w:val="QuoteChar"/>
    <w:uiPriority w:val="29"/>
    <w:qFormat/>
    <w:rsid w:val="00720F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0F9E"/>
    <w:rPr>
      <w:i/>
      <w:iCs/>
      <w:color w:val="404040" w:themeColor="text1" w:themeTint="BF"/>
      <w:sz w:val="22"/>
    </w:rPr>
  </w:style>
  <w:style w:type="paragraph" w:styleId="Salutation">
    <w:name w:val="Salutation"/>
    <w:basedOn w:val="Normal"/>
    <w:next w:val="Normal"/>
    <w:link w:val="SalutationChar"/>
    <w:uiPriority w:val="99"/>
    <w:semiHidden/>
    <w:unhideWhenUsed/>
    <w:rsid w:val="00720F9E"/>
  </w:style>
  <w:style w:type="character" w:customStyle="1" w:styleId="SalutationChar">
    <w:name w:val="Salutation Char"/>
    <w:basedOn w:val="DefaultParagraphFont"/>
    <w:link w:val="Salutation"/>
    <w:uiPriority w:val="99"/>
    <w:semiHidden/>
    <w:rsid w:val="00720F9E"/>
    <w:rPr>
      <w:sz w:val="22"/>
    </w:rPr>
  </w:style>
  <w:style w:type="paragraph" w:styleId="Signature">
    <w:name w:val="Signature"/>
    <w:basedOn w:val="Normal"/>
    <w:link w:val="SignatureChar"/>
    <w:uiPriority w:val="99"/>
    <w:semiHidden/>
    <w:unhideWhenUsed/>
    <w:rsid w:val="00720F9E"/>
    <w:pPr>
      <w:spacing w:line="240" w:lineRule="auto"/>
      <w:ind w:left="4252"/>
    </w:pPr>
  </w:style>
  <w:style w:type="character" w:customStyle="1" w:styleId="SignatureChar">
    <w:name w:val="Signature Char"/>
    <w:basedOn w:val="DefaultParagraphFont"/>
    <w:link w:val="Signature"/>
    <w:uiPriority w:val="99"/>
    <w:semiHidden/>
    <w:rsid w:val="00720F9E"/>
    <w:rPr>
      <w:sz w:val="22"/>
    </w:rPr>
  </w:style>
  <w:style w:type="paragraph" w:styleId="Subtitle">
    <w:name w:val="Subtitle"/>
    <w:basedOn w:val="Normal"/>
    <w:next w:val="Normal"/>
    <w:link w:val="SubtitleChar"/>
    <w:uiPriority w:val="11"/>
    <w:qFormat/>
    <w:rsid w:val="00720F9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20F9E"/>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720F9E"/>
    <w:pPr>
      <w:ind w:left="220" w:hanging="220"/>
    </w:pPr>
  </w:style>
  <w:style w:type="paragraph" w:styleId="TableofFigures">
    <w:name w:val="table of figures"/>
    <w:basedOn w:val="Normal"/>
    <w:next w:val="Normal"/>
    <w:uiPriority w:val="99"/>
    <w:semiHidden/>
    <w:unhideWhenUsed/>
    <w:rsid w:val="00720F9E"/>
  </w:style>
  <w:style w:type="paragraph" w:styleId="Title">
    <w:name w:val="Title"/>
    <w:basedOn w:val="Normal"/>
    <w:next w:val="Normal"/>
    <w:link w:val="TitleChar"/>
    <w:uiPriority w:val="10"/>
    <w:qFormat/>
    <w:rsid w:val="00720F9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F9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20F9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20F9E"/>
    <w:pPr>
      <w:spacing w:before="240"/>
      <w:outlineLvl w:val="9"/>
    </w:pPr>
    <w:rPr>
      <w:b w:val="0"/>
      <w:bCs w:val="0"/>
      <w:sz w:val="32"/>
      <w:szCs w:val="32"/>
    </w:rPr>
  </w:style>
  <w:style w:type="paragraph" w:styleId="TOC5">
    <w:name w:val="toc 5"/>
    <w:basedOn w:val="OPCParaBase"/>
    <w:next w:val="Normal"/>
    <w:uiPriority w:val="39"/>
    <w:unhideWhenUsed/>
    <w:rsid w:val="00474835"/>
    <w:pPr>
      <w:keepLines/>
      <w:tabs>
        <w:tab w:val="right" w:leader="dot" w:pos="8278"/>
      </w:tabs>
      <w:spacing w:before="40" w:line="240" w:lineRule="auto"/>
      <w:ind w:left="2098" w:right="567" w:hanging="680"/>
    </w:pPr>
    <w:rPr>
      <w:kern w:val="28"/>
      <w:sz w:val="18"/>
    </w:rPr>
  </w:style>
  <w:style w:type="paragraph" w:customStyle="1" w:styleId="li-bodytextunnumbered">
    <w:name w:val="li-bodytextunnumbered"/>
    <w:basedOn w:val="Normal"/>
    <w:rsid w:val="00475922"/>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2B4D41"/>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2B4D41"/>
  </w:style>
  <w:style w:type="paragraph" w:styleId="Revision">
    <w:name w:val="Revision"/>
    <w:hidden/>
    <w:uiPriority w:val="99"/>
    <w:semiHidden/>
    <w:rsid w:val="0065332C"/>
    <w:rPr>
      <w:sz w:val="22"/>
    </w:rPr>
  </w:style>
  <w:style w:type="character" w:customStyle="1" w:styleId="cf01">
    <w:name w:val="cf01"/>
    <w:basedOn w:val="DefaultParagraphFont"/>
    <w:rsid w:val="00FE3BC8"/>
    <w:rPr>
      <w:rFonts w:ascii="Segoe UI" w:hAnsi="Segoe UI" w:cs="Segoe UI" w:hint="default"/>
      <w:sz w:val="18"/>
      <w:szCs w:val="18"/>
    </w:rPr>
  </w:style>
  <w:style w:type="paragraph" w:customStyle="1" w:styleId="paragraphsub0">
    <w:name w:val="paragraphsub"/>
    <w:basedOn w:val="Normal"/>
    <w:rsid w:val="00AA0297"/>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FC10D2"/>
    <w:pPr>
      <w:spacing w:before="100" w:beforeAutospacing="1" w:after="100" w:afterAutospacing="1" w:line="240" w:lineRule="auto"/>
    </w:pPr>
    <w:rPr>
      <w:rFonts w:eastAsia="Times New Roman" w:cs="Times New Roman"/>
      <w:sz w:val="24"/>
      <w:szCs w:val="24"/>
      <w:lang w:eastAsia="en-AU"/>
    </w:rPr>
  </w:style>
  <w:style w:type="character" w:styleId="Mention">
    <w:name w:val="Mention"/>
    <w:basedOn w:val="DefaultParagraphFont"/>
    <w:uiPriority w:val="99"/>
    <w:unhideWhenUsed/>
    <w:rsid w:val="00CD2619"/>
    <w:rPr>
      <w:color w:val="2B579A"/>
      <w:shd w:val="clear" w:color="auto" w:fill="E1DFDD"/>
    </w:rPr>
  </w:style>
  <w:style w:type="character" w:customStyle="1" w:styleId="normaltextrun">
    <w:name w:val="normaltextrun"/>
    <w:basedOn w:val="DefaultParagraphFont"/>
    <w:rsid w:val="00A27A0B"/>
  </w:style>
  <w:style w:type="character" w:customStyle="1" w:styleId="tabchar">
    <w:name w:val="tabchar"/>
    <w:basedOn w:val="DefaultParagraphFont"/>
    <w:rsid w:val="00A27A0B"/>
  </w:style>
  <w:style w:type="character" w:customStyle="1" w:styleId="eop">
    <w:name w:val="eop"/>
    <w:basedOn w:val="DefaultParagraphFont"/>
    <w:rsid w:val="00A27A0B"/>
  </w:style>
  <w:style w:type="paragraph" w:customStyle="1" w:styleId="Bullet">
    <w:name w:val="Bullet"/>
    <w:basedOn w:val="Normal"/>
    <w:link w:val="BulletChar"/>
    <w:rsid w:val="00FF57AA"/>
    <w:pPr>
      <w:numPr>
        <w:numId w:val="40"/>
      </w:numPr>
    </w:pPr>
    <w:rPr>
      <w:rFonts w:eastAsia="Times New Roman" w:cs="Times New Roman"/>
      <w:lang w:eastAsia="en-AU"/>
    </w:rPr>
  </w:style>
  <w:style w:type="character" w:customStyle="1" w:styleId="OPCParaBaseChar">
    <w:name w:val="OPCParaBase Char"/>
    <w:basedOn w:val="DefaultParagraphFont"/>
    <w:link w:val="OPCParaBase"/>
    <w:rsid w:val="00FF57AA"/>
    <w:rPr>
      <w:rFonts w:eastAsia="Times New Roman" w:cs="Times New Roman"/>
      <w:sz w:val="22"/>
      <w:lang w:eastAsia="en-AU"/>
    </w:rPr>
  </w:style>
  <w:style w:type="character" w:customStyle="1" w:styleId="notedraftChar">
    <w:name w:val="note(draft) Char"/>
    <w:aliases w:val="nd Char"/>
    <w:basedOn w:val="OPCParaBaseChar"/>
    <w:link w:val="notedraft"/>
    <w:rsid w:val="00FF57AA"/>
    <w:rPr>
      <w:rFonts w:eastAsia="Times New Roman" w:cs="Times New Roman"/>
      <w:i/>
      <w:sz w:val="24"/>
      <w:lang w:eastAsia="en-AU"/>
    </w:rPr>
  </w:style>
  <w:style w:type="character" w:customStyle="1" w:styleId="BulletChar">
    <w:name w:val="Bullet Char"/>
    <w:basedOn w:val="notedraftChar"/>
    <w:link w:val="Bullet"/>
    <w:rsid w:val="00FF57AA"/>
    <w:rPr>
      <w:rFonts w:eastAsia="Times New Roman" w:cs="Times New Roman"/>
      <w:i w:val="0"/>
      <w:sz w:val="22"/>
      <w:lang w:eastAsia="en-AU"/>
    </w:rPr>
  </w:style>
  <w:style w:type="paragraph" w:customStyle="1" w:styleId="Dash">
    <w:name w:val="Dash"/>
    <w:basedOn w:val="Normal"/>
    <w:link w:val="DashChar"/>
    <w:rsid w:val="00FF57AA"/>
    <w:pPr>
      <w:numPr>
        <w:ilvl w:val="1"/>
        <w:numId w:val="40"/>
      </w:numPr>
    </w:pPr>
    <w:rPr>
      <w:rFonts w:eastAsia="Times New Roman" w:cs="Times New Roman"/>
      <w:lang w:eastAsia="en-AU"/>
    </w:rPr>
  </w:style>
  <w:style w:type="character" w:customStyle="1" w:styleId="DashChar">
    <w:name w:val="Dash Char"/>
    <w:basedOn w:val="notedraftChar"/>
    <w:link w:val="Dash"/>
    <w:rsid w:val="00FF57AA"/>
    <w:rPr>
      <w:rFonts w:eastAsia="Times New Roman" w:cs="Times New Roman"/>
      <w:i w:val="0"/>
      <w:sz w:val="22"/>
      <w:lang w:eastAsia="en-AU"/>
    </w:rPr>
  </w:style>
  <w:style w:type="paragraph" w:customStyle="1" w:styleId="DoubleDot">
    <w:name w:val="Double Dot"/>
    <w:basedOn w:val="Normal"/>
    <w:link w:val="DoubleDotChar"/>
    <w:rsid w:val="00FF57AA"/>
    <w:pPr>
      <w:numPr>
        <w:ilvl w:val="2"/>
        <w:numId w:val="40"/>
      </w:numPr>
    </w:pPr>
    <w:rPr>
      <w:rFonts w:eastAsia="Times New Roman" w:cs="Times New Roman"/>
      <w:lang w:eastAsia="en-AU"/>
    </w:rPr>
  </w:style>
  <w:style w:type="character" w:customStyle="1" w:styleId="DoubleDotChar">
    <w:name w:val="Double Dot Char"/>
    <w:basedOn w:val="notedraftChar"/>
    <w:link w:val="DoubleDot"/>
    <w:rsid w:val="00FF57AA"/>
    <w:rPr>
      <w:rFonts w:eastAsia="Times New Roman" w:cs="Times New Roman"/>
      <w:i w:val="0"/>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7596">
      <w:bodyDiv w:val="1"/>
      <w:marLeft w:val="0"/>
      <w:marRight w:val="0"/>
      <w:marTop w:val="0"/>
      <w:marBottom w:val="0"/>
      <w:divBdr>
        <w:top w:val="none" w:sz="0" w:space="0" w:color="auto"/>
        <w:left w:val="none" w:sz="0" w:space="0" w:color="auto"/>
        <w:bottom w:val="none" w:sz="0" w:space="0" w:color="auto"/>
        <w:right w:val="none" w:sz="0" w:space="0" w:color="auto"/>
      </w:divBdr>
    </w:div>
    <w:div w:id="136339731">
      <w:bodyDiv w:val="1"/>
      <w:marLeft w:val="0"/>
      <w:marRight w:val="0"/>
      <w:marTop w:val="0"/>
      <w:marBottom w:val="0"/>
      <w:divBdr>
        <w:top w:val="none" w:sz="0" w:space="0" w:color="auto"/>
        <w:left w:val="none" w:sz="0" w:space="0" w:color="auto"/>
        <w:bottom w:val="none" w:sz="0" w:space="0" w:color="auto"/>
        <w:right w:val="none" w:sz="0" w:space="0" w:color="auto"/>
      </w:divBdr>
    </w:div>
    <w:div w:id="138769252">
      <w:bodyDiv w:val="1"/>
      <w:marLeft w:val="0"/>
      <w:marRight w:val="0"/>
      <w:marTop w:val="0"/>
      <w:marBottom w:val="0"/>
      <w:divBdr>
        <w:top w:val="none" w:sz="0" w:space="0" w:color="auto"/>
        <w:left w:val="none" w:sz="0" w:space="0" w:color="auto"/>
        <w:bottom w:val="none" w:sz="0" w:space="0" w:color="auto"/>
        <w:right w:val="none" w:sz="0" w:space="0" w:color="auto"/>
      </w:divBdr>
    </w:div>
    <w:div w:id="615795066">
      <w:bodyDiv w:val="1"/>
      <w:marLeft w:val="0"/>
      <w:marRight w:val="0"/>
      <w:marTop w:val="0"/>
      <w:marBottom w:val="0"/>
      <w:divBdr>
        <w:top w:val="none" w:sz="0" w:space="0" w:color="auto"/>
        <w:left w:val="none" w:sz="0" w:space="0" w:color="auto"/>
        <w:bottom w:val="none" w:sz="0" w:space="0" w:color="auto"/>
        <w:right w:val="none" w:sz="0" w:space="0" w:color="auto"/>
      </w:divBdr>
    </w:div>
    <w:div w:id="679621837">
      <w:bodyDiv w:val="1"/>
      <w:marLeft w:val="0"/>
      <w:marRight w:val="0"/>
      <w:marTop w:val="0"/>
      <w:marBottom w:val="0"/>
      <w:divBdr>
        <w:top w:val="none" w:sz="0" w:space="0" w:color="auto"/>
        <w:left w:val="none" w:sz="0" w:space="0" w:color="auto"/>
        <w:bottom w:val="none" w:sz="0" w:space="0" w:color="auto"/>
        <w:right w:val="none" w:sz="0" w:space="0" w:color="auto"/>
      </w:divBdr>
    </w:div>
    <w:div w:id="774251516">
      <w:bodyDiv w:val="1"/>
      <w:marLeft w:val="0"/>
      <w:marRight w:val="0"/>
      <w:marTop w:val="0"/>
      <w:marBottom w:val="0"/>
      <w:divBdr>
        <w:top w:val="none" w:sz="0" w:space="0" w:color="auto"/>
        <w:left w:val="none" w:sz="0" w:space="0" w:color="auto"/>
        <w:bottom w:val="none" w:sz="0" w:space="0" w:color="auto"/>
        <w:right w:val="none" w:sz="0" w:space="0" w:color="auto"/>
      </w:divBdr>
    </w:div>
    <w:div w:id="809594584">
      <w:bodyDiv w:val="1"/>
      <w:marLeft w:val="0"/>
      <w:marRight w:val="0"/>
      <w:marTop w:val="0"/>
      <w:marBottom w:val="0"/>
      <w:divBdr>
        <w:top w:val="none" w:sz="0" w:space="0" w:color="auto"/>
        <w:left w:val="none" w:sz="0" w:space="0" w:color="auto"/>
        <w:bottom w:val="none" w:sz="0" w:space="0" w:color="auto"/>
        <w:right w:val="none" w:sz="0" w:space="0" w:color="auto"/>
      </w:divBdr>
    </w:div>
    <w:div w:id="850342591">
      <w:bodyDiv w:val="1"/>
      <w:marLeft w:val="0"/>
      <w:marRight w:val="0"/>
      <w:marTop w:val="0"/>
      <w:marBottom w:val="0"/>
      <w:divBdr>
        <w:top w:val="none" w:sz="0" w:space="0" w:color="auto"/>
        <w:left w:val="none" w:sz="0" w:space="0" w:color="auto"/>
        <w:bottom w:val="none" w:sz="0" w:space="0" w:color="auto"/>
        <w:right w:val="none" w:sz="0" w:space="0" w:color="auto"/>
      </w:divBdr>
    </w:div>
    <w:div w:id="956840092">
      <w:bodyDiv w:val="1"/>
      <w:marLeft w:val="0"/>
      <w:marRight w:val="0"/>
      <w:marTop w:val="0"/>
      <w:marBottom w:val="0"/>
      <w:divBdr>
        <w:top w:val="none" w:sz="0" w:space="0" w:color="auto"/>
        <w:left w:val="none" w:sz="0" w:space="0" w:color="auto"/>
        <w:bottom w:val="none" w:sz="0" w:space="0" w:color="auto"/>
        <w:right w:val="none" w:sz="0" w:space="0" w:color="auto"/>
      </w:divBdr>
    </w:div>
    <w:div w:id="1067217751">
      <w:bodyDiv w:val="1"/>
      <w:marLeft w:val="0"/>
      <w:marRight w:val="0"/>
      <w:marTop w:val="0"/>
      <w:marBottom w:val="0"/>
      <w:divBdr>
        <w:top w:val="none" w:sz="0" w:space="0" w:color="auto"/>
        <w:left w:val="none" w:sz="0" w:space="0" w:color="auto"/>
        <w:bottom w:val="none" w:sz="0" w:space="0" w:color="auto"/>
        <w:right w:val="none" w:sz="0" w:space="0" w:color="auto"/>
      </w:divBdr>
    </w:div>
    <w:div w:id="1073314240">
      <w:bodyDiv w:val="1"/>
      <w:marLeft w:val="0"/>
      <w:marRight w:val="0"/>
      <w:marTop w:val="0"/>
      <w:marBottom w:val="0"/>
      <w:divBdr>
        <w:top w:val="none" w:sz="0" w:space="0" w:color="auto"/>
        <w:left w:val="none" w:sz="0" w:space="0" w:color="auto"/>
        <w:bottom w:val="none" w:sz="0" w:space="0" w:color="auto"/>
        <w:right w:val="none" w:sz="0" w:space="0" w:color="auto"/>
      </w:divBdr>
    </w:div>
    <w:div w:id="1095596764">
      <w:bodyDiv w:val="1"/>
      <w:marLeft w:val="0"/>
      <w:marRight w:val="0"/>
      <w:marTop w:val="0"/>
      <w:marBottom w:val="0"/>
      <w:divBdr>
        <w:top w:val="none" w:sz="0" w:space="0" w:color="auto"/>
        <w:left w:val="none" w:sz="0" w:space="0" w:color="auto"/>
        <w:bottom w:val="none" w:sz="0" w:space="0" w:color="auto"/>
        <w:right w:val="none" w:sz="0" w:space="0" w:color="auto"/>
      </w:divBdr>
    </w:div>
    <w:div w:id="1128624970">
      <w:bodyDiv w:val="1"/>
      <w:marLeft w:val="0"/>
      <w:marRight w:val="0"/>
      <w:marTop w:val="0"/>
      <w:marBottom w:val="0"/>
      <w:divBdr>
        <w:top w:val="none" w:sz="0" w:space="0" w:color="auto"/>
        <w:left w:val="none" w:sz="0" w:space="0" w:color="auto"/>
        <w:bottom w:val="none" w:sz="0" w:space="0" w:color="auto"/>
        <w:right w:val="none" w:sz="0" w:space="0" w:color="auto"/>
      </w:divBdr>
    </w:div>
    <w:div w:id="1196503165">
      <w:bodyDiv w:val="1"/>
      <w:marLeft w:val="0"/>
      <w:marRight w:val="0"/>
      <w:marTop w:val="0"/>
      <w:marBottom w:val="0"/>
      <w:divBdr>
        <w:top w:val="none" w:sz="0" w:space="0" w:color="auto"/>
        <w:left w:val="none" w:sz="0" w:space="0" w:color="auto"/>
        <w:bottom w:val="none" w:sz="0" w:space="0" w:color="auto"/>
        <w:right w:val="none" w:sz="0" w:space="0" w:color="auto"/>
      </w:divBdr>
    </w:div>
    <w:div w:id="1301109643">
      <w:bodyDiv w:val="1"/>
      <w:marLeft w:val="0"/>
      <w:marRight w:val="0"/>
      <w:marTop w:val="0"/>
      <w:marBottom w:val="0"/>
      <w:divBdr>
        <w:top w:val="none" w:sz="0" w:space="0" w:color="auto"/>
        <w:left w:val="none" w:sz="0" w:space="0" w:color="auto"/>
        <w:bottom w:val="none" w:sz="0" w:space="0" w:color="auto"/>
        <w:right w:val="none" w:sz="0" w:space="0" w:color="auto"/>
      </w:divBdr>
    </w:div>
    <w:div w:id="1401253627">
      <w:bodyDiv w:val="1"/>
      <w:marLeft w:val="0"/>
      <w:marRight w:val="0"/>
      <w:marTop w:val="0"/>
      <w:marBottom w:val="0"/>
      <w:divBdr>
        <w:top w:val="none" w:sz="0" w:space="0" w:color="auto"/>
        <w:left w:val="none" w:sz="0" w:space="0" w:color="auto"/>
        <w:bottom w:val="none" w:sz="0" w:space="0" w:color="auto"/>
        <w:right w:val="none" w:sz="0" w:space="0" w:color="auto"/>
      </w:divBdr>
    </w:div>
    <w:div w:id="1453014571">
      <w:bodyDiv w:val="1"/>
      <w:marLeft w:val="0"/>
      <w:marRight w:val="0"/>
      <w:marTop w:val="0"/>
      <w:marBottom w:val="0"/>
      <w:divBdr>
        <w:top w:val="none" w:sz="0" w:space="0" w:color="auto"/>
        <w:left w:val="none" w:sz="0" w:space="0" w:color="auto"/>
        <w:bottom w:val="none" w:sz="0" w:space="0" w:color="auto"/>
        <w:right w:val="none" w:sz="0" w:space="0" w:color="auto"/>
      </w:divBdr>
    </w:div>
    <w:div w:id="1517117642">
      <w:bodyDiv w:val="1"/>
      <w:marLeft w:val="0"/>
      <w:marRight w:val="0"/>
      <w:marTop w:val="0"/>
      <w:marBottom w:val="0"/>
      <w:divBdr>
        <w:top w:val="none" w:sz="0" w:space="0" w:color="auto"/>
        <w:left w:val="none" w:sz="0" w:space="0" w:color="auto"/>
        <w:bottom w:val="none" w:sz="0" w:space="0" w:color="auto"/>
        <w:right w:val="none" w:sz="0" w:space="0" w:color="auto"/>
      </w:divBdr>
    </w:div>
    <w:div w:id="1549610213">
      <w:bodyDiv w:val="1"/>
      <w:marLeft w:val="0"/>
      <w:marRight w:val="0"/>
      <w:marTop w:val="0"/>
      <w:marBottom w:val="0"/>
      <w:divBdr>
        <w:top w:val="none" w:sz="0" w:space="0" w:color="auto"/>
        <w:left w:val="none" w:sz="0" w:space="0" w:color="auto"/>
        <w:bottom w:val="none" w:sz="0" w:space="0" w:color="auto"/>
        <w:right w:val="none" w:sz="0" w:space="0" w:color="auto"/>
      </w:divBdr>
    </w:div>
    <w:div w:id="1567648633">
      <w:bodyDiv w:val="1"/>
      <w:marLeft w:val="0"/>
      <w:marRight w:val="0"/>
      <w:marTop w:val="0"/>
      <w:marBottom w:val="0"/>
      <w:divBdr>
        <w:top w:val="none" w:sz="0" w:space="0" w:color="auto"/>
        <w:left w:val="none" w:sz="0" w:space="0" w:color="auto"/>
        <w:bottom w:val="none" w:sz="0" w:space="0" w:color="auto"/>
        <w:right w:val="none" w:sz="0" w:space="0" w:color="auto"/>
      </w:divBdr>
    </w:div>
    <w:div w:id="1738894612">
      <w:bodyDiv w:val="1"/>
      <w:marLeft w:val="0"/>
      <w:marRight w:val="0"/>
      <w:marTop w:val="0"/>
      <w:marBottom w:val="0"/>
      <w:divBdr>
        <w:top w:val="none" w:sz="0" w:space="0" w:color="auto"/>
        <w:left w:val="none" w:sz="0" w:space="0" w:color="auto"/>
        <w:bottom w:val="none" w:sz="0" w:space="0" w:color="auto"/>
        <w:right w:val="none" w:sz="0" w:space="0" w:color="auto"/>
      </w:divBdr>
    </w:div>
    <w:div w:id="1816873122">
      <w:bodyDiv w:val="1"/>
      <w:marLeft w:val="0"/>
      <w:marRight w:val="0"/>
      <w:marTop w:val="0"/>
      <w:marBottom w:val="0"/>
      <w:divBdr>
        <w:top w:val="none" w:sz="0" w:space="0" w:color="auto"/>
        <w:left w:val="none" w:sz="0" w:space="0" w:color="auto"/>
        <w:bottom w:val="none" w:sz="0" w:space="0" w:color="auto"/>
        <w:right w:val="none" w:sz="0" w:space="0" w:color="auto"/>
      </w:divBdr>
    </w:div>
    <w:div w:id="1886601519">
      <w:bodyDiv w:val="1"/>
      <w:marLeft w:val="0"/>
      <w:marRight w:val="0"/>
      <w:marTop w:val="0"/>
      <w:marBottom w:val="0"/>
      <w:divBdr>
        <w:top w:val="none" w:sz="0" w:space="0" w:color="auto"/>
        <w:left w:val="none" w:sz="0" w:space="0" w:color="auto"/>
        <w:bottom w:val="none" w:sz="0" w:space="0" w:color="auto"/>
        <w:right w:val="none" w:sz="0" w:space="0" w:color="auto"/>
      </w:divBdr>
    </w:div>
    <w:div w:id="1939561680">
      <w:bodyDiv w:val="1"/>
      <w:marLeft w:val="0"/>
      <w:marRight w:val="0"/>
      <w:marTop w:val="0"/>
      <w:marBottom w:val="0"/>
      <w:divBdr>
        <w:top w:val="none" w:sz="0" w:space="0" w:color="auto"/>
        <w:left w:val="none" w:sz="0" w:space="0" w:color="auto"/>
        <w:bottom w:val="none" w:sz="0" w:space="0" w:color="auto"/>
        <w:right w:val="none" w:sz="0" w:space="0" w:color="auto"/>
      </w:divBdr>
    </w:div>
    <w:div w:id="2028558167">
      <w:bodyDiv w:val="1"/>
      <w:marLeft w:val="0"/>
      <w:marRight w:val="0"/>
      <w:marTop w:val="0"/>
      <w:marBottom w:val="0"/>
      <w:divBdr>
        <w:top w:val="none" w:sz="0" w:space="0" w:color="auto"/>
        <w:left w:val="none" w:sz="0" w:space="0" w:color="auto"/>
        <w:bottom w:val="none" w:sz="0" w:space="0" w:color="auto"/>
        <w:right w:val="none" w:sz="0" w:space="0" w:color="auto"/>
      </w:divBdr>
    </w:div>
    <w:div w:id="21132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S574FYTY5PW6-969949929-2335</_dlc_DocId>
    <_dlc_DocIdUrl xmlns="fe39d773-a83d-4623-ae74-f25711a76616">
      <Url>https://austreasury.sharepoint.com/sites/leg-cord-function/_layouts/15/DocIdRedir.aspx?ID=S574FYTY5PW6-969949929-2335</Url>
      <Description>S574FYTY5PW6-969949929-2335</Description>
    </_dlc_DocIdUrl>
    <TaxCatchAll xmlns="ff38c824-6e29-4496-8487-69f397e7ed29">
      <Value>36</Value>
      <Value>35</Value>
      <Value>1</Value>
      <Value>42</Value>
    </TaxCatchAl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F96A-B2D5-499E-842F-A94C56847CE6}">
  <ds:schemaRefs>
    <ds:schemaRef ds:uri="http://www.w3.org/XML/1998/namespace"/>
    <ds:schemaRef ds:uri="ff38c824-6e29-4496-8487-69f397e7ed29"/>
    <ds:schemaRef ds:uri="http://purl.org/dc/terms/"/>
    <ds:schemaRef ds:uri="http://schemas.microsoft.com/office/2006/documentManagement/types"/>
    <ds:schemaRef ds:uri="fe39d773-a83d-4623-ae74-f25711a76616"/>
    <ds:schemaRef ds:uri="http://schemas.microsoft.com/office/2006/metadata/properties"/>
    <ds:schemaRef ds:uri="http://purl.org/dc/elements/1.1/"/>
    <ds:schemaRef ds:uri="http://schemas.microsoft.com/office/infopath/2007/PartnerControls"/>
    <ds:schemaRef ds:uri="42f4cb5a-261c-4c59-b165-7132460581a3"/>
    <ds:schemaRef ds:uri="http://schemas.openxmlformats.org/package/2006/metadata/core-properties"/>
    <ds:schemaRef ds:uri="30b813c2-29e2-43aa-bac2-1ed67b791ce7"/>
    <ds:schemaRef ds:uri="http://purl.org/dc/dcmitype/"/>
  </ds:schemaRefs>
</ds:datastoreItem>
</file>

<file path=customXml/itemProps2.xml><?xml version="1.0" encoding="utf-8"?>
<ds:datastoreItem xmlns:ds="http://schemas.openxmlformats.org/officeDocument/2006/customXml" ds:itemID="{39095F9E-12FF-42F4-AA76-B5DB25B5C900}">
  <ds:schemaRefs>
    <ds:schemaRef ds:uri="http://schemas.microsoft.com/sharepoint/v3/contenttype/forms"/>
  </ds:schemaRefs>
</ds:datastoreItem>
</file>

<file path=customXml/itemProps3.xml><?xml version="1.0" encoding="utf-8"?>
<ds:datastoreItem xmlns:ds="http://schemas.openxmlformats.org/officeDocument/2006/customXml" ds:itemID="{B5588B7C-4A06-4284-B2EB-50DE318C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6EF30-3E16-4142-83AE-F59F2F5E82AB}">
  <ds:schemaRefs>
    <ds:schemaRef ds:uri="http://schemas.microsoft.com/sharepoint/events"/>
  </ds:schemaRefs>
</ds:datastoreItem>
</file>

<file path=customXml/itemProps5.xml><?xml version="1.0" encoding="utf-8"?>
<ds:datastoreItem xmlns:ds="http://schemas.openxmlformats.org/officeDocument/2006/customXml" ds:itemID="{9DB0230C-1007-44F9-AB0B-241F1547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8194</Words>
  <Characters>40445</Characters>
  <Application>Microsoft Office Word</Application>
  <DocSecurity>0</DocSecurity>
  <Lines>337</Lines>
  <Paragraphs>97</Paragraphs>
  <ScaleCrop>false</ScaleCrop>
  <HeadingPairs>
    <vt:vector size="2" baseType="variant">
      <vt:variant>
        <vt:lpstr>Title</vt:lpstr>
      </vt:variant>
      <vt:variant>
        <vt:i4>1</vt:i4>
      </vt:variant>
    </vt:vector>
  </HeadingPairs>
  <TitlesOfParts>
    <vt:vector size="1" baseType="lpstr">
      <vt:lpstr>Draft 2 - V8 amendments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2 - V8 amendments</dc:title>
  <dc:subject/>
  <dc:creator/>
  <cp:keywords/>
  <dc:description/>
  <cp:lastModifiedBy/>
  <cp:revision>1</cp:revision>
  <dcterms:created xsi:type="dcterms:W3CDTF">2024-11-07T18:24:00Z</dcterms:created>
  <dcterms:modified xsi:type="dcterms:W3CDTF">2025-02-28T05:15:00Z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_dlc_DocIdItemGuid">
    <vt:lpwstr>344cb7d2-dab1-4a47-83c2-fe78203e2b02</vt:lpwstr>
  </property>
  <property fmtid="{D5CDD505-2E9C-101B-9397-08002B2CF9AE}" pid="5" name="TSYStatus">
    <vt:lpwstr/>
  </property>
  <property fmtid="{D5CDD505-2E9C-101B-9397-08002B2CF9AE}" pid="6" name="eDocumentType">
    <vt:lpwstr>68;#Legislation|bc5c492f-641e-4b74-8651-322acd553d0f</vt:lpwstr>
  </property>
  <property fmtid="{D5CDD505-2E9C-101B-9397-08002B2CF9AE}" pid="7" name="eTopic">
    <vt:lpwstr>36;#Legislation Coordination|58c6712e-e847-48f4-81ab-b25e2bbd3986</vt:lpwstr>
  </property>
  <property fmtid="{D5CDD505-2E9C-101B-9397-08002B2CF9AE}" pid="8" name="Phase">
    <vt:lpwstr>90;#Rules|2d7517ce-1787-4742-82de-261a971381f9</vt:lpwstr>
  </property>
  <property fmtid="{D5CDD505-2E9C-101B-9397-08002B2CF9AE}" pid="9" name="eActivity">
    <vt:lpwstr>35;#Legislation management|cb630f2f-9155-496b-ad0f-d960eb1bf90c</vt:lpwstr>
  </property>
  <property fmtid="{D5CDD505-2E9C-101B-9397-08002B2CF9AE}" pid="10" name="k8424359e03846678cc4a99dd97e9705">
    <vt:lpwstr>Treasury Enterprise Terms|69519368-d55f-4403-adc0-7b3d464d5501</vt:lpwstr>
  </property>
  <property fmtid="{D5CDD505-2E9C-101B-9397-08002B2CF9AE}" pid="11" name="Order">
    <vt:r8>470000</vt:r8>
  </property>
  <property fmtid="{D5CDD505-2E9C-101B-9397-08002B2CF9AE}" pid="12" name="MediaServiceImageTags">
    <vt:lpwstr/>
  </property>
  <property fmtid="{D5CDD505-2E9C-101B-9397-08002B2CF9AE}" pid="13" name="LMDivision">
    <vt:lpwstr>3;#Treasury Enterprise Terms|69519368-d55f-4403-adc0-7b3d464d5501</vt:lpwstr>
  </property>
  <property fmtid="{D5CDD505-2E9C-101B-9397-08002B2CF9AE}" pid="14" name="Classification">
    <vt:lpwstr> </vt:lpwstr>
  </property>
  <property fmtid="{D5CDD505-2E9C-101B-9397-08002B2CF9AE}" pid="15" name="DLM">
    <vt:lpwstr> </vt:lpwstr>
  </property>
  <property fmtid="{D5CDD505-2E9C-101B-9397-08002B2CF9AE}" pid="16" name="_docset_NoMedatataSyncRequired">
    <vt:lpwstr>False</vt:lpwstr>
  </property>
  <property fmtid="{D5CDD505-2E9C-101B-9397-08002B2CF9AE}" pid="17" name="Topic">
    <vt:lpwstr>36;#Legislation Coordination|58c6712e-e847-48f4-81ab-b25e2bbd3986</vt:lpwstr>
  </property>
  <property fmtid="{D5CDD505-2E9C-101B-9397-08002B2CF9AE}" pid="18" name="Activity">
    <vt:lpwstr>35;#Legislation management|cb630f2f-9155-496b-ad0f-d960eb1bf90c</vt:lpwstr>
  </property>
  <property fmtid="{D5CDD505-2E9C-101B-9397-08002B2CF9AE}" pid="19" name="Document_x0020_Type">
    <vt:lpwstr>42;#Legislation|25c35cca-98fe-4d3e-a63c-3dda1c39f3ec</vt:lpwstr>
  </property>
  <property fmtid="{D5CDD505-2E9C-101B-9397-08002B2CF9AE}" pid="20" name="Document Type">
    <vt:lpwstr>42;#Legislation|25c35cca-98fe-4d3e-a63c-3dda1c39f3ec</vt:lpwstr>
  </property>
  <property fmtid="{D5CDD505-2E9C-101B-9397-08002B2CF9AE}" pid="21" name="MSIP_Label_4f932d64-9ab1-4d9b-81d2-a3a8b82dd47d_Enabled">
    <vt:lpwstr>true</vt:lpwstr>
  </property>
  <property fmtid="{D5CDD505-2E9C-101B-9397-08002B2CF9AE}" pid="22" name="MSIP_Label_4f932d64-9ab1-4d9b-81d2-a3a8b82dd47d_SetDate">
    <vt:lpwstr>2025-02-28T05:15:25Z</vt:lpwstr>
  </property>
  <property fmtid="{D5CDD505-2E9C-101B-9397-08002B2CF9AE}" pid="23" name="MSIP_Label_4f932d64-9ab1-4d9b-81d2-a3a8b82dd47d_Method">
    <vt:lpwstr>Privileged</vt:lpwstr>
  </property>
  <property fmtid="{D5CDD505-2E9C-101B-9397-08002B2CF9AE}" pid="24" name="MSIP_Label_4f932d64-9ab1-4d9b-81d2-a3a8b82dd47d_Name">
    <vt:lpwstr>OFFICIAL No Visual Marking</vt:lpwstr>
  </property>
  <property fmtid="{D5CDD505-2E9C-101B-9397-08002B2CF9AE}" pid="25" name="MSIP_Label_4f932d64-9ab1-4d9b-81d2-a3a8b82dd47d_SiteId">
    <vt:lpwstr>214f1646-2021-47cc-8397-e3d3a7ba7d9d</vt:lpwstr>
  </property>
  <property fmtid="{D5CDD505-2E9C-101B-9397-08002B2CF9AE}" pid="26" name="MSIP_Label_4f932d64-9ab1-4d9b-81d2-a3a8b82dd47d_ActionId">
    <vt:lpwstr>b9a7ac0a-14d1-46d8-a94c-4ae7e7cbd42b</vt:lpwstr>
  </property>
  <property fmtid="{D5CDD505-2E9C-101B-9397-08002B2CF9AE}" pid="27" name="MSIP_Label_4f932d64-9ab1-4d9b-81d2-a3a8b82dd47d_ContentBits">
    <vt:lpwstr>0</vt:lpwstr>
  </property>
</Properties>
</file>