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03fed4dc02f645c5"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EFC" w:rsidRPr="00765BC3" w:rsidRDefault="00035103" w:rsidP="00786081">
      <w:pPr>
        <w:spacing w:after="120"/>
        <w:ind w:left="-1134"/>
        <w:rPr>
          <w:sz w:val="2"/>
          <w:szCs w:val="2"/>
        </w:rPr>
      </w:pPr>
      <w:bookmarkStart w:id="0" w:name="PM"/>
      <w:bookmarkStart w:id="1" w:name="_GoBack"/>
      <w:bookmarkEnd w:id="0"/>
      <w:bookmarkEnd w:id="1"/>
      <w:r>
        <w:rPr>
          <w:noProof/>
          <w:sz w:val="2"/>
          <w:szCs w:val="2"/>
          <w:lang w:eastAsia="en-AU"/>
        </w:rPr>
        <w:drawing>
          <wp:inline distT="0" distB="0" distL="0" distR="0" wp14:anchorId="0B9CF463" wp14:editId="10EBE49C">
            <wp:extent cx="7560000" cy="1466274"/>
            <wp:effectExtent l="0" t="0" r="3175" b="635"/>
            <wp:docPr id="1" name="Picture 1" descr="Australian Government Department of Home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 Sheet Joint Template_Portrait.jpg"/>
                    <pic:cNvPicPr/>
                  </pic:nvPicPr>
                  <pic:blipFill>
                    <a:blip r:embed="rId13" cstate="print">
                      <a:extLst>
                        <a:ext uri="{28A0092B-C50C-407E-A947-70E740481C1C}">
                          <a14:useLocalDpi xmlns:a14="http://schemas.microsoft.com/office/drawing/2010/main"/>
                        </a:ext>
                      </a:extLst>
                    </a:blip>
                    <a:stretch>
                      <a:fillRect/>
                    </a:stretch>
                  </pic:blipFill>
                  <pic:spPr>
                    <a:xfrm>
                      <a:off x="0" y="0"/>
                      <a:ext cx="7560000" cy="1466274"/>
                    </a:xfrm>
                    <a:prstGeom prst="rect">
                      <a:avLst/>
                    </a:prstGeom>
                  </pic:spPr>
                </pic:pic>
              </a:graphicData>
            </a:graphic>
          </wp:inline>
        </w:drawing>
      </w:r>
    </w:p>
    <w:p w:rsidR="001E2EFC" w:rsidRDefault="001E2EFC" w:rsidP="001E2EFC">
      <w:pPr>
        <w:pStyle w:val="Protection"/>
      </w:pPr>
    </w:p>
    <w:p w:rsidR="00143B7F" w:rsidRPr="0030502B" w:rsidRDefault="00143B7F" w:rsidP="00143B7F">
      <w:pPr>
        <w:pStyle w:val="Protection"/>
      </w:pPr>
    </w:p>
    <w:sdt>
      <w:sdtPr>
        <w:alias w:val="Title"/>
        <w:tag w:val="Title"/>
        <w:id w:val="1607082721"/>
        <w:placeholder>
          <w:docPart w:val="ADCC8986F7A44450BD1C3C06DFA62DDB"/>
        </w:placeholder>
        <w:dataBinding w:xpath="/root[1]/Title[1]" w:storeItemID="{EB3C9613-4F79-4346-8034-732DBACC37CD}"/>
        <w:text w:multiLine="1"/>
      </w:sdtPr>
      <w:sdtEndPr/>
      <w:sdtContent>
        <w:p w:rsidR="00A23301" w:rsidRDefault="00A82AF8" w:rsidP="00A82AF8">
          <w:pPr>
            <w:pStyle w:val="Title"/>
            <w:spacing w:after="0"/>
          </w:pPr>
          <w:r>
            <w:t>Mandatory security standards and industry-led voluntary cyber security labelling scheme for consumer-grade smart devices</w:t>
          </w:r>
        </w:p>
      </w:sdtContent>
    </w:sdt>
    <w:p w:rsidR="00543796" w:rsidRDefault="00A82AF8" w:rsidP="00A82AF8">
      <w:pPr>
        <w:pStyle w:val="Heading1"/>
        <w:spacing w:before="0"/>
        <w:rPr>
          <w:color w:val="595959" w:themeColor="text1" w:themeTint="A6"/>
        </w:rPr>
      </w:pPr>
      <w:r w:rsidRPr="00A82AF8">
        <w:rPr>
          <w:color w:val="595959" w:themeColor="text1" w:themeTint="A6"/>
        </w:rPr>
        <w:t>Impact Analysis Addendum (OIA23</w:t>
      </w:r>
      <w:r w:rsidR="00B0406E" w:rsidRPr="00B0406E">
        <w:rPr>
          <w:color w:val="595959" w:themeColor="text1" w:themeTint="A6"/>
        </w:rPr>
        <w:t>-05842</w:t>
      </w:r>
      <w:r w:rsidRPr="00A82AF8">
        <w:rPr>
          <w:color w:val="595959" w:themeColor="text1" w:themeTint="A6"/>
        </w:rPr>
        <w:t>; legacy: 23882)</w:t>
      </w:r>
    </w:p>
    <w:p w:rsidR="00B55F5F" w:rsidRPr="00B55F5F" w:rsidRDefault="00B55F5F" w:rsidP="00B55F5F">
      <w:pPr>
        <w:pStyle w:val="Heading2"/>
      </w:pPr>
      <w:r>
        <w:t>Part 1: Context and background</w:t>
      </w:r>
    </w:p>
    <w:p w:rsidR="00A82AF8" w:rsidRPr="006F0055" w:rsidRDefault="00EA5BAD" w:rsidP="00B55F5F">
      <w:pPr>
        <w:pStyle w:val="Heading3"/>
      </w:pPr>
      <w:r w:rsidRPr="006F0055">
        <w:t>Strategic</w:t>
      </w:r>
      <w:r w:rsidR="00D07B77" w:rsidRPr="006F0055">
        <w:t xml:space="preserve"> context</w:t>
      </w:r>
    </w:p>
    <w:p w:rsidR="006F0055" w:rsidRDefault="00D8174C" w:rsidP="00BA15C0">
      <w:pPr>
        <w:pStyle w:val="BodyText"/>
      </w:pPr>
      <w:r w:rsidRPr="00D8174C">
        <w:t xml:space="preserve">The </w:t>
      </w:r>
      <w:r w:rsidRPr="00D8174C">
        <w:rPr>
          <w:i/>
        </w:rPr>
        <w:t>2023–2030 Australian Cyber Security Strategy</w:t>
      </w:r>
      <w:r w:rsidRPr="00D8174C">
        <w:t xml:space="preserve"> (the Strategy) and associated </w:t>
      </w:r>
      <w:r w:rsidRPr="00D8174C">
        <w:rPr>
          <w:i/>
        </w:rPr>
        <w:t>2023-2030 Australian Cyber Security Action Plan</w:t>
      </w:r>
      <w:r w:rsidRPr="00D8174C">
        <w:t xml:space="preserve"> (the Action Plan) outlines the pathway to Australia becoming a world leader in cyber security by 2030.</w:t>
      </w:r>
      <w:r w:rsidR="00BA15C0" w:rsidRPr="00BA15C0">
        <w:t xml:space="preserve"> </w:t>
      </w:r>
      <w:r w:rsidR="006F0055">
        <w:t xml:space="preserve">As part of </w:t>
      </w:r>
      <w:r w:rsidR="006F0055" w:rsidRPr="006F0055">
        <w:t>the Strategy, the</w:t>
      </w:r>
      <w:r w:rsidR="00D13DA1">
        <w:t xml:space="preserve"> Australian</w:t>
      </w:r>
      <w:r w:rsidR="006F0055" w:rsidRPr="006F0055">
        <w:t xml:space="preserve"> Gov</w:t>
      </w:r>
      <w:r w:rsidR="006F0055">
        <w:t xml:space="preserve">ernment announced that it would co-design options to </w:t>
      </w:r>
      <w:r w:rsidR="006F0055" w:rsidRPr="006F0055">
        <w:t xml:space="preserve">legislate a mandatory cyber security standard for </w:t>
      </w:r>
      <w:r w:rsidR="00B55F5F">
        <w:t>smart</w:t>
      </w:r>
      <w:r w:rsidR="006F0055" w:rsidRPr="006F0055">
        <w:t xml:space="preserve"> devices and develop a voluntary labelling scheme for consumer-grade smart devices.</w:t>
      </w:r>
    </w:p>
    <w:p w:rsidR="006F0055" w:rsidRDefault="00B55F5F" w:rsidP="006F0055">
      <w:pPr>
        <w:pStyle w:val="BodyText"/>
      </w:pPr>
      <w:r>
        <w:t xml:space="preserve">On 22 </w:t>
      </w:r>
      <w:r w:rsidR="006F0055">
        <w:t>November 2023, the Department of Home Affairs published an Impact Analysis on mandatory security standards and industry-led voluntary cyber security labelling scheme for consumer-grade smart devices.</w:t>
      </w:r>
    </w:p>
    <w:p w:rsidR="006F0055" w:rsidRPr="006F0055" w:rsidRDefault="000F7E70" w:rsidP="00B55F5F">
      <w:pPr>
        <w:pStyle w:val="Heading3"/>
      </w:pPr>
      <w:r>
        <w:t>Consultation</w:t>
      </w:r>
    </w:p>
    <w:p w:rsidR="0024497C" w:rsidRDefault="00BA15C0" w:rsidP="00BA15C0">
      <w:pPr>
        <w:pStyle w:val="BodyText"/>
      </w:pPr>
      <w:r w:rsidRPr="00BA15C0">
        <w:t>An evaluation of the domestic Code of Practice in March 2021 suggested that voluntary, principles-based guidance had a limited impact on business decision-making, with evidence suggesting that low-cost manufacturers were least likely to make more security-conscious design choices</w:t>
      </w:r>
    </w:p>
    <w:p w:rsidR="00BA15C0" w:rsidRDefault="00BA15C0" w:rsidP="00BA15C0">
      <w:pPr>
        <w:pStyle w:val="BodyText"/>
      </w:pPr>
      <w:r w:rsidRPr="00BA15C0">
        <w:t xml:space="preserve">During consultation in 2021, the </w:t>
      </w:r>
      <w:r>
        <w:t xml:space="preserve">Australian </w:t>
      </w:r>
      <w:r w:rsidRPr="00BA15C0">
        <w:t xml:space="preserve">Government heard feedback from consumer advocate groups and manufacturers suggesting a possible market failure in the </w:t>
      </w:r>
      <w:r w:rsidR="00B55F5F">
        <w:t>smart device</w:t>
      </w:r>
      <w:r w:rsidRPr="00BA15C0">
        <w:t xml:space="preserve"> market. Feedback strongly suggested that it is reasonable to expect </w:t>
      </w:r>
      <w:r w:rsidR="00B55F5F">
        <w:t>smart</w:t>
      </w:r>
      <w:r w:rsidRPr="00BA15C0">
        <w:t xml:space="preserve"> device manufacturers to incorporate basic security features into their products given their capability and understanding of the manufacturing process. However, the </w:t>
      </w:r>
      <w:r w:rsidR="00306F91">
        <w:t xml:space="preserve">Australian </w:t>
      </w:r>
      <w:r w:rsidRPr="00BA15C0">
        <w:t>Government also heard that manufacturers are not sufficiently incentivised to build secure-by-design products. Manufacturers who prioritise cost and time to market over cyber security can attract higher demand as consumers are typically price-sensitive and generally lack the expertise to distinguish produ</w:t>
      </w:r>
      <w:r>
        <w:t>cts based on security features.</w:t>
      </w:r>
    </w:p>
    <w:p w:rsidR="00BA15C0" w:rsidRDefault="00BA15C0" w:rsidP="00BA15C0">
      <w:pPr>
        <w:pStyle w:val="BodyText"/>
      </w:pPr>
      <w:r w:rsidRPr="00BA15C0">
        <w:t xml:space="preserve">The </w:t>
      </w:r>
      <w:r>
        <w:t xml:space="preserve">Australian </w:t>
      </w:r>
      <w:r w:rsidRPr="00BA15C0">
        <w:t xml:space="preserve">Government has heard that any regulation on </w:t>
      </w:r>
      <w:r w:rsidR="00B55F5F">
        <w:t>smart</w:t>
      </w:r>
      <w:r w:rsidRPr="00BA15C0">
        <w:t xml:space="preserve"> devices should only be used as a last resort and must demonstrate a net benefit to society. However, the majority of stakeholders across the nation were supportive of introducing a mandatory standard for </w:t>
      </w:r>
      <w:r w:rsidR="00B55F5F">
        <w:t>smart</w:t>
      </w:r>
      <w:r w:rsidRPr="00BA15C0">
        <w:t xml:space="preserve"> devices in Australia. There was strong support for Australia adopting international standards because we are a small technology market. Industry stakeholders told us that aligning with international standards would help reduce regulatory burden and lower barriers to entry in the Australian market. There were also views that regulation would need to be future-proofed to adapt to changes in the threat environment and would need to be accompanied by strong enforcement to</w:t>
      </w:r>
      <w:r>
        <w:t xml:space="preserve"> ensure compliance by industry.</w:t>
      </w:r>
    </w:p>
    <w:p w:rsidR="00BA15C0" w:rsidRDefault="00BA15C0" w:rsidP="00BA15C0">
      <w:pPr>
        <w:pStyle w:val="BodyText"/>
      </w:pPr>
      <w:r w:rsidRPr="00BA15C0">
        <w:lastRenderedPageBreak/>
        <w:t xml:space="preserve">The </w:t>
      </w:r>
      <w:r w:rsidRPr="00440901">
        <w:rPr>
          <w:i/>
        </w:rPr>
        <w:t>Cyber Security Strategy Discussion Paper</w:t>
      </w:r>
      <w:r w:rsidRPr="00BA15C0">
        <w:t xml:space="preserve"> sought industry and community views on the adoption of a mandatory product standard for consumer-grade </w:t>
      </w:r>
      <w:r w:rsidR="00B55F5F">
        <w:t>smart</w:t>
      </w:r>
      <w:r w:rsidRPr="00BA15C0">
        <w:t xml:space="preserve"> devices in Australia. Submissions supported a long-term vision for the Australian cyber security landscape where digital goods and services sold are secure-by-design. Many submissions noted that small businesses and vulnerable communities would be the primary beneficiaries of regulation requiring stronger security standards. By allocating more cyber security risk to manufacturers and other entities better placed to mitigate those risks, we can create a safer digital economy.</w:t>
      </w:r>
    </w:p>
    <w:p w:rsidR="006D6701" w:rsidRDefault="006D6701" w:rsidP="00A82AF8">
      <w:pPr>
        <w:pStyle w:val="BodyText"/>
      </w:pPr>
      <w:r>
        <w:t xml:space="preserve">The objective of Australia’s </w:t>
      </w:r>
      <w:r w:rsidR="00306F91">
        <w:t xml:space="preserve">cyber security </w:t>
      </w:r>
      <w:r>
        <w:t xml:space="preserve">standard </w:t>
      </w:r>
      <w:r w:rsidR="00306F91">
        <w:t xml:space="preserve">for consumer-grade smart devices </w:t>
      </w:r>
      <w:r>
        <w:t>would be to align with international benchmarks, ensure consistency between jurisdictions and minimise regulatory burden on Australian businesses, while also meeting our national security objectives.</w:t>
      </w:r>
    </w:p>
    <w:p w:rsidR="00B55F5F" w:rsidRDefault="00B55F5F" w:rsidP="00B55F5F">
      <w:pPr>
        <w:pStyle w:val="Heading2"/>
      </w:pPr>
      <w:r>
        <w:t>Part 2: Additional consultation and impacts on legislative design</w:t>
      </w:r>
    </w:p>
    <w:p w:rsidR="00BA15C0" w:rsidRPr="00BA15C0" w:rsidRDefault="00BA15C0" w:rsidP="00BA15C0">
      <w:pPr>
        <w:pStyle w:val="BodyText"/>
      </w:pPr>
      <w:r>
        <w:t xml:space="preserve">The </w:t>
      </w:r>
      <w:r w:rsidR="006D6701" w:rsidRPr="006D6701">
        <w:rPr>
          <w:i/>
        </w:rPr>
        <w:t xml:space="preserve">Australian Cyber Security Strategy: Cyber Security Legislative Reforms </w:t>
      </w:r>
      <w:r w:rsidRPr="006D6701">
        <w:rPr>
          <w:i/>
        </w:rPr>
        <w:t>Consultation Paper</w:t>
      </w:r>
      <w:r w:rsidR="006D6701">
        <w:t xml:space="preserve"> (the Consultation Paper)</w:t>
      </w:r>
      <w:r>
        <w:t xml:space="preserve"> sought additional views from the public and industry on how a mandatory cyber security standard for consumer-grade smart devices could address gaps in Australia’s current cyber security legislative landscape by incorporating basic security features by design and preventing cyber attacks on Australian consumers.</w:t>
      </w:r>
      <w:r w:rsidR="006D6701">
        <w:t xml:space="preserve"> The Consultation Paper posed tailored questions to the public and industry on discrete areas of the policy design to refine the agreed conceptual option – as described in the original Impact Analysis – into a pragmatic, co-designed solution to uplift the cyber security of Australians and their technologies.</w:t>
      </w:r>
    </w:p>
    <w:p w:rsidR="00CA3D39" w:rsidRDefault="00D8174C" w:rsidP="00B55F5F">
      <w:pPr>
        <w:pStyle w:val="Heading4"/>
      </w:pPr>
      <w:r>
        <w:t>Responsible entities</w:t>
      </w:r>
    </w:p>
    <w:p w:rsidR="00CA3D39" w:rsidRDefault="00F20DF1" w:rsidP="00CA3D39">
      <w:pPr>
        <w:pStyle w:val="BodyText"/>
      </w:pPr>
      <w:r>
        <w:t>The Consultation Paper noted m</w:t>
      </w:r>
      <w:r w:rsidRPr="00F20DF1">
        <w:t>any entities contribute to the supply chain that provides Australian consu</w:t>
      </w:r>
      <w:r>
        <w:t xml:space="preserve">mers with access to </w:t>
      </w:r>
      <w:r w:rsidR="00B55F5F">
        <w:t>smart</w:t>
      </w:r>
      <w:r>
        <w:t xml:space="preserve"> devices, including</w:t>
      </w:r>
      <w:r w:rsidRPr="00F20DF1">
        <w:t xml:space="preserve"> manufacturers, subcontractors, software developers, importers and distributors.</w:t>
      </w:r>
      <w:r>
        <w:t xml:space="preserve"> The Department</w:t>
      </w:r>
      <w:r w:rsidR="00192FE6">
        <w:t xml:space="preserve"> of Home Affairs (the Department)</w:t>
      </w:r>
      <w:r>
        <w:t xml:space="preserve"> sought views on </w:t>
      </w:r>
      <w:r w:rsidRPr="00F20DF1">
        <w:t>which entities should be covered within the scope of a mandatory security standard</w:t>
      </w:r>
      <w:r>
        <w:t>.</w:t>
      </w:r>
    </w:p>
    <w:p w:rsidR="00CA3D39" w:rsidRPr="00CA3D39" w:rsidRDefault="00CA3D39" w:rsidP="000F7E70">
      <w:pPr>
        <w:pStyle w:val="BodyText"/>
      </w:pPr>
      <w:r w:rsidRPr="00CA3D39">
        <w:t xml:space="preserve">The majority of stakeholders provided feedback that manufacturers and suppliers of </w:t>
      </w:r>
      <w:r w:rsidR="00B55F5F">
        <w:t>smart</w:t>
      </w:r>
      <w:r w:rsidRPr="00CA3D39">
        <w:t xml:space="preserve"> devices should be held responsible for compliance with the standard.</w:t>
      </w:r>
      <w:r w:rsidRPr="00CA3D39">
        <w:rPr>
          <w:vertAlign w:val="superscript"/>
        </w:rPr>
        <w:footnoteReference w:id="1"/>
      </w:r>
      <w:r w:rsidRPr="00CA3D39">
        <w:t xml:space="preserve"> </w:t>
      </w:r>
      <w:r w:rsidR="0056780F">
        <w:t>This would be</w:t>
      </w:r>
      <w:r w:rsidRPr="00CA3D39">
        <w:t xml:space="preserve"> consistent with the proposed product standard compliance requirements. </w:t>
      </w:r>
      <w:r w:rsidR="000F7E70">
        <w:t>S</w:t>
      </w:r>
      <w:r w:rsidRPr="00CA3D39">
        <w:t>ome stakeholders suggested that all entities in the supply chain should be held responsible.</w:t>
      </w:r>
      <w:r w:rsidRPr="00CA3D39">
        <w:rPr>
          <w:vertAlign w:val="superscript"/>
        </w:rPr>
        <w:footnoteReference w:id="2"/>
      </w:r>
      <w:r w:rsidRPr="00CA3D39">
        <w:t xml:space="preserve"> </w:t>
      </w:r>
    </w:p>
    <w:p w:rsidR="00CA3D39" w:rsidRDefault="0056780F" w:rsidP="00CA3D39">
      <w:pPr>
        <w:pStyle w:val="BodyText"/>
      </w:pPr>
      <w:r>
        <w:t xml:space="preserve">The original Impact Analysis </w:t>
      </w:r>
      <w:r w:rsidR="007C4968">
        <w:t>assessed that providing a mandatory standard for smart devices would</w:t>
      </w:r>
      <w:r w:rsidR="007C4968" w:rsidRPr="007C4968">
        <w:t xml:space="preserve"> place responsibility for ensuring that products meet baseline cyber security requirements on manufacturers and developers.</w:t>
      </w:r>
      <w:r w:rsidR="007C4968">
        <w:t xml:space="preserve"> Under this approach,</w:t>
      </w:r>
      <w:r w:rsidR="007C4968" w:rsidRPr="007C4968">
        <w:t xml:space="preserve"> negative externalities in the smart device market </w:t>
      </w:r>
      <w:r w:rsidR="007C4968">
        <w:t xml:space="preserve">would be mitigated </w:t>
      </w:r>
      <w:r w:rsidR="007C4968" w:rsidRPr="007C4968">
        <w:t>as consumers will be less likely to unknowingly purchase and bear responsibility for the consequences of an insecure smart device.</w:t>
      </w:r>
      <w:r w:rsidR="007C4968">
        <w:t xml:space="preserve"> Economic, social and community impacts under these assumptions have been adequately assessed.</w:t>
      </w:r>
    </w:p>
    <w:p w:rsidR="007C4968" w:rsidRDefault="007C4968" w:rsidP="00CA3D39">
      <w:pPr>
        <w:pStyle w:val="BodyText"/>
      </w:pPr>
      <w:r>
        <w:t xml:space="preserve">In response to the additional feedback received, the mandatory standard will mirror </w:t>
      </w:r>
      <w:r w:rsidRPr="007C4968">
        <w:t>the approach ta</w:t>
      </w:r>
      <w:r>
        <w:t>ken for consumer product safety –</w:t>
      </w:r>
      <w:r w:rsidRPr="007C4968">
        <w:t xml:space="preserve"> which places responsibilities of varying levels on vendors, suppliers, importers and manufacturers to comply with standard. This would align with approach taken in the UK’s </w:t>
      </w:r>
      <w:r w:rsidRPr="007C4968">
        <w:rPr>
          <w:i/>
        </w:rPr>
        <w:t>Product Security and Telecommunications Infrastructure Act 2022</w:t>
      </w:r>
      <w:r w:rsidRPr="007C4968">
        <w:t xml:space="preserve"> (UK PSTI Act) and associated regulatory regime.</w:t>
      </w:r>
    </w:p>
    <w:p w:rsidR="00CA3D39" w:rsidRDefault="00D8174C" w:rsidP="00CA3D39">
      <w:pPr>
        <w:pStyle w:val="Heading4"/>
      </w:pPr>
      <w:r>
        <w:t>Standards to be adopted in Australia</w:t>
      </w:r>
    </w:p>
    <w:p w:rsidR="00CA3D39" w:rsidRDefault="001F06B5" w:rsidP="00CA3D39">
      <w:pPr>
        <w:pStyle w:val="BodyText"/>
      </w:pPr>
      <w:r>
        <w:t>The Consultation Paper noted</w:t>
      </w:r>
      <w:r w:rsidRPr="001F06B5">
        <w:rPr>
          <w:rFonts w:eastAsiaTheme="minorHAnsi" w:cstheme="minorBidi"/>
          <w:szCs w:val="22"/>
          <w:lang w:eastAsia="en-US"/>
        </w:rPr>
        <w:t xml:space="preserve"> </w:t>
      </w:r>
      <w:r>
        <w:t>a</w:t>
      </w:r>
      <w:r w:rsidR="003E5554">
        <w:t xml:space="preserve">dopting the </w:t>
      </w:r>
      <w:r w:rsidR="003E5554" w:rsidRPr="00CA3D39">
        <w:t>European Telecommunicat</w:t>
      </w:r>
      <w:r w:rsidR="003E5554">
        <w:t>ions Standards Institute (ETSI)</w:t>
      </w:r>
      <w:r w:rsidRPr="001F06B5">
        <w:t xml:space="preserve"> EN 303 645 standard would bring Australia in line with our international partners, noting recent developments in smart device standards across other jurisdictions. </w:t>
      </w:r>
      <w:r>
        <w:t xml:space="preserve">The Department sought views on </w:t>
      </w:r>
      <w:r w:rsidRPr="001F06B5">
        <w:t>whether the first three principles of the ETSI EN 303 645 standard would be an appropriate minimum standard to mandate for cyber security of smart devices in the Australian market</w:t>
      </w:r>
      <w:r>
        <w:t>.</w:t>
      </w:r>
    </w:p>
    <w:p w:rsidR="00CA3D39" w:rsidRPr="00CA3D39" w:rsidRDefault="00CA3D39" w:rsidP="00CA3D39">
      <w:pPr>
        <w:pStyle w:val="BodyText"/>
      </w:pPr>
      <w:r w:rsidRPr="00CA3D39">
        <w:t xml:space="preserve">The majority of stakeholders supported mandating the first three principles of the </w:t>
      </w:r>
      <w:r w:rsidR="003E5554">
        <w:t xml:space="preserve">ETSI </w:t>
      </w:r>
      <w:r w:rsidRPr="00CA3D39">
        <w:t>EN 303 645 standard as a baseline in Australia.</w:t>
      </w:r>
      <w:r w:rsidRPr="00CA3D39">
        <w:rPr>
          <w:vertAlign w:val="superscript"/>
        </w:rPr>
        <w:footnoteReference w:id="3"/>
      </w:r>
      <w:r w:rsidRPr="00CA3D39">
        <w:t xml:space="preserve"> This aligns with international approaches and introduces a level of security across </w:t>
      </w:r>
      <w:r w:rsidR="00B55F5F">
        <w:lastRenderedPageBreak/>
        <w:t>smart devices</w:t>
      </w:r>
      <w:r w:rsidRPr="00CA3D39">
        <w:t xml:space="preserve"> in Australia while limiting negative consequences on market availability, innovation, and competition. </w:t>
      </w:r>
    </w:p>
    <w:p w:rsidR="00CA3D39" w:rsidRPr="00CA3D39" w:rsidRDefault="00CA3D39" w:rsidP="00CA3D39">
      <w:pPr>
        <w:pStyle w:val="BodyText"/>
      </w:pPr>
      <w:r w:rsidRPr="00CA3D39">
        <w:t>Some stakeholders suggested that higher-risk products should adhere to a higher standard.</w:t>
      </w:r>
      <w:r w:rsidRPr="00CA3D39">
        <w:rPr>
          <w:vertAlign w:val="superscript"/>
        </w:rPr>
        <w:footnoteReference w:id="4"/>
      </w:r>
      <w:r w:rsidRPr="00CA3D39">
        <w:t xml:space="preserve"> Some stakeholders suggested a higher standard than the first three principles of the ETSI standard be mandated in Australia</w:t>
      </w:r>
      <w:r w:rsidR="00306F91">
        <w:t>,</w:t>
      </w:r>
      <w:r w:rsidRPr="00CA3D39">
        <w:t xml:space="preserve"> such as the first six principles</w:t>
      </w:r>
      <w:r w:rsidRPr="00CA3D39">
        <w:rPr>
          <w:vertAlign w:val="superscript"/>
        </w:rPr>
        <w:footnoteReference w:id="5"/>
      </w:r>
      <w:r w:rsidRPr="00CA3D39">
        <w:t xml:space="preserve"> or the whole ETSI standard.</w:t>
      </w:r>
      <w:r w:rsidRPr="00CA3D39">
        <w:rPr>
          <w:vertAlign w:val="superscript"/>
        </w:rPr>
        <w:footnoteReference w:id="6"/>
      </w:r>
      <w:r w:rsidRPr="00CA3D39">
        <w:t xml:space="preserve"> Alternatively, a phased implementation of the whole ETSI standard could be considered.</w:t>
      </w:r>
      <w:r w:rsidRPr="00CA3D39">
        <w:rPr>
          <w:vertAlign w:val="superscript"/>
        </w:rPr>
        <w:footnoteReference w:id="7"/>
      </w:r>
      <w:r w:rsidRPr="00CA3D39">
        <w:t xml:space="preserve"> </w:t>
      </w:r>
    </w:p>
    <w:p w:rsidR="00CA3D39" w:rsidRPr="00CA3D39" w:rsidRDefault="00CA3D39" w:rsidP="00CA3D39">
      <w:pPr>
        <w:pStyle w:val="BodyText"/>
      </w:pPr>
      <w:r w:rsidRPr="00CA3D39">
        <w:t>It was also suggested that</w:t>
      </w:r>
      <w:r w:rsidR="000C1E83">
        <w:t xml:space="preserve"> the Australian</w:t>
      </w:r>
      <w:r w:rsidRPr="00CA3D39">
        <w:t xml:space="preserve"> Government consider mutual recognition with comparative standards in international jurisdictions.</w:t>
      </w:r>
      <w:r w:rsidRPr="00CA3D39">
        <w:rPr>
          <w:vertAlign w:val="superscript"/>
        </w:rPr>
        <w:footnoteReference w:id="8"/>
      </w:r>
      <w:r w:rsidRPr="00CA3D39">
        <w:t xml:space="preserve">  </w:t>
      </w:r>
    </w:p>
    <w:p w:rsidR="00CA3D39" w:rsidRPr="00CA3D39" w:rsidRDefault="00CA3D39" w:rsidP="00CA3D39">
      <w:pPr>
        <w:pStyle w:val="BodyText"/>
      </w:pPr>
      <w:r w:rsidRPr="00CA3D39">
        <w:t>A small number of stakeholders did not support mandating the first three principles, as they provided insufficient consumer protection, and noted other standards be considered instead.</w:t>
      </w:r>
      <w:r w:rsidRPr="00CA3D39">
        <w:rPr>
          <w:vertAlign w:val="superscript"/>
        </w:rPr>
        <w:footnoteReference w:id="9"/>
      </w:r>
      <w:r w:rsidRPr="00CA3D39">
        <w:t xml:space="preserve"> These</w:t>
      </w:r>
      <w:r w:rsidR="003E5554">
        <w:t xml:space="preserve"> alternate standards</w:t>
      </w:r>
      <w:r w:rsidRPr="00CA3D39">
        <w:t xml:space="preserve"> include</w:t>
      </w:r>
      <w:r w:rsidR="003E5554">
        <w:t>d</w:t>
      </w:r>
      <w:r w:rsidRPr="00CA3D39">
        <w:t xml:space="preserve"> the Internationa</w:t>
      </w:r>
      <w:r w:rsidR="003E5554">
        <w:t>l Standards Organisation (ISO)/</w:t>
      </w:r>
      <w:r w:rsidRPr="00CA3D39">
        <w:t>International Electrotechnical Commission (IEC)</w:t>
      </w:r>
      <w:r w:rsidRPr="00CA3D39">
        <w:rPr>
          <w:vertAlign w:val="superscript"/>
        </w:rPr>
        <w:footnoteReference w:id="10"/>
      </w:r>
      <w:r w:rsidRPr="00CA3D39">
        <w:t xml:space="preserve"> and the National Institute of Standards and Technology (NIST).</w:t>
      </w:r>
      <w:r w:rsidRPr="00CA3D39">
        <w:rPr>
          <w:vertAlign w:val="superscript"/>
        </w:rPr>
        <w:footnoteReference w:id="11"/>
      </w:r>
      <w:r w:rsidRPr="00CA3D39">
        <w:t xml:space="preserve"> </w:t>
      </w:r>
    </w:p>
    <w:p w:rsidR="00CA3D39" w:rsidRDefault="00756EE7" w:rsidP="00CA3D39">
      <w:pPr>
        <w:pStyle w:val="BodyText"/>
      </w:pPr>
      <w:r w:rsidRPr="00440901">
        <w:t xml:space="preserve">The original Impact Analysis assessed that, to </w:t>
      </w:r>
      <w:r w:rsidR="00D25BF0" w:rsidRPr="00440901">
        <w:t>ensure international consistency and adoption of best practice, Australia should consider adopting part or all of the ETSI EN 303 645. Model</w:t>
      </w:r>
      <w:r w:rsidR="00440901">
        <w:t>ling conducted by the UK found the probability of attacks on smart devices could be reduced by between 20 and 70 per cent through a standard consisting of the first three principles of ETSI EN 303 645. This</w:t>
      </w:r>
      <w:r w:rsidR="00306F91">
        <w:t xml:space="preserve"> modelling</w:t>
      </w:r>
      <w:r w:rsidR="00440901">
        <w:t xml:space="preserve"> </w:t>
      </w:r>
      <w:r w:rsidR="00440901" w:rsidRPr="00440901">
        <w:t xml:space="preserve">aligns with technical advice from the </w:t>
      </w:r>
      <w:r w:rsidR="00440901">
        <w:t xml:space="preserve">Australian Signals Directorate’s </w:t>
      </w:r>
      <w:r w:rsidR="00440901" w:rsidRPr="00440901">
        <w:t>Australian Cyber Security Centre that the first three principles of</w:t>
      </w:r>
      <w:r w:rsidR="00440901">
        <w:t xml:space="preserve"> the</w:t>
      </w:r>
      <w:r w:rsidR="00440901" w:rsidRPr="00440901">
        <w:t xml:space="preserve"> ETSI </w:t>
      </w:r>
      <w:r w:rsidR="00440901">
        <w:t>standard</w:t>
      </w:r>
      <w:r w:rsidR="00440901" w:rsidRPr="00440901">
        <w:t xml:space="preserve"> are the highest priority technical controls</w:t>
      </w:r>
      <w:r w:rsidR="00440901">
        <w:t>.</w:t>
      </w:r>
      <w:r w:rsidR="00440901" w:rsidRPr="00440901">
        <w:t xml:space="preserve"> </w:t>
      </w:r>
      <w:r w:rsidR="00440901">
        <w:t>Economic, social and community impacts under these assumptions have been adequately assessed.</w:t>
      </w:r>
    </w:p>
    <w:p w:rsidR="003E5554" w:rsidRDefault="003E5554" w:rsidP="003E5554">
      <w:pPr>
        <w:pStyle w:val="BodyText"/>
      </w:pPr>
      <w:r>
        <w:t>In response to the additional feedback received,</w:t>
      </w:r>
      <w:r w:rsidRPr="003E5554">
        <w:t xml:space="preserve"> </w:t>
      </w:r>
      <w:r>
        <w:t>similar to the UK, Australia will only mandate the first three principles of the ETSI standard. As a small market, Australia benefits from aligning to international best practice</w:t>
      </w:r>
      <w:r w:rsidR="00A63EE8">
        <w:t>,</w:t>
      </w:r>
      <w:r>
        <w:t xml:space="preserve"> where relevant. Mandating more of the ETSI standard or the whole standard risks Australia being out of step with other markets, thereby disincentivising technology manufacturers from supplying to the Australian market and limiting consumer choice. Additionally, Australia will adopt a</w:t>
      </w:r>
      <w:r w:rsidRPr="009E6607">
        <w:t xml:space="preserve"> mutual recognition scheme for </w:t>
      </w:r>
      <w:r w:rsidR="00B55F5F">
        <w:t>smart</w:t>
      </w:r>
      <w:r w:rsidRPr="009E6607">
        <w:t xml:space="preserve"> devices that comply with other comparable standards.</w:t>
      </w:r>
    </w:p>
    <w:p w:rsidR="003E5554" w:rsidRDefault="003E5554" w:rsidP="003E5554">
      <w:pPr>
        <w:spacing w:before="120" w:after="120"/>
        <w:ind w:right="-20"/>
      </w:pPr>
      <w:r>
        <w:t xml:space="preserve">To ensure the baseline requirements can remain agile and relevant in the ever-changing cyber security landscape, the standard will be </w:t>
      </w:r>
      <w:r w:rsidR="00A63EE8">
        <w:t>stipulated</w:t>
      </w:r>
      <w:r>
        <w:t xml:space="preserve"> in subordinate instruments to the primary legislation – in the form of rules. The use of rules will ensure that subordinate instruments can </w:t>
      </w:r>
      <w:r w:rsidRPr="006B11C5">
        <w:t xml:space="preserve">be drafted </w:t>
      </w:r>
      <w:r>
        <w:t>flexibly and made by a delegate, enabling timely amendments in future.</w:t>
      </w:r>
    </w:p>
    <w:p w:rsidR="003E5554" w:rsidRDefault="003E5554" w:rsidP="003E5554">
      <w:pPr>
        <w:spacing w:before="120" w:after="120"/>
        <w:ind w:right="-20"/>
      </w:pPr>
      <w:r>
        <w:t>In addition to the technical elements of the standard (initially</w:t>
      </w:r>
      <w:r w:rsidR="00A63EE8">
        <w:t>,</w:t>
      </w:r>
      <w:r>
        <w:t xml:space="preserve"> the first three elements of the ETSI standard), the subordinate instruments will include the following:</w:t>
      </w:r>
    </w:p>
    <w:p w:rsidR="003E5554" w:rsidRPr="00523F52" w:rsidRDefault="003E5554" w:rsidP="003E5554">
      <w:pPr>
        <w:pStyle w:val="ListParagraph0"/>
        <w:numPr>
          <w:ilvl w:val="0"/>
          <w:numId w:val="22"/>
        </w:numPr>
        <w:ind w:right="-20"/>
        <w:rPr>
          <w:rFonts w:eastAsia="Calibri" w:cstheme="minorHAnsi"/>
        </w:rPr>
      </w:pPr>
      <w:r>
        <w:rPr>
          <w:szCs w:val="20"/>
        </w:rPr>
        <w:t>t</w:t>
      </w:r>
      <w:r w:rsidRPr="00E96EF5">
        <w:rPr>
          <w:szCs w:val="20"/>
        </w:rPr>
        <w:t>he scope of devices covered</w:t>
      </w:r>
      <w:r>
        <w:rPr>
          <w:szCs w:val="20"/>
        </w:rPr>
        <w:t xml:space="preserve"> –</w:t>
      </w:r>
      <w:r w:rsidRPr="00E96EF5">
        <w:rPr>
          <w:szCs w:val="20"/>
        </w:rPr>
        <w:t xml:space="preserve"> </w:t>
      </w:r>
      <w:r>
        <w:rPr>
          <w:szCs w:val="20"/>
        </w:rPr>
        <w:t>which will require products</w:t>
      </w:r>
      <w:r w:rsidRPr="00E96EF5">
        <w:rPr>
          <w:szCs w:val="20"/>
        </w:rPr>
        <w:t xml:space="preserve"> to meet </w:t>
      </w:r>
      <w:r w:rsidRPr="00E96EF5">
        <w:rPr>
          <w:rFonts w:cstheme="minorHAnsi"/>
          <w:szCs w:val="20"/>
        </w:rPr>
        <w:t xml:space="preserve">the </w:t>
      </w:r>
      <w:r w:rsidRPr="00310285">
        <w:rPr>
          <w:rFonts w:cstheme="minorHAnsi"/>
          <w:szCs w:val="20"/>
        </w:rPr>
        <w:t xml:space="preserve">definition of a </w:t>
      </w:r>
      <w:r w:rsidRPr="00310285">
        <w:rPr>
          <w:rFonts w:cstheme="minorHAnsi"/>
          <w:i/>
          <w:szCs w:val="20"/>
        </w:rPr>
        <w:t>consumer good</w:t>
      </w:r>
      <w:r w:rsidRPr="00310285">
        <w:rPr>
          <w:rFonts w:cstheme="minorHAnsi"/>
          <w:szCs w:val="20"/>
        </w:rPr>
        <w:t xml:space="preserve"> and </w:t>
      </w:r>
      <w:r w:rsidRPr="00310285">
        <w:rPr>
          <w:rFonts w:cstheme="minorHAnsi"/>
          <w:i/>
          <w:szCs w:val="20"/>
        </w:rPr>
        <w:t>releva</w:t>
      </w:r>
      <w:r>
        <w:rPr>
          <w:rFonts w:cstheme="minorHAnsi"/>
          <w:i/>
          <w:szCs w:val="20"/>
        </w:rPr>
        <w:t>nt connectable products</w:t>
      </w:r>
      <w:r>
        <w:rPr>
          <w:rFonts w:cstheme="minorHAnsi"/>
          <w:szCs w:val="20"/>
        </w:rPr>
        <w:t>; and</w:t>
      </w:r>
    </w:p>
    <w:p w:rsidR="003E5554" w:rsidRPr="003E5554" w:rsidRDefault="003E5554" w:rsidP="003E5554">
      <w:pPr>
        <w:pStyle w:val="ListParagraph0"/>
        <w:numPr>
          <w:ilvl w:val="0"/>
          <w:numId w:val="22"/>
        </w:numPr>
        <w:ind w:right="-20"/>
        <w:rPr>
          <w:rFonts w:eastAsia="Calibri" w:cstheme="minorHAnsi"/>
        </w:rPr>
      </w:pPr>
      <w:r>
        <w:rPr>
          <w:rFonts w:eastAsia="Calibri" w:cstheme="minorHAnsi"/>
          <w:szCs w:val="20"/>
        </w:rPr>
        <w:t>p</w:t>
      </w:r>
      <w:r w:rsidRPr="00E96EF5">
        <w:rPr>
          <w:rFonts w:eastAsia="Calibri" w:cstheme="minorHAnsi"/>
          <w:szCs w:val="20"/>
        </w:rPr>
        <w:t>otential penalties for non-compliance.</w:t>
      </w:r>
    </w:p>
    <w:p w:rsidR="00CA3D39" w:rsidRDefault="00CA3D39" w:rsidP="00CA3D39">
      <w:pPr>
        <w:pStyle w:val="Heading4"/>
      </w:pPr>
      <w:r>
        <w:t xml:space="preserve">Smart devices </w:t>
      </w:r>
      <w:r w:rsidR="00D8174C">
        <w:t>to be regulated</w:t>
      </w:r>
    </w:p>
    <w:p w:rsidR="00CA3D39" w:rsidRDefault="001F06B5" w:rsidP="00CA3D39">
      <w:pPr>
        <w:pStyle w:val="BodyText"/>
      </w:pPr>
      <w:r>
        <w:t xml:space="preserve">The Consultation Paper noted </w:t>
      </w:r>
      <w:r w:rsidR="00440901">
        <w:t>t</w:t>
      </w:r>
      <w:r w:rsidR="00440901" w:rsidRPr="00440901">
        <w:t>he UK PSTI Act takes an exception-based approach to defining whi</w:t>
      </w:r>
      <w:r w:rsidR="00440901">
        <w:t xml:space="preserve">ch </w:t>
      </w:r>
      <w:r w:rsidR="00B55F5F">
        <w:t>smart</w:t>
      </w:r>
      <w:r w:rsidR="00440901">
        <w:t xml:space="preserve"> devices are regulated – that is,</w:t>
      </w:r>
      <w:r w:rsidR="00440901" w:rsidRPr="00440901">
        <w:t xml:space="preserve"> broadly capturing products capable of connecting with the internet or a network, from which specific devices can be ex</w:t>
      </w:r>
      <w:r w:rsidR="007B7274">
        <w:t>empted</w:t>
      </w:r>
      <w:r w:rsidR="00440901" w:rsidRPr="00440901">
        <w:t xml:space="preserve"> by prescription in delegated legislation</w:t>
      </w:r>
      <w:r>
        <w:t>. The Department sought views on</w:t>
      </w:r>
      <w:r w:rsidR="00440901" w:rsidRPr="00440901">
        <w:rPr>
          <w:rFonts w:eastAsiaTheme="minorHAnsi" w:cstheme="minorBidi"/>
          <w:szCs w:val="22"/>
          <w:lang w:eastAsia="en-US"/>
        </w:rPr>
        <w:t xml:space="preserve"> </w:t>
      </w:r>
      <w:r w:rsidR="00440901" w:rsidRPr="00440901">
        <w:t>the types of devices that should meet a mandatory smart devices standard in the Australian context.</w:t>
      </w:r>
    </w:p>
    <w:p w:rsidR="002747A5" w:rsidRPr="002747A5" w:rsidRDefault="002747A5" w:rsidP="002747A5">
      <w:pPr>
        <w:pStyle w:val="BodyText"/>
      </w:pPr>
      <w:r w:rsidRPr="002747A5">
        <w:t xml:space="preserve">Most stakeholders agreed that the scope of the standard should apply to all </w:t>
      </w:r>
      <w:r w:rsidR="00B55F5F">
        <w:t>smart</w:t>
      </w:r>
      <w:r w:rsidRPr="002747A5">
        <w:t xml:space="preserve"> devices in Australia, subject to exceptions. Feedback included that the definition of the scope of products should be flexible </w:t>
      </w:r>
      <w:r w:rsidRPr="002747A5">
        <w:lastRenderedPageBreak/>
        <w:t>enough to apply to emerging technologies.</w:t>
      </w:r>
      <w:r w:rsidRPr="002747A5">
        <w:rPr>
          <w:vertAlign w:val="superscript"/>
        </w:rPr>
        <w:footnoteReference w:id="12"/>
      </w:r>
      <w:r w:rsidRPr="002747A5">
        <w:t xml:space="preserve"> Stakeholders also suggested that all internet and network-connected devices should be in scope.</w:t>
      </w:r>
      <w:r w:rsidRPr="002747A5">
        <w:rPr>
          <w:vertAlign w:val="superscript"/>
        </w:rPr>
        <w:footnoteReference w:id="13"/>
      </w:r>
      <w:r w:rsidRPr="002747A5">
        <w:t xml:space="preserve"> Some did not support an exception-based approach.</w:t>
      </w:r>
      <w:r w:rsidRPr="002747A5">
        <w:rPr>
          <w:vertAlign w:val="superscript"/>
        </w:rPr>
        <w:footnoteReference w:id="14"/>
      </w:r>
    </w:p>
    <w:p w:rsidR="002747A5" w:rsidRPr="002747A5" w:rsidRDefault="002747A5" w:rsidP="002747A5">
      <w:pPr>
        <w:pStyle w:val="BodyText"/>
      </w:pPr>
      <w:r w:rsidRPr="002747A5">
        <w:t xml:space="preserve">Some stakeholders noted that </w:t>
      </w:r>
      <w:r w:rsidR="00B55F5F">
        <w:t>smart</w:t>
      </w:r>
      <w:r w:rsidRPr="002747A5">
        <w:t xml:space="preserve"> devices that are currently subject to equivalent or higher security requirements should be excluded from this standard.</w:t>
      </w:r>
      <w:r w:rsidRPr="002747A5">
        <w:rPr>
          <w:vertAlign w:val="superscript"/>
        </w:rPr>
        <w:footnoteReference w:id="15"/>
      </w:r>
      <w:r w:rsidRPr="002747A5">
        <w:t xml:space="preserve"> </w:t>
      </w:r>
    </w:p>
    <w:p w:rsidR="002747A5" w:rsidRPr="002747A5" w:rsidRDefault="002747A5" w:rsidP="002747A5">
      <w:pPr>
        <w:pStyle w:val="BodyText"/>
      </w:pPr>
      <w:r w:rsidRPr="002747A5">
        <w:t xml:space="preserve">Some stakeholders suggested that high-risk </w:t>
      </w:r>
      <w:r w:rsidR="00B55F5F">
        <w:t>smart</w:t>
      </w:r>
      <w:r w:rsidRPr="002747A5">
        <w:t xml:space="preserve"> devices or devices that are used for high-risk purposes, should adhere to a stronger standard.</w:t>
      </w:r>
      <w:r w:rsidRPr="002747A5">
        <w:rPr>
          <w:vertAlign w:val="superscript"/>
        </w:rPr>
        <w:footnoteReference w:id="16"/>
      </w:r>
      <w:r w:rsidR="00961B07">
        <w:t xml:space="preserve"> However, these devices, such as distributed energy resources,</w:t>
      </w:r>
      <w:r w:rsidRPr="002747A5">
        <w:t xml:space="preserve"> should not necessarily be ex</w:t>
      </w:r>
      <w:r w:rsidR="00961B07">
        <w:t>empt from the baseline standard</w:t>
      </w:r>
      <w:r w:rsidRPr="002747A5">
        <w:t>.</w:t>
      </w:r>
      <w:r w:rsidRPr="002747A5">
        <w:rPr>
          <w:vertAlign w:val="superscript"/>
        </w:rPr>
        <w:footnoteReference w:id="17"/>
      </w:r>
    </w:p>
    <w:p w:rsidR="002747A5" w:rsidRPr="002747A5" w:rsidRDefault="002747A5" w:rsidP="002747A5">
      <w:pPr>
        <w:pStyle w:val="BodyText"/>
      </w:pPr>
      <w:r w:rsidRPr="002747A5">
        <w:t xml:space="preserve">Some stakeholders suggested that low-risk, low-value, and/or </w:t>
      </w:r>
      <w:r w:rsidR="00B55F5F">
        <w:t>smart devices</w:t>
      </w:r>
      <w:r w:rsidRPr="002747A5">
        <w:t xml:space="preserve"> with a short lifespan could be excluded from the standard as some </w:t>
      </w:r>
      <w:r w:rsidR="008116A8">
        <w:t>devices</w:t>
      </w:r>
      <w:r w:rsidRPr="002747A5">
        <w:t xml:space="preserve"> are so </w:t>
      </w:r>
      <w:r w:rsidR="008116A8">
        <w:t>non-complex</w:t>
      </w:r>
      <w:r w:rsidRPr="002747A5">
        <w:t xml:space="preserve"> that they may be unable to comply, such as smart plugs and light bulbs.</w:t>
      </w:r>
      <w:r w:rsidRPr="002747A5">
        <w:rPr>
          <w:vertAlign w:val="superscript"/>
        </w:rPr>
        <w:footnoteReference w:id="18"/>
      </w:r>
    </w:p>
    <w:p w:rsidR="002747A5" w:rsidRPr="002747A5" w:rsidRDefault="002747A5" w:rsidP="002747A5">
      <w:pPr>
        <w:pStyle w:val="BodyText"/>
      </w:pPr>
      <w:r w:rsidRPr="002747A5">
        <w:t>There was mixed feedback about the inclusion of smart phones, as some stakeholders suggested they should be included,</w:t>
      </w:r>
      <w:r w:rsidRPr="002747A5">
        <w:rPr>
          <w:vertAlign w:val="superscript"/>
        </w:rPr>
        <w:footnoteReference w:id="19"/>
      </w:r>
      <w:r w:rsidRPr="002747A5">
        <w:t xml:space="preserve"> while others noted they are already built to high security standards.</w:t>
      </w:r>
      <w:r w:rsidRPr="002747A5">
        <w:rPr>
          <w:vertAlign w:val="superscript"/>
        </w:rPr>
        <w:footnoteReference w:id="20"/>
      </w:r>
      <w:r w:rsidRPr="002747A5">
        <w:t xml:space="preserve"> </w:t>
      </w:r>
    </w:p>
    <w:p w:rsidR="002747A5" w:rsidRPr="002747A5" w:rsidRDefault="002747A5" w:rsidP="002747A5">
      <w:pPr>
        <w:pStyle w:val="BodyText"/>
      </w:pPr>
      <w:r w:rsidRPr="002747A5">
        <w:t>There was mixed feedback on whether industrial, enterprise and/or operational devices should be included. Some noted they should be included,</w:t>
      </w:r>
      <w:r w:rsidRPr="002747A5">
        <w:rPr>
          <w:vertAlign w:val="superscript"/>
        </w:rPr>
        <w:footnoteReference w:id="21"/>
      </w:r>
      <w:r w:rsidRPr="002747A5">
        <w:t xml:space="preserve"> while others said they should be held to a higher standard.</w:t>
      </w:r>
      <w:r w:rsidRPr="002747A5">
        <w:rPr>
          <w:vertAlign w:val="superscript"/>
        </w:rPr>
        <w:footnoteReference w:id="22"/>
      </w:r>
      <w:r w:rsidRPr="002747A5">
        <w:t xml:space="preserve"> </w:t>
      </w:r>
    </w:p>
    <w:p w:rsidR="002747A5" w:rsidRDefault="007B7274" w:rsidP="00CA3D39">
      <w:pPr>
        <w:pStyle w:val="BodyText"/>
      </w:pPr>
      <w:r>
        <w:t>The original Impact Analysis</w:t>
      </w:r>
      <w:r w:rsidR="00E20B59">
        <w:t xml:space="preserve"> did not look to the scope of devices covered by the standard. However, there was strong support from industry that any standard adopted by Australia should be internationally aligned. Assessment of economic, social and community impacts were prepared in a device-agnostic manner and noted that regulatory costs would be reduce through alignment with international approaches. This analysis of impact remains valid in the context of the additional consultation received.</w:t>
      </w:r>
    </w:p>
    <w:p w:rsidR="007B7274" w:rsidRPr="007B7274" w:rsidRDefault="003E5554" w:rsidP="000C1E83">
      <w:pPr>
        <w:pStyle w:val="BodyText"/>
      </w:pPr>
      <w:r>
        <w:t>In response to the additional feedback received,</w:t>
      </w:r>
      <w:r w:rsidR="007B7274" w:rsidRPr="007B7274">
        <w:t xml:space="preserve"> </w:t>
      </w:r>
      <w:r w:rsidR="007B7274">
        <w:t>the standard will use a constructed definition of</w:t>
      </w:r>
      <w:r w:rsidR="007B7274" w:rsidRPr="007B7274">
        <w:t xml:space="preserve"> </w:t>
      </w:r>
      <w:r w:rsidR="007B7274" w:rsidRPr="007B7274">
        <w:rPr>
          <w:i/>
        </w:rPr>
        <w:t>consumer good</w:t>
      </w:r>
      <w:r w:rsidR="007B7274" w:rsidRPr="007B7274">
        <w:t xml:space="preserve"> and </w:t>
      </w:r>
      <w:r w:rsidR="007B7274" w:rsidRPr="007B7274">
        <w:rPr>
          <w:i/>
        </w:rPr>
        <w:t xml:space="preserve">relevant connectable products </w:t>
      </w:r>
      <w:r w:rsidR="007B7274" w:rsidRPr="007B7274">
        <w:t xml:space="preserve">to determine the scope of the </w:t>
      </w:r>
      <w:r w:rsidR="00B55F5F">
        <w:t>smart</w:t>
      </w:r>
      <w:r w:rsidR="007B7274" w:rsidRPr="007B7274">
        <w:t xml:space="preserve"> </w:t>
      </w:r>
      <w:r w:rsidR="000C1E83">
        <w:t>devices that will be regulated, providing exclusions as required.</w:t>
      </w:r>
    </w:p>
    <w:p w:rsidR="002747A5" w:rsidRDefault="00D8174C" w:rsidP="002747A5">
      <w:pPr>
        <w:pStyle w:val="Heading4"/>
      </w:pPr>
      <w:r>
        <w:t>Introduction</w:t>
      </w:r>
      <w:r w:rsidR="002747A5">
        <w:t xml:space="preserve"> timeframe</w:t>
      </w:r>
      <w:r>
        <w:t>s</w:t>
      </w:r>
    </w:p>
    <w:p w:rsidR="002747A5" w:rsidRDefault="001F06B5" w:rsidP="002747A5">
      <w:pPr>
        <w:pStyle w:val="BodyText"/>
      </w:pPr>
      <w:r>
        <w:t>The Consultation Paper noted</w:t>
      </w:r>
      <w:r w:rsidR="00192FE6" w:rsidRPr="00192FE6">
        <w:rPr>
          <w:rFonts w:eastAsiaTheme="minorHAnsi" w:cstheme="minorBidi"/>
          <w:szCs w:val="22"/>
          <w:lang w:eastAsia="en-US"/>
        </w:rPr>
        <w:t xml:space="preserve"> </w:t>
      </w:r>
      <w:r w:rsidR="00192FE6" w:rsidRPr="00192FE6">
        <w:t>manufacturers and vendors will require time to adjust to new securi</w:t>
      </w:r>
      <w:r w:rsidR="00192FE6">
        <w:t xml:space="preserve">ty requirements for </w:t>
      </w:r>
      <w:r w:rsidR="00B55F5F">
        <w:t>smart</w:t>
      </w:r>
      <w:r w:rsidR="00192FE6">
        <w:t xml:space="preserve"> devices, as s</w:t>
      </w:r>
      <w:r w:rsidR="00192FE6" w:rsidRPr="00192FE6">
        <w:t>everal business processes and practices may need to shif</w:t>
      </w:r>
      <w:r w:rsidR="00192FE6">
        <w:t>t to meet new standards. Conversely, however</w:t>
      </w:r>
      <w:r w:rsidR="00192FE6" w:rsidRPr="00192FE6">
        <w:t xml:space="preserve">, </w:t>
      </w:r>
      <w:r w:rsidR="008116A8">
        <w:t xml:space="preserve">the Consultation Paper raised that </w:t>
      </w:r>
      <w:r w:rsidR="00192FE6" w:rsidRPr="00192FE6">
        <w:t>consumers will continue to face risks as more products are developed and sold prior to commencement of the standard.</w:t>
      </w:r>
      <w:r>
        <w:t xml:space="preserve"> The Department sought views on</w:t>
      </w:r>
      <w:r w:rsidR="00192FE6" w:rsidRPr="00192FE6">
        <w:rPr>
          <w:rFonts w:eastAsiaTheme="minorHAnsi" w:cstheme="minorBidi"/>
          <w:szCs w:val="22"/>
          <w:lang w:eastAsia="en-US"/>
        </w:rPr>
        <w:t xml:space="preserve"> </w:t>
      </w:r>
      <w:r w:rsidR="00192FE6" w:rsidRPr="00192FE6">
        <w:t>an appropriate time period to enable industry to adjust to any new requirements.</w:t>
      </w:r>
    </w:p>
    <w:p w:rsidR="002747A5" w:rsidRPr="002747A5" w:rsidRDefault="00192FE6" w:rsidP="002747A5">
      <w:pPr>
        <w:pStyle w:val="BodyText"/>
      </w:pPr>
      <w:r>
        <w:t>Most stakeholders agreed a 12-</w:t>
      </w:r>
      <w:r w:rsidR="002747A5" w:rsidRPr="002747A5">
        <w:t>month implementation timeframe would be sufficient for responsible entities to comply with a new standard.</w:t>
      </w:r>
      <w:r w:rsidR="002747A5" w:rsidRPr="002747A5">
        <w:rPr>
          <w:vertAlign w:val="superscript"/>
        </w:rPr>
        <w:footnoteReference w:id="23"/>
      </w:r>
      <w:r w:rsidR="002747A5" w:rsidRPr="002747A5">
        <w:t xml:space="preserve"> Other suggestions include</w:t>
      </w:r>
      <w:r>
        <w:t>d</w:t>
      </w:r>
      <w:r w:rsidR="002747A5" w:rsidRPr="002747A5">
        <w:t>:</w:t>
      </w:r>
    </w:p>
    <w:p w:rsidR="005E3376" w:rsidRDefault="005E3376" w:rsidP="005E3376">
      <w:pPr>
        <w:pStyle w:val="BodyText"/>
      </w:pPr>
      <w:r>
        <w:t>The original Impact Analysis did not look to the specific time implementation period of the standard. However, the assessment of economic, social and community impacts noted, a</w:t>
      </w:r>
      <w:r w:rsidRPr="005E3376">
        <w:t>s a mandatory requirement, a standard would have a relatively rapid impact on the market, accounting for the time needed to pass legislation and an appropriate phased introduction for manufacturers and retailers</w:t>
      </w:r>
      <w:r>
        <w:t>. This analysis of impact remains valid in the context of the additional consultation received.</w:t>
      </w:r>
    </w:p>
    <w:p w:rsidR="00192FE6" w:rsidRPr="00192FE6" w:rsidRDefault="003E5554" w:rsidP="00192FE6">
      <w:pPr>
        <w:pStyle w:val="BodyText"/>
      </w:pPr>
      <w:r>
        <w:t>In response to the additional feedback received,</w:t>
      </w:r>
      <w:r w:rsidR="00192FE6">
        <w:t xml:space="preserve"> the standard will feature at least a 12-</w:t>
      </w:r>
      <w:r w:rsidR="00192FE6" w:rsidRPr="00192FE6">
        <w:t xml:space="preserve">month transition period, which is consistent with domestic precedence and international models. </w:t>
      </w:r>
    </w:p>
    <w:p w:rsidR="002747A5" w:rsidRDefault="00D8174C" w:rsidP="002747A5">
      <w:pPr>
        <w:pStyle w:val="Heading4"/>
      </w:pPr>
      <w:r>
        <w:lastRenderedPageBreak/>
        <w:t>Monitoring and enforcement</w:t>
      </w:r>
    </w:p>
    <w:p w:rsidR="002747A5" w:rsidRDefault="001F06B5" w:rsidP="002747A5">
      <w:pPr>
        <w:pStyle w:val="BodyText"/>
      </w:pPr>
      <w:r>
        <w:t xml:space="preserve">The Consultation Paper noted </w:t>
      </w:r>
      <w:r w:rsidR="00FD0755">
        <w:t>d</w:t>
      </w:r>
      <w:r w:rsidR="00FD0755" w:rsidRPr="00FD0755">
        <w:t>esigning an</w:t>
      </w:r>
      <w:r w:rsidR="00FD0755">
        <w:t xml:space="preserve"> appropriate regulatory model would be</w:t>
      </w:r>
      <w:r w:rsidR="00FD0755" w:rsidRPr="00FD0755">
        <w:t xml:space="preserve"> critical to achieving effective compliance with the</w:t>
      </w:r>
      <w:r w:rsidR="00FD0755">
        <w:t xml:space="preserve"> mandatory</w:t>
      </w:r>
      <w:r w:rsidR="00FD0755" w:rsidRPr="00FD0755">
        <w:t xml:space="preserve"> standard</w:t>
      </w:r>
      <w:r>
        <w:t>. The Department sought views on</w:t>
      </w:r>
      <w:r w:rsidR="00FD0755" w:rsidRPr="00FD0755">
        <w:rPr>
          <w:rFonts w:eastAsiaTheme="minorHAnsi" w:cstheme="minorBidi"/>
          <w:szCs w:val="22"/>
          <w:lang w:eastAsia="en-US"/>
        </w:rPr>
        <w:t xml:space="preserve"> </w:t>
      </w:r>
      <w:r w:rsidR="00FD0755" w:rsidRPr="00FD0755">
        <w:t>appropriate remediation mechanisms and proportionate penalties for non-compliance</w:t>
      </w:r>
      <w:r w:rsidR="00FD0755">
        <w:t>.</w:t>
      </w:r>
    </w:p>
    <w:p w:rsidR="002747A5" w:rsidRPr="002747A5" w:rsidRDefault="002747A5" w:rsidP="002747A5">
      <w:pPr>
        <w:pStyle w:val="BodyText"/>
      </w:pPr>
      <w:r w:rsidRPr="002747A5">
        <w:t>Only some stakeholders c</w:t>
      </w:r>
      <w:r w:rsidR="00FD0755">
        <w:t>ommented on this aspect of the Consultation P</w:t>
      </w:r>
      <w:r w:rsidRPr="002747A5">
        <w:t xml:space="preserve">aper. Some agreed that the </w:t>
      </w:r>
      <w:r w:rsidRPr="002747A5">
        <w:rPr>
          <w:i/>
        </w:rPr>
        <w:t>Regulatory Powers (Standard Provisions) Act 2014</w:t>
      </w:r>
      <w:r w:rsidRPr="002747A5">
        <w:t xml:space="preserve"> (Regulatory Powers Act) would be a suitable framework to monitor compliance and enforcement of the standard.</w:t>
      </w:r>
      <w:r w:rsidRPr="002747A5">
        <w:rPr>
          <w:vertAlign w:val="superscript"/>
        </w:rPr>
        <w:footnoteReference w:id="24"/>
      </w:r>
      <w:r w:rsidRPr="002747A5">
        <w:t xml:space="preserve"> Some called for clarity on how the Regulatory Powers Act would work.</w:t>
      </w:r>
      <w:r w:rsidRPr="002747A5">
        <w:rPr>
          <w:vertAlign w:val="superscript"/>
        </w:rPr>
        <w:footnoteReference w:id="25"/>
      </w:r>
      <w:r w:rsidRPr="002747A5">
        <w:t xml:space="preserve"> </w:t>
      </w:r>
    </w:p>
    <w:p w:rsidR="006E2C07" w:rsidRDefault="006E2C07" w:rsidP="006E2C07">
      <w:pPr>
        <w:pStyle w:val="BodyText"/>
      </w:pPr>
      <w:r w:rsidRPr="00440901">
        <w:t>The original Impact Analysis assessed that</w:t>
      </w:r>
      <w:r w:rsidRPr="006E2C07">
        <w:rPr>
          <w:rFonts w:eastAsiaTheme="minorHAnsi" w:cstheme="minorBidi"/>
          <w:szCs w:val="22"/>
          <w:lang w:eastAsia="en-US"/>
        </w:rPr>
        <w:t xml:space="preserve"> </w:t>
      </w:r>
      <w:r>
        <w:rPr>
          <w:rFonts w:eastAsiaTheme="minorHAnsi" w:cstheme="minorBidi"/>
          <w:szCs w:val="22"/>
          <w:lang w:eastAsia="en-US"/>
        </w:rPr>
        <w:t xml:space="preserve">the </w:t>
      </w:r>
      <w:r>
        <w:t>u</w:t>
      </w:r>
      <w:r w:rsidRPr="006E2C07">
        <w:t>se of an existing regulator would maximise regulatory efficiency</w:t>
      </w:r>
      <w:r>
        <w:t xml:space="preserve"> for government</w:t>
      </w:r>
      <w:r w:rsidRPr="006E2C07">
        <w:t xml:space="preserve"> by utilising existing organisational and administrative processes</w:t>
      </w:r>
      <w:r>
        <w:t xml:space="preserve">. Economic, social and community impacts under these assumptions have been adequately assessed. Government may choose to establish a new regulatory body that requires additional funding over and above the economic cost modelled in the original Impact Analysis. Careful consideration should be taken and </w:t>
      </w:r>
      <w:r w:rsidR="004D7B7F">
        <w:t>provided as advice</w:t>
      </w:r>
      <w:r>
        <w:t xml:space="preserve"> in this scenario to ensure the outcomes of the multi-criteria analysis remain valid.</w:t>
      </w:r>
    </w:p>
    <w:p w:rsidR="003E5554" w:rsidRDefault="003E5554" w:rsidP="0056780F">
      <w:pPr>
        <w:pStyle w:val="BodyText"/>
      </w:pPr>
      <w:r>
        <w:t>In response to the additional feedback received,</w:t>
      </w:r>
      <w:r w:rsidR="00FD0755" w:rsidRPr="00FD0755">
        <w:t xml:space="preserve"> </w:t>
      </w:r>
      <w:r w:rsidR="00FD0755">
        <w:t xml:space="preserve">the </w:t>
      </w:r>
      <w:r w:rsidR="00FD0755" w:rsidRPr="0015633B">
        <w:t>Regulatory Powers Act</w:t>
      </w:r>
      <w:r w:rsidR="00FD0755">
        <w:t xml:space="preserve"> would provide a suitable monitoring and enforcement framework for the standard. Further engagement is underway across Commonwealth entities to determine the most appropriate agency or regulatory models to enforce this standard.</w:t>
      </w:r>
    </w:p>
    <w:p w:rsidR="00B55F5F" w:rsidRDefault="00B55F5F" w:rsidP="00B55F5F">
      <w:pPr>
        <w:pStyle w:val="Heading2"/>
      </w:pPr>
      <w:r>
        <w:t xml:space="preserve">Part 3: </w:t>
      </w:r>
      <w:r w:rsidR="00CF567D">
        <w:t>Application of security standards to consumer energy resources</w:t>
      </w:r>
    </w:p>
    <w:p w:rsidR="00CF567D" w:rsidRPr="00CF567D" w:rsidRDefault="00CF567D" w:rsidP="00CF567D">
      <w:pPr>
        <w:pStyle w:val="BodyText"/>
      </w:pPr>
      <w:r w:rsidRPr="00CF567D">
        <w:t xml:space="preserve">The </w:t>
      </w:r>
      <w:r>
        <w:t xml:space="preserve">original </w:t>
      </w:r>
      <w:r w:rsidRPr="00CF567D">
        <w:t>Impact Analysis considered the costs and benefits of regulatory options for minimum cyber security standards for consumer-grade smart devices and to inform consumers about the cyber security of their devices through a labelling scheme.</w:t>
      </w:r>
      <w:r>
        <w:t xml:space="preserve"> However, the original</w:t>
      </w:r>
      <w:r w:rsidRPr="00CF567D">
        <w:t xml:space="preserve"> Impact Analysis was prepared on the basis that consumer energy resources (CER), particularly rooftop solar photovoltaic (PV) systems and small-scale batteries would be out-of-scope of the proposed regime, given other work underway on CER cyber security. </w:t>
      </w:r>
    </w:p>
    <w:p w:rsidR="00CF567D" w:rsidRPr="00CF567D" w:rsidRDefault="00CF567D" w:rsidP="00CF567D">
      <w:pPr>
        <w:pStyle w:val="BodyText"/>
      </w:pPr>
      <w:r>
        <w:t>Due to additional engagement across government and industry on the roadmap for CER cyber security, the Australian G</w:t>
      </w:r>
      <w:r w:rsidRPr="00CF567D">
        <w:t>overnment now proposes t</w:t>
      </w:r>
      <w:r>
        <w:t>o include CER within the initial security standard for consumer-grade smart devices</w:t>
      </w:r>
      <w:r w:rsidRPr="00CF567D">
        <w:t xml:space="preserve">, as an important first step to uplift the security of these devices. </w:t>
      </w:r>
      <w:r>
        <w:t>This part</w:t>
      </w:r>
      <w:r w:rsidRPr="00CF567D">
        <w:t xml:space="preserve"> considers the costs and benefits of this proposal.</w:t>
      </w:r>
    </w:p>
    <w:p w:rsidR="00702309" w:rsidRPr="00702309" w:rsidRDefault="00702309" w:rsidP="00702309">
      <w:pPr>
        <w:pStyle w:val="Heading4"/>
      </w:pPr>
      <w:r w:rsidRPr="00702309">
        <w:t>Role of consumer energy resources</w:t>
      </w:r>
    </w:p>
    <w:p w:rsidR="00702309" w:rsidRPr="00702309" w:rsidRDefault="00702309" w:rsidP="00702309">
      <w:pPr>
        <w:pStyle w:val="BodyText"/>
      </w:pPr>
      <w:r w:rsidRPr="00702309">
        <w:t xml:space="preserve">CER allow customers to have control over how electricity is produced and consumed at their premises. There is a large ecosystem of CER, including smart thermostats, home energy management systems, controllable appliances like air conditioners and pool pumps, and rooftop PV and batteries. </w:t>
      </w:r>
    </w:p>
    <w:p w:rsidR="00702309" w:rsidRPr="00702309" w:rsidRDefault="00702309" w:rsidP="00702309">
      <w:pPr>
        <w:pStyle w:val="BodyText"/>
      </w:pPr>
      <w:r w:rsidRPr="00702309">
        <w:t xml:space="preserve">Governments expect that CER will play a large role in Australia’s energy transformation. Consumer investments in their own energy resources help avoid the need for investments in grid-scale generation and electricity networks. The Energy Climate and Ministerial Council has set out its ambitions for CER in Australia’s energy future through the </w:t>
      </w:r>
      <w:hyperlink r:id="rId14" w:history="1">
        <w:r w:rsidRPr="00702309">
          <w:rPr>
            <w:rStyle w:val="Hyperlink"/>
          </w:rPr>
          <w:t>National CER Roadmap</w:t>
        </w:r>
      </w:hyperlink>
      <w:r w:rsidRPr="00702309">
        <w:t xml:space="preserve">.  </w:t>
      </w:r>
    </w:p>
    <w:p w:rsidR="00702309" w:rsidRPr="00702309" w:rsidRDefault="00702309" w:rsidP="00702309">
      <w:pPr>
        <w:pStyle w:val="BodyText"/>
      </w:pPr>
      <w:r w:rsidRPr="00702309">
        <w:t>CER are already large and important resources in Australia’s electri</w:t>
      </w:r>
      <w:r w:rsidR="00EE25CD">
        <w:t>city systems. There are around four</w:t>
      </w:r>
      <w:r w:rsidRPr="00702309">
        <w:t xml:space="preserve"> million small-scale solar photovoltaic systems installed in Australia.</w:t>
      </w:r>
      <w:r w:rsidRPr="00702309">
        <w:rPr>
          <w:vertAlign w:val="superscript"/>
        </w:rPr>
        <w:footnoteReference w:id="26"/>
      </w:r>
      <w:r w:rsidRPr="00702309">
        <w:t xml:space="preserve"> In the National Electricity Market, which spans the east of Australia, rooftop solar alone contributed more electricity to the grid in the first quarter of 2024 (13</w:t>
      </w:r>
      <w:r w:rsidR="00EE25CD">
        <w:t xml:space="preserve"> per cent</w:t>
      </w:r>
      <w:r w:rsidRPr="00702309">
        <w:t>) than grid-scale solar, wind, hydroelectric generation or gas.</w:t>
      </w:r>
      <w:r w:rsidRPr="00702309">
        <w:rPr>
          <w:vertAlign w:val="superscript"/>
        </w:rPr>
        <w:footnoteReference w:id="27"/>
      </w:r>
    </w:p>
    <w:p w:rsidR="00702309" w:rsidRPr="00702309" w:rsidRDefault="00702309" w:rsidP="00702309">
      <w:pPr>
        <w:pStyle w:val="BodyText"/>
      </w:pPr>
      <w:r w:rsidRPr="00702309">
        <w:t>CER are increasingly being connected to the internet. Inverters for small-scale rooftop solar are leveraging internet technologies to provide benefits to consumers, including remote monitoring and maintenance, and customer engagement through apps. An estimated 35</w:t>
      </w:r>
      <w:r w:rsidR="00EE25CD">
        <w:t xml:space="preserve"> per cent</w:t>
      </w:r>
      <w:r w:rsidRPr="00702309">
        <w:t xml:space="preserve"> of the CER fleet will be internet-connected by 2027.</w:t>
      </w:r>
      <w:r w:rsidRPr="00702309">
        <w:rPr>
          <w:vertAlign w:val="superscript"/>
        </w:rPr>
        <w:footnoteReference w:id="28"/>
      </w:r>
      <w:r w:rsidRPr="00702309">
        <w:t xml:space="preserve"> </w:t>
      </w:r>
    </w:p>
    <w:p w:rsidR="00702309" w:rsidRPr="00702309" w:rsidRDefault="00702309" w:rsidP="00702309">
      <w:pPr>
        <w:pStyle w:val="BodyText"/>
      </w:pPr>
      <w:r w:rsidRPr="00702309">
        <w:lastRenderedPageBreak/>
        <w:t xml:space="preserve">The prevalence of CER is expected to continue to grow into the future, forecast to increase </w:t>
      </w:r>
      <w:r w:rsidR="00EE25CD">
        <w:t xml:space="preserve">five </w:t>
      </w:r>
      <w:r w:rsidRPr="00702309">
        <w:t>times to 2050.</w:t>
      </w:r>
      <w:r w:rsidRPr="00702309">
        <w:rPr>
          <w:vertAlign w:val="superscript"/>
        </w:rPr>
        <w:footnoteReference w:id="29"/>
      </w:r>
      <w:r w:rsidRPr="00702309">
        <w:t xml:space="preserve"> Under the most likely scenario considered in the Australian Energy Market Operator (AEMO)’s 2024 Integrated System Plan (ISP), 79</w:t>
      </w:r>
      <w:r w:rsidR="00EE25CD">
        <w:t xml:space="preserve"> per cent</w:t>
      </w:r>
      <w:r w:rsidRPr="00702309">
        <w:t xml:space="preserve"> of detached homes in the NEM will have rooftop solar by 2050, up from 30</w:t>
      </w:r>
      <w:r w:rsidR="00EE25CD">
        <w:t xml:space="preserve"> per cent</w:t>
      </w:r>
      <w:r w:rsidRPr="00702309">
        <w:t xml:space="preserve"> today. This is in addition to battery storage and complementary technologies that are likely to come online over the same timeframe.</w:t>
      </w:r>
    </w:p>
    <w:p w:rsidR="00702309" w:rsidRPr="00702309" w:rsidRDefault="00702309" w:rsidP="00702309">
      <w:pPr>
        <w:pStyle w:val="Heading4"/>
      </w:pPr>
      <w:r w:rsidRPr="00702309">
        <w:t>Benefit of uplifting cyber security</w:t>
      </w:r>
    </w:p>
    <w:p w:rsidR="00702309" w:rsidRPr="00702309" w:rsidRDefault="00702309" w:rsidP="00702309">
      <w:pPr>
        <w:pStyle w:val="BodyText"/>
      </w:pPr>
      <w:r w:rsidRPr="00702309">
        <w:t xml:space="preserve">The cyber security threat environment for CER is similar that described in the original impact analysis. A large number of internet-connected devices creates a large attack surface for malicious actors, ranging from amateurs with different levels of capability to cyber criminals and nation-state actors. </w:t>
      </w:r>
    </w:p>
    <w:p w:rsidR="00702309" w:rsidRPr="00702309" w:rsidRDefault="00702309" w:rsidP="00702309">
      <w:pPr>
        <w:pStyle w:val="BodyText"/>
      </w:pPr>
      <w:r w:rsidRPr="00702309">
        <w:t>Products and services without built-in security can present vulnerabilities that malicious actors can easily exploit, potentially undermining public trust in innovative technology. Many digital products do not have security standards built in by design or turned on by default. As a result, consumers and businesses can be offered less secure products and services, with insufficient expertise to manage the risk.</w:t>
      </w:r>
    </w:p>
    <w:p w:rsidR="00702309" w:rsidRPr="00702309" w:rsidRDefault="00702309" w:rsidP="00702309">
      <w:pPr>
        <w:pStyle w:val="BodyText"/>
      </w:pPr>
      <w:r w:rsidRPr="00702309">
        <w:t>The cost of cyber incidents to the economy is significant. It includes ransom payments, lost revenue from business interruption, business recovery costs, lost shareholder value, reputational damage, and costs to the taxpayer from any government support. Beyond the direct economic costs, there are a range of social and psychological impacts that are difficult to quantify.</w:t>
      </w:r>
    </w:p>
    <w:p w:rsidR="00702309" w:rsidRPr="00702309" w:rsidRDefault="00702309" w:rsidP="00702309">
      <w:pPr>
        <w:pStyle w:val="BodyText"/>
      </w:pPr>
      <w:r w:rsidRPr="00702309">
        <w:t xml:space="preserve">CER presents an additional risk because it is increasingly part of the interconnected energy system. Malicious actions against individual CER systems may impact how those systems operate for individual consumers. For example, if a system is not operating as expected, it may affect electricity supply to a premises and result in financial losses to a consumer from needing to buy electricity from the grid. Malicious actions against large numbers of CER systems have the potential to cause grid instability in local networks or in the wider electricity system. </w:t>
      </w:r>
    </w:p>
    <w:p w:rsidR="00702309" w:rsidRPr="00702309" w:rsidRDefault="00702309" w:rsidP="00702309">
      <w:pPr>
        <w:pStyle w:val="BodyText"/>
      </w:pPr>
      <w:r w:rsidRPr="00702309">
        <w:t>Stakeholders have noted cyber security concerns with CER. For example, the Cyber Security Cooperative Research Centre has identified the increasing risk of hacking, malware, manipulation and disruption related to internet-connected solar inverters.</w:t>
      </w:r>
      <w:r w:rsidRPr="00702309">
        <w:rPr>
          <w:vertAlign w:val="superscript"/>
        </w:rPr>
        <w:footnoteReference w:id="30"/>
      </w:r>
      <w:r w:rsidRPr="00702309">
        <w:t xml:space="preserve"> </w:t>
      </w:r>
    </w:p>
    <w:p w:rsidR="00702309" w:rsidRPr="00702309" w:rsidRDefault="00702309" w:rsidP="00702309">
      <w:pPr>
        <w:pStyle w:val="BodyText"/>
      </w:pPr>
      <w:r w:rsidRPr="00702309">
        <w:t xml:space="preserve">The benefit of uplifting cyber security for CER is similar to those considered in the original impact analysis. That is, secure CER devices are key to protecting the security, privacy and safety of individuals and to ensuring a prosperous and secure digital economy. Security uplift in this space also helps prevent compromises of the larger networks that devices are connected to, which could impact energy security and national security. </w:t>
      </w:r>
    </w:p>
    <w:p w:rsidR="00CF567D" w:rsidRDefault="00702309" w:rsidP="00702309">
      <w:pPr>
        <w:pStyle w:val="Heading4"/>
      </w:pPr>
      <w:r>
        <w:t>Proposed change and consultation</w:t>
      </w:r>
    </w:p>
    <w:p w:rsidR="00702309" w:rsidRDefault="00702309" w:rsidP="00702309">
      <w:pPr>
        <w:pStyle w:val="BodyText"/>
      </w:pPr>
      <w:r w:rsidRPr="00702309">
        <w:t xml:space="preserve">Products addressed by this </w:t>
      </w:r>
      <w:r>
        <w:t>part</w:t>
      </w:r>
      <w:r w:rsidRPr="00702309">
        <w:t xml:space="preserve"> are those covered by the AS/NZ 4777 </w:t>
      </w:r>
      <w:r w:rsidRPr="00702309">
        <w:rPr>
          <w:i/>
          <w:iCs/>
        </w:rPr>
        <w:t xml:space="preserve">Grid connection of energy systems via inverters </w:t>
      </w:r>
      <w:r w:rsidRPr="00702309">
        <w:t xml:space="preserve">family of standards. Other products like smart thermostats, load control appliances and home energy management systems were expected to be covered under the scope of the </w:t>
      </w:r>
      <w:r>
        <w:t>original Impact Analysis.</w:t>
      </w:r>
    </w:p>
    <w:p w:rsidR="00702309" w:rsidRPr="00702309" w:rsidRDefault="00702309" w:rsidP="00702309">
      <w:pPr>
        <w:pStyle w:val="BodyText"/>
      </w:pPr>
      <w:r w:rsidRPr="00702309">
        <w:t>The proposal for mandatory minimum standards, supported by a voluntary labelling scheme, aligns with stakeholder feedback about the need for cyber security uplift for CER. In April 2023, the Department of Climate Change, Energy, the Environment and Water (DCCEEW) commissioned Standards Australia to investigate:</w:t>
      </w:r>
    </w:p>
    <w:p w:rsidR="00702309" w:rsidRPr="00702309" w:rsidRDefault="00702309" w:rsidP="00702309">
      <w:pPr>
        <w:pStyle w:val="BodyText"/>
        <w:numPr>
          <w:ilvl w:val="0"/>
          <w:numId w:val="25"/>
        </w:numPr>
      </w:pPr>
      <w:r w:rsidRPr="00702309">
        <w:t>existing standards for CER cybersecurity.</w:t>
      </w:r>
    </w:p>
    <w:p w:rsidR="00702309" w:rsidRPr="00702309" w:rsidRDefault="00702309" w:rsidP="00702309">
      <w:pPr>
        <w:pStyle w:val="BodyText"/>
        <w:numPr>
          <w:ilvl w:val="0"/>
          <w:numId w:val="25"/>
        </w:numPr>
      </w:pPr>
      <w:r w:rsidRPr="00702309">
        <w:t>international standards that could be adopted or modified for the Australia context.</w:t>
      </w:r>
    </w:p>
    <w:p w:rsidR="00702309" w:rsidRPr="00702309" w:rsidRDefault="00702309" w:rsidP="00702309">
      <w:pPr>
        <w:pStyle w:val="BodyText"/>
        <w:numPr>
          <w:ilvl w:val="0"/>
          <w:numId w:val="25"/>
        </w:numPr>
      </w:pPr>
      <w:r w:rsidRPr="00702309">
        <w:t>Australian-specific standards which may need to be developed to address any gaps.</w:t>
      </w:r>
    </w:p>
    <w:p w:rsidR="00702309" w:rsidRPr="00702309" w:rsidRDefault="00702309" w:rsidP="00702309">
      <w:pPr>
        <w:pStyle w:val="BodyText"/>
      </w:pPr>
      <w:r w:rsidRPr="00702309">
        <w:t xml:space="preserve">Standards Australia worked with stakeholders to conduct a gap analysis and standards road-mapping process. A CER Cybersecurity Advisory Group (CERCAG) was established to provide expert input, comprising energy industry representatives, energy market bodies, academia and government. </w:t>
      </w:r>
    </w:p>
    <w:p w:rsidR="00702309" w:rsidRPr="00702309" w:rsidRDefault="00702309" w:rsidP="00702309">
      <w:pPr>
        <w:pStyle w:val="BodyText"/>
      </w:pPr>
      <w:r w:rsidRPr="00702309">
        <w:lastRenderedPageBreak/>
        <w:t>The group considered that there is a need for standardisation to uplift CER cyber security in Australia. The group recommended that certain standards could be adopted or modified for use in Australia, and that technical specifications should be developed to provide targeted guidance for the Australian CER market.</w:t>
      </w:r>
    </w:p>
    <w:p w:rsidR="00702309" w:rsidRDefault="00702309" w:rsidP="00702309">
      <w:pPr>
        <w:pStyle w:val="Heading4"/>
      </w:pPr>
      <w:r>
        <w:t>Analysis of impacts</w:t>
      </w:r>
    </w:p>
    <w:p w:rsidR="00702309" w:rsidRPr="00702309" w:rsidRDefault="00702309" w:rsidP="00702309">
      <w:pPr>
        <w:pStyle w:val="BodyText"/>
      </w:pPr>
      <w:r w:rsidRPr="00702309">
        <w:t xml:space="preserve">This addendum impact analysis anticipates that the implementation of the Bill with respect to CER will have an impact consistent with the findings of the Department of Home Affairs’ original impact analysis. </w:t>
      </w:r>
    </w:p>
    <w:p w:rsidR="00702309" w:rsidRPr="00702309" w:rsidRDefault="00702309" w:rsidP="00702309">
      <w:pPr>
        <w:pStyle w:val="BodyText"/>
      </w:pPr>
      <w:r w:rsidRPr="00702309">
        <w:t>The original impact analysis found a combination of mandatory standards and a voluntary labelling scheme yielded the highest benefit.</w:t>
      </w:r>
      <w:r w:rsidRPr="00702309">
        <w:rPr>
          <w:vertAlign w:val="superscript"/>
        </w:rPr>
        <w:t xml:space="preserve"> </w:t>
      </w:r>
      <w:r w:rsidRPr="00702309">
        <w:rPr>
          <w:vertAlign w:val="superscript"/>
        </w:rPr>
        <w:footnoteReference w:id="31"/>
      </w:r>
      <w:r w:rsidRPr="00702309">
        <w:t xml:space="preserve"> The analysis considered the expected impact on cyber security, regulatory cost to industry, regulatory cost to government, flexibility and responsiveness, and potential for unintended consequences.</w:t>
      </w:r>
    </w:p>
    <w:p w:rsidR="00702309" w:rsidRPr="00702309" w:rsidRDefault="00702309" w:rsidP="00702309">
      <w:pPr>
        <w:pStyle w:val="BodyText"/>
      </w:pPr>
      <w:r w:rsidRPr="00702309">
        <w:t>The option of combined minimum standards and a voluntary labelling scheme is likely to be equally effective in the context of CER.</w:t>
      </w:r>
    </w:p>
    <w:tbl>
      <w:tblPr>
        <w:tblStyle w:val="GridTable5Dark-Accent1"/>
        <w:tblW w:w="9493" w:type="dxa"/>
        <w:tblLayout w:type="fixed"/>
        <w:tblLook w:val="06A0" w:firstRow="1" w:lastRow="0" w:firstColumn="1" w:lastColumn="0" w:noHBand="1" w:noVBand="1"/>
      </w:tblPr>
      <w:tblGrid>
        <w:gridCol w:w="1980"/>
        <w:gridCol w:w="7513"/>
      </w:tblGrid>
      <w:tr w:rsidR="00702309" w:rsidRPr="00702309" w:rsidTr="00A3643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FFFFFF" w:themeColor="background1"/>
            </w:tcBorders>
            <w:hideMark/>
          </w:tcPr>
          <w:p w:rsidR="00702309" w:rsidRPr="00702309" w:rsidRDefault="00702309" w:rsidP="00702309">
            <w:pPr>
              <w:pStyle w:val="BodyText"/>
              <w:rPr>
                <w:lang w:val="en-US"/>
              </w:rPr>
            </w:pPr>
            <w:r w:rsidRPr="00702309">
              <w:rPr>
                <w:lang w:val="en-US"/>
              </w:rPr>
              <w:t>Impact category</w:t>
            </w:r>
          </w:p>
        </w:tc>
        <w:tc>
          <w:tcPr>
            <w:tcW w:w="7513" w:type="dxa"/>
            <w:tcBorders>
              <w:bottom w:val="single" w:sz="4" w:space="0" w:color="FFFFFF" w:themeColor="background1"/>
            </w:tcBorders>
            <w:hideMark/>
          </w:tcPr>
          <w:p w:rsidR="00702309" w:rsidRPr="00702309" w:rsidRDefault="00702309" w:rsidP="00702309">
            <w:pPr>
              <w:pStyle w:val="BodyText"/>
              <w:cnfStyle w:val="100000000000" w:firstRow="1" w:lastRow="0" w:firstColumn="0" w:lastColumn="0" w:oddVBand="0" w:evenVBand="0" w:oddHBand="0" w:evenHBand="0" w:firstRowFirstColumn="0" w:firstRowLastColumn="0" w:lastRowFirstColumn="0" w:lastRowLastColumn="0"/>
              <w:rPr>
                <w:lang w:val="en-US"/>
              </w:rPr>
            </w:pPr>
            <w:r w:rsidRPr="00702309">
              <w:rPr>
                <w:lang w:val="en-US"/>
              </w:rPr>
              <w:t>Expected impact</w:t>
            </w:r>
          </w:p>
        </w:tc>
      </w:tr>
      <w:tr w:rsidR="00702309" w:rsidRPr="00702309" w:rsidTr="00A3643D">
        <w:trPr>
          <w:trHeight w:val="30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FFFFF" w:themeColor="background1"/>
              <w:bottom w:val="single" w:sz="4" w:space="0" w:color="FFFFFF" w:themeColor="background1"/>
              <w:right w:val="single" w:sz="4" w:space="0" w:color="FFFFFF" w:themeColor="background1"/>
            </w:tcBorders>
            <w:hideMark/>
          </w:tcPr>
          <w:p w:rsidR="00702309" w:rsidRPr="00702309" w:rsidRDefault="00702309" w:rsidP="00702309">
            <w:pPr>
              <w:pStyle w:val="BodyText"/>
              <w:rPr>
                <w:lang w:val="en-US"/>
              </w:rPr>
            </w:pPr>
            <w:r w:rsidRPr="00702309">
              <w:rPr>
                <w:lang w:val="en-US"/>
              </w:rPr>
              <w:t xml:space="preserve">Cyber </w:t>
            </w:r>
            <w:r w:rsidR="00A3643D">
              <w:rPr>
                <w:lang w:val="en-US"/>
              </w:rPr>
              <w:t xml:space="preserve">security </w:t>
            </w:r>
            <w:r w:rsidRPr="00702309">
              <w:rPr>
                <w:lang w:val="en-US"/>
              </w:rPr>
              <w:t>impact</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The Department of Climate Change, Energy, the Environment and Water (DCCEEW) conducted desktop research into the cyber security practices of major CER suppliers into Australia. The purpose was to understand compliance levels of Original Equipment Manufacturers</w:t>
            </w:r>
            <w:r w:rsidR="00EE25CD">
              <w:rPr>
                <w:lang w:val="en-US"/>
              </w:rPr>
              <w:t xml:space="preserve"> (OEMs) with the top three</w:t>
            </w:r>
            <w:r w:rsidRPr="00702309">
              <w:rPr>
                <w:lang w:val="en-US"/>
              </w:rPr>
              <w:t xml:space="preserve"> best practice principles of the European Telecommunications Standards Institute (ETSI) standard EN 303 645, and identify whether OEMs supplied international markets subject to similar regulations.</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DCCEEW selected ten OEMs that supply batteries into Australia. DCCEEW reviewed their websites and product documentation to determine:</w:t>
            </w:r>
          </w:p>
          <w:p w:rsidR="00702309" w:rsidRPr="00702309" w:rsidRDefault="00702309" w:rsidP="00A3643D">
            <w:pPr>
              <w:pStyle w:val="BodyText"/>
              <w:numPr>
                <w:ilvl w:val="0"/>
                <w:numId w:val="30"/>
              </w:numPr>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whether they used universal or default passwords</w:t>
            </w:r>
          </w:p>
          <w:p w:rsidR="00702309" w:rsidRPr="00702309" w:rsidRDefault="00702309" w:rsidP="00A3643D">
            <w:pPr>
              <w:pStyle w:val="BodyText"/>
              <w:numPr>
                <w:ilvl w:val="0"/>
                <w:numId w:val="30"/>
              </w:numPr>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whether they had implemented a mechanism to manage reports of vulnerabilities</w:t>
            </w:r>
          </w:p>
          <w:p w:rsidR="00702309" w:rsidRPr="00702309" w:rsidRDefault="00702309" w:rsidP="00A3643D">
            <w:pPr>
              <w:pStyle w:val="BodyText"/>
              <w:numPr>
                <w:ilvl w:val="0"/>
                <w:numId w:val="30"/>
              </w:numPr>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whether they kept their software updated.</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DCCEEW found that:</w:t>
            </w:r>
          </w:p>
          <w:p w:rsidR="00702309" w:rsidRPr="00702309" w:rsidRDefault="00702309" w:rsidP="00A3643D">
            <w:pPr>
              <w:pStyle w:val="BodyText"/>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50</w:t>
            </w:r>
            <w:r w:rsidR="00EE25CD">
              <w:rPr>
                <w:lang w:val="en-US"/>
              </w:rPr>
              <w:t xml:space="preserve"> per cent</w:t>
            </w:r>
            <w:r w:rsidRPr="00702309">
              <w:rPr>
                <w:lang w:val="en-US"/>
              </w:rPr>
              <w:t xml:space="preserve"> of the OEMS did appear to describe the use of default or universal passwords in product documentation related to devices, apps, menus or other features</w:t>
            </w:r>
          </w:p>
          <w:p w:rsidR="00702309" w:rsidRPr="00702309" w:rsidRDefault="00702309" w:rsidP="00A3643D">
            <w:pPr>
              <w:pStyle w:val="BodyText"/>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60</w:t>
            </w:r>
            <w:r w:rsidR="00EE25CD">
              <w:rPr>
                <w:lang w:val="en-US"/>
              </w:rPr>
              <w:t xml:space="preserve"> per cent</w:t>
            </w:r>
            <w:r w:rsidRPr="00702309">
              <w:rPr>
                <w:lang w:val="en-US"/>
              </w:rPr>
              <w:t xml:space="preserve"> of the OEMS did implement some form of vulnerability management reporting and/or policy on their website</w:t>
            </w:r>
          </w:p>
          <w:p w:rsidR="00702309" w:rsidRPr="00702309" w:rsidRDefault="00702309" w:rsidP="00A3643D">
            <w:pPr>
              <w:pStyle w:val="BodyText"/>
              <w:numPr>
                <w:ilvl w:val="0"/>
                <w:numId w:val="31"/>
              </w:numPr>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70</w:t>
            </w:r>
            <w:r w:rsidR="00EE25CD">
              <w:rPr>
                <w:lang w:val="en-US"/>
              </w:rPr>
              <w:t xml:space="preserve"> per cent</w:t>
            </w:r>
            <w:r w:rsidRPr="00702309">
              <w:rPr>
                <w:lang w:val="en-US"/>
              </w:rPr>
              <w:t xml:space="preserve"> of the OEMS indicated they kept their software updated. </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From these OEMS, DCCEEW selected five OEMs that also supplied rooftop solar inverters into Australia. DCCEEW applied the same methodology and found similar results: 50</w:t>
            </w:r>
            <w:r w:rsidR="00EE25CD">
              <w:rPr>
                <w:lang w:val="en-US"/>
              </w:rPr>
              <w:t xml:space="preserve"> per cent</w:t>
            </w:r>
            <w:r w:rsidRPr="00702309">
              <w:rPr>
                <w:lang w:val="en-US"/>
              </w:rPr>
              <w:t xml:space="preserve"> did appear to describe the use of default or universal passwords in product documentation related to devices, apps, menus or other features, 80</w:t>
            </w:r>
            <w:r w:rsidR="00EE25CD">
              <w:rPr>
                <w:lang w:val="en-US"/>
              </w:rPr>
              <w:t xml:space="preserve"> per cent</w:t>
            </w:r>
            <w:r w:rsidRPr="00702309">
              <w:rPr>
                <w:lang w:val="en-US"/>
              </w:rPr>
              <w:t xml:space="preserve"> did implement some form of vulnerability management reporting and/or policy on their website, and 80</w:t>
            </w:r>
            <w:r w:rsidR="00EE25CD">
              <w:rPr>
                <w:lang w:val="en-US"/>
              </w:rPr>
              <w:t xml:space="preserve"> per cent</w:t>
            </w:r>
            <w:r w:rsidRPr="00702309">
              <w:rPr>
                <w:lang w:val="en-US"/>
              </w:rPr>
              <w:t xml:space="preserve"> indicated they kept their software updated. </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From this, smart CER devices appear to have similar vulnerabilities and mitigation strategies as other consumer-grade smart devices.</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 xml:space="preserve">Compromises to these devices would have similar impacts to those considered in the original impact analysis, relating to the security, privacy and safety of individuals and the larger networks to which devices are connected. In addition, </w:t>
            </w:r>
            <w:r w:rsidRPr="00702309">
              <w:rPr>
                <w:lang w:val="en-US"/>
              </w:rPr>
              <w:lastRenderedPageBreak/>
              <w:t>compromises to these devices have the potential to cause inconvenience, lost energy supply and financial harm to customers where devices don’t operate as intended.</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The option of combined minimum standards and a voluntary labelling scheme is likely to be equally effective for uplifting cyber security in the context of CER as for other consumer-grade smart devices. Suppliers will need to consider their cyber security posture and adapt their products and businesses practices, if needed, to meet the minimum requirements.</w:t>
            </w:r>
          </w:p>
        </w:tc>
      </w:tr>
      <w:tr w:rsidR="00702309" w:rsidRPr="00702309" w:rsidTr="00A3643D">
        <w:trPr>
          <w:trHeight w:val="30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FFFFF" w:themeColor="background1"/>
              <w:bottom w:val="single" w:sz="4" w:space="0" w:color="FFFFFF" w:themeColor="background1"/>
              <w:right w:val="single" w:sz="4" w:space="0" w:color="FFFFFF" w:themeColor="background1"/>
            </w:tcBorders>
            <w:hideMark/>
          </w:tcPr>
          <w:p w:rsidR="00702309" w:rsidRPr="00702309" w:rsidRDefault="00702309" w:rsidP="00A3643D">
            <w:pPr>
              <w:pStyle w:val="BodyText"/>
              <w:rPr>
                <w:lang w:val="en-US"/>
              </w:rPr>
            </w:pPr>
            <w:r w:rsidRPr="00702309">
              <w:rPr>
                <w:lang w:val="en-US"/>
              </w:rPr>
              <w:lastRenderedPageBreak/>
              <w:t>Regulatory costs to industry</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DCCEEW considered the regulatory cost to industry of implementing the proposed minimum cyber security requirements. DCCEEW applied the same methodology</w:t>
            </w:r>
            <w:r w:rsidRPr="00702309">
              <w:rPr>
                <w:vertAlign w:val="superscript"/>
                <w:lang w:val="en-US"/>
              </w:rPr>
              <w:footnoteReference w:id="32"/>
            </w:r>
            <w:r w:rsidRPr="00702309">
              <w:rPr>
                <w:lang w:val="en-US"/>
              </w:rPr>
              <w:t xml:space="preserve"> as the original impact analysis, with desktop research to confirm data inputs. DCCEEW found that:</w:t>
            </w:r>
          </w:p>
          <w:p w:rsidR="00702309" w:rsidRPr="00702309" w:rsidRDefault="00702309" w:rsidP="00A3643D">
            <w:pPr>
              <w:pStyle w:val="BodyText"/>
              <w:numPr>
                <w:ilvl w:val="0"/>
                <w:numId w:val="32"/>
              </w:numPr>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the anticipated industry turnover for rooftop solar inverters and batteries over the next 10 years is around $43.3 billion</w:t>
            </w:r>
          </w:p>
          <w:p w:rsidR="00702309" w:rsidRPr="00702309" w:rsidRDefault="00702309" w:rsidP="00A3643D">
            <w:pPr>
              <w:pStyle w:val="BodyText"/>
              <w:numPr>
                <w:ilvl w:val="0"/>
                <w:numId w:val="32"/>
              </w:numPr>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the total cost of compliance with the security standards over 10 years is around $51.7 million</w:t>
            </w:r>
          </w:p>
          <w:p w:rsidR="00702309" w:rsidRPr="00702309" w:rsidRDefault="00702309" w:rsidP="00A3643D">
            <w:pPr>
              <w:pStyle w:val="BodyText"/>
              <w:numPr>
                <w:ilvl w:val="0"/>
                <w:numId w:val="32"/>
              </w:numPr>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the total cost of compliance of as a percentage of market turnover over the 10 years is around 0.12</w:t>
            </w:r>
            <w:r w:rsidR="00EE25CD">
              <w:rPr>
                <w:lang w:val="en-US"/>
              </w:rPr>
              <w:t xml:space="preserve"> per cent</w:t>
            </w:r>
            <w:r w:rsidRPr="00702309">
              <w:rPr>
                <w:lang w:val="en-US"/>
              </w:rPr>
              <w:t>.</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This is consistent with the share of compliance costs to turnover found in the original impact analysis (0.17</w:t>
            </w:r>
            <w:r w:rsidR="00EE25CD">
              <w:rPr>
                <w:lang w:val="en-US"/>
              </w:rPr>
              <w:t xml:space="preserve"> per cent</w:t>
            </w:r>
            <w:r w:rsidRPr="00702309">
              <w:rPr>
                <w:lang w:val="en-US"/>
              </w:rPr>
              <w:t xml:space="preserve">). </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 xml:space="preserve">DCCEEW considered whether smart CER suppliers in Australia also sell into markets with similar regulatory requirements for smart-device cyber security, particularly the United Kingdom (UK). The UK’s Product Security and Telecommunications Infrastructure Act 2022 creates similar minimum cyber security requirements for consumer-grade smart devices as those proposed under Australia’s Cyber Security Bill 2024. </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 xml:space="preserve">DCCEEW found that all the OEMs examined also supplied products to the UK. </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 xml:space="preserve">Minimum cyber security requirements for CER in Australia are expected to create marginal additional costs for suppliers into Australia, since they should already be implemented, or in the process of being implemented, for other markets. </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 xml:space="preserve">As in the original impact analysis’ findings on a voluntary labelling scheme, businesses would only label their smart products if the benefits outweighed the costs. </w:t>
            </w:r>
          </w:p>
        </w:tc>
      </w:tr>
      <w:tr w:rsidR="00702309" w:rsidRPr="00702309" w:rsidTr="00A3643D">
        <w:trPr>
          <w:trHeight w:val="30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FFFFF" w:themeColor="background1"/>
              <w:bottom w:val="single" w:sz="4" w:space="0" w:color="FFFFFF" w:themeColor="background1"/>
              <w:right w:val="single" w:sz="4" w:space="0" w:color="FFFFFF" w:themeColor="background1"/>
            </w:tcBorders>
            <w:hideMark/>
          </w:tcPr>
          <w:p w:rsidR="00702309" w:rsidRPr="00702309" w:rsidRDefault="00702309" w:rsidP="00A3643D">
            <w:pPr>
              <w:pStyle w:val="BodyText"/>
              <w:rPr>
                <w:lang w:val="en-US"/>
              </w:rPr>
            </w:pPr>
            <w:r w:rsidRPr="00702309">
              <w:rPr>
                <w:lang w:val="en-US"/>
              </w:rPr>
              <w:t>Regulatory costs to government</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The government has already committed to pursuing a combined mandatory standard and voluntary labelling approach for other smart consumer devices.</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This decision already involves setting up a regulatory and legal apparatus to implement this approach.</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 xml:space="preserve">Extending this approach to CER creates a marginal additional regulatory cost to government. </w:t>
            </w:r>
          </w:p>
        </w:tc>
      </w:tr>
      <w:tr w:rsidR="00702309" w:rsidRPr="00702309" w:rsidTr="00A3643D">
        <w:trPr>
          <w:trHeight w:val="30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FFFFF" w:themeColor="background1"/>
              <w:bottom w:val="single" w:sz="4" w:space="0" w:color="FFFFFF" w:themeColor="background1"/>
              <w:right w:val="single" w:sz="4" w:space="0" w:color="FFFFFF" w:themeColor="background1"/>
            </w:tcBorders>
            <w:hideMark/>
          </w:tcPr>
          <w:p w:rsidR="00702309" w:rsidRPr="00702309" w:rsidRDefault="00702309" w:rsidP="00A3643D">
            <w:pPr>
              <w:pStyle w:val="BodyText"/>
              <w:rPr>
                <w:lang w:val="en-US"/>
              </w:rPr>
            </w:pPr>
            <w:r w:rsidRPr="00702309">
              <w:rPr>
                <w:lang w:val="en-US"/>
              </w:rPr>
              <w:t>Flexibility and responsiveness</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The same flexibility and responsiveness considered in the original RIS can be expected.</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lastRenderedPageBreak/>
              <w:t>The mandatory standards can be adapted if needed to respond to changes to technology or the threat environment.</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The proposed labelling scheme is voluntary, allowing flexibility for suppliers.</w:t>
            </w:r>
          </w:p>
        </w:tc>
      </w:tr>
      <w:tr w:rsidR="00702309" w:rsidRPr="00702309" w:rsidTr="00A3643D">
        <w:trPr>
          <w:trHeight w:val="30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FFFFF" w:themeColor="background1"/>
              <w:right w:val="single" w:sz="4" w:space="0" w:color="FFFFFF" w:themeColor="background1"/>
            </w:tcBorders>
            <w:hideMark/>
          </w:tcPr>
          <w:p w:rsidR="00702309" w:rsidRPr="00702309" w:rsidRDefault="00702309" w:rsidP="00702309">
            <w:pPr>
              <w:pStyle w:val="BodyText"/>
              <w:rPr>
                <w:lang w:val="en-US"/>
              </w:rPr>
            </w:pPr>
            <w:r w:rsidRPr="00702309">
              <w:rPr>
                <w:lang w:val="en-US"/>
              </w:rPr>
              <w:lastRenderedPageBreak/>
              <w:t>Potential unintended consequences</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The original impact analysis considered the potential for unintended consequences of a voluntary labelling scheme.</w:t>
            </w:r>
          </w:p>
          <w:p w:rsidR="00702309" w:rsidRPr="00702309" w:rsidRDefault="00702309" w:rsidP="00702309">
            <w:pPr>
              <w:pStyle w:val="BodyText"/>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This impact analysis anticipates that the potential for unintended consequences with</w:t>
            </w:r>
            <w:r w:rsidR="00175A25">
              <w:rPr>
                <w:lang w:val="en-US"/>
              </w:rPr>
              <w:t xml:space="preserve"> respect to CER is similar, that is</w:t>
            </w:r>
            <w:r w:rsidRPr="00702309">
              <w:rPr>
                <w:lang w:val="en-US"/>
              </w:rPr>
              <w:t>:</w:t>
            </w:r>
          </w:p>
          <w:p w:rsidR="00702309" w:rsidRPr="00702309" w:rsidRDefault="00702309" w:rsidP="00A3643D">
            <w:pPr>
              <w:pStyle w:val="BodyText"/>
              <w:numPr>
                <w:ilvl w:val="0"/>
                <w:numId w:val="33"/>
              </w:numPr>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ongoing education would be required to ensure effectiveness</w:t>
            </w:r>
          </w:p>
          <w:p w:rsidR="00702309" w:rsidRPr="00702309" w:rsidRDefault="00702309" w:rsidP="00A3643D">
            <w:pPr>
              <w:pStyle w:val="BodyText"/>
              <w:numPr>
                <w:ilvl w:val="0"/>
                <w:numId w:val="33"/>
              </w:numPr>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businesses would only choose to participate if the benefits outweighed the costs</w:t>
            </w:r>
          </w:p>
          <w:p w:rsidR="00702309" w:rsidRPr="00702309" w:rsidRDefault="00702309" w:rsidP="00A3643D">
            <w:pPr>
              <w:pStyle w:val="BodyText"/>
              <w:numPr>
                <w:ilvl w:val="0"/>
                <w:numId w:val="33"/>
              </w:numPr>
              <w:cnfStyle w:val="000000000000" w:firstRow="0" w:lastRow="0" w:firstColumn="0" w:lastColumn="0" w:oddVBand="0" w:evenVBand="0" w:oddHBand="0" w:evenHBand="0" w:firstRowFirstColumn="0" w:firstRowLastColumn="0" w:lastRowFirstColumn="0" w:lastRowLastColumn="0"/>
              <w:rPr>
                <w:lang w:val="en-US"/>
              </w:rPr>
            </w:pPr>
            <w:r w:rsidRPr="00702309">
              <w:rPr>
                <w:lang w:val="en-US"/>
              </w:rPr>
              <w:t>the Australian Consumer Law would deter manufacturers from making misleading or deceptive claims.</w:t>
            </w:r>
          </w:p>
        </w:tc>
      </w:tr>
    </w:tbl>
    <w:p w:rsidR="00A3643D" w:rsidRPr="00A3643D" w:rsidRDefault="00A3643D" w:rsidP="00A3643D">
      <w:pPr>
        <w:pStyle w:val="BodyText"/>
      </w:pPr>
      <w:r w:rsidRPr="00A3643D">
        <w:t xml:space="preserve">The </w:t>
      </w:r>
      <w:r>
        <w:t>i</w:t>
      </w:r>
      <w:r w:rsidRPr="00A3643D">
        <w:t>mpact of expanding the scope of consumer-grade smart devices subject to minimum cyber security standards to include CER</w:t>
      </w:r>
      <w:r>
        <w:t xml:space="preserve"> </w:t>
      </w:r>
      <w:r w:rsidRPr="00A3643D">
        <w:t>is consistent with the initial regulation impact assessment prepared f</w:t>
      </w:r>
      <w:r>
        <w:t xml:space="preserve">or the </w:t>
      </w:r>
      <w:r w:rsidRPr="00A3643D">
        <w:rPr>
          <w:i/>
        </w:rPr>
        <w:t>Cyber Security Act 2024</w:t>
      </w:r>
      <w:r w:rsidRPr="00A3643D">
        <w:t xml:space="preserve">. </w:t>
      </w:r>
      <w:r>
        <w:t>While</w:t>
      </w:r>
      <w:r w:rsidRPr="00A3643D">
        <w:t xml:space="preserve"> there is a minor financial impact to be borne by the CER sector, this impact is offset by the significant benefit to consumers and the energy system from increased cyber security protections for this equipment. </w:t>
      </w:r>
    </w:p>
    <w:p w:rsidR="00B55F5F" w:rsidRDefault="00B55F5F" w:rsidP="00B55F5F">
      <w:pPr>
        <w:pStyle w:val="Heading2"/>
      </w:pPr>
      <w:r>
        <w:t>Part 4: Conclusion</w:t>
      </w:r>
    </w:p>
    <w:p w:rsidR="00D75DF7" w:rsidRDefault="00D75DF7" w:rsidP="004F1A6C">
      <w:pPr>
        <w:pStyle w:val="Heading4"/>
      </w:pPr>
      <w:r>
        <w:t>Conclusion</w:t>
      </w:r>
    </w:p>
    <w:p w:rsidR="00D75DF7" w:rsidRDefault="000304CE" w:rsidP="0056780F">
      <w:pPr>
        <w:pStyle w:val="BodyText"/>
      </w:pPr>
      <w:r>
        <w:t xml:space="preserve">The additional legislative design and expansion to include CER </w:t>
      </w:r>
      <w:r w:rsidR="00D75DF7">
        <w:t>does no</w:t>
      </w:r>
      <w:r w:rsidR="004F1A6C">
        <w:t xml:space="preserve">t impact the policy position or </w:t>
      </w:r>
      <w:r>
        <w:t xml:space="preserve">materially </w:t>
      </w:r>
      <w:r w:rsidR="004F1A6C">
        <w:t>change the impact to industry from the original proposal.</w:t>
      </w:r>
    </w:p>
    <w:p w:rsidR="00D75DF7" w:rsidRDefault="00D75DF7" w:rsidP="00D75DF7">
      <w:pPr>
        <w:pStyle w:val="BodyText"/>
      </w:pPr>
      <w:r>
        <w:t>The Australian Government’s commitment co-design a voluntary labelling scheme to measure the cyber security of smart devices has not changed. This addendum does not supplement or further contextualise any of the content that was published in the original Impact Analysis regarding this measure.</w:t>
      </w:r>
    </w:p>
    <w:p w:rsidR="00D75DF7" w:rsidRPr="002747A5" w:rsidRDefault="00D75DF7" w:rsidP="0056780F">
      <w:pPr>
        <w:pStyle w:val="BodyText"/>
      </w:pPr>
    </w:p>
    <w:sectPr w:rsidR="00D75DF7" w:rsidRPr="002747A5" w:rsidSect="00553A95">
      <w:headerReference w:type="default" r:id="rId15"/>
      <w:footerReference w:type="first" r:id="rId16"/>
      <w:pgSz w:w="11906" w:h="16838" w:code="9"/>
      <w:pgMar w:top="0" w:right="1134" w:bottom="1134"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0FC" w:rsidRDefault="00E730FC" w:rsidP="00185154">
      <w:r>
        <w:separator/>
      </w:r>
    </w:p>
    <w:p w:rsidR="00E730FC" w:rsidRDefault="00E730FC"/>
  </w:endnote>
  <w:endnote w:type="continuationSeparator" w:id="0">
    <w:p w:rsidR="00E730FC" w:rsidRDefault="00E730FC" w:rsidP="00185154">
      <w:r>
        <w:continuationSeparator/>
      </w:r>
    </w:p>
    <w:p w:rsidR="00E730FC" w:rsidRDefault="00E73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0D" w:rsidRPr="00526448" w:rsidRDefault="00EC2D0D" w:rsidP="0042661D">
    <w:pP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0FC" w:rsidRDefault="00E730FC" w:rsidP="00185154">
      <w:r>
        <w:separator/>
      </w:r>
    </w:p>
    <w:p w:rsidR="00E730FC" w:rsidRDefault="00E730FC"/>
  </w:footnote>
  <w:footnote w:type="continuationSeparator" w:id="0">
    <w:p w:rsidR="00E730FC" w:rsidRDefault="00E730FC" w:rsidP="00185154">
      <w:r>
        <w:continuationSeparator/>
      </w:r>
    </w:p>
    <w:p w:rsidR="00E730FC" w:rsidRDefault="00E730FC"/>
  </w:footnote>
  <w:footnote w:id="1">
    <w:p w:rsidR="00CA3D39" w:rsidRPr="007D6A18" w:rsidRDefault="00CA3D39" w:rsidP="00CA3D39">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For example: CI-ISAC; Origin Energy; Fortinet Australia; Information Technology Industry Council.</w:t>
      </w:r>
    </w:p>
  </w:footnote>
  <w:footnote w:id="2">
    <w:p w:rsidR="00CA3D39" w:rsidRDefault="00CA3D39" w:rsidP="00CA3D39">
      <w:pPr>
        <w:pStyle w:val="FootnoteText"/>
        <w:rPr>
          <w:rFonts w:cstheme="minorHAnsi"/>
        </w:rPr>
      </w:pPr>
      <w:r w:rsidRPr="007D6A18">
        <w:rPr>
          <w:rStyle w:val="FootnoteReference"/>
          <w:rFonts w:cstheme="minorHAnsi"/>
          <w:sz w:val="16"/>
        </w:rPr>
        <w:footnoteRef/>
      </w:r>
      <w:r w:rsidRPr="007D6A18">
        <w:rPr>
          <w:rFonts w:cstheme="minorHAnsi"/>
          <w:sz w:val="16"/>
        </w:rPr>
        <w:t xml:space="preserve"> Tasmanian Department of Premier and Cabinet; Australian Information Security Association (AISA); KordaMentha; IoT Alliance Australia (IoTAA); Tech Council of Australia.</w:t>
      </w:r>
    </w:p>
  </w:footnote>
  <w:footnote w:id="3">
    <w:p w:rsidR="00CA3D39" w:rsidRPr="007D6A18" w:rsidRDefault="00CA3D39" w:rsidP="00CA3D39">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For example: Fortinet Australia; Standards Australia; BSA Software Alliance; IoTAA.</w:t>
      </w:r>
    </w:p>
  </w:footnote>
  <w:footnote w:id="4">
    <w:p w:rsidR="00CA3D39" w:rsidRPr="007D6A18" w:rsidRDefault="00CA3D39" w:rsidP="00CA3D39">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Australasian Higher Education Cybersecurity Service (AHECS); NSW Government; Australian Digital Health Agency; Therapeutic Goods Administration.</w:t>
      </w:r>
    </w:p>
  </w:footnote>
  <w:footnote w:id="5">
    <w:p w:rsidR="00CA3D39" w:rsidRPr="007D6A18" w:rsidRDefault="00CA3D39" w:rsidP="00CA3D39">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Tasmanian Department of Premier and Cabinet.</w:t>
      </w:r>
    </w:p>
  </w:footnote>
  <w:footnote w:id="6">
    <w:p w:rsidR="00CA3D39" w:rsidRPr="007D6A18" w:rsidRDefault="00CA3D39" w:rsidP="00CA3D39">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Black Ink Legal.</w:t>
      </w:r>
    </w:p>
  </w:footnote>
  <w:footnote w:id="7">
    <w:p w:rsidR="00CA3D39" w:rsidRPr="007D6A18" w:rsidRDefault="00CA3D39" w:rsidP="00CA3D39">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NCC Group; CHOICE.</w:t>
      </w:r>
    </w:p>
  </w:footnote>
  <w:footnote w:id="8">
    <w:p w:rsidR="00CA3D39" w:rsidRPr="007D6A18" w:rsidRDefault="00CA3D39" w:rsidP="00CA3D39">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Splunk.</w:t>
      </w:r>
    </w:p>
  </w:footnote>
  <w:footnote w:id="9">
    <w:p w:rsidR="00CA3D39" w:rsidRPr="007D6A18" w:rsidRDefault="00CA3D39" w:rsidP="00CA3D39">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SA Government; Black Ink Legal; VeroGuard Systems.</w:t>
      </w:r>
    </w:p>
  </w:footnote>
  <w:footnote w:id="10">
    <w:p w:rsidR="00CA3D39" w:rsidRPr="007D6A18" w:rsidRDefault="00CA3D39" w:rsidP="00CA3D39">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AISA; Australian Information Industry Association (AIIA); the CISO Tribe; VeroGuard Systems.</w:t>
      </w:r>
    </w:p>
  </w:footnote>
  <w:footnote w:id="11">
    <w:p w:rsidR="00CA3D39" w:rsidRPr="007D6A18" w:rsidRDefault="00CA3D39" w:rsidP="00CA3D39">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AISA; DP World; NBN Co.</w:t>
      </w:r>
    </w:p>
  </w:footnote>
  <w:footnote w:id="12">
    <w:p w:rsidR="002747A5" w:rsidRPr="007D6A18" w:rsidRDefault="002747A5" w:rsidP="002747A5">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CYAINSE; CI-ISAC; NSW Government.</w:t>
      </w:r>
    </w:p>
  </w:footnote>
  <w:footnote w:id="13">
    <w:p w:rsidR="002747A5" w:rsidRPr="007D6A18" w:rsidRDefault="002747A5" w:rsidP="002747A5">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Infoblox; Allied Assurance. </w:t>
      </w:r>
    </w:p>
  </w:footnote>
  <w:footnote w:id="14">
    <w:p w:rsidR="002747A5" w:rsidRPr="007D6A18" w:rsidRDefault="002747A5" w:rsidP="002747A5">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NBN Co; SA Government; Security Mark.</w:t>
      </w:r>
    </w:p>
  </w:footnote>
  <w:footnote w:id="15">
    <w:p w:rsidR="002747A5" w:rsidRPr="007D6A18" w:rsidRDefault="002747A5" w:rsidP="002747A5">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Transurban; IoTAA; SA Government; Black Ink Legal.</w:t>
      </w:r>
    </w:p>
  </w:footnote>
  <w:footnote w:id="16">
    <w:p w:rsidR="002747A5" w:rsidRPr="007D6A18" w:rsidRDefault="002747A5" w:rsidP="002747A5">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AHECS; NSW Government; Australian Digital Health Agency; Therapeutic Goods Administration.</w:t>
      </w:r>
    </w:p>
  </w:footnote>
  <w:footnote w:id="17">
    <w:p w:rsidR="002747A5" w:rsidRPr="007D6A18" w:rsidRDefault="002747A5" w:rsidP="002747A5">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Ausgrid; AEMO; EnergyAustralia.</w:t>
      </w:r>
    </w:p>
  </w:footnote>
  <w:footnote w:id="18">
    <w:p w:rsidR="002747A5" w:rsidRDefault="002747A5" w:rsidP="002747A5">
      <w:pPr>
        <w:pStyle w:val="FootnoteText"/>
        <w:rPr>
          <w:rFonts w:cstheme="minorHAnsi"/>
        </w:rPr>
      </w:pPr>
      <w:r w:rsidRPr="007D6A18">
        <w:rPr>
          <w:rStyle w:val="FootnoteReference"/>
          <w:rFonts w:cstheme="minorHAnsi"/>
          <w:sz w:val="16"/>
        </w:rPr>
        <w:footnoteRef/>
      </w:r>
      <w:r w:rsidRPr="007D6A18">
        <w:rPr>
          <w:rFonts w:cstheme="minorHAnsi"/>
          <w:sz w:val="16"/>
        </w:rPr>
        <w:t xml:space="preserve"> CYAINSE; The Cybersecurity Coalition; AWS; KordaMentha; Communications Alliance.</w:t>
      </w:r>
    </w:p>
  </w:footnote>
  <w:footnote w:id="19">
    <w:p w:rsidR="002747A5" w:rsidRPr="007D6A18" w:rsidRDefault="002747A5" w:rsidP="002747A5">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Tasmanian Department of Premier and Cabinet; Quokka; EnergyAustralia.</w:t>
      </w:r>
    </w:p>
  </w:footnote>
  <w:footnote w:id="20">
    <w:p w:rsidR="002747A5" w:rsidRDefault="002747A5" w:rsidP="002747A5">
      <w:pPr>
        <w:pStyle w:val="FootnoteText"/>
        <w:rPr>
          <w:rFonts w:cstheme="minorHAnsi"/>
        </w:rPr>
      </w:pPr>
      <w:r w:rsidRPr="007D6A18">
        <w:rPr>
          <w:rStyle w:val="FootnoteReference"/>
          <w:rFonts w:cstheme="minorHAnsi"/>
          <w:sz w:val="16"/>
        </w:rPr>
        <w:footnoteRef/>
      </w:r>
      <w:r w:rsidRPr="007D6A18">
        <w:rPr>
          <w:rFonts w:cstheme="minorHAnsi"/>
          <w:sz w:val="16"/>
        </w:rPr>
        <w:t xml:space="preserve"> NCC Group; Information Technology Industry Council; AIIA; Communications Alliance.</w:t>
      </w:r>
    </w:p>
  </w:footnote>
  <w:footnote w:id="21">
    <w:p w:rsidR="002747A5" w:rsidRPr="007D6A18" w:rsidRDefault="002747A5" w:rsidP="002747A5">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NCC Group; Water Services Sector Group.</w:t>
      </w:r>
    </w:p>
  </w:footnote>
  <w:footnote w:id="22">
    <w:p w:rsidR="002747A5" w:rsidRPr="007D6A18" w:rsidRDefault="002747A5" w:rsidP="002747A5">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Fortinet Australia; Information Technology Industry Council; Ausgrid.</w:t>
      </w:r>
    </w:p>
  </w:footnote>
  <w:footnote w:id="23">
    <w:p w:rsidR="002747A5" w:rsidRPr="007D6A18" w:rsidRDefault="002747A5" w:rsidP="002747A5">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For example: IoTAA; CHOICE; Australian Digital Health Agency; Digital Industry Group Inc (DIGI).</w:t>
      </w:r>
    </w:p>
  </w:footnote>
  <w:footnote w:id="24">
    <w:p w:rsidR="002747A5" w:rsidRPr="007D6A18" w:rsidRDefault="002747A5" w:rsidP="002747A5">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CI-ISAC; NCC Group; Australian Information Security Association.</w:t>
      </w:r>
    </w:p>
  </w:footnote>
  <w:footnote w:id="25">
    <w:p w:rsidR="002747A5" w:rsidRPr="007D6A18" w:rsidRDefault="002747A5" w:rsidP="002747A5">
      <w:pPr>
        <w:pStyle w:val="FootnoteText"/>
        <w:rPr>
          <w:rFonts w:cstheme="minorHAnsi"/>
          <w:sz w:val="16"/>
        </w:rPr>
      </w:pPr>
      <w:r w:rsidRPr="007D6A18">
        <w:rPr>
          <w:rStyle w:val="FootnoteReference"/>
          <w:rFonts w:cstheme="minorHAnsi"/>
          <w:sz w:val="16"/>
        </w:rPr>
        <w:footnoteRef/>
      </w:r>
      <w:r w:rsidRPr="007D6A18">
        <w:rPr>
          <w:rFonts w:cstheme="minorHAnsi"/>
          <w:sz w:val="16"/>
        </w:rPr>
        <w:t xml:space="preserve"> IoTAA; CHOICE.</w:t>
      </w:r>
    </w:p>
  </w:footnote>
  <w:footnote w:id="26">
    <w:p w:rsidR="00702309" w:rsidRPr="00702309" w:rsidRDefault="00702309" w:rsidP="00702309">
      <w:pPr>
        <w:pStyle w:val="FootnoteText"/>
        <w:rPr>
          <w:sz w:val="16"/>
          <w:lang w:eastAsia="ja-JP"/>
        </w:rPr>
      </w:pPr>
      <w:r w:rsidRPr="00702309">
        <w:rPr>
          <w:rStyle w:val="FootnoteReference"/>
          <w:sz w:val="16"/>
        </w:rPr>
        <w:footnoteRef/>
      </w:r>
      <w:r w:rsidRPr="00702309">
        <w:rPr>
          <w:sz w:val="16"/>
        </w:rPr>
        <w:t xml:space="preserve"> </w:t>
      </w:r>
      <w:r w:rsidR="00355636">
        <w:rPr>
          <w:sz w:val="16"/>
        </w:rPr>
        <w:t xml:space="preserve">Australian Government Clean Energy Regulator, small-scale installation postcode data. </w:t>
      </w:r>
    </w:p>
  </w:footnote>
  <w:footnote w:id="27">
    <w:p w:rsidR="00702309" w:rsidRPr="00D91F57" w:rsidRDefault="00702309" w:rsidP="00702309">
      <w:pPr>
        <w:pStyle w:val="FootnoteText"/>
        <w:rPr>
          <w:sz w:val="16"/>
        </w:rPr>
      </w:pPr>
      <w:r w:rsidRPr="00702309">
        <w:rPr>
          <w:rStyle w:val="FootnoteReference"/>
          <w:sz w:val="16"/>
        </w:rPr>
        <w:footnoteRef/>
      </w:r>
      <w:r w:rsidRPr="00702309">
        <w:rPr>
          <w:sz w:val="16"/>
        </w:rPr>
        <w:t xml:space="preserve"> </w:t>
      </w:r>
      <w:r w:rsidR="00D91F57">
        <w:rPr>
          <w:rStyle w:val="Hyperlink"/>
          <w:sz w:val="16"/>
          <w:u w:val="none"/>
        </w:rPr>
        <w:t xml:space="preserve">Australian Energy Market Operator, 2024 Integrated System Plan, p 7. </w:t>
      </w:r>
    </w:p>
  </w:footnote>
  <w:footnote w:id="28">
    <w:p w:rsidR="00702309" w:rsidRPr="00D91F57" w:rsidRDefault="00702309" w:rsidP="00702309">
      <w:pPr>
        <w:pStyle w:val="FootnoteText"/>
        <w:rPr>
          <w:sz w:val="16"/>
        </w:rPr>
      </w:pPr>
      <w:r w:rsidRPr="00702309">
        <w:rPr>
          <w:rStyle w:val="FootnoteReference"/>
          <w:sz w:val="16"/>
        </w:rPr>
        <w:footnoteRef/>
      </w:r>
      <w:r w:rsidRPr="00702309">
        <w:rPr>
          <w:sz w:val="16"/>
        </w:rPr>
        <w:t xml:space="preserve"> </w:t>
      </w:r>
      <w:r w:rsidR="00D91F57">
        <w:rPr>
          <w:rStyle w:val="Hyperlink"/>
          <w:sz w:val="16"/>
          <w:u w:val="none"/>
        </w:rPr>
        <w:t>Australian Energy Market Operator, 2024 General Power System Risk Review – Report July 2024, p 119.</w:t>
      </w:r>
    </w:p>
  </w:footnote>
  <w:footnote w:id="29">
    <w:p w:rsidR="00702309" w:rsidRPr="005404D0" w:rsidRDefault="00702309" w:rsidP="00702309">
      <w:pPr>
        <w:pStyle w:val="FootnoteText"/>
        <w:rPr>
          <w:sz w:val="16"/>
        </w:rPr>
      </w:pPr>
      <w:r w:rsidRPr="00702309">
        <w:rPr>
          <w:rStyle w:val="FootnoteReference"/>
          <w:sz w:val="16"/>
        </w:rPr>
        <w:footnoteRef/>
      </w:r>
      <w:r w:rsidRPr="00702309">
        <w:rPr>
          <w:sz w:val="16"/>
        </w:rPr>
        <w:t xml:space="preserve"> </w:t>
      </w:r>
      <w:r w:rsidR="005404D0">
        <w:rPr>
          <w:rStyle w:val="Hyperlink"/>
          <w:sz w:val="16"/>
          <w:u w:val="none"/>
        </w:rPr>
        <w:t xml:space="preserve">Australian Energy Market Operator, 2024 Integrated System Plan, p 49. </w:t>
      </w:r>
    </w:p>
  </w:footnote>
  <w:footnote w:id="30">
    <w:p w:rsidR="00702309" w:rsidRPr="005404D0" w:rsidRDefault="00702309" w:rsidP="00702309">
      <w:pPr>
        <w:pStyle w:val="FootnoteText"/>
      </w:pPr>
      <w:r w:rsidRPr="00702309">
        <w:rPr>
          <w:rStyle w:val="FootnoteReference"/>
          <w:sz w:val="16"/>
        </w:rPr>
        <w:footnoteRef/>
      </w:r>
      <w:r w:rsidRPr="00702309">
        <w:rPr>
          <w:sz w:val="16"/>
        </w:rPr>
        <w:t xml:space="preserve"> </w:t>
      </w:r>
      <w:r w:rsidR="00864765">
        <w:rPr>
          <w:sz w:val="16"/>
        </w:rPr>
        <w:t>Cyber Security Cooperative Research Centre, Power Out? Solar Inverters and the Silent Cyber Threat, p 6.</w:t>
      </w:r>
    </w:p>
  </w:footnote>
  <w:footnote w:id="31">
    <w:p w:rsidR="00702309" w:rsidRDefault="00702309" w:rsidP="00702309">
      <w:pPr>
        <w:pStyle w:val="FootnoteText"/>
        <w:rPr>
          <w:lang w:eastAsia="ja-JP"/>
        </w:rPr>
      </w:pPr>
      <w:r w:rsidRPr="00A3643D">
        <w:rPr>
          <w:rStyle w:val="FootnoteReference"/>
          <w:sz w:val="16"/>
        </w:rPr>
        <w:footnoteRef/>
      </w:r>
      <w:r w:rsidRPr="00A3643D">
        <w:rPr>
          <w:sz w:val="16"/>
        </w:rPr>
        <w:t xml:space="preserve"> The option of ‘mandatory standard’ alone also achieved the same overall rating score.</w:t>
      </w:r>
    </w:p>
  </w:footnote>
  <w:footnote w:id="32">
    <w:p w:rsidR="00702309" w:rsidRDefault="00702309" w:rsidP="00702309">
      <w:pPr>
        <w:rPr>
          <w:szCs w:val="20"/>
        </w:rPr>
      </w:pPr>
      <w:r w:rsidRPr="00EE25CD">
        <w:rPr>
          <w:rStyle w:val="FootnoteReference"/>
          <w:sz w:val="16"/>
        </w:rPr>
        <w:footnoteRef/>
      </w:r>
      <w:r w:rsidRPr="00EE25CD">
        <w:rPr>
          <w:sz w:val="16"/>
        </w:rPr>
        <w:t xml:space="preserve"> </w:t>
      </w:r>
      <w:r w:rsidRPr="00EE25CD">
        <w:rPr>
          <w:sz w:val="16"/>
          <w:szCs w:val="20"/>
        </w:rPr>
        <w:t>This addendum adopts the same costs of implementation used by the Department of Home Affairs in the original impact analysis. The addendum anticipates that the changes that need to be implemented by CER OEMs to comply with the standard will be similar to those require</w:t>
      </w:r>
      <w:r w:rsidR="00EE25CD">
        <w:rPr>
          <w:sz w:val="16"/>
          <w:szCs w:val="20"/>
        </w:rPr>
        <w:t>d for other smart devices – for example,</w:t>
      </w:r>
      <w:r w:rsidRPr="00EE25CD">
        <w:rPr>
          <w:sz w:val="16"/>
          <w:szCs w:val="20"/>
        </w:rPr>
        <w:t xml:space="preserve"> updating product and marketing material; updating business practices; implementing password management and vulnerability reporting mechanisms; and providing consumer advice.  The addendum anticipates that costs for CER OEMS to implement these changes will be similar to those for other businesses supplying smart devices.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A95" w:rsidRDefault="00D901C5" w:rsidP="00553A95">
    <w:pPr>
      <w:pStyle w:val="Protection"/>
      <w:spacing w:before="120"/>
    </w:pPr>
    <w:r>
      <w:rPr>
        <w:noProof/>
        <w:lang w:eastAsia="en-AU"/>
      </w:rPr>
      <w:t xml:space="preserve"> </w:t>
    </w:r>
    <w:r w:rsidR="007456D0">
      <w:rPr>
        <w:noProof/>
        <w:lang w:eastAsia="en-AU"/>
      </w:rPr>
      <w:drawing>
        <wp:anchor distT="0" distB="0" distL="114300" distR="114300" simplePos="0" relativeHeight="251664384" behindDoc="1" locked="1" layoutInCell="1" allowOverlap="0" wp14:anchorId="7FEA50F5" wp14:editId="38DF3371">
          <wp:simplePos x="0" y="0"/>
          <wp:positionH relativeFrom="page">
            <wp:align>left</wp:align>
          </wp:positionH>
          <wp:positionV relativeFrom="page">
            <wp:posOffset>0</wp:posOffset>
          </wp:positionV>
          <wp:extent cx="7560000" cy="536400"/>
          <wp:effectExtent l="0" t="0" r="3175" b="0"/>
          <wp:wrapNone/>
          <wp:docPr id="3" name="Pictur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llower_Portrait.jpg"/>
                  <pic:cNvPicPr/>
                </pic:nvPicPr>
                <pic:blipFill>
                  <a:blip r:embed="rId1"/>
                  <a:stretch>
                    <a:fillRect/>
                  </a:stretch>
                </pic:blipFill>
                <pic:spPr>
                  <a:xfrm>
                    <a:off x="0" y="0"/>
                    <a:ext cx="7560000" cy="536400"/>
                  </a:xfrm>
                  <a:prstGeom prst="rect">
                    <a:avLst/>
                  </a:prstGeom>
                </pic:spPr>
              </pic:pic>
            </a:graphicData>
          </a:graphic>
          <wp14:sizeRelH relativeFrom="margin">
            <wp14:pctWidth>0</wp14:pctWidth>
          </wp14:sizeRelH>
          <wp14:sizeRelV relativeFrom="margin">
            <wp14:pctHeight>0</wp14:pctHeight>
          </wp14:sizeRelV>
        </wp:anchor>
      </w:drawing>
    </w:r>
  </w:p>
  <w:p w:rsidR="00EC2D0D" w:rsidRPr="0030502B" w:rsidRDefault="00EC2D0D" w:rsidP="001E2EFC">
    <w:pPr>
      <w:pStyle w:val="Protection"/>
    </w:pPr>
  </w:p>
  <w:p w:rsidR="00EC2D0D" w:rsidRPr="00250BFB" w:rsidRDefault="00EC2D0D" w:rsidP="001E2EFC">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AB8DFC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6FA4D05"/>
    <w:multiLevelType w:val="multilevel"/>
    <w:tmpl w:val="BDFC207A"/>
    <w:numStyleLink w:val="ListTableNumber"/>
  </w:abstractNum>
  <w:abstractNum w:abstractNumId="3"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 w15:restartNumberingAfterBreak="0">
    <w:nsid w:val="08D457C5"/>
    <w:multiLevelType w:val="multilevel"/>
    <w:tmpl w:val="624681D2"/>
    <w:numStyleLink w:val="ListTableBullet"/>
  </w:abstractNum>
  <w:abstractNum w:abstractNumId="5" w15:restartNumberingAfterBreak="0">
    <w:nsid w:val="0C0C5E35"/>
    <w:multiLevelType w:val="hybridMultilevel"/>
    <w:tmpl w:val="E954C66C"/>
    <w:lvl w:ilvl="0" w:tplc="0C090005">
      <w:start w:val="1"/>
      <w:numFmt w:val="bullet"/>
      <w:lvlText w:val=""/>
      <w:lvlJc w:val="left"/>
      <w:pPr>
        <w:ind w:left="748" w:hanging="360"/>
      </w:pPr>
      <w:rPr>
        <w:rFonts w:ascii="Wingdings" w:hAnsi="Wingdings" w:hint="default"/>
      </w:rPr>
    </w:lvl>
    <w:lvl w:ilvl="1" w:tplc="0C090003">
      <w:start w:val="1"/>
      <w:numFmt w:val="bullet"/>
      <w:lvlText w:val="o"/>
      <w:lvlJc w:val="left"/>
      <w:pPr>
        <w:ind w:left="1468" w:hanging="360"/>
      </w:pPr>
      <w:rPr>
        <w:rFonts w:ascii="Courier New" w:hAnsi="Courier New" w:cs="Courier New" w:hint="default"/>
      </w:rPr>
    </w:lvl>
    <w:lvl w:ilvl="2" w:tplc="0C090005">
      <w:start w:val="1"/>
      <w:numFmt w:val="bullet"/>
      <w:lvlText w:val=""/>
      <w:lvlJc w:val="left"/>
      <w:pPr>
        <w:ind w:left="2188" w:hanging="360"/>
      </w:pPr>
      <w:rPr>
        <w:rFonts w:ascii="Wingdings" w:hAnsi="Wingdings" w:hint="default"/>
      </w:rPr>
    </w:lvl>
    <w:lvl w:ilvl="3" w:tplc="0C090001">
      <w:start w:val="1"/>
      <w:numFmt w:val="bullet"/>
      <w:lvlText w:val=""/>
      <w:lvlJc w:val="left"/>
      <w:pPr>
        <w:ind w:left="2908" w:hanging="360"/>
      </w:pPr>
      <w:rPr>
        <w:rFonts w:ascii="Symbol" w:hAnsi="Symbol" w:hint="default"/>
      </w:rPr>
    </w:lvl>
    <w:lvl w:ilvl="4" w:tplc="0C090003">
      <w:start w:val="1"/>
      <w:numFmt w:val="bullet"/>
      <w:lvlText w:val="o"/>
      <w:lvlJc w:val="left"/>
      <w:pPr>
        <w:ind w:left="3628" w:hanging="360"/>
      </w:pPr>
      <w:rPr>
        <w:rFonts w:ascii="Courier New" w:hAnsi="Courier New" w:cs="Courier New" w:hint="default"/>
      </w:rPr>
    </w:lvl>
    <w:lvl w:ilvl="5" w:tplc="0C090005">
      <w:start w:val="1"/>
      <w:numFmt w:val="bullet"/>
      <w:lvlText w:val=""/>
      <w:lvlJc w:val="left"/>
      <w:pPr>
        <w:ind w:left="4348" w:hanging="360"/>
      </w:pPr>
      <w:rPr>
        <w:rFonts w:ascii="Wingdings" w:hAnsi="Wingdings" w:hint="default"/>
      </w:rPr>
    </w:lvl>
    <w:lvl w:ilvl="6" w:tplc="0C090001">
      <w:start w:val="1"/>
      <w:numFmt w:val="bullet"/>
      <w:lvlText w:val=""/>
      <w:lvlJc w:val="left"/>
      <w:pPr>
        <w:ind w:left="5068" w:hanging="360"/>
      </w:pPr>
      <w:rPr>
        <w:rFonts w:ascii="Symbol" w:hAnsi="Symbol" w:hint="default"/>
      </w:rPr>
    </w:lvl>
    <w:lvl w:ilvl="7" w:tplc="0C090003">
      <w:start w:val="1"/>
      <w:numFmt w:val="bullet"/>
      <w:lvlText w:val="o"/>
      <w:lvlJc w:val="left"/>
      <w:pPr>
        <w:ind w:left="5788" w:hanging="360"/>
      </w:pPr>
      <w:rPr>
        <w:rFonts w:ascii="Courier New" w:hAnsi="Courier New" w:cs="Courier New" w:hint="default"/>
      </w:rPr>
    </w:lvl>
    <w:lvl w:ilvl="8" w:tplc="0C090005">
      <w:start w:val="1"/>
      <w:numFmt w:val="bullet"/>
      <w:lvlText w:val=""/>
      <w:lvlJc w:val="left"/>
      <w:pPr>
        <w:ind w:left="6508" w:hanging="360"/>
      </w:pPr>
      <w:rPr>
        <w:rFonts w:ascii="Wingdings" w:hAnsi="Wingdings" w:hint="default"/>
      </w:rPr>
    </w:lvl>
  </w:abstractNum>
  <w:abstractNum w:abstractNumId="6"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7" w15:restartNumberingAfterBreak="0">
    <w:nsid w:val="179B3801"/>
    <w:multiLevelType w:val="multilevel"/>
    <w:tmpl w:val="E52A052A"/>
    <w:styleLink w:val="ListFeatureBullet"/>
    <w:lvl w:ilvl="0">
      <w:start w:val="1"/>
      <w:numFmt w:val="bullet"/>
      <w:lvlText w:val=""/>
      <w:lvlJc w:val="left"/>
      <w:pPr>
        <w:tabs>
          <w:tab w:val="num" w:pos="567"/>
        </w:tabs>
        <w:ind w:left="567" w:hanging="567"/>
      </w:pPr>
      <w:rPr>
        <w:rFonts w:ascii="Wingdings 3" w:hAnsi="Wingdings 3" w:hint="default"/>
        <w:color w:val="034EA2" w:themeColor="accent1"/>
        <w:sz w:val="18"/>
      </w:rPr>
    </w:lvl>
    <w:lvl w:ilvl="1">
      <w:start w:val="1"/>
      <w:numFmt w:val="bullet"/>
      <w:lvlText w:val="–"/>
      <w:lvlJc w:val="left"/>
      <w:pPr>
        <w:tabs>
          <w:tab w:val="num" w:pos="1134"/>
        </w:tabs>
        <w:ind w:left="1134" w:hanging="567"/>
      </w:pPr>
      <w:rPr>
        <w:rFonts w:ascii="Helvetica" w:hAnsi="Helvetica" w:hint="default"/>
        <w:color w:val="auto"/>
      </w:rPr>
    </w:lvl>
    <w:lvl w:ilvl="2">
      <w:start w:val="1"/>
      <w:numFmt w:val="bullet"/>
      <w:lvlText w:val=""/>
      <w:lvlJc w:val="left"/>
      <w:pPr>
        <w:tabs>
          <w:tab w:val="num" w:pos="1701"/>
        </w:tabs>
        <w:ind w:left="1701" w:hanging="567"/>
      </w:pPr>
      <w:rPr>
        <w:rFonts w:ascii="Wingdings 2" w:hAnsi="Wingdings 2" w:hint="default"/>
        <w:color w:val="auto"/>
      </w:rPr>
    </w:lvl>
    <w:lvl w:ilvl="3">
      <w:start w:val="1"/>
      <w:numFmt w:val="bullet"/>
      <w:lvlText w:val=""/>
      <w:lvlJc w:val="left"/>
      <w:pPr>
        <w:tabs>
          <w:tab w:val="num" w:pos="2268"/>
        </w:tabs>
        <w:ind w:left="2268" w:hanging="567"/>
      </w:pPr>
      <w:rPr>
        <w:rFonts w:ascii="Wingdings 3" w:hAnsi="Wingdings 3" w:hint="default"/>
        <w:color w:val="034EA2" w:themeColor="accent1"/>
        <w:sz w:val="18"/>
      </w:rPr>
    </w:lvl>
    <w:lvl w:ilvl="4">
      <w:start w:val="1"/>
      <w:numFmt w:val="bullet"/>
      <w:lvlText w:val="–"/>
      <w:lvlJc w:val="left"/>
      <w:pPr>
        <w:tabs>
          <w:tab w:val="num" w:pos="2835"/>
        </w:tabs>
        <w:ind w:left="2835" w:hanging="567"/>
      </w:pPr>
      <w:rPr>
        <w:rFonts w:ascii="Arial" w:hAnsi="Arial" w:hint="default"/>
        <w:color w:val="auto"/>
      </w:rPr>
    </w:lvl>
    <w:lvl w:ilvl="5">
      <w:start w:val="1"/>
      <w:numFmt w:val="bullet"/>
      <w:lvlText w:val=""/>
      <w:lvlJc w:val="left"/>
      <w:pPr>
        <w:tabs>
          <w:tab w:val="num" w:pos="3402"/>
        </w:tabs>
        <w:ind w:left="3402" w:hanging="567"/>
      </w:pPr>
      <w:rPr>
        <w:rFonts w:ascii="Wingdings 2" w:hAnsi="Wingdings 2"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23E96BF8"/>
    <w:multiLevelType w:val="multilevel"/>
    <w:tmpl w:val="4A4A7EFE"/>
    <w:numStyleLink w:val="ListNumberedHeadings"/>
  </w:abstractNum>
  <w:abstractNum w:abstractNumId="9" w15:restartNumberingAfterBreak="0">
    <w:nsid w:val="24741D40"/>
    <w:multiLevelType w:val="multilevel"/>
    <w:tmpl w:val="814A7C94"/>
    <w:styleLink w:val="ListNumber"/>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heme="minorHAnsi" w:hAnsiTheme="minorHAnsi" w:hint="default"/>
        <w:b w:val="0"/>
        <w:i w:val="0"/>
        <w:color w:val="auto"/>
        <w:sz w:val="20"/>
      </w:rPr>
    </w:lvl>
    <w:lvl w:ilvl="2">
      <w:start w:val="1"/>
      <w:numFmt w:val="lowerRoman"/>
      <w:lvlText w:val="%3."/>
      <w:lvlJc w:val="left"/>
      <w:pPr>
        <w:tabs>
          <w:tab w:val="num" w:pos="1701"/>
        </w:tabs>
        <w:ind w:left="1701" w:hanging="567"/>
      </w:pPr>
      <w:rPr>
        <w:rFonts w:asciiTheme="minorHAnsi" w:hAnsiTheme="minorHAnsi" w:hint="default"/>
        <w:b w:val="0"/>
        <w:i w:val="0"/>
        <w:color w:val="auto"/>
        <w:sz w:val="20"/>
      </w:rPr>
    </w:lvl>
    <w:lvl w:ilvl="3">
      <w:start w:val="1"/>
      <w:numFmt w:val="decimal"/>
      <w:lvlText w:val="%4."/>
      <w:lvlJc w:val="left"/>
      <w:pPr>
        <w:tabs>
          <w:tab w:val="num" w:pos="2268"/>
        </w:tabs>
        <w:ind w:left="2268" w:hanging="567"/>
      </w:pPr>
      <w:rPr>
        <w:rFonts w:asciiTheme="minorHAnsi" w:hAnsiTheme="minorHAnsi" w:hint="default"/>
        <w:b w:val="0"/>
        <w:i w:val="0"/>
        <w:color w:val="auto"/>
        <w:sz w:val="20"/>
      </w:rPr>
    </w:lvl>
    <w:lvl w:ilvl="4">
      <w:start w:val="1"/>
      <w:numFmt w:val="lowerLetter"/>
      <w:lvlText w:val="%5."/>
      <w:lvlJc w:val="left"/>
      <w:pPr>
        <w:tabs>
          <w:tab w:val="num" w:pos="2835"/>
        </w:tabs>
        <w:ind w:left="2835" w:hanging="567"/>
      </w:pPr>
      <w:rPr>
        <w:rFonts w:asciiTheme="minorHAnsi" w:hAnsiTheme="minorHAnsi" w:hint="default"/>
        <w:b w:val="0"/>
        <w:i w:val="0"/>
        <w:color w:val="auto"/>
        <w:sz w:val="20"/>
      </w:rPr>
    </w:lvl>
    <w:lvl w:ilvl="5">
      <w:start w:val="1"/>
      <w:numFmt w:val="lowerRoman"/>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0" w15:restartNumberingAfterBreak="0">
    <w:nsid w:val="26026413"/>
    <w:multiLevelType w:val="multilevel"/>
    <w:tmpl w:val="0BB4736C"/>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hint="default"/>
      </w:rPr>
    </w:lvl>
    <w:lvl w:ilvl="2">
      <w:start w:val="1"/>
      <w:numFmt w:val="bullet"/>
      <w:pStyle w:val="ListBullet3"/>
      <w:lvlText w:val="o"/>
      <w:lvlJc w:val="left"/>
      <w:pPr>
        <w:ind w:left="852" w:hanging="284"/>
      </w:pPr>
      <w:rPr>
        <w:rFonts w:ascii="Courier New" w:hAnsi="Courier New" w:hint="default"/>
      </w:rPr>
    </w:lvl>
    <w:lvl w:ilvl="3">
      <w:start w:val="1"/>
      <w:numFmt w:val="bullet"/>
      <w:pStyle w:val="ListBullet4"/>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6373BDE"/>
    <w:multiLevelType w:val="hybridMultilevel"/>
    <w:tmpl w:val="E2D0D90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3E4EB6"/>
    <w:multiLevelType w:val="hybridMultilevel"/>
    <w:tmpl w:val="A6A0EFEC"/>
    <w:lvl w:ilvl="0" w:tplc="0C090005">
      <w:start w:val="1"/>
      <w:numFmt w:val="bullet"/>
      <w:lvlText w:val=""/>
      <w:lvlJc w:val="left"/>
      <w:pPr>
        <w:ind w:left="813" w:hanging="360"/>
      </w:pPr>
      <w:rPr>
        <w:rFonts w:ascii="Wingdings" w:hAnsi="Wingdings" w:hint="default"/>
      </w:rPr>
    </w:lvl>
    <w:lvl w:ilvl="1" w:tplc="0C090003">
      <w:start w:val="1"/>
      <w:numFmt w:val="bullet"/>
      <w:lvlText w:val="o"/>
      <w:lvlJc w:val="left"/>
      <w:pPr>
        <w:ind w:left="1533" w:hanging="360"/>
      </w:pPr>
      <w:rPr>
        <w:rFonts w:ascii="Courier New" w:hAnsi="Courier New" w:cs="Courier New" w:hint="default"/>
      </w:rPr>
    </w:lvl>
    <w:lvl w:ilvl="2" w:tplc="0C090005">
      <w:start w:val="1"/>
      <w:numFmt w:val="bullet"/>
      <w:lvlText w:val=""/>
      <w:lvlJc w:val="left"/>
      <w:pPr>
        <w:ind w:left="2253" w:hanging="360"/>
      </w:pPr>
      <w:rPr>
        <w:rFonts w:ascii="Wingdings" w:hAnsi="Wingdings" w:hint="default"/>
      </w:rPr>
    </w:lvl>
    <w:lvl w:ilvl="3" w:tplc="0C090001">
      <w:start w:val="1"/>
      <w:numFmt w:val="bullet"/>
      <w:lvlText w:val=""/>
      <w:lvlJc w:val="left"/>
      <w:pPr>
        <w:ind w:left="2973" w:hanging="360"/>
      </w:pPr>
      <w:rPr>
        <w:rFonts w:ascii="Symbol" w:hAnsi="Symbol" w:hint="default"/>
      </w:rPr>
    </w:lvl>
    <w:lvl w:ilvl="4" w:tplc="0C090003">
      <w:start w:val="1"/>
      <w:numFmt w:val="bullet"/>
      <w:lvlText w:val="o"/>
      <w:lvlJc w:val="left"/>
      <w:pPr>
        <w:ind w:left="3693" w:hanging="360"/>
      </w:pPr>
      <w:rPr>
        <w:rFonts w:ascii="Courier New" w:hAnsi="Courier New" w:cs="Courier New" w:hint="default"/>
      </w:rPr>
    </w:lvl>
    <w:lvl w:ilvl="5" w:tplc="0C090005">
      <w:start w:val="1"/>
      <w:numFmt w:val="bullet"/>
      <w:lvlText w:val=""/>
      <w:lvlJc w:val="left"/>
      <w:pPr>
        <w:ind w:left="4413" w:hanging="360"/>
      </w:pPr>
      <w:rPr>
        <w:rFonts w:ascii="Wingdings" w:hAnsi="Wingdings" w:hint="default"/>
      </w:rPr>
    </w:lvl>
    <w:lvl w:ilvl="6" w:tplc="0C090001">
      <w:start w:val="1"/>
      <w:numFmt w:val="bullet"/>
      <w:lvlText w:val=""/>
      <w:lvlJc w:val="left"/>
      <w:pPr>
        <w:ind w:left="5133" w:hanging="360"/>
      </w:pPr>
      <w:rPr>
        <w:rFonts w:ascii="Symbol" w:hAnsi="Symbol" w:hint="default"/>
      </w:rPr>
    </w:lvl>
    <w:lvl w:ilvl="7" w:tplc="0C090003">
      <w:start w:val="1"/>
      <w:numFmt w:val="bullet"/>
      <w:lvlText w:val="o"/>
      <w:lvlJc w:val="left"/>
      <w:pPr>
        <w:ind w:left="5853" w:hanging="360"/>
      </w:pPr>
      <w:rPr>
        <w:rFonts w:ascii="Courier New" w:hAnsi="Courier New" w:cs="Courier New" w:hint="default"/>
      </w:rPr>
    </w:lvl>
    <w:lvl w:ilvl="8" w:tplc="0C090005">
      <w:start w:val="1"/>
      <w:numFmt w:val="bullet"/>
      <w:lvlText w:val=""/>
      <w:lvlJc w:val="left"/>
      <w:pPr>
        <w:ind w:left="6573" w:hanging="360"/>
      </w:pPr>
      <w:rPr>
        <w:rFonts w:ascii="Wingdings" w:hAnsi="Wingdings" w:hint="default"/>
      </w:rPr>
    </w:lvl>
  </w:abstractNum>
  <w:abstractNum w:abstractNumId="13" w15:restartNumberingAfterBreak="0">
    <w:nsid w:val="31FF4854"/>
    <w:multiLevelType w:val="hybridMultilevel"/>
    <w:tmpl w:val="274CF5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53912ED"/>
    <w:multiLevelType w:val="multilevel"/>
    <w:tmpl w:val="7228EA06"/>
    <w:styleLink w:val="ListBullet0"/>
    <w:lvl w:ilvl="0">
      <w:start w:val="1"/>
      <w:numFmt w:val="bullet"/>
      <w:lvlText w:val=""/>
      <w:lvlJc w:val="left"/>
      <w:pPr>
        <w:tabs>
          <w:tab w:val="num" w:pos="284"/>
        </w:tabs>
        <w:ind w:left="284" w:hanging="284"/>
      </w:pPr>
      <w:rPr>
        <w:rFonts w:ascii="Symbol" w:hAnsi="Symbol" w:hint="default"/>
        <w:b w:val="0"/>
        <w:i w:val="0"/>
        <w:color w:val="auto"/>
        <w:sz w:val="20"/>
        <w:szCs w:val="20"/>
      </w:rPr>
    </w:lvl>
    <w:lvl w:ilvl="1">
      <w:start w:val="1"/>
      <w:numFmt w:val="bullet"/>
      <w:lvlText w:val="○"/>
      <w:lvlJc w:val="left"/>
      <w:pPr>
        <w:tabs>
          <w:tab w:val="num" w:pos="567"/>
        </w:tabs>
        <w:ind w:left="567" w:hanging="283"/>
      </w:pPr>
      <w:rPr>
        <w:rFonts w:ascii="Courier New" w:hAnsi="Courier New" w:hint="default"/>
        <w:caps w:val="0"/>
        <w:strike w:val="0"/>
        <w:dstrike w:val="0"/>
        <w:vanish w:val="0"/>
        <w:color w:val="auto"/>
        <w:sz w:val="20"/>
        <w:u w:val="none"/>
        <w:vertAlign w:val="baseline"/>
      </w:rPr>
    </w:lvl>
    <w:lvl w:ilvl="2">
      <w:start w:val="1"/>
      <w:numFmt w:val="bullet"/>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Courier New" w:hAnsi="Courier New"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bullet"/>
      <w:lvlText w:val="○"/>
      <w:lvlJc w:val="left"/>
      <w:pPr>
        <w:tabs>
          <w:tab w:val="num" w:pos="1701"/>
        </w:tabs>
        <w:ind w:left="1701" w:hanging="283"/>
      </w:pPr>
      <w:rPr>
        <w:rFonts w:ascii="Courier New" w:hAnsi="Courier New"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5" w15:restartNumberingAfterBreak="0">
    <w:nsid w:val="3CE02A95"/>
    <w:multiLevelType w:val="hybridMultilevel"/>
    <w:tmpl w:val="9B5A526A"/>
    <w:lvl w:ilvl="0" w:tplc="0C090001">
      <w:start w:val="1"/>
      <w:numFmt w:val="bullet"/>
      <w:lvlText w:val=""/>
      <w:lvlJc w:val="left"/>
      <w:pPr>
        <w:ind w:left="813" w:hanging="360"/>
      </w:pPr>
      <w:rPr>
        <w:rFonts w:ascii="Symbol" w:hAnsi="Symbol" w:hint="default"/>
      </w:rPr>
    </w:lvl>
    <w:lvl w:ilvl="1" w:tplc="0C090003">
      <w:start w:val="1"/>
      <w:numFmt w:val="bullet"/>
      <w:lvlText w:val="o"/>
      <w:lvlJc w:val="left"/>
      <w:pPr>
        <w:ind w:left="1533" w:hanging="360"/>
      </w:pPr>
      <w:rPr>
        <w:rFonts w:ascii="Courier New" w:hAnsi="Courier New" w:cs="Courier New" w:hint="default"/>
      </w:rPr>
    </w:lvl>
    <w:lvl w:ilvl="2" w:tplc="0C090005">
      <w:start w:val="1"/>
      <w:numFmt w:val="bullet"/>
      <w:lvlText w:val=""/>
      <w:lvlJc w:val="left"/>
      <w:pPr>
        <w:ind w:left="2253" w:hanging="360"/>
      </w:pPr>
      <w:rPr>
        <w:rFonts w:ascii="Wingdings" w:hAnsi="Wingdings" w:hint="default"/>
      </w:rPr>
    </w:lvl>
    <w:lvl w:ilvl="3" w:tplc="0C090001">
      <w:start w:val="1"/>
      <w:numFmt w:val="bullet"/>
      <w:lvlText w:val=""/>
      <w:lvlJc w:val="left"/>
      <w:pPr>
        <w:ind w:left="2973" w:hanging="360"/>
      </w:pPr>
      <w:rPr>
        <w:rFonts w:ascii="Symbol" w:hAnsi="Symbol" w:hint="default"/>
      </w:rPr>
    </w:lvl>
    <w:lvl w:ilvl="4" w:tplc="0C090003">
      <w:start w:val="1"/>
      <w:numFmt w:val="bullet"/>
      <w:lvlText w:val="o"/>
      <w:lvlJc w:val="left"/>
      <w:pPr>
        <w:ind w:left="3693" w:hanging="360"/>
      </w:pPr>
      <w:rPr>
        <w:rFonts w:ascii="Courier New" w:hAnsi="Courier New" w:cs="Courier New" w:hint="default"/>
      </w:rPr>
    </w:lvl>
    <w:lvl w:ilvl="5" w:tplc="0C090005">
      <w:start w:val="1"/>
      <w:numFmt w:val="bullet"/>
      <w:lvlText w:val=""/>
      <w:lvlJc w:val="left"/>
      <w:pPr>
        <w:ind w:left="4413" w:hanging="360"/>
      </w:pPr>
      <w:rPr>
        <w:rFonts w:ascii="Wingdings" w:hAnsi="Wingdings" w:hint="default"/>
      </w:rPr>
    </w:lvl>
    <w:lvl w:ilvl="6" w:tplc="0C090001">
      <w:start w:val="1"/>
      <w:numFmt w:val="bullet"/>
      <w:lvlText w:val=""/>
      <w:lvlJc w:val="left"/>
      <w:pPr>
        <w:ind w:left="5133" w:hanging="360"/>
      </w:pPr>
      <w:rPr>
        <w:rFonts w:ascii="Symbol" w:hAnsi="Symbol" w:hint="default"/>
      </w:rPr>
    </w:lvl>
    <w:lvl w:ilvl="7" w:tplc="0C090003">
      <w:start w:val="1"/>
      <w:numFmt w:val="bullet"/>
      <w:lvlText w:val="o"/>
      <w:lvlJc w:val="left"/>
      <w:pPr>
        <w:ind w:left="5853" w:hanging="360"/>
      </w:pPr>
      <w:rPr>
        <w:rFonts w:ascii="Courier New" w:hAnsi="Courier New" w:cs="Courier New" w:hint="default"/>
      </w:rPr>
    </w:lvl>
    <w:lvl w:ilvl="8" w:tplc="0C090005">
      <w:start w:val="1"/>
      <w:numFmt w:val="bullet"/>
      <w:lvlText w:val=""/>
      <w:lvlJc w:val="left"/>
      <w:pPr>
        <w:ind w:left="6573" w:hanging="360"/>
      </w:pPr>
      <w:rPr>
        <w:rFonts w:ascii="Wingdings" w:hAnsi="Wingdings" w:hint="default"/>
      </w:rPr>
    </w:lvl>
  </w:abstractNum>
  <w:abstractNum w:abstractNumId="16" w15:restartNumberingAfterBreak="0">
    <w:nsid w:val="3F1551A5"/>
    <w:multiLevelType w:val="hybridMultilevel"/>
    <w:tmpl w:val="F9C4947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0071FAE"/>
    <w:multiLevelType w:val="multilevel"/>
    <w:tmpl w:val="4A4A7EFE"/>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34EA2"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color w:val="007BC3" w:themeColor="accent2"/>
        <w:sz w:val="32"/>
      </w:rPr>
    </w:lvl>
    <w:lvl w:ilvl="2">
      <w:start w:val="1"/>
      <w:numFmt w:val="decimal"/>
      <w:pStyle w:val="AltHeading3"/>
      <w:lvlText w:val="%1.%2.%3"/>
      <w:lvlJc w:val="left"/>
      <w:pPr>
        <w:tabs>
          <w:tab w:val="num" w:pos="1134"/>
        </w:tabs>
        <w:ind w:left="1134" w:hanging="1134"/>
      </w:pPr>
      <w:rPr>
        <w:rFonts w:asciiTheme="majorHAnsi" w:hAnsiTheme="majorHAnsi" w:hint="default"/>
        <w:color w:val="007BC3" w:themeColor="accent2"/>
        <w:sz w:val="28"/>
      </w:rPr>
    </w:lvl>
    <w:lvl w:ilvl="3">
      <w:start w:val="1"/>
      <w:numFmt w:val="decimal"/>
      <w:pStyle w:val="AltHeading4"/>
      <w:lvlText w:val="%1.%2.%3.%4"/>
      <w:lvlJc w:val="left"/>
      <w:pPr>
        <w:tabs>
          <w:tab w:val="num" w:pos="1134"/>
        </w:tabs>
        <w:ind w:left="1134" w:hanging="1134"/>
      </w:pPr>
      <w:rPr>
        <w:rFonts w:asciiTheme="majorHAnsi" w:hAnsiTheme="majorHAnsi" w:hint="default"/>
        <w:color w:val="007BC3"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007BC3" w:themeColor="accen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8" w15:restartNumberingAfterBreak="0">
    <w:nsid w:val="43A7331F"/>
    <w:multiLevelType w:val="multilevel"/>
    <w:tmpl w:val="B9602BCA"/>
    <w:lvl w:ilvl="0">
      <w:start w:val="1"/>
      <w:numFmt w:val="upperLetter"/>
      <w:pStyle w:val="ListAlpha0"/>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tabs>
          <w:tab w:val="num" w:pos="1136"/>
        </w:tabs>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9" w15:restartNumberingAfterBreak="0">
    <w:nsid w:val="4814788C"/>
    <w:multiLevelType w:val="multilevel"/>
    <w:tmpl w:val="9CE6C29E"/>
    <w:lvl w:ilvl="0">
      <w:start w:val="1"/>
      <w:numFmt w:val="decimal"/>
      <w:pStyle w:val="ListNumber0"/>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4ABD025C"/>
    <w:multiLevelType w:val="hybridMultilevel"/>
    <w:tmpl w:val="89C60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AF06E1"/>
    <w:multiLevelType w:val="hybridMultilevel"/>
    <w:tmpl w:val="2098B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3C4405B"/>
    <w:multiLevelType w:val="hybridMultilevel"/>
    <w:tmpl w:val="6C5A55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2"/>
      <w:lvlText w:val="%2."/>
      <w:lvlJc w:val="left"/>
      <w:pPr>
        <w:ind w:left="568" w:hanging="284"/>
      </w:pPr>
      <w:rPr>
        <w:rFonts w:hint="default"/>
      </w:rPr>
    </w:lvl>
    <w:lvl w:ilvl="2">
      <w:start w:val="1"/>
      <w:numFmt w:val="lowerLetter"/>
      <w:pStyle w:val="ListAlpha3"/>
      <w:lvlText w:val="%3."/>
      <w:lvlJc w:val="left"/>
      <w:pPr>
        <w:ind w:left="852" w:hanging="284"/>
      </w:pPr>
      <w:rPr>
        <w:rFonts w:hint="default"/>
      </w:rPr>
    </w:lvl>
    <w:lvl w:ilvl="3">
      <w:start w:val="1"/>
      <w:numFmt w:val="decimal"/>
      <w:pStyle w:val="ListAlpha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5F840906"/>
    <w:multiLevelType w:val="hybridMultilevel"/>
    <w:tmpl w:val="A0C2E10C"/>
    <w:lvl w:ilvl="0" w:tplc="79960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678470CE"/>
    <w:multiLevelType w:val="hybridMultilevel"/>
    <w:tmpl w:val="C8ECBF0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A242B01"/>
    <w:multiLevelType w:val="hybridMultilevel"/>
    <w:tmpl w:val="1BB8DB5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DBA3F82"/>
    <w:multiLevelType w:val="multilevel"/>
    <w:tmpl w:val="74B02582"/>
    <w:lvl w:ilvl="0">
      <w:start w:val="1"/>
      <w:numFmt w:val="decimal"/>
      <w:pStyle w:val="Heading1numbered"/>
      <w:lvlText w:val="%1."/>
      <w:lvlJc w:val="left"/>
      <w:pPr>
        <w:tabs>
          <w:tab w:val="num" w:pos="1134"/>
        </w:tabs>
        <w:ind w:left="1134" w:hanging="1134"/>
      </w:pPr>
      <w:rPr>
        <w:rFonts w:hint="default"/>
      </w:rPr>
    </w:lvl>
    <w:lvl w:ilvl="1">
      <w:start w:val="1"/>
      <w:numFmt w:val="decimal"/>
      <w:pStyle w:val="Heading2numbered"/>
      <w:lvlText w:val="%1.%2."/>
      <w:lvlJc w:val="left"/>
      <w:pPr>
        <w:tabs>
          <w:tab w:val="num" w:pos="1134"/>
        </w:tabs>
        <w:ind w:left="1134" w:hanging="1134"/>
      </w:pPr>
      <w:rPr>
        <w:rFonts w:hint="default"/>
      </w:rPr>
    </w:lvl>
    <w:lvl w:ilvl="2">
      <w:start w:val="1"/>
      <w:numFmt w:val="decimal"/>
      <w:pStyle w:val="Heading3numbered"/>
      <w:lvlText w:val="%1.%2.%3."/>
      <w:lvlJc w:val="left"/>
      <w:pPr>
        <w:tabs>
          <w:tab w:val="num" w:pos="1134"/>
        </w:tabs>
        <w:ind w:left="1134" w:hanging="1134"/>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pStyle w:val="Heading5numbered"/>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9" w15:restartNumberingAfterBreak="0">
    <w:nsid w:val="7139706E"/>
    <w:multiLevelType w:val="multilevel"/>
    <w:tmpl w:val="0EC886EA"/>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8" w:firstLine="0"/>
      </w:pPr>
      <w:rPr>
        <w:rFonts w:asciiTheme="minorHAnsi" w:hAnsiTheme="minorHAnsi" w:hint="default"/>
        <w:color w:val="auto"/>
      </w:rPr>
    </w:lvl>
    <w:lvl w:ilvl="2">
      <w:start w:val="1"/>
      <w:numFmt w:val="none"/>
      <w:pStyle w:val="ListParagraph3"/>
      <w:suff w:val="nothing"/>
      <w:lvlText w:val=""/>
      <w:lvlJc w:val="left"/>
      <w:pPr>
        <w:ind w:left="852" w:firstLine="0"/>
      </w:pPr>
      <w:rPr>
        <w:rFonts w:asciiTheme="minorHAnsi" w:hAnsiTheme="minorHAnsi" w:hint="default"/>
        <w:color w:val="auto"/>
      </w:rPr>
    </w:lvl>
    <w:lvl w:ilvl="3">
      <w:start w:val="1"/>
      <w:numFmt w:val="none"/>
      <w:pStyle w:val="ListParagraph4"/>
      <w:suff w:val="nothing"/>
      <w:lvlText w:val=""/>
      <w:lvlJc w:val="left"/>
      <w:pPr>
        <w:ind w:left="1136" w:firstLine="0"/>
      </w:pPr>
      <w:rPr>
        <w:rFonts w:asciiTheme="minorHAnsi" w:hAnsiTheme="minorHAnsi" w:hint="default"/>
        <w:color w:val="auto"/>
      </w:rPr>
    </w:lvl>
    <w:lvl w:ilvl="4">
      <w:start w:val="1"/>
      <w:numFmt w:val="none"/>
      <w:pStyle w:val="ListParagraph5"/>
      <w:suff w:val="nothing"/>
      <w:lvlText w:val=""/>
      <w:lvlJc w:val="left"/>
      <w:pPr>
        <w:ind w:left="1420" w:firstLine="0"/>
      </w:pPr>
      <w:rPr>
        <w:rFonts w:asciiTheme="minorHAnsi" w:hAnsiTheme="minorHAnsi" w:hint="default"/>
        <w:color w:val="auto"/>
      </w:rPr>
    </w:lvl>
    <w:lvl w:ilvl="5">
      <w:start w:val="1"/>
      <w:numFmt w:val="none"/>
      <w:pStyle w:val="ListParagraph6"/>
      <w:suff w:val="nothing"/>
      <w:lvlText w:val=""/>
      <w:lvlJc w:val="left"/>
      <w:pPr>
        <w:ind w:left="1704" w:firstLine="0"/>
      </w:pPr>
      <w:rPr>
        <w:rFonts w:asciiTheme="minorHAnsi" w:hAnsiTheme="minorHAnsi" w:hint="default"/>
        <w:color w:val="auto"/>
      </w:rPr>
    </w:lvl>
    <w:lvl w:ilvl="6">
      <w:start w:val="1"/>
      <w:numFmt w:val="none"/>
      <w:suff w:val="nothing"/>
      <w:lvlText w:val=""/>
      <w:lvlJc w:val="left"/>
      <w:pPr>
        <w:ind w:left="1988" w:firstLine="0"/>
      </w:pPr>
      <w:rPr>
        <w:rFonts w:hint="default"/>
        <w:color w:val="000000"/>
      </w:rPr>
    </w:lvl>
    <w:lvl w:ilvl="7">
      <w:start w:val="1"/>
      <w:numFmt w:val="none"/>
      <w:suff w:val="nothing"/>
      <w:lvlText w:val=""/>
      <w:lvlJc w:val="left"/>
      <w:pPr>
        <w:ind w:left="2272" w:firstLine="0"/>
      </w:pPr>
      <w:rPr>
        <w:rFonts w:hint="default"/>
      </w:rPr>
    </w:lvl>
    <w:lvl w:ilvl="8">
      <w:numFmt w:val="none"/>
      <w:lvlText w:val=""/>
      <w:lvlJc w:val="left"/>
      <w:pPr>
        <w:tabs>
          <w:tab w:val="num" w:pos="3407"/>
        </w:tabs>
        <w:ind w:left="2556" w:firstLine="0"/>
      </w:pPr>
      <w:rPr>
        <w:rFonts w:hint="default"/>
      </w:rPr>
    </w:lvl>
  </w:abstractNum>
  <w:abstractNum w:abstractNumId="30" w15:restartNumberingAfterBreak="0">
    <w:nsid w:val="72271B2E"/>
    <w:multiLevelType w:val="hybridMultilevel"/>
    <w:tmpl w:val="D9621CCE"/>
    <w:lvl w:ilvl="0" w:tplc="0C090001">
      <w:start w:val="1"/>
      <w:numFmt w:val="bullet"/>
      <w:lvlText w:val=""/>
      <w:lvlJc w:val="left"/>
      <w:pPr>
        <w:ind w:left="748" w:hanging="360"/>
      </w:pPr>
      <w:rPr>
        <w:rFonts w:ascii="Symbol" w:hAnsi="Symbol" w:hint="default"/>
      </w:rPr>
    </w:lvl>
    <w:lvl w:ilvl="1" w:tplc="0C090003">
      <w:start w:val="1"/>
      <w:numFmt w:val="bullet"/>
      <w:lvlText w:val="o"/>
      <w:lvlJc w:val="left"/>
      <w:pPr>
        <w:ind w:left="1468" w:hanging="360"/>
      </w:pPr>
      <w:rPr>
        <w:rFonts w:ascii="Courier New" w:hAnsi="Courier New" w:cs="Courier New" w:hint="default"/>
      </w:rPr>
    </w:lvl>
    <w:lvl w:ilvl="2" w:tplc="0C090005">
      <w:start w:val="1"/>
      <w:numFmt w:val="bullet"/>
      <w:lvlText w:val=""/>
      <w:lvlJc w:val="left"/>
      <w:pPr>
        <w:ind w:left="2188" w:hanging="360"/>
      </w:pPr>
      <w:rPr>
        <w:rFonts w:ascii="Wingdings" w:hAnsi="Wingdings" w:hint="default"/>
      </w:rPr>
    </w:lvl>
    <w:lvl w:ilvl="3" w:tplc="0C090001">
      <w:start w:val="1"/>
      <w:numFmt w:val="bullet"/>
      <w:lvlText w:val=""/>
      <w:lvlJc w:val="left"/>
      <w:pPr>
        <w:ind w:left="2908" w:hanging="360"/>
      </w:pPr>
      <w:rPr>
        <w:rFonts w:ascii="Symbol" w:hAnsi="Symbol" w:hint="default"/>
      </w:rPr>
    </w:lvl>
    <w:lvl w:ilvl="4" w:tplc="0C090003">
      <w:start w:val="1"/>
      <w:numFmt w:val="bullet"/>
      <w:lvlText w:val="o"/>
      <w:lvlJc w:val="left"/>
      <w:pPr>
        <w:ind w:left="3628" w:hanging="360"/>
      </w:pPr>
      <w:rPr>
        <w:rFonts w:ascii="Courier New" w:hAnsi="Courier New" w:cs="Courier New" w:hint="default"/>
      </w:rPr>
    </w:lvl>
    <w:lvl w:ilvl="5" w:tplc="0C090005">
      <w:start w:val="1"/>
      <w:numFmt w:val="bullet"/>
      <w:lvlText w:val=""/>
      <w:lvlJc w:val="left"/>
      <w:pPr>
        <w:ind w:left="4348" w:hanging="360"/>
      </w:pPr>
      <w:rPr>
        <w:rFonts w:ascii="Wingdings" w:hAnsi="Wingdings" w:hint="default"/>
      </w:rPr>
    </w:lvl>
    <w:lvl w:ilvl="6" w:tplc="0C090001">
      <w:start w:val="1"/>
      <w:numFmt w:val="bullet"/>
      <w:lvlText w:val=""/>
      <w:lvlJc w:val="left"/>
      <w:pPr>
        <w:ind w:left="5068" w:hanging="360"/>
      </w:pPr>
      <w:rPr>
        <w:rFonts w:ascii="Symbol" w:hAnsi="Symbol" w:hint="default"/>
      </w:rPr>
    </w:lvl>
    <w:lvl w:ilvl="7" w:tplc="0C090003">
      <w:start w:val="1"/>
      <w:numFmt w:val="bullet"/>
      <w:lvlText w:val="o"/>
      <w:lvlJc w:val="left"/>
      <w:pPr>
        <w:ind w:left="5788" w:hanging="360"/>
      </w:pPr>
      <w:rPr>
        <w:rFonts w:ascii="Courier New" w:hAnsi="Courier New" w:cs="Courier New" w:hint="default"/>
      </w:rPr>
    </w:lvl>
    <w:lvl w:ilvl="8" w:tplc="0C090005">
      <w:start w:val="1"/>
      <w:numFmt w:val="bullet"/>
      <w:lvlText w:val=""/>
      <w:lvlJc w:val="left"/>
      <w:pPr>
        <w:ind w:left="6508" w:hanging="360"/>
      </w:pPr>
      <w:rPr>
        <w:rFonts w:ascii="Wingdings" w:hAnsi="Wingdings" w:hint="default"/>
      </w:rPr>
    </w:lvl>
  </w:abstractNum>
  <w:abstractNum w:abstractNumId="31" w15:restartNumberingAfterBreak="0">
    <w:nsid w:val="73AA2171"/>
    <w:multiLevelType w:val="hybridMultilevel"/>
    <w:tmpl w:val="427A9C7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3"/>
  </w:num>
  <w:num w:numId="2">
    <w:abstractNumId w:val="32"/>
  </w:num>
  <w:num w:numId="3">
    <w:abstractNumId w:val="14"/>
  </w:num>
  <w:num w:numId="4">
    <w:abstractNumId w:val="9"/>
  </w:num>
  <w:num w:numId="5">
    <w:abstractNumId w:val="17"/>
  </w:num>
  <w:num w:numId="6">
    <w:abstractNumId w:val="1"/>
  </w:num>
  <w:num w:numId="7">
    <w:abstractNumId w:val="6"/>
  </w:num>
  <w:num w:numId="8">
    <w:abstractNumId w:val="25"/>
  </w:num>
  <w:num w:numId="9">
    <w:abstractNumId w:val="29"/>
  </w:num>
  <w:num w:numId="10">
    <w:abstractNumId w:val="7"/>
  </w:num>
  <w:num w:numId="11">
    <w:abstractNumId w:val="8"/>
  </w:num>
  <w:num w:numId="12">
    <w:abstractNumId w:val="2"/>
  </w:num>
  <w:num w:numId="13">
    <w:abstractNumId w:val="28"/>
  </w:num>
  <w:num w:numId="14">
    <w:abstractNumId w:val="23"/>
  </w:num>
  <w:num w:numId="15">
    <w:abstractNumId w:val="10"/>
  </w:num>
  <w:num w:numId="16">
    <w:abstractNumId w:val="19"/>
  </w:num>
  <w:num w:numId="17">
    <w:abstractNumId w:val="0"/>
  </w:num>
  <w:num w:numId="18">
    <w:abstractNumId w:val="18"/>
  </w:num>
  <w:num w:numId="19">
    <w:abstractNumId w:val="4"/>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20">
    <w:abstractNumId w:val="31"/>
  </w:num>
  <w:num w:numId="21">
    <w:abstractNumId w:val="20"/>
  </w:num>
  <w:num w:numId="22">
    <w:abstractNumId w:val="11"/>
  </w:num>
  <w:num w:numId="23">
    <w:abstractNumId w:val="24"/>
  </w:num>
  <w:num w:numId="24">
    <w:abstractNumId w:val="22"/>
  </w:num>
  <w:num w:numId="25">
    <w:abstractNumId w:val="26"/>
  </w:num>
  <w:num w:numId="26">
    <w:abstractNumId w:val="13"/>
  </w:num>
  <w:num w:numId="27">
    <w:abstractNumId w:val="21"/>
  </w:num>
  <w:num w:numId="28">
    <w:abstractNumId w:val="15"/>
  </w:num>
  <w:num w:numId="29">
    <w:abstractNumId w:val="30"/>
  </w:num>
  <w:num w:numId="30">
    <w:abstractNumId w:val="16"/>
  </w:num>
  <w:num w:numId="31">
    <w:abstractNumId w:val="27"/>
  </w:num>
  <w:num w:numId="32">
    <w:abstractNumId w:val="12"/>
  </w:num>
  <w:num w:numId="3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FC"/>
    <w:rsid w:val="00001FCE"/>
    <w:rsid w:val="00006100"/>
    <w:rsid w:val="00012E82"/>
    <w:rsid w:val="000304CE"/>
    <w:rsid w:val="00035103"/>
    <w:rsid w:val="000427B8"/>
    <w:rsid w:val="00054827"/>
    <w:rsid w:val="0006554A"/>
    <w:rsid w:val="00066325"/>
    <w:rsid w:val="00071C7D"/>
    <w:rsid w:val="00076F97"/>
    <w:rsid w:val="000870BB"/>
    <w:rsid w:val="00087D93"/>
    <w:rsid w:val="00094C0B"/>
    <w:rsid w:val="000B3EBE"/>
    <w:rsid w:val="000B6FA1"/>
    <w:rsid w:val="000C0C22"/>
    <w:rsid w:val="000C1D1E"/>
    <w:rsid w:val="000C1E83"/>
    <w:rsid w:val="000C3DB1"/>
    <w:rsid w:val="000D3972"/>
    <w:rsid w:val="000E196E"/>
    <w:rsid w:val="000F0024"/>
    <w:rsid w:val="000F4A35"/>
    <w:rsid w:val="000F7E70"/>
    <w:rsid w:val="001063C6"/>
    <w:rsid w:val="00117D6E"/>
    <w:rsid w:val="001215F4"/>
    <w:rsid w:val="00123B5A"/>
    <w:rsid w:val="0013218E"/>
    <w:rsid w:val="00137FA3"/>
    <w:rsid w:val="00143B7F"/>
    <w:rsid w:val="00145CCD"/>
    <w:rsid w:val="001505D8"/>
    <w:rsid w:val="00152BCD"/>
    <w:rsid w:val="00154790"/>
    <w:rsid w:val="00156423"/>
    <w:rsid w:val="00156C62"/>
    <w:rsid w:val="0015702D"/>
    <w:rsid w:val="001600E5"/>
    <w:rsid w:val="00173CE0"/>
    <w:rsid w:val="00175A25"/>
    <w:rsid w:val="001829A7"/>
    <w:rsid w:val="00185154"/>
    <w:rsid w:val="0019114D"/>
    <w:rsid w:val="00192FE6"/>
    <w:rsid w:val="00197A45"/>
    <w:rsid w:val="001C2D8B"/>
    <w:rsid w:val="001E2C91"/>
    <w:rsid w:val="001E2EFC"/>
    <w:rsid w:val="001F06B5"/>
    <w:rsid w:val="001F16CA"/>
    <w:rsid w:val="00206A20"/>
    <w:rsid w:val="002078C1"/>
    <w:rsid w:val="002106C4"/>
    <w:rsid w:val="00210DEF"/>
    <w:rsid w:val="00216A2D"/>
    <w:rsid w:val="00216BC2"/>
    <w:rsid w:val="00222215"/>
    <w:rsid w:val="0024497C"/>
    <w:rsid w:val="00247BEF"/>
    <w:rsid w:val="0025119D"/>
    <w:rsid w:val="00252201"/>
    <w:rsid w:val="00254DD8"/>
    <w:rsid w:val="002668B7"/>
    <w:rsid w:val="002747A5"/>
    <w:rsid w:val="002903A9"/>
    <w:rsid w:val="002A3C3C"/>
    <w:rsid w:val="002B4003"/>
    <w:rsid w:val="002C5B1C"/>
    <w:rsid w:val="002D0093"/>
    <w:rsid w:val="002D4254"/>
    <w:rsid w:val="002D4927"/>
    <w:rsid w:val="002D4E6E"/>
    <w:rsid w:val="002E6375"/>
    <w:rsid w:val="002F0585"/>
    <w:rsid w:val="002F1863"/>
    <w:rsid w:val="002F4862"/>
    <w:rsid w:val="002F65FC"/>
    <w:rsid w:val="00301893"/>
    <w:rsid w:val="00306F91"/>
    <w:rsid w:val="00324725"/>
    <w:rsid w:val="003411DD"/>
    <w:rsid w:val="00354869"/>
    <w:rsid w:val="00355636"/>
    <w:rsid w:val="0036747B"/>
    <w:rsid w:val="0037398C"/>
    <w:rsid w:val="0037618F"/>
    <w:rsid w:val="003853C1"/>
    <w:rsid w:val="003A04C1"/>
    <w:rsid w:val="003A08A5"/>
    <w:rsid w:val="003A1ACB"/>
    <w:rsid w:val="003A5933"/>
    <w:rsid w:val="003B0945"/>
    <w:rsid w:val="003B097F"/>
    <w:rsid w:val="003B182E"/>
    <w:rsid w:val="003B4DCF"/>
    <w:rsid w:val="003C53D0"/>
    <w:rsid w:val="003D3B71"/>
    <w:rsid w:val="003D56AF"/>
    <w:rsid w:val="003E1EF3"/>
    <w:rsid w:val="003E5319"/>
    <w:rsid w:val="003E5554"/>
    <w:rsid w:val="003F3A1C"/>
    <w:rsid w:val="004041DA"/>
    <w:rsid w:val="00404473"/>
    <w:rsid w:val="00404615"/>
    <w:rsid w:val="00407776"/>
    <w:rsid w:val="00421159"/>
    <w:rsid w:val="0042661D"/>
    <w:rsid w:val="00427353"/>
    <w:rsid w:val="0043490F"/>
    <w:rsid w:val="0043564D"/>
    <w:rsid w:val="0043628A"/>
    <w:rsid w:val="00440901"/>
    <w:rsid w:val="00444AE6"/>
    <w:rsid w:val="004478FD"/>
    <w:rsid w:val="00447E0A"/>
    <w:rsid w:val="0045107E"/>
    <w:rsid w:val="00462A18"/>
    <w:rsid w:val="004700B3"/>
    <w:rsid w:val="00472ECC"/>
    <w:rsid w:val="00491C59"/>
    <w:rsid w:val="004A2402"/>
    <w:rsid w:val="004A347D"/>
    <w:rsid w:val="004B7DAE"/>
    <w:rsid w:val="004C0889"/>
    <w:rsid w:val="004D7B7F"/>
    <w:rsid w:val="004E79A4"/>
    <w:rsid w:val="004F1A6C"/>
    <w:rsid w:val="004F2A3C"/>
    <w:rsid w:val="004F3D6F"/>
    <w:rsid w:val="004F7EDF"/>
    <w:rsid w:val="0051056D"/>
    <w:rsid w:val="00515902"/>
    <w:rsid w:val="00522D54"/>
    <w:rsid w:val="00526448"/>
    <w:rsid w:val="005331C9"/>
    <w:rsid w:val="005404D0"/>
    <w:rsid w:val="00543796"/>
    <w:rsid w:val="0055219D"/>
    <w:rsid w:val="0055353F"/>
    <w:rsid w:val="00553A95"/>
    <w:rsid w:val="005563CA"/>
    <w:rsid w:val="0056633F"/>
    <w:rsid w:val="0056780F"/>
    <w:rsid w:val="005713E5"/>
    <w:rsid w:val="00572FF2"/>
    <w:rsid w:val="005850B9"/>
    <w:rsid w:val="005A435A"/>
    <w:rsid w:val="005A513C"/>
    <w:rsid w:val="005B00A1"/>
    <w:rsid w:val="005B0C40"/>
    <w:rsid w:val="005C394A"/>
    <w:rsid w:val="005D620B"/>
    <w:rsid w:val="005E259B"/>
    <w:rsid w:val="005E3376"/>
    <w:rsid w:val="005F24D9"/>
    <w:rsid w:val="005F2973"/>
    <w:rsid w:val="006025ED"/>
    <w:rsid w:val="00606CF6"/>
    <w:rsid w:val="0061089F"/>
    <w:rsid w:val="00616C8C"/>
    <w:rsid w:val="00620224"/>
    <w:rsid w:val="00621BF6"/>
    <w:rsid w:val="006242A5"/>
    <w:rsid w:val="00624D1B"/>
    <w:rsid w:val="00633235"/>
    <w:rsid w:val="0065325A"/>
    <w:rsid w:val="00662FA6"/>
    <w:rsid w:val="00674316"/>
    <w:rsid w:val="00675FEF"/>
    <w:rsid w:val="006833BC"/>
    <w:rsid w:val="00684E74"/>
    <w:rsid w:val="00697146"/>
    <w:rsid w:val="006A1794"/>
    <w:rsid w:val="006A1801"/>
    <w:rsid w:val="006B45C9"/>
    <w:rsid w:val="006C04A4"/>
    <w:rsid w:val="006D048D"/>
    <w:rsid w:val="006D22C5"/>
    <w:rsid w:val="006D6701"/>
    <w:rsid w:val="006E0769"/>
    <w:rsid w:val="006E1A0F"/>
    <w:rsid w:val="006E2C07"/>
    <w:rsid w:val="006E347F"/>
    <w:rsid w:val="006F0055"/>
    <w:rsid w:val="006F49EE"/>
    <w:rsid w:val="00702309"/>
    <w:rsid w:val="00702F5F"/>
    <w:rsid w:val="00725809"/>
    <w:rsid w:val="007270EB"/>
    <w:rsid w:val="00734EA7"/>
    <w:rsid w:val="007456D0"/>
    <w:rsid w:val="0074597C"/>
    <w:rsid w:val="00756EE7"/>
    <w:rsid w:val="007640A4"/>
    <w:rsid w:val="00765BC3"/>
    <w:rsid w:val="00770BF1"/>
    <w:rsid w:val="00774E81"/>
    <w:rsid w:val="00782617"/>
    <w:rsid w:val="00786081"/>
    <w:rsid w:val="007905C5"/>
    <w:rsid w:val="00797A04"/>
    <w:rsid w:val="007A5346"/>
    <w:rsid w:val="007B7274"/>
    <w:rsid w:val="007C32F6"/>
    <w:rsid w:val="007C4968"/>
    <w:rsid w:val="007D517D"/>
    <w:rsid w:val="007D6A18"/>
    <w:rsid w:val="007E38AA"/>
    <w:rsid w:val="007F220F"/>
    <w:rsid w:val="008116A8"/>
    <w:rsid w:val="00817D6F"/>
    <w:rsid w:val="00820395"/>
    <w:rsid w:val="00822503"/>
    <w:rsid w:val="00842EA4"/>
    <w:rsid w:val="00845732"/>
    <w:rsid w:val="008572D9"/>
    <w:rsid w:val="00861E13"/>
    <w:rsid w:val="00864765"/>
    <w:rsid w:val="008715D5"/>
    <w:rsid w:val="00883FB9"/>
    <w:rsid w:val="008842EB"/>
    <w:rsid w:val="008921D5"/>
    <w:rsid w:val="00892496"/>
    <w:rsid w:val="00897086"/>
    <w:rsid w:val="008A45CA"/>
    <w:rsid w:val="008A5ED9"/>
    <w:rsid w:val="008A6F22"/>
    <w:rsid w:val="008B5D8F"/>
    <w:rsid w:val="008C253E"/>
    <w:rsid w:val="008C4554"/>
    <w:rsid w:val="008D36D0"/>
    <w:rsid w:val="008D5926"/>
    <w:rsid w:val="008D786F"/>
    <w:rsid w:val="008E1DD2"/>
    <w:rsid w:val="008E2BFA"/>
    <w:rsid w:val="008F07F8"/>
    <w:rsid w:val="008F2DE2"/>
    <w:rsid w:val="008F4E0B"/>
    <w:rsid w:val="008F7847"/>
    <w:rsid w:val="009022AC"/>
    <w:rsid w:val="009031B1"/>
    <w:rsid w:val="00907866"/>
    <w:rsid w:val="00912C23"/>
    <w:rsid w:val="00920602"/>
    <w:rsid w:val="009313C5"/>
    <w:rsid w:val="009453E1"/>
    <w:rsid w:val="009571D7"/>
    <w:rsid w:val="00961B07"/>
    <w:rsid w:val="009666A1"/>
    <w:rsid w:val="00966B30"/>
    <w:rsid w:val="00982A2C"/>
    <w:rsid w:val="009860F9"/>
    <w:rsid w:val="00997DD9"/>
    <w:rsid w:val="009A199C"/>
    <w:rsid w:val="009A4AE5"/>
    <w:rsid w:val="009A52E2"/>
    <w:rsid w:val="009D36D2"/>
    <w:rsid w:val="009D5583"/>
    <w:rsid w:val="009E3824"/>
    <w:rsid w:val="009F53BB"/>
    <w:rsid w:val="009F6CE7"/>
    <w:rsid w:val="00A0404F"/>
    <w:rsid w:val="00A07960"/>
    <w:rsid w:val="00A102EC"/>
    <w:rsid w:val="00A14B9C"/>
    <w:rsid w:val="00A15505"/>
    <w:rsid w:val="00A2191D"/>
    <w:rsid w:val="00A23301"/>
    <w:rsid w:val="00A3643D"/>
    <w:rsid w:val="00A41250"/>
    <w:rsid w:val="00A417C1"/>
    <w:rsid w:val="00A41C9F"/>
    <w:rsid w:val="00A41D4E"/>
    <w:rsid w:val="00A47837"/>
    <w:rsid w:val="00A52A8F"/>
    <w:rsid w:val="00A63EE8"/>
    <w:rsid w:val="00A640FF"/>
    <w:rsid w:val="00A818AF"/>
    <w:rsid w:val="00A82AF8"/>
    <w:rsid w:val="00A83B38"/>
    <w:rsid w:val="00A86F0F"/>
    <w:rsid w:val="00A94ADC"/>
    <w:rsid w:val="00A96330"/>
    <w:rsid w:val="00AA3899"/>
    <w:rsid w:val="00AA6010"/>
    <w:rsid w:val="00AB6CC5"/>
    <w:rsid w:val="00AD17BD"/>
    <w:rsid w:val="00AD6EC2"/>
    <w:rsid w:val="00AE4C26"/>
    <w:rsid w:val="00AF161F"/>
    <w:rsid w:val="00AF2204"/>
    <w:rsid w:val="00B012F3"/>
    <w:rsid w:val="00B04052"/>
    <w:rsid w:val="00B0406E"/>
    <w:rsid w:val="00B04C38"/>
    <w:rsid w:val="00B1089D"/>
    <w:rsid w:val="00B1273F"/>
    <w:rsid w:val="00B2268F"/>
    <w:rsid w:val="00B53493"/>
    <w:rsid w:val="00B558AB"/>
    <w:rsid w:val="00B55D18"/>
    <w:rsid w:val="00B55F5F"/>
    <w:rsid w:val="00B56CC8"/>
    <w:rsid w:val="00B61C86"/>
    <w:rsid w:val="00B65281"/>
    <w:rsid w:val="00B668FB"/>
    <w:rsid w:val="00B76B8E"/>
    <w:rsid w:val="00B8347A"/>
    <w:rsid w:val="00B847BD"/>
    <w:rsid w:val="00BA15C0"/>
    <w:rsid w:val="00BA45AE"/>
    <w:rsid w:val="00BA4F4A"/>
    <w:rsid w:val="00BA66AD"/>
    <w:rsid w:val="00BB49AA"/>
    <w:rsid w:val="00BC2DD3"/>
    <w:rsid w:val="00BC4C0D"/>
    <w:rsid w:val="00BC67B1"/>
    <w:rsid w:val="00BD7CF3"/>
    <w:rsid w:val="00BD7FF0"/>
    <w:rsid w:val="00BE16D4"/>
    <w:rsid w:val="00BF2C53"/>
    <w:rsid w:val="00C000C3"/>
    <w:rsid w:val="00C02E60"/>
    <w:rsid w:val="00C10095"/>
    <w:rsid w:val="00C1523C"/>
    <w:rsid w:val="00C16652"/>
    <w:rsid w:val="00C240FD"/>
    <w:rsid w:val="00C24374"/>
    <w:rsid w:val="00C302EF"/>
    <w:rsid w:val="00C61CD9"/>
    <w:rsid w:val="00C63B32"/>
    <w:rsid w:val="00C74C53"/>
    <w:rsid w:val="00C75C44"/>
    <w:rsid w:val="00C97431"/>
    <w:rsid w:val="00CA3D39"/>
    <w:rsid w:val="00CB30C9"/>
    <w:rsid w:val="00CB7816"/>
    <w:rsid w:val="00CF1A0B"/>
    <w:rsid w:val="00CF567D"/>
    <w:rsid w:val="00D07B77"/>
    <w:rsid w:val="00D13DA1"/>
    <w:rsid w:val="00D153DE"/>
    <w:rsid w:val="00D17027"/>
    <w:rsid w:val="00D22658"/>
    <w:rsid w:val="00D241D3"/>
    <w:rsid w:val="00D24EC3"/>
    <w:rsid w:val="00D253E1"/>
    <w:rsid w:val="00D25BF0"/>
    <w:rsid w:val="00D27FA8"/>
    <w:rsid w:val="00D35C25"/>
    <w:rsid w:val="00D365D3"/>
    <w:rsid w:val="00D41EC2"/>
    <w:rsid w:val="00D42F7B"/>
    <w:rsid w:val="00D539CD"/>
    <w:rsid w:val="00D55089"/>
    <w:rsid w:val="00D65684"/>
    <w:rsid w:val="00D6599E"/>
    <w:rsid w:val="00D75DF7"/>
    <w:rsid w:val="00D816BD"/>
    <w:rsid w:val="00D8174C"/>
    <w:rsid w:val="00D901C5"/>
    <w:rsid w:val="00D91F57"/>
    <w:rsid w:val="00D97F82"/>
    <w:rsid w:val="00DA76FA"/>
    <w:rsid w:val="00DB2B49"/>
    <w:rsid w:val="00DC1997"/>
    <w:rsid w:val="00DC28FE"/>
    <w:rsid w:val="00DC290C"/>
    <w:rsid w:val="00DC33B4"/>
    <w:rsid w:val="00DD4656"/>
    <w:rsid w:val="00DF01DF"/>
    <w:rsid w:val="00DF02F1"/>
    <w:rsid w:val="00DF04FC"/>
    <w:rsid w:val="00E01036"/>
    <w:rsid w:val="00E018FB"/>
    <w:rsid w:val="00E106E2"/>
    <w:rsid w:val="00E134ED"/>
    <w:rsid w:val="00E135C8"/>
    <w:rsid w:val="00E20B59"/>
    <w:rsid w:val="00E21DC0"/>
    <w:rsid w:val="00E26331"/>
    <w:rsid w:val="00E27CBE"/>
    <w:rsid w:val="00E34EC1"/>
    <w:rsid w:val="00E61E5F"/>
    <w:rsid w:val="00E64ED0"/>
    <w:rsid w:val="00E66A44"/>
    <w:rsid w:val="00E6763B"/>
    <w:rsid w:val="00E730FC"/>
    <w:rsid w:val="00E80AF6"/>
    <w:rsid w:val="00E80F6F"/>
    <w:rsid w:val="00EA5BAD"/>
    <w:rsid w:val="00EB58BD"/>
    <w:rsid w:val="00EC0FFC"/>
    <w:rsid w:val="00EC2D0D"/>
    <w:rsid w:val="00EC6768"/>
    <w:rsid w:val="00ED2E33"/>
    <w:rsid w:val="00ED3024"/>
    <w:rsid w:val="00ED4A1F"/>
    <w:rsid w:val="00ED71B6"/>
    <w:rsid w:val="00ED7E12"/>
    <w:rsid w:val="00EE25CD"/>
    <w:rsid w:val="00EE5474"/>
    <w:rsid w:val="00EF0E10"/>
    <w:rsid w:val="00EF2076"/>
    <w:rsid w:val="00EF2AFB"/>
    <w:rsid w:val="00F100EE"/>
    <w:rsid w:val="00F1671F"/>
    <w:rsid w:val="00F20DF1"/>
    <w:rsid w:val="00F24091"/>
    <w:rsid w:val="00F2547C"/>
    <w:rsid w:val="00F27D76"/>
    <w:rsid w:val="00F33D5C"/>
    <w:rsid w:val="00F3721E"/>
    <w:rsid w:val="00F431FB"/>
    <w:rsid w:val="00F44278"/>
    <w:rsid w:val="00F5004E"/>
    <w:rsid w:val="00F53ACB"/>
    <w:rsid w:val="00F56675"/>
    <w:rsid w:val="00F60E46"/>
    <w:rsid w:val="00F6184E"/>
    <w:rsid w:val="00F64FD2"/>
    <w:rsid w:val="00F7267D"/>
    <w:rsid w:val="00F8007E"/>
    <w:rsid w:val="00F81C8A"/>
    <w:rsid w:val="00F82C5B"/>
    <w:rsid w:val="00F84805"/>
    <w:rsid w:val="00FA2B02"/>
    <w:rsid w:val="00FB1115"/>
    <w:rsid w:val="00FB4AE4"/>
    <w:rsid w:val="00FB6151"/>
    <w:rsid w:val="00FB78C3"/>
    <w:rsid w:val="00FD0755"/>
    <w:rsid w:val="00FE7A02"/>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4676A6C3-2396-43EF-85DA-37155856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1" w:unhideWhenUsed="1" w:qFormat="1"/>
    <w:lsdException w:name="heading 3" w:semiHidden="1" w:uiPriority="0" w:unhideWhenUsed="1" w:qFormat="1"/>
    <w:lsdException w:name="heading 4" w:semiHidden="1" w:uiPriority="1" w:unhideWhenUsed="1" w:qFormat="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0" w:qFormat="1"/>
    <w:lsdException w:name="List Number" w:semiHidden="1" w:uiPriority="21"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20" w:unhideWhenUsed="1"/>
    <w:lsdException w:name="List Bullet 4" w:semiHidden="1" w:uiPriority="20" w:unhideWhenUsed="1"/>
    <w:lsdException w:name="List Bullet 5" w:semiHidden="1" w:uiPriority="19"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iPriority="19"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9"/>
    <w:rsid w:val="00197A45"/>
    <w:pPr>
      <w:spacing w:before="0" w:after="0"/>
    </w:pPr>
    <w:rPr>
      <w:sz w:val="20"/>
    </w:rPr>
  </w:style>
  <w:style w:type="paragraph" w:styleId="Heading1">
    <w:name w:val="heading 1"/>
    <w:basedOn w:val="Normal"/>
    <w:next w:val="BodyText"/>
    <w:link w:val="Heading1Char"/>
    <w:uiPriority w:val="1"/>
    <w:qFormat/>
    <w:rsid w:val="00997DD9"/>
    <w:pPr>
      <w:keepNext/>
      <w:keepLines/>
      <w:widowControl w:val="0"/>
      <w:spacing w:before="120" w:after="240" w:line="264" w:lineRule="auto"/>
      <w:outlineLvl w:val="0"/>
    </w:pPr>
    <w:rPr>
      <w:rFonts w:asciiTheme="majorHAnsi" w:eastAsia="Times New Roman" w:hAnsiTheme="majorHAnsi" w:cs="Arial"/>
      <w:b/>
      <w:bCs/>
      <w:sz w:val="40"/>
      <w:szCs w:val="40"/>
      <w:lang w:eastAsia="en-AU"/>
    </w:rPr>
  </w:style>
  <w:style w:type="paragraph" w:styleId="Heading2">
    <w:name w:val="heading 2"/>
    <w:basedOn w:val="Normal"/>
    <w:next w:val="BodyText"/>
    <w:link w:val="Heading2Char"/>
    <w:uiPriority w:val="1"/>
    <w:qFormat/>
    <w:rsid w:val="002903A9"/>
    <w:pPr>
      <w:keepNext/>
      <w:keepLines/>
      <w:spacing w:before="240" w:after="120"/>
      <w:outlineLvl w:val="1"/>
    </w:pPr>
    <w:rPr>
      <w:rFonts w:asciiTheme="majorHAnsi" w:eastAsia="Times New Roman" w:hAnsiTheme="majorHAnsi" w:cs="Arial"/>
      <w:b/>
      <w:bCs/>
      <w:iCs/>
      <w:sz w:val="28"/>
      <w:szCs w:val="28"/>
      <w:lang w:eastAsia="en-AU"/>
    </w:rPr>
  </w:style>
  <w:style w:type="paragraph" w:styleId="Heading3">
    <w:name w:val="heading 3"/>
    <w:basedOn w:val="Normal"/>
    <w:next w:val="BodyText"/>
    <w:link w:val="Heading3Char"/>
    <w:uiPriority w:val="1"/>
    <w:qFormat/>
    <w:rsid w:val="00A102EC"/>
    <w:pPr>
      <w:keepNext/>
      <w:keepLines/>
      <w:spacing w:before="240" w:after="120" w:line="264" w:lineRule="auto"/>
      <w:outlineLvl w:val="2"/>
    </w:pPr>
    <w:rPr>
      <w:rFonts w:asciiTheme="majorHAnsi" w:eastAsia="Times New Roman" w:hAnsiTheme="majorHAnsi" w:cs="Times New Roman"/>
      <w:b/>
      <w:bCs/>
      <w:sz w:val="22"/>
      <w:lang w:eastAsia="en-AU"/>
    </w:rPr>
  </w:style>
  <w:style w:type="paragraph" w:styleId="Heading4">
    <w:name w:val="heading 4"/>
    <w:basedOn w:val="Normal"/>
    <w:next w:val="BodyText"/>
    <w:link w:val="Heading4Char"/>
    <w:uiPriority w:val="1"/>
    <w:qFormat/>
    <w:rsid w:val="00E134ED"/>
    <w:pPr>
      <w:keepNext/>
      <w:keepLines/>
      <w:spacing w:before="240" w:after="120"/>
      <w:outlineLvl w:val="3"/>
    </w:pPr>
    <w:rPr>
      <w:rFonts w:asciiTheme="majorHAnsi" w:eastAsia="Times New Roman" w:hAnsiTheme="majorHAnsi" w:cs="Times New Roman"/>
      <w:b/>
      <w:bCs/>
      <w:szCs w:val="20"/>
      <w:lang w:eastAsia="en-AU"/>
    </w:rPr>
  </w:style>
  <w:style w:type="paragraph" w:styleId="Heading5">
    <w:name w:val="heading 5"/>
    <w:basedOn w:val="Normal"/>
    <w:next w:val="BodyText"/>
    <w:link w:val="Heading5Char"/>
    <w:uiPriority w:val="1"/>
    <w:rsid w:val="00675FEF"/>
    <w:pPr>
      <w:keepNext/>
      <w:keepLines/>
      <w:spacing w:before="240" w:after="120"/>
      <w:outlineLvl w:val="4"/>
    </w:pPr>
    <w:rPr>
      <w:rFonts w:asciiTheme="majorHAnsi" w:eastAsia="Times New Roman" w:hAnsiTheme="majorHAnsi" w:cs="Times New Roman"/>
      <w:bCs/>
      <w:iCs/>
      <w:szCs w:val="26"/>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8E1DD2"/>
    <w:rPr>
      <w:rFonts w:eastAsia="Times New Roman" w:cs="Times New Roman"/>
      <w:szCs w:val="24"/>
      <w:lang w:eastAsia="en-AU"/>
    </w:rPr>
  </w:style>
  <w:style w:type="character" w:customStyle="1" w:styleId="Heading1Char">
    <w:name w:val="Heading 1 Char"/>
    <w:basedOn w:val="DefaultParagraphFont"/>
    <w:link w:val="Heading1"/>
    <w:uiPriority w:val="1"/>
    <w:rsid w:val="00997DD9"/>
    <w:rPr>
      <w:rFonts w:asciiTheme="majorHAnsi" w:eastAsia="Times New Roman" w:hAnsiTheme="majorHAnsi" w:cs="Arial"/>
      <w:b/>
      <w:bCs/>
      <w:sz w:val="40"/>
      <w:szCs w:val="40"/>
      <w:lang w:eastAsia="en-AU"/>
    </w:rPr>
  </w:style>
  <w:style w:type="character" w:customStyle="1" w:styleId="Heading2Char">
    <w:name w:val="Heading 2 Char"/>
    <w:basedOn w:val="DefaultParagraphFont"/>
    <w:link w:val="Heading2"/>
    <w:uiPriority w:val="1"/>
    <w:rsid w:val="002903A9"/>
    <w:rPr>
      <w:rFonts w:asciiTheme="majorHAnsi" w:eastAsia="Times New Roman" w:hAnsiTheme="majorHAnsi" w:cs="Arial"/>
      <w:b/>
      <w:bCs/>
      <w:iCs/>
      <w:sz w:val="28"/>
      <w:szCs w:val="28"/>
      <w:lang w:eastAsia="en-AU"/>
    </w:rPr>
  </w:style>
  <w:style w:type="character" w:customStyle="1" w:styleId="Heading3Char">
    <w:name w:val="Heading 3 Char"/>
    <w:basedOn w:val="DefaultParagraphFont"/>
    <w:link w:val="Heading3"/>
    <w:uiPriority w:val="1"/>
    <w:rsid w:val="00A102EC"/>
    <w:rPr>
      <w:rFonts w:asciiTheme="majorHAnsi" w:eastAsia="Times New Roman" w:hAnsiTheme="majorHAnsi" w:cs="Times New Roman"/>
      <w:b/>
      <w:bCs/>
      <w:lang w:eastAsia="en-AU"/>
    </w:rPr>
  </w:style>
  <w:style w:type="character" w:customStyle="1" w:styleId="Heading4Char">
    <w:name w:val="Heading 4 Char"/>
    <w:basedOn w:val="DefaultParagraphFont"/>
    <w:link w:val="Heading4"/>
    <w:uiPriority w:val="1"/>
    <w:rsid w:val="00E134ED"/>
    <w:rPr>
      <w:rFonts w:asciiTheme="majorHAnsi" w:eastAsia="Times New Roman" w:hAnsiTheme="majorHAnsi" w:cs="Times New Roman"/>
      <w:b/>
      <w:bCs/>
      <w:sz w:val="20"/>
      <w:szCs w:val="20"/>
      <w:lang w:eastAsia="en-AU"/>
    </w:rPr>
  </w:style>
  <w:style w:type="paragraph" w:customStyle="1" w:styleId="AltHeading1">
    <w:name w:val="Alt Heading 1"/>
    <w:basedOn w:val="Heading1"/>
    <w:next w:val="BodyText"/>
    <w:uiPriority w:val="2"/>
    <w:semiHidden/>
    <w:qFormat/>
    <w:rsid w:val="00B558AB"/>
    <w:pPr>
      <w:numPr>
        <w:numId w:val="11"/>
      </w:numPr>
    </w:pPr>
    <w:rPr>
      <w:bCs w:val="0"/>
    </w:rPr>
  </w:style>
  <w:style w:type="paragraph" w:customStyle="1" w:styleId="AltHeading2">
    <w:name w:val="Alt Heading 2"/>
    <w:basedOn w:val="Heading2"/>
    <w:next w:val="BodyText"/>
    <w:uiPriority w:val="2"/>
    <w:semiHidden/>
    <w:qFormat/>
    <w:rsid w:val="00912C23"/>
    <w:pPr>
      <w:numPr>
        <w:ilvl w:val="1"/>
        <w:numId w:val="11"/>
      </w:numPr>
    </w:pPr>
  </w:style>
  <w:style w:type="paragraph" w:customStyle="1" w:styleId="AltHeading3">
    <w:name w:val="Alt Heading 3"/>
    <w:basedOn w:val="Heading3"/>
    <w:next w:val="BodyText"/>
    <w:uiPriority w:val="2"/>
    <w:semiHidden/>
    <w:qFormat/>
    <w:rsid w:val="00912C23"/>
    <w:pPr>
      <w:numPr>
        <w:ilvl w:val="2"/>
        <w:numId w:val="11"/>
      </w:numPr>
    </w:pPr>
  </w:style>
  <w:style w:type="paragraph" w:customStyle="1" w:styleId="AltHeading4">
    <w:name w:val="Alt Heading 4"/>
    <w:basedOn w:val="Heading4"/>
    <w:next w:val="BodyText"/>
    <w:uiPriority w:val="99"/>
    <w:semiHidden/>
    <w:qFormat/>
    <w:rsid w:val="00912C23"/>
    <w:pPr>
      <w:numPr>
        <w:ilvl w:val="3"/>
        <w:numId w:val="11"/>
      </w:numPr>
    </w:pPr>
  </w:style>
  <w:style w:type="paragraph" w:styleId="Title">
    <w:name w:val="Title"/>
    <w:basedOn w:val="Heading1"/>
    <w:next w:val="BodyText"/>
    <w:link w:val="TitleChar"/>
    <w:qFormat/>
    <w:rsid w:val="00543796"/>
    <w:pPr>
      <w:spacing w:before="0" w:after="360"/>
    </w:pPr>
    <w:rPr>
      <w:color w:val="034EA2" w:themeColor="accent1"/>
      <w:sz w:val="52"/>
    </w:rPr>
  </w:style>
  <w:style w:type="character" w:customStyle="1" w:styleId="TitleChar">
    <w:name w:val="Title Char"/>
    <w:basedOn w:val="DefaultParagraphFont"/>
    <w:link w:val="Title"/>
    <w:rsid w:val="00543796"/>
    <w:rPr>
      <w:rFonts w:asciiTheme="majorHAnsi" w:eastAsia="Times New Roman" w:hAnsiTheme="majorHAnsi" w:cs="Arial"/>
      <w:b/>
      <w:bCs/>
      <w:color w:val="034EA2" w:themeColor="accent1"/>
      <w:sz w:val="52"/>
      <w:szCs w:val="40"/>
      <w:lang w:eastAsia="en-AU"/>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A417C1"/>
    <w:pPr>
      <w:jc w:val="right"/>
    </w:pPr>
    <w:rPr>
      <w:sz w:val="2"/>
    </w:rPr>
  </w:style>
  <w:style w:type="character" w:customStyle="1" w:styleId="HeaderChar">
    <w:name w:val="Header Char"/>
    <w:basedOn w:val="DefaultParagraphFont"/>
    <w:link w:val="Header"/>
    <w:uiPriority w:val="99"/>
    <w:rsid w:val="0042661D"/>
    <w:rPr>
      <w:sz w:val="2"/>
    </w:rPr>
  </w:style>
  <w:style w:type="paragraph" w:styleId="Footer">
    <w:name w:val="footer"/>
    <w:basedOn w:val="Normal"/>
    <w:link w:val="FooterChar"/>
    <w:uiPriority w:val="99"/>
    <w:semiHidden/>
    <w:rsid w:val="008E2BFA"/>
    <w:pPr>
      <w:tabs>
        <w:tab w:val="right" w:pos="9639"/>
      </w:tabs>
      <w:jc w:val="right"/>
    </w:pPr>
    <w:rPr>
      <w:color w:val="5C676D" w:themeColor="accent3"/>
      <w:sz w:val="18"/>
    </w:rPr>
  </w:style>
  <w:style w:type="character" w:customStyle="1" w:styleId="FooterChar">
    <w:name w:val="Footer Char"/>
    <w:basedOn w:val="DefaultParagraphFont"/>
    <w:link w:val="Footer"/>
    <w:uiPriority w:val="99"/>
    <w:semiHidden/>
    <w:rsid w:val="006E0769"/>
    <w:rPr>
      <w:color w:val="5C676D" w:themeColor="accent3"/>
      <w:sz w:val="18"/>
    </w:rPr>
  </w:style>
  <w:style w:type="paragraph" w:styleId="ListNumber0">
    <w:name w:val="List Number"/>
    <w:basedOn w:val="ListBullet"/>
    <w:uiPriority w:val="21"/>
    <w:qFormat/>
    <w:rsid w:val="00197A45"/>
    <w:pPr>
      <w:numPr>
        <w:numId w:val="16"/>
      </w:numPr>
    </w:pPr>
  </w:style>
  <w:style w:type="table" w:customStyle="1" w:styleId="DHATable">
    <w:name w:val="DHA Table"/>
    <w:basedOn w:val="TableNormal"/>
    <w:uiPriority w:val="99"/>
    <w:rsid w:val="00054827"/>
    <w:pPr>
      <w:spacing w:before="120" w:after="120"/>
    </w:pPr>
    <w:rPr>
      <w:color w:val="000000" w:themeColor="text1"/>
      <w:sz w:val="20"/>
      <w:szCs w:val="20"/>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034EA2" w:themeFill="accent1"/>
      </w:tcPr>
    </w:tblStylePr>
    <w:tblStylePr w:type="firstCol">
      <w:pPr>
        <w:wordWrap/>
        <w:spacing w:beforeLines="0" w:before="120" w:beforeAutospacing="0" w:afterLines="0" w:after="120" w:afterAutospacing="0" w:line="240" w:lineRule="auto"/>
        <w:ind w:leftChars="0" w:left="0" w:rightChars="0" w:right="0"/>
        <w:jc w:val="left"/>
      </w:pPr>
      <w:rPr>
        <w:rFonts w:asciiTheme="minorHAnsi" w:hAnsiTheme="minorHAnsi"/>
        <w:b/>
        <w:i w:val="0"/>
        <w:color w:val="000000" w:themeColor="text1"/>
      </w:rPr>
    </w:tblStylePr>
    <w:tblStylePr w:type="band1Horz">
      <w:rPr>
        <w:rFonts w:asciiTheme="minorHAnsi" w:hAnsiTheme="minorHAnsi"/>
        <w:b w:val="0"/>
        <w:i w:val="0"/>
        <w:color w:val="000000" w:themeColor="text1"/>
        <w:sz w:val="20"/>
      </w:rPr>
      <w:tblPr/>
      <w:tcPr>
        <w:shd w:val="clear" w:color="auto" w:fill="FFFFFF" w:themeFill="background1"/>
      </w:tcPr>
    </w:tblStylePr>
    <w:tblStylePr w:type="band2Horz">
      <w:rPr>
        <w:rFonts w:asciiTheme="minorHAnsi" w:hAnsiTheme="minorHAnsi"/>
        <w:b w:val="0"/>
        <w:color w:val="000000" w:themeColor="text1"/>
        <w:sz w:val="20"/>
      </w:rPr>
      <w:tblPr/>
      <w:tcPr>
        <w:shd w:val="clear" w:color="auto" w:fill="F2F2F2" w:themeFill="background1" w:themeFillShade="F2"/>
      </w:tcPr>
    </w:tblStylePr>
  </w:style>
  <w:style w:type="paragraph" w:styleId="TOCHeading">
    <w:name w:val="TOC Heading"/>
    <w:basedOn w:val="Heading1"/>
    <w:next w:val="Normal"/>
    <w:uiPriority w:val="99"/>
    <w:semiHidden/>
    <w:rsid w:val="00A23301"/>
    <w:pPr>
      <w:spacing w:before="0" w:after="480" w:line="240" w:lineRule="auto"/>
    </w:pPr>
    <w:rPr>
      <w:color w:val="034EA2" w:themeColor="accent1"/>
    </w:rPr>
  </w:style>
  <w:style w:type="character" w:styleId="Hyperlink">
    <w:name w:val="Hyperlink"/>
    <w:basedOn w:val="DefaultParagraphFont"/>
    <w:uiPriority w:val="99"/>
    <w:rsid w:val="00997DD9"/>
    <w:rPr>
      <w:color w:val="000000" w:themeColor="text1"/>
      <w:u w:val="single"/>
    </w:rPr>
  </w:style>
  <w:style w:type="paragraph" w:styleId="TOC1">
    <w:name w:val="toc 1"/>
    <w:basedOn w:val="Normal"/>
    <w:next w:val="Normal"/>
    <w:uiPriority w:val="39"/>
    <w:semiHidden/>
    <w:rsid w:val="009666A1"/>
    <w:pPr>
      <w:keepNext/>
      <w:tabs>
        <w:tab w:val="left" w:pos="284"/>
        <w:tab w:val="left" w:pos="851"/>
        <w:tab w:val="right" w:pos="9338"/>
      </w:tabs>
      <w:spacing w:before="120" w:after="120" w:line="264" w:lineRule="auto"/>
      <w:ind w:right="567"/>
    </w:pPr>
    <w:rPr>
      <w:b/>
      <w:noProof/>
    </w:rPr>
  </w:style>
  <w:style w:type="paragraph" w:styleId="TOC2">
    <w:name w:val="toc 2"/>
    <w:basedOn w:val="Normal"/>
    <w:next w:val="Normal"/>
    <w:uiPriority w:val="39"/>
    <w:semiHidden/>
    <w:rsid w:val="009666A1"/>
    <w:pPr>
      <w:tabs>
        <w:tab w:val="left" w:pos="284"/>
        <w:tab w:val="left" w:pos="1134"/>
        <w:tab w:val="right" w:pos="9338"/>
      </w:tabs>
      <w:spacing w:before="60" w:after="60" w:line="264" w:lineRule="auto"/>
      <w:ind w:right="284" w:firstLine="567"/>
    </w:pPr>
    <w:rPr>
      <w:noProof/>
    </w:rPr>
  </w:style>
  <w:style w:type="paragraph" w:styleId="TOC3">
    <w:name w:val="toc 3"/>
    <w:basedOn w:val="Normal"/>
    <w:next w:val="Normal"/>
    <w:uiPriority w:val="39"/>
    <w:semiHidden/>
    <w:rsid w:val="009666A1"/>
    <w:pPr>
      <w:tabs>
        <w:tab w:val="left" w:pos="1985"/>
        <w:tab w:val="right" w:pos="9338"/>
      </w:tabs>
      <w:spacing w:before="60" w:after="60"/>
      <w:ind w:left="1134" w:right="567"/>
    </w:pPr>
    <w:rPr>
      <w:noProof/>
      <w:sz w:val="18"/>
    </w:rPr>
  </w:style>
  <w:style w:type="table" w:styleId="TableGrid">
    <w:name w:val="Table Grid"/>
    <w:basedOn w:val="TableNormal"/>
    <w:uiPriority w:val="39"/>
    <w:rsid w:val="00CB30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11"/>
    <w:qFormat/>
    <w:rsid w:val="009D5583"/>
    <w:pPr>
      <w:spacing w:before="120" w:after="120"/>
    </w:pPr>
  </w:style>
  <w:style w:type="paragraph" w:customStyle="1" w:styleId="TableBullet">
    <w:name w:val="Table Bullet"/>
    <w:basedOn w:val="Normal"/>
    <w:uiPriority w:val="4"/>
    <w:qFormat/>
    <w:rsid w:val="0043490F"/>
    <w:pPr>
      <w:numPr>
        <w:numId w:val="19"/>
      </w:numPr>
      <w:spacing w:before="120" w:after="120"/>
      <w:contextualSpacing/>
    </w:pPr>
    <w:rPr>
      <w:rFonts w:eastAsia="Times New Roman" w:cs="Times New Roman"/>
      <w:szCs w:val="24"/>
      <w:lang w:eastAsia="en-AU"/>
    </w:rPr>
  </w:style>
  <w:style w:type="paragraph" w:customStyle="1" w:styleId="TableNumber">
    <w:name w:val="Table Number"/>
    <w:basedOn w:val="Normal"/>
    <w:uiPriority w:val="4"/>
    <w:qFormat/>
    <w:rsid w:val="0043490F"/>
    <w:pPr>
      <w:numPr>
        <w:numId w:val="12"/>
      </w:numPr>
      <w:spacing w:before="120" w:after="120"/>
      <w:contextualSpacing/>
    </w:pPr>
  </w:style>
  <w:style w:type="character" w:customStyle="1" w:styleId="Heading5Char">
    <w:name w:val="Heading 5 Char"/>
    <w:basedOn w:val="DefaultParagraphFont"/>
    <w:link w:val="Heading5"/>
    <w:uiPriority w:val="1"/>
    <w:rsid w:val="009666A1"/>
    <w:rPr>
      <w:rFonts w:asciiTheme="majorHAnsi" w:eastAsia="Times New Roman" w:hAnsiTheme="majorHAnsi" w:cs="Times New Roman"/>
      <w:bCs/>
      <w:iCs/>
      <w:sz w:val="20"/>
      <w:szCs w:val="26"/>
      <w:lang w:eastAsia="en-AU"/>
    </w:rPr>
  </w:style>
  <w:style w:type="character" w:customStyle="1" w:styleId="Heading6Char">
    <w:name w:val="Heading 6 Char"/>
    <w:basedOn w:val="DefaultParagraphFont"/>
    <w:link w:val="Heading6"/>
    <w:uiPriority w:val="99"/>
    <w:semiHidden/>
    <w:rsid w:val="00662FA6"/>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aliases w:val="List Paragraph1,Recommendation,List Paragraph11,TOC style,lp1,Bullet OSM,Proposal Bullet List,List Paragraph111,L,F5 List Paragraph,Dot pt,CV text,Table text,Medium Grid 1 - Accent 21,Numbered Paragraph,List Paragraph2,AR bullet 1"/>
    <w:basedOn w:val="Normal"/>
    <w:link w:val="ListParagraphChar"/>
    <w:uiPriority w:val="34"/>
    <w:qFormat/>
    <w:rsid w:val="000F0024"/>
    <w:pPr>
      <w:numPr>
        <w:numId w:val="9"/>
      </w:numPr>
      <w:spacing w:before="120" w:after="120" w:line="264" w:lineRule="auto"/>
    </w:pPr>
    <w:rPr>
      <w:rFonts w:eastAsia="Times New Roman" w:cs="Times New Roman"/>
      <w:szCs w:val="24"/>
      <w:lang w:eastAsia="en-AU"/>
    </w:rPr>
  </w:style>
  <w:style w:type="paragraph" w:styleId="TOC4">
    <w:name w:val="toc 4"/>
    <w:basedOn w:val="TOC1"/>
    <w:next w:val="Normal"/>
    <w:uiPriority w:val="99"/>
    <w:semiHidden/>
    <w:rsid w:val="00DF01DF"/>
    <w:pPr>
      <w:ind w:left="851" w:hanging="851"/>
    </w:pPr>
  </w:style>
  <w:style w:type="paragraph" w:customStyle="1" w:styleId="AltHeading5">
    <w:name w:val="Alt Heading 5"/>
    <w:basedOn w:val="Heading5"/>
    <w:next w:val="BodyText"/>
    <w:uiPriority w:val="99"/>
    <w:semiHidden/>
    <w:rsid w:val="00912C23"/>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83"/>
    <w:qFormat/>
    <w:rsid w:val="00997DD9"/>
    <w:pPr>
      <w:spacing w:before="240" w:after="160" w:line="264" w:lineRule="auto"/>
    </w:pPr>
    <w:rPr>
      <w:rFonts w:ascii="Arial" w:eastAsia="Arial" w:hAnsi="Arial" w:cs="Times New Roman"/>
      <w:color w:val="034EA2" w:themeColor="accent1"/>
      <w:sz w:val="40"/>
      <w:szCs w:val="40"/>
    </w:rPr>
  </w:style>
  <w:style w:type="character" w:customStyle="1" w:styleId="QuoteChar">
    <w:name w:val="Quote Char"/>
    <w:basedOn w:val="DefaultParagraphFont"/>
    <w:link w:val="Quote"/>
    <w:uiPriority w:val="83"/>
    <w:rsid w:val="00997DD9"/>
    <w:rPr>
      <w:rFonts w:ascii="Arial" w:eastAsia="Arial" w:hAnsi="Arial" w:cs="Times New Roman"/>
      <w:color w:val="034EA2" w:themeColor="accent1"/>
      <w:sz w:val="40"/>
      <w:szCs w:val="40"/>
    </w:rPr>
  </w:style>
  <w:style w:type="paragraph" w:styleId="TOC5">
    <w:name w:val="toc 5"/>
    <w:basedOn w:val="TOC2"/>
    <w:next w:val="Normal"/>
    <w:uiPriority w:val="99"/>
    <w:semiHidden/>
    <w:rsid w:val="0061089F"/>
    <w:pPr>
      <w:tabs>
        <w:tab w:val="left" w:pos="851"/>
      </w:tabs>
      <w:ind w:left="851" w:hanging="851"/>
    </w:pPr>
  </w:style>
  <w:style w:type="paragraph" w:styleId="TOC6">
    <w:name w:val="toc 6"/>
    <w:basedOn w:val="TOC3"/>
    <w:next w:val="Normal"/>
    <w:uiPriority w:val="99"/>
    <w:semiHidden/>
    <w:rsid w:val="0061089F"/>
    <w:pPr>
      <w:tabs>
        <w:tab w:val="left" w:pos="851"/>
      </w:tabs>
      <w:ind w:left="851" w:hanging="851"/>
    </w:pPr>
  </w:style>
  <w:style w:type="paragraph" w:styleId="TOC7">
    <w:name w:val="toc 7"/>
    <w:basedOn w:val="TOC2"/>
    <w:next w:val="Normal"/>
    <w:uiPriority w:val="99"/>
    <w:semiHidden/>
    <w:rsid w:val="003B4DCF"/>
    <w:rPr>
      <w:sz w:val="16"/>
    </w:rPr>
  </w:style>
  <w:style w:type="paragraph" w:styleId="TOC8">
    <w:name w:val="toc 8"/>
    <w:basedOn w:val="Normal"/>
    <w:next w:val="Normal"/>
    <w:uiPriority w:val="99"/>
    <w:semiHidden/>
    <w:rsid w:val="003B4DCF"/>
    <w:pPr>
      <w:tabs>
        <w:tab w:val="left" w:pos="851"/>
        <w:tab w:val="right" w:pos="9639"/>
      </w:tabs>
      <w:spacing w:after="60"/>
      <w:ind w:left="851" w:hanging="851"/>
    </w:pPr>
    <w:rPr>
      <w:sz w:val="16"/>
    </w:rPr>
  </w:style>
  <w:style w:type="paragraph" w:styleId="TOC9">
    <w:name w:val="toc 9"/>
    <w:basedOn w:val="Normal"/>
    <w:next w:val="Normal"/>
    <w:uiPriority w:val="99"/>
    <w:semiHidden/>
    <w:rsid w:val="003B4DCF"/>
    <w:pPr>
      <w:tabs>
        <w:tab w:val="left" w:pos="1418"/>
        <w:tab w:val="right" w:pos="9639"/>
      </w:tabs>
      <w:spacing w:after="60"/>
      <w:ind w:left="1134" w:hanging="1134"/>
    </w:pPr>
  </w:style>
  <w:style w:type="numbering" w:customStyle="1" w:styleId="ListNumber">
    <w:name w:val="List_Number"/>
    <w:uiPriority w:val="99"/>
    <w:rsid w:val="004041DA"/>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12"/>
    <w:qFormat/>
    <w:rsid w:val="008C253E"/>
    <w:pPr>
      <w:keepNext/>
      <w:tabs>
        <w:tab w:val="left" w:pos="1134"/>
      </w:tabs>
      <w:spacing w:before="120" w:after="120"/>
      <w:ind w:left="1134" w:hanging="1134"/>
    </w:pPr>
    <w:rPr>
      <w:b/>
      <w:i/>
      <w:sz w:val="18"/>
      <w:szCs w:val="18"/>
      <w:lang w:eastAsia="en-AU"/>
    </w:rPr>
  </w:style>
  <w:style w:type="paragraph" w:customStyle="1" w:styleId="TableBody">
    <w:name w:val="Table Body"/>
    <w:basedOn w:val="Normal"/>
    <w:uiPriority w:val="3"/>
    <w:qFormat/>
    <w:rsid w:val="002D4927"/>
    <w:pPr>
      <w:spacing w:before="120" w:after="120"/>
    </w:pPr>
    <w:rPr>
      <w:rFonts w:eastAsia="MS Mincho" w:cs="Times New Roman"/>
      <w:color w:val="000000" w:themeColor="text1"/>
      <w:szCs w:val="20"/>
      <w:lang w:val="en-US"/>
    </w:rPr>
  </w:style>
  <w:style w:type="numbering" w:customStyle="1" w:styleId="ListAlpha">
    <w:name w:val="List_Alpha"/>
    <w:uiPriority w:val="99"/>
    <w:rsid w:val="004041DA"/>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style>
  <w:style w:type="character" w:styleId="FollowedHyperlink">
    <w:name w:val="FollowedHyperlink"/>
    <w:basedOn w:val="DefaultParagraphFont"/>
    <w:uiPriority w:val="99"/>
    <w:semiHidden/>
    <w:rsid w:val="00662FA6"/>
    <w:rPr>
      <w:color w:val="034EA2" w:themeColor="accent1"/>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table" w:customStyle="1" w:styleId="DHAABFStyle1">
    <w:name w:val="DHA/ABF Style 1"/>
    <w:basedOn w:val="TableNormal"/>
    <w:uiPriority w:val="99"/>
    <w:rsid w:val="00786081"/>
    <w:pPr>
      <w:spacing w:before="120" w:after="120"/>
    </w:pPr>
    <w:rPr>
      <w:color w:val="000000" w:themeColor="text1"/>
      <w:sz w:val="20"/>
      <w:szCs w:val="20"/>
    </w:rPr>
    <w:tblPr>
      <w:tblStyleRowBandSize w:val="1"/>
      <w:tblBorders>
        <w:bottom w:val="single" w:sz="4" w:space="0" w:color="D9D9D9" w:themeColor="background1" w:themeShade="D9"/>
        <w:insideH w:val="single" w:sz="4" w:space="0" w:color="D9D9D9" w:themeColor="background1" w:themeShade="D9"/>
      </w:tblBorders>
    </w:tblPr>
    <w:tblStylePr w:type="firstRow">
      <w:rPr>
        <w:rFonts w:asciiTheme="minorHAnsi" w:hAnsiTheme="minorHAnsi"/>
        <w:b/>
        <w:i w:val="0"/>
      </w:rPr>
      <w:tblPr/>
      <w:tcPr>
        <w:shd w:val="clear" w:color="auto" w:fill="D9D9D9" w:themeFill="background1" w:themeFillShade="D9"/>
      </w:tcPr>
    </w:tblStylePr>
    <w:tblStylePr w:type="lastRow">
      <w:tblPr/>
      <w:tcPr>
        <w:tcBorders>
          <w:top w:val="single" w:sz="18" w:space="0" w:color="D9D9D9" w:themeColor="background1" w:themeShade="D9"/>
          <w:left w:val="nil"/>
          <w:bottom w:val="single" w:sz="18" w:space="0" w:color="D9D9D9" w:themeColor="background1" w:themeShade="D9"/>
          <w:right w:val="nil"/>
          <w:insideH w:val="nil"/>
          <w:insideV w:val="nil"/>
          <w:tl2br w:val="nil"/>
          <w:tr2bl w:val="nil"/>
        </w:tcBorders>
      </w:tcPr>
    </w:tblStylePr>
    <w:tblStylePr w:type="firstCol">
      <w:rPr>
        <w:rFonts w:asciiTheme="minorHAnsi" w:hAnsiTheme="minorHAnsi"/>
        <w:b/>
        <w:i w:val="0"/>
      </w:rPr>
    </w:tblStylePr>
    <w:tblStylePr w:type="band1Horz">
      <w:tblPr/>
      <w:tcPr>
        <w:tcBorders>
          <w:insideH w:val="nil"/>
        </w:tcBorders>
      </w:tcPr>
    </w:tblStylePr>
  </w:style>
  <w:style w:type="paragraph" w:styleId="ListBullet2">
    <w:name w:val="List Bullet 2"/>
    <w:basedOn w:val="ListBullet"/>
    <w:uiPriority w:val="20"/>
    <w:rsid w:val="00997DD9"/>
    <w:pPr>
      <w:numPr>
        <w:ilvl w:val="1"/>
      </w:numPr>
    </w:pPr>
  </w:style>
  <w:style w:type="paragraph" w:styleId="ListBullet3">
    <w:name w:val="List Bullet 3"/>
    <w:basedOn w:val="ListBullet"/>
    <w:uiPriority w:val="20"/>
    <w:rsid w:val="00997DD9"/>
    <w:pPr>
      <w:numPr>
        <w:ilvl w:val="2"/>
      </w:numPr>
    </w:pPr>
  </w:style>
  <w:style w:type="paragraph" w:styleId="ListBullet4">
    <w:name w:val="List Bullet 4"/>
    <w:basedOn w:val="ListBullet"/>
    <w:uiPriority w:val="20"/>
    <w:rsid w:val="00997DD9"/>
    <w:pPr>
      <w:numPr>
        <w:ilvl w:val="3"/>
      </w:numPr>
    </w:pPr>
  </w:style>
  <w:style w:type="paragraph" w:styleId="ListNumber2">
    <w:name w:val="List Number 2"/>
    <w:basedOn w:val="ListBullet2"/>
    <w:uiPriority w:val="21"/>
    <w:rsid w:val="00997DD9"/>
    <w:pPr>
      <w:numPr>
        <w:numId w:val="16"/>
      </w:numPr>
    </w:pPr>
  </w:style>
  <w:style w:type="paragraph" w:styleId="ListNumber3">
    <w:name w:val="List Number 3"/>
    <w:basedOn w:val="ListBullet3"/>
    <w:uiPriority w:val="21"/>
    <w:rsid w:val="00997DD9"/>
    <w:pPr>
      <w:numPr>
        <w:numId w:val="16"/>
      </w:numPr>
    </w:pPr>
  </w:style>
  <w:style w:type="paragraph" w:styleId="ListNumber4">
    <w:name w:val="List Number 4"/>
    <w:basedOn w:val="ListNumber0"/>
    <w:uiPriority w:val="21"/>
    <w:rsid w:val="004F2A3C"/>
    <w:pPr>
      <w:numPr>
        <w:ilvl w:val="3"/>
      </w:numPr>
    </w:pPr>
  </w:style>
  <w:style w:type="paragraph" w:customStyle="1" w:styleId="ListParagraph2">
    <w:name w:val="List Paragraph 2"/>
    <w:basedOn w:val="ListParagraph0"/>
    <w:uiPriority w:val="19"/>
    <w:semiHidden/>
    <w:rsid w:val="004F2A3C"/>
    <w:pPr>
      <w:numPr>
        <w:ilvl w:val="1"/>
      </w:numPr>
      <w:tabs>
        <w:tab w:val="num" w:pos="1134"/>
      </w:tabs>
    </w:pPr>
  </w:style>
  <w:style w:type="paragraph" w:customStyle="1" w:styleId="ListParagraph3">
    <w:name w:val="List Paragraph 3"/>
    <w:basedOn w:val="ListParagraph0"/>
    <w:uiPriority w:val="19"/>
    <w:semiHidden/>
    <w:rsid w:val="004F2A3C"/>
    <w:pPr>
      <w:numPr>
        <w:ilvl w:val="2"/>
      </w:numPr>
      <w:tabs>
        <w:tab w:val="num" w:pos="1701"/>
      </w:tabs>
    </w:pPr>
  </w:style>
  <w:style w:type="paragraph" w:customStyle="1" w:styleId="ListParagraph4">
    <w:name w:val="List Paragraph 4"/>
    <w:basedOn w:val="ListParagraph0"/>
    <w:uiPriority w:val="19"/>
    <w:semiHidden/>
    <w:rsid w:val="004F2A3C"/>
    <w:pPr>
      <w:numPr>
        <w:ilvl w:val="3"/>
      </w:numPr>
      <w:tabs>
        <w:tab w:val="num" w:pos="2268"/>
      </w:tabs>
    </w:pPr>
  </w:style>
  <w:style w:type="paragraph" w:customStyle="1" w:styleId="ListParagraph5">
    <w:name w:val="List Paragraph 5"/>
    <w:basedOn w:val="ListParagraph0"/>
    <w:uiPriority w:val="19"/>
    <w:semiHidden/>
    <w:rsid w:val="004F2A3C"/>
    <w:pPr>
      <w:numPr>
        <w:ilvl w:val="4"/>
      </w:numPr>
      <w:tabs>
        <w:tab w:val="num" w:pos="2835"/>
      </w:tabs>
    </w:pPr>
  </w:style>
  <w:style w:type="paragraph" w:customStyle="1" w:styleId="ListParagraph6">
    <w:name w:val="List Paragraph 6"/>
    <w:basedOn w:val="ListParagraph0"/>
    <w:uiPriority w:val="19"/>
    <w:semiHidden/>
    <w:rsid w:val="004F2A3C"/>
    <w:pPr>
      <w:numPr>
        <w:ilvl w:val="5"/>
      </w:numPr>
      <w:tabs>
        <w:tab w:val="num" w:pos="3402"/>
      </w:tabs>
    </w:pPr>
  </w:style>
  <w:style w:type="numbering" w:customStyle="1" w:styleId="ListBullet0">
    <w:name w:val="List_Bullet"/>
    <w:uiPriority w:val="99"/>
    <w:rsid w:val="002106C4"/>
    <w:pPr>
      <w:numPr>
        <w:numId w:val="3"/>
      </w:numPr>
    </w:pPr>
  </w:style>
  <w:style w:type="numbering" w:customStyle="1" w:styleId="ListNumberedHeadings">
    <w:name w:val="List_NumberedHeadings"/>
    <w:uiPriority w:val="99"/>
    <w:rsid w:val="00912C23"/>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4"/>
    <w:rsid w:val="004F2A3C"/>
    <w:pPr>
      <w:numPr>
        <w:ilvl w:val="1"/>
      </w:numPr>
    </w:pPr>
  </w:style>
  <w:style w:type="paragraph" w:customStyle="1" w:styleId="TableNumber2">
    <w:name w:val="Table Number 2"/>
    <w:basedOn w:val="TableNumber"/>
    <w:uiPriority w:val="5"/>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ListAlpha6">
    <w:name w:val="List Alpha 6"/>
    <w:basedOn w:val="ListAlpha4"/>
    <w:uiPriority w:val="19"/>
    <w:semiHidden/>
    <w:rsid w:val="002903A9"/>
    <w:pPr>
      <w:numPr>
        <w:ilvl w:val="0"/>
        <w:numId w:val="0"/>
      </w:numPr>
      <w:tabs>
        <w:tab w:val="num" w:pos="3402"/>
      </w:tabs>
      <w:ind w:left="3402" w:hanging="567"/>
    </w:pPr>
  </w:style>
  <w:style w:type="paragraph" w:customStyle="1" w:styleId="FigureCaption">
    <w:name w:val="Figure Caption"/>
    <w:basedOn w:val="Normal"/>
    <w:semiHidden/>
    <w:qFormat/>
    <w:rsid w:val="001E2C91"/>
  </w:style>
  <w:style w:type="paragraph" w:customStyle="1" w:styleId="FigureStyle">
    <w:name w:val="Figure Style"/>
    <w:basedOn w:val="Normal"/>
    <w:uiPriority w:val="99"/>
    <w:semiHidden/>
    <w:qFormat/>
    <w:rsid w:val="004041DA"/>
    <w:pPr>
      <w:spacing w:before="120" w:after="120" w:line="264" w:lineRule="auto"/>
      <w:jc w:val="center"/>
    </w:pPr>
  </w:style>
  <w:style w:type="numbering" w:customStyle="1" w:styleId="ListFeatureBullet">
    <w:name w:val="List_Feature Bullet"/>
    <w:uiPriority w:val="99"/>
    <w:rsid w:val="00782617"/>
    <w:pPr>
      <w:numPr>
        <w:numId w:val="10"/>
      </w:numPr>
    </w:pPr>
  </w:style>
  <w:style w:type="character" w:styleId="PageNumber">
    <w:name w:val="page number"/>
    <w:basedOn w:val="DefaultParagraphFont"/>
    <w:uiPriority w:val="99"/>
    <w:semiHidden/>
    <w:rsid w:val="0074597C"/>
  </w:style>
  <w:style w:type="paragraph" w:styleId="NoSpacing">
    <w:name w:val="No Spacing"/>
    <w:uiPriority w:val="10"/>
    <w:semiHidden/>
    <w:rsid w:val="009860F9"/>
    <w:pPr>
      <w:spacing w:before="0" w:after="0" w:line="264" w:lineRule="auto"/>
    </w:pPr>
    <w:rPr>
      <w:sz w:val="20"/>
    </w:rPr>
  </w:style>
  <w:style w:type="character" w:styleId="CommentReference">
    <w:name w:val="annotation reference"/>
    <w:basedOn w:val="DefaultParagraphFont"/>
    <w:uiPriority w:val="99"/>
    <w:semiHidden/>
    <w:unhideWhenUsed/>
    <w:rsid w:val="00DC1997"/>
    <w:rPr>
      <w:sz w:val="16"/>
      <w:szCs w:val="16"/>
    </w:rPr>
  </w:style>
  <w:style w:type="paragraph" w:styleId="CommentText">
    <w:name w:val="annotation text"/>
    <w:basedOn w:val="Normal"/>
    <w:link w:val="CommentTextChar"/>
    <w:uiPriority w:val="99"/>
    <w:semiHidden/>
    <w:unhideWhenUsed/>
    <w:rsid w:val="00DC1997"/>
    <w:rPr>
      <w:szCs w:val="20"/>
    </w:rPr>
  </w:style>
  <w:style w:type="character" w:customStyle="1" w:styleId="CommentTextChar">
    <w:name w:val="Comment Text Char"/>
    <w:basedOn w:val="DefaultParagraphFont"/>
    <w:link w:val="CommentText"/>
    <w:uiPriority w:val="99"/>
    <w:semiHidden/>
    <w:rsid w:val="00DC1997"/>
    <w:rPr>
      <w:sz w:val="20"/>
      <w:szCs w:val="20"/>
    </w:rPr>
  </w:style>
  <w:style w:type="paragraph" w:customStyle="1" w:styleId="Protection">
    <w:name w:val="Protection"/>
    <w:basedOn w:val="Normal"/>
    <w:semiHidden/>
    <w:rsid w:val="00E66A44"/>
    <w:pPr>
      <w:jc w:val="center"/>
    </w:pPr>
    <w:rPr>
      <w:rFonts w:ascii="Arial" w:hAnsi="Arial" w:cs="Arial"/>
      <w:b/>
      <w:color w:val="C00000"/>
      <w:sz w:val="28"/>
      <w:szCs w:val="28"/>
    </w:rPr>
  </w:style>
  <w:style w:type="paragraph" w:customStyle="1" w:styleId="ProtectionDeleteMe">
    <w:name w:val="Protection DeleteMe"/>
    <w:basedOn w:val="Protection"/>
    <w:semiHidden/>
    <w:rsid w:val="00E66A44"/>
    <w:pPr>
      <w:spacing w:before="120"/>
    </w:pPr>
  </w:style>
  <w:style w:type="paragraph" w:customStyle="1" w:styleId="CoveringDeleteMe">
    <w:name w:val="Covering DeleteMe"/>
    <w:basedOn w:val="Normal"/>
    <w:semiHidden/>
    <w:rsid w:val="008F7847"/>
    <w:pPr>
      <w:spacing w:after="120"/>
      <w:jc w:val="center"/>
    </w:pPr>
    <w:rPr>
      <w:b/>
      <w:color w:val="C00000"/>
    </w:rPr>
  </w:style>
  <w:style w:type="character" w:customStyle="1" w:styleId="ListParagraphChar">
    <w:name w:val="List Paragraph Char"/>
    <w:aliases w:val="List Paragraph1 Char,Recommendation Char,List Paragraph11 Char,TOC style Char,lp1 Char,Bullet OSM Char,Proposal Bullet List Char,List Paragraph111 Char,L Char,F5 List Paragraph Char,Dot pt Char,CV text Char,Table text Char"/>
    <w:basedOn w:val="DefaultParagraphFont"/>
    <w:link w:val="ListParagraph0"/>
    <w:uiPriority w:val="34"/>
    <w:qFormat/>
    <w:locked/>
    <w:rsid w:val="000F0024"/>
    <w:rPr>
      <w:rFonts w:eastAsia="Times New Roman" w:cs="Times New Roman"/>
      <w:sz w:val="20"/>
      <w:szCs w:val="24"/>
      <w:lang w:eastAsia="en-AU"/>
    </w:rPr>
  </w:style>
  <w:style w:type="paragraph" w:customStyle="1" w:styleId="Heading1numbered">
    <w:name w:val="Heading 1 (numbered)"/>
    <w:basedOn w:val="Heading1"/>
    <w:next w:val="BodyText"/>
    <w:uiPriority w:val="3"/>
    <w:qFormat/>
    <w:rsid w:val="008D36D0"/>
    <w:pPr>
      <w:keepLines w:val="0"/>
      <w:widowControl/>
      <w:numPr>
        <w:numId w:val="13"/>
      </w:numPr>
    </w:pPr>
    <w:rPr>
      <w:rFonts w:eastAsiaTheme="minorHAnsi" w:cstheme="minorBidi"/>
      <w:bCs w:val="0"/>
      <w:noProof/>
      <w:color w:val="000000" w:themeColor="text1"/>
      <w:lang w:eastAsia="en-US"/>
    </w:rPr>
  </w:style>
  <w:style w:type="paragraph" w:customStyle="1" w:styleId="Heading2numbered">
    <w:name w:val="Heading 2 (numbered)"/>
    <w:basedOn w:val="Heading2"/>
    <w:next w:val="BodyText"/>
    <w:uiPriority w:val="3"/>
    <w:qFormat/>
    <w:rsid w:val="008D36D0"/>
    <w:pPr>
      <w:keepLines w:val="0"/>
      <w:numPr>
        <w:ilvl w:val="1"/>
        <w:numId w:val="13"/>
      </w:numPr>
      <w:spacing w:before="360" w:after="240" w:line="264" w:lineRule="auto"/>
    </w:pPr>
    <w:rPr>
      <w:rFonts w:eastAsiaTheme="minorHAnsi" w:cstheme="minorBidi"/>
      <w:bCs w:val="0"/>
      <w:iCs w:val="0"/>
      <w:noProof/>
      <w:color w:val="000000" w:themeColor="text1"/>
      <w:lang w:eastAsia="en-US"/>
    </w:rPr>
  </w:style>
  <w:style w:type="paragraph" w:customStyle="1" w:styleId="Heading3numbered">
    <w:name w:val="Heading 3 (numbered)"/>
    <w:basedOn w:val="Heading3"/>
    <w:next w:val="BodyText"/>
    <w:uiPriority w:val="3"/>
    <w:qFormat/>
    <w:rsid w:val="005F24D9"/>
    <w:pPr>
      <w:keepLines w:val="0"/>
      <w:numPr>
        <w:ilvl w:val="2"/>
        <w:numId w:val="13"/>
      </w:numPr>
    </w:pPr>
    <w:rPr>
      <w:rFonts w:eastAsiaTheme="minorHAnsi" w:cstheme="minorBidi"/>
      <w:bCs w:val="0"/>
      <w:color w:val="000000" w:themeColor="text1"/>
      <w:sz w:val="24"/>
      <w:szCs w:val="20"/>
      <w:lang w:eastAsia="en-US"/>
    </w:rPr>
  </w:style>
  <w:style w:type="paragraph" w:customStyle="1" w:styleId="Heading4numbered">
    <w:name w:val="Heading 4 (numbered)"/>
    <w:basedOn w:val="Heading4"/>
    <w:next w:val="BodyText"/>
    <w:uiPriority w:val="3"/>
    <w:qFormat/>
    <w:rsid w:val="005F24D9"/>
    <w:pPr>
      <w:keepLines w:val="0"/>
      <w:numPr>
        <w:ilvl w:val="3"/>
        <w:numId w:val="13"/>
      </w:numPr>
      <w:spacing w:line="264" w:lineRule="auto"/>
    </w:pPr>
    <w:rPr>
      <w:rFonts w:eastAsiaTheme="minorHAnsi" w:cstheme="minorBidi"/>
      <w:bCs w:val="0"/>
      <w:color w:val="000000" w:themeColor="text1"/>
      <w:lang w:eastAsia="en-US"/>
    </w:rPr>
  </w:style>
  <w:style w:type="paragraph" w:customStyle="1" w:styleId="Heading5numbered">
    <w:name w:val="Heading 5 (numbered)"/>
    <w:basedOn w:val="Heading5"/>
    <w:next w:val="BodyText"/>
    <w:uiPriority w:val="3"/>
    <w:qFormat/>
    <w:rsid w:val="005F24D9"/>
    <w:pPr>
      <w:keepLines w:val="0"/>
      <w:numPr>
        <w:ilvl w:val="4"/>
        <w:numId w:val="13"/>
      </w:numPr>
      <w:spacing w:line="264" w:lineRule="auto"/>
    </w:pPr>
    <w:rPr>
      <w:rFonts w:asciiTheme="minorHAnsi" w:eastAsiaTheme="minorHAnsi" w:hAnsiTheme="minorHAnsi" w:cstheme="minorBidi"/>
      <w:b/>
      <w:bCs w:val="0"/>
      <w:i/>
      <w:iCs w:val="0"/>
      <w:color w:val="000000" w:themeColor="text1"/>
      <w:szCs w:val="20"/>
      <w:lang w:eastAsia="en-US"/>
    </w:rPr>
  </w:style>
  <w:style w:type="paragraph" w:styleId="ListBullet">
    <w:name w:val="List Bullet"/>
    <w:basedOn w:val="Normal"/>
    <w:uiPriority w:val="20"/>
    <w:qFormat/>
    <w:rsid w:val="00094C0B"/>
    <w:pPr>
      <w:numPr>
        <w:numId w:val="15"/>
      </w:numPr>
      <w:spacing w:before="120" w:after="120" w:line="264" w:lineRule="auto"/>
    </w:pPr>
  </w:style>
  <w:style w:type="paragraph" w:customStyle="1" w:styleId="ListAlpha0">
    <w:name w:val="List Alpha"/>
    <w:basedOn w:val="Normal"/>
    <w:uiPriority w:val="22"/>
    <w:qFormat/>
    <w:rsid w:val="00197A45"/>
    <w:pPr>
      <w:numPr>
        <w:numId w:val="18"/>
      </w:numPr>
      <w:spacing w:before="120" w:after="120" w:line="264" w:lineRule="auto"/>
    </w:pPr>
    <w:rPr>
      <w:rFonts w:eastAsia="Times New Roman" w:cs="Times New Roman"/>
      <w:szCs w:val="24"/>
      <w:lang w:eastAsia="en-AU"/>
    </w:rPr>
  </w:style>
  <w:style w:type="paragraph" w:customStyle="1" w:styleId="ListAlpha4">
    <w:name w:val="List Alpha 4"/>
    <w:basedOn w:val="ListAlpha3"/>
    <w:uiPriority w:val="22"/>
    <w:rsid w:val="00E134ED"/>
    <w:pPr>
      <w:numPr>
        <w:ilvl w:val="3"/>
      </w:numPr>
    </w:pPr>
  </w:style>
  <w:style w:type="paragraph" w:customStyle="1" w:styleId="ListAlpha5">
    <w:name w:val="List Alpha 5"/>
    <w:basedOn w:val="ListAlpha4"/>
    <w:uiPriority w:val="22"/>
    <w:rsid w:val="00E134ED"/>
    <w:pPr>
      <w:numPr>
        <w:ilvl w:val="4"/>
      </w:numPr>
    </w:pPr>
  </w:style>
  <w:style w:type="paragraph" w:customStyle="1" w:styleId="ListAlpha3">
    <w:name w:val="List Alpha 3"/>
    <w:basedOn w:val="ListAlpha2"/>
    <w:uiPriority w:val="22"/>
    <w:rsid w:val="00E134ED"/>
    <w:pPr>
      <w:numPr>
        <w:ilvl w:val="2"/>
      </w:numPr>
    </w:pPr>
  </w:style>
  <w:style w:type="paragraph" w:customStyle="1" w:styleId="ListAlpha2">
    <w:name w:val="List Alpha 2"/>
    <w:basedOn w:val="ListAlpha0"/>
    <w:uiPriority w:val="22"/>
    <w:qFormat/>
    <w:rsid w:val="001E2C91"/>
    <w:pPr>
      <w:numPr>
        <w:ilvl w:val="1"/>
        <w:numId w:val="14"/>
      </w:numPr>
    </w:pPr>
  </w:style>
  <w:style w:type="paragraph" w:styleId="ListNumber5">
    <w:name w:val="List Number 5"/>
    <w:basedOn w:val="ListNumber0"/>
    <w:uiPriority w:val="21"/>
    <w:rsid w:val="002903A9"/>
    <w:pPr>
      <w:numPr>
        <w:numId w:val="0"/>
      </w:numPr>
      <w:tabs>
        <w:tab w:val="num" w:pos="2835"/>
      </w:tabs>
      <w:spacing w:before="0"/>
      <w:ind w:left="2835" w:hanging="567"/>
    </w:pPr>
    <w:rPr>
      <w:rFonts w:eastAsia="Times New Roman" w:cs="Times New Roman"/>
      <w:szCs w:val="24"/>
      <w:lang w:eastAsia="en-AU"/>
    </w:rPr>
  </w:style>
  <w:style w:type="paragraph" w:customStyle="1" w:styleId="ListNumber6">
    <w:name w:val="List Number 6"/>
    <w:basedOn w:val="ListNumber0"/>
    <w:uiPriority w:val="19"/>
    <w:semiHidden/>
    <w:rsid w:val="002903A9"/>
    <w:pPr>
      <w:numPr>
        <w:numId w:val="0"/>
      </w:numPr>
      <w:tabs>
        <w:tab w:val="num" w:pos="3402"/>
      </w:tabs>
      <w:spacing w:before="0"/>
      <w:ind w:left="3402" w:hanging="567"/>
    </w:pPr>
    <w:rPr>
      <w:rFonts w:eastAsia="Times New Roman" w:cs="Times New Roman"/>
      <w:szCs w:val="24"/>
      <w:lang w:eastAsia="en-AU"/>
    </w:rPr>
  </w:style>
  <w:style w:type="paragraph" w:customStyle="1" w:styleId="Linedparagraph">
    <w:name w:val="Lined paragraph"/>
    <w:basedOn w:val="BodyText"/>
    <w:uiPriority w:val="19"/>
    <w:semiHidden/>
    <w:qFormat/>
    <w:rsid w:val="0043490F"/>
    <w:pPr>
      <w:keepLines/>
      <w:pBdr>
        <w:bottom w:val="single" w:sz="4" w:space="4" w:color="D9D9D9" w:themeColor="background2" w:themeShade="D9"/>
        <w:between w:val="single" w:sz="4" w:space="4" w:color="D9D9D9" w:themeColor="background2" w:themeShade="D9"/>
      </w:pBdr>
      <w:spacing w:line="240" w:lineRule="auto"/>
      <w:contextualSpacing/>
    </w:pPr>
    <w:rPr>
      <w:rFonts w:eastAsiaTheme="minorHAnsi" w:cstheme="minorBidi"/>
      <w:color w:val="000000" w:themeColor="text1"/>
      <w:szCs w:val="20"/>
      <w:lang w:eastAsia="en-US"/>
    </w:rPr>
  </w:style>
  <w:style w:type="paragraph" w:styleId="ListBullet5">
    <w:name w:val="List Bullet 5"/>
    <w:basedOn w:val="ListBullet4"/>
    <w:uiPriority w:val="20"/>
    <w:rsid w:val="00A23301"/>
    <w:pPr>
      <w:numPr>
        <w:numId w:val="17"/>
      </w:numPr>
      <w:contextualSpacing/>
    </w:pPr>
  </w:style>
  <w:style w:type="numbering" w:customStyle="1" w:styleId="ListParagraph1">
    <w:name w:val="List_Paragraph1"/>
    <w:uiPriority w:val="99"/>
    <w:rsid w:val="0043490F"/>
  </w:style>
  <w:style w:type="numbering" w:customStyle="1" w:styleId="ListTableBullet1">
    <w:name w:val="List_TableBullet1"/>
    <w:uiPriority w:val="99"/>
    <w:rsid w:val="0043490F"/>
  </w:style>
  <w:style w:type="numbering" w:customStyle="1" w:styleId="ListParagraph20">
    <w:name w:val="List_Paragraph2"/>
    <w:uiPriority w:val="99"/>
    <w:rsid w:val="0043490F"/>
  </w:style>
  <w:style w:type="paragraph" w:customStyle="1" w:styleId="Tablebody0">
    <w:name w:val="Table body"/>
    <w:basedOn w:val="Normal"/>
    <w:uiPriority w:val="11"/>
    <w:qFormat/>
    <w:rsid w:val="005C394A"/>
    <w:pPr>
      <w:spacing w:before="120" w:after="120"/>
    </w:pPr>
    <w:rPr>
      <w:rFonts w:eastAsia="MS Mincho" w:cs="Times New Roman"/>
      <w:color w:val="000000" w:themeColor="text1"/>
      <w:szCs w:val="20"/>
      <w:lang w:val="en-US"/>
    </w:rPr>
  </w:style>
  <w:style w:type="paragraph" w:styleId="FootnoteText">
    <w:name w:val="footnote text"/>
    <w:basedOn w:val="Normal"/>
    <w:link w:val="FootnoteTextChar"/>
    <w:uiPriority w:val="99"/>
    <w:semiHidden/>
    <w:unhideWhenUsed/>
    <w:rsid w:val="00CA3D39"/>
    <w:rPr>
      <w:szCs w:val="20"/>
    </w:rPr>
  </w:style>
  <w:style w:type="character" w:customStyle="1" w:styleId="FootnoteTextChar">
    <w:name w:val="Footnote Text Char"/>
    <w:basedOn w:val="DefaultParagraphFont"/>
    <w:link w:val="FootnoteText"/>
    <w:uiPriority w:val="99"/>
    <w:semiHidden/>
    <w:rsid w:val="00CA3D39"/>
    <w:rPr>
      <w:sz w:val="20"/>
      <w:szCs w:val="20"/>
    </w:rPr>
  </w:style>
  <w:style w:type="character" w:styleId="FootnoteReference">
    <w:name w:val="footnote reference"/>
    <w:basedOn w:val="DefaultParagraphFont"/>
    <w:uiPriority w:val="99"/>
    <w:semiHidden/>
    <w:unhideWhenUsed/>
    <w:rsid w:val="00CA3D39"/>
    <w:rPr>
      <w:vertAlign w:val="superscript"/>
    </w:rPr>
  </w:style>
  <w:style w:type="table" w:styleId="GridTable5Dark-Accent1">
    <w:name w:val="Grid Table 5 Dark Accent 1"/>
    <w:basedOn w:val="TableNormal"/>
    <w:uiPriority w:val="50"/>
    <w:rsid w:val="0070230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4EA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4EA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4EA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4EA2" w:themeFill="accent1"/>
      </w:tcPr>
    </w:tblStylePr>
    <w:tblStylePr w:type="band1Vert">
      <w:tblPr/>
      <w:tcPr>
        <w:shd w:val="clear" w:color="auto" w:fill="77B6FC" w:themeFill="accent1" w:themeFillTint="66"/>
      </w:tcPr>
    </w:tblStylePr>
    <w:tblStylePr w:type="band1Horz">
      <w:tblPr/>
      <w:tcPr>
        <w:shd w:val="clear" w:color="auto" w:fill="77B6FC"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9210">
      <w:bodyDiv w:val="1"/>
      <w:marLeft w:val="0"/>
      <w:marRight w:val="0"/>
      <w:marTop w:val="0"/>
      <w:marBottom w:val="0"/>
      <w:divBdr>
        <w:top w:val="none" w:sz="0" w:space="0" w:color="auto"/>
        <w:left w:val="none" w:sz="0" w:space="0" w:color="auto"/>
        <w:bottom w:val="none" w:sz="0" w:space="0" w:color="auto"/>
        <w:right w:val="none" w:sz="0" w:space="0" w:color="auto"/>
      </w:divBdr>
    </w:div>
    <w:div w:id="340863325">
      <w:bodyDiv w:val="1"/>
      <w:marLeft w:val="0"/>
      <w:marRight w:val="0"/>
      <w:marTop w:val="0"/>
      <w:marBottom w:val="0"/>
      <w:divBdr>
        <w:top w:val="none" w:sz="0" w:space="0" w:color="auto"/>
        <w:left w:val="none" w:sz="0" w:space="0" w:color="auto"/>
        <w:bottom w:val="none" w:sz="0" w:space="0" w:color="auto"/>
        <w:right w:val="none" w:sz="0" w:space="0" w:color="auto"/>
      </w:divBdr>
    </w:div>
    <w:div w:id="422805152">
      <w:bodyDiv w:val="1"/>
      <w:marLeft w:val="0"/>
      <w:marRight w:val="0"/>
      <w:marTop w:val="0"/>
      <w:marBottom w:val="0"/>
      <w:divBdr>
        <w:top w:val="none" w:sz="0" w:space="0" w:color="auto"/>
        <w:left w:val="none" w:sz="0" w:space="0" w:color="auto"/>
        <w:bottom w:val="none" w:sz="0" w:space="0" w:color="auto"/>
        <w:right w:val="none" w:sz="0" w:space="0" w:color="auto"/>
      </w:divBdr>
    </w:div>
    <w:div w:id="456877556">
      <w:bodyDiv w:val="1"/>
      <w:marLeft w:val="0"/>
      <w:marRight w:val="0"/>
      <w:marTop w:val="0"/>
      <w:marBottom w:val="0"/>
      <w:divBdr>
        <w:top w:val="none" w:sz="0" w:space="0" w:color="auto"/>
        <w:left w:val="none" w:sz="0" w:space="0" w:color="auto"/>
        <w:bottom w:val="none" w:sz="0" w:space="0" w:color="auto"/>
        <w:right w:val="none" w:sz="0" w:space="0" w:color="auto"/>
      </w:divBdr>
    </w:div>
    <w:div w:id="521433314">
      <w:bodyDiv w:val="1"/>
      <w:marLeft w:val="0"/>
      <w:marRight w:val="0"/>
      <w:marTop w:val="0"/>
      <w:marBottom w:val="0"/>
      <w:divBdr>
        <w:top w:val="none" w:sz="0" w:space="0" w:color="auto"/>
        <w:left w:val="none" w:sz="0" w:space="0" w:color="auto"/>
        <w:bottom w:val="none" w:sz="0" w:space="0" w:color="auto"/>
        <w:right w:val="none" w:sz="0" w:space="0" w:color="auto"/>
      </w:divBdr>
    </w:div>
    <w:div w:id="659650471">
      <w:bodyDiv w:val="1"/>
      <w:marLeft w:val="0"/>
      <w:marRight w:val="0"/>
      <w:marTop w:val="0"/>
      <w:marBottom w:val="0"/>
      <w:divBdr>
        <w:top w:val="none" w:sz="0" w:space="0" w:color="auto"/>
        <w:left w:val="none" w:sz="0" w:space="0" w:color="auto"/>
        <w:bottom w:val="none" w:sz="0" w:space="0" w:color="auto"/>
        <w:right w:val="none" w:sz="0" w:space="0" w:color="auto"/>
      </w:divBdr>
    </w:div>
    <w:div w:id="768695738">
      <w:bodyDiv w:val="1"/>
      <w:marLeft w:val="0"/>
      <w:marRight w:val="0"/>
      <w:marTop w:val="0"/>
      <w:marBottom w:val="0"/>
      <w:divBdr>
        <w:top w:val="none" w:sz="0" w:space="0" w:color="auto"/>
        <w:left w:val="none" w:sz="0" w:space="0" w:color="auto"/>
        <w:bottom w:val="none" w:sz="0" w:space="0" w:color="auto"/>
        <w:right w:val="none" w:sz="0" w:space="0" w:color="auto"/>
      </w:divBdr>
    </w:div>
    <w:div w:id="828792050">
      <w:bodyDiv w:val="1"/>
      <w:marLeft w:val="0"/>
      <w:marRight w:val="0"/>
      <w:marTop w:val="0"/>
      <w:marBottom w:val="0"/>
      <w:divBdr>
        <w:top w:val="none" w:sz="0" w:space="0" w:color="auto"/>
        <w:left w:val="none" w:sz="0" w:space="0" w:color="auto"/>
        <w:bottom w:val="none" w:sz="0" w:space="0" w:color="auto"/>
        <w:right w:val="none" w:sz="0" w:space="0" w:color="auto"/>
      </w:divBdr>
    </w:div>
    <w:div w:id="903103861">
      <w:bodyDiv w:val="1"/>
      <w:marLeft w:val="0"/>
      <w:marRight w:val="0"/>
      <w:marTop w:val="0"/>
      <w:marBottom w:val="0"/>
      <w:divBdr>
        <w:top w:val="none" w:sz="0" w:space="0" w:color="auto"/>
        <w:left w:val="none" w:sz="0" w:space="0" w:color="auto"/>
        <w:bottom w:val="none" w:sz="0" w:space="0" w:color="auto"/>
        <w:right w:val="none" w:sz="0" w:space="0" w:color="auto"/>
      </w:divBdr>
    </w:div>
    <w:div w:id="1033992625">
      <w:bodyDiv w:val="1"/>
      <w:marLeft w:val="0"/>
      <w:marRight w:val="0"/>
      <w:marTop w:val="0"/>
      <w:marBottom w:val="0"/>
      <w:divBdr>
        <w:top w:val="none" w:sz="0" w:space="0" w:color="auto"/>
        <w:left w:val="none" w:sz="0" w:space="0" w:color="auto"/>
        <w:bottom w:val="none" w:sz="0" w:space="0" w:color="auto"/>
        <w:right w:val="none" w:sz="0" w:space="0" w:color="auto"/>
      </w:divBdr>
    </w:div>
    <w:div w:id="1087459010">
      <w:bodyDiv w:val="1"/>
      <w:marLeft w:val="0"/>
      <w:marRight w:val="0"/>
      <w:marTop w:val="0"/>
      <w:marBottom w:val="0"/>
      <w:divBdr>
        <w:top w:val="none" w:sz="0" w:space="0" w:color="auto"/>
        <w:left w:val="none" w:sz="0" w:space="0" w:color="auto"/>
        <w:bottom w:val="none" w:sz="0" w:space="0" w:color="auto"/>
        <w:right w:val="none" w:sz="0" w:space="0" w:color="auto"/>
      </w:divBdr>
    </w:div>
    <w:div w:id="1167330660">
      <w:bodyDiv w:val="1"/>
      <w:marLeft w:val="0"/>
      <w:marRight w:val="0"/>
      <w:marTop w:val="0"/>
      <w:marBottom w:val="0"/>
      <w:divBdr>
        <w:top w:val="none" w:sz="0" w:space="0" w:color="auto"/>
        <w:left w:val="none" w:sz="0" w:space="0" w:color="auto"/>
        <w:bottom w:val="none" w:sz="0" w:space="0" w:color="auto"/>
        <w:right w:val="none" w:sz="0" w:space="0" w:color="auto"/>
      </w:divBdr>
    </w:div>
    <w:div w:id="1168787929">
      <w:bodyDiv w:val="1"/>
      <w:marLeft w:val="0"/>
      <w:marRight w:val="0"/>
      <w:marTop w:val="0"/>
      <w:marBottom w:val="0"/>
      <w:divBdr>
        <w:top w:val="none" w:sz="0" w:space="0" w:color="auto"/>
        <w:left w:val="none" w:sz="0" w:space="0" w:color="auto"/>
        <w:bottom w:val="none" w:sz="0" w:space="0" w:color="auto"/>
        <w:right w:val="none" w:sz="0" w:space="0" w:color="auto"/>
      </w:divBdr>
    </w:div>
    <w:div w:id="1189374054">
      <w:bodyDiv w:val="1"/>
      <w:marLeft w:val="0"/>
      <w:marRight w:val="0"/>
      <w:marTop w:val="0"/>
      <w:marBottom w:val="0"/>
      <w:divBdr>
        <w:top w:val="none" w:sz="0" w:space="0" w:color="auto"/>
        <w:left w:val="none" w:sz="0" w:space="0" w:color="auto"/>
        <w:bottom w:val="none" w:sz="0" w:space="0" w:color="auto"/>
        <w:right w:val="none" w:sz="0" w:space="0" w:color="auto"/>
      </w:divBdr>
    </w:div>
    <w:div w:id="1203254438">
      <w:bodyDiv w:val="1"/>
      <w:marLeft w:val="0"/>
      <w:marRight w:val="0"/>
      <w:marTop w:val="0"/>
      <w:marBottom w:val="0"/>
      <w:divBdr>
        <w:top w:val="none" w:sz="0" w:space="0" w:color="auto"/>
        <w:left w:val="none" w:sz="0" w:space="0" w:color="auto"/>
        <w:bottom w:val="none" w:sz="0" w:space="0" w:color="auto"/>
        <w:right w:val="none" w:sz="0" w:space="0" w:color="auto"/>
      </w:divBdr>
    </w:div>
    <w:div w:id="1240555468">
      <w:bodyDiv w:val="1"/>
      <w:marLeft w:val="0"/>
      <w:marRight w:val="0"/>
      <w:marTop w:val="0"/>
      <w:marBottom w:val="0"/>
      <w:divBdr>
        <w:top w:val="none" w:sz="0" w:space="0" w:color="auto"/>
        <w:left w:val="none" w:sz="0" w:space="0" w:color="auto"/>
        <w:bottom w:val="none" w:sz="0" w:space="0" w:color="auto"/>
        <w:right w:val="none" w:sz="0" w:space="0" w:color="auto"/>
      </w:divBdr>
    </w:div>
    <w:div w:id="1258320780">
      <w:bodyDiv w:val="1"/>
      <w:marLeft w:val="0"/>
      <w:marRight w:val="0"/>
      <w:marTop w:val="0"/>
      <w:marBottom w:val="0"/>
      <w:divBdr>
        <w:top w:val="none" w:sz="0" w:space="0" w:color="auto"/>
        <w:left w:val="none" w:sz="0" w:space="0" w:color="auto"/>
        <w:bottom w:val="none" w:sz="0" w:space="0" w:color="auto"/>
        <w:right w:val="none" w:sz="0" w:space="0" w:color="auto"/>
      </w:divBdr>
    </w:div>
    <w:div w:id="1266111374">
      <w:bodyDiv w:val="1"/>
      <w:marLeft w:val="0"/>
      <w:marRight w:val="0"/>
      <w:marTop w:val="0"/>
      <w:marBottom w:val="0"/>
      <w:divBdr>
        <w:top w:val="none" w:sz="0" w:space="0" w:color="auto"/>
        <w:left w:val="none" w:sz="0" w:space="0" w:color="auto"/>
        <w:bottom w:val="none" w:sz="0" w:space="0" w:color="auto"/>
        <w:right w:val="none" w:sz="0" w:space="0" w:color="auto"/>
      </w:divBdr>
    </w:div>
    <w:div w:id="1527283275">
      <w:bodyDiv w:val="1"/>
      <w:marLeft w:val="0"/>
      <w:marRight w:val="0"/>
      <w:marTop w:val="0"/>
      <w:marBottom w:val="0"/>
      <w:divBdr>
        <w:top w:val="none" w:sz="0" w:space="0" w:color="auto"/>
        <w:left w:val="none" w:sz="0" w:space="0" w:color="auto"/>
        <w:bottom w:val="none" w:sz="0" w:space="0" w:color="auto"/>
        <w:right w:val="none" w:sz="0" w:space="0" w:color="auto"/>
      </w:divBdr>
    </w:div>
    <w:div w:id="1589272846">
      <w:bodyDiv w:val="1"/>
      <w:marLeft w:val="0"/>
      <w:marRight w:val="0"/>
      <w:marTop w:val="0"/>
      <w:marBottom w:val="0"/>
      <w:divBdr>
        <w:top w:val="none" w:sz="0" w:space="0" w:color="auto"/>
        <w:left w:val="none" w:sz="0" w:space="0" w:color="auto"/>
        <w:bottom w:val="none" w:sz="0" w:space="0" w:color="auto"/>
        <w:right w:val="none" w:sz="0" w:space="0" w:color="auto"/>
      </w:divBdr>
    </w:div>
    <w:div w:id="1648977787">
      <w:bodyDiv w:val="1"/>
      <w:marLeft w:val="0"/>
      <w:marRight w:val="0"/>
      <w:marTop w:val="0"/>
      <w:marBottom w:val="0"/>
      <w:divBdr>
        <w:top w:val="none" w:sz="0" w:space="0" w:color="auto"/>
        <w:left w:val="none" w:sz="0" w:space="0" w:color="auto"/>
        <w:bottom w:val="none" w:sz="0" w:space="0" w:color="auto"/>
        <w:right w:val="none" w:sz="0" w:space="0" w:color="auto"/>
      </w:divBdr>
    </w:div>
    <w:div w:id="1869097656">
      <w:bodyDiv w:val="1"/>
      <w:marLeft w:val="0"/>
      <w:marRight w:val="0"/>
      <w:marTop w:val="0"/>
      <w:marBottom w:val="0"/>
      <w:divBdr>
        <w:top w:val="none" w:sz="0" w:space="0" w:color="auto"/>
        <w:left w:val="none" w:sz="0" w:space="0" w:color="auto"/>
        <w:bottom w:val="none" w:sz="0" w:space="0" w:color="auto"/>
        <w:right w:val="none" w:sz="0" w:space="0" w:color="auto"/>
      </w:divBdr>
    </w:div>
    <w:div w:id="1923025281">
      <w:bodyDiv w:val="1"/>
      <w:marLeft w:val="0"/>
      <w:marRight w:val="0"/>
      <w:marTop w:val="0"/>
      <w:marBottom w:val="0"/>
      <w:divBdr>
        <w:top w:val="none" w:sz="0" w:space="0" w:color="auto"/>
        <w:left w:val="none" w:sz="0" w:space="0" w:color="auto"/>
        <w:bottom w:val="none" w:sz="0" w:space="0" w:color="auto"/>
        <w:right w:val="none" w:sz="0" w:space="0" w:color="auto"/>
      </w:divBdr>
    </w:div>
    <w:div w:id="1971814353">
      <w:bodyDiv w:val="1"/>
      <w:marLeft w:val="0"/>
      <w:marRight w:val="0"/>
      <w:marTop w:val="0"/>
      <w:marBottom w:val="0"/>
      <w:divBdr>
        <w:top w:val="none" w:sz="0" w:space="0" w:color="auto"/>
        <w:left w:val="none" w:sz="0" w:space="0" w:color="auto"/>
        <w:bottom w:val="none" w:sz="0" w:space="0" w:color="auto"/>
        <w:right w:val="none" w:sz="0" w:space="0" w:color="auto"/>
      </w:divBdr>
    </w:div>
    <w:div w:id="1974368073">
      <w:bodyDiv w:val="1"/>
      <w:marLeft w:val="0"/>
      <w:marRight w:val="0"/>
      <w:marTop w:val="0"/>
      <w:marBottom w:val="0"/>
      <w:divBdr>
        <w:top w:val="none" w:sz="0" w:space="0" w:color="auto"/>
        <w:left w:val="none" w:sz="0" w:space="0" w:color="auto"/>
        <w:bottom w:val="none" w:sz="0" w:space="0" w:color="auto"/>
        <w:right w:val="none" w:sz="0" w:space="0" w:color="auto"/>
      </w:divBdr>
    </w:div>
    <w:div w:id="20399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nergy.gov.au/energy-and-climate-change-ministerial-council/working-groups/consumer-energy-resources-working-group/national-cer-road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CC8986F7A44450BD1C3C06DFA62DDB"/>
        <w:category>
          <w:name w:val="General"/>
          <w:gallery w:val="placeholder"/>
        </w:category>
        <w:types>
          <w:type w:val="bbPlcHdr"/>
        </w:types>
        <w:behaviors>
          <w:behavior w:val="content"/>
        </w:behaviors>
        <w:guid w:val="{FCB176CE-DD9C-48BB-AE2B-487F1298273D}"/>
      </w:docPartPr>
      <w:docPartBody>
        <w:p w:rsidR="00A17608" w:rsidRDefault="00A17608">
          <w:pPr>
            <w:pStyle w:val="ADCC8986F7A44450BD1C3C06DFA62DDB"/>
          </w:pPr>
          <w:r w:rsidRPr="00543796">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608"/>
    <w:rsid w:val="005D52DA"/>
    <w:rsid w:val="007A42A6"/>
    <w:rsid w:val="00A176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2DA"/>
    <w:rPr>
      <w:color w:val="808080"/>
    </w:rPr>
  </w:style>
  <w:style w:type="paragraph" w:customStyle="1" w:styleId="F686C3D7074B4212B83491AFB6F8F13C">
    <w:name w:val="F686C3D7074B4212B83491AFB6F8F13C"/>
  </w:style>
  <w:style w:type="paragraph" w:customStyle="1" w:styleId="E39A9F67E9CC49C6A858D2419F626A00">
    <w:name w:val="E39A9F67E9CC49C6A858D2419F626A00"/>
  </w:style>
  <w:style w:type="paragraph" w:customStyle="1" w:styleId="ADCC8986F7A44450BD1C3C06DFA62DDB">
    <w:name w:val="ADCC8986F7A44450BD1C3C06DFA62DDB"/>
  </w:style>
  <w:style w:type="paragraph" w:customStyle="1" w:styleId="C381C508B01743658371C84D883FC05F">
    <w:name w:val="C381C508B01743658371C84D883FC05F"/>
  </w:style>
  <w:style w:type="paragraph" w:customStyle="1" w:styleId="5B498D138C4A48C6A39507E5A887B8F1">
    <w:name w:val="5B498D138C4A48C6A39507E5A887B8F1"/>
    <w:rsid w:val="007A42A6"/>
  </w:style>
  <w:style w:type="paragraph" w:customStyle="1" w:styleId="DEE3F7DF9183476AA676306A30DA8F19">
    <w:name w:val="DEE3F7DF9183476AA676306A30DA8F19"/>
    <w:rsid w:val="005D5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Dept IBS">
      <a:dk1>
        <a:sysClr val="windowText" lastClr="000000"/>
      </a:dk1>
      <a:lt1>
        <a:sysClr val="window" lastClr="FFFFFF"/>
      </a:lt1>
      <a:dk2>
        <a:srgbClr val="7F7F7F"/>
      </a:dk2>
      <a:lt2>
        <a:srgbClr val="FFFFFF"/>
      </a:lt2>
      <a:accent1>
        <a:srgbClr val="034EA2"/>
      </a:accent1>
      <a:accent2>
        <a:srgbClr val="007BC3"/>
      </a:accent2>
      <a:accent3>
        <a:srgbClr val="5C676D"/>
      </a:accent3>
      <a:accent4>
        <a:srgbClr val="BFBFC7"/>
      </a:accent4>
      <a:accent5>
        <a:srgbClr val="CBCBCB"/>
      </a:accent5>
      <a:accent6>
        <a:srgbClr val="F2F2F2"/>
      </a:accent6>
      <a:hlink>
        <a:srgbClr val="034EA2"/>
      </a:hlink>
      <a:folHlink>
        <a:srgbClr val="034EA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A_InsertPM" Type="http://schemas.openxmlformats.org/officeDocument/2006/relationships/image" Target="images/A_InsertPM.png"/></Relationships>
</file>

<file path=customUI/customUI14.xml><?xml version="1.0" encoding="utf-8"?>
<customUI xmlns="http://schemas.microsoft.com/office/2009/07/customui">
  <!--<ribbon startFromScratch="false">-->
  <ribbon>
    <tabs>
      <tab idMso="TabHome" visible="false"/>
      <tab id="grpHome" label="Home" keytip="H" insertBeforeMso="TabHome">
        <group idMso="GroupClipboard"/>
        <group idMso="GroupFont"/>
        <group idMso="GroupParagraph"/>
        <group id="pmGroup" label="Options">
          <menu id="mnupm" label="Protective Marking" size="large" imageMso="ProtectDocument">
            <button id="ProtMark1" tag="NONE " label="NONE" imageMso="PivotTableOlapPropertyFields" onAction="RibbonX.ProtMark"/>
            <menuSeparator id="PROTMark0"/>
            <button id="ProtMark2" tag="OFFICIAL" label="OFFICIAL" imageMso="PivotTableOlapPropertyFields" onAction="RibbonX.ProtMark"/>
            <button id="ProtMark3" tag="OFFICIAL: Sensitive" label="OFFICIAL: Sensitive" imageMso="PivotTableOlapPropertyFields" onAction="RibbonX.ProtMark"/>
            <button id="ProtMark4" tag="OFFICIAL: Sensitive: Legal privilege" label="OFFICIAL: Sensitive: Legal privilege" imageMso="PivotTableOlapPropertyFields" onAction="RibbonX.ProtMark"/>
            <button id="ProtMark5" tag="OFFICIAL: Sensitive: Legislative secrecy" label="OFFICIAL: Sensitive: Legislative secrecy" imageMso="PivotTableOlapPropertyFields" onAction="RibbonX.ProtMark"/>
            <button id="ProtMark6" tag="OFFICIAL: Sensitive: Personal privacy" label="OFFICIAL: Sensitive: Personal privacy" imageMso="PivotTableOlapPropertyFields" onAction="RibbonX.ProtMark"/>
            <menuSeparator id="PROTMark1"/>
            <button id="ProtMark7" tag="PROTECTED" label="PROTECTED" imageMso="PivotTableOlapPropertyFields" onAction="RibbonX.ProtMark"/>
            <button id="ProtMark9" tag="PROTECTED: Legal privilege" label="PROTECTED: Legal privilege" imageMso="PivotTableOlapPropertyFields" onAction="RibbonX.ProtMark"/>
            <button id="ProtMark10" tag="PROTECTED: Legislative secrecy" label="PROTECTED: Legislative secrecy" imageMso="PivotTableOlapPropertyFields" onAction="RibbonX.ProtMark"/>
            <button id="ProtMark11" tag="PROTECTED: Personal privacy" label="PROTECTED: Personal privacy" imageMso="PivotTableOlapPropertyFields" onAction="RibbonX.ProtMark"/>
            <menuSeparator id="PROTMark2"/>
            <button id="ProtMark12" tag="PROTECTED // CABINET" label="PROTECTED // CABINET" imageMso="PivotTableOlapPropertyFields" onAction="RibbonX.ProtMark"/>
            <button id="ProtMark13" tag="PROTECTED // CABINET: Legal privilege" label="PROTECTED // CABINET: Legal privilege" imageMso="PivotTableOlapPropertyFields" onAction="RibbonX.ProtMark"/>
            <button id="ProtMark14" tag="PROTECTED // CABINET: Legislative secrecy" label="PROTECTED // CABINET: Legislative secrecy" imageMso="PivotTableOlapPropertyFields" onAction="RibbonX.ProtMark"/>
            <button id="ProtMark15" tag="PROTECTED // CABINET: Personal privacy" label="PROTECTED // CABINET: Personal privacy" imageMso="PivotTableOlapPropertyFields" onAction="RibbonX.ProtMark"/>
          </menu>
        </group>
        <group idMso="GroupStyles"/>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Title>Mandatory security standards and industry-led voluntary cyber security labelling scheme for consumer-grade smart devices</Title>
</root>
</file>

<file path=customXml/item3.xml><?xml version="1.0" encoding="utf-8"?>
<ct:contentTypeSchema xmlns:ct="http://schemas.microsoft.com/office/2006/metadata/contentType" xmlns:ma="http://schemas.microsoft.com/office/2006/metadata/properties/metaAttributes" ct:_="" ma:_="" ma:contentTypeName="Document" ma:contentTypeID="0x01010051289EE03638EF439DC1834B18DA85F9" ma:contentTypeVersion="2" ma:contentTypeDescription="Create a new document." ma:contentTypeScope="" ma:versionID="cbd2ea9bb6e93823d80a6f7a3d243efd">
  <xsd:schema xmlns:xsd="http://www.w3.org/2001/XMLSchema" xmlns:xs="http://www.w3.org/2001/XMLSchema" xmlns:p="http://schemas.microsoft.com/office/2006/metadata/properties" xmlns:ns1="http://schemas.microsoft.com/sharepoint/v3" targetNamespace="http://schemas.microsoft.com/office/2006/metadata/properties" ma:root="true" ma:fieldsID="2d3f29d1156963da99845241f69d8a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5.xml><?xml version="1.0" encoding="utf-8"?>
<Minute_Root xmlns="http://DIBP/Minute">
  <pmlist>PROTECTED // CABINET</pmlist>
  <pm/>
  <dlm/>
  <disclaimer> </disclaimer>
  <disclaimerI> </disclaimerI>
  <covering>None</covering>
  <to xmlns="">Commissioner</to>
</Minute_Root>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6293594B-3A53-4316-9902-F35AC7BFC22A}">
  <ds:schemaRefs>
    <ds:schemaRef ds:uri="http://schemas.microsoft.com/sharepoint/v3/contenttype/forms"/>
  </ds:schemaRefs>
</ds:datastoreItem>
</file>

<file path=customXml/itemProps2.xml><?xml version="1.0" encoding="utf-8"?>
<ds:datastoreItem xmlns:ds="http://schemas.openxmlformats.org/officeDocument/2006/customXml" ds:itemID="{EB3C9613-4F79-4346-8034-732DBACC37CD}">
  <ds:schemaRefs/>
</ds:datastoreItem>
</file>

<file path=customXml/itemProps3.xml><?xml version="1.0" encoding="utf-8"?>
<ds:datastoreItem xmlns:ds="http://schemas.openxmlformats.org/officeDocument/2006/customXml" ds:itemID="{93E07522-6ACA-4512-B38A-D3F1420A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A7C6E-73EC-4552-927A-D30339D2704F}">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A97807E-5449-400F-A642-3237A11B08ED}">
  <ds:schemaRefs>
    <ds:schemaRef ds:uri="http://DIBP/Minute"/>
    <ds:schemaRef ds:uri=""/>
  </ds:schemaRefs>
</ds:datastoreItem>
</file>

<file path=customXml/itemProps6.xml><?xml version="1.0" encoding="utf-8"?>
<ds:datastoreItem xmlns:ds="http://schemas.openxmlformats.org/officeDocument/2006/customXml" ds:itemID="{A0B7584E-41FE-454D-84D1-74FBCC371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4385</Words>
  <Characters>24999</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A4 Factsheet Portrait</vt:lpstr>
    </vt:vector>
  </TitlesOfParts>
  <Company>Australian Government Department of Home Affairs</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Factsheet Portrait</dc:title>
  <dc:creator>Liam BROWN</dc:creator>
  <cp:lastModifiedBy>Lachlan CUSACK</cp:lastModifiedBy>
  <cp:revision>2</cp:revision>
  <cp:lastPrinted>2013-02-13T02:39:00Z</cp:lastPrinted>
  <dcterms:created xsi:type="dcterms:W3CDTF">2025-03-19T00:32:00Z</dcterms:created>
  <dcterms:modified xsi:type="dcterms:W3CDTF">2025-03-19T00:32:00Z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e Disclaimer">
    <vt:lpwstr> </vt:lpwstr>
  </property>
  <property fmtid="{D5CDD505-2E9C-101B-9397-08002B2CF9AE}" pid="3" name="Protective Marking">
    <vt:lpwstr> </vt:lpwstr>
  </property>
  <property fmtid="{D5CDD505-2E9C-101B-9397-08002B2CF9AE}" pid="4" name="DLM">
    <vt:lpwstr> </vt:lpwstr>
  </property>
  <property fmtid="{D5CDD505-2E9C-101B-9397-08002B2CF9AE}" pid="5" name="ContentTypeId">
    <vt:lpwstr>0x01010051289EE03638EF439DC1834B18DA85F9</vt:lpwstr>
  </property>
</Properties>
</file>

<file path=userCustomization/customUI.xml><?xml version="1.0" encoding="utf-8"?>
<mso:customUI xmlns:mso="http://schemas.microsoft.com/office/2006/01/customui">
  <mso:ribbon>
    <mso:qat>
      <mso:documentControls>
        <mso:control idQ="mso:StyleGalleryClassic" visible="true"/>
      </mso:documentControls>
    </mso:qat>
  </mso:ribbon>
</mso:customUI>
</file>