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6A84B" w14:textId="77777777" w:rsidR="008C76E5" w:rsidRPr="003C38DE" w:rsidRDefault="0057002B" w:rsidP="00BB0CF2">
      <w:pPr>
        <w:pStyle w:val="ESTitleHeader"/>
        <w:rPr>
          <w:sz w:val="24"/>
          <w:szCs w:val="24"/>
        </w:rPr>
      </w:pPr>
      <w:r w:rsidRPr="003C38DE">
        <w:rPr>
          <w:sz w:val="24"/>
          <w:szCs w:val="24"/>
        </w:rPr>
        <w:t>EXPLANATORY STATEMENT</w:t>
      </w:r>
    </w:p>
    <w:p w14:paraId="16FE4DB3" w14:textId="77777777" w:rsidR="00C24BE7" w:rsidRPr="003C38DE" w:rsidRDefault="0057002B" w:rsidP="00C24BE7">
      <w:pPr>
        <w:pStyle w:val="ESTitleDecisionMaker"/>
        <w:rPr>
          <w:sz w:val="24"/>
          <w:szCs w:val="24"/>
        </w:rPr>
      </w:pPr>
      <w:r w:rsidRPr="003C38DE">
        <w:rPr>
          <w:sz w:val="24"/>
          <w:szCs w:val="24"/>
        </w:rPr>
        <w:t xml:space="preserve">Issued by authority of the </w:t>
      </w:r>
      <w:r w:rsidR="00C24BE7" w:rsidRPr="003C38DE">
        <w:rPr>
          <w:sz w:val="24"/>
          <w:szCs w:val="24"/>
        </w:rPr>
        <w:t>Minister of Home Affairs</w:t>
      </w:r>
    </w:p>
    <w:p w14:paraId="4EC20C2B" w14:textId="2D8D1A1C" w:rsidR="00C24BE7" w:rsidRPr="003C38DE" w:rsidRDefault="00C24BE7" w:rsidP="7C954629">
      <w:pPr>
        <w:pStyle w:val="ESTitleDecisionMaker"/>
        <w:rPr>
          <w:i/>
          <w:iCs/>
          <w:sz w:val="24"/>
          <w:szCs w:val="24"/>
        </w:rPr>
      </w:pPr>
      <w:r w:rsidRPr="003C38DE">
        <w:rPr>
          <w:i/>
          <w:iCs/>
          <w:sz w:val="24"/>
          <w:szCs w:val="24"/>
        </w:rPr>
        <w:t xml:space="preserve">Cyber Security </w:t>
      </w:r>
      <w:r w:rsidR="0740D9A4" w:rsidRPr="003C38DE">
        <w:rPr>
          <w:i/>
          <w:iCs/>
          <w:sz w:val="24"/>
          <w:szCs w:val="24"/>
        </w:rPr>
        <w:t>Act</w:t>
      </w:r>
      <w:r w:rsidRPr="003C38DE">
        <w:rPr>
          <w:i/>
          <w:iCs/>
          <w:sz w:val="24"/>
          <w:szCs w:val="24"/>
        </w:rPr>
        <w:t xml:space="preserve"> 2024</w:t>
      </w:r>
    </w:p>
    <w:p w14:paraId="7539E6F0" w14:textId="419D75E3" w:rsidR="0057002B" w:rsidRPr="003C38DE" w:rsidRDefault="00C24BE7" w:rsidP="00C24BE7">
      <w:pPr>
        <w:pStyle w:val="ESTitleDecisionMaker"/>
        <w:rPr>
          <w:b/>
          <w:i/>
          <w:sz w:val="24"/>
          <w:szCs w:val="24"/>
        </w:rPr>
      </w:pPr>
      <w:r w:rsidRPr="003C38DE">
        <w:rPr>
          <w:b/>
          <w:i/>
          <w:sz w:val="24"/>
          <w:szCs w:val="24"/>
        </w:rPr>
        <w:t xml:space="preserve">Cyber Security </w:t>
      </w:r>
      <w:r w:rsidR="009E4864" w:rsidRPr="003C38DE">
        <w:rPr>
          <w:b/>
          <w:i/>
          <w:sz w:val="24"/>
          <w:szCs w:val="24"/>
        </w:rPr>
        <w:t xml:space="preserve">(Cyber Incident Review Board) </w:t>
      </w:r>
      <w:r w:rsidRPr="003C38DE">
        <w:rPr>
          <w:b/>
          <w:i/>
          <w:sz w:val="24"/>
          <w:szCs w:val="24"/>
        </w:rPr>
        <w:t>Rules 202</w:t>
      </w:r>
      <w:r w:rsidR="005D4664" w:rsidRPr="003C38DE">
        <w:rPr>
          <w:b/>
          <w:i/>
          <w:sz w:val="24"/>
          <w:szCs w:val="24"/>
        </w:rPr>
        <w:t>5</w:t>
      </w:r>
    </w:p>
    <w:p w14:paraId="2F43C666" w14:textId="3D6769C9" w:rsidR="00D425A7" w:rsidRPr="003C38DE" w:rsidRDefault="00D425A7" w:rsidP="00AB572C">
      <w:pPr>
        <w:pStyle w:val="ESPara"/>
        <w:numPr>
          <w:ilvl w:val="0"/>
          <w:numId w:val="0"/>
        </w:numPr>
        <w:ind w:left="284" w:hanging="360"/>
        <w:rPr>
          <w:b/>
          <w:sz w:val="24"/>
          <w:szCs w:val="24"/>
        </w:rPr>
      </w:pPr>
      <w:r w:rsidRPr="003C38DE">
        <w:rPr>
          <w:b/>
          <w:sz w:val="24"/>
          <w:szCs w:val="24"/>
        </w:rPr>
        <w:t>Legislative Authority</w:t>
      </w:r>
    </w:p>
    <w:p w14:paraId="2451B6E1" w14:textId="67E2D2A8" w:rsidR="0057002B" w:rsidRPr="003C38DE" w:rsidRDefault="0057002B" w:rsidP="004A0ED1">
      <w:pPr>
        <w:pStyle w:val="ESPara"/>
        <w:numPr>
          <w:ilvl w:val="0"/>
          <w:numId w:val="0"/>
        </w:numPr>
        <w:ind w:left="360"/>
        <w:rPr>
          <w:sz w:val="24"/>
          <w:szCs w:val="24"/>
        </w:rPr>
      </w:pPr>
      <w:r w:rsidRPr="003C38DE">
        <w:rPr>
          <w:sz w:val="24"/>
          <w:szCs w:val="24"/>
        </w:rPr>
        <w:t>The</w:t>
      </w:r>
      <w:r w:rsidR="009E4864" w:rsidRPr="003C38DE">
        <w:rPr>
          <w:sz w:val="24"/>
          <w:szCs w:val="24"/>
        </w:rPr>
        <w:t xml:space="preserve"> </w:t>
      </w:r>
      <w:r w:rsidR="009E4864" w:rsidRPr="003C38DE">
        <w:rPr>
          <w:i/>
          <w:sz w:val="24"/>
          <w:szCs w:val="24"/>
        </w:rPr>
        <w:t>Cyber Security (Cyber Incident Review Board</w:t>
      </w:r>
      <w:r w:rsidR="00D425A7" w:rsidRPr="003C38DE">
        <w:rPr>
          <w:i/>
          <w:sz w:val="24"/>
          <w:szCs w:val="24"/>
        </w:rPr>
        <w:t>)</w:t>
      </w:r>
      <w:r w:rsidR="009E4864" w:rsidRPr="003C38DE">
        <w:rPr>
          <w:i/>
          <w:sz w:val="24"/>
          <w:szCs w:val="24"/>
        </w:rPr>
        <w:t xml:space="preserve"> Rules 202</w:t>
      </w:r>
      <w:r w:rsidR="005D4664" w:rsidRPr="003C38DE">
        <w:rPr>
          <w:i/>
          <w:sz w:val="24"/>
          <w:szCs w:val="24"/>
        </w:rPr>
        <w:t>5</w:t>
      </w:r>
      <w:r w:rsidR="009E4864" w:rsidRPr="003C38DE">
        <w:rPr>
          <w:sz w:val="24"/>
          <w:szCs w:val="24"/>
        </w:rPr>
        <w:t xml:space="preserve"> (the</w:t>
      </w:r>
      <w:r w:rsidRPr="003C38DE">
        <w:rPr>
          <w:sz w:val="24"/>
          <w:szCs w:val="24"/>
        </w:rPr>
        <w:t xml:space="preserve"> </w:t>
      </w:r>
      <w:r w:rsidR="00226BDB" w:rsidRPr="003C38DE">
        <w:rPr>
          <w:sz w:val="24"/>
          <w:szCs w:val="24"/>
        </w:rPr>
        <w:t>Rules</w:t>
      </w:r>
      <w:r w:rsidR="00D425A7" w:rsidRPr="003C38DE">
        <w:rPr>
          <w:sz w:val="24"/>
          <w:szCs w:val="24"/>
        </w:rPr>
        <w:t>)</w:t>
      </w:r>
      <w:r w:rsidR="009E4864" w:rsidRPr="003C38DE">
        <w:rPr>
          <w:sz w:val="24"/>
          <w:szCs w:val="24"/>
        </w:rPr>
        <w:t xml:space="preserve"> </w:t>
      </w:r>
      <w:r w:rsidR="00BF3D19" w:rsidRPr="003C38DE">
        <w:rPr>
          <w:sz w:val="24"/>
          <w:szCs w:val="24"/>
        </w:rPr>
        <w:t>are</w:t>
      </w:r>
      <w:r w:rsidR="00593844" w:rsidRPr="003C38DE">
        <w:rPr>
          <w:sz w:val="24"/>
          <w:szCs w:val="24"/>
        </w:rPr>
        <w:t xml:space="preserve"> made under</w:t>
      </w:r>
      <w:r w:rsidR="00226177" w:rsidRPr="003C38DE">
        <w:rPr>
          <w:sz w:val="24"/>
          <w:szCs w:val="24"/>
        </w:rPr>
        <w:t xml:space="preserve"> sections 46, 66, 69, 70 and 73</w:t>
      </w:r>
      <w:r w:rsidR="009E4864" w:rsidRPr="003C38DE">
        <w:rPr>
          <w:sz w:val="24"/>
          <w:szCs w:val="24"/>
        </w:rPr>
        <w:t xml:space="preserve"> of </w:t>
      </w:r>
      <w:r w:rsidRPr="003C38DE">
        <w:rPr>
          <w:sz w:val="24"/>
          <w:szCs w:val="24"/>
        </w:rPr>
        <w:t xml:space="preserve">the </w:t>
      </w:r>
      <w:r w:rsidR="009E4864" w:rsidRPr="003C38DE">
        <w:rPr>
          <w:i/>
          <w:sz w:val="24"/>
          <w:szCs w:val="24"/>
        </w:rPr>
        <w:t>Cyber Security Act</w:t>
      </w:r>
      <w:r w:rsidR="00593844" w:rsidRPr="003C38DE">
        <w:rPr>
          <w:i/>
          <w:sz w:val="24"/>
          <w:szCs w:val="24"/>
        </w:rPr>
        <w:t xml:space="preserve"> 2024 </w:t>
      </w:r>
      <w:r w:rsidR="00593844" w:rsidRPr="003C38DE">
        <w:rPr>
          <w:sz w:val="24"/>
          <w:szCs w:val="24"/>
        </w:rPr>
        <w:t xml:space="preserve">(the </w:t>
      </w:r>
      <w:r w:rsidR="00F77CED" w:rsidRPr="003C38DE">
        <w:rPr>
          <w:sz w:val="24"/>
          <w:szCs w:val="24"/>
        </w:rPr>
        <w:t>Act</w:t>
      </w:r>
      <w:r w:rsidR="00593844" w:rsidRPr="003C38DE">
        <w:rPr>
          <w:sz w:val="24"/>
          <w:szCs w:val="24"/>
        </w:rPr>
        <w:t>)</w:t>
      </w:r>
      <w:r w:rsidRPr="003C38DE">
        <w:rPr>
          <w:sz w:val="24"/>
          <w:szCs w:val="24"/>
        </w:rPr>
        <w:t xml:space="preserve">.  </w:t>
      </w:r>
    </w:p>
    <w:p w14:paraId="1BD503EB" w14:textId="3BBBA6B2" w:rsidR="00EA12C9" w:rsidRPr="003C38DE" w:rsidRDefault="00BD598E" w:rsidP="5D26EAC2">
      <w:pPr>
        <w:pStyle w:val="ESHeading"/>
        <w:rPr>
          <w:i w:val="0"/>
          <w:sz w:val="24"/>
          <w:szCs w:val="24"/>
        </w:rPr>
      </w:pPr>
      <w:r w:rsidRPr="003C38DE">
        <w:rPr>
          <w:i w:val="0"/>
          <w:sz w:val="24"/>
          <w:szCs w:val="24"/>
        </w:rPr>
        <w:t>Purpose</w:t>
      </w:r>
      <w:r w:rsidR="00BB0CF2" w:rsidRPr="003C38DE">
        <w:rPr>
          <w:i w:val="0"/>
          <w:sz w:val="24"/>
          <w:szCs w:val="24"/>
        </w:rPr>
        <w:t xml:space="preserve"> </w:t>
      </w:r>
      <w:r w:rsidR="00D425A7" w:rsidRPr="003C38DE">
        <w:rPr>
          <w:i w:val="0"/>
          <w:sz w:val="24"/>
          <w:szCs w:val="24"/>
        </w:rPr>
        <w:t>and background</w:t>
      </w:r>
    </w:p>
    <w:p w14:paraId="25D5DC34" w14:textId="7378F12C" w:rsidR="00F77CED" w:rsidRPr="003C38DE" w:rsidRDefault="00F77CED" w:rsidP="004A0ED1">
      <w:pPr>
        <w:pStyle w:val="ESPara"/>
        <w:numPr>
          <w:ilvl w:val="0"/>
          <w:numId w:val="0"/>
        </w:numPr>
        <w:ind w:left="360"/>
        <w:rPr>
          <w:sz w:val="24"/>
          <w:szCs w:val="24"/>
        </w:rPr>
      </w:pPr>
      <w:r w:rsidRPr="003C38DE">
        <w:rPr>
          <w:sz w:val="24"/>
          <w:szCs w:val="24"/>
        </w:rPr>
        <w:t>Part</w:t>
      </w:r>
      <w:r w:rsidR="00F33428" w:rsidRPr="003C38DE">
        <w:rPr>
          <w:sz w:val="24"/>
          <w:szCs w:val="24"/>
        </w:rPr>
        <w:t xml:space="preserve"> 5</w:t>
      </w:r>
      <w:r w:rsidRPr="003C38DE">
        <w:rPr>
          <w:sz w:val="24"/>
          <w:szCs w:val="24"/>
        </w:rPr>
        <w:t xml:space="preserve"> of the Act </w:t>
      </w:r>
      <w:r w:rsidR="00691030" w:rsidRPr="003C38DE">
        <w:rPr>
          <w:sz w:val="24"/>
          <w:szCs w:val="24"/>
        </w:rPr>
        <w:t>establishes the</w:t>
      </w:r>
      <w:r w:rsidRPr="003C38DE">
        <w:rPr>
          <w:sz w:val="24"/>
          <w:szCs w:val="24"/>
        </w:rPr>
        <w:t xml:space="preserve"> Cyber Incident Review Board </w:t>
      </w:r>
      <w:r w:rsidR="00D425A7" w:rsidRPr="003C38DE">
        <w:rPr>
          <w:sz w:val="24"/>
          <w:szCs w:val="24"/>
        </w:rPr>
        <w:t xml:space="preserve">(CIRB) </w:t>
      </w:r>
      <w:r w:rsidRPr="003C38DE">
        <w:rPr>
          <w:sz w:val="24"/>
          <w:szCs w:val="24"/>
        </w:rPr>
        <w:t xml:space="preserve">as an independent, advisory body with a remit to conduct no-fault, post-incident reviews of significant cyber security incidents in Australia. Following </w:t>
      </w:r>
      <w:r w:rsidR="00AD3D0F" w:rsidRPr="003C38DE">
        <w:rPr>
          <w:sz w:val="24"/>
          <w:szCs w:val="24"/>
        </w:rPr>
        <w:t xml:space="preserve">its </w:t>
      </w:r>
      <w:r w:rsidR="00691030" w:rsidRPr="003C38DE">
        <w:rPr>
          <w:sz w:val="24"/>
          <w:szCs w:val="24"/>
        </w:rPr>
        <w:t>reviews</w:t>
      </w:r>
      <w:r w:rsidRPr="003C38DE">
        <w:rPr>
          <w:sz w:val="24"/>
          <w:szCs w:val="24"/>
        </w:rPr>
        <w:t xml:space="preserve">, the </w:t>
      </w:r>
      <w:r w:rsidR="00D425A7" w:rsidRPr="003C38DE">
        <w:rPr>
          <w:sz w:val="24"/>
          <w:szCs w:val="24"/>
        </w:rPr>
        <w:t>CIRB</w:t>
      </w:r>
      <w:r w:rsidRPr="003C38DE">
        <w:rPr>
          <w:sz w:val="24"/>
          <w:szCs w:val="24"/>
        </w:rPr>
        <w:t xml:space="preserve"> will disseminate recommendations to both Government and industry to strengthen Australia’s collective cyber resilience. </w:t>
      </w:r>
    </w:p>
    <w:p w14:paraId="4BEB4744" w14:textId="328D0EA6" w:rsidR="00691030" w:rsidRPr="003C38DE" w:rsidRDefault="00691030" w:rsidP="004A0ED1">
      <w:pPr>
        <w:pStyle w:val="ESPara"/>
        <w:numPr>
          <w:ilvl w:val="0"/>
          <w:numId w:val="0"/>
        </w:numPr>
        <w:ind w:left="360"/>
        <w:rPr>
          <w:sz w:val="24"/>
          <w:szCs w:val="24"/>
        </w:rPr>
      </w:pPr>
      <w:r w:rsidRPr="003C38DE">
        <w:rPr>
          <w:sz w:val="24"/>
          <w:szCs w:val="24"/>
        </w:rPr>
        <w:t>The CIRB is comprised of three parts: a Chair</w:t>
      </w:r>
      <w:r w:rsidR="00AD3D0F" w:rsidRPr="003C38DE">
        <w:rPr>
          <w:sz w:val="24"/>
          <w:szCs w:val="24"/>
        </w:rPr>
        <w:t xml:space="preserve"> and</w:t>
      </w:r>
      <w:r w:rsidRPr="003C38DE">
        <w:rPr>
          <w:sz w:val="24"/>
          <w:szCs w:val="24"/>
        </w:rPr>
        <w:t xml:space="preserve"> standing members, </w:t>
      </w:r>
      <w:r w:rsidR="00B93A4B" w:rsidRPr="003C38DE">
        <w:rPr>
          <w:sz w:val="24"/>
          <w:szCs w:val="24"/>
        </w:rPr>
        <w:t xml:space="preserve">which </w:t>
      </w:r>
      <w:r w:rsidRPr="003C38DE">
        <w:rPr>
          <w:sz w:val="24"/>
          <w:szCs w:val="24"/>
        </w:rPr>
        <w:t>together form the core component of the CIRB, and an Expert Panel who form a pool</w:t>
      </w:r>
      <w:r w:rsidR="00AD3D0F" w:rsidRPr="003C38DE">
        <w:rPr>
          <w:sz w:val="24"/>
          <w:szCs w:val="24"/>
        </w:rPr>
        <w:t xml:space="preserve"> of</w:t>
      </w:r>
      <w:r w:rsidRPr="003C38DE">
        <w:rPr>
          <w:sz w:val="24"/>
          <w:szCs w:val="24"/>
        </w:rPr>
        <w:t xml:space="preserve"> industry experts that can be called upon for individual reviews.</w:t>
      </w:r>
      <w:r w:rsidRPr="003C38DE">
        <w:rPr>
          <w:rFonts w:asciiTheme="minorHAnsi" w:hAnsiTheme="minorHAnsi" w:cstheme="minorBidi"/>
          <w:sz w:val="24"/>
          <w:szCs w:val="24"/>
        </w:rPr>
        <w:t xml:space="preserve"> </w:t>
      </w:r>
      <w:r w:rsidRPr="003C38DE">
        <w:rPr>
          <w:sz w:val="24"/>
          <w:szCs w:val="24"/>
        </w:rPr>
        <w:t xml:space="preserve">Each review will be conducted by the Chair, the </w:t>
      </w:r>
      <w:r w:rsidR="00AD3D0F" w:rsidRPr="003C38DE">
        <w:rPr>
          <w:sz w:val="24"/>
          <w:szCs w:val="24"/>
        </w:rPr>
        <w:t>s</w:t>
      </w:r>
      <w:r w:rsidRPr="003C38DE">
        <w:rPr>
          <w:sz w:val="24"/>
          <w:szCs w:val="24"/>
        </w:rPr>
        <w:t xml:space="preserve">tanding </w:t>
      </w:r>
      <w:r w:rsidR="00AD3D0F" w:rsidRPr="003C38DE">
        <w:rPr>
          <w:sz w:val="24"/>
          <w:szCs w:val="24"/>
        </w:rPr>
        <w:t>m</w:t>
      </w:r>
      <w:r w:rsidRPr="003C38DE">
        <w:rPr>
          <w:sz w:val="24"/>
          <w:szCs w:val="24"/>
        </w:rPr>
        <w:t xml:space="preserve">embers and at least two members of the Expert Panel, who will be allocated based on expertise and experience most relevant to the review. </w:t>
      </w:r>
      <w:r w:rsidR="00AD3D0F" w:rsidRPr="003C38DE">
        <w:rPr>
          <w:sz w:val="24"/>
          <w:szCs w:val="24"/>
        </w:rPr>
        <w:t xml:space="preserve">Each </w:t>
      </w:r>
      <w:r w:rsidRPr="003C38DE">
        <w:rPr>
          <w:sz w:val="24"/>
          <w:szCs w:val="24"/>
        </w:rPr>
        <w:t>review</w:t>
      </w:r>
      <w:r w:rsidR="00AD3D0F" w:rsidRPr="003C38DE">
        <w:rPr>
          <w:sz w:val="24"/>
          <w:szCs w:val="24"/>
        </w:rPr>
        <w:t xml:space="preserve"> will</w:t>
      </w:r>
      <w:r w:rsidRPr="003C38DE">
        <w:rPr>
          <w:sz w:val="24"/>
          <w:szCs w:val="24"/>
        </w:rPr>
        <w:t xml:space="preserve"> be conducted in accordance with </w:t>
      </w:r>
      <w:r w:rsidR="00AD3D0F" w:rsidRPr="003C38DE">
        <w:rPr>
          <w:sz w:val="24"/>
          <w:szCs w:val="24"/>
        </w:rPr>
        <w:t>its own specific</w:t>
      </w:r>
      <w:r w:rsidRPr="003C38DE">
        <w:rPr>
          <w:sz w:val="24"/>
          <w:szCs w:val="24"/>
        </w:rPr>
        <w:t xml:space="preserve"> Terms of Reference, which is approved by the Minister. </w:t>
      </w:r>
    </w:p>
    <w:p w14:paraId="2067F00C" w14:textId="6FB7C92C" w:rsidR="00AB572C" w:rsidRPr="003C38DE" w:rsidRDefault="00691030">
      <w:pPr>
        <w:pStyle w:val="ESPara"/>
        <w:numPr>
          <w:ilvl w:val="0"/>
          <w:numId w:val="0"/>
        </w:numPr>
        <w:ind w:left="360"/>
        <w:rPr>
          <w:sz w:val="24"/>
          <w:szCs w:val="24"/>
        </w:rPr>
      </w:pPr>
      <w:r w:rsidRPr="003C38DE">
        <w:rPr>
          <w:sz w:val="24"/>
          <w:szCs w:val="24"/>
        </w:rPr>
        <w:t xml:space="preserve">The Act provides that a number of the machinery aspects of the functioning of the CIRB are to be determined by Rules made by the Minister. </w:t>
      </w:r>
      <w:r w:rsidR="007B159D" w:rsidRPr="003C38DE">
        <w:rPr>
          <w:sz w:val="24"/>
          <w:szCs w:val="24"/>
        </w:rPr>
        <w:t xml:space="preserve"> </w:t>
      </w:r>
      <w:r w:rsidR="00D560AB" w:rsidRPr="003C38DE">
        <w:rPr>
          <w:sz w:val="24"/>
          <w:szCs w:val="24"/>
        </w:rPr>
        <w:t xml:space="preserve">Part 2, </w:t>
      </w:r>
      <w:r w:rsidR="7870A111" w:rsidRPr="003C38DE">
        <w:rPr>
          <w:sz w:val="24"/>
          <w:szCs w:val="24"/>
        </w:rPr>
        <w:t>Division 2 of the</w:t>
      </w:r>
      <w:r w:rsidR="007B159D" w:rsidRPr="003C38DE">
        <w:rPr>
          <w:sz w:val="24"/>
          <w:szCs w:val="24"/>
        </w:rPr>
        <w:t>se</w:t>
      </w:r>
      <w:r w:rsidR="7870A111" w:rsidRPr="003C38DE">
        <w:rPr>
          <w:sz w:val="24"/>
          <w:szCs w:val="24"/>
        </w:rPr>
        <w:t xml:space="preserve"> </w:t>
      </w:r>
      <w:r w:rsidRPr="003C38DE">
        <w:rPr>
          <w:sz w:val="24"/>
          <w:szCs w:val="24"/>
        </w:rPr>
        <w:t>Rules</w:t>
      </w:r>
      <w:r w:rsidR="7870A111" w:rsidRPr="003C38DE">
        <w:rPr>
          <w:sz w:val="24"/>
          <w:szCs w:val="24"/>
        </w:rPr>
        <w:t xml:space="preserve"> </w:t>
      </w:r>
      <w:r w:rsidR="00AB572C" w:rsidRPr="003C38DE">
        <w:rPr>
          <w:sz w:val="24"/>
          <w:szCs w:val="24"/>
        </w:rPr>
        <w:t>prescribe requirements</w:t>
      </w:r>
      <w:r w:rsidRPr="003C38DE">
        <w:rPr>
          <w:sz w:val="24"/>
          <w:szCs w:val="24"/>
        </w:rPr>
        <w:t xml:space="preserve"> relating to how</w:t>
      </w:r>
      <w:r w:rsidR="00543168" w:rsidRPr="003C38DE">
        <w:rPr>
          <w:sz w:val="24"/>
          <w:szCs w:val="24"/>
        </w:rPr>
        <w:t xml:space="preserve"> and what needs to be considered after</w:t>
      </w:r>
      <w:r w:rsidRPr="003C38DE">
        <w:rPr>
          <w:sz w:val="24"/>
          <w:szCs w:val="24"/>
        </w:rPr>
        <w:t xml:space="preserve"> </w:t>
      </w:r>
      <w:r w:rsidR="00543168" w:rsidRPr="003C38DE">
        <w:rPr>
          <w:sz w:val="24"/>
          <w:szCs w:val="24"/>
        </w:rPr>
        <w:t>a written referral to conduct a review is made to the CIRB</w:t>
      </w:r>
      <w:r w:rsidRPr="003C38DE">
        <w:rPr>
          <w:sz w:val="24"/>
          <w:szCs w:val="24"/>
        </w:rPr>
        <w:t xml:space="preserve">. </w:t>
      </w:r>
      <w:r w:rsidR="00AB572C" w:rsidRPr="003C38DE">
        <w:rPr>
          <w:sz w:val="24"/>
          <w:szCs w:val="24"/>
        </w:rPr>
        <w:t>Broadly, Division 2 determines:</w:t>
      </w:r>
    </w:p>
    <w:p w14:paraId="0BBC3015" w14:textId="7B389C7F" w:rsidR="00AB572C" w:rsidRPr="003C38DE" w:rsidRDefault="003C38DE" w:rsidP="003C38DE">
      <w:pPr>
        <w:pStyle w:val="ESPara"/>
        <w:numPr>
          <w:ilvl w:val="0"/>
          <w:numId w:val="30"/>
        </w:numPr>
        <w:ind w:left="709"/>
        <w:rPr>
          <w:sz w:val="24"/>
          <w:szCs w:val="24"/>
        </w:rPr>
      </w:pPr>
      <w:r w:rsidRPr="003C38DE">
        <w:rPr>
          <w:sz w:val="24"/>
          <w:szCs w:val="24"/>
        </w:rPr>
        <w:t>t</w:t>
      </w:r>
      <w:r w:rsidR="00AB572C" w:rsidRPr="003C38DE">
        <w:rPr>
          <w:sz w:val="24"/>
          <w:szCs w:val="24"/>
        </w:rPr>
        <w:t xml:space="preserve">he process the CIRB must take when a referral is made, and what the CIRB must consider when prioritising referrals </w:t>
      </w:r>
      <w:r w:rsidR="00543168" w:rsidRPr="003C38DE">
        <w:rPr>
          <w:sz w:val="24"/>
          <w:szCs w:val="24"/>
        </w:rPr>
        <w:t xml:space="preserve">to </w:t>
      </w:r>
      <w:r w:rsidR="00AB572C" w:rsidRPr="003C38DE">
        <w:rPr>
          <w:sz w:val="24"/>
          <w:szCs w:val="24"/>
        </w:rPr>
        <w:t>the CIRB;</w:t>
      </w:r>
    </w:p>
    <w:p w14:paraId="0A8DCAED" w14:textId="2BCABE01" w:rsidR="00AB572C" w:rsidRPr="003C38DE" w:rsidRDefault="003C38DE" w:rsidP="003C38DE">
      <w:pPr>
        <w:pStyle w:val="ESPara"/>
        <w:numPr>
          <w:ilvl w:val="0"/>
          <w:numId w:val="30"/>
        </w:numPr>
        <w:ind w:left="709"/>
        <w:rPr>
          <w:sz w:val="24"/>
          <w:szCs w:val="24"/>
        </w:rPr>
      </w:pPr>
      <w:r w:rsidRPr="003C38DE">
        <w:rPr>
          <w:sz w:val="24"/>
          <w:szCs w:val="24"/>
        </w:rPr>
        <w:t>w</w:t>
      </w:r>
      <w:r w:rsidR="00AB572C" w:rsidRPr="003C38DE">
        <w:rPr>
          <w:sz w:val="24"/>
          <w:szCs w:val="24"/>
        </w:rPr>
        <w:t xml:space="preserve">hat </w:t>
      </w:r>
      <w:r w:rsidR="00543168" w:rsidRPr="003C38DE">
        <w:rPr>
          <w:sz w:val="24"/>
          <w:szCs w:val="24"/>
        </w:rPr>
        <w:t xml:space="preserve">the </w:t>
      </w:r>
      <w:r w:rsidR="00AB572C" w:rsidRPr="003C38DE">
        <w:rPr>
          <w:sz w:val="24"/>
          <w:szCs w:val="24"/>
        </w:rPr>
        <w:t>terms of reference for a review undertaken by the CIRB must specify; and</w:t>
      </w:r>
    </w:p>
    <w:p w14:paraId="1151E47F" w14:textId="65A86D40" w:rsidR="00AB572C" w:rsidRPr="003C38DE" w:rsidRDefault="003C38DE" w:rsidP="003C38DE">
      <w:pPr>
        <w:pStyle w:val="ESPara"/>
        <w:numPr>
          <w:ilvl w:val="0"/>
          <w:numId w:val="30"/>
        </w:numPr>
        <w:ind w:left="709"/>
        <w:rPr>
          <w:sz w:val="24"/>
          <w:szCs w:val="24"/>
        </w:rPr>
      </w:pPr>
      <w:r w:rsidRPr="003C38DE">
        <w:rPr>
          <w:sz w:val="24"/>
          <w:szCs w:val="24"/>
        </w:rPr>
        <w:t>t</w:t>
      </w:r>
      <w:r w:rsidR="00AB572C" w:rsidRPr="003C38DE">
        <w:rPr>
          <w:sz w:val="24"/>
          <w:szCs w:val="24"/>
        </w:rPr>
        <w:t>he timing and notification of reviews</w:t>
      </w:r>
      <w:r w:rsidR="00543168" w:rsidRPr="003C38DE">
        <w:rPr>
          <w:sz w:val="24"/>
          <w:szCs w:val="24"/>
        </w:rPr>
        <w:t>.</w:t>
      </w:r>
      <w:r w:rsidR="00AB572C" w:rsidRPr="003C38DE">
        <w:rPr>
          <w:sz w:val="24"/>
          <w:szCs w:val="24"/>
        </w:rPr>
        <w:t xml:space="preserve"> </w:t>
      </w:r>
    </w:p>
    <w:p w14:paraId="16417B08" w14:textId="62636B31" w:rsidR="00CE0CE4" w:rsidRPr="003C38DE" w:rsidRDefault="00D560AB" w:rsidP="004A0ED1">
      <w:pPr>
        <w:pStyle w:val="ESPara"/>
        <w:numPr>
          <w:ilvl w:val="0"/>
          <w:numId w:val="0"/>
        </w:numPr>
        <w:ind w:left="360"/>
        <w:rPr>
          <w:sz w:val="24"/>
          <w:szCs w:val="24"/>
        </w:rPr>
      </w:pPr>
      <w:r w:rsidRPr="003C38DE">
        <w:rPr>
          <w:sz w:val="24"/>
          <w:szCs w:val="24"/>
        </w:rPr>
        <w:t xml:space="preserve">Part 2, </w:t>
      </w:r>
      <w:r w:rsidR="00AB572C" w:rsidRPr="003C38DE">
        <w:rPr>
          <w:sz w:val="24"/>
          <w:szCs w:val="24"/>
        </w:rPr>
        <w:t>Divisions 3 and 4 of the Rules respectively prescribe requirements r</w:t>
      </w:r>
      <w:r w:rsidRPr="003C38DE">
        <w:rPr>
          <w:sz w:val="24"/>
          <w:szCs w:val="24"/>
        </w:rPr>
        <w:t>elating to the appointment of standing members, including the Chair, and Expert Panel members. Broadly, Divisions 3 and 4 specify respective requirements for standing members and Expert Panel members relating to:</w:t>
      </w:r>
    </w:p>
    <w:p w14:paraId="1EFE41B4" w14:textId="090C7507" w:rsidR="00D560AB" w:rsidRPr="003C38DE" w:rsidRDefault="003C38DE" w:rsidP="003C38DE">
      <w:pPr>
        <w:pStyle w:val="ESPara"/>
        <w:numPr>
          <w:ilvl w:val="0"/>
          <w:numId w:val="31"/>
        </w:numPr>
        <w:ind w:left="709"/>
        <w:rPr>
          <w:sz w:val="24"/>
          <w:szCs w:val="24"/>
        </w:rPr>
      </w:pPr>
      <w:r w:rsidRPr="003C38DE">
        <w:rPr>
          <w:sz w:val="24"/>
          <w:szCs w:val="24"/>
        </w:rPr>
        <w:t>e</w:t>
      </w:r>
      <w:r w:rsidR="00D560AB" w:rsidRPr="003C38DE">
        <w:rPr>
          <w:sz w:val="24"/>
          <w:szCs w:val="24"/>
        </w:rPr>
        <w:t>ligibility for appointment;</w:t>
      </w:r>
    </w:p>
    <w:p w14:paraId="742F3B6A" w14:textId="4ADD8700" w:rsidR="00D560AB" w:rsidRPr="003C38DE" w:rsidRDefault="003C38DE" w:rsidP="003C38DE">
      <w:pPr>
        <w:pStyle w:val="ESPara"/>
        <w:numPr>
          <w:ilvl w:val="0"/>
          <w:numId w:val="31"/>
        </w:numPr>
        <w:ind w:left="709"/>
        <w:rPr>
          <w:sz w:val="24"/>
          <w:szCs w:val="24"/>
        </w:rPr>
      </w:pPr>
      <w:r w:rsidRPr="003C38DE">
        <w:rPr>
          <w:sz w:val="24"/>
          <w:szCs w:val="24"/>
        </w:rPr>
        <w:t>d</w:t>
      </w:r>
      <w:r w:rsidR="00D560AB" w:rsidRPr="003C38DE">
        <w:rPr>
          <w:sz w:val="24"/>
          <w:szCs w:val="24"/>
        </w:rPr>
        <w:t xml:space="preserve">isclosure of interests, resignation and termination; and </w:t>
      </w:r>
    </w:p>
    <w:p w14:paraId="3A1EACEE" w14:textId="3A9677B0" w:rsidR="00D560AB" w:rsidRPr="003C38DE" w:rsidRDefault="003C38DE" w:rsidP="003C38DE">
      <w:pPr>
        <w:pStyle w:val="ESPara"/>
        <w:numPr>
          <w:ilvl w:val="0"/>
          <w:numId w:val="31"/>
        </w:numPr>
        <w:ind w:left="709"/>
        <w:rPr>
          <w:sz w:val="24"/>
          <w:szCs w:val="24"/>
        </w:rPr>
      </w:pPr>
      <w:r w:rsidRPr="003C38DE">
        <w:rPr>
          <w:sz w:val="24"/>
          <w:szCs w:val="24"/>
        </w:rPr>
        <w:lastRenderedPageBreak/>
        <w:t>o</w:t>
      </w:r>
      <w:r w:rsidR="00D560AB" w:rsidRPr="003C38DE">
        <w:rPr>
          <w:sz w:val="24"/>
          <w:szCs w:val="24"/>
        </w:rPr>
        <w:t xml:space="preserve">ther terms of appointment, including remuneration for the Expert Panel members. </w:t>
      </w:r>
    </w:p>
    <w:p w14:paraId="4B4BC2C2" w14:textId="195EA841" w:rsidR="00D560AB" w:rsidRPr="003C38DE" w:rsidRDefault="00D560AB" w:rsidP="004A0ED1">
      <w:pPr>
        <w:pStyle w:val="ESPara"/>
        <w:numPr>
          <w:ilvl w:val="0"/>
          <w:numId w:val="0"/>
        </w:numPr>
        <w:ind w:left="360"/>
        <w:rPr>
          <w:sz w:val="24"/>
          <w:szCs w:val="24"/>
        </w:rPr>
      </w:pPr>
      <w:r w:rsidRPr="003C38DE">
        <w:rPr>
          <w:sz w:val="24"/>
          <w:szCs w:val="24"/>
        </w:rPr>
        <w:t>Part 2, Division 5 of the Rules specifies other requirements that govern how the CIRB operate</w:t>
      </w:r>
      <w:r w:rsidR="00543168" w:rsidRPr="003C38DE">
        <w:rPr>
          <w:sz w:val="24"/>
          <w:szCs w:val="24"/>
        </w:rPr>
        <w:t>s</w:t>
      </w:r>
      <w:r w:rsidRPr="003C38DE">
        <w:rPr>
          <w:sz w:val="24"/>
          <w:szCs w:val="24"/>
        </w:rPr>
        <w:t xml:space="preserve"> and other procedures relating to the CIRB. For this purpose, Division 5 of the Rules prescribes requirements relating to how CIRB meetings are to be convened and conducted, including the </w:t>
      </w:r>
      <w:r w:rsidR="00543168" w:rsidRPr="003C38DE">
        <w:rPr>
          <w:sz w:val="24"/>
          <w:szCs w:val="24"/>
        </w:rPr>
        <w:t>decision</w:t>
      </w:r>
      <w:r w:rsidRPr="003C38DE">
        <w:rPr>
          <w:sz w:val="24"/>
          <w:szCs w:val="24"/>
        </w:rPr>
        <w:t xml:space="preserve">-making and voting process. </w:t>
      </w:r>
    </w:p>
    <w:p w14:paraId="5F6972A5" w14:textId="16517BE4" w:rsidR="004A0ED1" w:rsidRPr="003C38DE" w:rsidRDefault="00996481" w:rsidP="004A0ED1">
      <w:pPr>
        <w:pStyle w:val="ESPara"/>
        <w:numPr>
          <w:ilvl w:val="0"/>
          <w:numId w:val="0"/>
        </w:numPr>
        <w:ind w:left="360"/>
        <w:rPr>
          <w:sz w:val="24"/>
          <w:szCs w:val="24"/>
        </w:rPr>
      </w:pPr>
      <w:r w:rsidRPr="003C38DE">
        <w:rPr>
          <w:sz w:val="24"/>
          <w:szCs w:val="24"/>
        </w:rPr>
        <w:t xml:space="preserve">The whole of the Rules commence the later of the start of the day after the Rules are registered or at the same time as Part 5 of the Act commences. </w:t>
      </w:r>
    </w:p>
    <w:p w14:paraId="45732716" w14:textId="77777777" w:rsidR="00D560AB" w:rsidRPr="003C38DE" w:rsidRDefault="00D560AB" w:rsidP="00BF3D19">
      <w:pPr>
        <w:pStyle w:val="ESHeading"/>
        <w:rPr>
          <w:i w:val="0"/>
          <w:sz w:val="24"/>
          <w:szCs w:val="24"/>
        </w:rPr>
      </w:pPr>
      <w:r w:rsidRPr="003C38DE">
        <w:rPr>
          <w:i w:val="0"/>
          <w:sz w:val="24"/>
          <w:szCs w:val="24"/>
        </w:rPr>
        <w:t>Consultation</w:t>
      </w:r>
    </w:p>
    <w:p w14:paraId="6DAF491C" w14:textId="0EE05C7D" w:rsidR="00D560AB" w:rsidRPr="003C38DE" w:rsidRDefault="00D560AB" w:rsidP="00BF3D19">
      <w:pPr>
        <w:pStyle w:val="ESPara"/>
        <w:numPr>
          <w:ilvl w:val="0"/>
          <w:numId w:val="0"/>
        </w:numPr>
        <w:ind w:left="360"/>
        <w:rPr>
          <w:sz w:val="24"/>
          <w:szCs w:val="24"/>
        </w:rPr>
      </w:pPr>
      <w:r w:rsidRPr="003C38DE">
        <w:rPr>
          <w:sz w:val="24"/>
          <w:szCs w:val="24"/>
        </w:rPr>
        <w:t xml:space="preserve">The </w:t>
      </w:r>
      <w:r w:rsidR="005200BE" w:rsidRPr="003C38DE">
        <w:rPr>
          <w:sz w:val="24"/>
          <w:szCs w:val="24"/>
        </w:rPr>
        <w:t>Rules are</w:t>
      </w:r>
      <w:r w:rsidRPr="003C38DE">
        <w:rPr>
          <w:sz w:val="24"/>
          <w:szCs w:val="24"/>
        </w:rPr>
        <w:t xml:space="preserve"> made by the Minister for Cyber Security in accordance with the requirements of subsection 87(3) of the Act. This subsection specifies, the Minister, before making or amending Rules under the Act, must publish a notice that: </w:t>
      </w:r>
    </w:p>
    <w:p w14:paraId="7894BA5E" w14:textId="5CA84DDF" w:rsidR="00D560AB" w:rsidRPr="003C38DE" w:rsidRDefault="00D560AB" w:rsidP="003C38DE">
      <w:pPr>
        <w:pStyle w:val="ESPara"/>
        <w:numPr>
          <w:ilvl w:val="1"/>
          <w:numId w:val="1"/>
        </w:numPr>
        <w:ind w:left="709"/>
        <w:rPr>
          <w:sz w:val="24"/>
          <w:szCs w:val="24"/>
        </w:rPr>
      </w:pPr>
      <w:r w:rsidRPr="003C38DE">
        <w:rPr>
          <w:sz w:val="24"/>
          <w:szCs w:val="24"/>
        </w:rPr>
        <w:t>sets out the draft rules or am</w:t>
      </w:r>
      <w:r w:rsidR="00020F2D" w:rsidRPr="003C38DE">
        <w:rPr>
          <w:sz w:val="24"/>
          <w:szCs w:val="24"/>
        </w:rPr>
        <w:t>endments,</w:t>
      </w:r>
      <w:r w:rsidRPr="003C38DE">
        <w:rPr>
          <w:sz w:val="24"/>
          <w:szCs w:val="24"/>
        </w:rPr>
        <w:t xml:space="preserve"> and </w:t>
      </w:r>
    </w:p>
    <w:p w14:paraId="7CBEAA72" w14:textId="117B4D0D" w:rsidR="00D560AB" w:rsidRPr="003C38DE" w:rsidRDefault="00D560AB" w:rsidP="003C38DE">
      <w:pPr>
        <w:pStyle w:val="ESPara"/>
        <w:numPr>
          <w:ilvl w:val="1"/>
          <w:numId w:val="1"/>
        </w:numPr>
        <w:ind w:left="709"/>
        <w:rPr>
          <w:sz w:val="24"/>
          <w:szCs w:val="24"/>
        </w:rPr>
      </w:pPr>
      <w:r w:rsidRPr="003C38DE">
        <w:rPr>
          <w:sz w:val="24"/>
          <w:szCs w:val="24"/>
        </w:rPr>
        <w:t>invite</w:t>
      </w:r>
      <w:r w:rsidR="00D848DE" w:rsidRPr="003C38DE">
        <w:rPr>
          <w:sz w:val="24"/>
          <w:szCs w:val="24"/>
        </w:rPr>
        <w:t>s</w:t>
      </w:r>
      <w:r w:rsidRPr="003C38DE">
        <w:rPr>
          <w:sz w:val="24"/>
          <w:szCs w:val="24"/>
        </w:rPr>
        <w:t xml:space="preserve"> persons to make submissions to the Minister about the draft rules within a p</w:t>
      </w:r>
      <w:r w:rsidR="00020F2D" w:rsidRPr="003C38DE">
        <w:rPr>
          <w:sz w:val="24"/>
          <w:szCs w:val="24"/>
        </w:rPr>
        <w:t>eriod not shorter than 28 days.</w:t>
      </w:r>
    </w:p>
    <w:p w14:paraId="399DD2D2" w14:textId="1A6B08FB" w:rsidR="00D560AB" w:rsidRPr="003C38DE" w:rsidRDefault="008359F1" w:rsidP="008359F1">
      <w:pPr>
        <w:pStyle w:val="ESPara"/>
        <w:numPr>
          <w:ilvl w:val="0"/>
          <w:numId w:val="0"/>
        </w:numPr>
        <w:ind w:left="720" w:hanging="360"/>
        <w:rPr>
          <w:sz w:val="24"/>
          <w:szCs w:val="24"/>
        </w:rPr>
      </w:pPr>
      <w:r w:rsidRPr="003C38DE">
        <w:rPr>
          <w:sz w:val="24"/>
          <w:szCs w:val="24"/>
        </w:rPr>
        <w:t xml:space="preserve">The Minister must also </w:t>
      </w:r>
      <w:r w:rsidR="00D560AB" w:rsidRPr="003C38DE">
        <w:rPr>
          <w:sz w:val="24"/>
          <w:szCs w:val="24"/>
        </w:rPr>
        <w:t xml:space="preserve">consider any submissions received during the period specified in the notice.  </w:t>
      </w:r>
    </w:p>
    <w:p w14:paraId="76ADA26B" w14:textId="77436D68" w:rsidR="00D560AB" w:rsidRPr="003C38DE" w:rsidRDefault="00D560AB" w:rsidP="00B633E4">
      <w:pPr>
        <w:pStyle w:val="ESPara"/>
        <w:numPr>
          <w:ilvl w:val="0"/>
          <w:numId w:val="0"/>
        </w:numPr>
        <w:ind w:left="360"/>
        <w:rPr>
          <w:sz w:val="24"/>
          <w:szCs w:val="24"/>
        </w:rPr>
      </w:pPr>
      <w:r w:rsidRPr="003C38DE">
        <w:rPr>
          <w:sz w:val="24"/>
          <w:szCs w:val="24"/>
        </w:rPr>
        <w:t>In accordance with</w:t>
      </w:r>
      <w:r w:rsidR="005200BE" w:rsidRPr="003C38DE">
        <w:rPr>
          <w:sz w:val="24"/>
          <w:szCs w:val="24"/>
        </w:rPr>
        <w:t xml:space="preserve"> these requirements, the draft R</w:t>
      </w:r>
      <w:r w:rsidRPr="003C38DE">
        <w:rPr>
          <w:sz w:val="24"/>
          <w:szCs w:val="24"/>
        </w:rPr>
        <w:t>ules were published</w:t>
      </w:r>
      <w:r w:rsidR="007308EC" w:rsidRPr="003C38DE">
        <w:rPr>
          <w:sz w:val="24"/>
          <w:szCs w:val="24"/>
        </w:rPr>
        <w:t xml:space="preserve"> on the Department’s website on</w:t>
      </w:r>
      <w:r w:rsidR="003C38DE" w:rsidRPr="003C38DE">
        <w:rPr>
          <w:sz w:val="24"/>
          <w:szCs w:val="24"/>
        </w:rPr>
        <w:t xml:space="preserve"> </w:t>
      </w:r>
      <w:r w:rsidR="007308EC" w:rsidRPr="003C38DE">
        <w:rPr>
          <w:sz w:val="24"/>
          <w:szCs w:val="24"/>
        </w:rPr>
        <w:t>16</w:t>
      </w:r>
      <w:r w:rsidR="003C38DE" w:rsidRPr="003C38DE">
        <w:rPr>
          <w:sz w:val="24"/>
          <w:szCs w:val="24"/>
        </w:rPr>
        <w:t> </w:t>
      </w:r>
      <w:r w:rsidR="007308EC" w:rsidRPr="003C38DE">
        <w:rPr>
          <w:sz w:val="24"/>
          <w:szCs w:val="24"/>
        </w:rPr>
        <w:t xml:space="preserve">December 2024 </w:t>
      </w:r>
      <w:r w:rsidR="002B10CC" w:rsidRPr="003C38DE">
        <w:rPr>
          <w:sz w:val="24"/>
          <w:szCs w:val="24"/>
        </w:rPr>
        <w:t>and closed for submissions on 14 February 2025, with</w:t>
      </w:r>
      <w:r w:rsidRPr="003C38DE">
        <w:rPr>
          <w:sz w:val="24"/>
          <w:szCs w:val="24"/>
        </w:rPr>
        <w:t xml:space="preserve"> </w:t>
      </w:r>
      <w:r w:rsidR="003737FD" w:rsidRPr="003C38DE">
        <w:rPr>
          <w:sz w:val="24"/>
          <w:szCs w:val="24"/>
        </w:rPr>
        <w:t xml:space="preserve">37 </w:t>
      </w:r>
      <w:r w:rsidRPr="003C38DE">
        <w:rPr>
          <w:sz w:val="24"/>
          <w:szCs w:val="24"/>
        </w:rPr>
        <w:t xml:space="preserve">submissions received. </w:t>
      </w:r>
      <w:r w:rsidR="003737FD" w:rsidRPr="003C38DE">
        <w:rPr>
          <w:sz w:val="24"/>
          <w:szCs w:val="24"/>
        </w:rPr>
        <w:t>The majority of submissions were broadly support</w:t>
      </w:r>
      <w:r w:rsidR="005D4664" w:rsidRPr="003C38DE">
        <w:rPr>
          <w:sz w:val="24"/>
          <w:szCs w:val="24"/>
        </w:rPr>
        <w:t>ive</w:t>
      </w:r>
      <w:r w:rsidR="003737FD" w:rsidRPr="003C38DE">
        <w:rPr>
          <w:sz w:val="24"/>
          <w:szCs w:val="24"/>
        </w:rPr>
        <w:t xml:space="preserve"> of the proposed </w:t>
      </w:r>
      <w:r w:rsidR="00843CA7" w:rsidRPr="003C38DE">
        <w:rPr>
          <w:sz w:val="24"/>
          <w:szCs w:val="24"/>
        </w:rPr>
        <w:t>Rules</w:t>
      </w:r>
      <w:r w:rsidR="003737FD" w:rsidRPr="003C38DE">
        <w:rPr>
          <w:sz w:val="24"/>
          <w:szCs w:val="24"/>
        </w:rPr>
        <w:t xml:space="preserve">, with several stakeholders requesting the Department publish further guidance material on the functions and governance arrangements for the </w:t>
      </w:r>
      <w:r w:rsidR="00843CA7" w:rsidRPr="003C38DE">
        <w:rPr>
          <w:sz w:val="24"/>
          <w:szCs w:val="24"/>
        </w:rPr>
        <w:t>CIRB</w:t>
      </w:r>
      <w:r w:rsidR="003737FD" w:rsidRPr="003C38DE">
        <w:rPr>
          <w:sz w:val="24"/>
          <w:szCs w:val="24"/>
        </w:rPr>
        <w:t>.</w:t>
      </w:r>
      <w:r w:rsidRPr="003C38DE">
        <w:rPr>
          <w:sz w:val="24"/>
          <w:szCs w:val="24"/>
        </w:rPr>
        <w:t xml:space="preserve"> </w:t>
      </w:r>
    </w:p>
    <w:p w14:paraId="7E3CE4CB" w14:textId="32A5BD16" w:rsidR="00D560AB" w:rsidRPr="003C38DE" w:rsidRDefault="00D560AB" w:rsidP="00B633E4">
      <w:pPr>
        <w:pStyle w:val="ESPara"/>
        <w:numPr>
          <w:ilvl w:val="0"/>
          <w:numId w:val="0"/>
        </w:numPr>
        <w:ind w:left="360"/>
        <w:rPr>
          <w:sz w:val="24"/>
          <w:szCs w:val="24"/>
        </w:rPr>
      </w:pPr>
      <w:r w:rsidRPr="003C38DE">
        <w:rPr>
          <w:sz w:val="24"/>
          <w:szCs w:val="24"/>
        </w:rPr>
        <w:t xml:space="preserve">The Department </w:t>
      </w:r>
      <w:r w:rsidR="003737FD" w:rsidRPr="003C38DE">
        <w:rPr>
          <w:sz w:val="24"/>
          <w:szCs w:val="24"/>
        </w:rPr>
        <w:t>consulted broadly across the Australian economy, including peak bodies, businesses and across the public sector.</w:t>
      </w:r>
      <w:r w:rsidRPr="003C38DE">
        <w:rPr>
          <w:sz w:val="24"/>
          <w:szCs w:val="24"/>
        </w:rPr>
        <w:t xml:space="preserve"> </w:t>
      </w:r>
      <w:r w:rsidR="003737FD" w:rsidRPr="003C38DE">
        <w:rPr>
          <w:sz w:val="24"/>
          <w:szCs w:val="24"/>
        </w:rPr>
        <w:t xml:space="preserve">The Department hosted 7 deep dive sessions in January and February 2025 for all of the rules, with over 900 attendees cumulatively across the sessions, and an average of 130 attendees per session. The Cyber Incident Review Board deep dive sessions saw over 180 attendees across two sessions. </w:t>
      </w:r>
    </w:p>
    <w:p w14:paraId="01223EC1" w14:textId="12F9FB85" w:rsidR="00D560AB" w:rsidRPr="003C38DE" w:rsidRDefault="00D560AB" w:rsidP="00B633E4">
      <w:pPr>
        <w:pStyle w:val="ESPara"/>
        <w:numPr>
          <w:ilvl w:val="0"/>
          <w:numId w:val="0"/>
        </w:numPr>
        <w:ind w:left="360"/>
        <w:rPr>
          <w:sz w:val="24"/>
          <w:szCs w:val="24"/>
        </w:rPr>
      </w:pPr>
      <w:r w:rsidRPr="003C38DE">
        <w:rPr>
          <w:sz w:val="24"/>
          <w:szCs w:val="24"/>
        </w:rPr>
        <w:t xml:space="preserve">In these circumstances, the Minister was satisfied that appropriate consultation was undertaken, in accordance with section 17 of the </w:t>
      </w:r>
      <w:r w:rsidRPr="003C38DE">
        <w:rPr>
          <w:i/>
          <w:sz w:val="24"/>
          <w:szCs w:val="24"/>
        </w:rPr>
        <w:t>Legislation Act 2003</w:t>
      </w:r>
      <w:r w:rsidR="00226177" w:rsidRPr="003C38DE">
        <w:rPr>
          <w:sz w:val="24"/>
          <w:szCs w:val="24"/>
        </w:rPr>
        <w:t xml:space="preserve"> </w:t>
      </w:r>
      <w:r w:rsidRPr="003C38DE">
        <w:rPr>
          <w:sz w:val="24"/>
          <w:szCs w:val="24"/>
        </w:rPr>
        <w:t xml:space="preserve">because: </w:t>
      </w:r>
    </w:p>
    <w:p w14:paraId="0E4B35BA" w14:textId="0DAE95E4" w:rsidR="00D26C86" w:rsidRPr="003C38DE" w:rsidRDefault="00D560AB" w:rsidP="003C38DE">
      <w:pPr>
        <w:pStyle w:val="ESPara"/>
        <w:numPr>
          <w:ilvl w:val="1"/>
          <w:numId w:val="1"/>
        </w:numPr>
        <w:ind w:left="709"/>
        <w:rPr>
          <w:sz w:val="24"/>
          <w:szCs w:val="24"/>
        </w:rPr>
      </w:pPr>
      <w:r w:rsidRPr="003C38DE">
        <w:rPr>
          <w:sz w:val="24"/>
          <w:szCs w:val="24"/>
        </w:rPr>
        <w:t xml:space="preserve">persons likely to be affected by the </w:t>
      </w:r>
      <w:r w:rsidR="005200BE" w:rsidRPr="003C38DE">
        <w:rPr>
          <w:sz w:val="24"/>
          <w:szCs w:val="24"/>
        </w:rPr>
        <w:t>Rules</w:t>
      </w:r>
      <w:r w:rsidRPr="003C38DE">
        <w:rPr>
          <w:sz w:val="24"/>
          <w:szCs w:val="24"/>
        </w:rPr>
        <w:t xml:space="preserve"> had an adequate opportunity to comment on the draft </w:t>
      </w:r>
      <w:r w:rsidR="005200BE" w:rsidRPr="003C38DE">
        <w:rPr>
          <w:sz w:val="24"/>
          <w:szCs w:val="24"/>
        </w:rPr>
        <w:t>Rules</w:t>
      </w:r>
      <w:r w:rsidR="00D26C86" w:rsidRPr="003C38DE">
        <w:rPr>
          <w:sz w:val="24"/>
          <w:szCs w:val="24"/>
        </w:rPr>
        <w:t xml:space="preserve"> for a period of at least 28 days, </w:t>
      </w:r>
      <w:r w:rsidR="009E764C" w:rsidRPr="003C38DE">
        <w:rPr>
          <w:sz w:val="24"/>
          <w:szCs w:val="24"/>
        </w:rPr>
        <w:t>with significant consultation across the</w:t>
      </w:r>
      <w:r w:rsidR="00D26C86" w:rsidRPr="003C38DE">
        <w:rPr>
          <w:sz w:val="24"/>
          <w:szCs w:val="24"/>
        </w:rPr>
        <w:t xml:space="preserve"> economy;</w:t>
      </w:r>
      <w:r w:rsidR="005D4664" w:rsidRPr="003C38DE">
        <w:rPr>
          <w:sz w:val="24"/>
          <w:szCs w:val="24"/>
        </w:rPr>
        <w:t xml:space="preserve"> and</w:t>
      </w:r>
    </w:p>
    <w:p w14:paraId="13D86B4B" w14:textId="0A5EE959" w:rsidR="00D560AB" w:rsidRPr="003C38DE" w:rsidRDefault="005D4664" w:rsidP="003C38DE">
      <w:pPr>
        <w:pStyle w:val="ESPara"/>
        <w:numPr>
          <w:ilvl w:val="1"/>
          <w:numId w:val="1"/>
        </w:numPr>
        <w:ind w:left="709"/>
        <w:rPr>
          <w:sz w:val="24"/>
          <w:szCs w:val="24"/>
        </w:rPr>
      </w:pPr>
      <w:r w:rsidRPr="003C38DE">
        <w:rPr>
          <w:sz w:val="24"/>
          <w:szCs w:val="24"/>
        </w:rPr>
        <w:t xml:space="preserve">throughout the consultation process, affected persons did not raise any significant concerns regarding the </w:t>
      </w:r>
      <w:r w:rsidR="005200BE" w:rsidRPr="003C38DE">
        <w:rPr>
          <w:sz w:val="24"/>
          <w:szCs w:val="24"/>
        </w:rPr>
        <w:t>R</w:t>
      </w:r>
      <w:r w:rsidRPr="003C38DE">
        <w:rPr>
          <w:sz w:val="24"/>
          <w:szCs w:val="24"/>
        </w:rPr>
        <w:t>ules</w:t>
      </w:r>
      <w:r w:rsidR="00D560AB" w:rsidRPr="003C38DE">
        <w:rPr>
          <w:sz w:val="24"/>
          <w:szCs w:val="24"/>
        </w:rPr>
        <w:t xml:space="preserve">.  </w:t>
      </w:r>
    </w:p>
    <w:p w14:paraId="465B7599" w14:textId="0802279A" w:rsidR="00D560AB" w:rsidRPr="003C38DE" w:rsidRDefault="00D560AB" w:rsidP="00B633E4">
      <w:pPr>
        <w:pStyle w:val="ESPara"/>
        <w:numPr>
          <w:ilvl w:val="0"/>
          <w:numId w:val="0"/>
        </w:numPr>
        <w:ind w:left="720" w:hanging="360"/>
        <w:rPr>
          <w:sz w:val="24"/>
          <w:szCs w:val="24"/>
        </w:rPr>
      </w:pPr>
      <w:r w:rsidRPr="003C38DE">
        <w:rPr>
          <w:sz w:val="24"/>
          <w:szCs w:val="24"/>
        </w:rPr>
        <w:t xml:space="preserve">An </w:t>
      </w:r>
      <w:r w:rsidR="007B159D" w:rsidRPr="003C38DE">
        <w:rPr>
          <w:sz w:val="24"/>
          <w:szCs w:val="24"/>
        </w:rPr>
        <w:t>i</w:t>
      </w:r>
      <w:r w:rsidRPr="003C38DE">
        <w:rPr>
          <w:sz w:val="24"/>
          <w:szCs w:val="24"/>
        </w:rPr>
        <w:t xml:space="preserve">mpact </w:t>
      </w:r>
      <w:r w:rsidR="007B159D" w:rsidRPr="003C38DE">
        <w:rPr>
          <w:sz w:val="24"/>
          <w:szCs w:val="24"/>
        </w:rPr>
        <w:t>a</w:t>
      </w:r>
      <w:r w:rsidRPr="003C38DE">
        <w:rPr>
          <w:sz w:val="24"/>
          <w:szCs w:val="24"/>
        </w:rPr>
        <w:t xml:space="preserve">nalysis statement </w:t>
      </w:r>
      <w:r w:rsidR="005D4664" w:rsidRPr="003C38DE">
        <w:rPr>
          <w:sz w:val="24"/>
          <w:szCs w:val="24"/>
        </w:rPr>
        <w:t xml:space="preserve">was not required </w:t>
      </w:r>
      <w:r w:rsidRPr="003C38DE">
        <w:rPr>
          <w:sz w:val="24"/>
          <w:szCs w:val="24"/>
        </w:rPr>
        <w:t>by the Office of Impact Analysis</w:t>
      </w:r>
      <w:r w:rsidR="005D4664" w:rsidRPr="003C38DE">
        <w:rPr>
          <w:sz w:val="24"/>
          <w:szCs w:val="24"/>
        </w:rPr>
        <w:t>.</w:t>
      </w:r>
      <w:r w:rsidRPr="003C38DE">
        <w:rPr>
          <w:sz w:val="24"/>
          <w:szCs w:val="24"/>
        </w:rPr>
        <w:t xml:space="preserve"> </w:t>
      </w:r>
    </w:p>
    <w:p w14:paraId="51F03B38" w14:textId="1CDA3FFC" w:rsidR="009E4864" w:rsidRPr="003C38DE" w:rsidRDefault="00226177" w:rsidP="009E4864">
      <w:pPr>
        <w:pStyle w:val="ESHeading"/>
        <w:rPr>
          <w:i w:val="0"/>
          <w:sz w:val="24"/>
          <w:szCs w:val="24"/>
        </w:rPr>
      </w:pPr>
      <w:r w:rsidRPr="003C38DE">
        <w:rPr>
          <w:i w:val="0"/>
          <w:sz w:val="24"/>
          <w:szCs w:val="24"/>
        </w:rPr>
        <w:lastRenderedPageBreak/>
        <w:t>Other matters</w:t>
      </w:r>
    </w:p>
    <w:p w14:paraId="084D9903" w14:textId="2221CB9C" w:rsidR="00BF3D19" w:rsidRPr="003C38DE" w:rsidRDefault="00226177" w:rsidP="004A0ED1">
      <w:pPr>
        <w:pStyle w:val="ESPara"/>
        <w:numPr>
          <w:ilvl w:val="0"/>
          <w:numId w:val="0"/>
        </w:numPr>
        <w:ind w:left="360"/>
        <w:rPr>
          <w:sz w:val="24"/>
          <w:szCs w:val="24"/>
        </w:rPr>
      </w:pPr>
      <w:r w:rsidRPr="003C38DE">
        <w:rPr>
          <w:sz w:val="24"/>
          <w:szCs w:val="24"/>
        </w:rPr>
        <w:t xml:space="preserve">The </w:t>
      </w:r>
      <w:r w:rsidR="005200BE" w:rsidRPr="003C38DE">
        <w:rPr>
          <w:sz w:val="24"/>
          <w:szCs w:val="24"/>
        </w:rPr>
        <w:t>Rules are</w:t>
      </w:r>
      <w:r w:rsidRPr="003C38DE">
        <w:rPr>
          <w:sz w:val="24"/>
          <w:szCs w:val="24"/>
        </w:rPr>
        <w:t xml:space="preserve"> a legislative instrument for the purposes of the </w:t>
      </w:r>
      <w:r w:rsidRPr="003C38DE">
        <w:rPr>
          <w:i/>
          <w:sz w:val="24"/>
          <w:szCs w:val="24"/>
        </w:rPr>
        <w:t>Legislation Act 2003</w:t>
      </w:r>
      <w:r w:rsidRPr="003C38DE">
        <w:rPr>
          <w:sz w:val="24"/>
          <w:szCs w:val="24"/>
        </w:rPr>
        <w:t xml:space="preserve"> and is subject to disallowance. </w:t>
      </w:r>
    </w:p>
    <w:p w14:paraId="081CC5FD" w14:textId="22856887" w:rsidR="009E4864" w:rsidRPr="003C38DE" w:rsidRDefault="005200BE" w:rsidP="004A0ED1">
      <w:pPr>
        <w:pStyle w:val="ESPara"/>
        <w:numPr>
          <w:ilvl w:val="0"/>
          <w:numId w:val="0"/>
        </w:numPr>
        <w:ind w:left="360"/>
        <w:rPr>
          <w:sz w:val="24"/>
          <w:szCs w:val="24"/>
        </w:rPr>
      </w:pPr>
      <w:r w:rsidRPr="003C38DE">
        <w:rPr>
          <w:sz w:val="24"/>
          <w:szCs w:val="24"/>
        </w:rPr>
        <w:t>Details of the Rules</w:t>
      </w:r>
      <w:r w:rsidR="009E4864" w:rsidRPr="003C38DE">
        <w:rPr>
          <w:sz w:val="24"/>
          <w:szCs w:val="24"/>
        </w:rPr>
        <w:t xml:space="preserve"> are set out in </w:t>
      </w:r>
      <w:r w:rsidR="009E4864" w:rsidRPr="003C38DE">
        <w:rPr>
          <w:b/>
          <w:sz w:val="24"/>
          <w:szCs w:val="24"/>
          <w:u w:val="single"/>
        </w:rPr>
        <w:t>Attachment A</w:t>
      </w:r>
      <w:r w:rsidR="009E4864" w:rsidRPr="003C38DE">
        <w:rPr>
          <w:sz w:val="24"/>
          <w:szCs w:val="24"/>
        </w:rPr>
        <w:t xml:space="preserve">.  </w:t>
      </w:r>
    </w:p>
    <w:p w14:paraId="58FE522B" w14:textId="2E54CD16" w:rsidR="00226177" w:rsidRPr="003C38DE" w:rsidRDefault="009E4864" w:rsidP="00360638">
      <w:pPr>
        <w:pStyle w:val="ESPara"/>
        <w:numPr>
          <w:ilvl w:val="0"/>
          <w:numId w:val="0"/>
        </w:numPr>
        <w:ind w:left="360"/>
        <w:rPr>
          <w:sz w:val="24"/>
          <w:szCs w:val="24"/>
        </w:rPr>
      </w:pPr>
      <w:r w:rsidRPr="003C38DE">
        <w:rPr>
          <w:sz w:val="24"/>
          <w:szCs w:val="24"/>
        </w:rPr>
        <w:t xml:space="preserve">A Statement of Compatibility with Human Rights provides that the </w:t>
      </w:r>
      <w:r w:rsidR="005200BE" w:rsidRPr="003C38DE">
        <w:rPr>
          <w:sz w:val="24"/>
          <w:szCs w:val="24"/>
        </w:rPr>
        <w:t>Rules are</w:t>
      </w:r>
      <w:r w:rsidRPr="003C38DE">
        <w:rPr>
          <w:sz w:val="24"/>
          <w:szCs w:val="24"/>
        </w:rPr>
        <w:t xml:space="preserve"> compatible with human rights because it promotes the protection of human rights, and to the extent that it may limit human rights, those limitations are reasonable, necessary and proportionate to pursue the legitimate objective of national security and public order. The Statement is included at </w:t>
      </w:r>
      <w:r w:rsidRPr="003C38DE">
        <w:rPr>
          <w:b/>
          <w:sz w:val="24"/>
          <w:szCs w:val="24"/>
          <w:u w:val="single"/>
        </w:rPr>
        <w:t>Attachment B</w:t>
      </w:r>
      <w:r w:rsidRPr="003C38DE">
        <w:rPr>
          <w:sz w:val="24"/>
          <w:szCs w:val="24"/>
        </w:rPr>
        <w:t>.</w:t>
      </w:r>
    </w:p>
    <w:p w14:paraId="4983E9E2" w14:textId="3BFA5C44" w:rsidR="00BF3D19" w:rsidRPr="003C38DE" w:rsidRDefault="00BF3D19">
      <w:pPr>
        <w:rPr>
          <w:rFonts w:ascii="Times New Roman" w:hAnsi="Times New Roman" w:cs="Times New Roman"/>
          <w:sz w:val="24"/>
          <w:szCs w:val="24"/>
        </w:rPr>
      </w:pPr>
      <w:r w:rsidRPr="003C38DE">
        <w:rPr>
          <w:sz w:val="24"/>
          <w:szCs w:val="24"/>
        </w:rPr>
        <w:br w:type="page"/>
      </w:r>
    </w:p>
    <w:p w14:paraId="0EB27439" w14:textId="77777777" w:rsidR="00BF3D19" w:rsidRPr="003C38DE" w:rsidRDefault="00BF3D19" w:rsidP="00BF3D19">
      <w:pPr>
        <w:pStyle w:val="ESPara"/>
        <w:numPr>
          <w:ilvl w:val="0"/>
          <w:numId w:val="0"/>
        </w:numPr>
        <w:ind w:left="720" w:hanging="360"/>
        <w:rPr>
          <w:sz w:val="24"/>
          <w:szCs w:val="24"/>
        </w:rPr>
      </w:pPr>
    </w:p>
    <w:p w14:paraId="48803BC3" w14:textId="77777777" w:rsidR="004F5CE4" w:rsidRPr="003C38DE" w:rsidRDefault="00593844" w:rsidP="00100DFC">
      <w:pPr>
        <w:pStyle w:val="ESAttAttName"/>
        <w:rPr>
          <w:sz w:val="24"/>
          <w:szCs w:val="24"/>
        </w:rPr>
      </w:pPr>
      <w:r w:rsidRPr="003C38DE">
        <w:rPr>
          <w:sz w:val="24"/>
          <w:szCs w:val="24"/>
        </w:rPr>
        <w:t>ATTACHMENT A</w:t>
      </w:r>
    </w:p>
    <w:p w14:paraId="109CEEE1" w14:textId="24B0401E" w:rsidR="007E4691" w:rsidRPr="003C38DE" w:rsidRDefault="007E4691" w:rsidP="00100DFC">
      <w:pPr>
        <w:pStyle w:val="ESAttHeading"/>
        <w:rPr>
          <w:sz w:val="24"/>
          <w:szCs w:val="24"/>
          <w:u w:val="single"/>
        </w:rPr>
      </w:pPr>
      <w:r w:rsidRPr="003C38DE">
        <w:rPr>
          <w:sz w:val="24"/>
          <w:szCs w:val="24"/>
          <w:u w:val="single"/>
        </w:rPr>
        <w:t>Details of the</w:t>
      </w:r>
      <w:r w:rsidR="00593844" w:rsidRPr="003C38DE">
        <w:rPr>
          <w:i/>
          <w:sz w:val="24"/>
          <w:szCs w:val="24"/>
          <w:u w:val="single"/>
        </w:rPr>
        <w:t xml:space="preserve"> Cyber Security</w:t>
      </w:r>
      <w:r w:rsidR="0015708E" w:rsidRPr="003C38DE">
        <w:rPr>
          <w:i/>
          <w:sz w:val="24"/>
          <w:szCs w:val="24"/>
          <w:u w:val="single"/>
        </w:rPr>
        <w:t xml:space="preserve"> (Cyber Incident Review Board)</w:t>
      </w:r>
      <w:r w:rsidR="00593844" w:rsidRPr="003C38DE">
        <w:rPr>
          <w:i/>
          <w:sz w:val="24"/>
          <w:szCs w:val="24"/>
          <w:u w:val="single"/>
        </w:rPr>
        <w:t xml:space="preserve"> Rules 202</w:t>
      </w:r>
      <w:r w:rsidR="005D4664" w:rsidRPr="003C38DE">
        <w:rPr>
          <w:i/>
          <w:sz w:val="24"/>
          <w:szCs w:val="24"/>
          <w:u w:val="single"/>
        </w:rPr>
        <w:t>5</w:t>
      </w:r>
      <w:r w:rsidR="00BB0CF2" w:rsidRPr="003C38DE">
        <w:rPr>
          <w:sz w:val="24"/>
          <w:szCs w:val="24"/>
          <w:u w:val="single"/>
        </w:rPr>
        <w:t xml:space="preserve"> </w:t>
      </w:r>
    </w:p>
    <w:p w14:paraId="3CD1EB3B" w14:textId="77777777" w:rsidR="00367E19" w:rsidRPr="003C38DE" w:rsidRDefault="00367E19" w:rsidP="00100DFC">
      <w:pPr>
        <w:pStyle w:val="ESAttHeading"/>
        <w:rPr>
          <w:sz w:val="24"/>
          <w:szCs w:val="24"/>
        </w:rPr>
      </w:pPr>
      <w:r w:rsidRPr="003C38DE">
        <w:rPr>
          <w:sz w:val="24"/>
          <w:szCs w:val="24"/>
        </w:rPr>
        <w:t>Part 1 – Preliminary</w:t>
      </w:r>
    </w:p>
    <w:p w14:paraId="368F611A" w14:textId="77777777" w:rsidR="007E4691" w:rsidRPr="003C38DE" w:rsidRDefault="007E4691" w:rsidP="00100DFC">
      <w:pPr>
        <w:pStyle w:val="ESAttHeading"/>
        <w:rPr>
          <w:b w:val="0"/>
          <w:sz w:val="24"/>
          <w:szCs w:val="24"/>
        </w:rPr>
      </w:pPr>
      <w:r w:rsidRPr="003C38DE">
        <w:rPr>
          <w:sz w:val="24"/>
          <w:szCs w:val="24"/>
        </w:rPr>
        <w:t>Section 1</w:t>
      </w:r>
      <w:r w:rsidRPr="003C38DE">
        <w:rPr>
          <w:sz w:val="24"/>
          <w:szCs w:val="24"/>
        </w:rPr>
        <w:tab/>
        <w:t>Name</w:t>
      </w:r>
    </w:p>
    <w:p w14:paraId="154166E7" w14:textId="1373B632" w:rsidR="007E4691" w:rsidRPr="003C38DE" w:rsidRDefault="007E4691" w:rsidP="004A0ED1">
      <w:pPr>
        <w:pStyle w:val="ESPara"/>
        <w:numPr>
          <w:ilvl w:val="0"/>
          <w:numId w:val="0"/>
        </w:numPr>
        <w:ind w:left="360"/>
        <w:rPr>
          <w:sz w:val="24"/>
          <w:szCs w:val="24"/>
        </w:rPr>
      </w:pPr>
      <w:r w:rsidRPr="003C38DE">
        <w:rPr>
          <w:sz w:val="24"/>
          <w:szCs w:val="24"/>
        </w:rPr>
        <w:t xml:space="preserve">This section provides that the name of the instrument is the </w:t>
      </w:r>
      <w:r w:rsidR="00CD5D6D" w:rsidRPr="003C38DE">
        <w:rPr>
          <w:i/>
          <w:sz w:val="24"/>
          <w:szCs w:val="24"/>
        </w:rPr>
        <w:t xml:space="preserve">Cyber Security </w:t>
      </w:r>
      <w:r w:rsidR="005077C3" w:rsidRPr="003C38DE">
        <w:rPr>
          <w:i/>
          <w:sz w:val="24"/>
          <w:szCs w:val="24"/>
        </w:rPr>
        <w:t xml:space="preserve">(Cyber Incident Review Board) Rules </w:t>
      </w:r>
      <w:r w:rsidR="00CD5D6D" w:rsidRPr="003C38DE">
        <w:rPr>
          <w:i/>
          <w:sz w:val="24"/>
          <w:szCs w:val="24"/>
        </w:rPr>
        <w:t>202</w:t>
      </w:r>
      <w:r w:rsidR="005D4664" w:rsidRPr="003C38DE">
        <w:rPr>
          <w:i/>
          <w:sz w:val="24"/>
          <w:szCs w:val="24"/>
        </w:rPr>
        <w:t>5</w:t>
      </w:r>
      <w:r w:rsidR="0015708E" w:rsidRPr="003C38DE">
        <w:rPr>
          <w:sz w:val="24"/>
          <w:szCs w:val="24"/>
        </w:rPr>
        <w:t xml:space="preserve"> (the R</w:t>
      </w:r>
      <w:r w:rsidR="009C0318" w:rsidRPr="003C38DE">
        <w:rPr>
          <w:sz w:val="24"/>
          <w:szCs w:val="24"/>
        </w:rPr>
        <w:t>ules)</w:t>
      </w:r>
      <w:r w:rsidRPr="003C38DE">
        <w:rPr>
          <w:sz w:val="24"/>
          <w:szCs w:val="24"/>
        </w:rPr>
        <w:t xml:space="preserve">.  </w:t>
      </w:r>
    </w:p>
    <w:p w14:paraId="6C274550" w14:textId="77777777" w:rsidR="007E4691" w:rsidRPr="003C38DE" w:rsidRDefault="007E4691" w:rsidP="00100DFC">
      <w:pPr>
        <w:pStyle w:val="ESAttHeading"/>
        <w:rPr>
          <w:b w:val="0"/>
          <w:sz w:val="24"/>
          <w:szCs w:val="24"/>
        </w:rPr>
      </w:pPr>
      <w:r w:rsidRPr="003C38DE">
        <w:rPr>
          <w:sz w:val="24"/>
          <w:szCs w:val="24"/>
        </w:rPr>
        <w:t>Section 2</w:t>
      </w:r>
      <w:r w:rsidRPr="003C38DE">
        <w:rPr>
          <w:sz w:val="24"/>
          <w:szCs w:val="24"/>
        </w:rPr>
        <w:tab/>
        <w:t>Commencement</w:t>
      </w:r>
    </w:p>
    <w:p w14:paraId="6D5C361A" w14:textId="77080EA1" w:rsidR="005F7CD5" w:rsidRPr="003C38DE" w:rsidRDefault="009C0318" w:rsidP="004A0ED1">
      <w:pPr>
        <w:pStyle w:val="ESPara"/>
        <w:numPr>
          <w:ilvl w:val="0"/>
          <w:numId w:val="0"/>
        </w:numPr>
        <w:ind w:left="720" w:hanging="360"/>
        <w:rPr>
          <w:sz w:val="24"/>
          <w:szCs w:val="24"/>
        </w:rPr>
      </w:pPr>
      <w:r w:rsidRPr="003C38DE">
        <w:rPr>
          <w:sz w:val="24"/>
          <w:szCs w:val="24"/>
        </w:rPr>
        <w:t>Section 2 provides for the commencement of the Rules</w:t>
      </w:r>
      <w:r w:rsidR="005F7CD5" w:rsidRPr="003C38DE">
        <w:rPr>
          <w:sz w:val="24"/>
          <w:szCs w:val="24"/>
        </w:rPr>
        <w:t xml:space="preserve">. </w:t>
      </w:r>
    </w:p>
    <w:p w14:paraId="3177F784" w14:textId="1F41F8CD" w:rsidR="001E21A2" w:rsidRPr="003C38DE" w:rsidRDefault="001E21A2" w:rsidP="004A0ED1">
      <w:pPr>
        <w:pStyle w:val="ESPara"/>
        <w:numPr>
          <w:ilvl w:val="0"/>
          <w:numId w:val="0"/>
        </w:numPr>
        <w:ind w:left="360"/>
        <w:rPr>
          <w:sz w:val="24"/>
          <w:szCs w:val="24"/>
        </w:rPr>
      </w:pPr>
      <w:r w:rsidRPr="003C38DE">
        <w:rPr>
          <w:sz w:val="24"/>
          <w:szCs w:val="24"/>
        </w:rPr>
        <w:t xml:space="preserve">Subsection 2(1) provides that each provision of </w:t>
      </w:r>
      <w:r w:rsidR="005200BE" w:rsidRPr="003C38DE">
        <w:rPr>
          <w:sz w:val="24"/>
          <w:szCs w:val="24"/>
        </w:rPr>
        <w:t>Rules</w:t>
      </w:r>
      <w:r w:rsidRPr="003C38DE">
        <w:rPr>
          <w:sz w:val="24"/>
          <w:szCs w:val="24"/>
        </w:rPr>
        <w:t xml:space="preserve"> specified in column 1 of the table</w:t>
      </w:r>
      <w:r w:rsidR="004A0ED1" w:rsidRPr="003C38DE">
        <w:rPr>
          <w:sz w:val="24"/>
          <w:szCs w:val="24"/>
        </w:rPr>
        <w:t xml:space="preserve"> </w:t>
      </w:r>
      <w:r w:rsidRPr="003C38DE">
        <w:rPr>
          <w:sz w:val="24"/>
          <w:szCs w:val="24"/>
        </w:rPr>
        <w:t>commences, or is taken to have commenced, in accordance with column 2 of the table.  </w:t>
      </w:r>
    </w:p>
    <w:p w14:paraId="32D1F874" w14:textId="197533F5" w:rsidR="001E21A2" w:rsidRPr="003C38DE" w:rsidRDefault="001E21A2" w:rsidP="004A0ED1">
      <w:pPr>
        <w:pStyle w:val="ESPara"/>
        <w:numPr>
          <w:ilvl w:val="0"/>
          <w:numId w:val="0"/>
        </w:numPr>
        <w:ind w:left="720" w:hanging="360"/>
        <w:rPr>
          <w:sz w:val="24"/>
          <w:szCs w:val="24"/>
        </w:rPr>
      </w:pPr>
      <w:r w:rsidRPr="003C38DE">
        <w:rPr>
          <w:sz w:val="24"/>
          <w:szCs w:val="24"/>
        </w:rPr>
        <w:t xml:space="preserve">The effect of column </w:t>
      </w:r>
      <w:r w:rsidR="007B159D" w:rsidRPr="003C38DE">
        <w:rPr>
          <w:sz w:val="24"/>
          <w:szCs w:val="24"/>
        </w:rPr>
        <w:t xml:space="preserve">2 </w:t>
      </w:r>
      <w:r w:rsidRPr="003C38DE">
        <w:rPr>
          <w:sz w:val="24"/>
          <w:szCs w:val="24"/>
        </w:rPr>
        <w:t xml:space="preserve">is that the whole of </w:t>
      </w:r>
      <w:r w:rsidR="005200BE" w:rsidRPr="003C38DE">
        <w:rPr>
          <w:sz w:val="24"/>
          <w:szCs w:val="24"/>
        </w:rPr>
        <w:t>the Rules</w:t>
      </w:r>
      <w:r w:rsidRPr="003C38DE">
        <w:rPr>
          <w:sz w:val="24"/>
          <w:szCs w:val="24"/>
        </w:rPr>
        <w:t xml:space="preserve"> will commence on the later of the start of: </w:t>
      </w:r>
    </w:p>
    <w:p w14:paraId="4E6287D5" w14:textId="65748B15" w:rsidR="001E21A2" w:rsidRPr="003C38DE" w:rsidRDefault="001E21A2" w:rsidP="003C38DE">
      <w:pPr>
        <w:pStyle w:val="ESAttHeading"/>
        <w:numPr>
          <w:ilvl w:val="1"/>
          <w:numId w:val="12"/>
        </w:numPr>
        <w:tabs>
          <w:tab w:val="clear" w:pos="1440"/>
          <w:tab w:val="num" w:pos="1134"/>
        </w:tabs>
        <w:ind w:left="709"/>
        <w:rPr>
          <w:b w:val="0"/>
          <w:sz w:val="24"/>
          <w:szCs w:val="24"/>
        </w:rPr>
      </w:pPr>
      <w:r w:rsidRPr="003C38DE">
        <w:rPr>
          <w:b w:val="0"/>
          <w:sz w:val="24"/>
          <w:szCs w:val="24"/>
        </w:rPr>
        <w:t xml:space="preserve">the day after </w:t>
      </w:r>
      <w:r w:rsidR="005200BE" w:rsidRPr="003C38DE">
        <w:rPr>
          <w:b w:val="0"/>
          <w:sz w:val="24"/>
          <w:szCs w:val="24"/>
        </w:rPr>
        <w:t>the Rules are</w:t>
      </w:r>
      <w:r w:rsidRPr="003C38DE">
        <w:rPr>
          <w:b w:val="0"/>
          <w:sz w:val="24"/>
          <w:szCs w:val="24"/>
        </w:rPr>
        <w:t xml:space="preserve"> registered; </w:t>
      </w:r>
      <w:r w:rsidR="007B159D" w:rsidRPr="003C38DE">
        <w:rPr>
          <w:b w:val="0"/>
          <w:sz w:val="24"/>
          <w:szCs w:val="24"/>
        </w:rPr>
        <w:t>or</w:t>
      </w:r>
      <w:r w:rsidR="007B159D" w:rsidRPr="003C38DE">
        <w:rPr>
          <w:b w:val="0"/>
          <w:sz w:val="24"/>
          <w:szCs w:val="24"/>
          <w:lang w:val="en-US"/>
        </w:rPr>
        <w:t> </w:t>
      </w:r>
    </w:p>
    <w:p w14:paraId="501E737B" w14:textId="43089279" w:rsidR="001E21A2" w:rsidRPr="003C38DE" w:rsidRDefault="007B159D" w:rsidP="003C38DE">
      <w:pPr>
        <w:pStyle w:val="ESAttHeading"/>
        <w:numPr>
          <w:ilvl w:val="1"/>
          <w:numId w:val="12"/>
        </w:numPr>
        <w:tabs>
          <w:tab w:val="clear" w:pos="1440"/>
          <w:tab w:val="num" w:pos="1134"/>
        </w:tabs>
        <w:ind w:left="709"/>
        <w:rPr>
          <w:b w:val="0"/>
          <w:sz w:val="24"/>
          <w:szCs w:val="24"/>
        </w:rPr>
      </w:pPr>
      <w:r w:rsidRPr="003C38DE">
        <w:rPr>
          <w:b w:val="0"/>
          <w:sz w:val="24"/>
          <w:szCs w:val="24"/>
        </w:rPr>
        <w:t>a</w:t>
      </w:r>
      <w:r w:rsidR="00CE6F99" w:rsidRPr="003C38DE">
        <w:rPr>
          <w:b w:val="0"/>
          <w:sz w:val="24"/>
          <w:szCs w:val="24"/>
        </w:rPr>
        <w:t>t</w:t>
      </w:r>
      <w:r w:rsidR="007E455E" w:rsidRPr="003C38DE">
        <w:rPr>
          <w:b w:val="0"/>
          <w:sz w:val="24"/>
          <w:szCs w:val="24"/>
        </w:rPr>
        <w:t xml:space="preserve"> the same time as Part 5</w:t>
      </w:r>
      <w:r w:rsidR="001E21A2" w:rsidRPr="003C38DE">
        <w:rPr>
          <w:b w:val="0"/>
          <w:sz w:val="24"/>
          <w:szCs w:val="24"/>
        </w:rPr>
        <w:t xml:space="preserve"> of the </w:t>
      </w:r>
      <w:r w:rsidR="001E21A2" w:rsidRPr="003C38DE">
        <w:rPr>
          <w:b w:val="0"/>
          <w:i/>
          <w:iCs/>
          <w:sz w:val="24"/>
          <w:szCs w:val="24"/>
        </w:rPr>
        <w:t xml:space="preserve">Cyber Security Act 2024 </w:t>
      </w:r>
      <w:r w:rsidR="001E21A2" w:rsidRPr="003C38DE">
        <w:rPr>
          <w:b w:val="0"/>
          <w:sz w:val="24"/>
          <w:szCs w:val="24"/>
        </w:rPr>
        <w:t>(the Act) commences.</w:t>
      </w:r>
      <w:r w:rsidR="001E21A2" w:rsidRPr="003C38DE">
        <w:rPr>
          <w:b w:val="0"/>
          <w:sz w:val="24"/>
          <w:szCs w:val="24"/>
          <w:lang w:val="en-US"/>
        </w:rPr>
        <w:t> </w:t>
      </w:r>
    </w:p>
    <w:p w14:paraId="2C5C4EFE" w14:textId="73D6E1E6" w:rsidR="007E455E" w:rsidRPr="003C38DE" w:rsidRDefault="007E455E" w:rsidP="004A0ED1">
      <w:pPr>
        <w:pStyle w:val="ESPara"/>
        <w:numPr>
          <w:ilvl w:val="0"/>
          <w:numId w:val="0"/>
        </w:numPr>
        <w:ind w:left="360"/>
        <w:rPr>
          <w:sz w:val="24"/>
          <w:szCs w:val="24"/>
        </w:rPr>
      </w:pPr>
      <w:r w:rsidRPr="003C38DE">
        <w:rPr>
          <w:sz w:val="24"/>
          <w:szCs w:val="24"/>
        </w:rPr>
        <w:t xml:space="preserve">Part 5 of the Act will commence </w:t>
      </w:r>
      <w:r w:rsidR="004336FC" w:rsidRPr="003C38DE">
        <w:rPr>
          <w:sz w:val="24"/>
          <w:szCs w:val="24"/>
        </w:rPr>
        <w:t>on a single day to be fixed by Proclamation, or will other</w:t>
      </w:r>
      <w:r w:rsidR="007B159D" w:rsidRPr="003C38DE">
        <w:rPr>
          <w:sz w:val="24"/>
          <w:szCs w:val="24"/>
        </w:rPr>
        <w:t>wise</w:t>
      </w:r>
      <w:r w:rsidR="004336FC" w:rsidRPr="003C38DE">
        <w:rPr>
          <w:sz w:val="24"/>
          <w:szCs w:val="24"/>
        </w:rPr>
        <w:t xml:space="preserve"> commence automatically 6 months after the day the Act received Royal Assent</w:t>
      </w:r>
      <w:r w:rsidR="007B159D" w:rsidRPr="003C38DE">
        <w:rPr>
          <w:sz w:val="24"/>
          <w:szCs w:val="24"/>
        </w:rPr>
        <w:t xml:space="preserve">; this means that Part 5 would commence on </w:t>
      </w:r>
      <w:r w:rsidRPr="003C38DE">
        <w:rPr>
          <w:sz w:val="24"/>
          <w:szCs w:val="24"/>
        </w:rPr>
        <w:t xml:space="preserve">29 </w:t>
      </w:r>
      <w:r w:rsidR="004336FC" w:rsidRPr="003C38DE">
        <w:rPr>
          <w:sz w:val="24"/>
          <w:szCs w:val="24"/>
        </w:rPr>
        <w:t xml:space="preserve">May </w:t>
      </w:r>
      <w:r w:rsidRPr="003C38DE">
        <w:rPr>
          <w:sz w:val="24"/>
          <w:szCs w:val="24"/>
        </w:rPr>
        <w:t>2025</w:t>
      </w:r>
      <w:r w:rsidR="007B159D" w:rsidRPr="003C38DE">
        <w:rPr>
          <w:sz w:val="24"/>
          <w:szCs w:val="24"/>
        </w:rPr>
        <w:t xml:space="preserve"> if not proclaimed earlier</w:t>
      </w:r>
      <w:r w:rsidR="004336FC" w:rsidRPr="003C38DE">
        <w:rPr>
          <w:sz w:val="24"/>
          <w:szCs w:val="24"/>
        </w:rPr>
        <w:t>.</w:t>
      </w:r>
    </w:p>
    <w:p w14:paraId="3B41033C" w14:textId="2C6A3A33" w:rsidR="001E21A2" w:rsidRPr="003C38DE" w:rsidRDefault="007E455E" w:rsidP="004A0ED1">
      <w:pPr>
        <w:pStyle w:val="ESPara"/>
        <w:numPr>
          <w:ilvl w:val="0"/>
          <w:numId w:val="0"/>
        </w:numPr>
        <w:ind w:left="360"/>
        <w:rPr>
          <w:sz w:val="24"/>
          <w:szCs w:val="24"/>
        </w:rPr>
      </w:pPr>
      <w:r w:rsidRPr="003C38DE">
        <w:rPr>
          <w:sz w:val="24"/>
          <w:szCs w:val="24"/>
        </w:rPr>
        <w:t>The</w:t>
      </w:r>
      <w:r w:rsidR="001E21A2" w:rsidRPr="003C38DE">
        <w:rPr>
          <w:sz w:val="24"/>
          <w:szCs w:val="24"/>
        </w:rPr>
        <w:t xml:space="preserve"> note at the foot of the table explains that the table relates only to the provisions of the </w:t>
      </w:r>
      <w:r w:rsidR="005200BE" w:rsidRPr="003C38DE">
        <w:rPr>
          <w:sz w:val="24"/>
          <w:szCs w:val="24"/>
        </w:rPr>
        <w:t>Rules</w:t>
      </w:r>
      <w:r w:rsidR="001E21A2" w:rsidRPr="003C38DE">
        <w:rPr>
          <w:sz w:val="24"/>
          <w:szCs w:val="24"/>
        </w:rPr>
        <w:t xml:space="preserve"> as originally enacted. The table will not be amended to deal with any later amendments of the </w:t>
      </w:r>
      <w:r w:rsidR="005200BE" w:rsidRPr="003C38DE">
        <w:rPr>
          <w:sz w:val="24"/>
          <w:szCs w:val="24"/>
        </w:rPr>
        <w:t>Rules</w:t>
      </w:r>
      <w:r w:rsidR="0091358D" w:rsidRPr="003C38DE">
        <w:rPr>
          <w:sz w:val="24"/>
          <w:szCs w:val="24"/>
        </w:rPr>
        <w:t>.</w:t>
      </w:r>
      <w:r w:rsidR="001E21A2" w:rsidRPr="003C38DE">
        <w:rPr>
          <w:sz w:val="24"/>
          <w:szCs w:val="24"/>
        </w:rPr>
        <w:t> </w:t>
      </w:r>
    </w:p>
    <w:p w14:paraId="582E1F2F" w14:textId="34BF685F" w:rsidR="001E21A2" w:rsidRPr="003C38DE" w:rsidRDefault="001E21A2" w:rsidP="004A0ED1">
      <w:pPr>
        <w:pStyle w:val="ESPara"/>
        <w:numPr>
          <w:ilvl w:val="0"/>
          <w:numId w:val="0"/>
        </w:numPr>
        <w:ind w:left="360"/>
        <w:rPr>
          <w:sz w:val="24"/>
          <w:szCs w:val="24"/>
        </w:rPr>
      </w:pPr>
      <w:r w:rsidRPr="003C38DE">
        <w:rPr>
          <w:sz w:val="24"/>
          <w:szCs w:val="24"/>
        </w:rPr>
        <w:t xml:space="preserve">Subsection 2(2) provides that any information in column 3 of the table is not part of the </w:t>
      </w:r>
      <w:r w:rsidR="005200BE" w:rsidRPr="003C38DE">
        <w:rPr>
          <w:sz w:val="24"/>
          <w:szCs w:val="24"/>
        </w:rPr>
        <w:t>Rules</w:t>
      </w:r>
      <w:r w:rsidRPr="003C38DE">
        <w:rPr>
          <w:sz w:val="24"/>
          <w:szCs w:val="24"/>
        </w:rPr>
        <w:t xml:space="preserve"> Information may be inserted in this column, or information in it may be edited, in any published version of the </w:t>
      </w:r>
      <w:r w:rsidR="005200BE" w:rsidRPr="003C38DE">
        <w:rPr>
          <w:sz w:val="24"/>
          <w:szCs w:val="24"/>
        </w:rPr>
        <w:t>Rules.</w:t>
      </w:r>
      <w:r w:rsidRPr="003C38DE">
        <w:rPr>
          <w:sz w:val="24"/>
          <w:szCs w:val="24"/>
        </w:rPr>
        <w:t> </w:t>
      </w:r>
    </w:p>
    <w:p w14:paraId="731C5B23" w14:textId="06933392" w:rsidR="005A3733" w:rsidRPr="003C38DE" w:rsidRDefault="00915032" w:rsidP="005A3733">
      <w:pPr>
        <w:pStyle w:val="ESAttHeading"/>
        <w:rPr>
          <w:sz w:val="24"/>
          <w:szCs w:val="24"/>
        </w:rPr>
      </w:pPr>
      <w:r w:rsidRPr="003C38DE">
        <w:rPr>
          <w:sz w:val="24"/>
          <w:szCs w:val="24"/>
        </w:rPr>
        <w:t>Section 3</w:t>
      </w:r>
      <w:r w:rsidRPr="003C38DE">
        <w:rPr>
          <w:sz w:val="24"/>
          <w:szCs w:val="24"/>
        </w:rPr>
        <w:tab/>
      </w:r>
      <w:r w:rsidR="00593844" w:rsidRPr="003C38DE">
        <w:rPr>
          <w:sz w:val="24"/>
          <w:szCs w:val="24"/>
        </w:rPr>
        <w:t>Authority</w:t>
      </w:r>
    </w:p>
    <w:p w14:paraId="6BBA5B18" w14:textId="5BA81CA3" w:rsidR="00593844" w:rsidRPr="003C38DE" w:rsidRDefault="00593844" w:rsidP="004A0ED1">
      <w:pPr>
        <w:pStyle w:val="ESPara"/>
        <w:numPr>
          <w:ilvl w:val="0"/>
          <w:numId w:val="0"/>
        </w:numPr>
        <w:ind w:left="720" w:hanging="360"/>
        <w:rPr>
          <w:sz w:val="24"/>
          <w:szCs w:val="24"/>
        </w:rPr>
      </w:pPr>
      <w:r w:rsidRPr="003C38DE">
        <w:rPr>
          <w:sz w:val="24"/>
          <w:szCs w:val="24"/>
        </w:rPr>
        <w:t>This section provides that the</w:t>
      </w:r>
      <w:r w:rsidR="00946A7A" w:rsidRPr="003C38DE">
        <w:rPr>
          <w:sz w:val="24"/>
          <w:szCs w:val="24"/>
        </w:rPr>
        <w:t xml:space="preserve"> </w:t>
      </w:r>
      <w:r w:rsidR="0015708E" w:rsidRPr="003C38DE">
        <w:rPr>
          <w:sz w:val="24"/>
          <w:szCs w:val="24"/>
        </w:rPr>
        <w:t>Rules</w:t>
      </w:r>
      <w:r w:rsidR="00367E19" w:rsidRPr="003C38DE">
        <w:rPr>
          <w:sz w:val="24"/>
          <w:szCs w:val="24"/>
        </w:rPr>
        <w:t xml:space="preserve"> are</w:t>
      </w:r>
      <w:r w:rsidR="001E21A2" w:rsidRPr="003C38DE">
        <w:rPr>
          <w:sz w:val="24"/>
          <w:szCs w:val="24"/>
        </w:rPr>
        <w:t xml:space="preserve"> made under the Act. </w:t>
      </w:r>
      <w:r w:rsidR="00D47BFC" w:rsidRPr="003C38DE">
        <w:rPr>
          <w:sz w:val="24"/>
          <w:szCs w:val="24"/>
        </w:rPr>
        <w:t xml:space="preserve"> </w:t>
      </w:r>
    </w:p>
    <w:p w14:paraId="4A6561BE" w14:textId="77777777" w:rsidR="00593844" w:rsidRPr="003C38DE" w:rsidRDefault="00593844" w:rsidP="00593844">
      <w:pPr>
        <w:pStyle w:val="ESAttHeading"/>
        <w:rPr>
          <w:sz w:val="24"/>
          <w:szCs w:val="24"/>
        </w:rPr>
      </w:pPr>
      <w:r w:rsidRPr="003C38DE">
        <w:rPr>
          <w:sz w:val="24"/>
          <w:szCs w:val="24"/>
        </w:rPr>
        <w:t>Section 4</w:t>
      </w:r>
      <w:r w:rsidRPr="003C38DE">
        <w:rPr>
          <w:sz w:val="24"/>
          <w:szCs w:val="24"/>
        </w:rPr>
        <w:tab/>
        <w:t>Definitions</w:t>
      </w:r>
    </w:p>
    <w:p w14:paraId="226663BA" w14:textId="1B6F3E79" w:rsidR="001E21A2" w:rsidRPr="003C38DE" w:rsidRDefault="001E21A2" w:rsidP="004A0ED1">
      <w:pPr>
        <w:pStyle w:val="ESPara"/>
        <w:numPr>
          <w:ilvl w:val="0"/>
          <w:numId w:val="0"/>
        </w:numPr>
        <w:ind w:left="720" w:hanging="360"/>
        <w:rPr>
          <w:rStyle w:val="eop"/>
          <w:b/>
          <w:sz w:val="24"/>
          <w:szCs w:val="24"/>
        </w:rPr>
      </w:pPr>
      <w:r w:rsidRPr="003C38DE">
        <w:rPr>
          <w:rStyle w:val="normaltextrun"/>
          <w:color w:val="000000"/>
          <w:sz w:val="24"/>
          <w:szCs w:val="24"/>
          <w:shd w:val="clear" w:color="auto" w:fill="FFFFFF"/>
        </w:rPr>
        <w:t xml:space="preserve">Section 4 sets out the </w:t>
      </w:r>
      <w:r w:rsidR="003C1A75" w:rsidRPr="003C38DE">
        <w:rPr>
          <w:rStyle w:val="normaltextrun"/>
          <w:color w:val="000000"/>
          <w:sz w:val="24"/>
          <w:szCs w:val="24"/>
          <w:shd w:val="clear" w:color="auto" w:fill="FFFFFF"/>
        </w:rPr>
        <w:t>definition of terms used in the</w:t>
      </w:r>
      <w:r w:rsidRPr="003C38DE">
        <w:rPr>
          <w:rStyle w:val="normaltextrun"/>
          <w:color w:val="000000"/>
          <w:sz w:val="24"/>
          <w:szCs w:val="24"/>
          <w:shd w:val="clear" w:color="auto" w:fill="FFFFFF"/>
        </w:rPr>
        <w:t xml:space="preserve"> </w:t>
      </w:r>
      <w:r w:rsidR="005200BE" w:rsidRPr="003C38DE">
        <w:rPr>
          <w:rStyle w:val="normaltextrun"/>
          <w:color w:val="000000"/>
          <w:sz w:val="24"/>
          <w:szCs w:val="24"/>
          <w:shd w:val="clear" w:color="auto" w:fill="FFFFFF"/>
        </w:rPr>
        <w:t>Rules.</w:t>
      </w:r>
    </w:p>
    <w:p w14:paraId="30D7B21F" w14:textId="000DF7AD" w:rsidR="001E21A2" w:rsidRPr="003C38DE" w:rsidRDefault="001E21A2" w:rsidP="004A0ED1">
      <w:pPr>
        <w:pStyle w:val="ESPara"/>
        <w:numPr>
          <w:ilvl w:val="0"/>
          <w:numId w:val="0"/>
        </w:numPr>
        <w:ind w:left="360"/>
        <w:rPr>
          <w:rStyle w:val="eop"/>
          <w:sz w:val="24"/>
          <w:szCs w:val="24"/>
        </w:rPr>
      </w:pPr>
      <w:r w:rsidRPr="003C38DE">
        <w:rPr>
          <w:rStyle w:val="normaltextrun"/>
          <w:color w:val="000000"/>
          <w:sz w:val="24"/>
          <w:szCs w:val="24"/>
          <w:shd w:val="clear" w:color="auto" w:fill="FFFFFF"/>
        </w:rPr>
        <w:t xml:space="preserve">The note in this section provides that </w:t>
      </w:r>
      <w:r w:rsidR="004336FC" w:rsidRPr="003C38DE">
        <w:rPr>
          <w:rStyle w:val="normaltextrun"/>
          <w:color w:val="000000"/>
          <w:sz w:val="24"/>
          <w:szCs w:val="24"/>
          <w:shd w:val="clear" w:color="auto" w:fill="FFFFFF"/>
        </w:rPr>
        <w:t xml:space="preserve">a number of </w:t>
      </w:r>
      <w:r w:rsidRPr="003C38DE">
        <w:rPr>
          <w:rStyle w:val="normaltextrun"/>
          <w:color w:val="000000"/>
          <w:sz w:val="24"/>
          <w:szCs w:val="24"/>
          <w:shd w:val="clear" w:color="auto" w:fill="FFFFFF"/>
        </w:rPr>
        <w:t>expressions</w:t>
      </w:r>
      <w:r w:rsidR="005200BE" w:rsidRPr="003C38DE">
        <w:rPr>
          <w:rStyle w:val="normaltextrun"/>
          <w:color w:val="000000"/>
          <w:sz w:val="24"/>
          <w:szCs w:val="24"/>
          <w:shd w:val="clear" w:color="auto" w:fill="FFFFFF"/>
        </w:rPr>
        <w:t xml:space="preserve"> used in the Rules</w:t>
      </w:r>
      <w:r w:rsidR="004336FC" w:rsidRPr="003C38DE">
        <w:rPr>
          <w:rStyle w:val="normaltextrun"/>
          <w:color w:val="000000"/>
          <w:sz w:val="24"/>
          <w:szCs w:val="24"/>
          <w:shd w:val="clear" w:color="auto" w:fill="FFFFFF"/>
        </w:rPr>
        <w:t xml:space="preserve"> are defined in the Act, including</w:t>
      </w:r>
      <w:r w:rsidRPr="003C38DE">
        <w:rPr>
          <w:rStyle w:val="normaltextrun"/>
          <w:color w:val="000000"/>
          <w:sz w:val="24"/>
          <w:szCs w:val="24"/>
          <w:shd w:val="clear" w:color="auto" w:fill="FFFFFF"/>
        </w:rPr>
        <w:t xml:space="preserve"> </w:t>
      </w:r>
      <w:r w:rsidR="0091358D" w:rsidRPr="003C38DE">
        <w:rPr>
          <w:rStyle w:val="normaltextrun"/>
          <w:color w:val="000000"/>
          <w:sz w:val="24"/>
          <w:szCs w:val="24"/>
          <w:shd w:val="clear" w:color="auto" w:fill="FFFFFF"/>
        </w:rPr>
        <w:t xml:space="preserve">Chair, </w:t>
      </w:r>
      <w:r w:rsidRPr="003C38DE">
        <w:rPr>
          <w:rStyle w:val="normaltextrun"/>
          <w:color w:val="000000"/>
          <w:sz w:val="24"/>
          <w:szCs w:val="24"/>
          <w:shd w:val="clear" w:color="auto" w:fill="FFFFFF"/>
        </w:rPr>
        <w:t>Cyber Incident Review</w:t>
      </w:r>
      <w:r w:rsidR="004336FC" w:rsidRPr="003C38DE">
        <w:rPr>
          <w:rStyle w:val="normaltextrun"/>
          <w:color w:val="000000"/>
          <w:sz w:val="24"/>
          <w:szCs w:val="24"/>
          <w:shd w:val="clear" w:color="auto" w:fill="FFFFFF"/>
        </w:rPr>
        <w:t xml:space="preserve"> Board</w:t>
      </w:r>
      <w:r w:rsidR="003C1A75" w:rsidRPr="003C38DE">
        <w:rPr>
          <w:rStyle w:val="normaltextrun"/>
          <w:color w:val="000000"/>
          <w:sz w:val="24"/>
          <w:szCs w:val="24"/>
          <w:shd w:val="clear" w:color="auto" w:fill="FFFFFF"/>
        </w:rPr>
        <w:t xml:space="preserve"> (CIRB)</w:t>
      </w:r>
      <w:r w:rsidR="004336FC" w:rsidRPr="003C38DE">
        <w:rPr>
          <w:rStyle w:val="normaltextrun"/>
          <w:color w:val="000000"/>
          <w:sz w:val="24"/>
          <w:szCs w:val="24"/>
          <w:shd w:val="clear" w:color="auto" w:fill="FFFFFF"/>
        </w:rPr>
        <w:t>, cyber security incident and</w:t>
      </w:r>
      <w:r w:rsidRPr="003C38DE">
        <w:rPr>
          <w:rStyle w:val="normaltextrun"/>
          <w:color w:val="000000"/>
          <w:sz w:val="24"/>
          <w:szCs w:val="24"/>
          <w:shd w:val="clear" w:color="auto" w:fill="FFFFFF"/>
        </w:rPr>
        <w:t xml:space="preserve"> Expert Panel</w:t>
      </w:r>
      <w:r w:rsidR="004336FC" w:rsidRPr="003C38DE">
        <w:rPr>
          <w:rStyle w:val="normaltextrun"/>
          <w:color w:val="000000"/>
          <w:sz w:val="24"/>
          <w:szCs w:val="24"/>
          <w:shd w:val="clear" w:color="auto" w:fill="FFFFFF"/>
        </w:rPr>
        <w:t>.</w:t>
      </w:r>
    </w:p>
    <w:p w14:paraId="18A709E5" w14:textId="7FB2D760" w:rsidR="00915032" w:rsidRPr="003C38DE" w:rsidRDefault="001E21A2" w:rsidP="004A0ED1">
      <w:pPr>
        <w:pStyle w:val="ESPara"/>
        <w:numPr>
          <w:ilvl w:val="0"/>
          <w:numId w:val="0"/>
        </w:numPr>
        <w:ind w:left="720" w:hanging="360"/>
        <w:rPr>
          <w:sz w:val="24"/>
          <w:szCs w:val="24"/>
        </w:rPr>
      </w:pPr>
      <w:r w:rsidRPr="003C38DE">
        <w:rPr>
          <w:rStyle w:val="eop"/>
          <w:b/>
          <w:i/>
          <w:color w:val="000000"/>
          <w:sz w:val="24"/>
          <w:szCs w:val="24"/>
          <w:shd w:val="clear" w:color="auto" w:fill="FFFFFF"/>
        </w:rPr>
        <w:lastRenderedPageBreak/>
        <w:t>Act</w:t>
      </w:r>
      <w:r w:rsidRPr="003C38DE">
        <w:rPr>
          <w:rStyle w:val="eop"/>
          <w:color w:val="000000"/>
          <w:sz w:val="24"/>
          <w:szCs w:val="24"/>
          <w:shd w:val="clear" w:color="auto" w:fill="FFFFFF"/>
        </w:rPr>
        <w:t xml:space="preserve"> </w:t>
      </w:r>
      <w:r w:rsidR="003C1A75" w:rsidRPr="003C38DE">
        <w:rPr>
          <w:rStyle w:val="eop"/>
          <w:color w:val="000000"/>
          <w:sz w:val="24"/>
          <w:szCs w:val="24"/>
          <w:shd w:val="clear" w:color="auto" w:fill="FFFFFF"/>
        </w:rPr>
        <w:t>is defined to mean</w:t>
      </w:r>
      <w:r w:rsidRPr="003C38DE">
        <w:rPr>
          <w:rStyle w:val="eop"/>
          <w:color w:val="000000"/>
          <w:sz w:val="24"/>
          <w:szCs w:val="24"/>
          <w:shd w:val="clear" w:color="auto" w:fill="FFFFFF"/>
        </w:rPr>
        <w:t xml:space="preserve"> </w:t>
      </w:r>
      <w:r w:rsidR="00946A7A" w:rsidRPr="003C38DE">
        <w:rPr>
          <w:sz w:val="24"/>
          <w:szCs w:val="24"/>
        </w:rPr>
        <w:t xml:space="preserve">the </w:t>
      </w:r>
      <w:r w:rsidR="00946A7A" w:rsidRPr="003C38DE">
        <w:rPr>
          <w:i/>
          <w:sz w:val="24"/>
          <w:szCs w:val="24"/>
        </w:rPr>
        <w:t>Cyber Security Act 2024</w:t>
      </w:r>
      <w:r w:rsidR="00946A7A" w:rsidRPr="003C38DE">
        <w:rPr>
          <w:sz w:val="24"/>
          <w:szCs w:val="24"/>
        </w:rPr>
        <w:t xml:space="preserve">. </w:t>
      </w:r>
    </w:p>
    <w:p w14:paraId="0E6BCB46" w14:textId="65EDD039" w:rsidR="003C1A75" w:rsidRPr="003C38DE" w:rsidRDefault="001E21A2" w:rsidP="004A0ED1">
      <w:pPr>
        <w:pStyle w:val="ESPara"/>
        <w:numPr>
          <w:ilvl w:val="0"/>
          <w:numId w:val="0"/>
        </w:numPr>
        <w:ind w:left="360"/>
        <w:rPr>
          <w:sz w:val="24"/>
          <w:szCs w:val="24"/>
        </w:rPr>
      </w:pPr>
      <w:r w:rsidRPr="003C38DE">
        <w:rPr>
          <w:b/>
          <w:i/>
          <w:sz w:val="24"/>
          <w:szCs w:val="24"/>
        </w:rPr>
        <w:t>Australian Government security clearance</w:t>
      </w:r>
      <w:r w:rsidRPr="003C38DE">
        <w:rPr>
          <w:sz w:val="24"/>
          <w:szCs w:val="24"/>
        </w:rPr>
        <w:t xml:space="preserve"> </w:t>
      </w:r>
      <w:r w:rsidR="003C1A75" w:rsidRPr="003C38DE">
        <w:rPr>
          <w:sz w:val="24"/>
          <w:szCs w:val="24"/>
        </w:rPr>
        <w:t xml:space="preserve">is defined to have the same meaning of the </w:t>
      </w:r>
      <w:r w:rsidR="003C1A75" w:rsidRPr="003C38DE">
        <w:rPr>
          <w:i/>
          <w:sz w:val="24"/>
          <w:szCs w:val="24"/>
        </w:rPr>
        <w:t>Criminal Code</w:t>
      </w:r>
      <w:r w:rsidR="003C1A75" w:rsidRPr="003C38DE">
        <w:rPr>
          <w:sz w:val="24"/>
          <w:szCs w:val="24"/>
        </w:rPr>
        <w:t xml:space="preserve">. </w:t>
      </w:r>
      <w:r w:rsidRPr="003C38DE">
        <w:rPr>
          <w:sz w:val="24"/>
          <w:szCs w:val="24"/>
        </w:rPr>
        <w:t xml:space="preserve">At the time of making </w:t>
      </w:r>
      <w:r w:rsidR="005200BE" w:rsidRPr="003C38DE">
        <w:rPr>
          <w:sz w:val="24"/>
          <w:szCs w:val="24"/>
        </w:rPr>
        <w:t>the Rules</w:t>
      </w:r>
      <w:r w:rsidRPr="003C38DE">
        <w:rPr>
          <w:sz w:val="24"/>
          <w:szCs w:val="24"/>
        </w:rPr>
        <w:t xml:space="preserve">, section 4 of the </w:t>
      </w:r>
      <w:r w:rsidRPr="003C38DE">
        <w:rPr>
          <w:i/>
          <w:sz w:val="24"/>
          <w:szCs w:val="24"/>
        </w:rPr>
        <w:t>Criminal Code</w:t>
      </w:r>
      <w:r w:rsidR="003C1A75" w:rsidRPr="003C38DE">
        <w:rPr>
          <w:sz w:val="24"/>
          <w:szCs w:val="24"/>
        </w:rPr>
        <w:t xml:space="preserve"> defines</w:t>
      </w:r>
      <w:r w:rsidRPr="003C38DE">
        <w:rPr>
          <w:sz w:val="24"/>
          <w:szCs w:val="24"/>
        </w:rPr>
        <w:t xml:space="preserve"> Australian Government security clearance to mean a security clearance given by the Australian Government Security Vetting Agency or by another Commonwealth, State or Territory agency that is authorised or approved by the Commonwealth to issue security clearances.</w:t>
      </w:r>
      <w:r w:rsidR="00946A7A" w:rsidRPr="003C38DE">
        <w:rPr>
          <w:sz w:val="24"/>
          <w:szCs w:val="24"/>
        </w:rPr>
        <w:t xml:space="preserve"> </w:t>
      </w:r>
    </w:p>
    <w:p w14:paraId="3002C472" w14:textId="2F33F68A" w:rsidR="003C1A75" w:rsidRPr="003C38DE" w:rsidRDefault="00171135" w:rsidP="004A0ED1">
      <w:pPr>
        <w:pStyle w:val="ESPara"/>
        <w:numPr>
          <w:ilvl w:val="0"/>
          <w:numId w:val="0"/>
        </w:numPr>
        <w:ind w:left="720" w:hanging="360"/>
        <w:rPr>
          <w:sz w:val="24"/>
          <w:szCs w:val="24"/>
        </w:rPr>
      </w:pPr>
      <w:r w:rsidRPr="003C38DE">
        <w:rPr>
          <w:b/>
          <w:i/>
          <w:sz w:val="24"/>
          <w:szCs w:val="24"/>
        </w:rPr>
        <w:t xml:space="preserve">Board Member </w:t>
      </w:r>
      <w:r w:rsidR="003C1A75" w:rsidRPr="003C38DE">
        <w:rPr>
          <w:sz w:val="24"/>
          <w:szCs w:val="24"/>
        </w:rPr>
        <w:t>means any</w:t>
      </w:r>
      <w:r w:rsidRPr="003C38DE">
        <w:rPr>
          <w:sz w:val="24"/>
          <w:szCs w:val="24"/>
        </w:rPr>
        <w:t xml:space="preserve"> member of the </w:t>
      </w:r>
      <w:r w:rsidR="003C1A75" w:rsidRPr="003C38DE">
        <w:rPr>
          <w:sz w:val="24"/>
          <w:szCs w:val="24"/>
        </w:rPr>
        <w:t>CIRB</w:t>
      </w:r>
      <w:r w:rsidR="000C2292" w:rsidRPr="003C38DE">
        <w:rPr>
          <w:sz w:val="24"/>
          <w:szCs w:val="24"/>
        </w:rPr>
        <w:t xml:space="preserve"> and includes the Chair. </w:t>
      </w:r>
    </w:p>
    <w:p w14:paraId="1F16A16A" w14:textId="19E311AB" w:rsidR="003C1A75" w:rsidRPr="003C38DE" w:rsidRDefault="00AE3EAD" w:rsidP="004A0ED1">
      <w:pPr>
        <w:pStyle w:val="ESPara"/>
        <w:numPr>
          <w:ilvl w:val="0"/>
          <w:numId w:val="0"/>
        </w:numPr>
        <w:ind w:left="360"/>
        <w:rPr>
          <w:sz w:val="24"/>
          <w:szCs w:val="24"/>
        </w:rPr>
      </w:pPr>
      <w:r w:rsidRPr="003C38DE">
        <w:rPr>
          <w:b/>
          <w:i/>
          <w:sz w:val="24"/>
          <w:szCs w:val="24"/>
        </w:rPr>
        <w:t xml:space="preserve">Paid </w:t>
      </w:r>
      <w:r w:rsidR="003C1A75" w:rsidRPr="003C38DE">
        <w:rPr>
          <w:b/>
          <w:i/>
          <w:sz w:val="24"/>
          <w:szCs w:val="24"/>
        </w:rPr>
        <w:t xml:space="preserve">work </w:t>
      </w:r>
      <w:r w:rsidR="003C1A75" w:rsidRPr="003C38DE">
        <w:rPr>
          <w:sz w:val="24"/>
          <w:szCs w:val="24"/>
        </w:rPr>
        <w:t xml:space="preserve">means </w:t>
      </w:r>
      <w:r w:rsidR="00653D4E" w:rsidRPr="003C38DE">
        <w:rPr>
          <w:sz w:val="24"/>
          <w:szCs w:val="24"/>
        </w:rPr>
        <w:t xml:space="preserve">work for financial gain or reward (whether as an employee, a self-employed person or otherwise). </w:t>
      </w:r>
    </w:p>
    <w:p w14:paraId="46B77153" w14:textId="34527530" w:rsidR="00AE3EAD" w:rsidRPr="003C38DE" w:rsidRDefault="003C1A75" w:rsidP="00CC3D3C">
      <w:pPr>
        <w:pStyle w:val="ESPara"/>
        <w:numPr>
          <w:ilvl w:val="0"/>
          <w:numId w:val="0"/>
        </w:numPr>
        <w:ind w:left="357"/>
        <w:rPr>
          <w:sz w:val="24"/>
          <w:szCs w:val="24"/>
        </w:rPr>
      </w:pPr>
      <w:r w:rsidRPr="003C38DE">
        <w:rPr>
          <w:b/>
          <w:i/>
          <w:sz w:val="24"/>
          <w:szCs w:val="24"/>
        </w:rPr>
        <w:t>Security</w:t>
      </w:r>
      <w:r w:rsidR="00AE3EAD" w:rsidRPr="003C38DE">
        <w:rPr>
          <w:b/>
          <w:i/>
          <w:sz w:val="24"/>
          <w:szCs w:val="24"/>
        </w:rPr>
        <w:t xml:space="preserve"> classification</w:t>
      </w:r>
      <w:r w:rsidR="00AE3EAD" w:rsidRPr="003C38DE">
        <w:rPr>
          <w:b/>
          <w:sz w:val="24"/>
          <w:szCs w:val="24"/>
        </w:rPr>
        <w:t xml:space="preserve"> </w:t>
      </w:r>
      <w:r w:rsidR="00AE3EAD" w:rsidRPr="003C38DE">
        <w:rPr>
          <w:sz w:val="24"/>
          <w:szCs w:val="24"/>
        </w:rPr>
        <w:t>has the same meaning as in the Criminal Code. At the time of making t</w:t>
      </w:r>
      <w:r w:rsidR="005200BE" w:rsidRPr="003C38DE">
        <w:rPr>
          <w:sz w:val="24"/>
          <w:szCs w:val="24"/>
        </w:rPr>
        <w:t>he Rules</w:t>
      </w:r>
      <w:r w:rsidR="00AE3EAD" w:rsidRPr="003C38DE">
        <w:rPr>
          <w:sz w:val="24"/>
          <w:szCs w:val="24"/>
        </w:rPr>
        <w:t xml:space="preserve">, section </w:t>
      </w:r>
      <w:r w:rsidR="00653D4E" w:rsidRPr="003C38DE">
        <w:rPr>
          <w:sz w:val="24"/>
          <w:szCs w:val="24"/>
        </w:rPr>
        <w:t>90.5</w:t>
      </w:r>
      <w:r w:rsidR="00AE3EAD" w:rsidRPr="003C38DE">
        <w:rPr>
          <w:sz w:val="24"/>
          <w:szCs w:val="24"/>
        </w:rPr>
        <w:t xml:space="preserve"> of the </w:t>
      </w:r>
      <w:r w:rsidR="00AE3EAD" w:rsidRPr="003C38DE">
        <w:rPr>
          <w:i/>
          <w:sz w:val="24"/>
          <w:szCs w:val="24"/>
        </w:rPr>
        <w:t>Criminal Code</w:t>
      </w:r>
      <w:r w:rsidRPr="003C38DE">
        <w:rPr>
          <w:sz w:val="24"/>
          <w:szCs w:val="24"/>
        </w:rPr>
        <w:t>, defines</w:t>
      </w:r>
      <w:r w:rsidR="00AE3EAD" w:rsidRPr="003C38DE">
        <w:rPr>
          <w:sz w:val="24"/>
          <w:szCs w:val="24"/>
        </w:rPr>
        <w:t xml:space="preserve"> </w:t>
      </w:r>
      <w:r w:rsidR="0091358D" w:rsidRPr="003C38DE">
        <w:rPr>
          <w:sz w:val="24"/>
          <w:szCs w:val="24"/>
        </w:rPr>
        <w:t>this</w:t>
      </w:r>
      <w:r w:rsidR="00AE3EAD" w:rsidRPr="003C38DE">
        <w:rPr>
          <w:sz w:val="24"/>
          <w:szCs w:val="24"/>
        </w:rPr>
        <w:t xml:space="preserve"> to mean </w:t>
      </w:r>
      <w:r w:rsidR="00653D4E" w:rsidRPr="003C38DE">
        <w:rPr>
          <w:sz w:val="24"/>
          <w:szCs w:val="24"/>
        </w:rPr>
        <w:t>a classification of secret or top secret that is applied in accordance with the policy framework developed by the Commonwealth for the purpose (or for purposes that include the purpose) of identifying information for a classification of secret that, if disclosed in an unauthorised manner, could be expected to cause serious damage to the national interest, organisations or individuals; or for a classification of top secret that, if disclosed in an unauthorised manner, could be expected to cause exceptionally grave damage to the national interest; or any equivalent classification or marking prescribed by the regulations</w:t>
      </w:r>
      <w:r w:rsidR="00AE3EAD" w:rsidRPr="003C38DE">
        <w:rPr>
          <w:sz w:val="24"/>
          <w:szCs w:val="24"/>
        </w:rPr>
        <w:t>.</w:t>
      </w:r>
    </w:p>
    <w:p w14:paraId="420C0A1B" w14:textId="59A0E07B" w:rsidR="00367E19" w:rsidRPr="003C38DE" w:rsidRDefault="00171135" w:rsidP="00367E19">
      <w:pPr>
        <w:pStyle w:val="ESAttList"/>
        <w:numPr>
          <w:ilvl w:val="0"/>
          <w:numId w:val="0"/>
        </w:numPr>
        <w:rPr>
          <w:b/>
          <w:sz w:val="24"/>
          <w:szCs w:val="24"/>
        </w:rPr>
      </w:pPr>
      <w:r w:rsidRPr="003C38DE">
        <w:rPr>
          <w:b/>
          <w:sz w:val="24"/>
          <w:szCs w:val="24"/>
        </w:rPr>
        <w:t>Part 2 – Cyber Incident Review Board</w:t>
      </w:r>
    </w:p>
    <w:p w14:paraId="6BF1B8D1" w14:textId="77777777" w:rsidR="00367E19" w:rsidRPr="003C38DE" w:rsidRDefault="00367E19" w:rsidP="001122FF">
      <w:pPr>
        <w:pStyle w:val="ESAttList"/>
        <w:numPr>
          <w:ilvl w:val="0"/>
          <w:numId w:val="0"/>
        </w:numPr>
        <w:rPr>
          <w:b/>
          <w:sz w:val="24"/>
          <w:szCs w:val="24"/>
        </w:rPr>
      </w:pPr>
      <w:r w:rsidRPr="003C38DE">
        <w:rPr>
          <w:b/>
          <w:sz w:val="24"/>
          <w:szCs w:val="24"/>
        </w:rPr>
        <w:t xml:space="preserve">Division 1 – Preliminary </w:t>
      </w:r>
    </w:p>
    <w:p w14:paraId="103D627A" w14:textId="3A677F52" w:rsidR="0006150B" w:rsidRPr="003C38DE" w:rsidRDefault="00D47BFC" w:rsidP="0006150B">
      <w:pPr>
        <w:pStyle w:val="ESAttHeading"/>
        <w:rPr>
          <w:sz w:val="24"/>
          <w:szCs w:val="24"/>
        </w:rPr>
      </w:pPr>
      <w:r w:rsidRPr="003C38DE">
        <w:rPr>
          <w:sz w:val="24"/>
          <w:szCs w:val="24"/>
        </w:rPr>
        <w:t>Section 5</w:t>
      </w:r>
      <w:r w:rsidRPr="003C38DE">
        <w:rPr>
          <w:sz w:val="24"/>
          <w:szCs w:val="24"/>
        </w:rPr>
        <w:tab/>
        <w:t>Simplified outline of this Part</w:t>
      </w:r>
    </w:p>
    <w:p w14:paraId="7C082CB6" w14:textId="78CFF460" w:rsidR="003C1A75" w:rsidRPr="003C38DE" w:rsidRDefault="00F85190" w:rsidP="004A0ED1">
      <w:pPr>
        <w:pStyle w:val="ESPara"/>
        <w:numPr>
          <w:ilvl w:val="0"/>
          <w:numId w:val="0"/>
        </w:numPr>
        <w:ind w:left="720" w:hanging="360"/>
        <w:rPr>
          <w:rStyle w:val="normaltextrun"/>
          <w:b/>
          <w:sz w:val="24"/>
          <w:szCs w:val="24"/>
        </w:rPr>
      </w:pPr>
      <w:r w:rsidRPr="003C38DE">
        <w:rPr>
          <w:rStyle w:val="normaltextrun"/>
          <w:color w:val="000000"/>
          <w:sz w:val="24"/>
          <w:szCs w:val="24"/>
          <w:shd w:val="clear" w:color="auto" w:fill="FFFFFF"/>
        </w:rPr>
        <w:t xml:space="preserve">Section 5 provides a simplified </w:t>
      </w:r>
      <w:r w:rsidR="003C1A75" w:rsidRPr="003C38DE">
        <w:rPr>
          <w:rStyle w:val="normaltextrun"/>
          <w:color w:val="000000"/>
          <w:sz w:val="24"/>
          <w:szCs w:val="24"/>
          <w:shd w:val="clear" w:color="auto" w:fill="FFFFFF"/>
        </w:rPr>
        <w:t>out</w:t>
      </w:r>
      <w:r w:rsidR="00BB7130" w:rsidRPr="003C38DE">
        <w:rPr>
          <w:rStyle w:val="normaltextrun"/>
          <w:color w:val="000000"/>
          <w:sz w:val="24"/>
          <w:szCs w:val="24"/>
          <w:shd w:val="clear" w:color="auto" w:fill="FFFFFF"/>
        </w:rPr>
        <w:t>line for the operation of Part 2</w:t>
      </w:r>
      <w:r w:rsidR="003C1A75" w:rsidRPr="003C38DE">
        <w:rPr>
          <w:rStyle w:val="normaltextrun"/>
          <w:color w:val="000000"/>
          <w:sz w:val="24"/>
          <w:szCs w:val="24"/>
          <w:shd w:val="clear" w:color="auto" w:fill="FFFFFF"/>
        </w:rPr>
        <w:t xml:space="preserve"> of the</w:t>
      </w:r>
      <w:r w:rsidRPr="003C38DE">
        <w:rPr>
          <w:rStyle w:val="normaltextrun"/>
          <w:color w:val="000000"/>
          <w:sz w:val="24"/>
          <w:szCs w:val="24"/>
          <w:shd w:val="clear" w:color="auto" w:fill="FFFFFF"/>
        </w:rPr>
        <w:t xml:space="preserve"> Rules.  </w:t>
      </w:r>
    </w:p>
    <w:p w14:paraId="4CBA9E9F" w14:textId="2A9A17DC" w:rsidR="00A07219" w:rsidRPr="003C38DE" w:rsidRDefault="00F85190" w:rsidP="004A0ED1">
      <w:pPr>
        <w:pStyle w:val="ESPara"/>
        <w:numPr>
          <w:ilvl w:val="0"/>
          <w:numId w:val="0"/>
        </w:numPr>
        <w:ind w:left="360"/>
        <w:rPr>
          <w:sz w:val="24"/>
          <w:szCs w:val="24"/>
        </w:rPr>
      </w:pPr>
      <w:r w:rsidRPr="003C38DE">
        <w:rPr>
          <w:rStyle w:val="normaltextrun"/>
          <w:color w:val="000000"/>
          <w:sz w:val="24"/>
          <w:szCs w:val="24"/>
          <w:shd w:val="clear" w:color="auto" w:fill="FFFFFF"/>
        </w:rPr>
        <w:t xml:space="preserve">The simplified outline provides guidance to the reader that </w:t>
      </w:r>
      <w:r w:rsidR="003C1A75" w:rsidRPr="003C38DE">
        <w:rPr>
          <w:rStyle w:val="normaltextrun"/>
          <w:color w:val="000000"/>
          <w:sz w:val="24"/>
          <w:szCs w:val="24"/>
          <w:shd w:val="clear" w:color="auto" w:fill="FFFFFF"/>
        </w:rPr>
        <w:t xml:space="preserve">Part 5 of the Act establishes the CIRB. </w:t>
      </w:r>
      <w:r w:rsidR="007F195D" w:rsidRPr="003C38DE">
        <w:rPr>
          <w:sz w:val="24"/>
          <w:szCs w:val="24"/>
        </w:rPr>
        <w:t xml:space="preserve">The function of the CIRB is to conduct </w:t>
      </w:r>
      <w:r w:rsidR="00AB1169" w:rsidRPr="003C38DE">
        <w:rPr>
          <w:sz w:val="24"/>
          <w:szCs w:val="24"/>
        </w:rPr>
        <w:t xml:space="preserve">reviews </w:t>
      </w:r>
      <w:r w:rsidR="009F765E" w:rsidRPr="003C38DE">
        <w:rPr>
          <w:sz w:val="24"/>
          <w:szCs w:val="24"/>
        </w:rPr>
        <w:t>in relation to ce</w:t>
      </w:r>
      <w:r w:rsidR="007F195D" w:rsidRPr="003C38DE">
        <w:rPr>
          <w:sz w:val="24"/>
          <w:szCs w:val="24"/>
        </w:rPr>
        <w:t xml:space="preserve">rtain cyber security incidents and </w:t>
      </w:r>
      <w:r w:rsidR="009F765E" w:rsidRPr="003C38DE">
        <w:rPr>
          <w:sz w:val="24"/>
          <w:szCs w:val="24"/>
        </w:rPr>
        <w:t xml:space="preserve">to make recommendations to government and industry about actions that could be taken to prevent, detect, respond to or minimise the impact </w:t>
      </w:r>
      <w:r w:rsidR="3CA4AC83" w:rsidRPr="003C38DE">
        <w:rPr>
          <w:sz w:val="24"/>
          <w:szCs w:val="24"/>
        </w:rPr>
        <w:t>of</w:t>
      </w:r>
      <w:r w:rsidR="009F765E" w:rsidRPr="003C38DE">
        <w:rPr>
          <w:sz w:val="24"/>
          <w:szCs w:val="24"/>
        </w:rPr>
        <w:t xml:space="preserve"> cyber security incidents of a similar nature in the future.</w:t>
      </w:r>
    </w:p>
    <w:p w14:paraId="2071A3FE" w14:textId="749223C4" w:rsidR="00A07219" w:rsidRPr="003C38DE" w:rsidRDefault="003C1A75" w:rsidP="004A0ED1">
      <w:pPr>
        <w:pStyle w:val="ESPara"/>
        <w:numPr>
          <w:ilvl w:val="0"/>
          <w:numId w:val="0"/>
        </w:numPr>
        <w:ind w:left="360"/>
        <w:rPr>
          <w:sz w:val="24"/>
          <w:szCs w:val="24"/>
        </w:rPr>
      </w:pPr>
      <w:r w:rsidRPr="003C38DE">
        <w:rPr>
          <w:sz w:val="24"/>
          <w:szCs w:val="24"/>
        </w:rPr>
        <w:t>The simplified outline further</w:t>
      </w:r>
      <w:r w:rsidR="009F765E" w:rsidRPr="003C38DE">
        <w:rPr>
          <w:sz w:val="24"/>
          <w:szCs w:val="24"/>
        </w:rPr>
        <w:t xml:space="preserve"> provides guidance that a review panel will be established for each review in accordance with the terms of reference for the review. </w:t>
      </w:r>
      <w:r w:rsidR="00A07219" w:rsidRPr="003C38DE">
        <w:rPr>
          <w:sz w:val="24"/>
          <w:szCs w:val="24"/>
        </w:rPr>
        <w:t>The review panel will consist</w:t>
      </w:r>
      <w:r w:rsidR="009F765E" w:rsidRPr="003C38DE">
        <w:rPr>
          <w:sz w:val="24"/>
          <w:szCs w:val="24"/>
        </w:rPr>
        <w:t xml:space="preserve"> of the Chair, the </w:t>
      </w:r>
      <w:r w:rsidR="00BB7130" w:rsidRPr="003C38DE">
        <w:rPr>
          <w:sz w:val="24"/>
          <w:szCs w:val="24"/>
        </w:rPr>
        <w:t xml:space="preserve">other </w:t>
      </w:r>
      <w:r w:rsidR="009F765E" w:rsidRPr="003C38DE">
        <w:rPr>
          <w:sz w:val="24"/>
          <w:szCs w:val="24"/>
        </w:rPr>
        <w:t xml:space="preserve">standing members of the </w:t>
      </w:r>
      <w:r w:rsidRPr="003C38DE">
        <w:rPr>
          <w:sz w:val="24"/>
          <w:szCs w:val="24"/>
        </w:rPr>
        <w:t>CIRB</w:t>
      </w:r>
      <w:r w:rsidR="009F765E" w:rsidRPr="003C38DE">
        <w:rPr>
          <w:sz w:val="24"/>
          <w:szCs w:val="24"/>
        </w:rPr>
        <w:t xml:space="preserve"> that are specified in the terms of reference for the review</w:t>
      </w:r>
      <w:r w:rsidR="00AB1169" w:rsidRPr="003C38DE">
        <w:rPr>
          <w:sz w:val="24"/>
          <w:szCs w:val="24"/>
        </w:rPr>
        <w:t>,</w:t>
      </w:r>
      <w:r w:rsidR="009F765E" w:rsidRPr="003C38DE">
        <w:rPr>
          <w:sz w:val="24"/>
          <w:szCs w:val="24"/>
        </w:rPr>
        <w:t xml:space="preserve"> and the members of the Expert Panel appointed to assist in relation to the review.</w:t>
      </w:r>
    </w:p>
    <w:p w14:paraId="4961D242" w14:textId="5AF68398" w:rsidR="00A07219" w:rsidRPr="003C38DE" w:rsidRDefault="009F765E" w:rsidP="004A0ED1">
      <w:pPr>
        <w:pStyle w:val="ESPara"/>
        <w:numPr>
          <w:ilvl w:val="0"/>
          <w:numId w:val="0"/>
        </w:numPr>
        <w:ind w:left="360"/>
        <w:rPr>
          <w:sz w:val="24"/>
          <w:szCs w:val="24"/>
        </w:rPr>
      </w:pPr>
      <w:r w:rsidRPr="003C38DE">
        <w:rPr>
          <w:sz w:val="24"/>
          <w:szCs w:val="24"/>
        </w:rPr>
        <w:t>T</w:t>
      </w:r>
      <w:r w:rsidR="003C1A75" w:rsidRPr="003C38DE">
        <w:rPr>
          <w:sz w:val="24"/>
          <w:szCs w:val="24"/>
        </w:rPr>
        <w:t>he</w:t>
      </w:r>
      <w:r w:rsidRPr="003C38DE">
        <w:rPr>
          <w:sz w:val="24"/>
          <w:szCs w:val="24"/>
        </w:rPr>
        <w:t xml:space="preserve"> simplified outline provides guidance to</w:t>
      </w:r>
      <w:r w:rsidR="003C1A75" w:rsidRPr="003C38DE">
        <w:rPr>
          <w:sz w:val="24"/>
          <w:szCs w:val="24"/>
        </w:rPr>
        <w:t xml:space="preserve"> the reader that Part 2 of the R</w:t>
      </w:r>
      <w:r w:rsidRPr="003C38DE">
        <w:rPr>
          <w:sz w:val="24"/>
          <w:szCs w:val="24"/>
        </w:rPr>
        <w:t xml:space="preserve">ules provides for procedures for reviews, appointments of </w:t>
      </w:r>
      <w:r w:rsidR="00BF0E05" w:rsidRPr="003C38DE">
        <w:rPr>
          <w:sz w:val="24"/>
          <w:szCs w:val="24"/>
        </w:rPr>
        <w:t>Board</w:t>
      </w:r>
      <w:r w:rsidRPr="003C38DE">
        <w:rPr>
          <w:sz w:val="24"/>
          <w:szCs w:val="24"/>
        </w:rPr>
        <w:t xml:space="preserve"> members and Expert Panel members, and the procedures of the </w:t>
      </w:r>
      <w:r w:rsidR="003C1A75" w:rsidRPr="003C38DE">
        <w:rPr>
          <w:sz w:val="24"/>
          <w:szCs w:val="24"/>
        </w:rPr>
        <w:t>CIRB</w:t>
      </w:r>
      <w:r w:rsidRPr="003C38DE">
        <w:rPr>
          <w:sz w:val="24"/>
          <w:szCs w:val="24"/>
        </w:rPr>
        <w:t>.</w:t>
      </w:r>
    </w:p>
    <w:p w14:paraId="54CAE050" w14:textId="78D00886" w:rsidR="00A07219" w:rsidRPr="003C38DE" w:rsidRDefault="003C1A75" w:rsidP="004A0ED1">
      <w:pPr>
        <w:pStyle w:val="ESPara"/>
        <w:numPr>
          <w:ilvl w:val="0"/>
          <w:numId w:val="0"/>
        </w:numPr>
        <w:ind w:left="360"/>
        <w:rPr>
          <w:sz w:val="24"/>
          <w:szCs w:val="24"/>
        </w:rPr>
      </w:pPr>
      <w:r w:rsidRPr="003C38DE">
        <w:rPr>
          <w:rStyle w:val="normaltextrun"/>
          <w:color w:val="000000"/>
          <w:sz w:val="24"/>
          <w:szCs w:val="24"/>
          <w:shd w:val="clear" w:color="auto" w:fill="FFFFFF"/>
        </w:rPr>
        <w:lastRenderedPageBreak/>
        <w:t>S</w:t>
      </w:r>
      <w:r w:rsidR="009F765E" w:rsidRPr="003C38DE">
        <w:rPr>
          <w:rStyle w:val="normaltextrun"/>
          <w:color w:val="000000"/>
          <w:sz w:val="24"/>
          <w:szCs w:val="24"/>
          <w:shd w:val="clear" w:color="auto" w:fill="FFFFFF"/>
        </w:rPr>
        <w:t>implified outlines are included to assist readers to understa</w:t>
      </w:r>
      <w:r w:rsidRPr="003C38DE">
        <w:rPr>
          <w:rStyle w:val="normaltextrun"/>
          <w:color w:val="000000"/>
          <w:sz w:val="24"/>
          <w:szCs w:val="24"/>
          <w:shd w:val="clear" w:color="auto" w:fill="FFFFFF"/>
        </w:rPr>
        <w:t>nd the substantive provisions. Simplified outlines are</w:t>
      </w:r>
      <w:r w:rsidR="009F765E" w:rsidRPr="003C38DE">
        <w:rPr>
          <w:rStyle w:val="normaltextrun"/>
          <w:color w:val="000000"/>
          <w:sz w:val="24"/>
          <w:szCs w:val="24"/>
          <w:shd w:val="clear" w:color="auto" w:fill="FFFFFF"/>
        </w:rPr>
        <w:t xml:space="preserve"> not intended to be comprehensive, and readers should rely on the substantive provisions. </w:t>
      </w:r>
    </w:p>
    <w:p w14:paraId="542EC192" w14:textId="1D760A35" w:rsidR="003F7D48" w:rsidRPr="003C38DE" w:rsidRDefault="00325E14" w:rsidP="4A83401C">
      <w:pPr>
        <w:pStyle w:val="ESAttHeading"/>
        <w:keepNext w:val="0"/>
        <w:widowControl w:val="0"/>
        <w:tabs>
          <w:tab w:val="left" w:pos="2149"/>
        </w:tabs>
        <w:rPr>
          <w:sz w:val="24"/>
          <w:szCs w:val="24"/>
        </w:rPr>
      </w:pPr>
      <w:r w:rsidRPr="003C38DE">
        <w:rPr>
          <w:sz w:val="24"/>
          <w:szCs w:val="24"/>
        </w:rPr>
        <w:t>D</w:t>
      </w:r>
      <w:r w:rsidR="003F7D48" w:rsidRPr="003C38DE">
        <w:rPr>
          <w:sz w:val="24"/>
          <w:szCs w:val="24"/>
        </w:rPr>
        <w:t>ivision 2 – Reviews by the Board</w:t>
      </w:r>
    </w:p>
    <w:p w14:paraId="5DC4FB6E" w14:textId="7BA8FCDB" w:rsidR="00412E58" w:rsidRPr="003C38DE" w:rsidRDefault="009F765E" w:rsidP="00CD5D6D">
      <w:pPr>
        <w:pStyle w:val="ESAttHeading"/>
        <w:keepNext w:val="0"/>
        <w:widowControl w:val="0"/>
        <w:rPr>
          <w:sz w:val="24"/>
          <w:szCs w:val="24"/>
        </w:rPr>
      </w:pPr>
      <w:r w:rsidRPr="003C38DE">
        <w:rPr>
          <w:sz w:val="24"/>
          <w:szCs w:val="24"/>
        </w:rPr>
        <w:t>Section 6</w:t>
      </w:r>
      <w:r w:rsidR="00412E58" w:rsidRPr="003C38DE">
        <w:rPr>
          <w:sz w:val="24"/>
          <w:szCs w:val="24"/>
        </w:rPr>
        <w:tab/>
        <w:t>Purpose of this Division</w:t>
      </w:r>
    </w:p>
    <w:p w14:paraId="0080C079" w14:textId="203FD094" w:rsidR="003F7D48" w:rsidRPr="003C38DE" w:rsidRDefault="00521BBC" w:rsidP="004A0ED1">
      <w:pPr>
        <w:pStyle w:val="ESPara"/>
        <w:numPr>
          <w:ilvl w:val="0"/>
          <w:numId w:val="0"/>
        </w:numPr>
        <w:ind w:left="360"/>
        <w:rPr>
          <w:sz w:val="24"/>
          <w:szCs w:val="24"/>
        </w:rPr>
      </w:pPr>
      <w:r w:rsidRPr="003C38DE">
        <w:rPr>
          <w:sz w:val="24"/>
          <w:szCs w:val="24"/>
        </w:rPr>
        <w:t>Section 6 provides that Division 2 of Part 2 of the Rules are</w:t>
      </w:r>
      <w:r w:rsidR="00B206F3" w:rsidRPr="003C38DE">
        <w:rPr>
          <w:sz w:val="24"/>
          <w:szCs w:val="24"/>
        </w:rPr>
        <w:t xml:space="preserve"> made under subsection 46(5) of the Act. This subsection empowers rules to be made for the provision or in relation to reviews under Part </w:t>
      </w:r>
      <w:r w:rsidRPr="003C38DE">
        <w:rPr>
          <w:sz w:val="24"/>
          <w:szCs w:val="24"/>
        </w:rPr>
        <w:t xml:space="preserve">5 of the Act. Subsection 46(5) provides rules may be made in relation to a number of related matters, included the </w:t>
      </w:r>
      <w:r w:rsidR="00815EB4" w:rsidRPr="003C38DE">
        <w:rPr>
          <w:sz w:val="24"/>
          <w:szCs w:val="24"/>
        </w:rPr>
        <w:t>terms of reference for reviews, the timing of w</w:t>
      </w:r>
      <w:r w:rsidRPr="003C38DE">
        <w:rPr>
          <w:sz w:val="24"/>
          <w:szCs w:val="24"/>
        </w:rPr>
        <w:t xml:space="preserve">hen reviews may be conducted and </w:t>
      </w:r>
      <w:r w:rsidR="00815EB4" w:rsidRPr="003C38DE">
        <w:rPr>
          <w:sz w:val="24"/>
          <w:szCs w:val="24"/>
        </w:rPr>
        <w:t>how information or sub</w:t>
      </w:r>
      <w:r w:rsidR="00E33836" w:rsidRPr="003C38DE">
        <w:rPr>
          <w:sz w:val="24"/>
          <w:szCs w:val="24"/>
        </w:rPr>
        <w:t xml:space="preserve">missions may be provided for </w:t>
      </w:r>
      <w:r w:rsidR="00815EB4" w:rsidRPr="003C38DE">
        <w:rPr>
          <w:sz w:val="24"/>
          <w:szCs w:val="24"/>
        </w:rPr>
        <w:t>reviews</w:t>
      </w:r>
      <w:r w:rsidR="009A5B09" w:rsidRPr="003C38DE">
        <w:rPr>
          <w:sz w:val="24"/>
          <w:szCs w:val="24"/>
        </w:rPr>
        <w:t>.</w:t>
      </w:r>
    </w:p>
    <w:p w14:paraId="745ECA24" w14:textId="35F30C9F" w:rsidR="00412E58" w:rsidRPr="003C38DE" w:rsidRDefault="009F765E" w:rsidP="00CD5D6D">
      <w:pPr>
        <w:pStyle w:val="ESAttHeading"/>
        <w:keepNext w:val="0"/>
        <w:widowControl w:val="0"/>
        <w:rPr>
          <w:sz w:val="24"/>
          <w:szCs w:val="24"/>
        </w:rPr>
      </w:pPr>
      <w:r w:rsidRPr="003C38DE">
        <w:rPr>
          <w:sz w:val="24"/>
          <w:szCs w:val="24"/>
        </w:rPr>
        <w:t>Section 7</w:t>
      </w:r>
      <w:r w:rsidR="00412E58" w:rsidRPr="003C38DE">
        <w:rPr>
          <w:sz w:val="24"/>
          <w:szCs w:val="24"/>
        </w:rPr>
        <w:tab/>
        <w:t>Requirements to consider referrals</w:t>
      </w:r>
    </w:p>
    <w:p w14:paraId="5859B993" w14:textId="379F1F99" w:rsidR="00E210B5" w:rsidRPr="003C38DE" w:rsidRDefault="00A07219" w:rsidP="004A0ED1">
      <w:pPr>
        <w:pStyle w:val="ESPara"/>
        <w:numPr>
          <w:ilvl w:val="0"/>
          <w:numId w:val="0"/>
        </w:numPr>
        <w:ind w:left="360"/>
        <w:rPr>
          <w:sz w:val="24"/>
          <w:szCs w:val="24"/>
        </w:rPr>
      </w:pPr>
      <w:r w:rsidRPr="003C38DE">
        <w:rPr>
          <w:sz w:val="24"/>
          <w:szCs w:val="24"/>
        </w:rPr>
        <w:t>Section 7 of the</w:t>
      </w:r>
      <w:r w:rsidR="00521BBC" w:rsidRPr="003C38DE">
        <w:rPr>
          <w:sz w:val="24"/>
          <w:szCs w:val="24"/>
        </w:rPr>
        <w:t xml:space="preserve"> Rules </w:t>
      </w:r>
      <w:r w:rsidR="00E210B5" w:rsidRPr="003C38DE">
        <w:rPr>
          <w:sz w:val="24"/>
          <w:szCs w:val="24"/>
        </w:rPr>
        <w:t xml:space="preserve">prescribes </w:t>
      </w:r>
      <w:r w:rsidR="009A5B09" w:rsidRPr="003C38DE">
        <w:rPr>
          <w:sz w:val="24"/>
          <w:szCs w:val="24"/>
        </w:rPr>
        <w:t xml:space="preserve">the </w:t>
      </w:r>
      <w:r w:rsidR="00E210B5" w:rsidRPr="003C38DE">
        <w:rPr>
          <w:sz w:val="24"/>
          <w:szCs w:val="24"/>
        </w:rPr>
        <w:t xml:space="preserve">requirement </w:t>
      </w:r>
      <w:r w:rsidR="009A5B09" w:rsidRPr="003C38DE">
        <w:rPr>
          <w:sz w:val="24"/>
          <w:szCs w:val="24"/>
        </w:rPr>
        <w:t xml:space="preserve">that the CIRB consider </w:t>
      </w:r>
      <w:r w:rsidR="00E210B5" w:rsidRPr="003C38DE">
        <w:rPr>
          <w:sz w:val="24"/>
          <w:szCs w:val="24"/>
        </w:rPr>
        <w:t xml:space="preserve">written referrals </w:t>
      </w:r>
      <w:r w:rsidR="009A5B09" w:rsidRPr="003C38DE">
        <w:rPr>
          <w:sz w:val="24"/>
          <w:szCs w:val="24"/>
        </w:rPr>
        <w:t xml:space="preserve">for reviews that are made under </w:t>
      </w:r>
      <w:r w:rsidR="00E210B5" w:rsidRPr="003C38DE">
        <w:rPr>
          <w:sz w:val="24"/>
          <w:szCs w:val="24"/>
        </w:rPr>
        <w:t>subsection</w:t>
      </w:r>
      <w:r w:rsidRPr="003C38DE">
        <w:rPr>
          <w:sz w:val="24"/>
          <w:szCs w:val="24"/>
        </w:rPr>
        <w:t xml:space="preserve"> 46(1) of the</w:t>
      </w:r>
      <w:r w:rsidR="00E33836" w:rsidRPr="003C38DE">
        <w:rPr>
          <w:sz w:val="24"/>
          <w:szCs w:val="24"/>
        </w:rPr>
        <w:t xml:space="preserve"> Act</w:t>
      </w:r>
      <w:r w:rsidR="009A5B09" w:rsidRPr="003C38DE">
        <w:rPr>
          <w:sz w:val="24"/>
          <w:szCs w:val="24"/>
        </w:rPr>
        <w:t>.</w:t>
      </w:r>
      <w:r w:rsidR="00E33836" w:rsidRPr="003C38DE">
        <w:rPr>
          <w:sz w:val="24"/>
          <w:szCs w:val="24"/>
        </w:rPr>
        <w:t xml:space="preserve"> </w:t>
      </w:r>
      <w:r w:rsidR="00C20D41" w:rsidRPr="003C38DE">
        <w:rPr>
          <w:sz w:val="24"/>
          <w:szCs w:val="24"/>
        </w:rPr>
        <w:t>Subsection 46(1)</w:t>
      </w:r>
      <w:r w:rsidR="00E210B5" w:rsidRPr="003C38DE">
        <w:rPr>
          <w:sz w:val="24"/>
          <w:szCs w:val="24"/>
        </w:rPr>
        <w:t xml:space="preserve"> permits the CIRB to accept written </w:t>
      </w:r>
      <w:r w:rsidR="004E40CA" w:rsidRPr="003C38DE">
        <w:rPr>
          <w:sz w:val="24"/>
          <w:szCs w:val="24"/>
        </w:rPr>
        <w:t>referrals</w:t>
      </w:r>
      <w:r w:rsidR="00E210B5" w:rsidRPr="003C38DE">
        <w:rPr>
          <w:sz w:val="24"/>
          <w:szCs w:val="24"/>
        </w:rPr>
        <w:t xml:space="preserve"> to undertake a review made by the Minister, National Cyber Security Coordinator, an impacted entity or a member of the CIRB. </w:t>
      </w:r>
    </w:p>
    <w:p w14:paraId="29442D8C" w14:textId="5A153569" w:rsidR="6B0ADC6F" w:rsidRPr="003C38DE" w:rsidRDefault="00E210B5">
      <w:pPr>
        <w:pStyle w:val="ESPara"/>
        <w:numPr>
          <w:ilvl w:val="0"/>
          <w:numId w:val="0"/>
        </w:numPr>
        <w:ind w:left="360"/>
        <w:rPr>
          <w:sz w:val="24"/>
          <w:szCs w:val="24"/>
        </w:rPr>
      </w:pPr>
      <w:r w:rsidRPr="003C38DE">
        <w:rPr>
          <w:sz w:val="24"/>
          <w:szCs w:val="24"/>
        </w:rPr>
        <w:t xml:space="preserve">For </w:t>
      </w:r>
      <w:r w:rsidR="009A5B09" w:rsidRPr="003C38DE">
        <w:rPr>
          <w:sz w:val="24"/>
          <w:szCs w:val="24"/>
        </w:rPr>
        <w:t xml:space="preserve">the </w:t>
      </w:r>
      <w:r w:rsidRPr="003C38DE">
        <w:rPr>
          <w:sz w:val="24"/>
          <w:szCs w:val="24"/>
        </w:rPr>
        <w:t>purpose</w:t>
      </w:r>
      <w:r w:rsidR="004E40CA" w:rsidRPr="003C38DE">
        <w:rPr>
          <w:sz w:val="24"/>
          <w:szCs w:val="24"/>
        </w:rPr>
        <w:t xml:space="preserve"> of paragraph 46(5)(a)</w:t>
      </w:r>
      <w:r w:rsidRPr="003C38DE">
        <w:rPr>
          <w:sz w:val="24"/>
          <w:szCs w:val="24"/>
        </w:rPr>
        <w:t>, s</w:t>
      </w:r>
      <w:r w:rsidR="002A5D1A" w:rsidRPr="003C38DE">
        <w:rPr>
          <w:sz w:val="24"/>
          <w:szCs w:val="24"/>
        </w:rPr>
        <w:t>ection 7 of the</w:t>
      </w:r>
      <w:r w:rsidRPr="003C38DE">
        <w:rPr>
          <w:sz w:val="24"/>
          <w:szCs w:val="24"/>
        </w:rPr>
        <w:t xml:space="preserve"> Rules</w:t>
      </w:r>
      <w:r w:rsidR="002A5D1A" w:rsidRPr="003C38DE">
        <w:rPr>
          <w:sz w:val="24"/>
          <w:szCs w:val="24"/>
        </w:rPr>
        <w:t xml:space="preserve"> </w:t>
      </w:r>
      <w:r w:rsidR="009A5B09" w:rsidRPr="003C38DE">
        <w:rPr>
          <w:sz w:val="24"/>
          <w:szCs w:val="24"/>
        </w:rPr>
        <w:t xml:space="preserve">prescribes the actions the CIRB must take when a written referral is made under section 46 of the Act. It </w:t>
      </w:r>
      <w:r w:rsidR="002A5D1A" w:rsidRPr="003C38DE">
        <w:rPr>
          <w:sz w:val="24"/>
          <w:szCs w:val="24"/>
        </w:rPr>
        <w:t xml:space="preserve">provides that if a </w:t>
      </w:r>
      <w:r w:rsidR="0022075A" w:rsidRPr="003C38DE">
        <w:rPr>
          <w:sz w:val="24"/>
          <w:szCs w:val="24"/>
        </w:rPr>
        <w:t xml:space="preserve">written referral is made </w:t>
      </w:r>
      <w:r w:rsidR="002A5D1A" w:rsidRPr="003C38DE">
        <w:rPr>
          <w:sz w:val="24"/>
          <w:szCs w:val="24"/>
        </w:rPr>
        <w:t xml:space="preserve">to the </w:t>
      </w:r>
      <w:r w:rsidR="00BB7130" w:rsidRPr="003C38DE">
        <w:rPr>
          <w:sz w:val="24"/>
          <w:szCs w:val="24"/>
        </w:rPr>
        <w:t>CIRB</w:t>
      </w:r>
      <w:r w:rsidR="002A5D1A" w:rsidRPr="003C38DE">
        <w:rPr>
          <w:sz w:val="24"/>
          <w:szCs w:val="24"/>
        </w:rPr>
        <w:t xml:space="preserve"> under </w:t>
      </w:r>
      <w:r w:rsidR="00644298" w:rsidRPr="003C38DE">
        <w:rPr>
          <w:sz w:val="24"/>
          <w:szCs w:val="24"/>
        </w:rPr>
        <w:t>sub</w:t>
      </w:r>
      <w:r w:rsidR="009F765E" w:rsidRPr="003C38DE">
        <w:rPr>
          <w:sz w:val="24"/>
          <w:szCs w:val="24"/>
        </w:rPr>
        <w:t>section 46</w:t>
      </w:r>
      <w:r w:rsidR="002A5D1A" w:rsidRPr="003C38DE">
        <w:rPr>
          <w:sz w:val="24"/>
          <w:szCs w:val="24"/>
        </w:rPr>
        <w:t>(1) of the Act</w:t>
      </w:r>
      <w:r w:rsidRPr="003C38DE">
        <w:rPr>
          <w:sz w:val="24"/>
          <w:szCs w:val="24"/>
        </w:rPr>
        <w:t xml:space="preserve">, the CIRB must consider the referral and decide </w:t>
      </w:r>
      <w:r w:rsidR="0022075A" w:rsidRPr="003C38DE">
        <w:rPr>
          <w:sz w:val="24"/>
          <w:szCs w:val="24"/>
        </w:rPr>
        <w:t>whether a review shoul</w:t>
      </w:r>
      <w:r w:rsidR="009F765E" w:rsidRPr="003C38DE">
        <w:rPr>
          <w:sz w:val="24"/>
          <w:szCs w:val="24"/>
        </w:rPr>
        <w:t xml:space="preserve">d be conducted under section 46 </w:t>
      </w:r>
      <w:r w:rsidR="0022075A" w:rsidRPr="003C38DE">
        <w:rPr>
          <w:sz w:val="24"/>
          <w:szCs w:val="24"/>
        </w:rPr>
        <w:t xml:space="preserve">of the Act in relation to any matter raised in the referral. </w:t>
      </w:r>
      <w:r w:rsidR="002A5D1A" w:rsidRPr="003C38DE">
        <w:rPr>
          <w:sz w:val="24"/>
          <w:szCs w:val="24"/>
        </w:rPr>
        <w:t xml:space="preserve"> </w:t>
      </w:r>
    </w:p>
    <w:p w14:paraId="215CE4D1" w14:textId="7AAED4E2" w:rsidR="00474473" w:rsidRPr="003C38DE" w:rsidRDefault="0022075A" w:rsidP="004A0ED1">
      <w:pPr>
        <w:pStyle w:val="ESPara"/>
        <w:numPr>
          <w:ilvl w:val="0"/>
          <w:numId w:val="0"/>
        </w:numPr>
        <w:ind w:left="360"/>
        <w:rPr>
          <w:sz w:val="24"/>
          <w:szCs w:val="24"/>
        </w:rPr>
      </w:pPr>
      <w:r w:rsidRPr="003C38DE">
        <w:rPr>
          <w:sz w:val="24"/>
          <w:szCs w:val="24"/>
        </w:rPr>
        <w:t>The note under this section clarifies</w:t>
      </w:r>
      <w:r w:rsidR="009F765E" w:rsidRPr="003C38DE">
        <w:rPr>
          <w:sz w:val="24"/>
          <w:szCs w:val="24"/>
        </w:rPr>
        <w:t xml:space="preserve"> that subsection 46</w:t>
      </w:r>
      <w:r w:rsidRPr="003C38DE">
        <w:rPr>
          <w:sz w:val="24"/>
          <w:szCs w:val="24"/>
        </w:rPr>
        <w:t xml:space="preserve">(2) of the Act sets out limitations on when a review may be conducted. </w:t>
      </w:r>
      <w:r w:rsidR="00474473" w:rsidRPr="003C38DE">
        <w:rPr>
          <w:sz w:val="24"/>
          <w:szCs w:val="24"/>
        </w:rPr>
        <w:t>Subsection 46(2) of the Act provides that a review may only be conducted</w:t>
      </w:r>
      <w:r w:rsidR="00E210B5" w:rsidRPr="003C38DE">
        <w:rPr>
          <w:sz w:val="24"/>
          <w:szCs w:val="24"/>
        </w:rPr>
        <w:t xml:space="preserve"> under section 46 of the Act if the CIRB is satisfied of the matters provided for in that subsection. </w:t>
      </w:r>
    </w:p>
    <w:p w14:paraId="65EC8568" w14:textId="54806D60" w:rsidR="00412E58" w:rsidRPr="003C38DE" w:rsidRDefault="009F765E" w:rsidP="00CD5D6D">
      <w:pPr>
        <w:pStyle w:val="ESAttHeading"/>
        <w:keepNext w:val="0"/>
        <w:widowControl w:val="0"/>
        <w:rPr>
          <w:sz w:val="24"/>
          <w:szCs w:val="24"/>
        </w:rPr>
      </w:pPr>
      <w:r w:rsidRPr="003C38DE">
        <w:rPr>
          <w:sz w:val="24"/>
          <w:szCs w:val="24"/>
        </w:rPr>
        <w:t>Section 8</w:t>
      </w:r>
      <w:r w:rsidR="00412E58" w:rsidRPr="003C38DE">
        <w:rPr>
          <w:sz w:val="24"/>
          <w:szCs w:val="24"/>
        </w:rPr>
        <w:tab/>
        <w:t>Matters Board must consider when prioritising referrals and reviews</w:t>
      </w:r>
    </w:p>
    <w:p w14:paraId="2A3C7A4C" w14:textId="6F3D313C" w:rsidR="00E210B5" w:rsidRPr="003C38DE" w:rsidRDefault="00E210B5" w:rsidP="004A0ED1">
      <w:pPr>
        <w:pStyle w:val="ESPara"/>
        <w:numPr>
          <w:ilvl w:val="0"/>
          <w:numId w:val="0"/>
        </w:numPr>
        <w:ind w:left="360"/>
        <w:rPr>
          <w:sz w:val="24"/>
          <w:szCs w:val="24"/>
        </w:rPr>
      </w:pPr>
      <w:r w:rsidRPr="003C38DE">
        <w:rPr>
          <w:sz w:val="24"/>
          <w:szCs w:val="24"/>
        </w:rPr>
        <w:t xml:space="preserve">Section 8 of the Rules prescribes matters the CIRB must </w:t>
      </w:r>
      <w:r w:rsidR="007262AA" w:rsidRPr="003C38DE">
        <w:rPr>
          <w:sz w:val="24"/>
          <w:szCs w:val="24"/>
        </w:rPr>
        <w:t xml:space="preserve">have regard to </w:t>
      </w:r>
      <w:r w:rsidRPr="003C38DE">
        <w:rPr>
          <w:sz w:val="24"/>
          <w:szCs w:val="24"/>
        </w:rPr>
        <w:t xml:space="preserve">when prioritising written referrals and reviews received under subsection 46(1) </w:t>
      </w:r>
      <w:r w:rsidR="00BB7130" w:rsidRPr="003C38DE">
        <w:rPr>
          <w:sz w:val="24"/>
          <w:szCs w:val="24"/>
        </w:rPr>
        <w:t xml:space="preserve">for the purpose of paragraph 46(5)(b) of the Act. </w:t>
      </w:r>
      <w:r w:rsidR="004E40CA" w:rsidRPr="003C38DE">
        <w:rPr>
          <w:sz w:val="24"/>
          <w:szCs w:val="24"/>
        </w:rPr>
        <w:t xml:space="preserve"> </w:t>
      </w:r>
    </w:p>
    <w:p w14:paraId="286EF2D9" w14:textId="77777777" w:rsidR="007E50F7" w:rsidRPr="003C38DE" w:rsidRDefault="007E50F7" w:rsidP="007E50F7">
      <w:pPr>
        <w:pStyle w:val="ESPara"/>
        <w:numPr>
          <w:ilvl w:val="0"/>
          <w:numId w:val="0"/>
        </w:numPr>
        <w:ind w:left="360"/>
        <w:rPr>
          <w:sz w:val="24"/>
          <w:szCs w:val="24"/>
        </w:rPr>
      </w:pPr>
      <w:r w:rsidRPr="003C38DE">
        <w:rPr>
          <w:sz w:val="24"/>
          <w:szCs w:val="24"/>
        </w:rPr>
        <w:t xml:space="preserve">Paragraph 8(a) provides that the first is the severity and scale of impact of the cyber security incidents to which those written referrals relate. </w:t>
      </w:r>
    </w:p>
    <w:p w14:paraId="436735DD" w14:textId="0AC4535B" w:rsidR="007E50F7" w:rsidRPr="003C38DE" w:rsidRDefault="007E50F7" w:rsidP="007E50F7">
      <w:pPr>
        <w:pStyle w:val="ESPara"/>
        <w:numPr>
          <w:ilvl w:val="0"/>
          <w:numId w:val="0"/>
        </w:numPr>
        <w:ind w:left="360"/>
        <w:rPr>
          <w:sz w:val="24"/>
          <w:szCs w:val="24"/>
        </w:rPr>
      </w:pPr>
      <w:r w:rsidRPr="003C38DE">
        <w:rPr>
          <w:sz w:val="24"/>
          <w:szCs w:val="24"/>
        </w:rPr>
        <w:t>Paragraphs 8(b) and 8(c) provides that the CIRB must have regard to the availability of Board members and the availability and capacity of the Expert Panel</w:t>
      </w:r>
      <w:r w:rsidR="001E3672" w:rsidRPr="003C38DE">
        <w:rPr>
          <w:sz w:val="24"/>
          <w:szCs w:val="24"/>
        </w:rPr>
        <w:t>, respectively.</w:t>
      </w:r>
      <w:r w:rsidRPr="003C38DE">
        <w:rPr>
          <w:sz w:val="24"/>
          <w:szCs w:val="24"/>
        </w:rPr>
        <w:t xml:space="preserve"> </w:t>
      </w:r>
    </w:p>
    <w:p w14:paraId="698A409D" w14:textId="77777777" w:rsidR="007E50F7" w:rsidRPr="003C38DE" w:rsidRDefault="007E50F7" w:rsidP="007E50F7">
      <w:pPr>
        <w:pStyle w:val="ESPara"/>
        <w:numPr>
          <w:ilvl w:val="0"/>
          <w:numId w:val="0"/>
        </w:numPr>
        <w:ind w:left="360"/>
        <w:rPr>
          <w:sz w:val="24"/>
          <w:szCs w:val="24"/>
        </w:rPr>
      </w:pPr>
      <w:r w:rsidRPr="003C38DE">
        <w:rPr>
          <w:sz w:val="24"/>
          <w:szCs w:val="24"/>
        </w:rPr>
        <w:t xml:space="preserve">Paragraph 8(d) additionally provides that the CIRB must have regard to relevance of the skills, knowledge or experience of members of the Expert Panel relating to those written referrals.   </w:t>
      </w:r>
    </w:p>
    <w:p w14:paraId="3D01BDDD" w14:textId="20930F6A" w:rsidR="004E40CA" w:rsidRPr="003C38DE" w:rsidRDefault="004E40CA" w:rsidP="004A0ED1">
      <w:pPr>
        <w:pStyle w:val="ESPara"/>
        <w:numPr>
          <w:ilvl w:val="0"/>
          <w:numId w:val="0"/>
        </w:numPr>
        <w:ind w:left="360"/>
        <w:rPr>
          <w:sz w:val="24"/>
          <w:szCs w:val="24"/>
        </w:rPr>
      </w:pPr>
      <w:r w:rsidRPr="003C38DE">
        <w:rPr>
          <w:sz w:val="24"/>
          <w:szCs w:val="24"/>
        </w:rPr>
        <w:lastRenderedPageBreak/>
        <w:t xml:space="preserve">These matters supplement the threshold in </w:t>
      </w:r>
      <w:r w:rsidR="00AB1169" w:rsidRPr="003C38DE">
        <w:rPr>
          <w:sz w:val="24"/>
          <w:szCs w:val="24"/>
        </w:rPr>
        <w:t xml:space="preserve">subsection </w:t>
      </w:r>
      <w:r w:rsidRPr="003C38DE">
        <w:rPr>
          <w:sz w:val="24"/>
          <w:szCs w:val="24"/>
        </w:rPr>
        <w:t>46(2) of the Act that the CIRB must be satisfied</w:t>
      </w:r>
      <w:r w:rsidR="007262AA" w:rsidRPr="003C38DE">
        <w:rPr>
          <w:sz w:val="24"/>
          <w:szCs w:val="24"/>
        </w:rPr>
        <w:t xml:space="preserve"> of before conducting a review, which permits the CIRB to only conduct a review under section 46 if:</w:t>
      </w:r>
    </w:p>
    <w:p w14:paraId="61A026F7" w14:textId="5277FBFC" w:rsidR="007262AA" w:rsidRPr="003C38DE" w:rsidRDefault="007262AA" w:rsidP="003C38DE">
      <w:pPr>
        <w:pStyle w:val="ESAttHeading"/>
        <w:widowControl w:val="0"/>
        <w:numPr>
          <w:ilvl w:val="0"/>
          <w:numId w:val="28"/>
        </w:numPr>
        <w:ind w:left="709"/>
        <w:rPr>
          <w:b w:val="0"/>
          <w:sz w:val="24"/>
          <w:szCs w:val="24"/>
        </w:rPr>
      </w:pPr>
      <w:r w:rsidRPr="003C38DE">
        <w:rPr>
          <w:b w:val="0"/>
          <w:sz w:val="24"/>
          <w:szCs w:val="24"/>
        </w:rPr>
        <w:t>the CIRB is satisfied that the incident or series of incidents meets the criteria mentioned in subsection 46(3); and</w:t>
      </w:r>
    </w:p>
    <w:p w14:paraId="33D07A36" w14:textId="3BAFC833" w:rsidR="007262AA" w:rsidRPr="003C38DE" w:rsidRDefault="007262AA" w:rsidP="003C38DE">
      <w:pPr>
        <w:pStyle w:val="ESAttHeading"/>
        <w:widowControl w:val="0"/>
        <w:numPr>
          <w:ilvl w:val="0"/>
          <w:numId w:val="28"/>
        </w:numPr>
        <w:ind w:left="709"/>
        <w:rPr>
          <w:b w:val="0"/>
          <w:sz w:val="24"/>
          <w:szCs w:val="24"/>
        </w:rPr>
      </w:pPr>
      <w:r w:rsidRPr="003C38DE">
        <w:rPr>
          <w:b w:val="0"/>
          <w:sz w:val="24"/>
          <w:szCs w:val="24"/>
        </w:rPr>
        <w:t>after the incident or series of incidents, and the immediate response, has ended; and</w:t>
      </w:r>
    </w:p>
    <w:p w14:paraId="537529FC" w14:textId="4BAE2664" w:rsidR="007262AA" w:rsidRPr="003C38DE" w:rsidRDefault="007262AA" w:rsidP="003C38DE">
      <w:pPr>
        <w:pStyle w:val="ESAttHeading"/>
        <w:keepNext w:val="0"/>
        <w:widowControl w:val="0"/>
        <w:numPr>
          <w:ilvl w:val="0"/>
          <w:numId w:val="28"/>
        </w:numPr>
        <w:ind w:left="709"/>
        <w:rPr>
          <w:b w:val="0"/>
          <w:sz w:val="24"/>
          <w:szCs w:val="24"/>
        </w:rPr>
      </w:pPr>
      <w:r w:rsidRPr="003C38DE">
        <w:rPr>
          <w:b w:val="0"/>
          <w:sz w:val="24"/>
          <w:szCs w:val="24"/>
        </w:rPr>
        <w:t>if the Minister has approved the terms of reference for the review.</w:t>
      </w:r>
    </w:p>
    <w:p w14:paraId="76C1701D" w14:textId="7769632E" w:rsidR="00D14E45" w:rsidRPr="003C38DE" w:rsidRDefault="00D14E45" w:rsidP="00D14E45">
      <w:pPr>
        <w:pStyle w:val="ESAttHeading"/>
        <w:keepNext w:val="0"/>
        <w:widowControl w:val="0"/>
        <w:rPr>
          <w:sz w:val="24"/>
          <w:szCs w:val="24"/>
        </w:rPr>
      </w:pPr>
      <w:r w:rsidRPr="003C38DE">
        <w:rPr>
          <w:sz w:val="24"/>
          <w:szCs w:val="24"/>
        </w:rPr>
        <w:t>Section 9</w:t>
      </w:r>
      <w:r w:rsidRPr="003C38DE">
        <w:rPr>
          <w:sz w:val="24"/>
          <w:szCs w:val="24"/>
        </w:rPr>
        <w:tab/>
        <w:t>Terms of reference for reviews</w:t>
      </w:r>
    </w:p>
    <w:p w14:paraId="75F6F434" w14:textId="7A631877" w:rsidR="00D14E45" w:rsidRPr="003C38DE" w:rsidRDefault="0015591A" w:rsidP="00B633E4">
      <w:pPr>
        <w:pStyle w:val="ESPara"/>
        <w:numPr>
          <w:ilvl w:val="0"/>
          <w:numId w:val="0"/>
        </w:numPr>
        <w:ind w:left="360"/>
        <w:rPr>
          <w:sz w:val="24"/>
          <w:szCs w:val="24"/>
        </w:rPr>
      </w:pPr>
      <w:r w:rsidRPr="003C38DE">
        <w:rPr>
          <w:sz w:val="24"/>
          <w:szCs w:val="24"/>
        </w:rPr>
        <w:t xml:space="preserve">Section 9 </w:t>
      </w:r>
      <w:r w:rsidR="008348BE" w:rsidRPr="003C38DE">
        <w:rPr>
          <w:sz w:val="24"/>
          <w:szCs w:val="24"/>
        </w:rPr>
        <w:t xml:space="preserve">specifies </w:t>
      </w:r>
      <w:r w:rsidR="004D206C" w:rsidRPr="003C38DE">
        <w:rPr>
          <w:sz w:val="24"/>
          <w:szCs w:val="24"/>
        </w:rPr>
        <w:t>requirements for t</w:t>
      </w:r>
      <w:r w:rsidR="004E40CA" w:rsidRPr="003C38DE">
        <w:rPr>
          <w:sz w:val="24"/>
          <w:szCs w:val="24"/>
        </w:rPr>
        <w:t>erms of reference</w:t>
      </w:r>
      <w:r w:rsidR="004D206C" w:rsidRPr="003C38DE">
        <w:rPr>
          <w:sz w:val="24"/>
          <w:szCs w:val="24"/>
        </w:rPr>
        <w:t>s</w:t>
      </w:r>
      <w:r w:rsidR="004E40CA" w:rsidRPr="003C38DE">
        <w:rPr>
          <w:sz w:val="24"/>
          <w:szCs w:val="24"/>
        </w:rPr>
        <w:t xml:space="preserve"> </w:t>
      </w:r>
      <w:r w:rsidR="004D206C" w:rsidRPr="003C38DE">
        <w:rPr>
          <w:sz w:val="24"/>
          <w:szCs w:val="24"/>
        </w:rPr>
        <w:t xml:space="preserve">for reviews </w:t>
      </w:r>
      <w:r w:rsidR="004E40CA" w:rsidRPr="003C38DE">
        <w:rPr>
          <w:sz w:val="24"/>
          <w:szCs w:val="24"/>
        </w:rPr>
        <w:t xml:space="preserve">for the purpose of </w:t>
      </w:r>
      <w:r w:rsidR="004D206C" w:rsidRPr="003C38DE">
        <w:rPr>
          <w:sz w:val="24"/>
          <w:szCs w:val="24"/>
        </w:rPr>
        <w:t xml:space="preserve">paragraph 46(5)(c) of the Act. Each review conducted by the CIRB must be conducted in accordance with the terms of reference for the review, which is approved by the Minister. Section 9 contains mandatory requirements that the terms of reference must contain. </w:t>
      </w:r>
    </w:p>
    <w:p w14:paraId="1D788D32" w14:textId="62D92677" w:rsidR="00A510AE" w:rsidRPr="003C38DE" w:rsidRDefault="00A510AE" w:rsidP="00B633E4">
      <w:pPr>
        <w:pStyle w:val="ESPara"/>
        <w:numPr>
          <w:ilvl w:val="0"/>
          <w:numId w:val="0"/>
        </w:numPr>
        <w:ind w:left="720" w:hanging="360"/>
        <w:rPr>
          <w:sz w:val="24"/>
          <w:szCs w:val="24"/>
        </w:rPr>
      </w:pPr>
      <w:r w:rsidRPr="003C38DE">
        <w:rPr>
          <w:sz w:val="24"/>
          <w:szCs w:val="24"/>
        </w:rPr>
        <w:t>Subsection 9(1) provides</w:t>
      </w:r>
      <w:r w:rsidR="0031311A" w:rsidRPr="003C38DE">
        <w:rPr>
          <w:sz w:val="24"/>
          <w:szCs w:val="24"/>
        </w:rPr>
        <w:t xml:space="preserve"> that the terms of reference f</w:t>
      </w:r>
      <w:r w:rsidRPr="003C38DE">
        <w:rPr>
          <w:sz w:val="24"/>
          <w:szCs w:val="24"/>
        </w:rPr>
        <w:t xml:space="preserve">or a review by the </w:t>
      </w:r>
      <w:r w:rsidR="004D206C" w:rsidRPr="003C38DE">
        <w:rPr>
          <w:sz w:val="24"/>
          <w:szCs w:val="24"/>
        </w:rPr>
        <w:t xml:space="preserve">CIRB </w:t>
      </w:r>
      <w:r w:rsidRPr="003C38DE">
        <w:rPr>
          <w:sz w:val="24"/>
          <w:szCs w:val="24"/>
        </w:rPr>
        <w:t>must</w:t>
      </w:r>
      <w:r w:rsidR="0031311A" w:rsidRPr="003C38DE">
        <w:rPr>
          <w:sz w:val="24"/>
          <w:szCs w:val="24"/>
        </w:rPr>
        <w:t xml:space="preserve">: </w:t>
      </w:r>
    </w:p>
    <w:p w14:paraId="281C4D11" w14:textId="233E2866" w:rsidR="00A510AE" w:rsidRPr="003C38DE" w:rsidRDefault="003C38DE" w:rsidP="003C38DE">
      <w:pPr>
        <w:pStyle w:val="ESAttHeading"/>
        <w:keepNext w:val="0"/>
        <w:widowControl w:val="0"/>
        <w:numPr>
          <w:ilvl w:val="1"/>
          <w:numId w:val="11"/>
        </w:numPr>
        <w:tabs>
          <w:tab w:val="clear" w:pos="1440"/>
          <w:tab w:val="num" w:pos="709"/>
        </w:tabs>
        <w:ind w:left="709"/>
        <w:rPr>
          <w:b w:val="0"/>
          <w:sz w:val="24"/>
          <w:szCs w:val="24"/>
        </w:rPr>
      </w:pPr>
      <w:r w:rsidRPr="003C38DE">
        <w:rPr>
          <w:b w:val="0"/>
          <w:sz w:val="24"/>
          <w:szCs w:val="24"/>
        </w:rPr>
        <w:t>s</w:t>
      </w:r>
      <w:r w:rsidR="0031311A" w:rsidRPr="003C38DE">
        <w:rPr>
          <w:b w:val="0"/>
          <w:sz w:val="24"/>
          <w:szCs w:val="24"/>
        </w:rPr>
        <w:t>pecify the number of standing members of the Board who will conduct the review</w:t>
      </w:r>
      <w:r w:rsidR="00F944C7" w:rsidRPr="003C38DE">
        <w:rPr>
          <w:b w:val="0"/>
          <w:sz w:val="24"/>
          <w:szCs w:val="24"/>
        </w:rPr>
        <w:t xml:space="preserve"> (</w:t>
      </w:r>
      <w:r w:rsidR="007262AA" w:rsidRPr="003C38DE">
        <w:rPr>
          <w:b w:val="0"/>
          <w:sz w:val="24"/>
          <w:szCs w:val="24"/>
        </w:rPr>
        <w:t xml:space="preserve">paragraph </w:t>
      </w:r>
      <w:r w:rsidR="00F944C7" w:rsidRPr="003C38DE">
        <w:rPr>
          <w:b w:val="0"/>
          <w:sz w:val="24"/>
          <w:szCs w:val="24"/>
        </w:rPr>
        <w:t>9(1)(a))</w:t>
      </w:r>
      <w:r w:rsidR="0031311A" w:rsidRPr="003C38DE">
        <w:rPr>
          <w:b w:val="0"/>
          <w:sz w:val="24"/>
          <w:szCs w:val="24"/>
        </w:rPr>
        <w:t xml:space="preserve">; </w:t>
      </w:r>
    </w:p>
    <w:p w14:paraId="55CF7696" w14:textId="20D3159B" w:rsidR="00A510AE" w:rsidRPr="003C38DE" w:rsidRDefault="003C38DE" w:rsidP="003C38DE">
      <w:pPr>
        <w:pStyle w:val="ESAttHeading"/>
        <w:keepNext w:val="0"/>
        <w:widowControl w:val="0"/>
        <w:numPr>
          <w:ilvl w:val="1"/>
          <w:numId w:val="11"/>
        </w:numPr>
        <w:tabs>
          <w:tab w:val="clear" w:pos="1440"/>
          <w:tab w:val="num" w:pos="709"/>
        </w:tabs>
        <w:ind w:left="709"/>
        <w:rPr>
          <w:b w:val="0"/>
          <w:sz w:val="24"/>
          <w:szCs w:val="24"/>
        </w:rPr>
      </w:pPr>
      <w:r w:rsidRPr="003C38DE">
        <w:rPr>
          <w:b w:val="0"/>
          <w:sz w:val="24"/>
          <w:szCs w:val="24"/>
        </w:rPr>
        <w:t>s</w:t>
      </w:r>
      <w:r w:rsidR="0031311A" w:rsidRPr="003C38DE">
        <w:rPr>
          <w:b w:val="0"/>
          <w:sz w:val="24"/>
          <w:szCs w:val="24"/>
        </w:rPr>
        <w:t xml:space="preserve">pecify the number of members of the Expert Panel to be appointed to assist the </w:t>
      </w:r>
      <w:r w:rsidR="007262AA" w:rsidRPr="003C38DE">
        <w:rPr>
          <w:b w:val="0"/>
          <w:sz w:val="24"/>
          <w:szCs w:val="24"/>
        </w:rPr>
        <w:t xml:space="preserve">CIRB </w:t>
      </w:r>
      <w:r w:rsidR="004D206C" w:rsidRPr="003C38DE">
        <w:rPr>
          <w:b w:val="0"/>
          <w:sz w:val="24"/>
          <w:szCs w:val="24"/>
        </w:rPr>
        <w:t>in relation to the review</w:t>
      </w:r>
      <w:r w:rsidR="00F944C7" w:rsidRPr="003C38DE">
        <w:rPr>
          <w:b w:val="0"/>
          <w:sz w:val="24"/>
          <w:szCs w:val="24"/>
        </w:rPr>
        <w:t xml:space="preserve"> (</w:t>
      </w:r>
      <w:r w:rsidR="007262AA" w:rsidRPr="003C38DE">
        <w:rPr>
          <w:b w:val="0"/>
          <w:sz w:val="24"/>
          <w:szCs w:val="24"/>
        </w:rPr>
        <w:t xml:space="preserve">paragraph </w:t>
      </w:r>
      <w:r w:rsidR="00F944C7" w:rsidRPr="003C38DE">
        <w:rPr>
          <w:b w:val="0"/>
          <w:sz w:val="24"/>
          <w:szCs w:val="24"/>
        </w:rPr>
        <w:t>9(1)(b))</w:t>
      </w:r>
      <w:r w:rsidR="004D206C" w:rsidRPr="003C38DE">
        <w:rPr>
          <w:b w:val="0"/>
          <w:sz w:val="24"/>
          <w:szCs w:val="24"/>
        </w:rPr>
        <w:t xml:space="preserve">; </w:t>
      </w:r>
    </w:p>
    <w:p w14:paraId="0A6B8136" w14:textId="22A1EA6E" w:rsidR="00A510AE" w:rsidRPr="003C38DE" w:rsidRDefault="003C38DE" w:rsidP="003C38DE">
      <w:pPr>
        <w:pStyle w:val="ESAttHeading"/>
        <w:keepNext w:val="0"/>
        <w:widowControl w:val="0"/>
        <w:numPr>
          <w:ilvl w:val="1"/>
          <w:numId w:val="11"/>
        </w:numPr>
        <w:tabs>
          <w:tab w:val="clear" w:pos="1440"/>
          <w:tab w:val="num" w:pos="709"/>
        </w:tabs>
        <w:ind w:left="709"/>
        <w:rPr>
          <w:b w:val="0"/>
          <w:sz w:val="24"/>
          <w:szCs w:val="24"/>
        </w:rPr>
      </w:pPr>
      <w:r w:rsidRPr="003C38DE">
        <w:rPr>
          <w:b w:val="0"/>
          <w:sz w:val="24"/>
          <w:szCs w:val="24"/>
        </w:rPr>
        <w:t>s</w:t>
      </w:r>
      <w:r w:rsidR="0031311A" w:rsidRPr="003C38DE">
        <w:rPr>
          <w:b w:val="0"/>
          <w:sz w:val="24"/>
          <w:szCs w:val="24"/>
        </w:rPr>
        <w:t xml:space="preserve">pecify the minimum level of Australian Government security clearance, or equivalent security clearance recognised by the Commonwealth, required for a standing member of the </w:t>
      </w:r>
      <w:r w:rsidR="007262AA" w:rsidRPr="003C38DE">
        <w:rPr>
          <w:b w:val="0"/>
          <w:sz w:val="24"/>
          <w:szCs w:val="24"/>
        </w:rPr>
        <w:t xml:space="preserve">CIRB </w:t>
      </w:r>
      <w:r w:rsidR="0031311A" w:rsidRPr="003C38DE">
        <w:rPr>
          <w:b w:val="0"/>
          <w:sz w:val="24"/>
          <w:szCs w:val="24"/>
        </w:rPr>
        <w:t xml:space="preserve">to hold in order to participate in </w:t>
      </w:r>
      <w:r w:rsidR="004D206C" w:rsidRPr="003C38DE">
        <w:rPr>
          <w:b w:val="0"/>
          <w:sz w:val="24"/>
          <w:szCs w:val="24"/>
        </w:rPr>
        <w:t>the conduct of the review</w:t>
      </w:r>
      <w:r w:rsidR="00F944C7" w:rsidRPr="003C38DE">
        <w:rPr>
          <w:b w:val="0"/>
          <w:sz w:val="24"/>
          <w:szCs w:val="24"/>
        </w:rPr>
        <w:t xml:space="preserve"> (</w:t>
      </w:r>
      <w:r w:rsidR="007262AA" w:rsidRPr="003C38DE">
        <w:rPr>
          <w:b w:val="0"/>
          <w:sz w:val="24"/>
          <w:szCs w:val="24"/>
        </w:rPr>
        <w:t xml:space="preserve">paragraph </w:t>
      </w:r>
      <w:r w:rsidR="00F944C7" w:rsidRPr="003C38DE">
        <w:rPr>
          <w:b w:val="0"/>
          <w:sz w:val="24"/>
          <w:szCs w:val="24"/>
        </w:rPr>
        <w:t>9(1)(c))</w:t>
      </w:r>
      <w:r w:rsidR="004D206C" w:rsidRPr="003C38DE">
        <w:rPr>
          <w:b w:val="0"/>
          <w:sz w:val="24"/>
          <w:szCs w:val="24"/>
        </w:rPr>
        <w:t xml:space="preserve">; </w:t>
      </w:r>
      <w:r w:rsidR="00B95739" w:rsidRPr="003C38DE">
        <w:rPr>
          <w:b w:val="0"/>
          <w:sz w:val="24"/>
          <w:szCs w:val="24"/>
        </w:rPr>
        <w:t>and</w:t>
      </w:r>
    </w:p>
    <w:p w14:paraId="38FC751D" w14:textId="4AEC2FA8" w:rsidR="4A83401C" w:rsidRPr="003C38DE" w:rsidRDefault="003C38DE" w:rsidP="003C38DE">
      <w:pPr>
        <w:pStyle w:val="ESAttHeading"/>
        <w:keepNext w:val="0"/>
        <w:widowControl w:val="0"/>
        <w:numPr>
          <w:ilvl w:val="1"/>
          <w:numId w:val="11"/>
        </w:numPr>
        <w:tabs>
          <w:tab w:val="clear" w:pos="1440"/>
          <w:tab w:val="num" w:pos="709"/>
        </w:tabs>
        <w:ind w:left="709"/>
        <w:rPr>
          <w:b w:val="0"/>
          <w:sz w:val="24"/>
          <w:szCs w:val="24"/>
        </w:rPr>
      </w:pPr>
      <w:r w:rsidRPr="003C38DE">
        <w:rPr>
          <w:b w:val="0"/>
          <w:sz w:val="24"/>
          <w:szCs w:val="24"/>
        </w:rPr>
        <w:t>s</w:t>
      </w:r>
      <w:r w:rsidR="0016103A" w:rsidRPr="003C38DE">
        <w:rPr>
          <w:b w:val="0"/>
          <w:sz w:val="24"/>
          <w:szCs w:val="24"/>
        </w:rPr>
        <w:t>pecify</w:t>
      </w:r>
      <w:r w:rsidR="0031311A" w:rsidRPr="003C38DE">
        <w:rPr>
          <w:b w:val="0"/>
          <w:sz w:val="24"/>
          <w:szCs w:val="24"/>
        </w:rPr>
        <w:t xml:space="preserve"> any eligibility requirements, additional to those set out in paragraphs 23</w:t>
      </w:r>
      <w:r w:rsidR="009368FA" w:rsidRPr="003C38DE">
        <w:rPr>
          <w:b w:val="0"/>
          <w:sz w:val="24"/>
          <w:szCs w:val="24"/>
        </w:rPr>
        <w:t>(b) and (c)</w:t>
      </w:r>
      <w:r w:rsidR="004D206C" w:rsidRPr="003C38DE">
        <w:rPr>
          <w:b w:val="0"/>
          <w:sz w:val="24"/>
          <w:szCs w:val="24"/>
        </w:rPr>
        <w:t xml:space="preserve"> of the Rules</w:t>
      </w:r>
      <w:r w:rsidR="00F944C7" w:rsidRPr="003C38DE">
        <w:rPr>
          <w:b w:val="0"/>
          <w:sz w:val="24"/>
          <w:szCs w:val="24"/>
        </w:rPr>
        <w:t xml:space="preserve"> (</w:t>
      </w:r>
      <w:r w:rsidR="00C20D41" w:rsidRPr="003C38DE">
        <w:rPr>
          <w:b w:val="0"/>
          <w:sz w:val="24"/>
          <w:szCs w:val="24"/>
        </w:rPr>
        <w:t xml:space="preserve">paragraph </w:t>
      </w:r>
      <w:r w:rsidR="00F944C7" w:rsidRPr="003C38DE">
        <w:rPr>
          <w:b w:val="0"/>
          <w:sz w:val="24"/>
          <w:szCs w:val="24"/>
        </w:rPr>
        <w:t>9(1)(d))</w:t>
      </w:r>
      <w:r w:rsidR="009368FA" w:rsidRPr="003C38DE">
        <w:rPr>
          <w:b w:val="0"/>
          <w:sz w:val="24"/>
          <w:szCs w:val="24"/>
        </w:rPr>
        <w:t xml:space="preserve">. </w:t>
      </w:r>
      <w:r w:rsidR="004D206C" w:rsidRPr="003C38DE">
        <w:rPr>
          <w:b w:val="0"/>
          <w:sz w:val="24"/>
          <w:szCs w:val="24"/>
        </w:rPr>
        <w:t>Paragraphs</w:t>
      </w:r>
      <w:r w:rsidR="009368FA" w:rsidRPr="003C38DE">
        <w:rPr>
          <w:b w:val="0"/>
          <w:sz w:val="24"/>
          <w:szCs w:val="24"/>
        </w:rPr>
        <w:t xml:space="preserve"> 23(b) and (c) </w:t>
      </w:r>
      <w:r w:rsidR="004D206C" w:rsidRPr="003C38DE">
        <w:rPr>
          <w:b w:val="0"/>
          <w:sz w:val="24"/>
          <w:szCs w:val="24"/>
        </w:rPr>
        <w:t>of the Rules</w:t>
      </w:r>
      <w:r w:rsidR="007262AA" w:rsidRPr="003C38DE">
        <w:rPr>
          <w:b w:val="0"/>
          <w:sz w:val="24"/>
          <w:szCs w:val="24"/>
        </w:rPr>
        <w:t xml:space="preserve"> provide</w:t>
      </w:r>
      <w:r w:rsidR="004D206C" w:rsidRPr="003C38DE">
        <w:rPr>
          <w:b w:val="0"/>
          <w:sz w:val="24"/>
          <w:szCs w:val="24"/>
        </w:rPr>
        <w:t xml:space="preserve"> </w:t>
      </w:r>
      <w:r w:rsidR="00F944C7" w:rsidRPr="003C38DE">
        <w:rPr>
          <w:b w:val="0"/>
          <w:sz w:val="24"/>
          <w:szCs w:val="24"/>
        </w:rPr>
        <w:t xml:space="preserve">additional requirements the Chair must be satisfied of when appointing Expert Panel members to a review, which are in additional to eligibility requirements specified in the terms of reference. </w:t>
      </w:r>
      <w:r w:rsidR="004D206C" w:rsidRPr="003C38DE">
        <w:rPr>
          <w:b w:val="0"/>
          <w:sz w:val="24"/>
          <w:szCs w:val="24"/>
        </w:rPr>
        <w:t xml:space="preserve"> </w:t>
      </w:r>
    </w:p>
    <w:p w14:paraId="714B0192" w14:textId="2F2D8E59" w:rsidR="0031311A" w:rsidRPr="003C38DE" w:rsidRDefault="00184F72" w:rsidP="00B633E4">
      <w:pPr>
        <w:pStyle w:val="ESPara"/>
        <w:numPr>
          <w:ilvl w:val="0"/>
          <w:numId w:val="0"/>
        </w:numPr>
        <w:ind w:left="360"/>
        <w:rPr>
          <w:sz w:val="24"/>
          <w:szCs w:val="24"/>
        </w:rPr>
      </w:pPr>
      <w:r w:rsidRPr="003C38DE">
        <w:rPr>
          <w:sz w:val="24"/>
          <w:szCs w:val="24"/>
        </w:rPr>
        <w:t xml:space="preserve">The note </w:t>
      </w:r>
      <w:r w:rsidR="00A510AE" w:rsidRPr="003C38DE">
        <w:rPr>
          <w:sz w:val="24"/>
          <w:szCs w:val="24"/>
        </w:rPr>
        <w:t xml:space="preserve">under </w:t>
      </w:r>
      <w:r w:rsidR="00F944C7" w:rsidRPr="003C38DE">
        <w:rPr>
          <w:sz w:val="24"/>
          <w:szCs w:val="24"/>
        </w:rPr>
        <w:t>paragraph 9(1)(d)</w:t>
      </w:r>
      <w:r w:rsidRPr="003C38DE">
        <w:rPr>
          <w:sz w:val="24"/>
          <w:szCs w:val="24"/>
        </w:rPr>
        <w:t xml:space="preserve"> </w:t>
      </w:r>
      <w:r w:rsidR="00F944C7" w:rsidRPr="003C38DE">
        <w:rPr>
          <w:sz w:val="24"/>
          <w:szCs w:val="24"/>
        </w:rPr>
        <w:t>clarifies</w:t>
      </w:r>
      <w:r w:rsidRPr="003C38DE">
        <w:rPr>
          <w:sz w:val="24"/>
          <w:szCs w:val="24"/>
        </w:rPr>
        <w:t xml:space="preserve"> that additional</w:t>
      </w:r>
      <w:r w:rsidR="00F944C7" w:rsidRPr="003C38DE">
        <w:rPr>
          <w:sz w:val="24"/>
          <w:szCs w:val="24"/>
        </w:rPr>
        <w:t xml:space="preserve"> eligibility requirements in</w:t>
      </w:r>
      <w:r w:rsidRPr="003C38DE">
        <w:rPr>
          <w:sz w:val="24"/>
          <w:szCs w:val="24"/>
        </w:rPr>
        <w:t xml:space="preserve"> </w:t>
      </w:r>
      <w:r w:rsidR="00F944C7" w:rsidRPr="003C38DE">
        <w:rPr>
          <w:sz w:val="24"/>
          <w:szCs w:val="24"/>
        </w:rPr>
        <w:t>the terms of reference,</w:t>
      </w:r>
      <w:r w:rsidR="004E3040" w:rsidRPr="003C38DE">
        <w:rPr>
          <w:sz w:val="24"/>
          <w:szCs w:val="24"/>
        </w:rPr>
        <w:t xml:space="preserve"> </w:t>
      </w:r>
      <w:r w:rsidR="00F944C7" w:rsidRPr="003C38DE">
        <w:rPr>
          <w:sz w:val="24"/>
          <w:szCs w:val="24"/>
        </w:rPr>
        <w:t>may relate to</w:t>
      </w:r>
      <w:r w:rsidR="00BD164A" w:rsidRPr="003C38DE">
        <w:rPr>
          <w:sz w:val="24"/>
          <w:szCs w:val="24"/>
        </w:rPr>
        <w:t xml:space="preserve"> particular skills, qualific</w:t>
      </w:r>
      <w:r w:rsidR="007262AA" w:rsidRPr="003C38DE">
        <w:rPr>
          <w:sz w:val="24"/>
          <w:szCs w:val="24"/>
        </w:rPr>
        <w:t>ations, expertise or experience in relation to the review.</w:t>
      </w:r>
      <w:r w:rsidR="00BD164A" w:rsidRPr="003C38DE">
        <w:rPr>
          <w:sz w:val="24"/>
          <w:szCs w:val="24"/>
        </w:rPr>
        <w:t xml:space="preserve"> </w:t>
      </w:r>
    </w:p>
    <w:p w14:paraId="4B4D904F" w14:textId="16D2E495" w:rsidR="00284532" w:rsidRPr="003C38DE" w:rsidRDefault="00B8426B" w:rsidP="00B633E4">
      <w:pPr>
        <w:pStyle w:val="ESPara"/>
        <w:numPr>
          <w:ilvl w:val="0"/>
          <w:numId w:val="0"/>
        </w:numPr>
        <w:ind w:left="360"/>
        <w:rPr>
          <w:sz w:val="24"/>
          <w:szCs w:val="24"/>
        </w:rPr>
      </w:pPr>
      <w:r w:rsidRPr="003C38DE">
        <w:rPr>
          <w:sz w:val="24"/>
          <w:szCs w:val="24"/>
        </w:rPr>
        <w:t xml:space="preserve">Subsection </w:t>
      </w:r>
      <w:r w:rsidR="00A510AE" w:rsidRPr="003C38DE">
        <w:rPr>
          <w:sz w:val="24"/>
          <w:szCs w:val="24"/>
        </w:rPr>
        <w:t xml:space="preserve">9(2) </w:t>
      </w:r>
      <w:r w:rsidRPr="003C38DE">
        <w:rPr>
          <w:sz w:val="24"/>
          <w:szCs w:val="24"/>
        </w:rPr>
        <w:t xml:space="preserve">provides that the </w:t>
      </w:r>
      <w:r w:rsidR="00F944C7" w:rsidRPr="003C38DE">
        <w:rPr>
          <w:sz w:val="24"/>
          <w:szCs w:val="24"/>
        </w:rPr>
        <w:t>CIRB</w:t>
      </w:r>
      <w:r w:rsidRPr="003C38DE">
        <w:rPr>
          <w:sz w:val="24"/>
          <w:szCs w:val="24"/>
        </w:rPr>
        <w:t xml:space="preserve"> may</w:t>
      </w:r>
      <w:r w:rsidR="00F944C7" w:rsidRPr="003C38DE">
        <w:rPr>
          <w:sz w:val="24"/>
          <w:szCs w:val="24"/>
        </w:rPr>
        <w:t>,</w:t>
      </w:r>
      <w:r w:rsidRPr="003C38DE">
        <w:rPr>
          <w:sz w:val="24"/>
          <w:szCs w:val="24"/>
        </w:rPr>
        <w:t xml:space="preserve"> with the approval of the Minister, vary the terms of reference for a review.</w:t>
      </w:r>
    </w:p>
    <w:p w14:paraId="7329DC09" w14:textId="741CF9C4" w:rsidR="005E5B4A" w:rsidRPr="003C38DE" w:rsidRDefault="005E5B4A" w:rsidP="00B633E4">
      <w:pPr>
        <w:pStyle w:val="ESPara"/>
        <w:numPr>
          <w:ilvl w:val="0"/>
          <w:numId w:val="0"/>
        </w:numPr>
        <w:ind w:left="360"/>
        <w:rPr>
          <w:sz w:val="24"/>
          <w:szCs w:val="24"/>
        </w:rPr>
      </w:pPr>
      <w:r w:rsidRPr="003C38DE">
        <w:rPr>
          <w:sz w:val="24"/>
          <w:szCs w:val="24"/>
        </w:rPr>
        <w:t xml:space="preserve">The rationale for </w:t>
      </w:r>
      <w:r w:rsidR="005B7D07" w:rsidRPr="003C38DE">
        <w:rPr>
          <w:sz w:val="24"/>
          <w:szCs w:val="24"/>
        </w:rPr>
        <w:t>why</w:t>
      </w:r>
      <w:r w:rsidRPr="003C38DE">
        <w:rPr>
          <w:sz w:val="24"/>
          <w:szCs w:val="24"/>
        </w:rPr>
        <w:t xml:space="preserve"> these matters have been selected </w:t>
      </w:r>
      <w:r w:rsidR="005B7D07" w:rsidRPr="003C38DE">
        <w:rPr>
          <w:sz w:val="24"/>
          <w:szCs w:val="24"/>
        </w:rPr>
        <w:t>as mandatory inclusions</w:t>
      </w:r>
      <w:r w:rsidRPr="003C38DE">
        <w:rPr>
          <w:sz w:val="24"/>
          <w:szCs w:val="24"/>
        </w:rPr>
        <w:t xml:space="preserve"> </w:t>
      </w:r>
      <w:r w:rsidR="004D4E8A" w:rsidRPr="003C38DE">
        <w:rPr>
          <w:sz w:val="24"/>
          <w:szCs w:val="24"/>
        </w:rPr>
        <w:t>for</w:t>
      </w:r>
      <w:r w:rsidRPr="003C38DE">
        <w:rPr>
          <w:sz w:val="24"/>
          <w:szCs w:val="24"/>
        </w:rPr>
        <w:t xml:space="preserve"> the </w:t>
      </w:r>
      <w:r w:rsidR="008778EB" w:rsidRPr="003C38DE">
        <w:rPr>
          <w:sz w:val="24"/>
          <w:szCs w:val="24"/>
        </w:rPr>
        <w:t>terms of reference</w:t>
      </w:r>
      <w:r w:rsidRPr="003C38DE">
        <w:rPr>
          <w:sz w:val="24"/>
          <w:szCs w:val="24"/>
        </w:rPr>
        <w:t xml:space="preserve"> is to establish a </w:t>
      </w:r>
      <w:r w:rsidR="008778EB" w:rsidRPr="003C38DE">
        <w:rPr>
          <w:sz w:val="24"/>
          <w:szCs w:val="24"/>
        </w:rPr>
        <w:t xml:space="preserve">baseline of information to be included for the transparent operation of the </w:t>
      </w:r>
      <w:r w:rsidR="004A0ED1" w:rsidRPr="003C38DE">
        <w:rPr>
          <w:sz w:val="24"/>
          <w:szCs w:val="24"/>
        </w:rPr>
        <w:t>CIRB</w:t>
      </w:r>
      <w:r w:rsidR="008778EB" w:rsidRPr="003C38DE">
        <w:rPr>
          <w:sz w:val="24"/>
          <w:szCs w:val="24"/>
        </w:rPr>
        <w:t xml:space="preserve">, whilst ensuring that the Board has complete discretion in the in the performance of its functions.  </w:t>
      </w:r>
    </w:p>
    <w:p w14:paraId="7D7D90AE" w14:textId="3F3DC196" w:rsidR="00412E58" w:rsidRPr="003C38DE" w:rsidRDefault="009F765E" w:rsidP="00CD5D6D">
      <w:pPr>
        <w:pStyle w:val="ESAttHeading"/>
        <w:keepNext w:val="0"/>
        <w:widowControl w:val="0"/>
        <w:rPr>
          <w:sz w:val="24"/>
          <w:szCs w:val="24"/>
        </w:rPr>
      </w:pPr>
      <w:r w:rsidRPr="003C38DE">
        <w:rPr>
          <w:sz w:val="24"/>
          <w:szCs w:val="24"/>
        </w:rPr>
        <w:lastRenderedPageBreak/>
        <w:t xml:space="preserve">Section </w:t>
      </w:r>
      <w:r w:rsidR="00D14E45" w:rsidRPr="003C38DE">
        <w:rPr>
          <w:sz w:val="24"/>
          <w:szCs w:val="24"/>
        </w:rPr>
        <w:t>10</w:t>
      </w:r>
      <w:r w:rsidR="00412E58" w:rsidRPr="003C38DE">
        <w:rPr>
          <w:sz w:val="24"/>
          <w:szCs w:val="24"/>
        </w:rPr>
        <w:tab/>
        <w:t>Timing of reviews – non-interference with investigations etc.</w:t>
      </w:r>
    </w:p>
    <w:p w14:paraId="4725C9CF" w14:textId="77777777" w:rsidR="00F944C7" w:rsidRPr="003C38DE" w:rsidRDefault="000B796D" w:rsidP="00B633E4">
      <w:pPr>
        <w:pStyle w:val="ESPara"/>
        <w:numPr>
          <w:ilvl w:val="0"/>
          <w:numId w:val="0"/>
        </w:numPr>
        <w:ind w:left="360"/>
        <w:rPr>
          <w:sz w:val="24"/>
          <w:szCs w:val="24"/>
        </w:rPr>
      </w:pPr>
      <w:r w:rsidRPr="003C38DE">
        <w:rPr>
          <w:sz w:val="24"/>
          <w:szCs w:val="24"/>
        </w:rPr>
        <w:t xml:space="preserve">Section 10 </w:t>
      </w:r>
      <w:r w:rsidR="00F944C7" w:rsidRPr="003C38DE">
        <w:rPr>
          <w:sz w:val="24"/>
          <w:szCs w:val="24"/>
        </w:rPr>
        <w:t xml:space="preserve">specifies requirements relating to the timing of reviews for the purpose of paragraph 46(5)(e) of the Act. </w:t>
      </w:r>
    </w:p>
    <w:p w14:paraId="36C35D49" w14:textId="01593B72" w:rsidR="000B796D" w:rsidRPr="003C38DE" w:rsidRDefault="00F944C7" w:rsidP="00B633E4">
      <w:pPr>
        <w:pStyle w:val="ESPara"/>
        <w:numPr>
          <w:ilvl w:val="0"/>
          <w:numId w:val="0"/>
        </w:numPr>
        <w:ind w:left="360"/>
        <w:rPr>
          <w:sz w:val="24"/>
          <w:szCs w:val="24"/>
        </w:rPr>
      </w:pPr>
      <w:r w:rsidRPr="003C38DE">
        <w:rPr>
          <w:sz w:val="24"/>
          <w:szCs w:val="24"/>
        </w:rPr>
        <w:t xml:space="preserve">Section 10 </w:t>
      </w:r>
      <w:r w:rsidR="00591FEF" w:rsidRPr="003C38DE">
        <w:rPr>
          <w:sz w:val="24"/>
          <w:szCs w:val="24"/>
        </w:rPr>
        <w:t xml:space="preserve">prohibits the </w:t>
      </w:r>
      <w:r w:rsidRPr="003C38DE">
        <w:rPr>
          <w:sz w:val="24"/>
          <w:szCs w:val="24"/>
        </w:rPr>
        <w:t xml:space="preserve">CIRB </w:t>
      </w:r>
      <w:r w:rsidR="00591FEF" w:rsidRPr="003C38DE">
        <w:rPr>
          <w:sz w:val="24"/>
          <w:szCs w:val="24"/>
        </w:rPr>
        <w:t>from conducting a review at</w:t>
      </w:r>
      <w:r w:rsidR="00C20D41" w:rsidRPr="003C38DE">
        <w:rPr>
          <w:sz w:val="24"/>
          <w:szCs w:val="24"/>
        </w:rPr>
        <w:t xml:space="preserve"> a</w:t>
      </w:r>
      <w:r w:rsidR="00591FEF" w:rsidRPr="003C38DE">
        <w:rPr>
          <w:sz w:val="24"/>
          <w:szCs w:val="24"/>
        </w:rPr>
        <w:t xml:space="preserve"> time where </w:t>
      </w:r>
      <w:r w:rsidR="00BF1A67" w:rsidRPr="003C38DE">
        <w:rPr>
          <w:sz w:val="24"/>
          <w:szCs w:val="24"/>
        </w:rPr>
        <w:t xml:space="preserve">the Chair considers </w:t>
      </w:r>
      <w:r w:rsidR="00591FEF" w:rsidRPr="003C38DE">
        <w:rPr>
          <w:sz w:val="24"/>
          <w:szCs w:val="24"/>
        </w:rPr>
        <w:t>it would</w:t>
      </w:r>
      <w:r w:rsidR="0036274F" w:rsidRPr="003C38DE">
        <w:rPr>
          <w:sz w:val="24"/>
          <w:szCs w:val="24"/>
        </w:rPr>
        <w:t xml:space="preserve"> interfere with or prejudice the investigation of, or the conduct of proceedings relating to, an offence or a contravention of a civil penalty provision under a law of the Commonwealth or of a State or Territory.</w:t>
      </w:r>
    </w:p>
    <w:p w14:paraId="6215C9B4" w14:textId="50E13AB1" w:rsidR="008367A6" w:rsidRPr="003C38DE" w:rsidRDefault="00F944C7" w:rsidP="00B633E4">
      <w:pPr>
        <w:pStyle w:val="ESPara"/>
        <w:numPr>
          <w:ilvl w:val="0"/>
          <w:numId w:val="0"/>
        </w:numPr>
        <w:ind w:left="360"/>
        <w:rPr>
          <w:sz w:val="24"/>
          <w:szCs w:val="24"/>
        </w:rPr>
      </w:pPr>
      <w:r w:rsidRPr="003C38DE">
        <w:rPr>
          <w:sz w:val="24"/>
          <w:szCs w:val="24"/>
        </w:rPr>
        <w:t>The</w:t>
      </w:r>
      <w:r w:rsidR="00BF1A67" w:rsidRPr="003C38DE">
        <w:rPr>
          <w:sz w:val="24"/>
          <w:szCs w:val="24"/>
        </w:rPr>
        <w:t xml:space="preserve"> note</w:t>
      </w:r>
      <w:r w:rsidRPr="003C38DE">
        <w:rPr>
          <w:sz w:val="24"/>
          <w:szCs w:val="24"/>
        </w:rPr>
        <w:t xml:space="preserve"> under section 10 </w:t>
      </w:r>
      <w:r w:rsidR="008367A6" w:rsidRPr="003C38DE">
        <w:rPr>
          <w:sz w:val="24"/>
          <w:szCs w:val="24"/>
        </w:rPr>
        <w:t>di</w:t>
      </w:r>
      <w:r w:rsidR="00BD164A" w:rsidRPr="003C38DE">
        <w:rPr>
          <w:sz w:val="24"/>
          <w:szCs w:val="24"/>
        </w:rPr>
        <w:t>rects the reader to paragraph 46(2)(b) of the Act, which provides that a review may only be conducted under section</w:t>
      </w:r>
      <w:r w:rsidRPr="003C38DE">
        <w:rPr>
          <w:sz w:val="24"/>
          <w:szCs w:val="24"/>
        </w:rPr>
        <w:t xml:space="preserve"> 46</w:t>
      </w:r>
      <w:r w:rsidR="00BD164A" w:rsidRPr="003C38DE">
        <w:rPr>
          <w:sz w:val="24"/>
          <w:szCs w:val="24"/>
        </w:rPr>
        <w:t xml:space="preserve"> after the </w:t>
      </w:r>
      <w:r w:rsidRPr="003C38DE">
        <w:rPr>
          <w:sz w:val="24"/>
          <w:szCs w:val="24"/>
        </w:rPr>
        <w:t xml:space="preserve">cyber security </w:t>
      </w:r>
      <w:r w:rsidR="00BD164A" w:rsidRPr="003C38DE">
        <w:rPr>
          <w:sz w:val="24"/>
          <w:szCs w:val="24"/>
        </w:rPr>
        <w:t xml:space="preserve">incident or series of </w:t>
      </w:r>
      <w:r w:rsidRPr="003C38DE">
        <w:rPr>
          <w:sz w:val="24"/>
          <w:szCs w:val="24"/>
        </w:rPr>
        <w:t xml:space="preserve">cyber security </w:t>
      </w:r>
      <w:r w:rsidR="00BD164A" w:rsidRPr="003C38DE">
        <w:rPr>
          <w:sz w:val="24"/>
          <w:szCs w:val="24"/>
        </w:rPr>
        <w:t xml:space="preserve">incidents, and the immediate response, has ended. </w:t>
      </w:r>
    </w:p>
    <w:p w14:paraId="506D6ABE" w14:textId="7D96F445" w:rsidR="007D7A71" w:rsidRPr="003C38DE" w:rsidRDefault="7F149A0E" w:rsidP="00B633E4">
      <w:pPr>
        <w:pStyle w:val="ESPara"/>
        <w:numPr>
          <w:ilvl w:val="0"/>
          <w:numId w:val="0"/>
        </w:numPr>
        <w:ind w:left="360"/>
        <w:rPr>
          <w:sz w:val="24"/>
          <w:szCs w:val="24"/>
        </w:rPr>
      </w:pPr>
      <w:r w:rsidRPr="003C38DE">
        <w:rPr>
          <w:sz w:val="24"/>
          <w:szCs w:val="24"/>
        </w:rPr>
        <w:t xml:space="preserve">The purpose </w:t>
      </w:r>
      <w:r w:rsidR="00F944C7" w:rsidRPr="003C38DE">
        <w:rPr>
          <w:sz w:val="24"/>
          <w:szCs w:val="24"/>
        </w:rPr>
        <w:t>of section</w:t>
      </w:r>
      <w:r w:rsidRPr="003C38DE">
        <w:rPr>
          <w:sz w:val="24"/>
          <w:szCs w:val="24"/>
        </w:rPr>
        <w:t xml:space="preserve"> 10 is to </w:t>
      </w:r>
      <w:r w:rsidR="007D7A71" w:rsidRPr="003C38DE">
        <w:rPr>
          <w:sz w:val="24"/>
          <w:szCs w:val="24"/>
        </w:rPr>
        <w:t xml:space="preserve">ensure the reviews by the CIRB do not interfere, or otherwise prejudice, other regulatory responses or investigations relating to the cyber security incident.  This ensures that actions by government that seek to mitigate or lessen the harm of the cyber security incident are not hindered by an ongoing review by the CIRB. </w:t>
      </w:r>
    </w:p>
    <w:p w14:paraId="5D4C7A6E" w14:textId="739F8E04" w:rsidR="00555DE9" w:rsidRPr="003C38DE" w:rsidRDefault="008778EB" w:rsidP="005200BE">
      <w:pPr>
        <w:pStyle w:val="ESPara"/>
        <w:numPr>
          <w:ilvl w:val="0"/>
          <w:numId w:val="0"/>
        </w:numPr>
        <w:ind w:left="360"/>
        <w:rPr>
          <w:sz w:val="24"/>
          <w:szCs w:val="24"/>
        </w:rPr>
      </w:pPr>
      <w:r w:rsidRPr="003C38DE">
        <w:rPr>
          <w:sz w:val="24"/>
          <w:szCs w:val="24"/>
        </w:rPr>
        <w:t>It is the intention of section 10 that in considering whether a review would interfere with any ongoing matters that Chair would seek advice from relevant Commonwealth and State and Territory agencies who may have an interest in the matter to be reviewed prior to making a decision.</w:t>
      </w:r>
    </w:p>
    <w:p w14:paraId="7B32D255" w14:textId="3BACDB5C" w:rsidR="00412E58" w:rsidRPr="003C38DE" w:rsidRDefault="00284532" w:rsidP="00CD5D6D">
      <w:pPr>
        <w:pStyle w:val="ESAttHeading"/>
        <w:keepNext w:val="0"/>
        <w:widowControl w:val="0"/>
        <w:rPr>
          <w:sz w:val="24"/>
          <w:szCs w:val="24"/>
        </w:rPr>
      </w:pPr>
      <w:r w:rsidRPr="003C38DE">
        <w:rPr>
          <w:sz w:val="24"/>
          <w:szCs w:val="24"/>
        </w:rPr>
        <w:t>Section 11</w:t>
      </w:r>
      <w:r w:rsidR="00412E58" w:rsidRPr="003C38DE">
        <w:rPr>
          <w:sz w:val="24"/>
          <w:szCs w:val="24"/>
        </w:rPr>
        <w:tab/>
        <w:t>Notification of reviews</w:t>
      </w:r>
    </w:p>
    <w:p w14:paraId="5F2690E5" w14:textId="77777777" w:rsidR="00B95739" w:rsidRPr="003C38DE" w:rsidRDefault="007D7A71" w:rsidP="004A0ED1">
      <w:pPr>
        <w:pStyle w:val="ESPara"/>
        <w:numPr>
          <w:ilvl w:val="0"/>
          <w:numId w:val="0"/>
        </w:numPr>
        <w:ind w:left="360"/>
        <w:rPr>
          <w:sz w:val="24"/>
          <w:szCs w:val="24"/>
        </w:rPr>
      </w:pPr>
      <w:r w:rsidRPr="003C38DE">
        <w:rPr>
          <w:sz w:val="24"/>
          <w:szCs w:val="24"/>
        </w:rPr>
        <w:t xml:space="preserve">Section 11 </w:t>
      </w:r>
      <w:r w:rsidR="00B95739" w:rsidRPr="003C38DE">
        <w:rPr>
          <w:sz w:val="24"/>
          <w:szCs w:val="24"/>
        </w:rPr>
        <w:t xml:space="preserve">prescribes requirements for the notification of reviews for the purpose of paragraph 46(5)(d) of the Act. </w:t>
      </w:r>
    </w:p>
    <w:p w14:paraId="3400F25C" w14:textId="0FDE6AF1" w:rsidR="008367A6" w:rsidRPr="003C38DE" w:rsidRDefault="002D27D5" w:rsidP="004A0ED1">
      <w:pPr>
        <w:pStyle w:val="ESPara"/>
        <w:numPr>
          <w:ilvl w:val="0"/>
          <w:numId w:val="0"/>
        </w:numPr>
        <w:ind w:left="360"/>
        <w:rPr>
          <w:sz w:val="24"/>
          <w:szCs w:val="24"/>
        </w:rPr>
      </w:pPr>
      <w:r w:rsidRPr="003C38DE">
        <w:rPr>
          <w:sz w:val="24"/>
          <w:szCs w:val="24"/>
        </w:rPr>
        <w:t xml:space="preserve">Subsection 11(1) provides that as soon as </w:t>
      </w:r>
      <w:r w:rsidR="00B8426B" w:rsidRPr="003C38DE">
        <w:rPr>
          <w:sz w:val="24"/>
          <w:szCs w:val="24"/>
        </w:rPr>
        <w:t xml:space="preserve">practicable after deciding to conduct a review, the </w:t>
      </w:r>
      <w:r w:rsidR="00B95739" w:rsidRPr="003C38DE">
        <w:rPr>
          <w:sz w:val="24"/>
          <w:szCs w:val="24"/>
        </w:rPr>
        <w:t>CIRB</w:t>
      </w:r>
      <w:r w:rsidR="00B8426B" w:rsidRPr="003C38DE">
        <w:rPr>
          <w:sz w:val="24"/>
          <w:szCs w:val="24"/>
        </w:rPr>
        <w:t xml:space="preserve"> must publish, on the Department</w:t>
      </w:r>
      <w:r w:rsidR="00B95739" w:rsidRPr="003C38DE">
        <w:rPr>
          <w:sz w:val="24"/>
          <w:szCs w:val="24"/>
        </w:rPr>
        <w:t xml:space="preserve">’s </w:t>
      </w:r>
      <w:r w:rsidR="00B8426B" w:rsidRPr="003C38DE">
        <w:rPr>
          <w:sz w:val="24"/>
          <w:szCs w:val="24"/>
        </w:rPr>
        <w:t xml:space="preserve">website or in any other way the </w:t>
      </w:r>
      <w:r w:rsidR="00B95739" w:rsidRPr="003C38DE">
        <w:rPr>
          <w:sz w:val="24"/>
          <w:szCs w:val="24"/>
        </w:rPr>
        <w:t>CIRB</w:t>
      </w:r>
      <w:r w:rsidR="00B8426B" w:rsidRPr="003C38DE">
        <w:rPr>
          <w:sz w:val="24"/>
          <w:szCs w:val="24"/>
        </w:rPr>
        <w:t xml:space="preserve"> considers appropriate, </w:t>
      </w:r>
      <w:r w:rsidR="00B95739" w:rsidRPr="003C38DE">
        <w:rPr>
          <w:sz w:val="24"/>
          <w:szCs w:val="24"/>
        </w:rPr>
        <w:t xml:space="preserve">a </w:t>
      </w:r>
      <w:r w:rsidR="00B8426B" w:rsidRPr="003C38DE">
        <w:rPr>
          <w:sz w:val="24"/>
          <w:szCs w:val="24"/>
        </w:rPr>
        <w:t>notification that the review will be conducted.</w:t>
      </w:r>
    </w:p>
    <w:p w14:paraId="7011CBD9" w14:textId="26824B2F" w:rsidR="002D27D5" w:rsidRPr="003C38DE" w:rsidRDefault="002D27D5" w:rsidP="004A0ED1">
      <w:pPr>
        <w:pStyle w:val="ESPara"/>
        <w:numPr>
          <w:ilvl w:val="0"/>
          <w:numId w:val="0"/>
        </w:numPr>
        <w:ind w:left="360"/>
        <w:rPr>
          <w:sz w:val="24"/>
          <w:szCs w:val="24"/>
        </w:rPr>
      </w:pPr>
      <w:r w:rsidRPr="003C38DE">
        <w:rPr>
          <w:sz w:val="24"/>
          <w:szCs w:val="24"/>
        </w:rPr>
        <w:t xml:space="preserve">Subsection 11(2) prescribes </w:t>
      </w:r>
      <w:r w:rsidR="00B95739" w:rsidRPr="003C38DE">
        <w:rPr>
          <w:sz w:val="24"/>
          <w:szCs w:val="24"/>
        </w:rPr>
        <w:t>the mandatory content requirements for a notification of a review made under subsection 11(1). For this purpose, the notification must include the following:</w:t>
      </w:r>
    </w:p>
    <w:p w14:paraId="50E80DB4" w14:textId="47BE20EB" w:rsidR="002D27D5" w:rsidRPr="003C38DE" w:rsidRDefault="00B8426B"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 xml:space="preserve">the number of the standing members of the </w:t>
      </w:r>
      <w:r w:rsidR="00B95739" w:rsidRPr="003C38DE">
        <w:rPr>
          <w:b w:val="0"/>
          <w:sz w:val="24"/>
          <w:szCs w:val="24"/>
        </w:rPr>
        <w:t>CIRB</w:t>
      </w:r>
      <w:r w:rsidRPr="003C38DE">
        <w:rPr>
          <w:b w:val="0"/>
          <w:sz w:val="24"/>
          <w:szCs w:val="24"/>
        </w:rPr>
        <w:t xml:space="preserve"> who will conduct the review</w:t>
      </w:r>
      <w:r w:rsidR="00B95739" w:rsidRPr="003C38DE">
        <w:rPr>
          <w:b w:val="0"/>
          <w:sz w:val="24"/>
          <w:szCs w:val="24"/>
        </w:rPr>
        <w:t xml:space="preserve"> (</w:t>
      </w:r>
      <w:r w:rsidR="00BF1A67" w:rsidRPr="003C38DE">
        <w:rPr>
          <w:b w:val="0"/>
          <w:sz w:val="24"/>
          <w:szCs w:val="24"/>
        </w:rPr>
        <w:t xml:space="preserve">paragraph </w:t>
      </w:r>
      <w:r w:rsidR="00B95739" w:rsidRPr="003C38DE">
        <w:rPr>
          <w:b w:val="0"/>
          <w:sz w:val="24"/>
          <w:szCs w:val="24"/>
        </w:rPr>
        <w:t>11(2)(a))</w:t>
      </w:r>
      <w:r w:rsidRPr="003C38DE">
        <w:rPr>
          <w:b w:val="0"/>
          <w:sz w:val="24"/>
          <w:szCs w:val="24"/>
        </w:rPr>
        <w:t xml:space="preserve">; </w:t>
      </w:r>
    </w:p>
    <w:p w14:paraId="1D36A52A" w14:textId="3D7AD00B" w:rsidR="00F20FB7" w:rsidRPr="003C38DE" w:rsidRDefault="00B8426B"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the number of the Expert Panel members to be appointed to assist in the conduct of the review</w:t>
      </w:r>
      <w:r w:rsidR="00B95739" w:rsidRPr="003C38DE">
        <w:rPr>
          <w:b w:val="0"/>
          <w:sz w:val="24"/>
          <w:szCs w:val="24"/>
        </w:rPr>
        <w:t xml:space="preserve"> (</w:t>
      </w:r>
      <w:r w:rsidR="00BF1A67" w:rsidRPr="003C38DE">
        <w:rPr>
          <w:b w:val="0"/>
          <w:sz w:val="24"/>
          <w:szCs w:val="24"/>
        </w:rPr>
        <w:t xml:space="preserve">paragraph </w:t>
      </w:r>
      <w:r w:rsidR="00B95739" w:rsidRPr="003C38DE">
        <w:rPr>
          <w:b w:val="0"/>
          <w:sz w:val="24"/>
          <w:szCs w:val="24"/>
        </w:rPr>
        <w:t xml:space="preserve">11(2)(b)); </w:t>
      </w:r>
    </w:p>
    <w:p w14:paraId="130CAA8A" w14:textId="2B3770AB" w:rsidR="00F20FB7" w:rsidRPr="003C38DE" w:rsidRDefault="00B8426B"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details of the cyber security incident, or series of cyber security incidents, that will be the subject of the review</w:t>
      </w:r>
      <w:r w:rsidR="00A941D3" w:rsidRPr="003C38DE">
        <w:rPr>
          <w:b w:val="0"/>
          <w:sz w:val="24"/>
          <w:szCs w:val="24"/>
        </w:rPr>
        <w:t xml:space="preserve"> (paragraph 11</w:t>
      </w:r>
      <w:r w:rsidR="00B95739" w:rsidRPr="003C38DE">
        <w:rPr>
          <w:b w:val="0"/>
          <w:sz w:val="24"/>
          <w:szCs w:val="24"/>
        </w:rPr>
        <w:t>(2)(c))</w:t>
      </w:r>
      <w:r w:rsidRPr="003C38DE">
        <w:rPr>
          <w:b w:val="0"/>
          <w:sz w:val="24"/>
          <w:szCs w:val="24"/>
        </w:rPr>
        <w:t xml:space="preserve">; </w:t>
      </w:r>
    </w:p>
    <w:p w14:paraId="13782E25" w14:textId="1F0E4534" w:rsidR="00EC60F4" w:rsidRPr="003C38DE" w:rsidRDefault="00B8426B"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 xml:space="preserve">a brief description of how the incident or series of incidents meets the requirements in subsection 46(2) of the Act </w:t>
      </w:r>
      <w:r w:rsidR="00B95739" w:rsidRPr="003C38DE">
        <w:rPr>
          <w:b w:val="0"/>
          <w:sz w:val="24"/>
          <w:szCs w:val="24"/>
        </w:rPr>
        <w:t>(</w:t>
      </w:r>
      <w:r w:rsidR="00A941D3" w:rsidRPr="003C38DE">
        <w:rPr>
          <w:b w:val="0"/>
          <w:sz w:val="24"/>
          <w:szCs w:val="24"/>
        </w:rPr>
        <w:t xml:space="preserve">paragraph </w:t>
      </w:r>
      <w:r w:rsidR="00B95739" w:rsidRPr="003C38DE">
        <w:rPr>
          <w:b w:val="0"/>
          <w:sz w:val="24"/>
          <w:szCs w:val="24"/>
        </w:rPr>
        <w:t xml:space="preserve">11(2)(d)). Subsection 46(2) provides mandatory </w:t>
      </w:r>
      <w:r w:rsidR="00B95739" w:rsidRPr="003C38DE">
        <w:rPr>
          <w:b w:val="0"/>
          <w:sz w:val="24"/>
          <w:szCs w:val="24"/>
        </w:rPr>
        <w:lastRenderedPageBreak/>
        <w:t>requirements that the CIRB must be satisfied of before conducting a review;</w:t>
      </w:r>
    </w:p>
    <w:p w14:paraId="7F280112" w14:textId="1778E685" w:rsidR="00EC60F4" w:rsidRPr="003C38DE" w:rsidRDefault="00B8426B" w:rsidP="003C38DE">
      <w:pPr>
        <w:pStyle w:val="ESAttHeading"/>
        <w:keepNext w:val="0"/>
        <w:widowControl w:val="0"/>
        <w:numPr>
          <w:ilvl w:val="1"/>
          <w:numId w:val="11"/>
        </w:numPr>
        <w:tabs>
          <w:tab w:val="clear" w:pos="1440"/>
          <w:tab w:val="num" w:pos="1134"/>
        </w:tabs>
        <w:ind w:left="709"/>
        <w:rPr>
          <w:b w:val="0"/>
          <w:sz w:val="24"/>
          <w:szCs w:val="24"/>
        </w:rPr>
      </w:pPr>
      <w:r w:rsidRPr="003C38DE">
        <w:rPr>
          <w:sz w:val="24"/>
          <w:szCs w:val="24"/>
        </w:rPr>
        <w:t xml:space="preserve"> </w:t>
      </w:r>
      <w:r w:rsidR="00B95739" w:rsidRPr="003C38DE">
        <w:rPr>
          <w:b w:val="0"/>
          <w:sz w:val="24"/>
          <w:szCs w:val="24"/>
        </w:rPr>
        <w:t xml:space="preserve">the </w:t>
      </w:r>
      <w:r w:rsidRPr="003C38DE">
        <w:rPr>
          <w:b w:val="0"/>
          <w:sz w:val="24"/>
          <w:szCs w:val="24"/>
        </w:rPr>
        <w:t>proposed timeframes for the conduct of the review</w:t>
      </w:r>
      <w:r w:rsidR="00B95739" w:rsidRPr="003C38DE">
        <w:rPr>
          <w:b w:val="0"/>
          <w:sz w:val="24"/>
          <w:szCs w:val="24"/>
        </w:rPr>
        <w:t xml:space="preserve"> (</w:t>
      </w:r>
      <w:r w:rsidR="00A941D3" w:rsidRPr="003C38DE">
        <w:rPr>
          <w:b w:val="0"/>
          <w:sz w:val="24"/>
          <w:szCs w:val="24"/>
        </w:rPr>
        <w:t xml:space="preserve">paragraph </w:t>
      </w:r>
      <w:r w:rsidR="00B95739" w:rsidRPr="003C38DE">
        <w:rPr>
          <w:b w:val="0"/>
          <w:sz w:val="24"/>
          <w:szCs w:val="24"/>
        </w:rPr>
        <w:t>11(2)(e))</w:t>
      </w:r>
      <w:r w:rsidRPr="003C38DE">
        <w:rPr>
          <w:b w:val="0"/>
          <w:sz w:val="24"/>
          <w:szCs w:val="24"/>
        </w:rPr>
        <w:t>; and</w:t>
      </w:r>
    </w:p>
    <w:p w14:paraId="0C3DD621" w14:textId="3A01CA20" w:rsidR="003F7D48" w:rsidRPr="003C38DE" w:rsidRDefault="00B8426B"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 xml:space="preserve"> other information that the</w:t>
      </w:r>
      <w:r w:rsidR="00B95739" w:rsidRPr="003C38DE">
        <w:rPr>
          <w:b w:val="0"/>
          <w:sz w:val="24"/>
          <w:szCs w:val="24"/>
        </w:rPr>
        <w:t xml:space="preserve"> CIRB</w:t>
      </w:r>
      <w:r w:rsidRPr="003C38DE">
        <w:rPr>
          <w:b w:val="0"/>
          <w:sz w:val="24"/>
          <w:szCs w:val="24"/>
        </w:rPr>
        <w:t xml:space="preserve"> considers appropriate to include in the notification</w:t>
      </w:r>
      <w:r w:rsidR="00B95739" w:rsidRPr="003C38DE">
        <w:rPr>
          <w:b w:val="0"/>
          <w:sz w:val="24"/>
          <w:szCs w:val="24"/>
        </w:rPr>
        <w:t xml:space="preserve"> (</w:t>
      </w:r>
      <w:r w:rsidR="00A941D3" w:rsidRPr="003C38DE">
        <w:rPr>
          <w:b w:val="0"/>
          <w:sz w:val="24"/>
          <w:szCs w:val="24"/>
        </w:rPr>
        <w:t xml:space="preserve">paragraph </w:t>
      </w:r>
      <w:r w:rsidR="00B95739" w:rsidRPr="003C38DE">
        <w:rPr>
          <w:b w:val="0"/>
          <w:sz w:val="24"/>
          <w:szCs w:val="24"/>
        </w:rPr>
        <w:t>11(2)(f))</w:t>
      </w:r>
      <w:r w:rsidRPr="003C38DE">
        <w:rPr>
          <w:b w:val="0"/>
          <w:sz w:val="24"/>
          <w:szCs w:val="24"/>
        </w:rPr>
        <w:t>.</w:t>
      </w:r>
    </w:p>
    <w:p w14:paraId="1562FA06" w14:textId="77777777" w:rsidR="005B7D07" w:rsidRPr="003C38DE" w:rsidRDefault="00B95739" w:rsidP="00B633E4">
      <w:pPr>
        <w:pStyle w:val="ESPara"/>
        <w:numPr>
          <w:ilvl w:val="0"/>
          <w:numId w:val="0"/>
        </w:numPr>
        <w:ind w:left="360"/>
        <w:rPr>
          <w:sz w:val="24"/>
          <w:szCs w:val="24"/>
        </w:rPr>
      </w:pPr>
      <w:r w:rsidRPr="003C38DE">
        <w:rPr>
          <w:sz w:val="24"/>
          <w:szCs w:val="24"/>
        </w:rPr>
        <w:t>The purpose</w:t>
      </w:r>
      <w:r w:rsidR="4080B8A3" w:rsidRPr="003C38DE">
        <w:rPr>
          <w:sz w:val="24"/>
          <w:szCs w:val="24"/>
        </w:rPr>
        <w:t xml:space="preserve"> behind section 11 is </w:t>
      </w:r>
      <w:r w:rsidRPr="003C38DE">
        <w:rPr>
          <w:sz w:val="24"/>
          <w:szCs w:val="24"/>
        </w:rPr>
        <w:t>to ensure the</w:t>
      </w:r>
      <w:r w:rsidR="65C4D8A2" w:rsidRPr="003C38DE">
        <w:rPr>
          <w:sz w:val="24"/>
          <w:szCs w:val="24"/>
        </w:rPr>
        <w:t xml:space="preserve"> notification</w:t>
      </w:r>
      <w:r w:rsidRPr="003C38DE">
        <w:rPr>
          <w:sz w:val="24"/>
          <w:szCs w:val="24"/>
        </w:rPr>
        <w:t xml:space="preserve"> of reviews provides sufficient detail to inform government and industry about the work of the CIRB.</w:t>
      </w:r>
      <w:r w:rsidR="002F77B4" w:rsidRPr="003C38DE">
        <w:rPr>
          <w:sz w:val="24"/>
          <w:szCs w:val="24"/>
        </w:rPr>
        <w:t xml:space="preserve"> The notification requirement also supports the CIRB’s </w:t>
      </w:r>
      <w:r w:rsidR="00A941D3" w:rsidRPr="003C38DE">
        <w:rPr>
          <w:sz w:val="24"/>
          <w:szCs w:val="24"/>
        </w:rPr>
        <w:t xml:space="preserve">overarching </w:t>
      </w:r>
      <w:r w:rsidR="002F77B4" w:rsidRPr="003C38DE">
        <w:rPr>
          <w:sz w:val="24"/>
          <w:szCs w:val="24"/>
        </w:rPr>
        <w:t>function</w:t>
      </w:r>
      <w:r w:rsidRPr="003C38DE">
        <w:rPr>
          <w:sz w:val="24"/>
          <w:szCs w:val="24"/>
        </w:rPr>
        <w:t xml:space="preserve"> to make recommendations to government and industry about measures to prevent or minimise </w:t>
      </w:r>
      <w:r w:rsidR="002F77B4" w:rsidRPr="003C38DE">
        <w:rPr>
          <w:sz w:val="24"/>
          <w:szCs w:val="24"/>
        </w:rPr>
        <w:t>future cyber security incidents by providing context of cyber incidents that are under review.</w:t>
      </w:r>
    </w:p>
    <w:p w14:paraId="0E84C383" w14:textId="7447013B" w:rsidR="005B7D07" w:rsidRPr="003C38DE" w:rsidRDefault="005B7D07" w:rsidP="004A0ED1">
      <w:pPr>
        <w:pStyle w:val="ESPara"/>
        <w:numPr>
          <w:ilvl w:val="0"/>
          <w:numId w:val="0"/>
        </w:numPr>
        <w:ind w:left="360"/>
        <w:rPr>
          <w:sz w:val="24"/>
          <w:szCs w:val="24"/>
        </w:rPr>
      </w:pPr>
      <w:r w:rsidRPr="003C38DE">
        <w:rPr>
          <w:sz w:val="24"/>
          <w:szCs w:val="24"/>
        </w:rPr>
        <w:t>Public notification of the</w:t>
      </w:r>
      <w:r w:rsidR="004A0ED1" w:rsidRPr="003C38DE">
        <w:rPr>
          <w:sz w:val="24"/>
          <w:szCs w:val="24"/>
        </w:rPr>
        <w:t xml:space="preserve"> reviews the</w:t>
      </w:r>
      <w:r w:rsidRPr="003C38DE">
        <w:rPr>
          <w:sz w:val="24"/>
          <w:szCs w:val="24"/>
        </w:rPr>
        <w:t xml:space="preserve"> </w:t>
      </w:r>
      <w:r w:rsidR="004A0ED1" w:rsidRPr="003C38DE">
        <w:rPr>
          <w:sz w:val="24"/>
          <w:szCs w:val="24"/>
        </w:rPr>
        <w:t xml:space="preserve">CIRB </w:t>
      </w:r>
      <w:r w:rsidRPr="003C38DE">
        <w:rPr>
          <w:sz w:val="24"/>
          <w:szCs w:val="24"/>
        </w:rPr>
        <w:t>inten</w:t>
      </w:r>
      <w:r w:rsidR="004A0ED1" w:rsidRPr="003C38DE">
        <w:rPr>
          <w:sz w:val="24"/>
          <w:szCs w:val="24"/>
        </w:rPr>
        <w:t>d</w:t>
      </w:r>
      <w:r w:rsidRPr="003C38DE">
        <w:rPr>
          <w:sz w:val="24"/>
          <w:szCs w:val="24"/>
        </w:rPr>
        <w:t xml:space="preserve"> to undertake into a specific cyber incident and the identified mandatory inclusions is important for the transparent operation of the </w:t>
      </w:r>
      <w:r w:rsidR="004A0ED1" w:rsidRPr="003C38DE">
        <w:rPr>
          <w:sz w:val="24"/>
          <w:szCs w:val="24"/>
        </w:rPr>
        <w:t xml:space="preserve">CIRB </w:t>
      </w:r>
      <w:r w:rsidRPr="003C38DE">
        <w:rPr>
          <w:sz w:val="24"/>
          <w:szCs w:val="24"/>
        </w:rPr>
        <w:t xml:space="preserve">and for developing public trust in the </w:t>
      </w:r>
      <w:r w:rsidR="004A0ED1" w:rsidRPr="003C38DE">
        <w:rPr>
          <w:sz w:val="24"/>
          <w:szCs w:val="24"/>
        </w:rPr>
        <w:t>CIRB</w:t>
      </w:r>
      <w:r w:rsidRPr="003C38DE">
        <w:rPr>
          <w:sz w:val="24"/>
          <w:szCs w:val="24"/>
        </w:rPr>
        <w:t xml:space="preserve">. </w:t>
      </w:r>
    </w:p>
    <w:p w14:paraId="2D11B990" w14:textId="2F71390C" w:rsidR="005200BE" w:rsidRPr="003C38DE" w:rsidRDefault="005B7D07" w:rsidP="005E0B6C">
      <w:pPr>
        <w:pStyle w:val="ESPara"/>
        <w:numPr>
          <w:ilvl w:val="0"/>
          <w:numId w:val="0"/>
        </w:numPr>
        <w:ind w:left="360"/>
        <w:rPr>
          <w:sz w:val="24"/>
          <w:szCs w:val="24"/>
        </w:rPr>
      </w:pPr>
      <w:r w:rsidRPr="003C38DE">
        <w:rPr>
          <w:sz w:val="24"/>
          <w:szCs w:val="24"/>
        </w:rPr>
        <w:t xml:space="preserve">The identified mandatory inclusions establish a baseline of information to be included for this purpose, whilst ensuring that the </w:t>
      </w:r>
      <w:r w:rsidR="004A0ED1" w:rsidRPr="003C38DE">
        <w:rPr>
          <w:sz w:val="24"/>
          <w:szCs w:val="24"/>
        </w:rPr>
        <w:t xml:space="preserve">CIRB </w:t>
      </w:r>
      <w:r w:rsidRPr="003C38DE">
        <w:rPr>
          <w:sz w:val="24"/>
          <w:szCs w:val="24"/>
        </w:rPr>
        <w:t xml:space="preserve">has complete discretion in the in the performance of its functions. </w:t>
      </w:r>
      <w:r w:rsidR="004A0ED1" w:rsidRPr="003C38DE">
        <w:rPr>
          <w:sz w:val="24"/>
          <w:szCs w:val="24"/>
        </w:rPr>
        <w:t xml:space="preserve">This includes </w:t>
      </w:r>
      <w:r w:rsidRPr="003C38DE">
        <w:rPr>
          <w:sz w:val="24"/>
          <w:szCs w:val="24"/>
        </w:rPr>
        <w:t xml:space="preserve">appropriate notification why the </w:t>
      </w:r>
      <w:r w:rsidR="004A0ED1" w:rsidRPr="003C38DE">
        <w:rPr>
          <w:sz w:val="24"/>
          <w:szCs w:val="24"/>
        </w:rPr>
        <w:t xml:space="preserve">CIRB </w:t>
      </w:r>
      <w:r w:rsidRPr="003C38DE">
        <w:rPr>
          <w:sz w:val="24"/>
          <w:szCs w:val="24"/>
        </w:rPr>
        <w:t>considers a particular incident to have met the appropriate thresholds to warrant the conduct of a review.</w:t>
      </w:r>
    </w:p>
    <w:p w14:paraId="4B1450FE" w14:textId="77777777" w:rsidR="00B206F3" w:rsidRPr="003C38DE" w:rsidRDefault="00325E14" w:rsidP="00CD5D6D">
      <w:pPr>
        <w:pStyle w:val="ESAttHeading"/>
        <w:keepNext w:val="0"/>
        <w:widowControl w:val="0"/>
        <w:rPr>
          <w:sz w:val="24"/>
          <w:szCs w:val="24"/>
        </w:rPr>
      </w:pPr>
      <w:r w:rsidRPr="003C38DE">
        <w:rPr>
          <w:sz w:val="24"/>
          <w:szCs w:val="24"/>
        </w:rPr>
        <w:t>Division 3 – Board Members</w:t>
      </w:r>
    </w:p>
    <w:p w14:paraId="35F5C9A4" w14:textId="31268816" w:rsidR="00325E14" w:rsidRPr="003C38DE" w:rsidRDefault="00BD164A" w:rsidP="00CD5D6D">
      <w:pPr>
        <w:pStyle w:val="ESAttHeading"/>
        <w:keepNext w:val="0"/>
        <w:widowControl w:val="0"/>
        <w:rPr>
          <w:sz w:val="24"/>
          <w:szCs w:val="24"/>
        </w:rPr>
      </w:pPr>
      <w:r w:rsidRPr="003C38DE">
        <w:rPr>
          <w:sz w:val="24"/>
          <w:szCs w:val="24"/>
        </w:rPr>
        <w:t xml:space="preserve">Section </w:t>
      </w:r>
      <w:r w:rsidR="00325E14" w:rsidRPr="003C38DE">
        <w:rPr>
          <w:sz w:val="24"/>
          <w:szCs w:val="24"/>
        </w:rPr>
        <w:t>1</w:t>
      </w:r>
      <w:r w:rsidRPr="003C38DE">
        <w:rPr>
          <w:sz w:val="24"/>
          <w:szCs w:val="24"/>
        </w:rPr>
        <w:t>2</w:t>
      </w:r>
      <w:r w:rsidR="00325E14" w:rsidRPr="003C38DE">
        <w:rPr>
          <w:sz w:val="24"/>
          <w:szCs w:val="24"/>
        </w:rPr>
        <w:tab/>
        <w:t>Purpose of this Division</w:t>
      </w:r>
    </w:p>
    <w:p w14:paraId="638D63EC" w14:textId="17A9B683" w:rsidR="002F77B4" w:rsidRPr="003C38DE" w:rsidRDefault="002F77B4" w:rsidP="00360638">
      <w:pPr>
        <w:pStyle w:val="ESPara"/>
        <w:numPr>
          <w:ilvl w:val="0"/>
          <w:numId w:val="0"/>
        </w:numPr>
        <w:ind w:left="360"/>
        <w:rPr>
          <w:sz w:val="24"/>
          <w:szCs w:val="24"/>
        </w:rPr>
      </w:pPr>
      <w:r w:rsidRPr="003C38DE">
        <w:rPr>
          <w:sz w:val="24"/>
          <w:szCs w:val="24"/>
        </w:rPr>
        <w:t xml:space="preserve">Section 12 provides that Part 2, Division 3 of the Rules is made for the purpose of subsection </w:t>
      </w:r>
      <w:r w:rsidR="001E3672" w:rsidRPr="003C38DE">
        <w:rPr>
          <w:sz w:val="24"/>
          <w:szCs w:val="24"/>
        </w:rPr>
        <w:t xml:space="preserve">64(4), </w:t>
      </w:r>
      <w:r w:rsidRPr="003C38DE">
        <w:rPr>
          <w:sz w:val="24"/>
          <w:szCs w:val="24"/>
        </w:rPr>
        <w:t xml:space="preserve">66(4) and 69(1) of the Act. </w:t>
      </w:r>
    </w:p>
    <w:p w14:paraId="4EC539B0" w14:textId="25AB2325" w:rsidR="001E3672" w:rsidRPr="003C38DE" w:rsidRDefault="00A374FC" w:rsidP="00360638">
      <w:pPr>
        <w:pStyle w:val="ESPara"/>
        <w:numPr>
          <w:ilvl w:val="0"/>
          <w:numId w:val="0"/>
        </w:numPr>
        <w:ind w:left="360"/>
        <w:rPr>
          <w:sz w:val="24"/>
          <w:szCs w:val="24"/>
        </w:rPr>
      </w:pPr>
      <w:r w:rsidRPr="003C38DE">
        <w:rPr>
          <w:sz w:val="24"/>
          <w:szCs w:val="24"/>
        </w:rPr>
        <w:t xml:space="preserve">Subsection </w:t>
      </w:r>
      <w:r w:rsidR="001E3672" w:rsidRPr="003C38DE">
        <w:rPr>
          <w:sz w:val="24"/>
          <w:szCs w:val="24"/>
        </w:rPr>
        <w:t>64(4) provides that the Rules may make provision for, or in relation, to the appointment of the Chair, including in relation to eligibility for appointment.</w:t>
      </w:r>
    </w:p>
    <w:p w14:paraId="60F78C80" w14:textId="1DCB6077" w:rsidR="008440D8" w:rsidRPr="003C38DE" w:rsidRDefault="001E3672" w:rsidP="00360638">
      <w:pPr>
        <w:pStyle w:val="ESPara"/>
        <w:numPr>
          <w:ilvl w:val="0"/>
          <w:numId w:val="0"/>
        </w:numPr>
        <w:ind w:left="360"/>
        <w:rPr>
          <w:sz w:val="24"/>
          <w:szCs w:val="24"/>
        </w:rPr>
      </w:pPr>
      <w:r w:rsidRPr="003C38DE">
        <w:rPr>
          <w:sz w:val="24"/>
          <w:szCs w:val="24"/>
        </w:rPr>
        <w:t xml:space="preserve">Subsection </w:t>
      </w:r>
      <w:r w:rsidR="00A374FC" w:rsidRPr="003C38DE">
        <w:rPr>
          <w:sz w:val="24"/>
          <w:szCs w:val="24"/>
        </w:rPr>
        <w:t xml:space="preserve">66(4) </w:t>
      </w:r>
      <w:r w:rsidR="008440D8" w:rsidRPr="003C38DE">
        <w:rPr>
          <w:sz w:val="24"/>
          <w:szCs w:val="24"/>
        </w:rPr>
        <w:t>provides that</w:t>
      </w:r>
      <w:r w:rsidR="00B93A4B" w:rsidRPr="003C38DE">
        <w:rPr>
          <w:sz w:val="24"/>
          <w:szCs w:val="24"/>
        </w:rPr>
        <w:t xml:space="preserve"> the</w:t>
      </w:r>
      <w:r w:rsidR="008440D8" w:rsidRPr="003C38DE">
        <w:rPr>
          <w:sz w:val="24"/>
          <w:szCs w:val="24"/>
        </w:rPr>
        <w:t xml:space="preserve"> </w:t>
      </w:r>
      <w:r w:rsidRPr="003C38DE">
        <w:rPr>
          <w:sz w:val="24"/>
          <w:szCs w:val="24"/>
        </w:rPr>
        <w:t>R</w:t>
      </w:r>
      <w:r w:rsidR="008440D8" w:rsidRPr="003C38DE">
        <w:rPr>
          <w:sz w:val="24"/>
          <w:szCs w:val="24"/>
        </w:rPr>
        <w:t>ules may make provisions for or in relation to the appointment of the standing members of the CIRB, including in relation to eligibility for appointment.</w:t>
      </w:r>
    </w:p>
    <w:p w14:paraId="723B75A3" w14:textId="2A453F2D" w:rsidR="00B17E8A" w:rsidRPr="003C38DE" w:rsidRDefault="00A374FC" w:rsidP="00360638">
      <w:pPr>
        <w:pStyle w:val="ESPara"/>
        <w:numPr>
          <w:ilvl w:val="0"/>
          <w:numId w:val="0"/>
        </w:numPr>
        <w:ind w:left="360"/>
        <w:rPr>
          <w:sz w:val="24"/>
          <w:szCs w:val="24"/>
        </w:rPr>
      </w:pPr>
      <w:r w:rsidRPr="003C38DE">
        <w:rPr>
          <w:sz w:val="24"/>
          <w:szCs w:val="24"/>
        </w:rPr>
        <w:t xml:space="preserve">Subsection 69(1) </w:t>
      </w:r>
      <w:r w:rsidR="008440D8" w:rsidRPr="003C38DE">
        <w:rPr>
          <w:sz w:val="24"/>
          <w:szCs w:val="24"/>
        </w:rPr>
        <w:t>provides that</w:t>
      </w:r>
      <w:r w:rsidR="00C20D41" w:rsidRPr="003C38DE">
        <w:rPr>
          <w:sz w:val="24"/>
          <w:szCs w:val="24"/>
        </w:rPr>
        <w:t xml:space="preserve"> the</w:t>
      </w:r>
      <w:r w:rsidR="008440D8" w:rsidRPr="003C38DE">
        <w:rPr>
          <w:sz w:val="24"/>
          <w:szCs w:val="24"/>
        </w:rPr>
        <w:t xml:space="preserve"> </w:t>
      </w:r>
      <w:r w:rsidR="001E3672" w:rsidRPr="003C38DE">
        <w:rPr>
          <w:sz w:val="24"/>
          <w:szCs w:val="24"/>
        </w:rPr>
        <w:t>R</w:t>
      </w:r>
      <w:r w:rsidR="008440D8" w:rsidRPr="003C38DE">
        <w:rPr>
          <w:sz w:val="24"/>
          <w:szCs w:val="24"/>
        </w:rPr>
        <w:t xml:space="preserve">ules may </w:t>
      </w:r>
      <w:r w:rsidR="00A941D3" w:rsidRPr="003C38DE">
        <w:rPr>
          <w:sz w:val="24"/>
          <w:szCs w:val="24"/>
        </w:rPr>
        <w:t>make</w:t>
      </w:r>
      <w:r w:rsidRPr="003C38DE">
        <w:rPr>
          <w:sz w:val="24"/>
          <w:szCs w:val="24"/>
        </w:rPr>
        <w:t xml:space="preserve"> provision for or in relation to </w:t>
      </w:r>
      <w:r w:rsidR="001E3672" w:rsidRPr="003C38DE">
        <w:rPr>
          <w:sz w:val="24"/>
          <w:szCs w:val="24"/>
        </w:rPr>
        <w:t>a number of different matters</w:t>
      </w:r>
      <w:r w:rsidR="005B3635" w:rsidRPr="003C38DE">
        <w:rPr>
          <w:sz w:val="24"/>
          <w:szCs w:val="24"/>
        </w:rPr>
        <w:t>,</w:t>
      </w:r>
      <w:r w:rsidR="00B93A4B" w:rsidRPr="003C38DE">
        <w:rPr>
          <w:sz w:val="24"/>
          <w:szCs w:val="24"/>
        </w:rPr>
        <w:t xml:space="preserve"> including the membership of the Board, </w:t>
      </w:r>
      <w:r w:rsidRPr="003C38DE">
        <w:rPr>
          <w:sz w:val="24"/>
          <w:szCs w:val="24"/>
        </w:rPr>
        <w:t>the</w:t>
      </w:r>
      <w:r w:rsidR="008440D8" w:rsidRPr="003C38DE">
        <w:rPr>
          <w:sz w:val="24"/>
          <w:szCs w:val="24"/>
        </w:rPr>
        <w:t xml:space="preserve"> terms </w:t>
      </w:r>
      <w:r w:rsidR="00B93A4B" w:rsidRPr="003C38DE">
        <w:rPr>
          <w:sz w:val="24"/>
          <w:szCs w:val="24"/>
        </w:rPr>
        <w:t>of appointment</w:t>
      </w:r>
      <w:r w:rsidR="008440D8" w:rsidRPr="003C38DE">
        <w:rPr>
          <w:sz w:val="24"/>
          <w:szCs w:val="24"/>
        </w:rPr>
        <w:t xml:space="preserve"> of </w:t>
      </w:r>
      <w:r w:rsidR="00A941D3" w:rsidRPr="003C38DE">
        <w:rPr>
          <w:sz w:val="24"/>
          <w:szCs w:val="24"/>
        </w:rPr>
        <w:t xml:space="preserve">the Chair and </w:t>
      </w:r>
      <w:r w:rsidR="008440D8" w:rsidRPr="003C38DE">
        <w:rPr>
          <w:sz w:val="24"/>
          <w:szCs w:val="24"/>
        </w:rPr>
        <w:t>standing member</w:t>
      </w:r>
      <w:r w:rsidR="00C20D41" w:rsidRPr="003C38DE">
        <w:rPr>
          <w:sz w:val="24"/>
          <w:szCs w:val="24"/>
        </w:rPr>
        <w:t>s</w:t>
      </w:r>
      <w:r w:rsidR="008440D8" w:rsidRPr="003C38DE">
        <w:rPr>
          <w:sz w:val="24"/>
          <w:szCs w:val="24"/>
        </w:rPr>
        <w:t xml:space="preserve"> of the</w:t>
      </w:r>
      <w:r w:rsidRPr="003C38DE">
        <w:rPr>
          <w:sz w:val="24"/>
          <w:szCs w:val="24"/>
        </w:rPr>
        <w:t xml:space="preserve"> </w:t>
      </w:r>
      <w:r w:rsidR="008440D8" w:rsidRPr="003C38DE">
        <w:rPr>
          <w:sz w:val="24"/>
          <w:szCs w:val="24"/>
        </w:rPr>
        <w:t>CIRB</w:t>
      </w:r>
      <w:r w:rsidR="00B93A4B" w:rsidRPr="003C38DE">
        <w:rPr>
          <w:sz w:val="24"/>
          <w:szCs w:val="24"/>
        </w:rPr>
        <w:t xml:space="preserve"> </w:t>
      </w:r>
      <w:r w:rsidR="008440D8" w:rsidRPr="003C38DE">
        <w:rPr>
          <w:sz w:val="24"/>
          <w:szCs w:val="24"/>
        </w:rPr>
        <w:t>and the termination of</w:t>
      </w:r>
      <w:r w:rsidR="00B93A4B" w:rsidRPr="003C38DE">
        <w:rPr>
          <w:sz w:val="24"/>
          <w:szCs w:val="24"/>
        </w:rPr>
        <w:t xml:space="preserve"> appointment of the Chair and</w:t>
      </w:r>
      <w:r w:rsidR="008440D8" w:rsidRPr="003C38DE">
        <w:rPr>
          <w:sz w:val="24"/>
          <w:szCs w:val="24"/>
        </w:rPr>
        <w:t xml:space="preserve"> standing members. </w:t>
      </w:r>
      <w:r w:rsidRPr="003C38DE">
        <w:rPr>
          <w:sz w:val="24"/>
          <w:szCs w:val="24"/>
        </w:rPr>
        <w:t xml:space="preserve"> </w:t>
      </w:r>
    </w:p>
    <w:p w14:paraId="522AA186" w14:textId="6052A0F1" w:rsidR="00325E14" w:rsidRPr="003C38DE" w:rsidRDefault="00BD164A" w:rsidP="00CD5D6D">
      <w:pPr>
        <w:pStyle w:val="ESAttHeading"/>
        <w:keepNext w:val="0"/>
        <w:widowControl w:val="0"/>
        <w:rPr>
          <w:sz w:val="24"/>
          <w:szCs w:val="24"/>
        </w:rPr>
      </w:pPr>
      <w:r w:rsidRPr="003C38DE">
        <w:rPr>
          <w:sz w:val="24"/>
          <w:szCs w:val="24"/>
        </w:rPr>
        <w:t>Section 13</w:t>
      </w:r>
      <w:r w:rsidR="00325E14" w:rsidRPr="003C38DE">
        <w:rPr>
          <w:sz w:val="24"/>
          <w:szCs w:val="24"/>
        </w:rPr>
        <w:tab/>
        <w:t>Eligibility for appointment as</w:t>
      </w:r>
      <w:r w:rsidR="005200BE" w:rsidRPr="003C38DE">
        <w:rPr>
          <w:sz w:val="24"/>
          <w:szCs w:val="24"/>
        </w:rPr>
        <w:t xml:space="preserve"> a</w:t>
      </w:r>
      <w:r w:rsidR="00325E14" w:rsidRPr="003C38DE">
        <w:rPr>
          <w:sz w:val="24"/>
          <w:szCs w:val="24"/>
        </w:rPr>
        <w:t xml:space="preserve"> Board member</w:t>
      </w:r>
    </w:p>
    <w:p w14:paraId="015C27EF" w14:textId="00C023B6" w:rsidR="00726BBE" w:rsidRPr="003C38DE" w:rsidRDefault="00AC60DF" w:rsidP="00B633E4">
      <w:pPr>
        <w:pStyle w:val="ESPara"/>
        <w:numPr>
          <w:ilvl w:val="0"/>
          <w:numId w:val="0"/>
        </w:numPr>
        <w:ind w:left="360"/>
        <w:rPr>
          <w:sz w:val="24"/>
          <w:szCs w:val="24"/>
        </w:rPr>
      </w:pPr>
      <w:r w:rsidRPr="003C38DE">
        <w:rPr>
          <w:sz w:val="24"/>
          <w:szCs w:val="24"/>
        </w:rPr>
        <w:t>Section 13</w:t>
      </w:r>
      <w:r w:rsidR="00EE1BD9" w:rsidRPr="003C38DE">
        <w:rPr>
          <w:sz w:val="24"/>
          <w:szCs w:val="24"/>
        </w:rPr>
        <w:t xml:space="preserve"> prescribes the eligibility criteria for appointment as a standing member of the </w:t>
      </w:r>
      <w:r w:rsidR="00BB7B4E" w:rsidRPr="003C38DE">
        <w:rPr>
          <w:sz w:val="24"/>
          <w:szCs w:val="24"/>
        </w:rPr>
        <w:t>CIRB</w:t>
      </w:r>
      <w:r w:rsidR="008440D8" w:rsidRPr="003C38DE">
        <w:rPr>
          <w:sz w:val="24"/>
          <w:szCs w:val="24"/>
        </w:rPr>
        <w:t xml:space="preserve"> for the purpose of subsection 66(4) of the Act</w:t>
      </w:r>
      <w:r w:rsidR="00EE1BD9" w:rsidRPr="003C38DE">
        <w:rPr>
          <w:sz w:val="24"/>
          <w:szCs w:val="24"/>
        </w:rPr>
        <w:t xml:space="preserve">. </w:t>
      </w:r>
      <w:r w:rsidR="00BB7B4E" w:rsidRPr="003C38DE">
        <w:rPr>
          <w:sz w:val="24"/>
          <w:szCs w:val="24"/>
        </w:rPr>
        <w:t>Persons who meet the criteria in this section may be appointed by the Minister to the CIRB under subsection</w:t>
      </w:r>
      <w:r w:rsidR="00996481" w:rsidRPr="003C38DE">
        <w:rPr>
          <w:sz w:val="24"/>
          <w:szCs w:val="24"/>
        </w:rPr>
        <w:t>s 64(1) or</w:t>
      </w:r>
      <w:r w:rsidR="00BB7B4E" w:rsidRPr="003C38DE">
        <w:rPr>
          <w:sz w:val="24"/>
          <w:szCs w:val="24"/>
        </w:rPr>
        <w:t xml:space="preserve"> 66(1) of the Act</w:t>
      </w:r>
      <w:r w:rsidR="00996481" w:rsidRPr="003C38DE">
        <w:rPr>
          <w:sz w:val="24"/>
          <w:szCs w:val="24"/>
        </w:rPr>
        <w:t xml:space="preserve"> as the Chair or</w:t>
      </w:r>
      <w:r w:rsidRPr="003C38DE">
        <w:rPr>
          <w:sz w:val="24"/>
          <w:szCs w:val="24"/>
        </w:rPr>
        <w:t xml:space="preserve"> standing member</w:t>
      </w:r>
      <w:r w:rsidR="006345E0" w:rsidRPr="003C38DE">
        <w:rPr>
          <w:sz w:val="24"/>
          <w:szCs w:val="24"/>
        </w:rPr>
        <w:t>s of the Board</w:t>
      </w:r>
      <w:r w:rsidR="00BB7B4E" w:rsidRPr="003C38DE">
        <w:rPr>
          <w:sz w:val="24"/>
          <w:szCs w:val="24"/>
        </w:rPr>
        <w:t xml:space="preserve">. </w:t>
      </w:r>
    </w:p>
    <w:p w14:paraId="674D4CB1" w14:textId="4D574652" w:rsidR="006345E0" w:rsidRPr="003C38DE" w:rsidRDefault="00BB7B4E">
      <w:pPr>
        <w:pStyle w:val="ESPara"/>
        <w:numPr>
          <w:ilvl w:val="0"/>
          <w:numId w:val="0"/>
        </w:numPr>
        <w:ind w:left="360"/>
        <w:rPr>
          <w:sz w:val="24"/>
          <w:szCs w:val="24"/>
        </w:rPr>
      </w:pPr>
      <w:r w:rsidRPr="003C38DE">
        <w:rPr>
          <w:sz w:val="24"/>
          <w:szCs w:val="24"/>
        </w:rPr>
        <w:lastRenderedPageBreak/>
        <w:t>Paragraph 13(1)(a)</w:t>
      </w:r>
      <w:r w:rsidR="006345E0" w:rsidRPr="003C38DE">
        <w:rPr>
          <w:sz w:val="24"/>
          <w:szCs w:val="24"/>
        </w:rPr>
        <w:t>(i)</w:t>
      </w:r>
      <w:r w:rsidRPr="003C38DE">
        <w:rPr>
          <w:sz w:val="24"/>
          <w:szCs w:val="24"/>
        </w:rPr>
        <w:t xml:space="preserve"> provides that the person must hold, or be</w:t>
      </w:r>
      <w:r w:rsidR="00853C7C" w:rsidRPr="003C38DE">
        <w:rPr>
          <w:sz w:val="24"/>
          <w:szCs w:val="24"/>
        </w:rPr>
        <w:t xml:space="preserve"> eligible to hold, an Australian Government security clearance that allows the person access to information that has a security cl</w:t>
      </w:r>
      <w:r w:rsidRPr="003C38DE">
        <w:rPr>
          <w:sz w:val="24"/>
          <w:szCs w:val="24"/>
        </w:rPr>
        <w:t>assification of at least secret.</w:t>
      </w:r>
      <w:r w:rsidR="00853C7C" w:rsidRPr="003C38DE">
        <w:rPr>
          <w:sz w:val="24"/>
          <w:szCs w:val="24"/>
        </w:rPr>
        <w:t xml:space="preserve"> </w:t>
      </w:r>
      <w:r w:rsidR="006345E0" w:rsidRPr="003C38DE">
        <w:rPr>
          <w:sz w:val="24"/>
          <w:szCs w:val="24"/>
        </w:rPr>
        <w:t xml:space="preserve">It is important that a person appointed to the CIRB holds or is eligible to hold a security clearance of at least secret or that they hold an equivalent security clearance. This requirement ensures that Board members are able to receive relevant briefings from Commonwealth entities, where it is appropriate for the performance of the functions of the CIRB or in the conduct of a review. </w:t>
      </w:r>
    </w:p>
    <w:p w14:paraId="52EB1989" w14:textId="7A7326C2" w:rsidR="00076563" w:rsidRPr="003C38DE" w:rsidRDefault="00BB7B4E">
      <w:pPr>
        <w:pStyle w:val="ESPara"/>
        <w:numPr>
          <w:ilvl w:val="0"/>
          <w:numId w:val="0"/>
        </w:numPr>
        <w:ind w:left="360"/>
        <w:rPr>
          <w:sz w:val="24"/>
          <w:szCs w:val="24"/>
        </w:rPr>
      </w:pPr>
      <w:r w:rsidRPr="003C38DE">
        <w:rPr>
          <w:sz w:val="24"/>
          <w:szCs w:val="24"/>
        </w:rPr>
        <w:t>Alternatively, paragraph 13(1)(a)</w:t>
      </w:r>
      <w:r w:rsidR="006345E0" w:rsidRPr="003C38DE">
        <w:rPr>
          <w:sz w:val="24"/>
          <w:szCs w:val="24"/>
        </w:rPr>
        <w:t>(ii)</w:t>
      </w:r>
      <w:r w:rsidRPr="003C38DE">
        <w:rPr>
          <w:sz w:val="24"/>
          <w:szCs w:val="24"/>
        </w:rPr>
        <w:t xml:space="preserve"> prescribes that a person may satisfy the security clearance requirement if they hold an</w:t>
      </w:r>
      <w:r w:rsidR="00853C7C" w:rsidRPr="003C38DE">
        <w:rPr>
          <w:sz w:val="24"/>
          <w:szCs w:val="24"/>
        </w:rPr>
        <w:t xml:space="preserve"> equivalent security clearance recognised by the Commonwealth for the purposes of allowing the person access to information that has a security cl</w:t>
      </w:r>
      <w:r w:rsidRPr="003C38DE">
        <w:rPr>
          <w:sz w:val="24"/>
          <w:szCs w:val="24"/>
        </w:rPr>
        <w:t>assification of at least secret.</w:t>
      </w:r>
      <w:r w:rsidR="006345E0" w:rsidRPr="003C38DE">
        <w:rPr>
          <w:sz w:val="24"/>
          <w:szCs w:val="24"/>
        </w:rPr>
        <w:t xml:space="preserve"> Security clearances that may be recognised by the Commonwealth as being of an equivalent level are those granted by Five Eyes countries.</w:t>
      </w:r>
    </w:p>
    <w:p w14:paraId="21511C5E" w14:textId="1E9A0936" w:rsidR="00B17E8A" w:rsidRPr="003C38DE" w:rsidRDefault="00240E73" w:rsidP="00B633E4">
      <w:pPr>
        <w:pStyle w:val="ESPara"/>
        <w:numPr>
          <w:ilvl w:val="0"/>
          <w:numId w:val="0"/>
        </w:numPr>
        <w:ind w:left="360"/>
        <w:rPr>
          <w:sz w:val="24"/>
          <w:szCs w:val="24"/>
        </w:rPr>
      </w:pPr>
      <w:r w:rsidRPr="003C38DE">
        <w:rPr>
          <w:sz w:val="24"/>
          <w:szCs w:val="24"/>
        </w:rPr>
        <w:t xml:space="preserve">Paragraph 13(1)(b) provides additional eligibility criteria </w:t>
      </w:r>
      <w:r w:rsidR="00996481" w:rsidRPr="003C38DE">
        <w:rPr>
          <w:sz w:val="24"/>
          <w:szCs w:val="24"/>
        </w:rPr>
        <w:t>for appointment to the CIRB as</w:t>
      </w:r>
      <w:r w:rsidR="005200BE" w:rsidRPr="003C38DE">
        <w:rPr>
          <w:sz w:val="24"/>
          <w:szCs w:val="24"/>
        </w:rPr>
        <w:t xml:space="preserve"> a Board member</w:t>
      </w:r>
      <w:r w:rsidRPr="003C38DE">
        <w:rPr>
          <w:sz w:val="24"/>
          <w:szCs w:val="24"/>
        </w:rPr>
        <w:t>. In order to be eligible for appointment, a person must satisfy one or more of the matters prescribed in the subparagraph</w:t>
      </w:r>
      <w:r w:rsidR="009C77FC" w:rsidRPr="003C38DE">
        <w:rPr>
          <w:sz w:val="24"/>
          <w:szCs w:val="24"/>
        </w:rPr>
        <w:t>s</w:t>
      </w:r>
      <w:r w:rsidRPr="003C38DE">
        <w:rPr>
          <w:sz w:val="24"/>
          <w:szCs w:val="24"/>
        </w:rPr>
        <w:t xml:space="preserve"> under paragraph 13(1)(b). The matters specified are that the person:</w:t>
      </w:r>
    </w:p>
    <w:p w14:paraId="5EA8CEEC" w14:textId="41257004" w:rsidR="00B17E8A" w:rsidRPr="003C38DE" w:rsidRDefault="00BE3351"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has obtained a degree from a university, or an educational qualification of a similar standing, in the field of law and has significant experience working in that field</w:t>
      </w:r>
      <w:r w:rsidR="00240E73" w:rsidRPr="003C38DE">
        <w:rPr>
          <w:b w:val="0"/>
          <w:sz w:val="24"/>
          <w:szCs w:val="24"/>
        </w:rPr>
        <w:t xml:space="preserve"> (</w:t>
      </w:r>
      <w:r w:rsidR="00AC60DF" w:rsidRPr="003C38DE">
        <w:rPr>
          <w:b w:val="0"/>
          <w:sz w:val="24"/>
          <w:szCs w:val="24"/>
        </w:rPr>
        <w:t xml:space="preserve">subparagraph </w:t>
      </w:r>
      <w:r w:rsidR="00240E73" w:rsidRPr="003C38DE">
        <w:rPr>
          <w:b w:val="0"/>
          <w:sz w:val="24"/>
          <w:szCs w:val="24"/>
        </w:rPr>
        <w:t>13)(1)(b)(i)</w:t>
      </w:r>
      <w:r w:rsidR="00AC60DF" w:rsidRPr="003C38DE">
        <w:rPr>
          <w:b w:val="0"/>
          <w:sz w:val="24"/>
          <w:szCs w:val="24"/>
        </w:rPr>
        <w:t>)</w:t>
      </w:r>
      <w:r w:rsidR="00240E73" w:rsidRPr="003C38DE">
        <w:rPr>
          <w:b w:val="0"/>
          <w:sz w:val="24"/>
          <w:szCs w:val="24"/>
        </w:rPr>
        <w:t xml:space="preserve">; </w:t>
      </w:r>
      <w:r w:rsidRPr="003C38DE">
        <w:rPr>
          <w:b w:val="0"/>
          <w:sz w:val="24"/>
          <w:szCs w:val="24"/>
        </w:rPr>
        <w:t xml:space="preserve"> </w:t>
      </w:r>
    </w:p>
    <w:p w14:paraId="354820F3" w14:textId="5447204B" w:rsidR="00240E73" w:rsidRPr="003C38DE" w:rsidRDefault="00BE3351"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 xml:space="preserve">has obtained an educational qualification in the field of cyber security or information security; </w:t>
      </w:r>
      <w:r w:rsidR="00240E73" w:rsidRPr="003C38DE">
        <w:rPr>
          <w:b w:val="0"/>
          <w:sz w:val="24"/>
          <w:szCs w:val="24"/>
        </w:rPr>
        <w:t>(</w:t>
      </w:r>
      <w:r w:rsidR="00AC60DF" w:rsidRPr="003C38DE">
        <w:rPr>
          <w:b w:val="0"/>
          <w:sz w:val="24"/>
          <w:szCs w:val="24"/>
        </w:rPr>
        <w:t xml:space="preserve">subparagraph </w:t>
      </w:r>
      <w:r w:rsidR="00240E73" w:rsidRPr="003C38DE">
        <w:rPr>
          <w:b w:val="0"/>
          <w:sz w:val="24"/>
          <w:szCs w:val="24"/>
        </w:rPr>
        <w:t>13(1)(b)(ii)</w:t>
      </w:r>
      <w:r w:rsidR="00AC60DF" w:rsidRPr="003C38DE">
        <w:rPr>
          <w:b w:val="0"/>
          <w:sz w:val="24"/>
          <w:szCs w:val="24"/>
        </w:rPr>
        <w:t>)</w:t>
      </w:r>
      <w:r w:rsidR="00240E73" w:rsidRPr="003C38DE">
        <w:rPr>
          <w:b w:val="0"/>
          <w:sz w:val="24"/>
          <w:szCs w:val="24"/>
        </w:rPr>
        <w:t>;</w:t>
      </w:r>
    </w:p>
    <w:p w14:paraId="49706690" w14:textId="47AECB17" w:rsidR="00B17E8A" w:rsidRPr="003C38DE" w:rsidRDefault="00240E73"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has significant experience working in the field of cyber security or information security (</w:t>
      </w:r>
      <w:r w:rsidR="00AC60DF" w:rsidRPr="003C38DE">
        <w:rPr>
          <w:b w:val="0"/>
          <w:sz w:val="24"/>
          <w:szCs w:val="24"/>
        </w:rPr>
        <w:t xml:space="preserve">subparagraph </w:t>
      </w:r>
      <w:r w:rsidRPr="003C38DE">
        <w:rPr>
          <w:b w:val="0"/>
          <w:sz w:val="24"/>
          <w:szCs w:val="24"/>
        </w:rPr>
        <w:t>13(1)(b)(iii)</w:t>
      </w:r>
      <w:r w:rsidR="00AC60DF" w:rsidRPr="003C38DE">
        <w:rPr>
          <w:b w:val="0"/>
          <w:sz w:val="24"/>
          <w:szCs w:val="24"/>
        </w:rPr>
        <w:t>)</w:t>
      </w:r>
      <w:r w:rsidRPr="003C38DE">
        <w:rPr>
          <w:b w:val="0"/>
          <w:sz w:val="24"/>
          <w:szCs w:val="24"/>
        </w:rPr>
        <w:t>;</w:t>
      </w:r>
      <w:r w:rsidR="00BE3351" w:rsidRPr="003C38DE">
        <w:rPr>
          <w:b w:val="0"/>
          <w:sz w:val="24"/>
          <w:szCs w:val="24"/>
        </w:rPr>
        <w:t xml:space="preserve"> </w:t>
      </w:r>
    </w:p>
    <w:p w14:paraId="22259CA4" w14:textId="17B21623" w:rsidR="00B17E8A" w:rsidRPr="003C38DE" w:rsidRDefault="00BE3351"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holds a relevant Commonwealth, State or Territory government position at an appropriately senior level</w:t>
      </w:r>
      <w:r w:rsidR="00240E73" w:rsidRPr="003C38DE">
        <w:rPr>
          <w:b w:val="0"/>
          <w:sz w:val="24"/>
          <w:szCs w:val="24"/>
        </w:rPr>
        <w:t xml:space="preserve"> (</w:t>
      </w:r>
      <w:r w:rsidR="00AC60DF" w:rsidRPr="003C38DE">
        <w:rPr>
          <w:b w:val="0"/>
          <w:sz w:val="24"/>
          <w:szCs w:val="24"/>
        </w:rPr>
        <w:t xml:space="preserve">subparagraph </w:t>
      </w:r>
      <w:r w:rsidR="00240E73" w:rsidRPr="003C38DE">
        <w:rPr>
          <w:b w:val="0"/>
          <w:sz w:val="24"/>
          <w:szCs w:val="24"/>
        </w:rPr>
        <w:t>13(1)(b)(iv)</w:t>
      </w:r>
      <w:r w:rsidR="00AC60DF" w:rsidRPr="003C38DE">
        <w:rPr>
          <w:b w:val="0"/>
          <w:sz w:val="24"/>
          <w:szCs w:val="24"/>
        </w:rPr>
        <w:t>)</w:t>
      </w:r>
      <w:r w:rsidR="009C77FC" w:rsidRPr="003C38DE">
        <w:rPr>
          <w:b w:val="0"/>
          <w:sz w:val="24"/>
          <w:szCs w:val="24"/>
        </w:rPr>
        <w:t xml:space="preserve">; </w:t>
      </w:r>
    </w:p>
    <w:p w14:paraId="73EC9688" w14:textId="77B3A09C" w:rsidR="00240E73" w:rsidRPr="003C38DE" w:rsidRDefault="00240E73"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has significant experience in audit, assurance or review processes, public administration or financial or prudential regulation</w:t>
      </w:r>
      <w:r w:rsidR="00AC60DF" w:rsidRPr="003C38DE">
        <w:rPr>
          <w:b w:val="0"/>
          <w:sz w:val="24"/>
          <w:szCs w:val="24"/>
        </w:rPr>
        <w:t xml:space="preserve"> </w:t>
      </w:r>
      <w:r w:rsidRPr="003C38DE">
        <w:rPr>
          <w:b w:val="0"/>
          <w:sz w:val="24"/>
          <w:szCs w:val="24"/>
        </w:rPr>
        <w:t>(</w:t>
      </w:r>
      <w:r w:rsidR="00AC60DF" w:rsidRPr="003C38DE">
        <w:rPr>
          <w:b w:val="0"/>
          <w:sz w:val="24"/>
          <w:szCs w:val="24"/>
        </w:rPr>
        <w:t xml:space="preserve">subparagraph </w:t>
      </w:r>
      <w:r w:rsidRPr="003C38DE">
        <w:rPr>
          <w:b w:val="0"/>
          <w:sz w:val="24"/>
          <w:szCs w:val="24"/>
        </w:rPr>
        <w:t>13(1)(b)(v)</w:t>
      </w:r>
      <w:r w:rsidR="00AC60DF" w:rsidRPr="003C38DE">
        <w:rPr>
          <w:b w:val="0"/>
          <w:sz w:val="24"/>
          <w:szCs w:val="24"/>
        </w:rPr>
        <w:t>)</w:t>
      </w:r>
      <w:r w:rsidR="009C77FC" w:rsidRPr="003C38DE">
        <w:rPr>
          <w:b w:val="0"/>
          <w:sz w:val="24"/>
          <w:szCs w:val="24"/>
        </w:rPr>
        <w:t xml:space="preserve">; </w:t>
      </w:r>
    </w:p>
    <w:p w14:paraId="4D5324F7" w14:textId="1C39FD35" w:rsidR="00240E73" w:rsidRPr="003C38DE" w:rsidRDefault="00240E73"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has significant experience in incident management or crisis response (</w:t>
      </w:r>
      <w:r w:rsidR="00AC60DF" w:rsidRPr="003C38DE">
        <w:rPr>
          <w:b w:val="0"/>
          <w:sz w:val="24"/>
          <w:szCs w:val="24"/>
        </w:rPr>
        <w:t xml:space="preserve">subparagraph </w:t>
      </w:r>
      <w:r w:rsidRPr="003C38DE">
        <w:rPr>
          <w:b w:val="0"/>
          <w:sz w:val="24"/>
          <w:szCs w:val="24"/>
        </w:rPr>
        <w:t>13(1)(b)(vi)</w:t>
      </w:r>
      <w:r w:rsidR="00AC60DF" w:rsidRPr="003C38DE">
        <w:rPr>
          <w:b w:val="0"/>
          <w:sz w:val="24"/>
          <w:szCs w:val="24"/>
        </w:rPr>
        <w:t>)</w:t>
      </w:r>
      <w:r w:rsidRPr="003C38DE">
        <w:rPr>
          <w:b w:val="0"/>
          <w:sz w:val="24"/>
          <w:szCs w:val="24"/>
        </w:rPr>
        <w:t>;</w:t>
      </w:r>
    </w:p>
    <w:p w14:paraId="4F9A6DAF" w14:textId="41209138" w:rsidR="00B17E8A" w:rsidRPr="003C38DE" w:rsidRDefault="00BE3351" w:rsidP="00240E73">
      <w:pPr>
        <w:pStyle w:val="ESAttHeading"/>
        <w:keepNext w:val="0"/>
        <w:widowControl w:val="0"/>
        <w:numPr>
          <w:ilvl w:val="1"/>
          <w:numId w:val="11"/>
        </w:numPr>
        <w:tabs>
          <w:tab w:val="clear" w:pos="1440"/>
        </w:tabs>
        <w:ind w:left="851"/>
        <w:rPr>
          <w:b w:val="0"/>
          <w:sz w:val="24"/>
          <w:szCs w:val="24"/>
        </w:rPr>
      </w:pPr>
      <w:r w:rsidRPr="003C38DE">
        <w:rPr>
          <w:b w:val="0"/>
          <w:sz w:val="24"/>
          <w:szCs w:val="24"/>
        </w:rPr>
        <w:t xml:space="preserve">has significant experience in a critical infrastructure sector (within the meaning of the </w:t>
      </w:r>
      <w:r w:rsidRPr="003C38DE">
        <w:rPr>
          <w:b w:val="0"/>
          <w:i/>
          <w:iCs/>
          <w:sz w:val="24"/>
          <w:szCs w:val="24"/>
        </w:rPr>
        <w:t>Security of Critical Infrastructure Act 2018</w:t>
      </w:r>
      <w:r w:rsidR="00726BBE" w:rsidRPr="003C38DE">
        <w:rPr>
          <w:b w:val="0"/>
          <w:sz w:val="24"/>
          <w:szCs w:val="24"/>
        </w:rPr>
        <w:t>)</w:t>
      </w:r>
      <w:r w:rsidR="00240E73" w:rsidRPr="003C38DE">
        <w:rPr>
          <w:b w:val="0"/>
          <w:sz w:val="24"/>
          <w:szCs w:val="24"/>
        </w:rPr>
        <w:t xml:space="preserve"> (</w:t>
      </w:r>
      <w:r w:rsidR="00AC60DF" w:rsidRPr="003C38DE">
        <w:rPr>
          <w:b w:val="0"/>
          <w:sz w:val="24"/>
          <w:szCs w:val="24"/>
        </w:rPr>
        <w:t xml:space="preserve">subparagraph </w:t>
      </w:r>
      <w:r w:rsidR="00240E73" w:rsidRPr="003C38DE">
        <w:rPr>
          <w:b w:val="0"/>
          <w:sz w:val="24"/>
          <w:szCs w:val="24"/>
        </w:rPr>
        <w:t>13(1)(b)(vii)</w:t>
      </w:r>
      <w:r w:rsidR="00AC60DF" w:rsidRPr="003C38DE">
        <w:rPr>
          <w:b w:val="0"/>
          <w:sz w:val="24"/>
          <w:szCs w:val="24"/>
        </w:rPr>
        <w:t>)</w:t>
      </w:r>
      <w:r w:rsidR="00726BBE" w:rsidRPr="003C38DE">
        <w:rPr>
          <w:b w:val="0"/>
          <w:sz w:val="24"/>
          <w:szCs w:val="24"/>
        </w:rPr>
        <w:t>;</w:t>
      </w:r>
      <w:r w:rsidRPr="003C38DE">
        <w:rPr>
          <w:b w:val="0"/>
          <w:sz w:val="24"/>
          <w:szCs w:val="24"/>
        </w:rPr>
        <w:t xml:space="preserve"> or </w:t>
      </w:r>
    </w:p>
    <w:p w14:paraId="11E46159" w14:textId="1C0EF64C" w:rsidR="00851E29" w:rsidRPr="003C38DE" w:rsidRDefault="00BE3351" w:rsidP="00851E29">
      <w:pPr>
        <w:pStyle w:val="ESAttHeading"/>
        <w:keepNext w:val="0"/>
        <w:widowControl w:val="0"/>
        <w:numPr>
          <w:ilvl w:val="1"/>
          <w:numId w:val="11"/>
        </w:numPr>
        <w:tabs>
          <w:tab w:val="clear" w:pos="1440"/>
        </w:tabs>
        <w:ind w:left="851"/>
        <w:rPr>
          <w:b w:val="0"/>
          <w:sz w:val="24"/>
          <w:szCs w:val="24"/>
        </w:rPr>
      </w:pPr>
      <w:r w:rsidRPr="003C38DE">
        <w:rPr>
          <w:b w:val="0"/>
          <w:sz w:val="24"/>
          <w:szCs w:val="24"/>
        </w:rPr>
        <w:t>has significant academic qualifications or knowledge in a relevant field</w:t>
      </w:r>
      <w:r w:rsidR="00240E73" w:rsidRPr="003C38DE">
        <w:rPr>
          <w:b w:val="0"/>
          <w:sz w:val="24"/>
          <w:szCs w:val="24"/>
        </w:rPr>
        <w:t xml:space="preserve"> 13(1)(b)(viii)</w:t>
      </w:r>
      <w:r w:rsidR="00AC60DF" w:rsidRPr="003C38DE">
        <w:rPr>
          <w:b w:val="0"/>
          <w:sz w:val="24"/>
          <w:szCs w:val="24"/>
        </w:rPr>
        <w:t>)</w:t>
      </w:r>
      <w:r w:rsidRPr="003C38DE">
        <w:rPr>
          <w:b w:val="0"/>
          <w:sz w:val="24"/>
          <w:szCs w:val="24"/>
        </w:rPr>
        <w:t>.</w:t>
      </w:r>
    </w:p>
    <w:p w14:paraId="6A52ABE4" w14:textId="04441751" w:rsidR="00851E29" w:rsidRPr="003C38DE" w:rsidRDefault="00851E29" w:rsidP="00B633E4">
      <w:pPr>
        <w:pStyle w:val="ESPara"/>
        <w:numPr>
          <w:ilvl w:val="0"/>
          <w:numId w:val="0"/>
        </w:numPr>
        <w:ind w:left="360"/>
        <w:rPr>
          <w:rStyle w:val="normaltextrun"/>
          <w:b/>
          <w:color w:val="000000"/>
          <w:sz w:val="24"/>
          <w:szCs w:val="24"/>
        </w:rPr>
      </w:pPr>
      <w:r w:rsidRPr="003C38DE">
        <w:rPr>
          <w:rStyle w:val="normaltextrun"/>
          <w:color w:val="000000"/>
          <w:sz w:val="24"/>
          <w:szCs w:val="24"/>
        </w:rPr>
        <w:t xml:space="preserve">As the speed at which cyber technologies are being integrated into all facets of the Australian economy, so too does the potential for all sectors of the economy to be vulnerable to significant cyber incidents or novel attack methods. It is </w:t>
      </w:r>
      <w:r w:rsidR="00B633E4" w:rsidRPr="003C38DE">
        <w:rPr>
          <w:rStyle w:val="normaltextrun"/>
          <w:color w:val="000000"/>
          <w:sz w:val="24"/>
          <w:szCs w:val="24"/>
        </w:rPr>
        <w:t xml:space="preserve">therefore </w:t>
      </w:r>
      <w:r w:rsidRPr="003C38DE">
        <w:rPr>
          <w:rStyle w:val="normaltextrun"/>
          <w:color w:val="000000"/>
          <w:sz w:val="24"/>
          <w:szCs w:val="24"/>
        </w:rPr>
        <w:t xml:space="preserve">appropriate that the eligibility criteria for </w:t>
      </w:r>
      <w:r w:rsidRPr="003C38DE">
        <w:rPr>
          <w:rStyle w:val="normaltextrun"/>
          <w:color w:val="000000"/>
          <w:sz w:val="24"/>
          <w:szCs w:val="24"/>
        </w:rPr>
        <w:lastRenderedPageBreak/>
        <w:t>appointments to the</w:t>
      </w:r>
      <w:r w:rsidR="00B633E4" w:rsidRPr="003C38DE">
        <w:rPr>
          <w:rStyle w:val="normaltextrun"/>
          <w:color w:val="000000"/>
          <w:sz w:val="24"/>
          <w:szCs w:val="24"/>
        </w:rPr>
        <w:t xml:space="preserve"> CIRB</w:t>
      </w:r>
      <w:r w:rsidRPr="003C38DE">
        <w:rPr>
          <w:rStyle w:val="normaltextrun"/>
          <w:color w:val="000000"/>
          <w:sz w:val="24"/>
          <w:szCs w:val="24"/>
        </w:rPr>
        <w:t xml:space="preserve"> are broad enough to ensure the</w:t>
      </w:r>
      <w:r w:rsidR="00B633E4" w:rsidRPr="003C38DE">
        <w:rPr>
          <w:rStyle w:val="normaltextrun"/>
          <w:color w:val="000000"/>
          <w:sz w:val="24"/>
          <w:szCs w:val="24"/>
        </w:rPr>
        <w:t xml:space="preserve"> CIRB</w:t>
      </w:r>
      <w:r w:rsidRPr="003C38DE">
        <w:rPr>
          <w:rStyle w:val="normaltextrun"/>
          <w:color w:val="000000"/>
          <w:sz w:val="24"/>
          <w:szCs w:val="24"/>
        </w:rPr>
        <w:t xml:space="preserve"> </w:t>
      </w:r>
      <w:r w:rsidR="00B633E4" w:rsidRPr="003C38DE">
        <w:rPr>
          <w:rStyle w:val="normaltextrun"/>
          <w:color w:val="000000"/>
          <w:sz w:val="24"/>
          <w:szCs w:val="24"/>
        </w:rPr>
        <w:t xml:space="preserve">has of a broad </w:t>
      </w:r>
      <w:r w:rsidR="00C200FF" w:rsidRPr="003C38DE">
        <w:rPr>
          <w:rStyle w:val="normaltextrun"/>
          <w:color w:val="000000"/>
          <w:sz w:val="24"/>
          <w:szCs w:val="24"/>
        </w:rPr>
        <w:t>mix of skills and expertise</w:t>
      </w:r>
      <w:r w:rsidR="00B633E4" w:rsidRPr="003C38DE">
        <w:rPr>
          <w:rStyle w:val="normaltextrun"/>
          <w:color w:val="000000"/>
          <w:sz w:val="24"/>
          <w:szCs w:val="24"/>
        </w:rPr>
        <w:t>.</w:t>
      </w:r>
    </w:p>
    <w:p w14:paraId="4AE01235" w14:textId="56DD95BD" w:rsidR="00260FE8" w:rsidRPr="003C38DE" w:rsidRDefault="00076563" w:rsidP="00B633E4">
      <w:pPr>
        <w:pStyle w:val="ESPara"/>
        <w:numPr>
          <w:ilvl w:val="0"/>
          <w:numId w:val="0"/>
        </w:numPr>
        <w:ind w:left="360"/>
        <w:rPr>
          <w:sz w:val="24"/>
          <w:szCs w:val="24"/>
        </w:rPr>
      </w:pPr>
      <w:r w:rsidRPr="003C38DE">
        <w:rPr>
          <w:sz w:val="24"/>
          <w:szCs w:val="24"/>
        </w:rPr>
        <w:t xml:space="preserve">Subsection 13(2) </w:t>
      </w:r>
      <w:r w:rsidR="00260FE8" w:rsidRPr="003C38DE">
        <w:rPr>
          <w:sz w:val="24"/>
          <w:szCs w:val="24"/>
        </w:rPr>
        <w:t xml:space="preserve">provides that before appointing a person as </w:t>
      </w:r>
      <w:r w:rsidR="005200BE" w:rsidRPr="003C38DE">
        <w:rPr>
          <w:sz w:val="24"/>
          <w:szCs w:val="24"/>
        </w:rPr>
        <w:t>a Board member</w:t>
      </w:r>
      <w:r w:rsidR="00260FE8" w:rsidRPr="003C38DE">
        <w:rPr>
          <w:sz w:val="24"/>
          <w:szCs w:val="24"/>
        </w:rPr>
        <w:t xml:space="preserve"> of the </w:t>
      </w:r>
      <w:r w:rsidR="009C77FC" w:rsidRPr="003C38DE">
        <w:rPr>
          <w:sz w:val="24"/>
          <w:szCs w:val="24"/>
        </w:rPr>
        <w:t>CIRB</w:t>
      </w:r>
      <w:r w:rsidR="00260FE8" w:rsidRPr="003C38DE">
        <w:rPr>
          <w:sz w:val="24"/>
          <w:szCs w:val="24"/>
        </w:rPr>
        <w:t xml:space="preserve">, the Minister must be satisfied </w:t>
      </w:r>
      <w:r w:rsidR="00240E73" w:rsidRPr="003C38DE">
        <w:rPr>
          <w:sz w:val="24"/>
          <w:szCs w:val="24"/>
        </w:rPr>
        <w:t>that the</w:t>
      </w:r>
      <w:r w:rsidR="00260FE8" w:rsidRPr="003C38DE">
        <w:rPr>
          <w:sz w:val="24"/>
          <w:szCs w:val="24"/>
        </w:rPr>
        <w:t xml:space="preserve"> person meets the eligibility requirements mentioned in subsection </w:t>
      </w:r>
      <w:r w:rsidR="00240E73" w:rsidRPr="003C38DE">
        <w:rPr>
          <w:sz w:val="24"/>
          <w:szCs w:val="24"/>
        </w:rPr>
        <w:t>13</w:t>
      </w:r>
      <w:r w:rsidR="00AC60DF" w:rsidRPr="003C38DE">
        <w:rPr>
          <w:sz w:val="24"/>
          <w:szCs w:val="24"/>
        </w:rPr>
        <w:t xml:space="preserve">(1) </w:t>
      </w:r>
      <w:r w:rsidR="00260FE8" w:rsidRPr="003C38DE">
        <w:rPr>
          <w:sz w:val="24"/>
          <w:szCs w:val="24"/>
        </w:rPr>
        <w:t>and the person has appropriate qualifications, knowledge, skills or experience to perform the role.</w:t>
      </w:r>
    </w:p>
    <w:p w14:paraId="18147CB4" w14:textId="2AE39BE7" w:rsidR="00EE1BD9" w:rsidRPr="003C38DE" w:rsidRDefault="00076563" w:rsidP="00B633E4">
      <w:pPr>
        <w:pStyle w:val="ESPara"/>
        <w:numPr>
          <w:ilvl w:val="0"/>
          <w:numId w:val="0"/>
        </w:numPr>
        <w:ind w:left="360"/>
        <w:rPr>
          <w:sz w:val="24"/>
          <w:szCs w:val="24"/>
        </w:rPr>
      </w:pPr>
      <w:r w:rsidRPr="003C38DE">
        <w:rPr>
          <w:sz w:val="24"/>
          <w:szCs w:val="24"/>
        </w:rPr>
        <w:t xml:space="preserve">Subsection 13(3) </w:t>
      </w:r>
      <w:r w:rsidR="00260FE8" w:rsidRPr="003C38DE">
        <w:rPr>
          <w:sz w:val="24"/>
          <w:szCs w:val="24"/>
        </w:rPr>
        <w:t>provides that the Minister may appoint a person who holds a State or Territory government position only with the agreement of the State or Territory concerned.</w:t>
      </w:r>
    </w:p>
    <w:p w14:paraId="67DFE833" w14:textId="2B06E334" w:rsidR="00325E14" w:rsidRPr="003C38DE" w:rsidRDefault="00260FE8" w:rsidP="00CD5D6D">
      <w:pPr>
        <w:pStyle w:val="ESAttHeading"/>
        <w:keepNext w:val="0"/>
        <w:widowControl w:val="0"/>
        <w:rPr>
          <w:sz w:val="24"/>
          <w:szCs w:val="24"/>
        </w:rPr>
      </w:pPr>
      <w:r w:rsidRPr="003C38DE">
        <w:rPr>
          <w:sz w:val="24"/>
          <w:szCs w:val="24"/>
        </w:rPr>
        <w:t>Section 14</w:t>
      </w:r>
      <w:r w:rsidR="00325E14" w:rsidRPr="003C38DE">
        <w:rPr>
          <w:sz w:val="24"/>
          <w:szCs w:val="24"/>
        </w:rPr>
        <w:tab/>
        <w:t xml:space="preserve">Acting appointments of </w:t>
      </w:r>
      <w:r w:rsidR="005200BE" w:rsidRPr="003C38DE">
        <w:rPr>
          <w:sz w:val="24"/>
          <w:szCs w:val="24"/>
        </w:rPr>
        <w:t xml:space="preserve">standing </w:t>
      </w:r>
      <w:r w:rsidR="00325E14" w:rsidRPr="003C38DE">
        <w:rPr>
          <w:sz w:val="24"/>
          <w:szCs w:val="24"/>
        </w:rPr>
        <w:t xml:space="preserve">members </w:t>
      </w:r>
      <w:r w:rsidR="005200BE" w:rsidRPr="003C38DE">
        <w:rPr>
          <w:sz w:val="24"/>
          <w:szCs w:val="24"/>
        </w:rPr>
        <w:t>of the Board</w:t>
      </w:r>
    </w:p>
    <w:p w14:paraId="40648DC7" w14:textId="2C9382DD" w:rsidR="00D2355A" w:rsidRPr="003C38DE" w:rsidRDefault="009C77FC" w:rsidP="00B633E4">
      <w:pPr>
        <w:pStyle w:val="ESPara"/>
        <w:numPr>
          <w:ilvl w:val="0"/>
          <w:numId w:val="0"/>
        </w:numPr>
        <w:ind w:left="360"/>
        <w:rPr>
          <w:sz w:val="24"/>
          <w:szCs w:val="24"/>
        </w:rPr>
      </w:pPr>
      <w:r w:rsidRPr="003C38DE">
        <w:rPr>
          <w:sz w:val="24"/>
          <w:szCs w:val="24"/>
        </w:rPr>
        <w:t>Section 14 of the Rules prescribes the requirements and process for the Minister to appoint a person to act as a standing member of the CIRB for the purpose of paragraph 69(1)(c) of the Act</w:t>
      </w:r>
      <w:r w:rsidR="00996481" w:rsidRPr="003C38DE">
        <w:rPr>
          <w:sz w:val="24"/>
          <w:szCs w:val="24"/>
        </w:rPr>
        <w:t>.</w:t>
      </w:r>
    </w:p>
    <w:p w14:paraId="4C5D224B" w14:textId="42AB80C5" w:rsidR="009C77FC" w:rsidRPr="003C38DE" w:rsidRDefault="009C77FC" w:rsidP="00B633E4">
      <w:pPr>
        <w:pStyle w:val="ESPara"/>
        <w:numPr>
          <w:ilvl w:val="0"/>
          <w:numId w:val="0"/>
        </w:numPr>
        <w:ind w:left="360"/>
        <w:rPr>
          <w:sz w:val="24"/>
          <w:szCs w:val="24"/>
        </w:rPr>
      </w:pPr>
      <w:r w:rsidRPr="003C38DE">
        <w:rPr>
          <w:sz w:val="24"/>
          <w:szCs w:val="24"/>
        </w:rPr>
        <w:t>Subsection 14(1)</w:t>
      </w:r>
      <w:r w:rsidR="00D2355A" w:rsidRPr="003C38DE">
        <w:rPr>
          <w:sz w:val="24"/>
          <w:szCs w:val="24"/>
        </w:rPr>
        <w:t xml:space="preserve"> provides </w:t>
      </w:r>
      <w:r w:rsidRPr="003C38DE">
        <w:rPr>
          <w:sz w:val="24"/>
          <w:szCs w:val="24"/>
        </w:rPr>
        <w:t>that the M</w:t>
      </w:r>
      <w:r w:rsidR="008E3BFA" w:rsidRPr="003C38DE">
        <w:rPr>
          <w:sz w:val="24"/>
          <w:szCs w:val="24"/>
        </w:rPr>
        <w:t xml:space="preserve">inister may, by written instrument, appoint a person to act as a standing member of the </w:t>
      </w:r>
      <w:r w:rsidRPr="003C38DE">
        <w:rPr>
          <w:sz w:val="24"/>
          <w:szCs w:val="24"/>
        </w:rPr>
        <w:t xml:space="preserve">CIRB </w:t>
      </w:r>
      <w:r w:rsidR="001C00F3" w:rsidRPr="003C38DE">
        <w:rPr>
          <w:sz w:val="24"/>
          <w:szCs w:val="24"/>
        </w:rPr>
        <w:t xml:space="preserve">if either </w:t>
      </w:r>
      <w:r w:rsidRPr="003C38DE">
        <w:rPr>
          <w:sz w:val="24"/>
          <w:szCs w:val="24"/>
        </w:rPr>
        <w:t xml:space="preserve">circumstance in </w:t>
      </w:r>
      <w:r w:rsidR="00AC60DF" w:rsidRPr="003C38DE">
        <w:rPr>
          <w:sz w:val="24"/>
          <w:szCs w:val="24"/>
        </w:rPr>
        <w:t xml:space="preserve">paragraph </w:t>
      </w:r>
      <w:r w:rsidRPr="003C38DE">
        <w:rPr>
          <w:sz w:val="24"/>
          <w:szCs w:val="24"/>
        </w:rPr>
        <w:t xml:space="preserve">14(1)(a) or </w:t>
      </w:r>
      <w:r w:rsidR="00AC60DF" w:rsidRPr="003C38DE">
        <w:rPr>
          <w:sz w:val="24"/>
          <w:szCs w:val="24"/>
        </w:rPr>
        <w:t xml:space="preserve">paragraph </w:t>
      </w:r>
      <w:r w:rsidRPr="003C38DE">
        <w:rPr>
          <w:sz w:val="24"/>
          <w:szCs w:val="24"/>
        </w:rPr>
        <w:t xml:space="preserve">14(1)(b) occur. </w:t>
      </w:r>
    </w:p>
    <w:p w14:paraId="1B8401BF" w14:textId="60CAA17D" w:rsidR="00D2355A" w:rsidRPr="003C38DE" w:rsidRDefault="009C77FC">
      <w:pPr>
        <w:pStyle w:val="ESPara"/>
        <w:numPr>
          <w:ilvl w:val="0"/>
          <w:numId w:val="0"/>
        </w:numPr>
        <w:ind w:left="360"/>
        <w:rPr>
          <w:sz w:val="24"/>
          <w:szCs w:val="24"/>
        </w:rPr>
      </w:pPr>
      <w:r w:rsidRPr="003C38DE">
        <w:rPr>
          <w:sz w:val="24"/>
          <w:szCs w:val="24"/>
        </w:rPr>
        <w:t xml:space="preserve">The first circumstance is where there is a vacancy in the office of a standing member of the CIRB, whether or not an appointment has been previously made to the office.  The second circumstance is during any period, or all periods, </w:t>
      </w:r>
      <w:r w:rsidR="00AC60DF" w:rsidRPr="003C38DE">
        <w:rPr>
          <w:sz w:val="24"/>
          <w:szCs w:val="24"/>
        </w:rPr>
        <w:t xml:space="preserve">a standing member </w:t>
      </w:r>
      <w:r w:rsidR="008E3BFA" w:rsidRPr="003C38DE">
        <w:rPr>
          <w:sz w:val="24"/>
          <w:szCs w:val="24"/>
        </w:rPr>
        <w:t xml:space="preserve">is absent from duty or </w:t>
      </w:r>
      <w:r w:rsidR="00FD5770" w:rsidRPr="003C38DE">
        <w:rPr>
          <w:sz w:val="24"/>
          <w:szCs w:val="24"/>
        </w:rPr>
        <w:t>from</w:t>
      </w:r>
      <w:r w:rsidR="008E3BFA" w:rsidRPr="003C38DE">
        <w:rPr>
          <w:sz w:val="24"/>
          <w:szCs w:val="24"/>
        </w:rPr>
        <w:t xml:space="preserve"> Australia</w:t>
      </w:r>
      <w:r w:rsidR="00FD5770" w:rsidRPr="003C38DE">
        <w:rPr>
          <w:sz w:val="24"/>
          <w:szCs w:val="24"/>
        </w:rPr>
        <w:t xml:space="preserve">, </w:t>
      </w:r>
      <w:r w:rsidR="008E3BFA" w:rsidRPr="003C38DE">
        <w:rPr>
          <w:sz w:val="24"/>
          <w:szCs w:val="24"/>
        </w:rPr>
        <w:t xml:space="preserve">or is, for any reason, unable to perform the duties of the office of a standing member of the </w:t>
      </w:r>
      <w:r w:rsidR="00FD5770" w:rsidRPr="003C38DE">
        <w:rPr>
          <w:sz w:val="24"/>
          <w:szCs w:val="24"/>
        </w:rPr>
        <w:t>CIRB.</w:t>
      </w:r>
    </w:p>
    <w:p w14:paraId="3A3F2593" w14:textId="3CE0051A" w:rsidR="00FD5770" w:rsidRPr="003C38DE" w:rsidRDefault="00E3581E" w:rsidP="00B633E4">
      <w:pPr>
        <w:pStyle w:val="ESPara"/>
        <w:numPr>
          <w:ilvl w:val="0"/>
          <w:numId w:val="0"/>
        </w:numPr>
        <w:ind w:left="360"/>
        <w:rPr>
          <w:sz w:val="24"/>
          <w:szCs w:val="24"/>
        </w:rPr>
      </w:pPr>
      <w:r w:rsidRPr="003C38DE">
        <w:rPr>
          <w:sz w:val="24"/>
          <w:szCs w:val="24"/>
        </w:rPr>
        <w:t xml:space="preserve">The note under </w:t>
      </w:r>
      <w:r w:rsidR="00FD5770" w:rsidRPr="003C38DE">
        <w:rPr>
          <w:sz w:val="24"/>
          <w:szCs w:val="24"/>
        </w:rPr>
        <w:t>subsection 14(1) provides that the M</w:t>
      </w:r>
      <w:r w:rsidRPr="003C38DE">
        <w:rPr>
          <w:sz w:val="24"/>
          <w:szCs w:val="24"/>
        </w:rPr>
        <w:t>inister may appoint a standing member of the</w:t>
      </w:r>
      <w:r w:rsidR="00FD5770" w:rsidRPr="003C38DE">
        <w:rPr>
          <w:sz w:val="24"/>
          <w:szCs w:val="24"/>
        </w:rPr>
        <w:t xml:space="preserve"> CIRB</w:t>
      </w:r>
      <w:r w:rsidRPr="003C38DE">
        <w:rPr>
          <w:sz w:val="24"/>
          <w:szCs w:val="24"/>
        </w:rPr>
        <w:t xml:space="preserve"> to act as the C</w:t>
      </w:r>
      <w:r w:rsidR="00D2355A" w:rsidRPr="003C38DE">
        <w:rPr>
          <w:sz w:val="24"/>
          <w:szCs w:val="24"/>
        </w:rPr>
        <w:t>hair</w:t>
      </w:r>
      <w:r w:rsidR="00FD5770" w:rsidRPr="003C38DE">
        <w:rPr>
          <w:sz w:val="24"/>
          <w:szCs w:val="24"/>
        </w:rPr>
        <w:t xml:space="preserve"> under section 68 of the Act. Section 68 of the Act specifies the process and procedure for this to occur. </w:t>
      </w:r>
    </w:p>
    <w:p w14:paraId="5555E6A0" w14:textId="4F7DA6A9" w:rsidR="00FD5770" w:rsidRPr="003C38DE" w:rsidRDefault="00FD5770" w:rsidP="00B633E4">
      <w:pPr>
        <w:pStyle w:val="ESPara"/>
        <w:numPr>
          <w:ilvl w:val="0"/>
          <w:numId w:val="0"/>
        </w:numPr>
        <w:ind w:left="360"/>
        <w:rPr>
          <w:sz w:val="24"/>
          <w:szCs w:val="24"/>
        </w:rPr>
      </w:pPr>
      <w:r w:rsidRPr="003C38DE">
        <w:rPr>
          <w:sz w:val="24"/>
          <w:szCs w:val="24"/>
        </w:rPr>
        <w:t xml:space="preserve">Subsection 14(2) provides that a person must not be appointed to act as a standing member of the CIRB unless the Minister is satisfied that person satisfies the matters in section 13. Section 13 of the Rules provides eligibility criteria that </w:t>
      </w:r>
      <w:r w:rsidR="00AC60DF" w:rsidRPr="003C38DE">
        <w:rPr>
          <w:sz w:val="24"/>
          <w:szCs w:val="24"/>
        </w:rPr>
        <w:t>standing members of the</w:t>
      </w:r>
      <w:r w:rsidRPr="003C38DE">
        <w:rPr>
          <w:sz w:val="24"/>
          <w:szCs w:val="24"/>
        </w:rPr>
        <w:t xml:space="preserve"> CIRB must meet, including requirements to hold a security clearance and to hold </w:t>
      </w:r>
      <w:r w:rsidR="008366F4" w:rsidRPr="003C38DE">
        <w:rPr>
          <w:sz w:val="24"/>
          <w:szCs w:val="24"/>
        </w:rPr>
        <w:t xml:space="preserve">or possess </w:t>
      </w:r>
      <w:r w:rsidRPr="003C38DE">
        <w:rPr>
          <w:sz w:val="24"/>
          <w:szCs w:val="24"/>
        </w:rPr>
        <w:t>particular qualification</w:t>
      </w:r>
      <w:r w:rsidR="008366F4" w:rsidRPr="003C38DE">
        <w:rPr>
          <w:sz w:val="24"/>
          <w:szCs w:val="24"/>
        </w:rPr>
        <w:t>s or experience</w:t>
      </w:r>
      <w:r w:rsidRPr="003C38DE">
        <w:rPr>
          <w:sz w:val="24"/>
          <w:szCs w:val="24"/>
        </w:rPr>
        <w:t xml:space="preserve">.  </w:t>
      </w:r>
    </w:p>
    <w:p w14:paraId="5B7D6077" w14:textId="5F2C0F43" w:rsidR="00FD5770" w:rsidRPr="003C38DE" w:rsidRDefault="00FD5770" w:rsidP="00B633E4">
      <w:pPr>
        <w:pStyle w:val="ESPara"/>
        <w:numPr>
          <w:ilvl w:val="0"/>
          <w:numId w:val="0"/>
        </w:numPr>
        <w:ind w:left="360"/>
        <w:rPr>
          <w:sz w:val="24"/>
          <w:szCs w:val="24"/>
        </w:rPr>
      </w:pPr>
      <w:r w:rsidRPr="003C38DE">
        <w:rPr>
          <w:sz w:val="24"/>
          <w:szCs w:val="24"/>
        </w:rPr>
        <w:t xml:space="preserve">The note under </w:t>
      </w:r>
      <w:r w:rsidR="008366F4" w:rsidRPr="003C38DE">
        <w:rPr>
          <w:sz w:val="24"/>
          <w:szCs w:val="24"/>
        </w:rPr>
        <w:t xml:space="preserve">subsection 14(2) clarifies that the effect of subsection 14(2) is that </w:t>
      </w:r>
      <w:r w:rsidRPr="003C38DE">
        <w:rPr>
          <w:sz w:val="24"/>
          <w:szCs w:val="24"/>
        </w:rPr>
        <w:t xml:space="preserve">a person cannot be appointed to act as a standing member of the </w:t>
      </w:r>
      <w:r w:rsidR="008366F4" w:rsidRPr="003C38DE">
        <w:rPr>
          <w:sz w:val="24"/>
          <w:szCs w:val="24"/>
        </w:rPr>
        <w:t>CIRB</w:t>
      </w:r>
      <w:r w:rsidRPr="003C38DE">
        <w:rPr>
          <w:sz w:val="24"/>
          <w:szCs w:val="24"/>
        </w:rPr>
        <w:t xml:space="preserve"> if the person is not eligible to be appointed as a </w:t>
      </w:r>
      <w:r w:rsidR="005200BE" w:rsidRPr="003C38DE">
        <w:rPr>
          <w:sz w:val="24"/>
          <w:szCs w:val="24"/>
        </w:rPr>
        <w:t>Board member.</w:t>
      </w:r>
    </w:p>
    <w:p w14:paraId="144D47CD" w14:textId="246D2F43" w:rsidR="00325E14" w:rsidRPr="003C38DE" w:rsidRDefault="008E3BFA" w:rsidP="00CD5D6D">
      <w:pPr>
        <w:pStyle w:val="ESAttHeading"/>
        <w:keepNext w:val="0"/>
        <w:widowControl w:val="0"/>
        <w:rPr>
          <w:sz w:val="24"/>
          <w:szCs w:val="24"/>
        </w:rPr>
      </w:pPr>
      <w:r w:rsidRPr="003C38DE">
        <w:rPr>
          <w:sz w:val="24"/>
          <w:szCs w:val="24"/>
        </w:rPr>
        <w:t>Section 15</w:t>
      </w:r>
      <w:r w:rsidR="00325E14" w:rsidRPr="003C38DE">
        <w:rPr>
          <w:sz w:val="24"/>
          <w:szCs w:val="24"/>
        </w:rPr>
        <w:tab/>
        <w:t>Disclosure of interests to the Minister</w:t>
      </w:r>
    </w:p>
    <w:p w14:paraId="520275C1" w14:textId="2C304CFA" w:rsidR="00D2355A" w:rsidRPr="003C38DE" w:rsidRDefault="009B195E" w:rsidP="00B633E4">
      <w:pPr>
        <w:pStyle w:val="ESPara"/>
        <w:numPr>
          <w:ilvl w:val="0"/>
          <w:numId w:val="0"/>
        </w:numPr>
        <w:ind w:left="360"/>
        <w:rPr>
          <w:sz w:val="24"/>
          <w:szCs w:val="24"/>
        </w:rPr>
      </w:pPr>
      <w:r w:rsidRPr="003C38DE">
        <w:rPr>
          <w:sz w:val="24"/>
          <w:szCs w:val="24"/>
        </w:rPr>
        <w:t xml:space="preserve">This section prescribes </w:t>
      </w:r>
      <w:r w:rsidR="008366F4" w:rsidRPr="003C38DE">
        <w:rPr>
          <w:sz w:val="24"/>
          <w:szCs w:val="24"/>
        </w:rPr>
        <w:t>requirements</w:t>
      </w:r>
      <w:r w:rsidR="00AC60DF" w:rsidRPr="003C38DE">
        <w:rPr>
          <w:sz w:val="24"/>
          <w:szCs w:val="24"/>
        </w:rPr>
        <w:t xml:space="preserve"> a</w:t>
      </w:r>
      <w:r w:rsidR="000F6953" w:rsidRPr="003C38DE">
        <w:rPr>
          <w:sz w:val="24"/>
          <w:szCs w:val="24"/>
        </w:rPr>
        <w:t>round disclosure of interests that a</w:t>
      </w:r>
      <w:r w:rsidR="00AC60DF" w:rsidRPr="003C38DE">
        <w:rPr>
          <w:sz w:val="24"/>
          <w:szCs w:val="24"/>
        </w:rPr>
        <w:t xml:space="preserve"> person seeking appointment as the Chair or standing member</w:t>
      </w:r>
      <w:r w:rsidR="00DC6E15" w:rsidRPr="003C38DE">
        <w:rPr>
          <w:sz w:val="24"/>
          <w:szCs w:val="24"/>
        </w:rPr>
        <w:t xml:space="preserve"> (defined collectively as a ‘</w:t>
      </w:r>
      <w:r w:rsidR="00430310" w:rsidRPr="003C38DE">
        <w:rPr>
          <w:sz w:val="24"/>
          <w:szCs w:val="24"/>
        </w:rPr>
        <w:t>B</w:t>
      </w:r>
      <w:r w:rsidR="00DC6E15" w:rsidRPr="003C38DE">
        <w:rPr>
          <w:sz w:val="24"/>
          <w:szCs w:val="24"/>
        </w:rPr>
        <w:t>oard member’ in the Rules</w:t>
      </w:r>
      <w:r w:rsidR="00430310" w:rsidRPr="003C38DE">
        <w:rPr>
          <w:sz w:val="24"/>
          <w:szCs w:val="24"/>
        </w:rPr>
        <w:t xml:space="preserve"> when referring to both the Chair and other standing members</w:t>
      </w:r>
      <w:r w:rsidR="00DC6E15" w:rsidRPr="003C38DE">
        <w:rPr>
          <w:sz w:val="24"/>
          <w:szCs w:val="24"/>
        </w:rPr>
        <w:t>)</w:t>
      </w:r>
      <w:r w:rsidR="00AC60DF" w:rsidRPr="003C38DE">
        <w:rPr>
          <w:sz w:val="24"/>
          <w:szCs w:val="24"/>
        </w:rPr>
        <w:t xml:space="preserve"> must meet before being appointed by the Minister under sections 64 or 66 of the Act</w:t>
      </w:r>
      <w:r w:rsidR="008366F4" w:rsidRPr="003C38DE">
        <w:rPr>
          <w:sz w:val="24"/>
          <w:szCs w:val="24"/>
        </w:rPr>
        <w:t xml:space="preserve">. </w:t>
      </w:r>
      <w:r w:rsidRPr="003C38DE">
        <w:rPr>
          <w:sz w:val="24"/>
          <w:szCs w:val="24"/>
        </w:rPr>
        <w:t xml:space="preserve"> </w:t>
      </w:r>
      <w:r w:rsidR="008366F4" w:rsidRPr="003C38DE">
        <w:rPr>
          <w:sz w:val="24"/>
          <w:szCs w:val="24"/>
        </w:rPr>
        <w:t>This section is made for the purpose of paragraph 69(1)(e) of the Act</w:t>
      </w:r>
      <w:r w:rsidR="001C00F3" w:rsidRPr="003C38DE">
        <w:rPr>
          <w:sz w:val="24"/>
          <w:szCs w:val="24"/>
        </w:rPr>
        <w:t>.</w:t>
      </w:r>
    </w:p>
    <w:p w14:paraId="11C72C23" w14:textId="44F51274" w:rsidR="008367A6" w:rsidRPr="003C38DE" w:rsidRDefault="009B195E" w:rsidP="00B633E4">
      <w:pPr>
        <w:pStyle w:val="ESPara"/>
        <w:numPr>
          <w:ilvl w:val="0"/>
          <w:numId w:val="0"/>
        </w:numPr>
        <w:ind w:left="360"/>
        <w:rPr>
          <w:sz w:val="24"/>
          <w:szCs w:val="24"/>
        </w:rPr>
      </w:pPr>
      <w:r w:rsidRPr="003C38DE">
        <w:rPr>
          <w:sz w:val="24"/>
          <w:szCs w:val="24"/>
        </w:rPr>
        <w:lastRenderedPageBreak/>
        <w:t>Subsection 15(1)</w:t>
      </w:r>
      <w:r w:rsidR="00E3581E" w:rsidRPr="003C38DE">
        <w:rPr>
          <w:sz w:val="24"/>
          <w:szCs w:val="24"/>
        </w:rPr>
        <w:t xml:space="preserve"> provides that</w:t>
      </w:r>
      <w:r w:rsidR="008366F4" w:rsidRPr="003C38DE">
        <w:rPr>
          <w:sz w:val="24"/>
          <w:szCs w:val="24"/>
        </w:rPr>
        <w:t xml:space="preserve"> before being appointed</w:t>
      </w:r>
      <w:r w:rsidR="00E3581E" w:rsidRPr="003C38DE">
        <w:rPr>
          <w:sz w:val="24"/>
          <w:szCs w:val="24"/>
        </w:rPr>
        <w:t xml:space="preserve"> </w:t>
      </w:r>
      <w:r w:rsidR="00D0074D" w:rsidRPr="003C38DE">
        <w:rPr>
          <w:sz w:val="24"/>
          <w:szCs w:val="24"/>
        </w:rPr>
        <w:t>by the Minister under sections 64 or 66 of the Act</w:t>
      </w:r>
      <w:r w:rsidR="00287CFD" w:rsidRPr="003C38DE">
        <w:rPr>
          <w:sz w:val="24"/>
          <w:szCs w:val="24"/>
        </w:rPr>
        <w:t xml:space="preserve">, </w:t>
      </w:r>
      <w:r w:rsidR="00D0074D" w:rsidRPr="003C38DE">
        <w:rPr>
          <w:sz w:val="24"/>
          <w:szCs w:val="24"/>
        </w:rPr>
        <w:t xml:space="preserve">as either the Chair or a standing member, </w:t>
      </w:r>
      <w:r w:rsidR="00287CFD" w:rsidRPr="003C38DE">
        <w:rPr>
          <w:sz w:val="24"/>
          <w:szCs w:val="24"/>
        </w:rPr>
        <w:t>the person must disclose to the Minister all interests, pecuniary or otherwise,</w:t>
      </w:r>
      <w:r w:rsidRPr="003C38DE">
        <w:rPr>
          <w:sz w:val="24"/>
          <w:szCs w:val="24"/>
        </w:rPr>
        <w:t xml:space="preserve"> that</w:t>
      </w:r>
      <w:r w:rsidR="00287CFD" w:rsidRPr="003C38DE">
        <w:rPr>
          <w:sz w:val="24"/>
          <w:szCs w:val="24"/>
        </w:rPr>
        <w:t xml:space="preserve"> the person is aware of having in a matter of a kind likely to be considered by the </w:t>
      </w:r>
      <w:r w:rsidR="00D0074D" w:rsidRPr="003C38DE">
        <w:rPr>
          <w:sz w:val="24"/>
          <w:szCs w:val="24"/>
        </w:rPr>
        <w:t xml:space="preserve">CIRB. </w:t>
      </w:r>
    </w:p>
    <w:p w14:paraId="2D3E4027" w14:textId="3A214630" w:rsidR="00287CFD" w:rsidRPr="003C38DE" w:rsidRDefault="009B195E" w:rsidP="00B633E4">
      <w:pPr>
        <w:pStyle w:val="ESPara"/>
        <w:numPr>
          <w:ilvl w:val="0"/>
          <w:numId w:val="0"/>
        </w:numPr>
        <w:ind w:left="360"/>
        <w:rPr>
          <w:sz w:val="24"/>
          <w:szCs w:val="24"/>
        </w:rPr>
      </w:pPr>
      <w:r w:rsidRPr="003C38DE">
        <w:rPr>
          <w:sz w:val="24"/>
          <w:szCs w:val="24"/>
        </w:rPr>
        <w:t xml:space="preserve">Subsection 15(2) provides </w:t>
      </w:r>
      <w:r w:rsidR="00D0074D" w:rsidRPr="003C38DE">
        <w:rPr>
          <w:sz w:val="24"/>
          <w:szCs w:val="24"/>
        </w:rPr>
        <w:t xml:space="preserve">the ongoing disclosure requirements for persons who have been appointed as </w:t>
      </w:r>
      <w:r w:rsidR="00430310" w:rsidRPr="003C38DE">
        <w:rPr>
          <w:sz w:val="24"/>
          <w:szCs w:val="24"/>
        </w:rPr>
        <w:t>a B</w:t>
      </w:r>
      <w:r w:rsidR="00DC6E15" w:rsidRPr="003C38DE">
        <w:rPr>
          <w:sz w:val="24"/>
          <w:szCs w:val="24"/>
        </w:rPr>
        <w:t>oard member</w:t>
      </w:r>
      <w:r w:rsidR="00D0074D" w:rsidRPr="003C38DE">
        <w:rPr>
          <w:sz w:val="24"/>
          <w:szCs w:val="24"/>
        </w:rPr>
        <w:t xml:space="preserve"> of the CIRB. Subsection 15(2) requires the </w:t>
      </w:r>
      <w:r w:rsidR="00430310" w:rsidRPr="003C38DE">
        <w:rPr>
          <w:sz w:val="24"/>
          <w:szCs w:val="24"/>
        </w:rPr>
        <w:t>B</w:t>
      </w:r>
      <w:r w:rsidR="00DC6E15" w:rsidRPr="003C38DE">
        <w:rPr>
          <w:sz w:val="24"/>
          <w:szCs w:val="24"/>
        </w:rPr>
        <w:t>oard</w:t>
      </w:r>
      <w:r w:rsidR="00D0074D" w:rsidRPr="003C38DE">
        <w:rPr>
          <w:sz w:val="24"/>
          <w:szCs w:val="24"/>
        </w:rPr>
        <w:t xml:space="preserve"> member</w:t>
      </w:r>
      <w:r w:rsidR="00DC6E15" w:rsidRPr="003C38DE">
        <w:rPr>
          <w:sz w:val="24"/>
          <w:szCs w:val="24"/>
        </w:rPr>
        <w:t>s</w:t>
      </w:r>
      <w:r w:rsidR="00D0074D" w:rsidRPr="003C38DE">
        <w:rPr>
          <w:sz w:val="24"/>
          <w:szCs w:val="24"/>
        </w:rPr>
        <w:t xml:space="preserve"> to disclose to the Minister any matter </w:t>
      </w:r>
      <w:r w:rsidR="00DC6E15" w:rsidRPr="003C38DE">
        <w:rPr>
          <w:sz w:val="24"/>
          <w:szCs w:val="24"/>
        </w:rPr>
        <w:t xml:space="preserve">for the </w:t>
      </w:r>
      <w:r w:rsidR="00D0074D" w:rsidRPr="003C38DE">
        <w:rPr>
          <w:sz w:val="24"/>
          <w:szCs w:val="24"/>
        </w:rPr>
        <w:t>purpose of section 29</w:t>
      </w:r>
      <w:r w:rsidR="00287CFD" w:rsidRPr="003C38DE">
        <w:rPr>
          <w:sz w:val="24"/>
          <w:szCs w:val="24"/>
        </w:rPr>
        <w:t xml:space="preserve"> of the </w:t>
      </w:r>
      <w:r w:rsidR="00287CFD" w:rsidRPr="003C38DE">
        <w:rPr>
          <w:i/>
          <w:iCs/>
          <w:sz w:val="24"/>
          <w:szCs w:val="24"/>
        </w:rPr>
        <w:t>Public Governance, Performance and Accountability Act 2013</w:t>
      </w:r>
      <w:r w:rsidR="00D0074D" w:rsidRPr="003C38DE">
        <w:rPr>
          <w:i/>
          <w:iCs/>
          <w:sz w:val="24"/>
          <w:szCs w:val="24"/>
        </w:rPr>
        <w:t xml:space="preserve"> </w:t>
      </w:r>
      <w:r w:rsidR="00D0074D" w:rsidRPr="003C38DE">
        <w:rPr>
          <w:iCs/>
          <w:sz w:val="24"/>
          <w:szCs w:val="24"/>
        </w:rPr>
        <w:t>(PGPAA). Section 29 of the PGP</w:t>
      </w:r>
      <w:r w:rsidR="00162AA2" w:rsidRPr="003C38DE">
        <w:rPr>
          <w:iCs/>
          <w:sz w:val="24"/>
          <w:szCs w:val="24"/>
        </w:rPr>
        <w:t>A</w:t>
      </w:r>
      <w:r w:rsidR="00D0074D" w:rsidRPr="003C38DE">
        <w:rPr>
          <w:iCs/>
          <w:sz w:val="24"/>
          <w:szCs w:val="24"/>
        </w:rPr>
        <w:t xml:space="preserve">A requires an official of a Commonwealth entity to disclose details of any material personal interest that relates to the affairs of the entity they are </w:t>
      </w:r>
      <w:r w:rsidR="00B27B37" w:rsidRPr="003C38DE">
        <w:rPr>
          <w:iCs/>
          <w:sz w:val="24"/>
          <w:szCs w:val="24"/>
        </w:rPr>
        <w:t>an official of.</w:t>
      </w:r>
      <w:r w:rsidR="00B27B37" w:rsidRPr="003C38DE">
        <w:rPr>
          <w:i/>
          <w:iCs/>
          <w:sz w:val="24"/>
          <w:szCs w:val="24"/>
        </w:rPr>
        <w:t xml:space="preserve"> </w:t>
      </w:r>
    </w:p>
    <w:p w14:paraId="6D8CF4B2" w14:textId="298E63EC" w:rsidR="00287CFD" w:rsidRPr="003C38DE" w:rsidRDefault="009B195E" w:rsidP="00B633E4">
      <w:pPr>
        <w:pStyle w:val="ESPara"/>
        <w:numPr>
          <w:ilvl w:val="0"/>
          <w:numId w:val="0"/>
        </w:numPr>
        <w:ind w:left="360"/>
        <w:rPr>
          <w:sz w:val="24"/>
          <w:szCs w:val="24"/>
        </w:rPr>
      </w:pPr>
      <w:r w:rsidRPr="003C38DE">
        <w:rPr>
          <w:sz w:val="24"/>
          <w:szCs w:val="24"/>
        </w:rPr>
        <w:t xml:space="preserve">Subsection 15(3) provides that subsection 15(2) </w:t>
      </w:r>
      <w:r w:rsidR="00287CFD" w:rsidRPr="003C38DE">
        <w:rPr>
          <w:sz w:val="24"/>
          <w:szCs w:val="24"/>
        </w:rPr>
        <w:t xml:space="preserve">applies in addition to any rules made for the purposes of section 29 of the </w:t>
      </w:r>
      <w:r w:rsidR="00B27B37" w:rsidRPr="003C38DE">
        <w:rPr>
          <w:iCs/>
          <w:sz w:val="24"/>
          <w:szCs w:val="24"/>
        </w:rPr>
        <w:t>PGP</w:t>
      </w:r>
      <w:r w:rsidR="00162AA2" w:rsidRPr="003C38DE">
        <w:rPr>
          <w:iCs/>
          <w:sz w:val="24"/>
          <w:szCs w:val="24"/>
        </w:rPr>
        <w:t>A</w:t>
      </w:r>
      <w:r w:rsidR="00B27B37" w:rsidRPr="003C38DE">
        <w:rPr>
          <w:iCs/>
          <w:sz w:val="24"/>
          <w:szCs w:val="24"/>
        </w:rPr>
        <w:t>A.</w:t>
      </w:r>
      <w:r w:rsidR="00B27B37" w:rsidRPr="003C38DE">
        <w:rPr>
          <w:i/>
          <w:iCs/>
          <w:sz w:val="24"/>
          <w:szCs w:val="24"/>
        </w:rPr>
        <w:t xml:space="preserve"> </w:t>
      </w:r>
    </w:p>
    <w:p w14:paraId="758B044D" w14:textId="1244C834" w:rsidR="00287CFD" w:rsidRPr="003C38DE" w:rsidRDefault="009B195E" w:rsidP="00B633E4">
      <w:pPr>
        <w:pStyle w:val="ESPara"/>
        <w:numPr>
          <w:ilvl w:val="0"/>
          <w:numId w:val="0"/>
        </w:numPr>
        <w:ind w:left="360"/>
        <w:rPr>
          <w:sz w:val="24"/>
          <w:szCs w:val="24"/>
        </w:rPr>
      </w:pPr>
      <w:r w:rsidRPr="003C38DE">
        <w:rPr>
          <w:sz w:val="24"/>
          <w:szCs w:val="24"/>
        </w:rPr>
        <w:t xml:space="preserve">Subsection 15(4) provides that for </w:t>
      </w:r>
      <w:r w:rsidR="00287CFD" w:rsidRPr="003C38DE">
        <w:rPr>
          <w:sz w:val="24"/>
          <w:szCs w:val="24"/>
        </w:rPr>
        <w:t xml:space="preserve">the purposes of the Act, </w:t>
      </w:r>
      <w:r w:rsidR="00DC6E15" w:rsidRPr="003C38DE">
        <w:rPr>
          <w:sz w:val="24"/>
          <w:szCs w:val="24"/>
        </w:rPr>
        <w:t>the Rules</w:t>
      </w:r>
      <w:r w:rsidR="00287CFD" w:rsidRPr="003C38DE">
        <w:rPr>
          <w:sz w:val="24"/>
          <w:szCs w:val="24"/>
        </w:rPr>
        <w:t xml:space="preserve"> and the </w:t>
      </w:r>
      <w:r w:rsidR="00B27B37" w:rsidRPr="003C38DE">
        <w:rPr>
          <w:iCs/>
          <w:sz w:val="24"/>
          <w:szCs w:val="24"/>
        </w:rPr>
        <w:t>PGP</w:t>
      </w:r>
      <w:r w:rsidR="00162AA2" w:rsidRPr="003C38DE">
        <w:rPr>
          <w:iCs/>
          <w:sz w:val="24"/>
          <w:szCs w:val="24"/>
        </w:rPr>
        <w:t>A</w:t>
      </w:r>
      <w:r w:rsidR="00B27B37" w:rsidRPr="003C38DE">
        <w:rPr>
          <w:iCs/>
          <w:sz w:val="24"/>
          <w:szCs w:val="24"/>
        </w:rPr>
        <w:t xml:space="preserve">A, </w:t>
      </w:r>
      <w:r w:rsidR="00162AA2" w:rsidRPr="003C38DE">
        <w:rPr>
          <w:sz w:val="24"/>
          <w:szCs w:val="24"/>
        </w:rPr>
        <w:t xml:space="preserve">a </w:t>
      </w:r>
      <w:r w:rsidR="00430310" w:rsidRPr="003C38DE">
        <w:rPr>
          <w:sz w:val="24"/>
          <w:szCs w:val="24"/>
        </w:rPr>
        <w:t>B</w:t>
      </w:r>
      <w:r w:rsidR="00DC6E15" w:rsidRPr="003C38DE">
        <w:rPr>
          <w:sz w:val="24"/>
          <w:szCs w:val="24"/>
        </w:rPr>
        <w:t>oard member</w:t>
      </w:r>
      <w:r w:rsidR="00287CFD" w:rsidRPr="003C38DE">
        <w:rPr>
          <w:sz w:val="24"/>
          <w:szCs w:val="24"/>
        </w:rPr>
        <w:t xml:space="preserve"> </w:t>
      </w:r>
      <w:r w:rsidR="00162AA2" w:rsidRPr="003C38DE">
        <w:rPr>
          <w:sz w:val="24"/>
          <w:szCs w:val="24"/>
        </w:rPr>
        <w:t xml:space="preserve">is </w:t>
      </w:r>
      <w:r w:rsidR="00287CFD" w:rsidRPr="003C38DE">
        <w:rPr>
          <w:sz w:val="24"/>
          <w:szCs w:val="24"/>
        </w:rPr>
        <w:t xml:space="preserve">taken not to have complied with section 29 of the </w:t>
      </w:r>
      <w:r w:rsidR="00B27B37" w:rsidRPr="003C38DE">
        <w:rPr>
          <w:iCs/>
          <w:sz w:val="24"/>
          <w:szCs w:val="24"/>
        </w:rPr>
        <w:t>PGPPA</w:t>
      </w:r>
      <w:r w:rsidR="00287CFD" w:rsidRPr="003C38DE">
        <w:rPr>
          <w:iCs/>
          <w:sz w:val="24"/>
          <w:szCs w:val="24"/>
        </w:rPr>
        <w:t xml:space="preserve"> </w:t>
      </w:r>
      <w:r w:rsidR="00B27B37" w:rsidRPr="003C38DE">
        <w:rPr>
          <w:sz w:val="24"/>
          <w:szCs w:val="24"/>
        </w:rPr>
        <w:t xml:space="preserve">if they do not comply with the requirements in subsection 15(2). This provision clarifies that failure to disclose in accordance with this section will also result in non-compliance under the PGPPA. </w:t>
      </w:r>
    </w:p>
    <w:p w14:paraId="4A5683CF" w14:textId="7A2CFD93" w:rsidR="00D0074D" w:rsidRPr="003C38DE" w:rsidRDefault="00D0074D" w:rsidP="00B633E4">
      <w:pPr>
        <w:pStyle w:val="ESPara"/>
        <w:numPr>
          <w:ilvl w:val="0"/>
          <w:numId w:val="0"/>
        </w:numPr>
        <w:ind w:left="360"/>
        <w:rPr>
          <w:sz w:val="24"/>
          <w:szCs w:val="24"/>
        </w:rPr>
      </w:pPr>
      <w:r w:rsidRPr="003C38DE">
        <w:rPr>
          <w:sz w:val="24"/>
          <w:szCs w:val="24"/>
        </w:rPr>
        <w:t>The purpose of t</w:t>
      </w:r>
      <w:r w:rsidR="00B27B37" w:rsidRPr="003C38DE">
        <w:rPr>
          <w:sz w:val="24"/>
          <w:szCs w:val="24"/>
        </w:rPr>
        <w:t>he disclosure requirements is to</w:t>
      </w:r>
      <w:r w:rsidRPr="003C38DE">
        <w:rPr>
          <w:sz w:val="24"/>
          <w:szCs w:val="24"/>
        </w:rPr>
        <w:t xml:space="preserve"> avoid </w:t>
      </w:r>
      <w:r w:rsidR="00B27B37" w:rsidRPr="003C38DE">
        <w:rPr>
          <w:sz w:val="24"/>
          <w:szCs w:val="24"/>
        </w:rPr>
        <w:t xml:space="preserve">or mitigate potential </w:t>
      </w:r>
      <w:r w:rsidRPr="003C38DE">
        <w:rPr>
          <w:sz w:val="24"/>
          <w:szCs w:val="24"/>
        </w:rPr>
        <w:t>conflicts of interest, wheth</w:t>
      </w:r>
      <w:r w:rsidR="00B27B37" w:rsidRPr="003C38DE">
        <w:rPr>
          <w:sz w:val="24"/>
          <w:szCs w:val="24"/>
        </w:rPr>
        <w:t xml:space="preserve">er real or perceived, </w:t>
      </w:r>
      <w:r w:rsidR="00162AA2" w:rsidRPr="003C38DE">
        <w:rPr>
          <w:sz w:val="24"/>
          <w:szCs w:val="24"/>
        </w:rPr>
        <w:t>between</w:t>
      </w:r>
      <w:r w:rsidR="00430310" w:rsidRPr="003C38DE">
        <w:rPr>
          <w:sz w:val="24"/>
          <w:szCs w:val="24"/>
        </w:rPr>
        <w:t xml:space="preserve"> </w:t>
      </w:r>
      <w:r w:rsidR="00162AA2" w:rsidRPr="003C38DE">
        <w:rPr>
          <w:sz w:val="24"/>
          <w:szCs w:val="24"/>
        </w:rPr>
        <w:t xml:space="preserve">a </w:t>
      </w:r>
      <w:r w:rsidR="00430310" w:rsidRPr="003C38DE">
        <w:rPr>
          <w:sz w:val="24"/>
          <w:szCs w:val="24"/>
        </w:rPr>
        <w:t>B</w:t>
      </w:r>
      <w:r w:rsidR="00DC6E15" w:rsidRPr="003C38DE">
        <w:rPr>
          <w:sz w:val="24"/>
          <w:szCs w:val="24"/>
        </w:rPr>
        <w:t>oard</w:t>
      </w:r>
      <w:r w:rsidR="00B27B37" w:rsidRPr="003C38DE">
        <w:rPr>
          <w:sz w:val="24"/>
          <w:szCs w:val="24"/>
        </w:rPr>
        <w:t xml:space="preserve"> member </w:t>
      </w:r>
      <w:r w:rsidR="003D1F9F" w:rsidRPr="003C38DE">
        <w:rPr>
          <w:sz w:val="24"/>
          <w:szCs w:val="24"/>
        </w:rPr>
        <w:t>and the work of the CIRB</w:t>
      </w:r>
      <w:r w:rsidR="00B27B37" w:rsidRPr="003C38DE">
        <w:rPr>
          <w:sz w:val="24"/>
          <w:szCs w:val="24"/>
        </w:rPr>
        <w:t xml:space="preserve">. Failure to disclose conflicts of interest in circumstances where the </w:t>
      </w:r>
      <w:r w:rsidR="00430310" w:rsidRPr="003C38DE">
        <w:rPr>
          <w:sz w:val="24"/>
          <w:szCs w:val="24"/>
        </w:rPr>
        <w:t>B</w:t>
      </w:r>
      <w:r w:rsidR="00DC6E15" w:rsidRPr="003C38DE">
        <w:rPr>
          <w:sz w:val="24"/>
          <w:szCs w:val="24"/>
        </w:rPr>
        <w:t xml:space="preserve">oard </w:t>
      </w:r>
      <w:r w:rsidR="00B27B37" w:rsidRPr="003C38DE">
        <w:rPr>
          <w:sz w:val="24"/>
          <w:szCs w:val="24"/>
        </w:rPr>
        <w:t xml:space="preserve">member has a personal or financial interest in a matter being reviewed by the CIRB may undermine public confidence in the CIRB.  </w:t>
      </w:r>
      <w:r w:rsidR="00E21BD1" w:rsidRPr="003C38DE">
        <w:rPr>
          <w:sz w:val="24"/>
          <w:szCs w:val="24"/>
        </w:rPr>
        <w:t xml:space="preserve">This provision also ensures that </w:t>
      </w:r>
      <w:r w:rsidR="00162AA2" w:rsidRPr="003C38DE">
        <w:rPr>
          <w:sz w:val="24"/>
          <w:szCs w:val="24"/>
        </w:rPr>
        <w:t>B</w:t>
      </w:r>
      <w:r w:rsidR="00DC6E15" w:rsidRPr="003C38DE">
        <w:rPr>
          <w:sz w:val="24"/>
          <w:szCs w:val="24"/>
        </w:rPr>
        <w:t>oard</w:t>
      </w:r>
      <w:r w:rsidR="00E21BD1" w:rsidRPr="003C38DE">
        <w:rPr>
          <w:sz w:val="24"/>
          <w:szCs w:val="24"/>
        </w:rPr>
        <w:t xml:space="preserve"> members are subject to the same reporting requirements as other Commonwealth officials.</w:t>
      </w:r>
    </w:p>
    <w:p w14:paraId="2B08F3D4" w14:textId="43512608" w:rsidR="0057492C" w:rsidRPr="003C38DE" w:rsidRDefault="0057492C">
      <w:pPr>
        <w:pStyle w:val="ESPara"/>
        <w:numPr>
          <w:ilvl w:val="0"/>
          <w:numId w:val="0"/>
        </w:numPr>
        <w:ind w:left="360"/>
        <w:rPr>
          <w:sz w:val="24"/>
          <w:szCs w:val="24"/>
        </w:rPr>
      </w:pPr>
      <w:r w:rsidRPr="003C38DE">
        <w:rPr>
          <w:sz w:val="24"/>
          <w:szCs w:val="24"/>
        </w:rPr>
        <w:t xml:space="preserve">Conflicts of interest are </w:t>
      </w:r>
      <w:r w:rsidR="009E764C" w:rsidRPr="003C38DE">
        <w:rPr>
          <w:sz w:val="24"/>
          <w:szCs w:val="24"/>
        </w:rPr>
        <w:t>a common feature</w:t>
      </w:r>
      <w:r w:rsidRPr="003C38DE">
        <w:rPr>
          <w:sz w:val="24"/>
          <w:szCs w:val="24"/>
        </w:rPr>
        <w:t xml:space="preserve"> of any corporate environment and may be realised without the fault of any individual. However, when the risks associated with conflict of interest are not appropriately managed, the independence and integrity of the</w:t>
      </w:r>
      <w:r w:rsidR="00B633E4" w:rsidRPr="003C38DE">
        <w:rPr>
          <w:sz w:val="24"/>
          <w:szCs w:val="24"/>
        </w:rPr>
        <w:t xml:space="preserve"> CIRB</w:t>
      </w:r>
      <w:r w:rsidRPr="003C38DE">
        <w:rPr>
          <w:sz w:val="24"/>
          <w:szCs w:val="24"/>
        </w:rPr>
        <w:t xml:space="preserve"> may be harmed.</w:t>
      </w:r>
      <w:r w:rsidR="00FB4D15" w:rsidRPr="003C38DE">
        <w:rPr>
          <w:sz w:val="24"/>
          <w:szCs w:val="24"/>
        </w:rPr>
        <w:t xml:space="preserve"> </w:t>
      </w:r>
      <w:r w:rsidRPr="003C38DE">
        <w:rPr>
          <w:sz w:val="24"/>
          <w:szCs w:val="24"/>
        </w:rPr>
        <w:t>The management of risks associate</w:t>
      </w:r>
      <w:r w:rsidR="00981F63" w:rsidRPr="003C38DE">
        <w:rPr>
          <w:sz w:val="24"/>
          <w:szCs w:val="24"/>
        </w:rPr>
        <w:t>d</w:t>
      </w:r>
      <w:r w:rsidRPr="003C38DE">
        <w:rPr>
          <w:sz w:val="24"/>
          <w:szCs w:val="24"/>
        </w:rPr>
        <w:t xml:space="preserve"> with any actual, potential or perceived conflicts of interest ensures the highest levels of integrity and public trust for the</w:t>
      </w:r>
      <w:r w:rsidR="00B633E4" w:rsidRPr="003C38DE">
        <w:rPr>
          <w:sz w:val="24"/>
          <w:szCs w:val="24"/>
        </w:rPr>
        <w:t xml:space="preserve"> CIRB</w:t>
      </w:r>
      <w:r w:rsidRPr="003C38DE">
        <w:rPr>
          <w:sz w:val="24"/>
          <w:szCs w:val="24"/>
        </w:rPr>
        <w:t>.</w:t>
      </w:r>
    </w:p>
    <w:p w14:paraId="07AA5DA1" w14:textId="3528F904" w:rsidR="0057492C" w:rsidRPr="003C38DE" w:rsidRDefault="0057492C" w:rsidP="00B633E4">
      <w:pPr>
        <w:pStyle w:val="ESPara"/>
        <w:numPr>
          <w:ilvl w:val="0"/>
          <w:numId w:val="0"/>
        </w:numPr>
        <w:ind w:left="360"/>
        <w:rPr>
          <w:sz w:val="24"/>
          <w:szCs w:val="24"/>
        </w:rPr>
      </w:pPr>
      <w:r w:rsidRPr="003C38DE">
        <w:rPr>
          <w:sz w:val="24"/>
          <w:szCs w:val="24"/>
        </w:rPr>
        <w:t>Pecuniary interests, including actual, potential, or perceived financial gain or loss, include</w:t>
      </w:r>
      <w:r w:rsidR="00981F63" w:rsidRPr="003C38DE">
        <w:rPr>
          <w:sz w:val="24"/>
          <w:szCs w:val="24"/>
        </w:rPr>
        <w:t>s</w:t>
      </w:r>
      <w:r w:rsidRPr="003C38DE">
        <w:rPr>
          <w:sz w:val="24"/>
          <w:szCs w:val="24"/>
        </w:rPr>
        <w:t xml:space="preserve"> but is not limited to offices held in a corporation or other entity, shares or other business interests or property. Money does not need to change hands to enliven a pecuniary interest. The interest also exists if it is direct (is held by the </w:t>
      </w:r>
      <w:r w:rsidR="00B633E4" w:rsidRPr="003C38DE">
        <w:rPr>
          <w:sz w:val="24"/>
          <w:szCs w:val="24"/>
        </w:rPr>
        <w:t>b</w:t>
      </w:r>
      <w:r w:rsidRPr="003C38DE">
        <w:rPr>
          <w:sz w:val="24"/>
          <w:szCs w:val="24"/>
        </w:rPr>
        <w:t xml:space="preserve">oard member) or indirect (held by a relative or close associate). </w:t>
      </w:r>
    </w:p>
    <w:p w14:paraId="5D226C7F" w14:textId="42871C2B" w:rsidR="0057492C" w:rsidRPr="003C38DE" w:rsidRDefault="0057492C" w:rsidP="00B633E4">
      <w:pPr>
        <w:pStyle w:val="ESPara"/>
        <w:numPr>
          <w:ilvl w:val="0"/>
          <w:numId w:val="0"/>
        </w:numPr>
        <w:ind w:left="360"/>
        <w:rPr>
          <w:sz w:val="24"/>
          <w:szCs w:val="24"/>
        </w:rPr>
      </w:pPr>
      <w:r w:rsidRPr="003C38DE">
        <w:rPr>
          <w:sz w:val="24"/>
          <w:szCs w:val="24"/>
        </w:rPr>
        <w:t>Non-pecuniary interests may arise from personal or family relationships or from involvement in sporting, social, or cultural activities</w:t>
      </w:r>
      <w:r w:rsidR="00FB4D15" w:rsidRPr="003C38DE">
        <w:rPr>
          <w:sz w:val="24"/>
          <w:szCs w:val="24"/>
        </w:rPr>
        <w:t>.</w:t>
      </w:r>
    </w:p>
    <w:p w14:paraId="1B9167E3" w14:textId="5099F9FA" w:rsidR="00325E14" w:rsidRPr="003C38DE" w:rsidRDefault="00287CFD" w:rsidP="003C38DE">
      <w:pPr>
        <w:pStyle w:val="ESAttHeading"/>
        <w:widowControl w:val="0"/>
        <w:rPr>
          <w:sz w:val="24"/>
          <w:szCs w:val="24"/>
        </w:rPr>
      </w:pPr>
      <w:r w:rsidRPr="003C38DE">
        <w:rPr>
          <w:sz w:val="24"/>
          <w:szCs w:val="24"/>
        </w:rPr>
        <w:lastRenderedPageBreak/>
        <w:t>Section 16</w:t>
      </w:r>
      <w:r w:rsidR="00325E14" w:rsidRPr="003C38DE">
        <w:rPr>
          <w:sz w:val="24"/>
          <w:szCs w:val="24"/>
        </w:rPr>
        <w:tab/>
        <w:t>Disclosure of i</w:t>
      </w:r>
      <w:bookmarkStart w:id="0" w:name="_GoBack"/>
      <w:bookmarkEnd w:id="0"/>
      <w:r w:rsidR="00325E14" w:rsidRPr="003C38DE">
        <w:rPr>
          <w:sz w:val="24"/>
          <w:szCs w:val="24"/>
        </w:rPr>
        <w:t>nterests to the Board</w:t>
      </w:r>
    </w:p>
    <w:p w14:paraId="3E17C86F" w14:textId="688BB4EC" w:rsidR="009B195E" w:rsidRPr="003C38DE" w:rsidRDefault="00D675AC" w:rsidP="00360638">
      <w:pPr>
        <w:pStyle w:val="ESPara"/>
        <w:numPr>
          <w:ilvl w:val="0"/>
          <w:numId w:val="0"/>
        </w:numPr>
        <w:ind w:left="360"/>
        <w:rPr>
          <w:sz w:val="24"/>
          <w:szCs w:val="24"/>
        </w:rPr>
      </w:pPr>
      <w:r w:rsidRPr="003C38DE">
        <w:rPr>
          <w:sz w:val="24"/>
          <w:szCs w:val="24"/>
        </w:rPr>
        <w:t>Secti</w:t>
      </w:r>
      <w:r w:rsidR="00DC6E15" w:rsidRPr="003C38DE">
        <w:rPr>
          <w:sz w:val="24"/>
          <w:szCs w:val="24"/>
        </w:rPr>
        <w:t xml:space="preserve">on 16 prescribes how and when </w:t>
      </w:r>
      <w:r w:rsidR="00162AA2" w:rsidRPr="003C38DE">
        <w:rPr>
          <w:sz w:val="24"/>
          <w:szCs w:val="24"/>
        </w:rPr>
        <w:t xml:space="preserve">a </w:t>
      </w:r>
      <w:r w:rsidR="00430310" w:rsidRPr="003C38DE">
        <w:rPr>
          <w:sz w:val="24"/>
          <w:szCs w:val="24"/>
        </w:rPr>
        <w:t>B</w:t>
      </w:r>
      <w:r w:rsidR="003D1F9F" w:rsidRPr="003C38DE">
        <w:rPr>
          <w:sz w:val="24"/>
          <w:szCs w:val="24"/>
        </w:rPr>
        <w:t>oard member</w:t>
      </w:r>
      <w:r w:rsidR="00DC6E15" w:rsidRPr="003C38DE">
        <w:rPr>
          <w:sz w:val="24"/>
          <w:szCs w:val="24"/>
        </w:rPr>
        <w:t xml:space="preserve"> </w:t>
      </w:r>
      <w:r w:rsidR="00E21BD1" w:rsidRPr="003C38DE">
        <w:rPr>
          <w:sz w:val="24"/>
          <w:szCs w:val="24"/>
        </w:rPr>
        <w:t>must make a disclosure</w:t>
      </w:r>
      <w:r w:rsidRPr="003C38DE">
        <w:rPr>
          <w:sz w:val="24"/>
          <w:szCs w:val="24"/>
        </w:rPr>
        <w:t xml:space="preserve"> of interest </w:t>
      </w:r>
      <w:r w:rsidR="00E21BD1" w:rsidRPr="003C38DE">
        <w:rPr>
          <w:sz w:val="24"/>
          <w:szCs w:val="24"/>
        </w:rPr>
        <w:t>to the CIRB and the process that must be followed following that disclosure. This section is made for the purpose of paragraph 69(1)(e) of the Act</w:t>
      </w:r>
      <w:r w:rsidR="00DC6E15" w:rsidRPr="003C38DE">
        <w:rPr>
          <w:sz w:val="24"/>
          <w:szCs w:val="24"/>
        </w:rPr>
        <w:t>.</w:t>
      </w:r>
    </w:p>
    <w:p w14:paraId="1E7D2497" w14:textId="41DE5BC7" w:rsidR="008367A6" w:rsidRPr="003C38DE" w:rsidRDefault="00D675AC" w:rsidP="00360638">
      <w:pPr>
        <w:pStyle w:val="ESPara"/>
        <w:numPr>
          <w:ilvl w:val="0"/>
          <w:numId w:val="0"/>
        </w:numPr>
        <w:ind w:left="360"/>
        <w:rPr>
          <w:sz w:val="24"/>
          <w:szCs w:val="24"/>
        </w:rPr>
      </w:pPr>
      <w:r w:rsidRPr="003C38DE">
        <w:rPr>
          <w:sz w:val="24"/>
          <w:szCs w:val="24"/>
        </w:rPr>
        <w:t>Subsection 16(1) pr</w:t>
      </w:r>
      <w:r w:rsidR="00B71299" w:rsidRPr="003C38DE">
        <w:rPr>
          <w:sz w:val="24"/>
          <w:szCs w:val="24"/>
        </w:rPr>
        <w:t>ovides</w:t>
      </w:r>
      <w:r w:rsidRPr="003C38DE">
        <w:rPr>
          <w:sz w:val="24"/>
          <w:szCs w:val="24"/>
        </w:rPr>
        <w:t xml:space="preserve"> that </w:t>
      </w:r>
      <w:r w:rsidR="00AA2B4C" w:rsidRPr="003C38DE">
        <w:rPr>
          <w:sz w:val="24"/>
          <w:szCs w:val="24"/>
        </w:rPr>
        <w:t xml:space="preserve">a </w:t>
      </w:r>
      <w:r w:rsidR="00430310" w:rsidRPr="003C38DE">
        <w:rPr>
          <w:sz w:val="24"/>
          <w:szCs w:val="24"/>
        </w:rPr>
        <w:t>B</w:t>
      </w:r>
      <w:r w:rsidR="003D1F9F" w:rsidRPr="003C38DE">
        <w:rPr>
          <w:sz w:val="24"/>
          <w:szCs w:val="24"/>
        </w:rPr>
        <w:t>oard member</w:t>
      </w:r>
      <w:r w:rsidR="00AA2B4C" w:rsidRPr="003C38DE">
        <w:rPr>
          <w:sz w:val="24"/>
          <w:szCs w:val="24"/>
        </w:rPr>
        <w:t xml:space="preserve"> who has an interest, pecuniary or otherwise, in a matter being considered, or about to be considered, by the </w:t>
      </w:r>
      <w:r w:rsidR="00E21BD1" w:rsidRPr="003C38DE">
        <w:rPr>
          <w:sz w:val="24"/>
          <w:szCs w:val="24"/>
        </w:rPr>
        <w:t xml:space="preserve">CIRB </w:t>
      </w:r>
      <w:r w:rsidR="00AA2B4C" w:rsidRPr="003C38DE">
        <w:rPr>
          <w:sz w:val="24"/>
          <w:szCs w:val="24"/>
        </w:rPr>
        <w:t xml:space="preserve">in a review conducted under section 46 of the Act must disclose the nature of the interest to the </w:t>
      </w:r>
      <w:r w:rsidR="003D1F9F" w:rsidRPr="003C38DE">
        <w:rPr>
          <w:sz w:val="24"/>
          <w:szCs w:val="24"/>
        </w:rPr>
        <w:t>CIRB.</w:t>
      </w:r>
      <w:r w:rsidRPr="003C38DE">
        <w:rPr>
          <w:sz w:val="24"/>
          <w:szCs w:val="24"/>
        </w:rPr>
        <w:t xml:space="preserve"> </w:t>
      </w:r>
    </w:p>
    <w:p w14:paraId="1FDF99AF" w14:textId="718B8C6D" w:rsidR="00AA2B4C" w:rsidRPr="003C38DE" w:rsidRDefault="00D675AC" w:rsidP="00360638">
      <w:pPr>
        <w:pStyle w:val="ESPara"/>
        <w:numPr>
          <w:ilvl w:val="0"/>
          <w:numId w:val="0"/>
        </w:numPr>
        <w:ind w:left="360"/>
        <w:rPr>
          <w:sz w:val="24"/>
          <w:szCs w:val="24"/>
        </w:rPr>
      </w:pPr>
      <w:r w:rsidRPr="003C38DE">
        <w:rPr>
          <w:sz w:val="24"/>
          <w:szCs w:val="24"/>
        </w:rPr>
        <w:t>Subsection 1</w:t>
      </w:r>
      <w:r w:rsidR="00B71299" w:rsidRPr="003C38DE">
        <w:rPr>
          <w:sz w:val="24"/>
          <w:szCs w:val="24"/>
        </w:rPr>
        <w:t>6(2) provides</w:t>
      </w:r>
      <w:r w:rsidRPr="003C38DE">
        <w:rPr>
          <w:sz w:val="24"/>
          <w:szCs w:val="24"/>
        </w:rPr>
        <w:t xml:space="preserve"> that </w:t>
      </w:r>
      <w:r w:rsidR="00AA2B4C" w:rsidRPr="003C38DE">
        <w:rPr>
          <w:sz w:val="24"/>
          <w:szCs w:val="24"/>
        </w:rPr>
        <w:t>the disclosure must be made as soon as possible after the relevant facts have come to the</w:t>
      </w:r>
      <w:r w:rsidR="00430310" w:rsidRPr="003C38DE">
        <w:rPr>
          <w:sz w:val="24"/>
          <w:szCs w:val="24"/>
        </w:rPr>
        <w:t xml:space="preserve"> B</w:t>
      </w:r>
      <w:r w:rsidR="003D1F9F" w:rsidRPr="003C38DE">
        <w:rPr>
          <w:sz w:val="24"/>
          <w:szCs w:val="24"/>
        </w:rPr>
        <w:t>oard</w:t>
      </w:r>
      <w:r w:rsidR="00E21BD1" w:rsidRPr="003C38DE">
        <w:rPr>
          <w:sz w:val="24"/>
          <w:szCs w:val="24"/>
        </w:rPr>
        <w:t xml:space="preserve"> </w:t>
      </w:r>
      <w:r w:rsidR="00AA2B4C" w:rsidRPr="003C38DE">
        <w:rPr>
          <w:sz w:val="24"/>
          <w:szCs w:val="24"/>
        </w:rPr>
        <w:t>member’s knowledge.</w:t>
      </w:r>
    </w:p>
    <w:p w14:paraId="75A40BD7" w14:textId="2C64A58C" w:rsidR="00FF1D7B" w:rsidRPr="003C38DE" w:rsidRDefault="00D675AC" w:rsidP="00360638">
      <w:pPr>
        <w:pStyle w:val="ESPara"/>
        <w:numPr>
          <w:ilvl w:val="0"/>
          <w:numId w:val="0"/>
        </w:numPr>
        <w:ind w:left="360"/>
        <w:rPr>
          <w:sz w:val="24"/>
          <w:szCs w:val="24"/>
        </w:rPr>
      </w:pPr>
      <w:r w:rsidRPr="003C38DE">
        <w:rPr>
          <w:sz w:val="24"/>
          <w:szCs w:val="24"/>
        </w:rPr>
        <w:t xml:space="preserve">Subsection 16(3) </w:t>
      </w:r>
      <w:r w:rsidR="00B71299" w:rsidRPr="003C38DE">
        <w:rPr>
          <w:sz w:val="24"/>
          <w:szCs w:val="24"/>
        </w:rPr>
        <w:t xml:space="preserve">provides </w:t>
      </w:r>
      <w:r w:rsidR="00162AA2" w:rsidRPr="003C38DE">
        <w:rPr>
          <w:sz w:val="24"/>
          <w:szCs w:val="24"/>
        </w:rPr>
        <w:t xml:space="preserve">the </w:t>
      </w:r>
      <w:r w:rsidR="00E21BD1" w:rsidRPr="003C38DE">
        <w:rPr>
          <w:sz w:val="24"/>
          <w:szCs w:val="24"/>
        </w:rPr>
        <w:t>requirement</w:t>
      </w:r>
      <w:r w:rsidR="00B71299" w:rsidRPr="003C38DE">
        <w:rPr>
          <w:sz w:val="24"/>
          <w:szCs w:val="24"/>
        </w:rPr>
        <w:t xml:space="preserve"> for recording the disclosure following the disclosure of the </w:t>
      </w:r>
      <w:r w:rsidR="00430310" w:rsidRPr="003C38DE">
        <w:rPr>
          <w:sz w:val="24"/>
          <w:szCs w:val="24"/>
        </w:rPr>
        <w:t>B</w:t>
      </w:r>
      <w:r w:rsidR="003D1F9F" w:rsidRPr="003C38DE">
        <w:rPr>
          <w:sz w:val="24"/>
          <w:szCs w:val="24"/>
        </w:rPr>
        <w:t xml:space="preserve">oard </w:t>
      </w:r>
      <w:r w:rsidR="00B71299" w:rsidRPr="003C38DE">
        <w:rPr>
          <w:sz w:val="24"/>
          <w:szCs w:val="24"/>
        </w:rPr>
        <w:t>member’</w:t>
      </w:r>
      <w:r w:rsidR="00162AA2" w:rsidRPr="003C38DE">
        <w:rPr>
          <w:sz w:val="24"/>
          <w:szCs w:val="24"/>
        </w:rPr>
        <w:t>s</w:t>
      </w:r>
      <w:r w:rsidR="00B71299" w:rsidRPr="003C38DE">
        <w:rPr>
          <w:sz w:val="24"/>
          <w:szCs w:val="24"/>
        </w:rPr>
        <w:t xml:space="preserve"> interest. This subsection provides, where a disclosure has been made during a meeting of the CIRB, the disclosure </w:t>
      </w:r>
      <w:r w:rsidR="003D1F9F" w:rsidRPr="003C38DE">
        <w:rPr>
          <w:sz w:val="24"/>
          <w:szCs w:val="24"/>
        </w:rPr>
        <w:t xml:space="preserve">must </w:t>
      </w:r>
      <w:r w:rsidR="00B71299" w:rsidRPr="003C38DE">
        <w:rPr>
          <w:sz w:val="24"/>
          <w:szCs w:val="24"/>
        </w:rPr>
        <w:t xml:space="preserve">be recorded in the meeting’s minutes. This </w:t>
      </w:r>
      <w:r w:rsidR="003D1F9F" w:rsidRPr="003C38DE">
        <w:rPr>
          <w:sz w:val="24"/>
          <w:szCs w:val="24"/>
        </w:rPr>
        <w:t>sub</w:t>
      </w:r>
      <w:r w:rsidR="00B71299" w:rsidRPr="003C38DE">
        <w:rPr>
          <w:sz w:val="24"/>
          <w:szCs w:val="24"/>
        </w:rPr>
        <w:t xml:space="preserve">section further provides that if the disclosure is made in circumstances other than at a meeting of the CIRB, it must be recorded in the minutes of the next meeting of the CIRB after the disclosure is made.  </w:t>
      </w:r>
    </w:p>
    <w:p w14:paraId="05E19736" w14:textId="2C2FAB1A" w:rsidR="00FF1D7B" w:rsidRPr="003C38DE" w:rsidRDefault="00D675AC" w:rsidP="00360638">
      <w:pPr>
        <w:pStyle w:val="ESPara"/>
        <w:numPr>
          <w:ilvl w:val="0"/>
          <w:numId w:val="0"/>
        </w:numPr>
        <w:ind w:left="360"/>
        <w:rPr>
          <w:sz w:val="24"/>
          <w:szCs w:val="24"/>
        </w:rPr>
      </w:pPr>
      <w:r w:rsidRPr="003C38DE">
        <w:rPr>
          <w:sz w:val="24"/>
          <w:szCs w:val="24"/>
        </w:rPr>
        <w:t xml:space="preserve">Subsection 16(4) </w:t>
      </w:r>
      <w:r w:rsidR="00FF1D7B" w:rsidRPr="003C38DE">
        <w:rPr>
          <w:sz w:val="24"/>
          <w:szCs w:val="24"/>
        </w:rPr>
        <w:t>provides</w:t>
      </w:r>
      <w:r w:rsidR="00B71299" w:rsidRPr="003C38DE">
        <w:rPr>
          <w:sz w:val="24"/>
          <w:szCs w:val="24"/>
        </w:rPr>
        <w:t xml:space="preserve"> requirements for the conduct of the CIRB following the disclosure by the </w:t>
      </w:r>
      <w:r w:rsidR="00430310" w:rsidRPr="003C38DE">
        <w:rPr>
          <w:sz w:val="24"/>
          <w:szCs w:val="24"/>
        </w:rPr>
        <w:t>B</w:t>
      </w:r>
      <w:r w:rsidR="003D1F9F" w:rsidRPr="003C38DE">
        <w:rPr>
          <w:sz w:val="24"/>
          <w:szCs w:val="24"/>
        </w:rPr>
        <w:t xml:space="preserve">oard </w:t>
      </w:r>
      <w:r w:rsidR="00B71299" w:rsidRPr="003C38DE">
        <w:rPr>
          <w:sz w:val="24"/>
          <w:szCs w:val="24"/>
        </w:rPr>
        <w:t xml:space="preserve">member. It provides that unless the CIRB determines otherwise, the </w:t>
      </w:r>
      <w:r w:rsidR="00162AA2" w:rsidRPr="003C38DE">
        <w:rPr>
          <w:sz w:val="24"/>
          <w:szCs w:val="24"/>
        </w:rPr>
        <w:t>B</w:t>
      </w:r>
      <w:r w:rsidR="003D1F9F" w:rsidRPr="003C38DE">
        <w:rPr>
          <w:sz w:val="24"/>
          <w:szCs w:val="24"/>
        </w:rPr>
        <w:t xml:space="preserve">oard </w:t>
      </w:r>
      <w:r w:rsidR="00B71299" w:rsidRPr="003C38DE">
        <w:rPr>
          <w:sz w:val="24"/>
          <w:szCs w:val="24"/>
        </w:rPr>
        <w:t xml:space="preserve">member who made the disclosure must not </w:t>
      </w:r>
      <w:r w:rsidR="00FF1D7B" w:rsidRPr="003C38DE">
        <w:rPr>
          <w:sz w:val="24"/>
          <w:szCs w:val="24"/>
        </w:rPr>
        <w:t>be present during any deliberat</w:t>
      </w:r>
      <w:r w:rsidRPr="003C38DE">
        <w:rPr>
          <w:sz w:val="24"/>
          <w:szCs w:val="24"/>
        </w:rPr>
        <w:t xml:space="preserve">ion by the </w:t>
      </w:r>
      <w:r w:rsidR="00B71299" w:rsidRPr="003C38DE">
        <w:rPr>
          <w:sz w:val="24"/>
          <w:szCs w:val="24"/>
        </w:rPr>
        <w:t xml:space="preserve">CIRB </w:t>
      </w:r>
      <w:r w:rsidRPr="003C38DE">
        <w:rPr>
          <w:sz w:val="24"/>
          <w:szCs w:val="24"/>
        </w:rPr>
        <w:t xml:space="preserve">on the matter </w:t>
      </w:r>
      <w:r w:rsidR="00523FA5" w:rsidRPr="003C38DE">
        <w:rPr>
          <w:sz w:val="24"/>
          <w:szCs w:val="24"/>
        </w:rPr>
        <w:t xml:space="preserve">they have declared an interest in </w:t>
      </w:r>
      <w:r w:rsidR="00FF1D7B" w:rsidRPr="003C38DE">
        <w:rPr>
          <w:sz w:val="24"/>
          <w:szCs w:val="24"/>
        </w:rPr>
        <w:t xml:space="preserve">and must not take part in any decision of the </w:t>
      </w:r>
      <w:r w:rsidR="00B71299" w:rsidRPr="003C38DE">
        <w:rPr>
          <w:sz w:val="24"/>
          <w:szCs w:val="24"/>
        </w:rPr>
        <w:t xml:space="preserve">CIRB </w:t>
      </w:r>
      <w:r w:rsidR="00FF1D7B" w:rsidRPr="003C38DE">
        <w:rPr>
          <w:sz w:val="24"/>
          <w:szCs w:val="24"/>
        </w:rPr>
        <w:t>with respect to the matter.</w:t>
      </w:r>
      <w:r w:rsidR="00523FA5" w:rsidRPr="003C38DE">
        <w:rPr>
          <w:sz w:val="24"/>
          <w:szCs w:val="24"/>
        </w:rPr>
        <w:t xml:space="preserve"> </w:t>
      </w:r>
    </w:p>
    <w:p w14:paraId="0FF2ECC2" w14:textId="0D22DB5E" w:rsidR="00FF1D7B" w:rsidRPr="003C38DE" w:rsidRDefault="00D675AC" w:rsidP="00360638">
      <w:pPr>
        <w:pStyle w:val="ESPara"/>
        <w:numPr>
          <w:ilvl w:val="0"/>
          <w:numId w:val="0"/>
        </w:numPr>
        <w:ind w:left="360"/>
        <w:rPr>
          <w:sz w:val="24"/>
          <w:szCs w:val="24"/>
        </w:rPr>
      </w:pPr>
      <w:r w:rsidRPr="003C38DE">
        <w:rPr>
          <w:sz w:val="24"/>
          <w:szCs w:val="24"/>
        </w:rPr>
        <w:t xml:space="preserve">Subsection 16(5) </w:t>
      </w:r>
      <w:r w:rsidR="00FF1D7B" w:rsidRPr="003C38DE">
        <w:rPr>
          <w:sz w:val="24"/>
          <w:szCs w:val="24"/>
        </w:rPr>
        <w:t>provides</w:t>
      </w:r>
      <w:r w:rsidR="00B71299" w:rsidRPr="003C38DE">
        <w:rPr>
          <w:sz w:val="24"/>
          <w:szCs w:val="24"/>
        </w:rPr>
        <w:t xml:space="preserve"> further requirements relating to the decision to exclude a </w:t>
      </w:r>
      <w:r w:rsidR="00430310" w:rsidRPr="003C38DE">
        <w:rPr>
          <w:sz w:val="24"/>
          <w:szCs w:val="24"/>
        </w:rPr>
        <w:t>B</w:t>
      </w:r>
      <w:r w:rsidR="003D1F9F" w:rsidRPr="003C38DE">
        <w:rPr>
          <w:sz w:val="24"/>
          <w:szCs w:val="24"/>
        </w:rPr>
        <w:t>oard</w:t>
      </w:r>
      <w:r w:rsidR="00B71299" w:rsidRPr="003C38DE">
        <w:rPr>
          <w:sz w:val="24"/>
          <w:szCs w:val="24"/>
        </w:rPr>
        <w:t xml:space="preserve"> member who made the disclosure for the purpose of </w:t>
      </w:r>
      <w:r w:rsidR="00767D81" w:rsidRPr="003C38DE">
        <w:rPr>
          <w:sz w:val="24"/>
          <w:szCs w:val="24"/>
        </w:rPr>
        <w:t xml:space="preserve">subsection </w:t>
      </w:r>
      <w:r w:rsidR="00B71299" w:rsidRPr="003C38DE">
        <w:rPr>
          <w:sz w:val="24"/>
          <w:szCs w:val="24"/>
        </w:rPr>
        <w:t>1</w:t>
      </w:r>
      <w:r w:rsidR="00BB0A6B" w:rsidRPr="003C38DE">
        <w:rPr>
          <w:sz w:val="24"/>
          <w:szCs w:val="24"/>
        </w:rPr>
        <w:t>6</w:t>
      </w:r>
      <w:r w:rsidR="00B71299" w:rsidRPr="003C38DE">
        <w:rPr>
          <w:sz w:val="24"/>
          <w:szCs w:val="24"/>
        </w:rPr>
        <w:t>(4). Subsection 1</w:t>
      </w:r>
      <w:r w:rsidR="00BB0A6B" w:rsidRPr="003C38DE">
        <w:rPr>
          <w:sz w:val="24"/>
          <w:szCs w:val="24"/>
        </w:rPr>
        <w:t>6</w:t>
      </w:r>
      <w:r w:rsidR="00B71299" w:rsidRPr="003C38DE">
        <w:rPr>
          <w:sz w:val="24"/>
          <w:szCs w:val="24"/>
        </w:rPr>
        <w:t xml:space="preserve">(5) requires the </w:t>
      </w:r>
      <w:r w:rsidR="00430310" w:rsidRPr="003C38DE">
        <w:rPr>
          <w:sz w:val="24"/>
          <w:szCs w:val="24"/>
        </w:rPr>
        <w:t>B</w:t>
      </w:r>
      <w:r w:rsidR="003D1F9F" w:rsidRPr="003C38DE">
        <w:rPr>
          <w:sz w:val="24"/>
          <w:szCs w:val="24"/>
        </w:rPr>
        <w:t>oard member</w:t>
      </w:r>
      <w:r w:rsidR="00B71299" w:rsidRPr="003C38DE">
        <w:rPr>
          <w:sz w:val="24"/>
          <w:szCs w:val="24"/>
        </w:rPr>
        <w:t xml:space="preserve"> who made the disclosure to not </w:t>
      </w:r>
      <w:r w:rsidR="00767D81" w:rsidRPr="003C38DE">
        <w:rPr>
          <w:sz w:val="24"/>
          <w:szCs w:val="24"/>
        </w:rPr>
        <w:t xml:space="preserve">be present during any deliberation of the </w:t>
      </w:r>
      <w:r w:rsidR="00B71299" w:rsidRPr="003C38DE">
        <w:rPr>
          <w:sz w:val="24"/>
          <w:szCs w:val="24"/>
        </w:rPr>
        <w:t>CIRB, and to no</w:t>
      </w:r>
      <w:r w:rsidR="00523FA5" w:rsidRPr="003C38DE">
        <w:rPr>
          <w:sz w:val="24"/>
          <w:szCs w:val="24"/>
        </w:rPr>
        <w:t xml:space="preserve">t take part in the </w:t>
      </w:r>
      <w:r w:rsidR="00BB0A6B" w:rsidRPr="003C38DE">
        <w:rPr>
          <w:sz w:val="24"/>
          <w:szCs w:val="24"/>
        </w:rPr>
        <w:t>making of the determination</w:t>
      </w:r>
      <w:r w:rsidR="00523FA5" w:rsidRPr="003C38DE">
        <w:rPr>
          <w:sz w:val="24"/>
          <w:szCs w:val="24"/>
        </w:rPr>
        <w:t xml:space="preserve">. The purpose of this subsection is to ensure that </w:t>
      </w:r>
      <w:r w:rsidR="00430310" w:rsidRPr="003C38DE">
        <w:rPr>
          <w:sz w:val="24"/>
          <w:szCs w:val="24"/>
        </w:rPr>
        <w:t>the B</w:t>
      </w:r>
      <w:r w:rsidR="003D1F9F" w:rsidRPr="003C38DE">
        <w:rPr>
          <w:sz w:val="24"/>
          <w:szCs w:val="24"/>
        </w:rPr>
        <w:t xml:space="preserve">oard </w:t>
      </w:r>
      <w:r w:rsidR="00523FA5" w:rsidRPr="003C38DE">
        <w:rPr>
          <w:sz w:val="24"/>
          <w:szCs w:val="24"/>
        </w:rPr>
        <w:t>member who made the disclosure cannot influence the decision by the CIRB relating to their participation in discussions about the matter they have declare</w:t>
      </w:r>
      <w:r w:rsidR="003D1F9F" w:rsidRPr="003C38DE">
        <w:rPr>
          <w:sz w:val="24"/>
          <w:szCs w:val="24"/>
        </w:rPr>
        <w:t>d</w:t>
      </w:r>
      <w:r w:rsidR="00523FA5" w:rsidRPr="003C38DE">
        <w:rPr>
          <w:sz w:val="24"/>
          <w:szCs w:val="24"/>
        </w:rPr>
        <w:t xml:space="preserve"> an interest in. </w:t>
      </w:r>
    </w:p>
    <w:p w14:paraId="471949E7" w14:textId="0D46624B" w:rsidR="00162AA2" w:rsidRPr="003C38DE" w:rsidRDefault="00D675AC" w:rsidP="000756AF">
      <w:pPr>
        <w:pStyle w:val="ESPara"/>
        <w:numPr>
          <w:ilvl w:val="0"/>
          <w:numId w:val="0"/>
        </w:numPr>
        <w:ind w:left="360"/>
        <w:rPr>
          <w:sz w:val="24"/>
          <w:szCs w:val="24"/>
        </w:rPr>
      </w:pPr>
      <w:r w:rsidRPr="003C38DE">
        <w:rPr>
          <w:sz w:val="24"/>
          <w:szCs w:val="24"/>
        </w:rPr>
        <w:t xml:space="preserve">Subsection 16(6) </w:t>
      </w:r>
      <w:r w:rsidR="00767D81" w:rsidRPr="003C38DE">
        <w:rPr>
          <w:sz w:val="24"/>
          <w:szCs w:val="24"/>
        </w:rPr>
        <w:t xml:space="preserve">provides that a </w:t>
      </w:r>
      <w:r w:rsidR="00523FA5" w:rsidRPr="003C38DE">
        <w:rPr>
          <w:sz w:val="24"/>
          <w:szCs w:val="24"/>
        </w:rPr>
        <w:t>decision</w:t>
      </w:r>
      <w:r w:rsidR="00767D81" w:rsidRPr="003C38DE">
        <w:rPr>
          <w:sz w:val="24"/>
          <w:szCs w:val="24"/>
        </w:rPr>
        <w:t xml:space="preserve"> under subsection </w:t>
      </w:r>
      <w:r w:rsidR="00523FA5" w:rsidRPr="003C38DE">
        <w:rPr>
          <w:sz w:val="24"/>
          <w:szCs w:val="24"/>
        </w:rPr>
        <w:t>1</w:t>
      </w:r>
      <w:r w:rsidR="00BB0A6B" w:rsidRPr="003C38DE">
        <w:rPr>
          <w:sz w:val="24"/>
          <w:szCs w:val="24"/>
        </w:rPr>
        <w:t>6</w:t>
      </w:r>
      <w:r w:rsidR="00767D81" w:rsidRPr="003C38DE">
        <w:rPr>
          <w:sz w:val="24"/>
          <w:szCs w:val="24"/>
        </w:rPr>
        <w:t xml:space="preserve">(4) </w:t>
      </w:r>
      <w:r w:rsidR="00523FA5" w:rsidRPr="003C38DE">
        <w:rPr>
          <w:sz w:val="24"/>
          <w:szCs w:val="24"/>
        </w:rPr>
        <w:t>to either exclude or allow the</w:t>
      </w:r>
      <w:r w:rsidR="00430310" w:rsidRPr="003C38DE">
        <w:rPr>
          <w:sz w:val="24"/>
          <w:szCs w:val="24"/>
        </w:rPr>
        <w:t xml:space="preserve"> B</w:t>
      </w:r>
      <w:r w:rsidR="003D1F9F" w:rsidRPr="003C38DE">
        <w:rPr>
          <w:sz w:val="24"/>
          <w:szCs w:val="24"/>
        </w:rPr>
        <w:t>oard</w:t>
      </w:r>
      <w:r w:rsidR="00523FA5" w:rsidRPr="003C38DE">
        <w:rPr>
          <w:sz w:val="24"/>
          <w:szCs w:val="24"/>
        </w:rPr>
        <w:t xml:space="preserve"> member who made the disclosure to participate, </w:t>
      </w:r>
      <w:r w:rsidR="00767D81" w:rsidRPr="003C38DE">
        <w:rPr>
          <w:sz w:val="24"/>
          <w:szCs w:val="24"/>
        </w:rPr>
        <w:t xml:space="preserve">must be recorded in the minutes of the meeting of the </w:t>
      </w:r>
      <w:r w:rsidR="00523FA5" w:rsidRPr="003C38DE">
        <w:rPr>
          <w:sz w:val="24"/>
          <w:szCs w:val="24"/>
        </w:rPr>
        <w:t xml:space="preserve">CIRB. </w:t>
      </w:r>
    </w:p>
    <w:p w14:paraId="096A9C9B" w14:textId="377C91A8" w:rsidR="003D1F9F" w:rsidRPr="003C38DE" w:rsidRDefault="00523FA5" w:rsidP="000756AF">
      <w:pPr>
        <w:pStyle w:val="ESPara"/>
        <w:numPr>
          <w:ilvl w:val="0"/>
          <w:numId w:val="0"/>
        </w:numPr>
        <w:ind w:left="360"/>
        <w:rPr>
          <w:sz w:val="24"/>
          <w:szCs w:val="24"/>
        </w:rPr>
      </w:pPr>
      <w:r w:rsidRPr="003C38DE">
        <w:rPr>
          <w:sz w:val="24"/>
          <w:szCs w:val="24"/>
        </w:rPr>
        <w:t>Similar to the disclosure requirements in section 15, the purpose of</w:t>
      </w:r>
      <w:r w:rsidR="00162AA2" w:rsidRPr="003C38DE">
        <w:rPr>
          <w:sz w:val="24"/>
          <w:szCs w:val="24"/>
        </w:rPr>
        <w:t xml:space="preserve"> the</w:t>
      </w:r>
      <w:r w:rsidRPr="003C38DE">
        <w:rPr>
          <w:sz w:val="24"/>
          <w:szCs w:val="24"/>
        </w:rPr>
        <w:t xml:space="preserve"> disclosure of interests by a </w:t>
      </w:r>
      <w:r w:rsidR="00430310" w:rsidRPr="003C38DE">
        <w:rPr>
          <w:sz w:val="24"/>
          <w:szCs w:val="24"/>
        </w:rPr>
        <w:t>B</w:t>
      </w:r>
      <w:r w:rsidR="003D1F9F" w:rsidRPr="003C38DE">
        <w:rPr>
          <w:sz w:val="24"/>
          <w:szCs w:val="24"/>
        </w:rPr>
        <w:t xml:space="preserve">oard </w:t>
      </w:r>
      <w:r w:rsidRPr="003C38DE">
        <w:rPr>
          <w:sz w:val="24"/>
          <w:szCs w:val="24"/>
        </w:rPr>
        <w:t>member to the CIRB</w:t>
      </w:r>
      <w:r w:rsidR="00162AA2" w:rsidRPr="003C38DE">
        <w:rPr>
          <w:sz w:val="24"/>
          <w:szCs w:val="24"/>
        </w:rPr>
        <w:t>,</w:t>
      </w:r>
      <w:r w:rsidRPr="003C38DE">
        <w:rPr>
          <w:sz w:val="24"/>
          <w:szCs w:val="24"/>
        </w:rPr>
        <w:t xml:space="preserve"> is to avoid or mitigate potential conflicts of interests, whether real or perceived, relating </w:t>
      </w:r>
      <w:r w:rsidR="00B762E9" w:rsidRPr="003C38DE">
        <w:rPr>
          <w:sz w:val="24"/>
          <w:szCs w:val="24"/>
        </w:rPr>
        <w:t xml:space="preserve">to </w:t>
      </w:r>
      <w:r w:rsidRPr="003C38DE">
        <w:rPr>
          <w:sz w:val="24"/>
          <w:szCs w:val="24"/>
        </w:rPr>
        <w:t xml:space="preserve">a matter the CIRB is responsible for reviewing. Failure </w:t>
      </w:r>
      <w:r w:rsidR="00B762E9" w:rsidRPr="003C38DE">
        <w:rPr>
          <w:sz w:val="24"/>
          <w:szCs w:val="24"/>
        </w:rPr>
        <w:t xml:space="preserve">of </w:t>
      </w:r>
      <w:r w:rsidRPr="003C38DE">
        <w:rPr>
          <w:sz w:val="24"/>
          <w:szCs w:val="24"/>
        </w:rPr>
        <w:t xml:space="preserve">a </w:t>
      </w:r>
      <w:r w:rsidR="00430310" w:rsidRPr="003C38DE">
        <w:rPr>
          <w:sz w:val="24"/>
          <w:szCs w:val="24"/>
        </w:rPr>
        <w:t>B</w:t>
      </w:r>
      <w:r w:rsidR="003D1F9F" w:rsidRPr="003C38DE">
        <w:rPr>
          <w:sz w:val="24"/>
          <w:szCs w:val="24"/>
        </w:rPr>
        <w:t>oard</w:t>
      </w:r>
      <w:r w:rsidRPr="003C38DE">
        <w:rPr>
          <w:sz w:val="24"/>
          <w:szCs w:val="24"/>
        </w:rPr>
        <w:t xml:space="preserve"> member to disclose conflicts of interest in circumstances where the </w:t>
      </w:r>
      <w:r w:rsidR="00430310" w:rsidRPr="003C38DE">
        <w:rPr>
          <w:sz w:val="24"/>
          <w:szCs w:val="24"/>
        </w:rPr>
        <w:t>B</w:t>
      </w:r>
      <w:r w:rsidR="003D1F9F" w:rsidRPr="003C38DE">
        <w:rPr>
          <w:sz w:val="24"/>
          <w:szCs w:val="24"/>
        </w:rPr>
        <w:t xml:space="preserve">oard </w:t>
      </w:r>
      <w:r w:rsidRPr="003C38DE">
        <w:rPr>
          <w:sz w:val="24"/>
          <w:szCs w:val="24"/>
        </w:rPr>
        <w:t>member has an interest in the matter under review</w:t>
      </w:r>
      <w:r w:rsidR="00B762E9" w:rsidRPr="003C38DE">
        <w:rPr>
          <w:sz w:val="24"/>
          <w:szCs w:val="24"/>
        </w:rPr>
        <w:t>,</w:t>
      </w:r>
      <w:r w:rsidRPr="003C38DE">
        <w:rPr>
          <w:sz w:val="24"/>
          <w:szCs w:val="24"/>
        </w:rPr>
        <w:t xml:space="preserve"> may undermine the public confidence of the CIRB. </w:t>
      </w:r>
    </w:p>
    <w:p w14:paraId="4CA230C5" w14:textId="5BBC1A49" w:rsidR="007137D3" w:rsidRPr="003C38DE" w:rsidRDefault="00B633E4" w:rsidP="00B633E4">
      <w:pPr>
        <w:pStyle w:val="ESPara"/>
        <w:numPr>
          <w:ilvl w:val="0"/>
          <w:numId w:val="0"/>
        </w:numPr>
        <w:ind w:left="360"/>
        <w:rPr>
          <w:sz w:val="24"/>
          <w:szCs w:val="24"/>
        </w:rPr>
      </w:pPr>
      <w:r w:rsidRPr="003C38DE">
        <w:rPr>
          <w:sz w:val="24"/>
          <w:szCs w:val="24"/>
        </w:rPr>
        <w:lastRenderedPageBreak/>
        <w:t>Conflicts of</w:t>
      </w:r>
      <w:r w:rsidR="007137D3" w:rsidRPr="003C38DE">
        <w:rPr>
          <w:sz w:val="24"/>
          <w:szCs w:val="24"/>
        </w:rPr>
        <w:t xml:space="preserve"> interests by </w:t>
      </w:r>
      <w:r w:rsidRPr="003C38DE">
        <w:rPr>
          <w:sz w:val="24"/>
          <w:szCs w:val="24"/>
        </w:rPr>
        <w:t>B</w:t>
      </w:r>
      <w:r w:rsidR="007137D3" w:rsidRPr="003C38DE">
        <w:rPr>
          <w:sz w:val="24"/>
          <w:szCs w:val="24"/>
        </w:rPr>
        <w:t xml:space="preserve">oard members may arise </w:t>
      </w:r>
      <w:r w:rsidRPr="003C38DE">
        <w:rPr>
          <w:sz w:val="24"/>
          <w:szCs w:val="24"/>
        </w:rPr>
        <w:t>in a number of circumstances.</w:t>
      </w:r>
      <w:r w:rsidR="007137D3" w:rsidRPr="003C38DE">
        <w:rPr>
          <w:sz w:val="24"/>
          <w:szCs w:val="24"/>
        </w:rPr>
        <w:t xml:space="preserve"> </w:t>
      </w:r>
      <w:r w:rsidRPr="003C38DE">
        <w:rPr>
          <w:sz w:val="24"/>
          <w:szCs w:val="24"/>
        </w:rPr>
        <w:t>T</w:t>
      </w:r>
      <w:r w:rsidR="007137D3" w:rsidRPr="003C38DE">
        <w:rPr>
          <w:sz w:val="24"/>
          <w:szCs w:val="24"/>
        </w:rPr>
        <w:t>his section outlines the overall process for the identification and management principles</w:t>
      </w:r>
      <w:r w:rsidRPr="003C38DE">
        <w:rPr>
          <w:sz w:val="24"/>
          <w:szCs w:val="24"/>
        </w:rPr>
        <w:t>,</w:t>
      </w:r>
      <w:r w:rsidR="007137D3" w:rsidRPr="003C38DE">
        <w:rPr>
          <w:sz w:val="24"/>
          <w:szCs w:val="24"/>
        </w:rPr>
        <w:t xml:space="preserve"> which will guide the </w:t>
      </w:r>
      <w:r w:rsidRPr="003C38DE">
        <w:rPr>
          <w:sz w:val="24"/>
          <w:szCs w:val="24"/>
        </w:rPr>
        <w:t>CIRB</w:t>
      </w:r>
      <w:r w:rsidR="007137D3" w:rsidRPr="003C38DE">
        <w:rPr>
          <w:sz w:val="24"/>
          <w:szCs w:val="24"/>
        </w:rPr>
        <w:t xml:space="preserve"> in identifying, reporting and managing </w:t>
      </w:r>
      <w:r w:rsidRPr="003C38DE">
        <w:rPr>
          <w:sz w:val="24"/>
          <w:szCs w:val="24"/>
        </w:rPr>
        <w:t>these conflicts</w:t>
      </w:r>
      <w:r w:rsidR="007137D3" w:rsidRPr="003C38DE">
        <w:rPr>
          <w:sz w:val="24"/>
          <w:szCs w:val="24"/>
        </w:rPr>
        <w:t>.</w:t>
      </w:r>
    </w:p>
    <w:p w14:paraId="50DD64CA" w14:textId="1550E70A" w:rsidR="0057492C" w:rsidRPr="003C38DE" w:rsidRDefault="0057492C" w:rsidP="00B633E4">
      <w:pPr>
        <w:pStyle w:val="ESPara"/>
        <w:numPr>
          <w:ilvl w:val="0"/>
          <w:numId w:val="0"/>
        </w:numPr>
        <w:ind w:left="360"/>
        <w:rPr>
          <w:sz w:val="24"/>
          <w:szCs w:val="24"/>
        </w:rPr>
      </w:pPr>
      <w:r w:rsidRPr="003C38DE">
        <w:rPr>
          <w:sz w:val="24"/>
          <w:szCs w:val="24"/>
        </w:rPr>
        <w:t xml:space="preserve">Conflicts of interest are managed by a policy of transparency through continuous disclosure. As the personal and financial circumstances of Board members may change over the duration of their appointment, they are required to declare any new interests to the </w:t>
      </w:r>
      <w:r w:rsidR="00B633E4" w:rsidRPr="003C38DE">
        <w:rPr>
          <w:sz w:val="24"/>
          <w:szCs w:val="24"/>
        </w:rPr>
        <w:t>CIRB</w:t>
      </w:r>
      <w:r w:rsidR="000756AF" w:rsidRPr="003C38DE">
        <w:rPr>
          <w:sz w:val="24"/>
          <w:szCs w:val="24"/>
        </w:rPr>
        <w:t xml:space="preserve"> to ensure there’s ongoing transparency and accountability.</w:t>
      </w:r>
    </w:p>
    <w:p w14:paraId="6CA1C0D8" w14:textId="152A91F8" w:rsidR="00412E58" w:rsidRPr="003C38DE" w:rsidRDefault="00AA2B4C" w:rsidP="00CD5D6D">
      <w:pPr>
        <w:pStyle w:val="ESAttHeading"/>
        <w:keepNext w:val="0"/>
        <w:widowControl w:val="0"/>
        <w:rPr>
          <w:sz w:val="24"/>
          <w:szCs w:val="24"/>
        </w:rPr>
      </w:pPr>
      <w:r w:rsidRPr="003C38DE">
        <w:rPr>
          <w:sz w:val="24"/>
          <w:szCs w:val="24"/>
        </w:rPr>
        <w:t>Section 17</w:t>
      </w:r>
      <w:r w:rsidR="00325E14" w:rsidRPr="003C38DE">
        <w:rPr>
          <w:sz w:val="24"/>
          <w:szCs w:val="24"/>
        </w:rPr>
        <w:tab/>
        <w:t>Other paid work</w:t>
      </w:r>
    </w:p>
    <w:p w14:paraId="375203C5" w14:textId="77095B5D" w:rsidR="008367A6" w:rsidRPr="003C38DE" w:rsidRDefault="00523FA5" w:rsidP="00CC3D3C">
      <w:pPr>
        <w:pStyle w:val="ESPara"/>
        <w:numPr>
          <w:ilvl w:val="0"/>
          <w:numId w:val="0"/>
        </w:numPr>
        <w:ind w:left="357"/>
        <w:rPr>
          <w:sz w:val="24"/>
          <w:szCs w:val="24"/>
        </w:rPr>
      </w:pPr>
      <w:r w:rsidRPr="003C38DE">
        <w:rPr>
          <w:sz w:val="24"/>
          <w:szCs w:val="24"/>
        </w:rPr>
        <w:t xml:space="preserve">Section 17 provides requirements </w:t>
      </w:r>
      <w:r w:rsidR="00B762E9" w:rsidRPr="003C38DE">
        <w:rPr>
          <w:sz w:val="24"/>
          <w:szCs w:val="24"/>
        </w:rPr>
        <w:t>on</w:t>
      </w:r>
      <w:r w:rsidR="00430310" w:rsidRPr="003C38DE">
        <w:rPr>
          <w:sz w:val="24"/>
          <w:szCs w:val="24"/>
        </w:rPr>
        <w:t xml:space="preserve"> B</w:t>
      </w:r>
      <w:r w:rsidR="003D1F9F" w:rsidRPr="003C38DE">
        <w:rPr>
          <w:sz w:val="24"/>
          <w:szCs w:val="24"/>
        </w:rPr>
        <w:t>oard members of the CIRB</w:t>
      </w:r>
      <w:r w:rsidR="00B762E9" w:rsidRPr="003C38DE">
        <w:rPr>
          <w:sz w:val="24"/>
          <w:szCs w:val="24"/>
        </w:rPr>
        <w:t xml:space="preserve"> relating to undertaking other paid work</w:t>
      </w:r>
      <w:r w:rsidR="003D1F9F" w:rsidRPr="003C38DE">
        <w:rPr>
          <w:sz w:val="24"/>
          <w:szCs w:val="24"/>
        </w:rPr>
        <w:t>.</w:t>
      </w:r>
      <w:r w:rsidR="00BB0A6B" w:rsidRPr="003C38DE">
        <w:rPr>
          <w:sz w:val="24"/>
          <w:szCs w:val="24"/>
        </w:rPr>
        <w:t xml:space="preserve"> It</w:t>
      </w:r>
      <w:r w:rsidR="008367A6" w:rsidRPr="003C38DE">
        <w:rPr>
          <w:sz w:val="24"/>
          <w:szCs w:val="24"/>
        </w:rPr>
        <w:t xml:space="preserve"> provides that </w:t>
      </w:r>
      <w:r w:rsidR="002544C4" w:rsidRPr="003C38DE">
        <w:rPr>
          <w:sz w:val="24"/>
          <w:szCs w:val="24"/>
        </w:rPr>
        <w:t xml:space="preserve">a </w:t>
      </w:r>
      <w:r w:rsidR="00430310" w:rsidRPr="003C38DE">
        <w:rPr>
          <w:sz w:val="24"/>
          <w:szCs w:val="24"/>
        </w:rPr>
        <w:t>B</w:t>
      </w:r>
      <w:r w:rsidR="003D1F9F" w:rsidRPr="003C38DE">
        <w:rPr>
          <w:sz w:val="24"/>
          <w:szCs w:val="24"/>
        </w:rPr>
        <w:t>oard</w:t>
      </w:r>
      <w:r w:rsidRPr="003C38DE">
        <w:rPr>
          <w:sz w:val="24"/>
          <w:szCs w:val="24"/>
        </w:rPr>
        <w:t xml:space="preserve"> </w:t>
      </w:r>
      <w:r w:rsidR="002544C4" w:rsidRPr="003C38DE">
        <w:rPr>
          <w:sz w:val="24"/>
          <w:szCs w:val="24"/>
        </w:rPr>
        <w:t xml:space="preserve">member must not engage in any paid work that, in the Minister’s opinion, conflicts or could conflict with the proper performance of the </w:t>
      </w:r>
      <w:r w:rsidR="00430310" w:rsidRPr="003C38DE">
        <w:rPr>
          <w:sz w:val="24"/>
          <w:szCs w:val="24"/>
        </w:rPr>
        <w:t>B</w:t>
      </w:r>
      <w:r w:rsidR="003D1F9F" w:rsidRPr="003C38DE">
        <w:rPr>
          <w:sz w:val="24"/>
          <w:szCs w:val="24"/>
        </w:rPr>
        <w:t>oard</w:t>
      </w:r>
      <w:r w:rsidR="002544C4" w:rsidRPr="003C38DE">
        <w:rPr>
          <w:sz w:val="24"/>
          <w:szCs w:val="24"/>
        </w:rPr>
        <w:t xml:space="preserve"> member’s duties. </w:t>
      </w:r>
    </w:p>
    <w:p w14:paraId="5248E1AC" w14:textId="6DBE52C3" w:rsidR="007137D3" w:rsidRPr="003C38DE" w:rsidRDefault="007137D3" w:rsidP="000756AF">
      <w:pPr>
        <w:pStyle w:val="ESPara"/>
        <w:numPr>
          <w:ilvl w:val="0"/>
          <w:numId w:val="0"/>
        </w:numPr>
        <w:ind w:left="360"/>
        <w:rPr>
          <w:sz w:val="24"/>
          <w:szCs w:val="24"/>
        </w:rPr>
      </w:pPr>
      <w:r w:rsidRPr="003C38DE">
        <w:rPr>
          <w:sz w:val="24"/>
          <w:szCs w:val="24"/>
        </w:rPr>
        <w:t>It is not the intention of this section to prevent individuals from working in cyber</w:t>
      </w:r>
      <w:r w:rsidR="000756AF" w:rsidRPr="003C38DE">
        <w:rPr>
          <w:sz w:val="24"/>
          <w:szCs w:val="24"/>
        </w:rPr>
        <w:t>-</w:t>
      </w:r>
      <w:r w:rsidRPr="003C38DE">
        <w:rPr>
          <w:sz w:val="24"/>
          <w:szCs w:val="24"/>
        </w:rPr>
        <w:t xml:space="preserve">related roles for the duration of their appointment to the </w:t>
      </w:r>
      <w:r w:rsidR="000756AF" w:rsidRPr="003C38DE">
        <w:rPr>
          <w:sz w:val="24"/>
          <w:szCs w:val="24"/>
        </w:rPr>
        <w:t>CIRB</w:t>
      </w:r>
      <w:r w:rsidRPr="003C38DE">
        <w:rPr>
          <w:sz w:val="24"/>
          <w:szCs w:val="24"/>
        </w:rPr>
        <w:t xml:space="preserve">, as such conflicts may be mitigated by the </w:t>
      </w:r>
      <w:r w:rsidR="000756AF" w:rsidRPr="003C38DE">
        <w:rPr>
          <w:sz w:val="24"/>
          <w:szCs w:val="24"/>
        </w:rPr>
        <w:t>CIRB</w:t>
      </w:r>
      <w:r w:rsidRPr="003C38DE">
        <w:rPr>
          <w:sz w:val="24"/>
          <w:szCs w:val="24"/>
        </w:rPr>
        <w:t xml:space="preserve"> as they arise. Instead</w:t>
      </w:r>
      <w:r w:rsidR="00981F63" w:rsidRPr="003C38DE">
        <w:rPr>
          <w:sz w:val="24"/>
          <w:szCs w:val="24"/>
        </w:rPr>
        <w:t>,</w:t>
      </w:r>
      <w:r w:rsidRPr="003C38DE">
        <w:rPr>
          <w:sz w:val="24"/>
          <w:szCs w:val="24"/>
        </w:rPr>
        <w:t xml:space="preserve"> this section is intended to address paid work which conflicts with a persons</w:t>
      </w:r>
      <w:r w:rsidR="000756AF" w:rsidRPr="003C38DE">
        <w:rPr>
          <w:sz w:val="24"/>
          <w:szCs w:val="24"/>
        </w:rPr>
        <w:t>’</w:t>
      </w:r>
      <w:r w:rsidRPr="003C38DE">
        <w:rPr>
          <w:sz w:val="24"/>
          <w:szCs w:val="24"/>
        </w:rPr>
        <w:t xml:space="preserve"> appointment on the </w:t>
      </w:r>
      <w:r w:rsidR="000756AF" w:rsidRPr="003C38DE">
        <w:rPr>
          <w:sz w:val="24"/>
          <w:szCs w:val="24"/>
        </w:rPr>
        <w:t>CIRB</w:t>
      </w:r>
      <w:r w:rsidRPr="003C38DE">
        <w:rPr>
          <w:sz w:val="24"/>
          <w:szCs w:val="24"/>
        </w:rPr>
        <w:t xml:space="preserve">. For </w:t>
      </w:r>
      <w:r w:rsidR="000756AF" w:rsidRPr="003C38DE">
        <w:rPr>
          <w:sz w:val="24"/>
          <w:szCs w:val="24"/>
        </w:rPr>
        <w:t>example,</w:t>
      </w:r>
      <w:r w:rsidRPr="003C38DE">
        <w:rPr>
          <w:sz w:val="24"/>
          <w:szCs w:val="24"/>
        </w:rPr>
        <w:t xml:space="preserve"> a person who undertakes paid work for a business or individual which is under sanctions.</w:t>
      </w:r>
    </w:p>
    <w:p w14:paraId="39736E8D" w14:textId="5D50BAD1" w:rsidR="00325E14" w:rsidRPr="003C38DE" w:rsidRDefault="00767D81" w:rsidP="00CD5D6D">
      <w:pPr>
        <w:pStyle w:val="ESAttHeading"/>
        <w:keepNext w:val="0"/>
        <w:widowControl w:val="0"/>
        <w:rPr>
          <w:sz w:val="24"/>
          <w:szCs w:val="24"/>
        </w:rPr>
      </w:pPr>
      <w:r w:rsidRPr="003C38DE">
        <w:rPr>
          <w:sz w:val="24"/>
          <w:szCs w:val="24"/>
        </w:rPr>
        <w:t>Section 18</w:t>
      </w:r>
      <w:r w:rsidR="00325E14" w:rsidRPr="003C38DE">
        <w:rPr>
          <w:sz w:val="24"/>
          <w:szCs w:val="24"/>
        </w:rPr>
        <w:tab/>
        <w:t>Leave of absence of Board members</w:t>
      </w:r>
    </w:p>
    <w:p w14:paraId="0DF875A8" w14:textId="25A0D664" w:rsidR="00B76037" w:rsidRPr="003C38DE" w:rsidRDefault="00383F2C" w:rsidP="00360638">
      <w:pPr>
        <w:pStyle w:val="ESPara"/>
        <w:numPr>
          <w:ilvl w:val="0"/>
          <w:numId w:val="0"/>
        </w:numPr>
        <w:ind w:left="360"/>
        <w:rPr>
          <w:sz w:val="24"/>
          <w:szCs w:val="24"/>
        </w:rPr>
      </w:pPr>
      <w:r w:rsidRPr="003C38DE">
        <w:rPr>
          <w:sz w:val="24"/>
          <w:szCs w:val="24"/>
        </w:rPr>
        <w:t xml:space="preserve">Section 18 provides the process for leaves of </w:t>
      </w:r>
      <w:r w:rsidR="00430310" w:rsidRPr="003C38DE">
        <w:rPr>
          <w:sz w:val="24"/>
          <w:szCs w:val="24"/>
        </w:rPr>
        <w:t xml:space="preserve">absence by the </w:t>
      </w:r>
      <w:r w:rsidR="00B762E9" w:rsidRPr="003C38DE">
        <w:rPr>
          <w:sz w:val="24"/>
          <w:szCs w:val="24"/>
        </w:rPr>
        <w:t>C</w:t>
      </w:r>
      <w:r w:rsidR="00430310" w:rsidRPr="003C38DE">
        <w:rPr>
          <w:sz w:val="24"/>
          <w:szCs w:val="24"/>
        </w:rPr>
        <w:t>hair and other B</w:t>
      </w:r>
      <w:r w:rsidRPr="003C38DE">
        <w:rPr>
          <w:sz w:val="24"/>
          <w:szCs w:val="24"/>
        </w:rPr>
        <w:t>oard members</w:t>
      </w:r>
      <w:r w:rsidR="00500D58" w:rsidRPr="003C38DE">
        <w:rPr>
          <w:sz w:val="24"/>
          <w:szCs w:val="24"/>
        </w:rPr>
        <w:t xml:space="preserve"> for the purpose of paragraph 69(1)(g) of the Act. </w:t>
      </w:r>
    </w:p>
    <w:p w14:paraId="1459BDCE" w14:textId="59907117" w:rsidR="00987545" w:rsidRPr="003C38DE" w:rsidRDefault="00383F2C" w:rsidP="00360638">
      <w:pPr>
        <w:pStyle w:val="ESPara"/>
        <w:numPr>
          <w:ilvl w:val="0"/>
          <w:numId w:val="0"/>
        </w:numPr>
        <w:ind w:left="360"/>
        <w:rPr>
          <w:sz w:val="24"/>
          <w:szCs w:val="24"/>
        </w:rPr>
      </w:pPr>
      <w:r w:rsidRPr="003C38DE">
        <w:rPr>
          <w:sz w:val="24"/>
          <w:szCs w:val="24"/>
        </w:rPr>
        <w:t>Subsection 18(1</w:t>
      </w:r>
      <w:r w:rsidR="00B76037" w:rsidRPr="003C38DE">
        <w:rPr>
          <w:sz w:val="24"/>
          <w:szCs w:val="24"/>
        </w:rPr>
        <w:t xml:space="preserve">) provides </w:t>
      </w:r>
      <w:r w:rsidR="00987545" w:rsidRPr="003C38DE">
        <w:rPr>
          <w:sz w:val="24"/>
          <w:szCs w:val="24"/>
        </w:rPr>
        <w:t>that the Minister can grant leave</w:t>
      </w:r>
      <w:r w:rsidR="00B76037" w:rsidRPr="003C38DE">
        <w:rPr>
          <w:sz w:val="24"/>
          <w:szCs w:val="24"/>
        </w:rPr>
        <w:t xml:space="preserve"> of absence</w:t>
      </w:r>
      <w:r w:rsidR="00987545" w:rsidRPr="003C38DE">
        <w:rPr>
          <w:sz w:val="24"/>
          <w:szCs w:val="24"/>
        </w:rPr>
        <w:t xml:space="preserve"> to the </w:t>
      </w:r>
      <w:r w:rsidR="00B76037" w:rsidRPr="003C38DE">
        <w:rPr>
          <w:sz w:val="24"/>
          <w:szCs w:val="24"/>
        </w:rPr>
        <w:t xml:space="preserve">Chair on the terms and conditions the Minister determines. </w:t>
      </w:r>
      <w:r w:rsidR="00987545" w:rsidRPr="003C38DE">
        <w:rPr>
          <w:sz w:val="24"/>
          <w:szCs w:val="24"/>
        </w:rPr>
        <w:t xml:space="preserve"> </w:t>
      </w:r>
    </w:p>
    <w:p w14:paraId="3401FD9D" w14:textId="78AA2385" w:rsidR="00FE0C0A" w:rsidRPr="003C38DE" w:rsidRDefault="00987545" w:rsidP="00360638">
      <w:pPr>
        <w:pStyle w:val="ESPara"/>
        <w:numPr>
          <w:ilvl w:val="0"/>
          <w:numId w:val="0"/>
        </w:numPr>
        <w:ind w:left="360"/>
        <w:rPr>
          <w:sz w:val="24"/>
          <w:szCs w:val="24"/>
        </w:rPr>
      </w:pPr>
      <w:r w:rsidRPr="003C38DE">
        <w:rPr>
          <w:sz w:val="24"/>
          <w:szCs w:val="24"/>
        </w:rPr>
        <w:t>Subsection 18(2)</w:t>
      </w:r>
      <w:r w:rsidR="00FE0C0A" w:rsidRPr="003C38DE">
        <w:rPr>
          <w:sz w:val="24"/>
          <w:szCs w:val="24"/>
        </w:rPr>
        <w:t xml:space="preserve"> provides that the Chair </w:t>
      </w:r>
      <w:r w:rsidR="00B762E9" w:rsidRPr="003C38DE">
        <w:rPr>
          <w:sz w:val="24"/>
          <w:szCs w:val="24"/>
        </w:rPr>
        <w:t xml:space="preserve">may </w:t>
      </w:r>
      <w:r w:rsidR="00FE0C0A" w:rsidRPr="003C38DE">
        <w:rPr>
          <w:sz w:val="24"/>
          <w:szCs w:val="24"/>
        </w:rPr>
        <w:t>grant</w:t>
      </w:r>
      <w:r w:rsidR="00B76037" w:rsidRPr="003C38DE">
        <w:rPr>
          <w:sz w:val="24"/>
          <w:szCs w:val="24"/>
        </w:rPr>
        <w:t xml:space="preserve"> a</w:t>
      </w:r>
      <w:r w:rsidR="00FE0C0A" w:rsidRPr="003C38DE">
        <w:rPr>
          <w:sz w:val="24"/>
          <w:szCs w:val="24"/>
        </w:rPr>
        <w:t xml:space="preserve"> leave of absence to any other </w:t>
      </w:r>
      <w:r w:rsidR="00430310" w:rsidRPr="003C38DE">
        <w:rPr>
          <w:sz w:val="24"/>
          <w:szCs w:val="24"/>
        </w:rPr>
        <w:t>B</w:t>
      </w:r>
      <w:r w:rsidR="00383F2C" w:rsidRPr="003C38DE">
        <w:rPr>
          <w:sz w:val="24"/>
          <w:szCs w:val="24"/>
        </w:rPr>
        <w:t>oard</w:t>
      </w:r>
      <w:r w:rsidR="00B76037" w:rsidRPr="003C38DE">
        <w:rPr>
          <w:sz w:val="24"/>
          <w:szCs w:val="24"/>
        </w:rPr>
        <w:t xml:space="preserve"> </w:t>
      </w:r>
      <w:r w:rsidR="00FE0C0A" w:rsidRPr="003C38DE">
        <w:rPr>
          <w:sz w:val="24"/>
          <w:szCs w:val="24"/>
        </w:rPr>
        <w:t xml:space="preserve">member on the terms and conditions that the Chair determines. </w:t>
      </w:r>
    </w:p>
    <w:p w14:paraId="3C67E0FB" w14:textId="54D7E3BC" w:rsidR="002544C4" w:rsidRPr="003C38DE" w:rsidRDefault="00B76037" w:rsidP="00360638">
      <w:pPr>
        <w:pStyle w:val="ESPara"/>
        <w:numPr>
          <w:ilvl w:val="0"/>
          <w:numId w:val="0"/>
        </w:numPr>
        <w:ind w:left="360"/>
        <w:rPr>
          <w:sz w:val="24"/>
          <w:szCs w:val="24"/>
        </w:rPr>
      </w:pPr>
      <w:r w:rsidRPr="003C38DE">
        <w:rPr>
          <w:sz w:val="24"/>
          <w:szCs w:val="24"/>
        </w:rPr>
        <w:t>For the purpose of leave granted by the CIRB</w:t>
      </w:r>
      <w:r w:rsidR="00B26AD5" w:rsidRPr="003C38DE">
        <w:rPr>
          <w:sz w:val="24"/>
          <w:szCs w:val="24"/>
        </w:rPr>
        <w:t xml:space="preserve"> Chair</w:t>
      </w:r>
      <w:r w:rsidRPr="003C38DE">
        <w:rPr>
          <w:sz w:val="24"/>
          <w:szCs w:val="24"/>
        </w:rPr>
        <w:t xml:space="preserve"> under subsection 18(2), s</w:t>
      </w:r>
      <w:r w:rsidR="00987545" w:rsidRPr="003C38DE">
        <w:rPr>
          <w:sz w:val="24"/>
          <w:szCs w:val="24"/>
        </w:rPr>
        <w:t>ubsection 18(3)</w:t>
      </w:r>
      <w:r w:rsidR="00FE0C0A" w:rsidRPr="003C38DE">
        <w:rPr>
          <w:sz w:val="24"/>
          <w:szCs w:val="24"/>
        </w:rPr>
        <w:t xml:space="preserve"> provides that the Chair must notify the Minister if the Chair grants a </w:t>
      </w:r>
      <w:r w:rsidR="00430310" w:rsidRPr="003C38DE">
        <w:rPr>
          <w:sz w:val="24"/>
          <w:szCs w:val="24"/>
        </w:rPr>
        <w:t>B</w:t>
      </w:r>
      <w:r w:rsidR="00383F2C" w:rsidRPr="003C38DE">
        <w:rPr>
          <w:sz w:val="24"/>
          <w:szCs w:val="24"/>
        </w:rPr>
        <w:t>oard</w:t>
      </w:r>
      <w:r w:rsidRPr="003C38DE">
        <w:rPr>
          <w:sz w:val="24"/>
          <w:szCs w:val="24"/>
        </w:rPr>
        <w:t xml:space="preserve"> </w:t>
      </w:r>
      <w:r w:rsidR="00FE0C0A" w:rsidRPr="003C38DE">
        <w:rPr>
          <w:sz w:val="24"/>
          <w:szCs w:val="24"/>
        </w:rPr>
        <w:t xml:space="preserve">member </w:t>
      </w:r>
      <w:r w:rsidRPr="003C38DE">
        <w:rPr>
          <w:sz w:val="24"/>
          <w:szCs w:val="24"/>
        </w:rPr>
        <w:t xml:space="preserve">a </w:t>
      </w:r>
      <w:r w:rsidR="00FE0C0A" w:rsidRPr="003C38DE">
        <w:rPr>
          <w:sz w:val="24"/>
          <w:szCs w:val="24"/>
        </w:rPr>
        <w:t>leave of absence for a period that exceeds 3 months.</w:t>
      </w:r>
    </w:p>
    <w:p w14:paraId="5A1452F9" w14:textId="0C9EF110" w:rsidR="00D47BFC" w:rsidRPr="003C38DE" w:rsidRDefault="00FE0C0A" w:rsidP="00CD5D6D">
      <w:pPr>
        <w:pStyle w:val="ESAttHeading"/>
        <w:keepNext w:val="0"/>
        <w:widowControl w:val="0"/>
        <w:rPr>
          <w:sz w:val="24"/>
          <w:szCs w:val="24"/>
        </w:rPr>
      </w:pPr>
      <w:r w:rsidRPr="003C38DE">
        <w:rPr>
          <w:sz w:val="24"/>
          <w:szCs w:val="24"/>
        </w:rPr>
        <w:t>Section 19</w:t>
      </w:r>
      <w:r w:rsidR="00325E14" w:rsidRPr="003C38DE">
        <w:rPr>
          <w:sz w:val="24"/>
          <w:szCs w:val="24"/>
        </w:rPr>
        <w:tab/>
        <w:t>Resignation of Board members</w:t>
      </w:r>
    </w:p>
    <w:p w14:paraId="15CCDBBD" w14:textId="6EA17003" w:rsidR="00987545" w:rsidRPr="003C38DE" w:rsidRDefault="00383F2C" w:rsidP="00360638">
      <w:pPr>
        <w:pStyle w:val="ESPara"/>
        <w:numPr>
          <w:ilvl w:val="0"/>
          <w:numId w:val="0"/>
        </w:numPr>
        <w:ind w:left="720" w:hanging="360"/>
        <w:rPr>
          <w:sz w:val="24"/>
          <w:szCs w:val="24"/>
        </w:rPr>
      </w:pPr>
      <w:r w:rsidRPr="003C38DE">
        <w:rPr>
          <w:sz w:val="24"/>
          <w:szCs w:val="24"/>
        </w:rPr>
        <w:t>Section 19</w:t>
      </w:r>
      <w:r w:rsidR="00987545" w:rsidRPr="003C38DE">
        <w:rPr>
          <w:sz w:val="24"/>
          <w:szCs w:val="24"/>
        </w:rPr>
        <w:t xml:space="preserve"> provides </w:t>
      </w:r>
      <w:r w:rsidR="00430310" w:rsidRPr="003C38DE">
        <w:rPr>
          <w:sz w:val="24"/>
          <w:szCs w:val="24"/>
        </w:rPr>
        <w:t>for resignation of B</w:t>
      </w:r>
      <w:r w:rsidRPr="003C38DE">
        <w:rPr>
          <w:sz w:val="24"/>
          <w:szCs w:val="24"/>
        </w:rPr>
        <w:t xml:space="preserve">oard members for the purpose of paragraph 69(1)(d) of the Act. </w:t>
      </w:r>
    </w:p>
    <w:p w14:paraId="6ED8A483" w14:textId="250713D6" w:rsidR="00383F2C" w:rsidRPr="003C38DE" w:rsidRDefault="00383F2C" w:rsidP="00360638">
      <w:pPr>
        <w:pStyle w:val="ESPara"/>
        <w:numPr>
          <w:ilvl w:val="0"/>
          <w:numId w:val="0"/>
        </w:numPr>
        <w:ind w:left="360"/>
        <w:rPr>
          <w:sz w:val="24"/>
          <w:szCs w:val="24"/>
        </w:rPr>
      </w:pPr>
      <w:r w:rsidRPr="003C38DE">
        <w:rPr>
          <w:sz w:val="24"/>
          <w:szCs w:val="24"/>
        </w:rPr>
        <w:t xml:space="preserve">Subsection 19(1) provides </w:t>
      </w:r>
      <w:r w:rsidR="00B762E9" w:rsidRPr="003C38DE">
        <w:rPr>
          <w:sz w:val="24"/>
          <w:szCs w:val="24"/>
        </w:rPr>
        <w:t xml:space="preserve">that </w:t>
      </w:r>
      <w:r w:rsidR="002544C4" w:rsidRPr="003C38DE">
        <w:rPr>
          <w:sz w:val="24"/>
          <w:szCs w:val="24"/>
        </w:rPr>
        <w:t>a Board member may resign the member’s appointment by giving the Minister a written resignation.</w:t>
      </w:r>
    </w:p>
    <w:p w14:paraId="2673C3AD" w14:textId="3BE55AB8" w:rsidR="008367A6" w:rsidRPr="003C38DE" w:rsidRDefault="000A2432" w:rsidP="00360638">
      <w:pPr>
        <w:pStyle w:val="ESPara"/>
        <w:numPr>
          <w:ilvl w:val="0"/>
          <w:numId w:val="0"/>
        </w:numPr>
        <w:ind w:left="360"/>
        <w:rPr>
          <w:sz w:val="24"/>
          <w:szCs w:val="24"/>
        </w:rPr>
      </w:pPr>
      <w:r w:rsidRPr="003C38DE">
        <w:rPr>
          <w:sz w:val="24"/>
          <w:szCs w:val="24"/>
        </w:rPr>
        <w:t>Subsection 19(2)</w:t>
      </w:r>
      <w:r w:rsidR="002544C4" w:rsidRPr="003C38DE">
        <w:rPr>
          <w:sz w:val="24"/>
          <w:szCs w:val="24"/>
        </w:rPr>
        <w:t xml:space="preserve"> provides that the resignation takes effect on the day it is received by the Minister or, if a later day is specified in the resignation, on that later day. </w:t>
      </w:r>
    </w:p>
    <w:p w14:paraId="06D16EF3" w14:textId="3EAB2694" w:rsidR="00325E14" w:rsidRPr="003C38DE" w:rsidRDefault="00FE0C0A" w:rsidP="00CD5D6D">
      <w:pPr>
        <w:pStyle w:val="ESAttHeading"/>
        <w:keepNext w:val="0"/>
        <w:widowControl w:val="0"/>
        <w:rPr>
          <w:sz w:val="24"/>
          <w:szCs w:val="24"/>
        </w:rPr>
      </w:pPr>
      <w:r w:rsidRPr="003C38DE">
        <w:rPr>
          <w:sz w:val="24"/>
          <w:szCs w:val="24"/>
        </w:rPr>
        <w:lastRenderedPageBreak/>
        <w:t>Section 20</w:t>
      </w:r>
      <w:r w:rsidR="00325E14" w:rsidRPr="003C38DE">
        <w:rPr>
          <w:sz w:val="24"/>
          <w:szCs w:val="24"/>
        </w:rPr>
        <w:tab/>
        <w:t xml:space="preserve">Termination of appointment of Board members </w:t>
      </w:r>
    </w:p>
    <w:p w14:paraId="75B50507" w14:textId="4737AABF" w:rsidR="00987545" w:rsidRPr="003C38DE" w:rsidRDefault="00987545" w:rsidP="000756AF">
      <w:pPr>
        <w:pStyle w:val="ESPara"/>
        <w:numPr>
          <w:ilvl w:val="0"/>
          <w:numId w:val="0"/>
        </w:numPr>
        <w:ind w:left="360"/>
        <w:rPr>
          <w:sz w:val="24"/>
          <w:szCs w:val="24"/>
        </w:rPr>
      </w:pPr>
      <w:r w:rsidRPr="003C38DE">
        <w:rPr>
          <w:sz w:val="24"/>
          <w:szCs w:val="24"/>
        </w:rPr>
        <w:t xml:space="preserve">This section provides </w:t>
      </w:r>
      <w:r w:rsidR="00430310" w:rsidRPr="003C38DE">
        <w:rPr>
          <w:sz w:val="24"/>
          <w:szCs w:val="24"/>
        </w:rPr>
        <w:t xml:space="preserve">for the termination of appointment of </w:t>
      </w:r>
      <w:r w:rsidR="00B762E9" w:rsidRPr="003C38DE">
        <w:rPr>
          <w:sz w:val="24"/>
          <w:szCs w:val="24"/>
        </w:rPr>
        <w:t>B</w:t>
      </w:r>
      <w:r w:rsidR="00430310" w:rsidRPr="003C38DE">
        <w:rPr>
          <w:sz w:val="24"/>
          <w:szCs w:val="24"/>
        </w:rPr>
        <w:t xml:space="preserve">oard members for the purpose of paragraph 69(1)(f) of the Act. </w:t>
      </w:r>
    </w:p>
    <w:p w14:paraId="015408FD" w14:textId="1136AB46" w:rsidR="00987545" w:rsidRPr="003C38DE" w:rsidRDefault="00987545" w:rsidP="000756AF">
      <w:pPr>
        <w:pStyle w:val="ESPara"/>
        <w:numPr>
          <w:ilvl w:val="0"/>
          <w:numId w:val="0"/>
        </w:numPr>
        <w:ind w:left="360"/>
        <w:rPr>
          <w:sz w:val="24"/>
          <w:szCs w:val="24"/>
        </w:rPr>
      </w:pPr>
      <w:r w:rsidRPr="003C38DE">
        <w:rPr>
          <w:sz w:val="24"/>
          <w:szCs w:val="24"/>
        </w:rPr>
        <w:t xml:space="preserve">Subsection 20(1) </w:t>
      </w:r>
      <w:r w:rsidR="00FE0C0A" w:rsidRPr="003C38DE">
        <w:rPr>
          <w:sz w:val="24"/>
          <w:szCs w:val="24"/>
        </w:rPr>
        <w:t xml:space="preserve">provides that </w:t>
      </w:r>
      <w:r w:rsidR="00430310" w:rsidRPr="003C38DE">
        <w:rPr>
          <w:sz w:val="24"/>
          <w:szCs w:val="24"/>
        </w:rPr>
        <w:t>t</w:t>
      </w:r>
      <w:r w:rsidR="00596FBD" w:rsidRPr="003C38DE">
        <w:rPr>
          <w:sz w:val="24"/>
          <w:szCs w:val="24"/>
        </w:rPr>
        <w:t>he Minister may terminate the appointment of a Board member for misbehaviour</w:t>
      </w:r>
      <w:r w:rsidR="00B762E9" w:rsidRPr="003C38DE">
        <w:rPr>
          <w:sz w:val="24"/>
          <w:szCs w:val="24"/>
        </w:rPr>
        <w:t>,</w:t>
      </w:r>
      <w:r w:rsidR="00596FBD" w:rsidRPr="003C38DE">
        <w:rPr>
          <w:sz w:val="24"/>
          <w:szCs w:val="24"/>
        </w:rPr>
        <w:t xml:space="preserve"> </w:t>
      </w:r>
      <w:r w:rsidR="002F6EA7" w:rsidRPr="003C38DE">
        <w:rPr>
          <w:sz w:val="24"/>
          <w:szCs w:val="24"/>
        </w:rPr>
        <w:t>or if</w:t>
      </w:r>
      <w:r w:rsidR="00596FBD" w:rsidRPr="003C38DE">
        <w:rPr>
          <w:sz w:val="24"/>
          <w:szCs w:val="24"/>
        </w:rPr>
        <w:t xml:space="preserve"> the Board member is unable to perform the duties of the Board member’s office because of physical or mental incapacity</w:t>
      </w:r>
      <w:r w:rsidR="000756AF" w:rsidRPr="003C38DE">
        <w:rPr>
          <w:sz w:val="24"/>
          <w:szCs w:val="24"/>
        </w:rPr>
        <w:t xml:space="preserve">. </w:t>
      </w:r>
      <w:r w:rsidRPr="003C38DE">
        <w:rPr>
          <w:sz w:val="24"/>
          <w:szCs w:val="24"/>
        </w:rPr>
        <w:t>Subsection 20(2)</w:t>
      </w:r>
      <w:r w:rsidR="00596FBD" w:rsidRPr="003C38DE">
        <w:rPr>
          <w:sz w:val="24"/>
          <w:szCs w:val="24"/>
        </w:rPr>
        <w:t xml:space="preserve"> provides that </w:t>
      </w:r>
      <w:r w:rsidR="00383AF6" w:rsidRPr="003C38DE">
        <w:rPr>
          <w:sz w:val="24"/>
          <w:szCs w:val="24"/>
        </w:rPr>
        <w:t xml:space="preserve">the </w:t>
      </w:r>
      <w:r w:rsidR="00B762E9" w:rsidRPr="003C38DE">
        <w:rPr>
          <w:sz w:val="24"/>
          <w:szCs w:val="24"/>
        </w:rPr>
        <w:t>M</w:t>
      </w:r>
      <w:r w:rsidR="00383AF6" w:rsidRPr="003C38DE">
        <w:rPr>
          <w:sz w:val="24"/>
          <w:szCs w:val="24"/>
        </w:rPr>
        <w:t xml:space="preserve">inister may </w:t>
      </w:r>
      <w:r w:rsidR="00430310" w:rsidRPr="003C38DE">
        <w:rPr>
          <w:sz w:val="24"/>
          <w:szCs w:val="24"/>
        </w:rPr>
        <w:t>terminate the appointment of a B</w:t>
      </w:r>
      <w:r w:rsidR="00383AF6" w:rsidRPr="003C38DE">
        <w:rPr>
          <w:sz w:val="24"/>
          <w:szCs w:val="24"/>
        </w:rPr>
        <w:t xml:space="preserve">oard member if: </w:t>
      </w:r>
    </w:p>
    <w:p w14:paraId="6D865EF9" w14:textId="0538EA42" w:rsidR="000468A2" w:rsidRPr="003C38DE" w:rsidRDefault="00430310" w:rsidP="003C38DE">
      <w:pPr>
        <w:pStyle w:val="Default"/>
        <w:numPr>
          <w:ilvl w:val="1"/>
          <w:numId w:val="11"/>
        </w:numPr>
        <w:tabs>
          <w:tab w:val="clear" w:pos="1440"/>
          <w:tab w:val="num" w:pos="1134"/>
        </w:tabs>
        <w:ind w:left="709"/>
        <w:rPr>
          <w:b/>
        </w:rPr>
      </w:pPr>
      <w:r w:rsidRPr="003C38DE">
        <w:t xml:space="preserve">they </w:t>
      </w:r>
      <w:r w:rsidR="00383AF6" w:rsidRPr="003C38DE">
        <w:t xml:space="preserve">become bankrupt; </w:t>
      </w:r>
      <w:r w:rsidR="00B762E9" w:rsidRPr="003C38DE">
        <w:t xml:space="preserve">or </w:t>
      </w:r>
      <w:r w:rsidR="00383AF6" w:rsidRPr="003C38DE">
        <w:t>applies to take the benefit of any law for the relief of bankrupt or insolvent debtors; or compounds with the Board member’s creditors; or makes an assignment of the Board member’s remuneration for the benefit of the Board member’s creditors</w:t>
      </w:r>
      <w:r w:rsidRPr="003C38DE">
        <w:t xml:space="preserve"> (paragraph 20(2)(a))</w:t>
      </w:r>
      <w:r w:rsidR="00383AF6" w:rsidRPr="003C38DE">
        <w:t>; or</w:t>
      </w:r>
    </w:p>
    <w:p w14:paraId="4AD14450" w14:textId="77777777" w:rsidR="00430310" w:rsidRPr="003C38DE" w:rsidRDefault="00430310" w:rsidP="003C38DE">
      <w:pPr>
        <w:pStyle w:val="Default"/>
        <w:tabs>
          <w:tab w:val="num" w:pos="1134"/>
        </w:tabs>
        <w:ind w:left="709"/>
        <w:rPr>
          <w:b/>
        </w:rPr>
      </w:pPr>
    </w:p>
    <w:p w14:paraId="35C4CA9E" w14:textId="29EA0899" w:rsidR="000468A2" w:rsidRPr="003C38DE" w:rsidRDefault="00383AF6" w:rsidP="003C38DE">
      <w:pPr>
        <w:pStyle w:val="Default"/>
        <w:numPr>
          <w:ilvl w:val="1"/>
          <w:numId w:val="11"/>
        </w:numPr>
        <w:tabs>
          <w:tab w:val="clear" w:pos="1440"/>
          <w:tab w:val="num" w:pos="1134"/>
        </w:tabs>
        <w:ind w:left="709"/>
        <w:rPr>
          <w:b/>
        </w:rPr>
      </w:pPr>
      <w:r w:rsidRPr="003C38DE">
        <w:t xml:space="preserve">the Board member is absent, except on leave of absence, from 3 consecutive meetings of the </w:t>
      </w:r>
      <w:r w:rsidR="00430310" w:rsidRPr="003C38DE">
        <w:t xml:space="preserve">CIRB (paragraph 20(2)(b)); </w:t>
      </w:r>
      <w:r w:rsidR="00B762E9" w:rsidRPr="003C38DE">
        <w:t>or</w:t>
      </w:r>
    </w:p>
    <w:p w14:paraId="1EF6D503" w14:textId="5A08A6EC" w:rsidR="00430310" w:rsidRPr="003C38DE" w:rsidRDefault="00430310" w:rsidP="003C38DE">
      <w:pPr>
        <w:pStyle w:val="Default"/>
        <w:tabs>
          <w:tab w:val="num" w:pos="1134"/>
        </w:tabs>
        <w:ind w:left="709"/>
        <w:rPr>
          <w:b/>
        </w:rPr>
      </w:pPr>
    </w:p>
    <w:p w14:paraId="37790461" w14:textId="64B36C8F" w:rsidR="00430310" w:rsidRPr="003C38DE" w:rsidRDefault="00383AF6" w:rsidP="003C38DE">
      <w:pPr>
        <w:pStyle w:val="Default"/>
        <w:numPr>
          <w:ilvl w:val="1"/>
          <w:numId w:val="11"/>
        </w:numPr>
        <w:tabs>
          <w:tab w:val="clear" w:pos="1440"/>
          <w:tab w:val="num" w:pos="1134"/>
        </w:tabs>
        <w:ind w:left="709"/>
        <w:rPr>
          <w:b/>
        </w:rPr>
      </w:pPr>
      <w:r w:rsidRPr="003C38DE">
        <w:t>the Board member engages in paid work that, in the Minister’s opinion, conflicts or could conflict with the proper performan</w:t>
      </w:r>
      <w:r w:rsidR="00430310" w:rsidRPr="003C38DE">
        <w:t xml:space="preserve">ce of the Board member’s duties (paragraph 20(2)(c)): or </w:t>
      </w:r>
    </w:p>
    <w:p w14:paraId="5258A6EE" w14:textId="23562733" w:rsidR="00430310" w:rsidRPr="003C38DE" w:rsidRDefault="00430310" w:rsidP="003C38DE">
      <w:pPr>
        <w:pStyle w:val="Default"/>
        <w:tabs>
          <w:tab w:val="num" w:pos="1134"/>
        </w:tabs>
        <w:ind w:left="709"/>
        <w:rPr>
          <w:b/>
        </w:rPr>
      </w:pPr>
    </w:p>
    <w:p w14:paraId="78B410B4" w14:textId="570A3794" w:rsidR="00430310" w:rsidRPr="003C38DE" w:rsidRDefault="00383AF6" w:rsidP="003C38DE">
      <w:pPr>
        <w:pStyle w:val="Default"/>
        <w:numPr>
          <w:ilvl w:val="1"/>
          <w:numId w:val="11"/>
        </w:numPr>
        <w:tabs>
          <w:tab w:val="clear" w:pos="1440"/>
          <w:tab w:val="num" w:pos="1134"/>
        </w:tabs>
        <w:ind w:left="709"/>
        <w:rPr>
          <w:b/>
        </w:rPr>
      </w:pPr>
      <w:r w:rsidRPr="003C38DE">
        <w:t xml:space="preserve">Board member fails, without reasonable excuse, to comply with section 29 of the </w:t>
      </w:r>
      <w:r w:rsidR="00430310" w:rsidRPr="003C38DE">
        <w:rPr>
          <w:i/>
          <w:iCs/>
        </w:rPr>
        <w:t>PGPAA</w:t>
      </w:r>
      <w:r w:rsidRPr="003C38DE">
        <w:rPr>
          <w:i/>
          <w:iCs/>
        </w:rPr>
        <w:t xml:space="preserve"> </w:t>
      </w:r>
      <w:r w:rsidRPr="003C38DE">
        <w:t>or rules made for the purposes of that section</w:t>
      </w:r>
      <w:r w:rsidR="00430310" w:rsidRPr="003C38DE">
        <w:t xml:space="preserve"> (paragraph 20(2)(d))</w:t>
      </w:r>
      <w:r w:rsidRPr="003C38DE">
        <w:t>; or</w:t>
      </w:r>
    </w:p>
    <w:p w14:paraId="279BA101" w14:textId="0D5470BC" w:rsidR="005A7A35" w:rsidRPr="003C38DE" w:rsidRDefault="005A7A35" w:rsidP="003C38DE">
      <w:pPr>
        <w:pStyle w:val="Default"/>
        <w:tabs>
          <w:tab w:val="num" w:pos="1134"/>
        </w:tabs>
        <w:ind w:left="709"/>
        <w:rPr>
          <w:b/>
        </w:rPr>
      </w:pPr>
    </w:p>
    <w:p w14:paraId="6567FC85" w14:textId="111797BD" w:rsidR="00B17E8A" w:rsidRPr="003C38DE" w:rsidRDefault="000468A2" w:rsidP="003C38DE">
      <w:pPr>
        <w:pStyle w:val="Default"/>
        <w:numPr>
          <w:ilvl w:val="1"/>
          <w:numId w:val="11"/>
        </w:numPr>
        <w:tabs>
          <w:tab w:val="clear" w:pos="1440"/>
          <w:tab w:val="num" w:pos="1134"/>
        </w:tabs>
        <w:ind w:left="709"/>
        <w:rPr>
          <w:b/>
        </w:rPr>
      </w:pPr>
      <w:r w:rsidRPr="003C38DE">
        <w:t>The</w:t>
      </w:r>
      <w:r w:rsidR="00383AF6" w:rsidRPr="003C38DE">
        <w:t xml:space="preserve"> Minister ceases to be satisfied of any of the matters in subsection 13(1) (eligibility for appointment as Board member) in relation to the Board member</w:t>
      </w:r>
      <w:r w:rsidR="009C531D" w:rsidRPr="003C38DE">
        <w:t xml:space="preserve"> (paragraph 20(2)(e</w:t>
      </w:r>
      <w:r w:rsidR="00430310" w:rsidRPr="003C38DE">
        <w:t>))</w:t>
      </w:r>
      <w:r w:rsidR="00383AF6" w:rsidRPr="003C38DE">
        <w:t>.</w:t>
      </w:r>
    </w:p>
    <w:p w14:paraId="64B5270D" w14:textId="4D09A35A" w:rsidR="007137D3" w:rsidRPr="003C38DE" w:rsidRDefault="00F14B95" w:rsidP="000756AF">
      <w:pPr>
        <w:pStyle w:val="ESPara"/>
        <w:numPr>
          <w:ilvl w:val="0"/>
          <w:numId w:val="0"/>
        </w:numPr>
        <w:ind w:left="360"/>
        <w:rPr>
          <w:rStyle w:val="normaltextrun"/>
          <w:color w:val="000000"/>
          <w:sz w:val="24"/>
          <w:szCs w:val="24"/>
        </w:rPr>
      </w:pPr>
      <w:r w:rsidRPr="003C38DE">
        <w:rPr>
          <w:rStyle w:val="normaltextrun"/>
          <w:color w:val="000000"/>
          <w:sz w:val="24"/>
          <w:szCs w:val="24"/>
        </w:rPr>
        <w:t xml:space="preserve">The Minister </w:t>
      </w:r>
      <w:r w:rsidR="005D4664" w:rsidRPr="003C38DE">
        <w:rPr>
          <w:rStyle w:val="normaltextrun"/>
          <w:color w:val="000000"/>
          <w:sz w:val="24"/>
          <w:szCs w:val="24"/>
        </w:rPr>
        <w:t xml:space="preserve">will terminate </w:t>
      </w:r>
      <w:r w:rsidR="000756AF" w:rsidRPr="003C38DE">
        <w:rPr>
          <w:rStyle w:val="normaltextrun"/>
          <w:color w:val="000000"/>
          <w:sz w:val="24"/>
          <w:szCs w:val="24"/>
        </w:rPr>
        <w:t xml:space="preserve">the </w:t>
      </w:r>
      <w:r w:rsidR="005D4664" w:rsidRPr="003C38DE">
        <w:rPr>
          <w:rStyle w:val="normaltextrun"/>
          <w:color w:val="000000"/>
          <w:sz w:val="24"/>
          <w:szCs w:val="24"/>
        </w:rPr>
        <w:t>appointment of Board members as</w:t>
      </w:r>
      <w:r w:rsidRPr="003C38DE">
        <w:rPr>
          <w:rStyle w:val="normaltextrun"/>
          <w:color w:val="000000"/>
          <w:sz w:val="24"/>
          <w:szCs w:val="24"/>
        </w:rPr>
        <w:t xml:space="preserve"> a last resort to resolve issues</w:t>
      </w:r>
      <w:r w:rsidR="005D4664" w:rsidRPr="003C38DE">
        <w:rPr>
          <w:rStyle w:val="normaltextrun"/>
          <w:color w:val="000000"/>
          <w:sz w:val="24"/>
          <w:szCs w:val="24"/>
        </w:rPr>
        <w:t xml:space="preserve">, </w:t>
      </w:r>
      <w:r w:rsidR="000756AF" w:rsidRPr="003C38DE">
        <w:rPr>
          <w:rStyle w:val="normaltextrun"/>
          <w:color w:val="000000"/>
          <w:sz w:val="24"/>
          <w:szCs w:val="24"/>
        </w:rPr>
        <w:t xml:space="preserve">and where existing mechanisms available to the CIRB are insufficient to </w:t>
      </w:r>
      <w:r w:rsidRPr="003C38DE">
        <w:rPr>
          <w:rStyle w:val="normaltextrun"/>
          <w:color w:val="000000"/>
          <w:sz w:val="24"/>
          <w:szCs w:val="24"/>
        </w:rPr>
        <w:t>resolve issues arising from the behaviour, circumstances or attendance of a Board member.</w:t>
      </w:r>
    </w:p>
    <w:p w14:paraId="2ABAF28A" w14:textId="05CC7F27" w:rsidR="00A24CEF" w:rsidRPr="003C38DE" w:rsidRDefault="00F14B95" w:rsidP="000756AF">
      <w:pPr>
        <w:pStyle w:val="ESPara"/>
        <w:numPr>
          <w:ilvl w:val="0"/>
          <w:numId w:val="0"/>
        </w:numPr>
        <w:ind w:left="360"/>
        <w:rPr>
          <w:rStyle w:val="normaltextrun"/>
          <w:color w:val="000000"/>
          <w:sz w:val="24"/>
          <w:szCs w:val="24"/>
        </w:rPr>
      </w:pPr>
      <w:r w:rsidRPr="003C38DE">
        <w:rPr>
          <w:rStyle w:val="normaltextrun"/>
          <w:color w:val="000000"/>
          <w:sz w:val="24"/>
          <w:szCs w:val="24"/>
        </w:rPr>
        <w:t xml:space="preserve">By defining a limited scope for the Minister to exercise this power, the </w:t>
      </w:r>
      <w:r w:rsidR="000756AF" w:rsidRPr="003C38DE">
        <w:rPr>
          <w:rStyle w:val="normaltextrun"/>
          <w:color w:val="000000"/>
          <w:sz w:val="24"/>
          <w:szCs w:val="24"/>
        </w:rPr>
        <w:t xml:space="preserve">CIRB </w:t>
      </w:r>
      <w:r w:rsidRPr="003C38DE">
        <w:rPr>
          <w:rStyle w:val="normaltextrun"/>
          <w:color w:val="000000"/>
          <w:sz w:val="24"/>
          <w:szCs w:val="24"/>
        </w:rPr>
        <w:t>retains the independence to manage its own functions and governance whilst ensuring an appropriate level of oversight and accountability.</w:t>
      </w:r>
      <w:r w:rsidR="00A24CEF" w:rsidRPr="003C38DE">
        <w:rPr>
          <w:rStyle w:val="normaltextrun"/>
          <w:color w:val="000000"/>
          <w:sz w:val="24"/>
          <w:szCs w:val="24"/>
        </w:rPr>
        <w:t xml:space="preserve"> </w:t>
      </w:r>
    </w:p>
    <w:p w14:paraId="1675C0AC" w14:textId="03F8C69F" w:rsidR="00B17E8A" w:rsidRPr="003C38DE" w:rsidRDefault="00325E14" w:rsidP="00CD5D6D">
      <w:pPr>
        <w:pStyle w:val="ESAttHeading"/>
        <w:keepNext w:val="0"/>
        <w:widowControl w:val="0"/>
        <w:rPr>
          <w:sz w:val="24"/>
          <w:szCs w:val="24"/>
        </w:rPr>
      </w:pPr>
      <w:r w:rsidRPr="003C38DE">
        <w:rPr>
          <w:sz w:val="24"/>
          <w:szCs w:val="24"/>
        </w:rPr>
        <w:t xml:space="preserve">Division 4 – Expert Panel </w:t>
      </w:r>
    </w:p>
    <w:p w14:paraId="1DA3FDF0" w14:textId="22F845D5" w:rsidR="00325E14" w:rsidRPr="003C38DE" w:rsidRDefault="00383AF6" w:rsidP="00CD5D6D">
      <w:pPr>
        <w:pStyle w:val="ESAttHeading"/>
        <w:keepNext w:val="0"/>
        <w:widowControl w:val="0"/>
        <w:rPr>
          <w:sz w:val="24"/>
          <w:szCs w:val="24"/>
        </w:rPr>
      </w:pPr>
      <w:r w:rsidRPr="003C38DE">
        <w:rPr>
          <w:sz w:val="24"/>
          <w:szCs w:val="24"/>
        </w:rPr>
        <w:t>Section 21</w:t>
      </w:r>
      <w:r w:rsidR="00325E14" w:rsidRPr="003C38DE">
        <w:rPr>
          <w:sz w:val="24"/>
          <w:szCs w:val="24"/>
        </w:rPr>
        <w:tab/>
        <w:t>Purpose of this Division</w:t>
      </w:r>
    </w:p>
    <w:p w14:paraId="079D8019" w14:textId="385C5703" w:rsidR="00A01B2A" w:rsidRPr="003C38DE" w:rsidRDefault="00A01B2A" w:rsidP="00360638">
      <w:pPr>
        <w:pStyle w:val="ESPara"/>
        <w:numPr>
          <w:ilvl w:val="0"/>
          <w:numId w:val="0"/>
        </w:numPr>
        <w:ind w:left="360"/>
        <w:rPr>
          <w:sz w:val="24"/>
          <w:szCs w:val="24"/>
        </w:rPr>
      </w:pPr>
      <w:r w:rsidRPr="003C38DE">
        <w:rPr>
          <w:sz w:val="24"/>
          <w:szCs w:val="24"/>
        </w:rPr>
        <w:t>Section 21 provides an application provision for Part 2, Division 4 of the Rules. The application provision provides that Division 4 is made for the purpose of subsection 70(5) of the Act.</w:t>
      </w:r>
    </w:p>
    <w:p w14:paraId="51B6A4E6" w14:textId="77777777" w:rsidR="00627AD4" w:rsidRPr="003C38DE" w:rsidRDefault="00627AD4" w:rsidP="00627AD4">
      <w:pPr>
        <w:pStyle w:val="ESPara"/>
        <w:numPr>
          <w:ilvl w:val="0"/>
          <w:numId w:val="0"/>
        </w:numPr>
        <w:ind w:left="360"/>
        <w:rPr>
          <w:sz w:val="24"/>
          <w:szCs w:val="24"/>
        </w:rPr>
      </w:pPr>
      <w:r w:rsidRPr="003C38DE">
        <w:rPr>
          <w:sz w:val="24"/>
          <w:szCs w:val="24"/>
        </w:rPr>
        <w:t xml:space="preserve">Under the Act, the CIRB may establish an Expert Panel. One or more members of the Expert Panel may be appointed to assist in relation to a review conducted under this Part. Expert Panel members are persons with a particular expertise relevant to matters that may be called up to the review panel to assist the CIRB in conducting its review into a particular cyber security incident. </w:t>
      </w:r>
    </w:p>
    <w:p w14:paraId="0E0712DB" w14:textId="4F916EBA" w:rsidR="00280709" w:rsidRPr="003C38DE" w:rsidRDefault="00280709" w:rsidP="00360638">
      <w:pPr>
        <w:pStyle w:val="ESPara"/>
        <w:numPr>
          <w:ilvl w:val="0"/>
          <w:numId w:val="0"/>
        </w:numPr>
        <w:ind w:left="360"/>
        <w:rPr>
          <w:sz w:val="24"/>
          <w:szCs w:val="24"/>
        </w:rPr>
      </w:pPr>
      <w:r w:rsidRPr="003C38DE">
        <w:rPr>
          <w:sz w:val="24"/>
          <w:szCs w:val="24"/>
        </w:rPr>
        <w:lastRenderedPageBreak/>
        <w:t>Subsection 70(</w:t>
      </w:r>
      <w:r w:rsidR="009368FA" w:rsidRPr="003C38DE">
        <w:rPr>
          <w:sz w:val="24"/>
          <w:szCs w:val="24"/>
        </w:rPr>
        <w:t>5</w:t>
      </w:r>
      <w:r w:rsidRPr="003C38DE">
        <w:rPr>
          <w:sz w:val="24"/>
          <w:szCs w:val="24"/>
        </w:rPr>
        <w:t xml:space="preserve">) </w:t>
      </w:r>
      <w:r w:rsidR="00A01B2A" w:rsidRPr="003C38DE">
        <w:rPr>
          <w:sz w:val="24"/>
          <w:szCs w:val="24"/>
        </w:rPr>
        <w:t xml:space="preserve">of the Act </w:t>
      </w:r>
      <w:r w:rsidRPr="003C38DE">
        <w:rPr>
          <w:sz w:val="24"/>
          <w:szCs w:val="24"/>
        </w:rPr>
        <w:t>empowers rules to be made for the provision for or in relation to the appointment of</w:t>
      </w:r>
      <w:r w:rsidR="00A01B2A" w:rsidRPr="003C38DE">
        <w:rPr>
          <w:sz w:val="24"/>
          <w:szCs w:val="24"/>
        </w:rPr>
        <w:t xml:space="preserve"> the Expert Panel</w:t>
      </w:r>
      <w:r w:rsidRPr="003C38DE">
        <w:rPr>
          <w:sz w:val="24"/>
          <w:szCs w:val="24"/>
        </w:rPr>
        <w:t>, including in relation to</w:t>
      </w:r>
      <w:r w:rsidR="00A01B2A" w:rsidRPr="003C38DE">
        <w:rPr>
          <w:sz w:val="24"/>
          <w:szCs w:val="24"/>
        </w:rPr>
        <w:t xml:space="preserve"> membership of the Expert Panel, </w:t>
      </w:r>
      <w:r w:rsidRPr="003C38DE">
        <w:rPr>
          <w:sz w:val="24"/>
          <w:szCs w:val="24"/>
        </w:rPr>
        <w:t>appointment</w:t>
      </w:r>
      <w:r w:rsidR="004E63B7" w:rsidRPr="003C38DE">
        <w:rPr>
          <w:sz w:val="24"/>
          <w:szCs w:val="24"/>
        </w:rPr>
        <w:t xml:space="preserve"> and terms of appointment</w:t>
      </w:r>
      <w:r w:rsidRPr="003C38DE">
        <w:rPr>
          <w:sz w:val="24"/>
          <w:szCs w:val="24"/>
        </w:rPr>
        <w:t>.</w:t>
      </w:r>
    </w:p>
    <w:p w14:paraId="5FD3AE4B" w14:textId="3F0674A2" w:rsidR="00325E14" w:rsidRPr="003C38DE" w:rsidRDefault="00383AF6" w:rsidP="00CD5D6D">
      <w:pPr>
        <w:pStyle w:val="ESAttHeading"/>
        <w:keepNext w:val="0"/>
        <w:widowControl w:val="0"/>
        <w:rPr>
          <w:sz w:val="24"/>
          <w:szCs w:val="24"/>
        </w:rPr>
      </w:pPr>
      <w:r w:rsidRPr="003C38DE">
        <w:rPr>
          <w:sz w:val="24"/>
          <w:szCs w:val="24"/>
        </w:rPr>
        <w:t>Section 22</w:t>
      </w:r>
      <w:r w:rsidR="00325E14" w:rsidRPr="003C38DE">
        <w:rPr>
          <w:sz w:val="24"/>
          <w:szCs w:val="24"/>
        </w:rPr>
        <w:tab/>
        <w:t>Appointments to the Expert Panel</w:t>
      </w:r>
    </w:p>
    <w:p w14:paraId="77D95FF3" w14:textId="64F30BE7" w:rsidR="00D727BD" w:rsidRPr="003C38DE" w:rsidRDefault="004E63B7" w:rsidP="000756AF">
      <w:pPr>
        <w:pStyle w:val="ESPara"/>
        <w:numPr>
          <w:ilvl w:val="0"/>
          <w:numId w:val="0"/>
        </w:numPr>
        <w:ind w:left="360"/>
        <w:rPr>
          <w:sz w:val="24"/>
          <w:szCs w:val="24"/>
        </w:rPr>
      </w:pPr>
      <w:r w:rsidRPr="003C38DE">
        <w:rPr>
          <w:sz w:val="24"/>
          <w:szCs w:val="24"/>
        </w:rPr>
        <w:t xml:space="preserve">Section 22 </w:t>
      </w:r>
      <w:r w:rsidR="00D727BD" w:rsidRPr="003C38DE">
        <w:rPr>
          <w:sz w:val="24"/>
          <w:szCs w:val="24"/>
        </w:rPr>
        <w:t xml:space="preserve">provides </w:t>
      </w:r>
      <w:r w:rsidRPr="003C38DE">
        <w:rPr>
          <w:sz w:val="24"/>
          <w:szCs w:val="24"/>
        </w:rPr>
        <w:t xml:space="preserve">provisions for the appointment of the Expert Panel. This section is made under paragraph 70(5)(b) of the Act. </w:t>
      </w:r>
      <w:r w:rsidR="000468A2" w:rsidRPr="003C38DE">
        <w:rPr>
          <w:sz w:val="24"/>
          <w:szCs w:val="24"/>
        </w:rPr>
        <w:t>Subsection 22(1) provides</w:t>
      </w:r>
      <w:r w:rsidR="00D727BD" w:rsidRPr="003C38DE">
        <w:rPr>
          <w:sz w:val="24"/>
          <w:szCs w:val="24"/>
        </w:rPr>
        <w:t xml:space="preserve"> that an appoin</w:t>
      </w:r>
      <w:r w:rsidRPr="003C38DE">
        <w:rPr>
          <w:sz w:val="24"/>
          <w:szCs w:val="24"/>
        </w:rPr>
        <w:t>tment to the Expert P</w:t>
      </w:r>
      <w:r w:rsidR="00D727BD" w:rsidRPr="003C38DE">
        <w:rPr>
          <w:sz w:val="24"/>
          <w:szCs w:val="24"/>
        </w:rPr>
        <w:t xml:space="preserve">anel is on a part-time basis. </w:t>
      </w:r>
    </w:p>
    <w:p w14:paraId="2C1454CF" w14:textId="329A09E4" w:rsidR="00D727BD" w:rsidRPr="003C38DE" w:rsidRDefault="000468A2" w:rsidP="000756AF">
      <w:pPr>
        <w:pStyle w:val="ESPara"/>
        <w:numPr>
          <w:ilvl w:val="0"/>
          <w:numId w:val="0"/>
        </w:numPr>
        <w:ind w:left="360"/>
        <w:rPr>
          <w:sz w:val="24"/>
          <w:szCs w:val="24"/>
        </w:rPr>
      </w:pPr>
      <w:r w:rsidRPr="003C38DE">
        <w:rPr>
          <w:sz w:val="24"/>
          <w:szCs w:val="24"/>
        </w:rPr>
        <w:t xml:space="preserve">Subsection 22(2) </w:t>
      </w:r>
      <w:r w:rsidR="00D727BD" w:rsidRPr="003C38DE">
        <w:rPr>
          <w:sz w:val="24"/>
          <w:szCs w:val="24"/>
        </w:rPr>
        <w:t xml:space="preserve">provides that a member of the Expert Panel holds office for the period specified </w:t>
      </w:r>
      <w:r w:rsidRPr="003C38DE">
        <w:rPr>
          <w:sz w:val="24"/>
          <w:szCs w:val="24"/>
        </w:rPr>
        <w:t>in the instrument of appointment and</w:t>
      </w:r>
      <w:r w:rsidR="00D727BD" w:rsidRPr="003C38DE">
        <w:rPr>
          <w:sz w:val="24"/>
          <w:szCs w:val="24"/>
        </w:rPr>
        <w:t xml:space="preserve"> must not exceed 4 years.</w:t>
      </w:r>
    </w:p>
    <w:p w14:paraId="59C4D860" w14:textId="15912B55" w:rsidR="000468A2" w:rsidRPr="003C38DE" w:rsidRDefault="000468A2" w:rsidP="000756AF">
      <w:pPr>
        <w:pStyle w:val="ESPara"/>
        <w:numPr>
          <w:ilvl w:val="0"/>
          <w:numId w:val="0"/>
        </w:numPr>
        <w:ind w:left="360"/>
        <w:rPr>
          <w:sz w:val="24"/>
          <w:szCs w:val="24"/>
        </w:rPr>
      </w:pPr>
      <w:r w:rsidRPr="003C38DE">
        <w:rPr>
          <w:sz w:val="24"/>
          <w:szCs w:val="24"/>
        </w:rPr>
        <w:t>Subsection 22(3)</w:t>
      </w:r>
      <w:r w:rsidR="008538BD" w:rsidRPr="003C38DE">
        <w:rPr>
          <w:sz w:val="24"/>
          <w:szCs w:val="24"/>
        </w:rPr>
        <w:t>(a)</w:t>
      </w:r>
      <w:r w:rsidRPr="003C38DE">
        <w:rPr>
          <w:sz w:val="24"/>
          <w:szCs w:val="24"/>
        </w:rPr>
        <w:t xml:space="preserve"> </w:t>
      </w:r>
      <w:r w:rsidR="00D727BD" w:rsidRPr="003C38DE">
        <w:rPr>
          <w:sz w:val="24"/>
          <w:szCs w:val="24"/>
        </w:rPr>
        <w:t>provides that a person is only eligible to be appointed as a</w:t>
      </w:r>
      <w:r w:rsidR="004E63B7" w:rsidRPr="003C38DE">
        <w:rPr>
          <w:sz w:val="24"/>
          <w:szCs w:val="24"/>
        </w:rPr>
        <w:t xml:space="preserve"> member of the Expert Panel if </w:t>
      </w:r>
      <w:r w:rsidR="00D727BD" w:rsidRPr="003C38DE">
        <w:rPr>
          <w:sz w:val="24"/>
          <w:szCs w:val="24"/>
        </w:rPr>
        <w:t>the person either:</w:t>
      </w:r>
    </w:p>
    <w:p w14:paraId="77031640" w14:textId="154A80BB" w:rsidR="000468A2" w:rsidRPr="003C38DE" w:rsidRDefault="00D727BD"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holds, or is eligible to hold, an Australian Government security clearance that allows the person</w:t>
      </w:r>
      <w:r w:rsidR="00180891" w:rsidRPr="003C38DE">
        <w:rPr>
          <w:b w:val="0"/>
          <w:sz w:val="24"/>
          <w:szCs w:val="24"/>
        </w:rPr>
        <w:t xml:space="preserve"> to</w:t>
      </w:r>
      <w:r w:rsidRPr="003C38DE">
        <w:rPr>
          <w:b w:val="0"/>
          <w:sz w:val="24"/>
          <w:szCs w:val="24"/>
        </w:rPr>
        <w:t xml:space="preserve"> access to information that has a security classification of at least secret</w:t>
      </w:r>
      <w:r w:rsidR="004E63B7" w:rsidRPr="003C38DE">
        <w:rPr>
          <w:b w:val="0"/>
          <w:sz w:val="24"/>
          <w:szCs w:val="24"/>
        </w:rPr>
        <w:t xml:space="preserve"> (subparagraph 22(3)(a)(i))</w:t>
      </w:r>
      <w:r w:rsidRPr="003C38DE">
        <w:rPr>
          <w:b w:val="0"/>
          <w:sz w:val="24"/>
          <w:szCs w:val="24"/>
        </w:rPr>
        <w:t xml:space="preserve">; or </w:t>
      </w:r>
    </w:p>
    <w:p w14:paraId="70084DA4" w14:textId="66394F23" w:rsidR="000468A2" w:rsidRPr="003C38DE" w:rsidRDefault="00D727BD"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holds an equivalent security clearance recognised by the Commonwealth for the purposes of allowing the person</w:t>
      </w:r>
      <w:r w:rsidR="00180891" w:rsidRPr="003C38DE">
        <w:rPr>
          <w:b w:val="0"/>
          <w:sz w:val="24"/>
          <w:szCs w:val="24"/>
        </w:rPr>
        <w:t xml:space="preserve"> to</w:t>
      </w:r>
      <w:r w:rsidRPr="003C38DE">
        <w:rPr>
          <w:b w:val="0"/>
          <w:sz w:val="24"/>
          <w:szCs w:val="24"/>
        </w:rPr>
        <w:t xml:space="preserve"> access to information that has a security classification of at least secret</w:t>
      </w:r>
      <w:r w:rsidR="004E63B7" w:rsidRPr="003C38DE">
        <w:rPr>
          <w:b w:val="0"/>
          <w:sz w:val="24"/>
          <w:szCs w:val="24"/>
        </w:rPr>
        <w:t xml:space="preserve"> (subparagraph 22(3)(a)(ii))</w:t>
      </w:r>
      <w:r w:rsidR="00180891" w:rsidRPr="003C38DE">
        <w:rPr>
          <w:b w:val="0"/>
          <w:sz w:val="24"/>
          <w:szCs w:val="24"/>
        </w:rPr>
        <w:t>.</w:t>
      </w:r>
    </w:p>
    <w:p w14:paraId="3610CF4F" w14:textId="7DB049E7" w:rsidR="000468A2" w:rsidRPr="003C38DE" w:rsidRDefault="000468A2" w:rsidP="000756AF">
      <w:pPr>
        <w:pStyle w:val="ESPara"/>
        <w:numPr>
          <w:ilvl w:val="0"/>
          <w:numId w:val="0"/>
        </w:numPr>
        <w:ind w:left="360"/>
        <w:rPr>
          <w:sz w:val="24"/>
          <w:szCs w:val="24"/>
        </w:rPr>
      </w:pPr>
      <w:r w:rsidRPr="003C38DE">
        <w:rPr>
          <w:sz w:val="24"/>
          <w:szCs w:val="24"/>
        </w:rPr>
        <w:t>Subsection 22(3)</w:t>
      </w:r>
      <w:r w:rsidR="008538BD" w:rsidRPr="003C38DE">
        <w:rPr>
          <w:sz w:val="24"/>
          <w:szCs w:val="24"/>
        </w:rPr>
        <w:t>(b)</w:t>
      </w:r>
      <w:r w:rsidRPr="003C38DE">
        <w:rPr>
          <w:sz w:val="24"/>
          <w:szCs w:val="24"/>
        </w:rPr>
        <w:t xml:space="preserve"> provides further </w:t>
      </w:r>
      <w:r w:rsidR="000E227F" w:rsidRPr="003C38DE">
        <w:rPr>
          <w:sz w:val="24"/>
          <w:szCs w:val="24"/>
        </w:rPr>
        <w:t xml:space="preserve">criteria on </w:t>
      </w:r>
      <w:r w:rsidR="004E63B7" w:rsidRPr="003C38DE">
        <w:rPr>
          <w:sz w:val="24"/>
          <w:szCs w:val="24"/>
        </w:rPr>
        <w:t>eligibility for appointment to the Expert Panel. In addition to holding the appropriate security clearance, a person must also hold or possess one of the following:</w:t>
      </w:r>
    </w:p>
    <w:p w14:paraId="7BBA540C" w14:textId="793AD045" w:rsidR="000E227F"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a degree from a university, or an educational qualification of a similar standing, in the field of law and has significant experience working in that field</w:t>
      </w:r>
      <w:r w:rsidR="003E1ADF" w:rsidRPr="003C38DE">
        <w:rPr>
          <w:b w:val="0"/>
          <w:sz w:val="24"/>
          <w:szCs w:val="24"/>
        </w:rPr>
        <w:t xml:space="preserve"> (subparagraph 22(3)(b)(i)); </w:t>
      </w:r>
    </w:p>
    <w:p w14:paraId="1A798F21" w14:textId="2B7B95F1" w:rsidR="000E227F"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an educational qualification in the field of cyber security, information technology, computer networks or software engineering</w:t>
      </w:r>
      <w:r w:rsidR="003E1ADF" w:rsidRPr="003C38DE">
        <w:rPr>
          <w:b w:val="0"/>
          <w:sz w:val="24"/>
          <w:szCs w:val="24"/>
        </w:rPr>
        <w:t xml:space="preserve"> (subparagraph 22(3)(b)(ii)</w:t>
      </w:r>
      <w:r w:rsidR="00B762E9" w:rsidRPr="003C38DE">
        <w:rPr>
          <w:b w:val="0"/>
          <w:sz w:val="24"/>
          <w:szCs w:val="24"/>
        </w:rPr>
        <w:t>)</w:t>
      </w:r>
      <w:r w:rsidR="003E1ADF" w:rsidRPr="003C38DE">
        <w:rPr>
          <w:b w:val="0"/>
          <w:sz w:val="24"/>
          <w:szCs w:val="24"/>
        </w:rPr>
        <w:t xml:space="preserve">; </w:t>
      </w:r>
    </w:p>
    <w:p w14:paraId="39A1E2FF" w14:textId="30C54C48" w:rsidR="000E227F"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has significant experience working in the field of cyber security or information security</w:t>
      </w:r>
      <w:r w:rsidR="003E1ADF" w:rsidRPr="003C38DE">
        <w:rPr>
          <w:b w:val="0"/>
          <w:sz w:val="24"/>
          <w:szCs w:val="24"/>
        </w:rPr>
        <w:t xml:space="preserve"> (subparagraph 22(3)(b)(iii)</w:t>
      </w:r>
      <w:r w:rsidR="00310028" w:rsidRPr="003C38DE">
        <w:rPr>
          <w:b w:val="0"/>
          <w:sz w:val="24"/>
          <w:szCs w:val="24"/>
        </w:rPr>
        <w:t>)</w:t>
      </w:r>
      <w:r w:rsidR="003E1ADF" w:rsidRPr="003C38DE">
        <w:rPr>
          <w:b w:val="0"/>
          <w:sz w:val="24"/>
          <w:szCs w:val="24"/>
        </w:rPr>
        <w:t xml:space="preserve">; </w:t>
      </w:r>
    </w:p>
    <w:p w14:paraId="522DDB50" w14:textId="0AA8ADAC" w:rsidR="000E227F"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holds a relevant Commonwealth, State or Territory government position at an appropriately senior level</w:t>
      </w:r>
      <w:r w:rsidR="003E1ADF" w:rsidRPr="003C38DE">
        <w:rPr>
          <w:b w:val="0"/>
          <w:sz w:val="24"/>
          <w:szCs w:val="24"/>
        </w:rPr>
        <w:t xml:space="preserve"> (subparagraph 22(3(b)(iv))</w:t>
      </w:r>
      <w:r w:rsidRPr="003C38DE">
        <w:rPr>
          <w:b w:val="0"/>
          <w:sz w:val="24"/>
          <w:szCs w:val="24"/>
        </w:rPr>
        <w:t xml:space="preserve">; or </w:t>
      </w:r>
    </w:p>
    <w:p w14:paraId="19FECE41" w14:textId="041B4507" w:rsidR="000E227F"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has significant experience in audit, assurance or review processes, public administration or financial or prudential regulation</w:t>
      </w:r>
      <w:r w:rsidR="003E1ADF" w:rsidRPr="003C38DE">
        <w:rPr>
          <w:b w:val="0"/>
          <w:sz w:val="24"/>
          <w:szCs w:val="24"/>
        </w:rPr>
        <w:t xml:space="preserve"> (subparagraph 22(3)(b)(v))</w:t>
      </w:r>
      <w:r w:rsidRPr="003C38DE">
        <w:rPr>
          <w:b w:val="0"/>
          <w:sz w:val="24"/>
          <w:szCs w:val="24"/>
        </w:rPr>
        <w:t xml:space="preserve">; or </w:t>
      </w:r>
    </w:p>
    <w:p w14:paraId="09A6612B" w14:textId="77777777" w:rsidR="003E1ADF"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has significant experience in incident</w:t>
      </w:r>
      <w:r w:rsidR="003E1ADF" w:rsidRPr="003C38DE">
        <w:rPr>
          <w:b w:val="0"/>
          <w:sz w:val="24"/>
          <w:szCs w:val="24"/>
        </w:rPr>
        <w:t xml:space="preserve"> management or crisis response (subparagraph 22(3)(b)(vi));</w:t>
      </w:r>
    </w:p>
    <w:p w14:paraId="2B47A59C" w14:textId="13BAB782" w:rsidR="000E227F" w:rsidRPr="003C38DE" w:rsidRDefault="003E1ADF"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 xml:space="preserve">has significant experience in a critical infrastructure sector (within the meaning of the </w:t>
      </w:r>
      <w:r w:rsidRPr="003C38DE">
        <w:rPr>
          <w:b w:val="0"/>
          <w:i/>
          <w:sz w:val="24"/>
          <w:szCs w:val="24"/>
        </w:rPr>
        <w:lastRenderedPageBreak/>
        <w:t>Security of Critical Infrastructure Act 2018</w:t>
      </w:r>
      <w:r w:rsidRPr="003C38DE">
        <w:rPr>
          <w:b w:val="0"/>
          <w:sz w:val="24"/>
          <w:szCs w:val="24"/>
        </w:rPr>
        <w:t>) (subparagraph 22(3)(b)(vii)); or</w:t>
      </w:r>
    </w:p>
    <w:p w14:paraId="7B801B28" w14:textId="1BACC8F5" w:rsidR="00B17E8A" w:rsidRPr="003C38DE" w:rsidRDefault="004E5E39" w:rsidP="003C38DE">
      <w:pPr>
        <w:pStyle w:val="ESAttHeading"/>
        <w:keepNext w:val="0"/>
        <w:widowControl w:val="0"/>
        <w:numPr>
          <w:ilvl w:val="1"/>
          <w:numId w:val="11"/>
        </w:numPr>
        <w:tabs>
          <w:tab w:val="clear" w:pos="1440"/>
          <w:tab w:val="num" w:pos="1134"/>
        </w:tabs>
        <w:ind w:left="709"/>
        <w:rPr>
          <w:b w:val="0"/>
          <w:sz w:val="24"/>
          <w:szCs w:val="24"/>
        </w:rPr>
      </w:pPr>
      <w:r w:rsidRPr="003C38DE">
        <w:rPr>
          <w:b w:val="0"/>
          <w:sz w:val="24"/>
          <w:szCs w:val="24"/>
        </w:rPr>
        <w:t>has significant academic qualifications o</w:t>
      </w:r>
      <w:r w:rsidR="003E1ADF" w:rsidRPr="003C38DE">
        <w:rPr>
          <w:b w:val="0"/>
          <w:sz w:val="24"/>
          <w:szCs w:val="24"/>
        </w:rPr>
        <w:t>r knowledge in a relevant field (subparagraph 22(3)(b)(viii)</w:t>
      </w:r>
      <w:r w:rsidR="00310028" w:rsidRPr="003C38DE">
        <w:rPr>
          <w:b w:val="0"/>
          <w:sz w:val="24"/>
          <w:szCs w:val="24"/>
        </w:rPr>
        <w:t>).</w:t>
      </w:r>
    </w:p>
    <w:p w14:paraId="0271BA8B" w14:textId="3E9BF120" w:rsidR="006940C8" w:rsidRPr="003C38DE" w:rsidRDefault="006940C8" w:rsidP="000756AF">
      <w:pPr>
        <w:pStyle w:val="ESPara"/>
        <w:numPr>
          <w:ilvl w:val="0"/>
          <w:numId w:val="0"/>
        </w:numPr>
        <w:ind w:left="360"/>
        <w:rPr>
          <w:sz w:val="24"/>
          <w:szCs w:val="24"/>
        </w:rPr>
      </w:pPr>
      <w:r w:rsidRPr="003C38DE">
        <w:rPr>
          <w:sz w:val="24"/>
          <w:szCs w:val="24"/>
        </w:rPr>
        <w:t xml:space="preserve">The eligibility criteria for the Expert Panel mirrors that of the </w:t>
      </w:r>
      <w:r w:rsidR="000756AF" w:rsidRPr="003C38DE">
        <w:rPr>
          <w:sz w:val="24"/>
          <w:szCs w:val="24"/>
        </w:rPr>
        <w:t>standing members</w:t>
      </w:r>
      <w:r w:rsidRPr="003C38DE">
        <w:rPr>
          <w:sz w:val="24"/>
          <w:szCs w:val="24"/>
        </w:rPr>
        <w:t xml:space="preserve"> </w:t>
      </w:r>
      <w:r w:rsidR="00B4565B" w:rsidRPr="003C38DE">
        <w:rPr>
          <w:sz w:val="24"/>
          <w:szCs w:val="24"/>
        </w:rPr>
        <w:t xml:space="preserve">to ensure that the </w:t>
      </w:r>
      <w:r w:rsidR="000756AF" w:rsidRPr="003C38DE">
        <w:rPr>
          <w:sz w:val="24"/>
          <w:szCs w:val="24"/>
        </w:rPr>
        <w:t>CIRB</w:t>
      </w:r>
      <w:r w:rsidR="00B4565B" w:rsidRPr="003C38DE">
        <w:rPr>
          <w:sz w:val="24"/>
          <w:szCs w:val="24"/>
        </w:rPr>
        <w:t xml:space="preserve"> is able to appoint </w:t>
      </w:r>
      <w:r w:rsidR="005D4664" w:rsidRPr="003C38DE">
        <w:rPr>
          <w:sz w:val="24"/>
          <w:szCs w:val="24"/>
        </w:rPr>
        <w:t>persons with a suitable variety</w:t>
      </w:r>
      <w:r w:rsidR="00B4565B" w:rsidRPr="003C38DE">
        <w:rPr>
          <w:sz w:val="24"/>
          <w:szCs w:val="24"/>
        </w:rPr>
        <w:t xml:space="preserve"> of skills, experience and expertise to </w:t>
      </w:r>
      <w:r w:rsidR="000756AF" w:rsidRPr="003C38DE">
        <w:rPr>
          <w:sz w:val="24"/>
          <w:szCs w:val="24"/>
        </w:rPr>
        <w:t>the</w:t>
      </w:r>
      <w:r w:rsidR="00B4565B" w:rsidRPr="003C38DE">
        <w:rPr>
          <w:sz w:val="24"/>
          <w:szCs w:val="24"/>
        </w:rPr>
        <w:t xml:space="preserve"> review panel to assist in the conduct of a review. Being able to draw upon a range of expertise beyond just cyber and incident response will ensure that experts can support the </w:t>
      </w:r>
      <w:r w:rsidR="000756AF" w:rsidRPr="003C38DE">
        <w:rPr>
          <w:sz w:val="24"/>
          <w:szCs w:val="24"/>
        </w:rPr>
        <w:t>CIRB</w:t>
      </w:r>
      <w:r w:rsidR="00B4565B" w:rsidRPr="003C38DE">
        <w:rPr>
          <w:sz w:val="24"/>
          <w:szCs w:val="24"/>
        </w:rPr>
        <w:t xml:space="preserve"> to draw insights and recommendations to address systemic issues and uplift Australia’s cyber preparedness.</w:t>
      </w:r>
    </w:p>
    <w:p w14:paraId="3E85E2AB" w14:textId="6420280F" w:rsidR="004E3040" w:rsidRPr="003C38DE" w:rsidRDefault="00B17E8A" w:rsidP="000756AF">
      <w:pPr>
        <w:pStyle w:val="ESPara"/>
        <w:numPr>
          <w:ilvl w:val="0"/>
          <w:numId w:val="0"/>
        </w:numPr>
        <w:ind w:left="360"/>
        <w:rPr>
          <w:color w:val="000000" w:themeColor="text1"/>
          <w:sz w:val="24"/>
          <w:szCs w:val="24"/>
        </w:rPr>
      </w:pPr>
      <w:r w:rsidRPr="003C38DE">
        <w:rPr>
          <w:color w:val="000000" w:themeColor="text1"/>
          <w:sz w:val="24"/>
          <w:szCs w:val="24"/>
        </w:rPr>
        <w:t>The first</w:t>
      </w:r>
      <w:r w:rsidR="004E3040" w:rsidRPr="003C38DE">
        <w:rPr>
          <w:color w:val="000000" w:themeColor="text1"/>
          <w:sz w:val="24"/>
          <w:szCs w:val="24"/>
        </w:rPr>
        <w:t xml:space="preserve"> note under this </w:t>
      </w:r>
      <w:r w:rsidR="003E1ADF" w:rsidRPr="003C38DE">
        <w:rPr>
          <w:color w:val="000000" w:themeColor="text1"/>
          <w:sz w:val="24"/>
          <w:szCs w:val="24"/>
        </w:rPr>
        <w:t>subsection draws the reader’s attention to subsection 70(4) of the Act, which provides</w:t>
      </w:r>
      <w:r w:rsidR="004E3040" w:rsidRPr="003C38DE">
        <w:rPr>
          <w:color w:val="000000" w:themeColor="text1"/>
          <w:sz w:val="24"/>
          <w:szCs w:val="24"/>
        </w:rPr>
        <w:t xml:space="preserve"> that an appointment to the Expert Panel is not a public office within the meaning of the </w:t>
      </w:r>
      <w:r w:rsidR="004E3040" w:rsidRPr="003C38DE">
        <w:rPr>
          <w:i/>
          <w:color w:val="000000" w:themeColor="text1"/>
          <w:sz w:val="24"/>
          <w:szCs w:val="24"/>
        </w:rPr>
        <w:t>Remuneration Tribunal Act 1973</w:t>
      </w:r>
      <w:r w:rsidR="004E3040" w:rsidRPr="003C38DE">
        <w:rPr>
          <w:color w:val="000000" w:themeColor="text1"/>
          <w:sz w:val="24"/>
          <w:szCs w:val="24"/>
        </w:rPr>
        <w:t xml:space="preserve"> (Remuneration Tribunal Act). </w:t>
      </w:r>
      <w:r w:rsidR="00245BC8" w:rsidRPr="003C38DE">
        <w:rPr>
          <w:color w:val="000000" w:themeColor="text1"/>
          <w:sz w:val="24"/>
          <w:szCs w:val="24"/>
        </w:rPr>
        <w:t>The effect of this is that the remuneration of Expert Panel members is to be determined by the Chair of the Board by legislative instrument (see section 24 of the Rules).</w:t>
      </w:r>
    </w:p>
    <w:p w14:paraId="24D5C573" w14:textId="0ECD5452" w:rsidR="004E5E39" w:rsidRPr="003C38DE" w:rsidRDefault="004E5E39" w:rsidP="000756AF">
      <w:pPr>
        <w:pStyle w:val="ESPara"/>
        <w:numPr>
          <w:ilvl w:val="0"/>
          <w:numId w:val="0"/>
        </w:numPr>
        <w:ind w:left="360"/>
        <w:rPr>
          <w:sz w:val="24"/>
          <w:szCs w:val="24"/>
        </w:rPr>
      </w:pPr>
      <w:r w:rsidRPr="003C38DE">
        <w:rPr>
          <w:sz w:val="24"/>
          <w:szCs w:val="24"/>
        </w:rPr>
        <w:t>The</w:t>
      </w:r>
      <w:r w:rsidR="002B20C2" w:rsidRPr="003C38DE">
        <w:rPr>
          <w:sz w:val="24"/>
          <w:szCs w:val="24"/>
        </w:rPr>
        <w:t xml:space="preserve"> second note under this section provides that a member of the Expert Panel is only to be remunerated when the member is appointed</w:t>
      </w:r>
      <w:r w:rsidR="00530879" w:rsidRPr="003C38DE">
        <w:rPr>
          <w:sz w:val="24"/>
          <w:szCs w:val="24"/>
        </w:rPr>
        <w:t xml:space="preserve"> to a review panel for a review. This note references section 24 of the Rules, which provides provisions for the remuneration of the Expert Panel. </w:t>
      </w:r>
    </w:p>
    <w:p w14:paraId="6A4ADB0B" w14:textId="36DEB087" w:rsidR="002B20C2" w:rsidRPr="003C38DE" w:rsidRDefault="000E227F" w:rsidP="000756AF">
      <w:pPr>
        <w:pStyle w:val="ESPara"/>
        <w:numPr>
          <w:ilvl w:val="0"/>
          <w:numId w:val="0"/>
        </w:numPr>
        <w:ind w:left="360"/>
        <w:rPr>
          <w:sz w:val="24"/>
          <w:szCs w:val="24"/>
        </w:rPr>
      </w:pPr>
      <w:r w:rsidRPr="003C38DE">
        <w:rPr>
          <w:sz w:val="24"/>
          <w:szCs w:val="24"/>
        </w:rPr>
        <w:t>Subsection 22(4)</w:t>
      </w:r>
      <w:r w:rsidR="002B20C2" w:rsidRPr="003C38DE">
        <w:rPr>
          <w:sz w:val="24"/>
          <w:szCs w:val="24"/>
        </w:rPr>
        <w:t xml:space="preserve"> provides that before appointing a person as a member of the Expert Panel, the Chair </w:t>
      </w:r>
      <w:r w:rsidR="005200BE" w:rsidRPr="003C38DE">
        <w:rPr>
          <w:sz w:val="24"/>
          <w:szCs w:val="24"/>
        </w:rPr>
        <w:t xml:space="preserve">must </w:t>
      </w:r>
      <w:r w:rsidR="002B20C2" w:rsidRPr="003C38DE">
        <w:rPr>
          <w:sz w:val="24"/>
          <w:szCs w:val="24"/>
        </w:rPr>
        <w:t xml:space="preserve">be satisfied that the person meets the eligibility requirements mentioned in subsection </w:t>
      </w:r>
      <w:r w:rsidR="00530879" w:rsidRPr="003C38DE">
        <w:rPr>
          <w:sz w:val="24"/>
          <w:szCs w:val="24"/>
        </w:rPr>
        <w:t>22(3),</w:t>
      </w:r>
      <w:r w:rsidR="002B20C2" w:rsidRPr="003C38DE">
        <w:rPr>
          <w:sz w:val="24"/>
          <w:szCs w:val="24"/>
        </w:rPr>
        <w:t xml:space="preserve"> and the person has appropriate qualifications, knowledge, skills or experience to perform the role.</w:t>
      </w:r>
    </w:p>
    <w:p w14:paraId="69A3700F" w14:textId="5828A365" w:rsidR="00B17E8A" w:rsidRPr="003C38DE" w:rsidRDefault="000E227F" w:rsidP="000756AF">
      <w:pPr>
        <w:pStyle w:val="ESPara"/>
        <w:numPr>
          <w:ilvl w:val="0"/>
          <w:numId w:val="0"/>
        </w:numPr>
        <w:ind w:left="360"/>
        <w:rPr>
          <w:sz w:val="24"/>
          <w:szCs w:val="24"/>
        </w:rPr>
      </w:pPr>
      <w:r w:rsidRPr="003C38DE">
        <w:rPr>
          <w:sz w:val="24"/>
          <w:szCs w:val="24"/>
        </w:rPr>
        <w:t xml:space="preserve">Subsection 22(5) </w:t>
      </w:r>
      <w:r w:rsidR="002B20C2" w:rsidRPr="003C38DE">
        <w:rPr>
          <w:sz w:val="24"/>
          <w:szCs w:val="24"/>
        </w:rPr>
        <w:t xml:space="preserve">provides that the </w:t>
      </w:r>
      <w:r w:rsidR="00530879" w:rsidRPr="003C38DE">
        <w:rPr>
          <w:sz w:val="24"/>
          <w:szCs w:val="24"/>
        </w:rPr>
        <w:t>C</w:t>
      </w:r>
      <w:r w:rsidR="002B20C2" w:rsidRPr="003C38DE">
        <w:rPr>
          <w:sz w:val="24"/>
          <w:szCs w:val="24"/>
        </w:rPr>
        <w:t>hair may appoint a person who holds a State or Territory government position only with the agreement of the State or Territory concerned.</w:t>
      </w:r>
    </w:p>
    <w:p w14:paraId="34FC6D06" w14:textId="71D81486" w:rsidR="00325E14" w:rsidRPr="003C38DE" w:rsidRDefault="00383AF6" w:rsidP="00CD5D6D">
      <w:pPr>
        <w:pStyle w:val="ESAttHeading"/>
        <w:keepNext w:val="0"/>
        <w:widowControl w:val="0"/>
        <w:rPr>
          <w:sz w:val="24"/>
          <w:szCs w:val="24"/>
        </w:rPr>
      </w:pPr>
      <w:r w:rsidRPr="003C38DE">
        <w:rPr>
          <w:sz w:val="24"/>
          <w:szCs w:val="24"/>
        </w:rPr>
        <w:t>Section 23</w:t>
      </w:r>
      <w:r w:rsidR="00325E14" w:rsidRPr="003C38DE">
        <w:rPr>
          <w:sz w:val="24"/>
          <w:szCs w:val="24"/>
        </w:rPr>
        <w:tab/>
        <w:t>Appointments of Expert Panel members to assist in relation to a review</w:t>
      </w:r>
    </w:p>
    <w:p w14:paraId="1E0883CE" w14:textId="1A73718B" w:rsidR="00530879" w:rsidRPr="003C38DE" w:rsidRDefault="00FB1133" w:rsidP="00360638">
      <w:pPr>
        <w:pStyle w:val="ESPara"/>
        <w:numPr>
          <w:ilvl w:val="0"/>
          <w:numId w:val="0"/>
        </w:numPr>
        <w:ind w:left="360"/>
        <w:rPr>
          <w:sz w:val="24"/>
          <w:szCs w:val="24"/>
        </w:rPr>
      </w:pPr>
      <w:r w:rsidRPr="003C38DE">
        <w:rPr>
          <w:sz w:val="24"/>
          <w:szCs w:val="24"/>
        </w:rPr>
        <w:t xml:space="preserve">Section 23 </w:t>
      </w:r>
      <w:r w:rsidR="00530879" w:rsidRPr="003C38DE">
        <w:rPr>
          <w:sz w:val="24"/>
          <w:szCs w:val="24"/>
        </w:rPr>
        <w:t xml:space="preserve">provides provisions for the appointment of Expert Panel members to </w:t>
      </w:r>
      <w:r w:rsidR="00310028" w:rsidRPr="003C38DE">
        <w:rPr>
          <w:sz w:val="24"/>
          <w:szCs w:val="24"/>
        </w:rPr>
        <w:t xml:space="preserve">a review panel to assist </w:t>
      </w:r>
      <w:r w:rsidR="00530879" w:rsidRPr="003C38DE">
        <w:rPr>
          <w:sz w:val="24"/>
          <w:szCs w:val="24"/>
        </w:rPr>
        <w:t>in a review. This section is made under paragraph 70(5)(c) of the Act.</w:t>
      </w:r>
    </w:p>
    <w:p w14:paraId="345FAE03" w14:textId="0EFCD88D" w:rsidR="00E72CD0" w:rsidRPr="003C38DE" w:rsidRDefault="00530879" w:rsidP="00360638">
      <w:pPr>
        <w:pStyle w:val="ESPara"/>
        <w:numPr>
          <w:ilvl w:val="0"/>
          <w:numId w:val="0"/>
        </w:numPr>
        <w:ind w:left="360"/>
        <w:rPr>
          <w:sz w:val="24"/>
          <w:szCs w:val="24"/>
        </w:rPr>
      </w:pPr>
      <w:r w:rsidRPr="003C38DE">
        <w:rPr>
          <w:sz w:val="24"/>
          <w:szCs w:val="24"/>
        </w:rPr>
        <w:t xml:space="preserve">Section 23 </w:t>
      </w:r>
      <w:r w:rsidR="00411C26" w:rsidRPr="003C38DE">
        <w:rPr>
          <w:sz w:val="24"/>
          <w:szCs w:val="24"/>
        </w:rPr>
        <w:t>provide</w:t>
      </w:r>
      <w:r w:rsidR="004F5B3E" w:rsidRPr="003C38DE">
        <w:rPr>
          <w:sz w:val="24"/>
          <w:szCs w:val="24"/>
        </w:rPr>
        <w:t>s</w:t>
      </w:r>
      <w:r w:rsidR="00411C26" w:rsidRPr="003C38DE">
        <w:rPr>
          <w:sz w:val="24"/>
          <w:szCs w:val="24"/>
        </w:rPr>
        <w:t xml:space="preserve"> </w:t>
      </w:r>
      <w:r w:rsidRPr="003C38DE">
        <w:rPr>
          <w:sz w:val="24"/>
          <w:szCs w:val="24"/>
        </w:rPr>
        <w:t xml:space="preserve">eligibility requirements that the </w:t>
      </w:r>
      <w:r w:rsidR="00E72CD0" w:rsidRPr="003C38DE">
        <w:rPr>
          <w:sz w:val="24"/>
          <w:szCs w:val="24"/>
        </w:rPr>
        <w:t xml:space="preserve">Chair </w:t>
      </w:r>
      <w:r w:rsidRPr="003C38DE">
        <w:rPr>
          <w:sz w:val="24"/>
          <w:szCs w:val="24"/>
        </w:rPr>
        <w:t xml:space="preserve">must be satisfied of before appointing a member of the Expert Panel to the review panel to assist in a review. Under subsection 70(3) of the Act, </w:t>
      </w:r>
      <w:r w:rsidR="00FB1133" w:rsidRPr="003C38DE">
        <w:rPr>
          <w:sz w:val="24"/>
          <w:szCs w:val="24"/>
        </w:rPr>
        <w:t>one or more members of the Expert Panel are to be appointed by the Board, in writing and in accordance with the terms of reference for a review under section 46 of the Act, to the review panel for the review to assist in the review.</w:t>
      </w:r>
    </w:p>
    <w:p w14:paraId="7FE316AE" w14:textId="6D459A75" w:rsidR="000E227F" w:rsidRPr="003C38DE" w:rsidRDefault="00706A04" w:rsidP="00360638">
      <w:pPr>
        <w:pStyle w:val="ESPara"/>
        <w:numPr>
          <w:ilvl w:val="0"/>
          <w:numId w:val="0"/>
        </w:numPr>
        <w:ind w:left="360"/>
        <w:rPr>
          <w:sz w:val="24"/>
          <w:szCs w:val="24"/>
        </w:rPr>
      </w:pPr>
      <w:r w:rsidRPr="003C38DE">
        <w:rPr>
          <w:sz w:val="24"/>
          <w:szCs w:val="24"/>
        </w:rPr>
        <w:t>Section 23 provides that</w:t>
      </w:r>
      <w:r w:rsidR="00E72CD0" w:rsidRPr="003C38DE">
        <w:rPr>
          <w:sz w:val="24"/>
          <w:szCs w:val="24"/>
        </w:rPr>
        <w:t xml:space="preserve"> the Chair may only appoint an Expert Panel member to assist in a particular review under subsection 70(3) of the Act if the Chair is satisfied of the following relating to an Expert Panel member:</w:t>
      </w:r>
      <w:r w:rsidRPr="003C38DE">
        <w:rPr>
          <w:sz w:val="24"/>
          <w:szCs w:val="24"/>
        </w:rPr>
        <w:t xml:space="preserve"> </w:t>
      </w:r>
    </w:p>
    <w:p w14:paraId="1948D67D" w14:textId="5923A829" w:rsidR="000E227F" w:rsidRPr="003C38DE" w:rsidRDefault="00642B7A" w:rsidP="003C38DE">
      <w:pPr>
        <w:pStyle w:val="ESAttHeading"/>
        <w:keepNext w:val="0"/>
        <w:widowControl w:val="0"/>
        <w:numPr>
          <w:ilvl w:val="1"/>
          <w:numId w:val="11"/>
        </w:numPr>
        <w:tabs>
          <w:tab w:val="clear" w:pos="1440"/>
          <w:tab w:val="num" w:pos="1134"/>
        </w:tabs>
        <w:ind w:left="709"/>
        <w:rPr>
          <w:sz w:val="24"/>
          <w:szCs w:val="24"/>
        </w:rPr>
      </w:pPr>
      <w:r w:rsidRPr="003C38DE">
        <w:rPr>
          <w:b w:val="0"/>
          <w:sz w:val="24"/>
          <w:szCs w:val="24"/>
        </w:rPr>
        <w:t xml:space="preserve"> the </w:t>
      </w:r>
      <w:r w:rsidR="00E72CD0" w:rsidRPr="003C38DE">
        <w:rPr>
          <w:b w:val="0"/>
          <w:sz w:val="24"/>
          <w:szCs w:val="24"/>
        </w:rPr>
        <w:t xml:space="preserve">Expert Panel member </w:t>
      </w:r>
      <w:r w:rsidRPr="003C38DE">
        <w:rPr>
          <w:b w:val="0"/>
          <w:sz w:val="24"/>
          <w:szCs w:val="24"/>
        </w:rPr>
        <w:t>meets the eligibility requirements (if any) specified in the terms of reference for the review for the purposes of paragraph 9(1)(d) of</w:t>
      </w:r>
      <w:r w:rsidR="00E72CD0" w:rsidRPr="003C38DE">
        <w:rPr>
          <w:b w:val="0"/>
          <w:sz w:val="24"/>
          <w:szCs w:val="24"/>
        </w:rPr>
        <w:t xml:space="preserve"> the Rules; </w:t>
      </w:r>
    </w:p>
    <w:p w14:paraId="3E1B5328" w14:textId="6E0BC676" w:rsidR="000E227F" w:rsidRPr="003C38DE" w:rsidRDefault="00E72CD0" w:rsidP="003C38DE">
      <w:pPr>
        <w:pStyle w:val="ESAttHeading"/>
        <w:keepNext w:val="0"/>
        <w:widowControl w:val="0"/>
        <w:numPr>
          <w:ilvl w:val="1"/>
          <w:numId w:val="11"/>
        </w:numPr>
        <w:tabs>
          <w:tab w:val="clear" w:pos="1440"/>
          <w:tab w:val="num" w:pos="1134"/>
        </w:tabs>
        <w:ind w:left="709"/>
        <w:rPr>
          <w:sz w:val="24"/>
          <w:szCs w:val="24"/>
        </w:rPr>
      </w:pPr>
      <w:r w:rsidRPr="003C38DE">
        <w:rPr>
          <w:b w:val="0"/>
          <w:sz w:val="24"/>
          <w:szCs w:val="24"/>
        </w:rPr>
        <w:lastRenderedPageBreak/>
        <w:t>T</w:t>
      </w:r>
      <w:r w:rsidR="00642B7A" w:rsidRPr="003C38DE">
        <w:rPr>
          <w:b w:val="0"/>
          <w:sz w:val="24"/>
          <w:szCs w:val="24"/>
        </w:rPr>
        <w:t>he</w:t>
      </w:r>
      <w:r w:rsidRPr="003C38DE">
        <w:rPr>
          <w:b w:val="0"/>
          <w:sz w:val="24"/>
          <w:szCs w:val="24"/>
        </w:rPr>
        <w:t xml:space="preserve"> Expert Panel</w:t>
      </w:r>
      <w:r w:rsidR="00642B7A" w:rsidRPr="003C38DE">
        <w:rPr>
          <w:b w:val="0"/>
          <w:sz w:val="24"/>
          <w:szCs w:val="24"/>
        </w:rPr>
        <w:t xml:space="preserve"> member has appropriate qualifications, knowledge, skills or experience to assist the</w:t>
      </w:r>
      <w:r w:rsidRPr="003C38DE">
        <w:rPr>
          <w:b w:val="0"/>
          <w:sz w:val="24"/>
          <w:szCs w:val="24"/>
        </w:rPr>
        <w:t xml:space="preserve"> CIRB</w:t>
      </w:r>
      <w:r w:rsidR="00642B7A" w:rsidRPr="003C38DE">
        <w:rPr>
          <w:b w:val="0"/>
          <w:sz w:val="24"/>
          <w:szCs w:val="24"/>
        </w:rPr>
        <w:t xml:space="preserve"> in relation to the particular review; and </w:t>
      </w:r>
    </w:p>
    <w:p w14:paraId="2EFD1254" w14:textId="54AA1826" w:rsidR="008367A6" w:rsidRPr="003C38DE" w:rsidRDefault="00642B7A" w:rsidP="003C38DE">
      <w:pPr>
        <w:pStyle w:val="ESAttHeading"/>
        <w:keepNext w:val="0"/>
        <w:widowControl w:val="0"/>
        <w:numPr>
          <w:ilvl w:val="1"/>
          <w:numId w:val="11"/>
        </w:numPr>
        <w:tabs>
          <w:tab w:val="clear" w:pos="1440"/>
          <w:tab w:val="num" w:pos="1134"/>
        </w:tabs>
        <w:ind w:left="709"/>
        <w:rPr>
          <w:sz w:val="24"/>
          <w:szCs w:val="24"/>
        </w:rPr>
      </w:pPr>
      <w:r w:rsidRPr="003C38DE">
        <w:rPr>
          <w:b w:val="0"/>
          <w:sz w:val="24"/>
          <w:szCs w:val="24"/>
        </w:rPr>
        <w:t xml:space="preserve">the </w:t>
      </w:r>
      <w:r w:rsidR="00E72CD0" w:rsidRPr="003C38DE">
        <w:rPr>
          <w:b w:val="0"/>
          <w:sz w:val="24"/>
          <w:szCs w:val="24"/>
        </w:rPr>
        <w:t xml:space="preserve">Expert Panel </w:t>
      </w:r>
      <w:r w:rsidRPr="003C38DE">
        <w:rPr>
          <w:b w:val="0"/>
          <w:sz w:val="24"/>
          <w:szCs w:val="24"/>
        </w:rPr>
        <w:t xml:space="preserve">member will not be engaged in any paid work that conflicts, or could conflict, with the proper performance of the member’s duties assisting the </w:t>
      </w:r>
      <w:r w:rsidR="00E72CD0" w:rsidRPr="003C38DE">
        <w:rPr>
          <w:b w:val="0"/>
          <w:sz w:val="24"/>
          <w:szCs w:val="24"/>
        </w:rPr>
        <w:t xml:space="preserve">CIRB </w:t>
      </w:r>
      <w:r w:rsidRPr="003C38DE">
        <w:rPr>
          <w:b w:val="0"/>
          <w:sz w:val="24"/>
          <w:szCs w:val="24"/>
        </w:rPr>
        <w:t>in relation to the review.</w:t>
      </w:r>
    </w:p>
    <w:p w14:paraId="73BCAE64" w14:textId="3E9B4B78" w:rsidR="00642B7A" w:rsidRPr="003C38DE" w:rsidRDefault="00642B7A" w:rsidP="00360638">
      <w:pPr>
        <w:pStyle w:val="ESPara"/>
        <w:numPr>
          <w:ilvl w:val="0"/>
          <w:numId w:val="0"/>
        </w:numPr>
        <w:ind w:left="360"/>
        <w:rPr>
          <w:sz w:val="24"/>
          <w:szCs w:val="24"/>
        </w:rPr>
      </w:pPr>
      <w:r w:rsidRPr="003C38DE">
        <w:rPr>
          <w:sz w:val="24"/>
          <w:szCs w:val="24"/>
        </w:rPr>
        <w:t xml:space="preserve">The note under this subsection provides that one or more members of the Expert Panel are to be appointed by the </w:t>
      </w:r>
      <w:r w:rsidR="00E72CD0" w:rsidRPr="003C38DE">
        <w:rPr>
          <w:sz w:val="24"/>
          <w:szCs w:val="24"/>
        </w:rPr>
        <w:t>CIRB</w:t>
      </w:r>
      <w:r w:rsidRPr="003C38DE">
        <w:rPr>
          <w:sz w:val="24"/>
          <w:szCs w:val="24"/>
        </w:rPr>
        <w:t xml:space="preserve">, in accordance with the terms of reference for a review under section 46 of the Act, to the review panel for the </w:t>
      </w:r>
      <w:r w:rsidR="00E72CD0" w:rsidRPr="003C38DE">
        <w:rPr>
          <w:sz w:val="24"/>
          <w:szCs w:val="24"/>
        </w:rPr>
        <w:t>review to assist in the review. These requirements are specified in</w:t>
      </w:r>
      <w:r w:rsidRPr="003C38DE">
        <w:rPr>
          <w:sz w:val="24"/>
          <w:szCs w:val="24"/>
        </w:rPr>
        <w:t xml:space="preserve"> subsections 46(4) and 70(3) of the Act.</w:t>
      </w:r>
    </w:p>
    <w:p w14:paraId="2FC1301F" w14:textId="7D2B04EE" w:rsidR="008367A6" w:rsidRPr="003C38DE" w:rsidRDefault="00383AF6" w:rsidP="00CD5D6D">
      <w:pPr>
        <w:pStyle w:val="ESAttHeading"/>
        <w:keepNext w:val="0"/>
        <w:widowControl w:val="0"/>
        <w:rPr>
          <w:sz w:val="24"/>
          <w:szCs w:val="24"/>
        </w:rPr>
      </w:pPr>
      <w:r w:rsidRPr="003C38DE">
        <w:rPr>
          <w:sz w:val="24"/>
          <w:szCs w:val="24"/>
        </w:rPr>
        <w:t>Section 24</w:t>
      </w:r>
      <w:r w:rsidR="00325E14" w:rsidRPr="003C38DE">
        <w:rPr>
          <w:sz w:val="24"/>
          <w:szCs w:val="24"/>
        </w:rPr>
        <w:tab/>
        <w:t>Remuneration of Expert Panel members appointed to assist in relation to a review</w:t>
      </w:r>
    </w:p>
    <w:p w14:paraId="4EC26C27" w14:textId="7C9989B5" w:rsidR="00E72CD0" w:rsidRPr="003C38DE" w:rsidRDefault="007E2266" w:rsidP="000756AF">
      <w:pPr>
        <w:pStyle w:val="ESPara"/>
        <w:numPr>
          <w:ilvl w:val="0"/>
          <w:numId w:val="0"/>
        </w:numPr>
        <w:ind w:left="360"/>
        <w:rPr>
          <w:sz w:val="24"/>
          <w:szCs w:val="24"/>
        </w:rPr>
      </w:pPr>
      <w:r w:rsidRPr="003C38DE">
        <w:rPr>
          <w:sz w:val="24"/>
          <w:szCs w:val="24"/>
        </w:rPr>
        <w:t xml:space="preserve">Section 24 of the </w:t>
      </w:r>
      <w:r w:rsidR="00E72CD0" w:rsidRPr="003C38DE">
        <w:rPr>
          <w:sz w:val="24"/>
          <w:szCs w:val="24"/>
        </w:rPr>
        <w:t xml:space="preserve">Rules provides </w:t>
      </w:r>
      <w:r w:rsidR="00245BC8" w:rsidRPr="003C38DE">
        <w:rPr>
          <w:sz w:val="24"/>
          <w:szCs w:val="24"/>
        </w:rPr>
        <w:t xml:space="preserve">provisions for the remuneration, resignation and revocation of </w:t>
      </w:r>
      <w:r w:rsidR="00411C26" w:rsidRPr="003C38DE">
        <w:rPr>
          <w:sz w:val="24"/>
          <w:szCs w:val="24"/>
        </w:rPr>
        <w:t xml:space="preserve">the </w:t>
      </w:r>
      <w:r w:rsidR="00245BC8" w:rsidRPr="003C38DE">
        <w:rPr>
          <w:sz w:val="24"/>
          <w:szCs w:val="24"/>
        </w:rPr>
        <w:t xml:space="preserve">appointment </w:t>
      </w:r>
      <w:r w:rsidR="00E72CD0" w:rsidRPr="003C38DE">
        <w:rPr>
          <w:sz w:val="24"/>
          <w:szCs w:val="24"/>
        </w:rPr>
        <w:t>of Expert Panel members appointed to a review panel for a review. Sectio</w:t>
      </w:r>
      <w:r w:rsidR="00245BC8" w:rsidRPr="003C38DE">
        <w:rPr>
          <w:sz w:val="24"/>
          <w:szCs w:val="24"/>
        </w:rPr>
        <w:t xml:space="preserve">n 24 is made under paragraphs </w:t>
      </w:r>
      <w:r w:rsidR="00E72CD0" w:rsidRPr="003C38DE">
        <w:rPr>
          <w:sz w:val="24"/>
          <w:szCs w:val="24"/>
        </w:rPr>
        <w:t>70(5)(e)</w:t>
      </w:r>
      <w:r w:rsidR="00245BC8" w:rsidRPr="003C38DE">
        <w:rPr>
          <w:sz w:val="24"/>
          <w:szCs w:val="24"/>
        </w:rPr>
        <w:t xml:space="preserve"> and 70(5)(f) and </w:t>
      </w:r>
      <w:r w:rsidR="00E72CD0" w:rsidRPr="003C38DE">
        <w:rPr>
          <w:sz w:val="24"/>
          <w:szCs w:val="24"/>
        </w:rPr>
        <w:t xml:space="preserve">of the Act. </w:t>
      </w:r>
    </w:p>
    <w:p w14:paraId="4E6E7D9B" w14:textId="68178565" w:rsidR="00706A04" w:rsidRPr="003C38DE" w:rsidRDefault="00706A04" w:rsidP="000756AF">
      <w:pPr>
        <w:pStyle w:val="ESPara"/>
        <w:numPr>
          <w:ilvl w:val="0"/>
          <w:numId w:val="0"/>
        </w:numPr>
        <w:ind w:left="360"/>
        <w:rPr>
          <w:sz w:val="24"/>
          <w:szCs w:val="24"/>
        </w:rPr>
      </w:pPr>
      <w:r w:rsidRPr="003C38DE">
        <w:rPr>
          <w:sz w:val="24"/>
          <w:szCs w:val="24"/>
        </w:rPr>
        <w:t>Section 24(1</w:t>
      </w:r>
      <w:r w:rsidR="007E2266" w:rsidRPr="003C38DE">
        <w:rPr>
          <w:sz w:val="24"/>
          <w:szCs w:val="24"/>
        </w:rPr>
        <w:t>) provides</w:t>
      </w:r>
      <w:r w:rsidR="00642B7A" w:rsidRPr="003C38DE">
        <w:rPr>
          <w:sz w:val="24"/>
          <w:szCs w:val="24"/>
        </w:rPr>
        <w:t xml:space="preserve"> that this section applies if a member of the Expert Panel is appointed, under subsection 70(3) of the Act, to the review panel for a review. </w:t>
      </w:r>
    </w:p>
    <w:p w14:paraId="6DF4367B" w14:textId="0461AFE5" w:rsidR="008367A6" w:rsidRPr="003C38DE" w:rsidRDefault="00642B7A" w:rsidP="000756AF">
      <w:pPr>
        <w:pStyle w:val="ESPara"/>
        <w:numPr>
          <w:ilvl w:val="0"/>
          <w:numId w:val="0"/>
        </w:numPr>
        <w:ind w:left="360"/>
        <w:rPr>
          <w:i/>
          <w:sz w:val="24"/>
          <w:szCs w:val="24"/>
        </w:rPr>
      </w:pPr>
      <w:r w:rsidRPr="003C38DE">
        <w:rPr>
          <w:sz w:val="24"/>
          <w:szCs w:val="24"/>
        </w:rPr>
        <w:t xml:space="preserve">The note under </w:t>
      </w:r>
      <w:r w:rsidR="00245BC8" w:rsidRPr="003C38DE">
        <w:rPr>
          <w:sz w:val="24"/>
          <w:szCs w:val="24"/>
        </w:rPr>
        <w:t>subsection 24(1)</w:t>
      </w:r>
      <w:r w:rsidRPr="003C38DE">
        <w:rPr>
          <w:sz w:val="24"/>
          <w:szCs w:val="24"/>
        </w:rPr>
        <w:t xml:space="preserve"> </w:t>
      </w:r>
      <w:r w:rsidR="00245BC8" w:rsidRPr="003C38DE">
        <w:rPr>
          <w:sz w:val="24"/>
          <w:szCs w:val="24"/>
        </w:rPr>
        <w:t>provides</w:t>
      </w:r>
      <w:r w:rsidRPr="003C38DE">
        <w:rPr>
          <w:sz w:val="24"/>
          <w:szCs w:val="24"/>
        </w:rPr>
        <w:t xml:space="preserve"> that an appointment to assist in a review is not a public office within the meaning of the </w:t>
      </w:r>
      <w:r w:rsidR="00245BC8" w:rsidRPr="003C38DE">
        <w:rPr>
          <w:i/>
          <w:sz w:val="24"/>
          <w:szCs w:val="24"/>
        </w:rPr>
        <w:t>Remuneration Tribunal Act</w:t>
      </w:r>
      <w:r w:rsidR="00411C26" w:rsidRPr="003C38DE">
        <w:rPr>
          <w:i/>
          <w:sz w:val="24"/>
          <w:szCs w:val="24"/>
        </w:rPr>
        <w:t xml:space="preserve"> 1973</w:t>
      </w:r>
      <w:r w:rsidR="009368FA" w:rsidRPr="003C38DE">
        <w:rPr>
          <w:i/>
          <w:sz w:val="24"/>
          <w:szCs w:val="24"/>
        </w:rPr>
        <w:t xml:space="preserve">. </w:t>
      </w:r>
    </w:p>
    <w:p w14:paraId="2960746B" w14:textId="3E141C39" w:rsidR="00642B7A" w:rsidRPr="003C38DE" w:rsidRDefault="00706A04" w:rsidP="000756AF">
      <w:pPr>
        <w:pStyle w:val="ESPara"/>
        <w:numPr>
          <w:ilvl w:val="0"/>
          <w:numId w:val="0"/>
        </w:numPr>
        <w:ind w:left="360"/>
        <w:rPr>
          <w:sz w:val="24"/>
          <w:szCs w:val="24"/>
        </w:rPr>
      </w:pPr>
      <w:r w:rsidRPr="003C38DE">
        <w:rPr>
          <w:sz w:val="24"/>
          <w:szCs w:val="24"/>
        </w:rPr>
        <w:t>Subsection</w:t>
      </w:r>
      <w:r w:rsidR="00063408" w:rsidRPr="003C38DE">
        <w:rPr>
          <w:sz w:val="24"/>
          <w:szCs w:val="24"/>
        </w:rPr>
        <w:t>s</w:t>
      </w:r>
      <w:r w:rsidRPr="003C38DE">
        <w:rPr>
          <w:sz w:val="24"/>
          <w:szCs w:val="24"/>
        </w:rPr>
        <w:t xml:space="preserve"> 24(2)</w:t>
      </w:r>
      <w:r w:rsidR="00063408" w:rsidRPr="003C38DE">
        <w:rPr>
          <w:sz w:val="24"/>
          <w:szCs w:val="24"/>
        </w:rPr>
        <w:t xml:space="preserve"> and (3)</w:t>
      </w:r>
      <w:r w:rsidRPr="003C38DE">
        <w:rPr>
          <w:sz w:val="24"/>
          <w:szCs w:val="24"/>
        </w:rPr>
        <w:t xml:space="preserve"> </w:t>
      </w:r>
      <w:r w:rsidR="00642B7A" w:rsidRPr="003C38DE">
        <w:rPr>
          <w:sz w:val="24"/>
          <w:szCs w:val="24"/>
        </w:rPr>
        <w:t>provide</w:t>
      </w:r>
      <w:r w:rsidR="00063408" w:rsidRPr="003C38DE">
        <w:rPr>
          <w:sz w:val="24"/>
          <w:szCs w:val="24"/>
        </w:rPr>
        <w:t>, respectively,</w:t>
      </w:r>
      <w:r w:rsidR="00642B7A" w:rsidRPr="003C38DE">
        <w:rPr>
          <w:sz w:val="24"/>
          <w:szCs w:val="24"/>
        </w:rPr>
        <w:t xml:space="preserve"> that Expert Panel member</w:t>
      </w:r>
      <w:r w:rsidR="00063408" w:rsidRPr="003C38DE">
        <w:rPr>
          <w:sz w:val="24"/>
          <w:szCs w:val="24"/>
        </w:rPr>
        <w:t>s</w:t>
      </w:r>
      <w:r w:rsidR="00642B7A" w:rsidRPr="003C38DE">
        <w:rPr>
          <w:sz w:val="24"/>
          <w:szCs w:val="24"/>
        </w:rPr>
        <w:t xml:space="preserve"> </w:t>
      </w:r>
      <w:r w:rsidR="00063408" w:rsidRPr="003C38DE">
        <w:rPr>
          <w:sz w:val="24"/>
          <w:szCs w:val="24"/>
        </w:rPr>
        <w:t xml:space="preserve">are </w:t>
      </w:r>
      <w:r w:rsidR="00642B7A" w:rsidRPr="003C38DE">
        <w:rPr>
          <w:sz w:val="24"/>
          <w:szCs w:val="24"/>
        </w:rPr>
        <w:t>to be paid the remuneration</w:t>
      </w:r>
      <w:r w:rsidR="00063408" w:rsidRPr="003C38DE">
        <w:rPr>
          <w:sz w:val="24"/>
          <w:szCs w:val="24"/>
        </w:rPr>
        <w:t xml:space="preserve"> and allowances</w:t>
      </w:r>
      <w:r w:rsidR="00642B7A" w:rsidRPr="003C38DE">
        <w:rPr>
          <w:sz w:val="24"/>
          <w:szCs w:val="24"/>
        </w:rPr>
        <w:t xml:space="preserve"> that </w:t>
      </w:r>
      <w:r w:rsidR="00063408" w:rsidRPr="003C38DE">
        <w:rPr>
          <w:sz w:val="24"/>
          <w:szCs w:val="24"/>
        </w:rPr>
        <w:t xml:space="preserve">are </w:t>
      </w:r>
      <w:r w:rsidR="00642B7A" w:rsidRPr="003C38DE">
        <w:rPr>
          <w:sz w:val="24"/>
          <w:szCs w:val="24"/>
        </w:rPr>
        <w:t>determined by the Chair by legislative instrument.</w:t>
      </w:r>
    </w:p>
    <w:p w14:paraId="18E0FFAF" w14:textId="13228569" w:rsidR="00642B7A" w:rsidRPr="003C38DE" w:rsidRDefault="00706A04" w:rsidP="000756AF">
      <w:pPr>
        <w:pStyle w:val="ESPara"/>
        <w:numPr>
          <w:ilvl w:val="0"/>
          <w:numId w:val="0"/>
        </w:numPr>
        <w:ind w:left="360"/>
        <w:rPr>
          <w:sz w:val="24"/>
          <w:szCs w:val="24"/>
        </w:rPr>
      </w:pPr>
      <w:r w:rsidRPr="003C38DE">
        <w:rPr>
          <w:sz w:val="24"/>
          <w:szCs w:val="24"/>
        </w:rPr>
        <w:t>Subs</w:t>
      </w:r>
      <w:r w:rsidR="00063408" w:rsidRPr="003C38DE">
        <w:rPr>
          <w:sz w:val="24"/>
          <w:szCs w:val="24"/>
        </w:rPr>
        <w:t>equently, subs</w:t>
      </w:r>
      <w:r w:rsidRPr="003C38DE">
        <w:rPr>
          <w:sz w:val="24"/>
          <w:szCs w:val="24"/>
        </w:rPr>
        <w:t xml:space="preserve">ection 24(4) </w:t>
      </w:r>
      <w:r w:rsidR="00642B7A" w:rsidRPr="003C38DE">
        <w:rPr>
          <w:sz w:val="24"/>
          <w:szCs w:val="24"/>
        </w:rPr>
        <w:t>provides</w:t>
      </w:r>
      <w:r w:rsidR="00245BC8" w:rsidRPr="003C38DE">
        <w:rPr>
          <w:sz w:val="24"/>
          <w:szCs w:val="24"/>
        </w:rPr>
        <w:t xml:space="preserve"> a power for the </w:t>
      </w:r>
      <w:r w:rsidR="00642B7A" w:rsidRPr="003C38DE">
        <w:rPr>
          <w:sz w:val="24"/>
          <w:szCs w:val="24"/>
        </w:rPr>
        <w:t xml:space="preserve">Chair </w:t>
      </w:r>
      <w:r w:rsidR="00245BC8" w:rsidRPr="003C38DE">
        <w:rPr>
          <w:sz w:val="24"/>
          <w:szCs w:val="24"/>
        </w:rPr>
        <w:t>to make legislative instruments for the purpose of subsection 24(</w:t>
      </w:r>
      <w:r w:rsidR="00063408" w:rsidRPr="003C38DE">
        <w:rPr>
          <w:sz w:val="24"/>
          <w:szCs w:val="24"/>
        </w:rPr>
        <w:t>2</w:t>
      </w:r>
      <w:r w:rsidR="00245BC8" w:rsidRPr="003C38DE">
        <w:rPr>
          <w:sz w:val="24"/>
          <w:szCs w:val="24"/>
        </w:rPr>
        <w:t>) and 24(</w:t>
      </w:r>
      <w:r w:rsidR="00063408" w:rsidRPr="003C38DE">
        <w:rPr>
          <w:sz w:val="24"/>
          <w:szCs w:val="24"/>
        </w:rPr>
        <w:t>3</w:t>
      </w:r>
      <w:r w:rsidR="00245BC8" w:rsidRPr="003C38DE">
        <w:rPr>
          <w:sz w:val="24"/>
          <w:szCs w:val="24"/>
        </w:rPr>
        <w:t xml:space="preserve">) to determine the remuneration or allowances of Expert Panel members appointed to the review panel for a review. </w:t>
      </w:r>
    </w:p>
    <w:p w14:paraId="51F22085" w14:textId="7933EF8C" w:rsidR="00642B7A" w:rsidRPr="003C38DE" w:rsidRDefault="00706A04">
      <w:pPr>
        <w:pStyle w:val="ESPara"/>
        <w:numPr>
          <w:ilvl w:val="0"/>
          <w:numId w:val="0"/>
        </w:numPr>
        <w:ind w:left="360"/>
        <w:rPr>
          <w:sz w:val="24"/>
          <w:szCs w:val="24"/>
        </w:rPr>
      </w:pPr>
      <w:r w:rsidRPr="003C38DE">
        <w:rPr>
          <w:sz w:val="24"/>
          <w:szCs w:val="24"/>
        </w:rPr>
        <w:t xml:space="preserve">Subsection 24(5) </w:t>
      </w:r>
      <w:r w:rsidR="00642B7A" w:rsidRPr="003C38DE">
        <w:rPr>
          <w:sz w:val="24"/>
          <w:szCs w:val="24"/>
        </w:rPr>
        <w:t>provides that an Expert Panel member may resign the member’s appointment to the review panel for a review by giving the Chair a written resignation.</w:t>
      </w:r>
      <w:r w:rsidR="00063408" w:rsidRPr="003C38DE">
        <w:rPr>
          <w:sz w:val="24"/>
          <w:szCs w:val="24"/>
        </w:rPr>
        <w:t xml:space="preserve"> </w:t>
      </w:r>
      <w:r w:rsidRPr="003C38DE">
        <w:rPr>
          <w:sz w:val="24"/>
          <w:szCs w:val="24"/>
        </w:rPr>
        <w:t xml:space="preserve">Subsection 24(6) </w:t>
      </w:r>
      <w:r w:rsidR="00642B7A" w:rsidRPr="003C38DE">
        <w:rPr>
          <w:sz w:val="24"/>
          <w:szCs w:val="24"/>
        </w:rPr>
        <w:t>provides that the resignation takes effect on the day it is received by the Chair or, if a later day is specified in the resignation, on that later day.</w:t>
      </w:r>
    </w:p>
    <w:p w14:paraId="6A95CC35" w14:textId="37023B97" w:rsidR="00762CDE" w:rsidRPr="003C38DE" w:rsidRDefault="00706A04" w:rsidP="000756AF">
      <w:pPr>
        <w:pStyle w:val="ESPara"/>
        <w:numPr>
          <w:ilvl w:val="0"/>
          <w:numId w:val="0"/>
        </w:numPr>
        <w:ind w:left="360"/>
        <w:rPr>
          <w:sz w:val="24"/>
          <w:szCs w:val="24"/>
        </w:rPr>
      </w:pPr>
      <w:r w:rsidRPr="003C38DE">
        <w:rPr>
          <w:sz w:val="24"/>
          <w:szCs w:val="24"/>
        </w:rPr>
        <w:t xml:space="preserve">Subsection 24(7) </w:t>
      </w:r>
      <w:r w:rsidR="00642B7A" w:rsidRPr="003C38DE">
        <w:rPr>
          <w:sz w:val="24"/>
          <w:szCs w:val="24"/>
        </w:rPr>
        <w:t xml:space="preserve">provides that </w:t>
      </w:r>
      <w:r w:rsidR="00762CDE" w:rsidRPr="003C38DE">
        <w:rPr>
          <w:sz w:val="24"/>
          <w:szCs w:val="24"/>
        </w:rPr>
        <w:t>the Chair may revoke the appointment of a member of the Expert Panel to</w:t>
      </w:r>
      <w:r w:rsidR="00245BC8" w:rsidRPr="003C38DE">
        <w:rPr>
          <w:sz w:val="24"/>
          <w:szCs w:val="24"/>
        </w:rPr>
        <w:t xml:space="preserve"> the review panel for a review for any of the following reasons:</w:t>
      </w:r>
    </w:p>
    <w:p w14:paraId="0FC7F1A9" w14:textId="642EAAA3" w:rsidR="00762CDE" w:rsidRPr="003C38DE" w:rsidRDefault="003C38DE" w:rsidP="003C38DE">
      <w:pPr>
        <w:pStyle w:val="Default"/>
        <w:numPr>
          <w:ilvl w:val="2"/>
          <w:numId w:val="17"/>
        </w:numPr>
        <w:ind w:left="709"/>
      </w:pPr>
      <w:r w:rsidRPr="003C38DE">
        <w:t>m</w:t>
      </w:r>
      <w:r w:rsidR="00762CDE" w:rsidRPr="003C38DE">
        <w:t>isbehaviour</w:t>
      </w:r>
      <w:r w:rsidR="00245BC8" w:rsidRPr="003C38DE">
        <w:t xml:space="preserve"> (paragraph 24(7)(a)); </w:t>
      </w:r>
      <w:r w:rsidR="000F6D90" w:rsidRPr="003C38DE">
        <w:t>or</w:t>
      </w:r>
    </w:p>
    <w:p w14:paraId="1A1B1916" w14:textId="77777777" w:rsidR="00245BC8" w:rsidRPr="003C38DE" w:rsidRDefault="00245BC8" w:rsidP="003C38DE">
      <w:pPr>
        <w:pStyle w:val="Default"/>
        <w:ind w:left="709"/>
      </w:pPr>
    </w:p>
    <w:p w14:paraId="2E463C88" w14:textId="33FB180C" w:rsidR="00245BC8" w:rsidRPr="003C38DE" w:rsidRDefault="00762CDE" w:rsidP="003C38DE">
      <w:pPr>
        <w:pStyle w:val="Default"/>
        <w:numPr>
          <w:ilvl w:val="2"/>
          <w:numId w:val="17"/>
        </w:numPr>
        <w:ind w:left="709"/>
      </w:pPr>
      <w:r w:rsidRPr="003C38DE">
        <w:t>if the member of the Expert Panel is unable to perform the duties of the member’s office because of physical or mental incapacity</w:t>
      </w:r>
      <w:r w:rsidR="00245BC8" w:rsidRPr="003C38DE">
        <w:t xml:space="preserve"> (paragraph 24(7)(b)); </w:t>
      </w:r>
      <w:r w:rsidR="000F6D90" w:rsidRPr="003C38DE">
        <w:t>or</w:t>
      </w:r>
    </w:p>
    <w:p w14:paraId="3D01EDF4" w14:textId="76B6CDFA" w:rsidR="00245BC8" w:rsidRPr="003C38DE" w:rsidRDefault="00245BC8" w:rsidP="003C38DE">
      <w:pPr>
        <w:pStyle w:val="Default"/>
        <w:ind w:left="709"/>
      </w:pPr>
    </w:p>
    <w:p w14:paraId="3B6FABA9" w14:textId="4AB93BA6" w:rsidR="00762CDE" w:rsidRPr="003C38DE" w:rsidRDefault="00245BC8" w:rsidP="003C38DE">
      <w:pPr>
        <w:pStyle w:val="Default"/>
        <w:numPr>
          <w:ilvl w:val="2"/>
          <w:numId w:val="17"/>
        </w:numPr>
        <w:ind w:left="709"/>
      </w:pPr>
      <w:r w:rsidRPr="003C38DE">
        <w:t xml:space="preserve">if the member </w:t>
      </w:r>
      <w:r w:rsidR="00762CDE" w:rsidRPr="003C38DE">
        <w:t>becomes bankrupt</w:t>
      </w:r>
      <w:r w:rsidRPr="003C38DE">
        <w:t xml:space="preserve"> (subparagraph 24(7)(</w:t>
      </w:r>
      <w:r w:rsidR="000F6D90" w:rsidRPr="003C38DE">
        <w:t>c</w:t>
      </w:r>
      <w:r w:rsidRPr="003C38DE">
        <w:t>)(i));</w:t>
      </w:r>
      <w:r w:rsidR="000F6D90" w:rsidRPr="003C38DE">
        <w:t xml:space="preserve"> or</w:t>
      </w:r>
    </w:p>
    <w:p w14:paraId="74B814E7" w14:textId="6A51951F" w:rsidR="00245BC8" w:rsidRPr="003C38DE" w:rsidRDefault="00245BC8" w:rsidP="003C38DE">
      <w:pPr>
        <w:pStyle w:val="Default"/>
        <w:ind w:left="709"/>
      </w:pPr>
    </w:p>
    <w:p w14:paraId="46194065" w14:textId="3B8FD5AC" w:rsidR="00762CDE" w:rsidRPr="003C38DE" w:rsidRDefault="00245BC8" w:rsidP="003C38DE">
      <w:pPr>
        <w:pStyle w:val="Default"/>
        <w:numPr>
          <w:ilvl w:val="2"/>
          <w:numId w:val="17"/>
        </w:numPr>
        <w:ind w:left="709"/>
      </w:pPr>
      <w:r w:rsidRPr="003C38DE">
        <w:lastRenderedPageBreak/>
        <w:t xml:space="preserve">if the member </w:t>
      </w:r>
      <w:r w:rsidR="00762CDE" w:rsidRPr="003C38DE">
        <w:t>applies to take the benefit of any law for the relief of bankrupt or insolvent debtors</w:t>
      </w:r>
      <w:r w:rsidRPr="003C38DE">
        <w:t xml:space="preserve"> (subparagraph 24(7)(c)(ii))</w:t>
      </w:r>
      <w:r w:rsidR="00762CDE" w:rsidRPr="003C38DE">
        <w:t xml:space="preserve">; or </w:t>
      </w:r>
    </w:p>
    <w:p w14:paraId="347B0126" w14:textId="77777777" w:rsidR="00245BC8" w:rsidRPr="003C38DE" w:rsidRDefault="00245BC8" w:rsidP="003C38DE">
      <w:pPr>
        <w:pStyle w:val="Default"/>
        <w:ind w:left="709"/>
      </w:pPr>
    </w:p>
    <w:p w14:paraId="51C83FE7" w14:textId="3456F712" w:rsidR="00762CDE" w:rsidRPr="003C38DE" w:rsidRDefault="00245BC8" w:rsidP="003C38DE">
      <w:pPr>
        <w:pStyle w:val="Default"/>
        <w:numPr>
          <w:ilvl w:val="2"/>
          <w:numId w:val="17"/>
        </w:numPr>
        <w:ind w:left="709"/>
      </w:pPr>
      <w:r w:rsidRPr="003C38DE">
        <w:t xml:space="preserve">if the member </w:t>
      </w:r>
      <w:r w:rsidR="00762CDE" w:rsidRPr="003C38DE">
        <w:t>compounds with the member’s creditors</w:t>
      </w:r>
      <w:r w:rsidRPr="003C38DE">
        <w:t xml:space="preserve"> (subparagraph 24(7)(c)(iii)); </w:t>
      </w:r>
      <w:r w:rsidR="000F6D90" w:rsidRPr="003C38DE">
        <w:t>or</w:t>
      </w:r>
    </w:p>
    <w:p w14:paraId="3DEC9B1C" w14:textId="677DF351" w:rsidR="00245BC8" w:rsidRPr="003C38DE" w:rsidRDefault="00245BC8" w:rsidP="003C38DE">
      <w:pPr>
        <w:pStyle w:val="Default"/>
        <w:ind w:left="709"/>
      </w:pPr>
    </w:p>
    <w:p w14:paraId="5F2F8C83" w14:textId="24EB9B6A" w:rsidR="00245BC8" w:rsidRPr="003C38DE" w:rsidRDefault="00245BC8" w:rsidP="003C38DE">
      <w:pPr>
        <w:pStyle w:val="Default"/>
        <w:numPr>
          <w:ilvl w:val="2"/>
          <w:numId w:val="17"/>
        </w:numPr>
        <w:ind w:left="709"/>
      </w:pPr>
      <w:r w:rsidRPr="003C38DE">
        <w:t xml:space="preserve">if the member </w:t>
      </w:r>
      <w:r w:rsidR="00762CDE" w:rsidRPr="003C38DE">
        <w:t>makes an assignment of the member’s remuneration for the benef</w:t>
      </w:r>
      <w:r w:rsidRPr="003C38DE">
        <w:t>it of the member’s creditors (subparagraph 24(7)(c)(iv))</w:t>
      </w:r>
      <w:r w:rsidR="004623E6" w:rsidRPr="003C38DE">
        <w:t>;</w:t>
      </w:r>
      <w:r w:rsidR="000F6D90" w:rsidRPr="003C38DE">
        <w:t xml:space="preserve"> or</w:t>
      </w:r>
    </w:p>
    <w:p w14:paraId="17409E67" w14:textId="7B4B458D" w:rsidR="004623E6" w:rsidRPr="003C38DE" w:rsidRDefault="004623E6" w:rsidP="003C38DE">
      <w:pPr>
        <w:pStyle w:val="Default"/>
        <w:ind w:left="709"/>
      </w:pPr>
    </w:p>
    <w:p w14:paraId="793E1EC6" w14:textId="05B4CD93" w:rsidR="00245BC8" w:rsidRPr="003C38DE" w:rsidRDefault="004623E6" w:rsidP="003C38DE">
      <w:pPr>
        <w:pStyle w:val="Default"/>
        <w:numPr>
          <w:ilvl w:val="2"/>
          <w:numId w:val="17"/>
        </w:numPr>
        <w:ind w:left="709"/>
      </w:pPr>
      <w:r w:rsidRPr="003C38DE">
        <w:t>if the member fails, without reasonable excuse, to comply with the duty to disclose conflicts (provided for in section 25 of the Rules) (paragraph 24(7)(d)</w:t>
      </w:r>
      <w:r w:rsidR="000F6D90" w:rsidRPr="003C38DE">
        <w:t>)</w:t>
      </w:r>
      <w:r w:rsidRPr="003C38DE">
        <w:t>; or</w:t>
      </w:r>
    </w:p>
    <w:p w14:paraId="47C32697" w14:textId="77777777" w:rsidR="004623E6" w:rsidRPr="003C38DE" w:rsidRDefault="004623E6" w:rsidP="003C38DE">
      <w:pPr>
        <w:pStyle w:val="Default"/>
        <w:ind w:left="709"/>
      </w:pPr>
    </w:p>
    <w:p w14:paraId="798A7673" w14:textId="0BD14300" w:rsidR="00B4565B" w:rsidRPr="003C38DE" w:rsidRDefault="004623E6" w:rsidP="003C38DE">
      <w:pPr>
        <w:pStyle w:val="Default"/>
        <w:numPr>
          <w:ilvl w:val="2"/>
          <w:numId w:val="17"/>
        </w:numPr>
        <w:ind w:left="709"/>
      </w:pPr>
      <w:r w:rsidRPr="003C38DE">
        <w:t>if the Chair ceases to be satisfied of any matter in subsection 22(3) or section 23 relating to the member</w:t>
      </w:r>
      <w:r w:rsidR="00C05F5B" w:rsidRPr="003C38DE">
        <w:t xml:space="preserve"> (paragraph 24(7)(e))</w:t>
      </w:r>
      <w:r w:rsidRPr="003C38DE">
        <w:t xml:space="preserve">. </w:t>
      </w:r>
    </w:p>
    <w:p w14:paraId="63D5B589" w14:textId="56DC88C6" w:rsidR="00A24CEF" w:rsidRPr="003C38DE" w:rsidRDefault="000756AF" w:rsidP="00360638">
      <w:pPr>
        <w:pStyle w:val="ESPara"/>
        <w:numPr>
          <w:ilvl w:val="0"/>
          <w:numId w:val="0"/>
        </w:numPr>
        <w:ind w:left="360"/>
        <w:rPr>
          <w:rStyle w:val="normaltextrun"/>
          <w:rFonts w:asciiTheme="minorHAnsi" w:hAnsiTheme="minorHAnsi" w:cstheme="minorBidi"/>
          <w:b/>
          <w:color w:val="000000"/>
          <w:sz w:val="24"/>
          <w:szCs w:val="24"/>
        </w:rPr>
      </w:pPr>
      <w:r w:rsidRPr="003C38DE">
        <w:rPr>
          <w:rStyle w:val="normaltextrun"/>
          <w:color w:val="000000"/>
          <w:sz w:val="24"/>
          <w:szCs w:val="24"/>
        </w:rPr>
        <w:t xml:space="preserve">Consistent with the </w:t>
      </w:r>
      <w:r w:rsidR="00F14B95" w:rsidRPr="003C38DE">
        <w:rPr>
          <w:rStyle w:val="normaltextrun"/>
          <w:color w:val="000000"/>
          <w:sz w:val="24"/>
          <w:szCs w:val="24"/>
        </w:rPr>
        <w:t>Minister</w:t>
      </w:r>
      <w:r w:rsidRPr="003C38DE">
        <w:rPr>
          <w:rStyle w:val="normaltextrun"/>
          <w:color w:val="000000"/>
          <w:sz w:val="24"/>
          <w:szCs w:val="24"/>
        </w:rPr>
        <w:t>’s</w:t>
      </w:r>
      <w:r w:rsidR="00F14B95" w:rsidRPr="003C38DE">
        <w:rPr>
          <w:rStyle w:val="normaltextrun"/>
          <w:color w:val="000000"/>
          <w:sz w:val="24"/>
          <w:szCs w:val="24"/>
        </w:rPr>
        <w:t xml:space="preserve"> powers to terminate the appointment of </w:t>
      </w:r>
      <w:r w:rsidRPr="003C38DE">
        <w:rPr>
          <w:rStyle w:val="normaltextrun"/>
          <w:color w:val="000000"/>
          <w:sz w:val="24"/>
          <w:szCs w:val="24"/>
        </w:rPr>
        <w:t xml:space="preserve">standing </w:t>
      </w:r>
      <w:r w:rsidR="00F14B95" w:rsidRPr="003C38DE">
        <w:rPr>
          <w:rStyle w:val="normaltextrun"/>
          <w:color w:val="000000"/>
          <w:sz w:val="24"/>
          <w:szCs w:val="24"/>
        </w:rPr>
        <w:t xml:space="preserve">members in certain circumstances, it is appropriate that the Chair have similar powers </w:t>
      </w:r>
      <w:r w:rsidR="00A24CEF" w:rsidRPr="003C38DE">
        <w:rPr>
          <w:rStyle w:val="normaltextrun"/>
          <w:color w:val="000000"/>
          <w:sz w:val="24"/>
          <w:szCs w:val="24"/>
        </w:rPr>
        <w:t xml:space="preserve">to revoke the appointment of Expert Panel members </w:t>
      </w:r>
      <w:r w:rsidR="00981F63" w:rsidRPr="003C38DE">
        <w:rPr>
          <w:rStyle w:val="normaltextrun"/>
          <w:color w:val="000000"/>
          <w:sz w:val="24"/>
          <w:szCs w:val="24"/>
        </w:rPr>
        <w:t xml:space="preserve">to a review panel </w:t>
      </w:r>
      <w:r w:rsidR="00A24CEF" w:rsidRPr="003C38DE">
        <w:rPr>
          <w:rStyle w:val="normaltextrun"/>
          <w:color w:val="000000"/>
          <w:sz w:val="24"/>
          <w:szCs w:val="24"/>
        </w:rPr>
        <w:t>to resolve iss</w:t>
      </w:r>
      <w:r w:rsidR="00996481" w:rsidRPr="003C38DE">
        <w:rPr>
          <w:rStyle w:val="normaltextrun"/>
          <w:color w:val="000000"/>
          <w:sz w:val="24"/>
          <w:szCs w:val="24"/>
        </w:rPr>
        <w:t>ues arising from the behaviour</w:t>
      </w:r>
      <w:r w:rsidRPr="003C38DE">
        <w:rPr>
          <w:rStyle w:val="normaltextrun"/>
          <w:color w:val="000000"/>
          <w:sz w:val="24"/>
          <w:szCs w:val="24"/>
        </w:rPr>
        <w:t xml:space="preserve">, attendance or another circumstance </w:t>
      </w:r>
      <w:r w:rsidR="00A24CEF" w:rsidRPr="003C38DE">
        <w:rPr>
          <w:rStyle w:val="normaltextrun"/>
          <w:color w:val="000000"/>
          <w:sz w:val="24"/>
          <w:szCs w:val="24"/>
        </w:rPr>
        <w:t xml:space="preserve">which can’t be resolved using the </w:t>
      </w:r>
      <w:r w:rsidRPr="003C38DE">
        <w:rPr>
          <w:rStyle w:val="normaltextrun"/>
          <w:color w:val="000000"/>
          <w:sz w:val="24"/>
          <w:szCs w:val="24"/>
        </w:rPr>
        <w:t xml:space="preserve">CIRB’s existing mechanisms, such as </w:t>
      </w:r>
      <w:r w:rsidR="00996481" w:rsidRPr="003C38DE">
        <w:rPr>
          <w:rStyle w:val="normaltextrun"/>
          <w:color w:val="000000"/>
          <w:sz w:val="24"/>
          <w:szCs w:val="24"/>
        </w:rPr>
        <w:t>its conflict</w:t>
      </w:r>
      <w:r w:rsidR="00A24CEF" w:rsidRPr="003C38DE">
        <w:rPr>
          <w:rStyle w:val="normaltextrun"/>
          <w:color w:val="000000"/>
          <w:sz w:val="24"/>
          <w:szCs w:val="24"/>
        </w:rPr>
        <w:t xml:space="preserve"> of interest framework.</w:t>
      </w:r>
    </w:p>
    <w:p w14:paraId="18A22D1A" w14:textId="38D79F6D" w:rsidR="00A24CEF" w:rsidRPr="003C38DE" w:rsidRDefault="00A24CEF" w:rsidP="00360638">
      <w:pPr>
        <w:pStyle w:val="ESPara"/>
        <w:numPr>
          <w:ilvl w:val="0"/>
          <w:numId w:val="0"/>
        </w:numPr>
        <w:ind w:left="360"/>
        <w:rPr>
          <w:rStyle w:val="normaltextrun"/>
          <w:b/>
          <w:color w:val="000000"/>
          <w:sz w:val="24"/>
          <w:szCs w:val="24"/>
        </w:rPr>
      </w:pPr>
      <w:r w:rsidRPr="003C38DE">
        <w:rPr>
          <w:rStyle w:val="normaltextrun"/>
          <w:color w:val="000000"/>
          <w:sz w:val="24"/>
          <w:szCs w:val="24"/>
        </w:rPr>
        <w:t xml:space="preserve">By defining a limited scope for the Chair to exercise this power, decisions to </w:t>
      </w:r>
      <w:r w:rsidR="000756AF" w:rsidRPr="003C38DE">
        <w:rPr>
          <w:rStyle w:val="normaltextrun"/>
          <w:color w:val="000000"/>
          <w:sz w:val="24"/>
          <w:szCs w:val="24"/>
        </w:rPr>
        <w:t xml:space="preserve">revoke the appointment of Expert Panel members </w:t>
      </w:r>
      <w:r w:rsidRPr="003C38DE">
        <w:rPr>
          <w:rStyle w:val="normaltextrun"/>
          <w:color w:val="000000"/>
          <w:sz w:val="24"/>
          <w:szCs w:val="24"/>
        </w:rPr>
        <w:t>are transparent and establish</w:t>
      </w:r>
      <w:r w:rsidR="000756AF" w:rsidRPr="003C38DE">
        <w:rPr>
          <w:rStyle w:val="normaltextrun"/>
          <w:color w:val="000000"/>
          <w:sz w:val="24"/>
          <w:szCs w:val="24"/>
        </w:rPr>
        <w:t>es a</w:t>
      </w:r>
      <w:r w:rsidRPr="003C38DE">
        <w:rPr>
          <w:rStyle w:val="normaltextrun"/>
          <w:color w:val="000000"/>
          <w:sz w:val="24"/>
          <w:szCs w:val="24"/>
        </w:rPr>
        <w:t xml:space="preserve"> clear governance framework for the use of this powe</w:t>
      </w:r>
      <w:r w:rsidR="00360638" w:rsidRPr="003C38DE">
        <w:rPr>
          <w:rStyle w:val="normaltextrun"/>
          <w:color w:val="000000"/>
          <w:sz w:val="24"/>
          <w:szCs w:val="24"/>
        </w:rPr>
        <w:t>r, including</w:t>
      </w:r>
      <w:r w:rsidRPr="003C38DE">
        <w:rPr>
          <w:rStyle w:val="normaltextrun"/>
          <w:color w:val="000000"/>
          <w:sz w:val="24"/>
          <w:szCs w:val="24"/>
        </w:rPr>
        <w:t xml:space="preserve"> for a member of the </w:t>
      </w:r>
      <w:r w:rsidR="00360638" w:rsidRPr="003C38DE">
        <w:rPr>
          <w:rStyle w:val="normaltextrun"/>
          <w:color w:val="000000"/>
          <w:sz w:val="24"/>
          <w:szCs w:val="24"/>
        </w:rPr>
        <w:t>E</w:t>
      </w:r>
      <w:r w:rsidRPr="003C38DE">
        <w:rPr>
          <w:rStyle w:val="normaltextrun"/>
          <w:color w:val="000000"/>
          <w:sz w:val="24"/>
          <w:szCs w:val="24"/>
        </w:rPr>
        <w:t xml:space="preserve">xpert </w:t>
      </w:r>
      <w:r w:rsidR="00360638" w:rsidRPr="003C38DE">
        <w:rPr>
          <w:rStyle w:val="normaltextrun"/>
          <w:color w:val="000000"/>
          <w:sz w:val="24"/>
          <w:szCs w:val="24"/>
        </w:rPr>
        <w:t>P</w:t>
      </w:r>
      <w:r w:rsidRPr="003C38DE">
        <w:rPr>
          <w:rStyle w:val="normaltextrun"/>
          <w:color w:val="000000"/>
          <w:sz w:val="24"/>
          <w:szCs w:val="24"/>
        </w:rPr>
        <w:t xml:space="preserve">anel to seek review of </w:t>
      </w:r>
      <w:r w:rsidR="00360638" w:rsidRPr="003C38DE">
        <w:rPr>
          <w:rStyle w:val="normaltextrun"/>
          <w:color w:val="000000"/>
          <w:sz w:val="24"/>
          <w:szCs w:val="24"/>
        </w:rPr>
        <w:t>this</w:t>
      </w:r>
      <w:r w:rsidRPr="003C38DE">
        <w:rPr>
          <w:rStyle w:val="normaltextrun"/>
          <w:color w:val="000000"/>
          <w:sz w:val="24"/>
          <w:szCs w:val="24"/>
        </w:rPr>
        <w:t xml:space="preserve"> decision.</w:t>
      </w:r>
    </w:p>
    <w:p w14:paraId="34254DF2" w14:textId="63F6FF9D" w:rsidR="00B4565B" w:rsidRPr="003C38DE" w:rsidRDefault="00A24CEF" w:rsidP="00360638">
      <w:pPr>
        <w:pStyle w:val="ESPara"/>
        <w:numPr>
          <w:ilvl w:val="0"/>
          <w:numId w:val="0"/>
        </w:numPr>
        <w:ind w:left="360"/>
        <w:rPr>
          <w:rStyle w:val="normaltextrun"/>
          <w:b/>
          <w:sz w:val="24"/>
          <w:szCs w:val="24"/>
        </w:rPr>
      </w:pPr>
      <w:r w:rsidRPr="003C38DE">
        <w:rPr>
          <w:rStyle w:val="normaltextrun"/>
          <w:color w:val="000000"/>
          <w:sz w:val="24"/>
          <w:szCs w:val="24"/>
        </w:rPr>
        <w:t>Unlike t</w:t>
      </w:r>
      <w:r w:rsidRPr="003C38DE">
        <w:rPr>
          <w:rStyle w:val="normaltextrun"/>
          <w:sz w:val="24"/>
          <w:szCs w:val="24"/>
        </w:rPr>
        <w:t xml:space="preserve">he </w:t>
      </w:r>
      <w:r w:rsidR="00360638" w:rsidRPr="003C38DE">
        <w:rPr>
          <w:rStyle w:val="normaltextrun"/>
          <w:sz w:val="24"/>
          <w:szCs w:val="24"/>
        </w:rPr>
        <w:t>C</w:t>
      </w:r>
      <w:r w:rsidRPr="003C38DE">
        <w:rPr>
          <w:rStyle w:val="normaltextrun"/>
          <w:sz w:val="24"/>
          <w:szCs w:val="24"/>
        </w:rPr>
        <w:t xml:space="preserve">hair and members of the </w:t>
      </w:r>
      <w:r w:rsidR="00360638" w:rsidRPr="003C38DE">
        <w:rPr>
          <w:rStyle w:val="normaltextrun"/>
          <w:sz w:val="24"/>
          <w:szCs w:val="24"/>
        </w:rPr>
        <w:t xml:space="preserve">CIRB </w:t>
      </w:r>
      <w:r w:rsidRPr="003C38DE">
        <w:rPr>
          <w:rStyle w:val="normaltextrun"/>
          <w:sz w:val="24"/>
          <w:szCs w:val="24"/>
        </w:rPr>
        <w:t xml:space="preserve">who </w:t>
      </w:r>
      <w:r w:rsidR="00360638" w:rsidRPr="003C38DE">
        <w:rPr>
          <w:rStyle w:val="normaltextrun"/>
          <w:sz w:val="24"/>
          <w:szCs w:val="24"/>
        </w:rPr>
        <w:t>a</w:t>
      </w:r>
      <w:r w:rsidR="00063408" w:rsidRPr="003C38DE">
        <w:rPr>
          <w:rStyle w:val="normaltextrun"/>
          <w:sz w:val="24"/>
          <w:szCs w:val="24"/>
        </w:rPr>
        <w:t>re in</w:t>
      </w:r>
      <w:r w:rsidR="00360638" w:rsidRPr="003C38DE">
        <w:rPr>
          <w:rStyle w:val="normaltextrun"/>
          <w:sz w:val="24"/>
          <w:szCs w:val="24"/>
        </w:rPr>
        <w:t xml:space="preserve"> public office </w:t>
      </w:r>
      <w:r w:rsidRPr="003C38DE">
        <w:rPr>
          <w:rStyle w:val="normaltextrun"/>
          <w:sz w:val="24"/>
          <w:szCs w:val="24"/>
        </w:rPr>
        <w:t>for the purposes of the</w:t>
      </w:r>
      <w:r w:rsidR="00360638" w:rsidRPr="003C38DE">
        <w:rPr>
          <w:rStyle w:val="normaltextrun"/>
          <w:sz w:val="24"/>
          <w:szCs w:val="24"/>
        </w:rPr>
        <w:t xml:space="preserve"> PGPAA,</w:t>
      </w:r>
      <w:r w:rsidRPr="003C38DE">
        <w:rPr>
          <w:rStyle w:val="normaltextrun"/>
          <w:sz w:val="24"/>
          <w:szCs w:val="24"/>
        </w:rPr>
        <w:t xml:space="preserve"> appointments to the Expert Panel are not appointments to a public office.</w:t>
      </w:r>
    </w:p>
    <w:p w14:paraId="4E17C4F5" w14:textId="3EC667EF" w:rsidR="00A24CEF" w:rsidRPr="003C38DE" w:rsidRDefault="00A24CEF" w:rsidP="00360638">
      <w:pPr>
        <w:pStyle w:val="ESPara"/>
        <w:numPr>
          <w:ilvl w:val="0"/>
          <w:numId w:val="0"/>
        </w:numPr>
        <w:ind w:left="360"/>
        <w:rPr>
          <w:rStyle w:val="normaltextrun"/>
          <w:sz w:val="24"/>
          <w:szCs w:val="24"/>
        </w:rPr>
      </w:pPr>
      <w:r w:rsidRPr="003C38DE">
        <w:rPr>
          <w:rStyle w:val="normaltextrun"/>
          <w:sz w:val="24"/>
          <w:szCs w:val="24"/>
        </w:rPr>
        <w:t>Therefore</w:t>
      </w:r>
      <w:r w:rsidR="00360638" w:rsidRPr="003C38DE">
        <w:rPr>
          <w:rStyle w:val="normaltextrun"/>
          <w:sz w:val="24"/>
          <w:szCs w:val="24"/>
        </w:rPr>
        <w:t>,</w:t>
      </w:r>
      <w:r w:rsidRPr="003C38DE">
        <w:rPr>
          <w:rStyle w:val="normaltextrun"/>
          <w:sz w:val="24"/>
          <w:szCs w:val="24"/>
        </w:rPr>
        <w:t xml:space="preserve"> the Remuneration Tribunal is not able to make a determination </w:t>
      </w:r>
      <w:r w:rsidR="00360638" w:rsidRPr="003C38DE">
        <w:rPr>
          <w:rStyle w:val="normaltextrun"/>
          <w:sz w:val="24"/>
          <w:szCs w:val="24"/>
        </w:rPr>
        <w:t>as to</w:t>
      </w:r>
      <w:r w:rsidRPr="003C38DE">
        <w:rPr>
          <w:rStyle w:val="normaltextrun"/>
          <w:sz w:val="24"/>
          <w:szCs w:val="24"/>
        </w:rPr>
        <w:t xml:space="preserve"> the remuneration of the Expert Panel when they are appointed to assist a review. As the </w:t>
      </w:r>
      <w:r w:rsidR="00360638" w:rsidRPr="003C38DE">
        <w:rPr>
          <w:rStyle w:val="normaltextrun"/>
          <w:sz w:val="24"/>
          <w:szCs w:val="24"/>
        </w:rPr>
        <w:t xml:space="preserve">CIRB </w:t>
      </w:r>
      <w:r w:rsidRPr="003C38DE">
        <w:rPr>
          <w:rStyle w:val="normaltextrun"/>
          <w:sz w:val="24"/>
          <w:szCs w:val="24"/>
        </w:rPr>
        <w:t xml:space="preserve">has complete discretion in the performance of the </w:t>
      </w:r>
      <w:r w:rsidR="00360638" w:rsidRPr="003C38DE">
        <w:rPr>
          <w:rStyle w:val="normaltextrun"/>
          <w:sz w:val="24"/>
          <w:szCs w:val="24"/>
        </w:rPr>
        <w:t xml:space="preserve">CIRB’s </w:t>
      </w:r>
      <w:r w:rsidRPr="003C38DE">
        <w:rPr>
          <w:rStyle w:val="normaltextrun"/>
          <w:sz w:val="24"/>
          <w:szCs w:val="24"/>
        </w:rPr>
        <w:t xml:space="preserve">functions and the exercise of </w:t>
      </w:r>
      <w:r w:rsidR="00360638" w:rsidRPr="003C38DE">
        <w:rPr>
          <w:rStyle w:val="normaltextrun"/>
          <w:sz w:val="24"/>
          <w:szCs w:val="24"/>
        </w:rPr>
        <w:t>its</w:t>
      </w:r>
      <w:r w:rsidRPr="003C38DE">
        <w:rPr>
          <w:rStyle w:val="normaltextrun"/>
          <w:sz w:val="24"/>
          <w:szCs w:val="24"/>
        </w:rPr>
        <w:t xml:space="preserve"> powers, the remuneration of the Expert Panel is to be determined by the Chair.</w:t>
      </w:r>
    </w:p>
    <w:p w14:paraId="3BAEDA36" w14:textId="53BDF27E" w:rsidR="00CA41C1" w:rsidRPr="003C38DE" w:rsidRDefault="00383AF6" w:rsidP="00CD5D6D">
      <w:pPr>
        <w:pStyle w:val="ESAttHeading"/>
        <w:keepNext w:val="0"/>
        <w:widowControl w:val="0"/>
        <w:rPr>
          <w:sz w:val="24"/>
          <w:szCs w:val="24"/>
        </w:rPr>
      </w:pPr>
      <w:r w:rsidRPr="003C38DE">
        <w:rPr>
          <w:sz w:val="24"/>
          <w:szCs w:val="24"/>
        </w:rPr>
        <w:t>Section 25</w:t>
      </w:r>
      <w:r w:rsidR="00CA41C1" w:rsidRPr="003C38DE">
        <w:rPr>
          <w:sz w:val="24"/>
          <w:szCs w:val="24"/>
        </w:rPr>
        <w:tab/>
      </w:r>
      <w:r w:rsidR="00D7370C" w:rsidRPr="003C38DE">
        <w:rPr>
          <w:sz w:val="24"/>
          <w:szCs w:val="24"/>
        </w:rPr>
        <w:t>Disclosure of interests to the Board</w:t>
      </w:r>
    </w:p>
    <w:p w14:paraId="43B36ADF" w14:textId="410DCD50" w:rsidR="004623E6" w:rsidRPr="003C38DE" w:rsidRDefault="00706A04" w:rsidP="00360638">
      <w:pPr>
        <w:pStyle w:val="ESPara"/>
        <w:numPr>
          <w:ilvl w:val="0"/>
          <w:numId w:val="0"/>
        </w:numPr>
        <w:ind w:left="360"/>
        <w:rPr>
          <w:i/>
          <w:sz w:val="24"/>
          <w:szCs w:val="24"/>
        </w:rPr>
      </w:pPr>
      <w:r w:rsidRPr="003C38DE">
        <w:rPr>
          <w:sz w:val="24"/>
          <w:szCs w:val="24"/>
        </w:rPr>
        <w:t xml:space="preserve">This section </w:t>
      </w:r>
      <w:r w:rsidR="004623E6" w:rsidRPr="003C38DE">
        <w:rPr>
          <w:sz w:val="24"/>
          <w:szCs w:val="24"/>
        </w:rPr>
        <w:t>provides requirements for disclosure of interests by Expert Panel members</w:t>
      </w:r>
      <w:r w:rsidR="00E27035" w:rsidRPr="003C38DE">
        <w:rPr>
          <w:sz w:val="24"/>
          <w:szCs w:val="24"/>
        </w:rPr>
        <w:t xml:space="preserve"> to the CIRB</w:t>
      </w:r>
      <w:r w:rsidR="00956EB3" w:rsidRPr="003C38DE">
        <w:rPr>
          <w:sz w:val="24"/>
          <w:szCs w:val="24"/>
        </w:rPr>
        <w:t xml:space="preserve">. </w:t>
      </w:r>
      <w:r w:rsidR="004623E6" w:rsidRPr="003C38DE">
        <w:rPr>
          <w:sz w:val="24"/>
          <w:szCs w:val="24"/>
        </w:rPr>
        <w:t xml:space="preserve">Section 25 is made under paragraph 70(5)(g) of the Act. </w:t>
      </w:r>
    </w:p>
    <w:p w14:paraId="6C7209D7" w14:textId="02655C47" w:rsidR="00C10115" w:rsidRPr="003C38DE" w:rsidRDefault="001A7B71" w:rsidP="00360638">
      <w:pPr>
        <w:pStyle w:val="ESPara"/>
        <w:numPr>
          <w:ilvl w:val="0"/>
          <w:numId w:val="0"/>
        </w:numPr>
        <w:ind w:left="360"/>
        <w:rPr>
          <w:sz w:val="24"/>
          <w:szCs w:val="24"/>
        </w:rPr>
      </w:pPr>
      <w:r w:rsidRPr="003C38DE">
        <w:rPr>
          <w:sz w:val="24"/>
          <w:szCs w:val="24"/>
        </w:rPr>
        <w:t>Subsection 25(1)</w:t>
      </w:r>
      <w:r w:rsidR="00762CDE" w:rsidRPr="003C38DE">
        <w:rPr>
          <w:sz w:val="24"/>
          <w:szCs w:val="24"/>
        </w:rPr>
        <w:t xml:space="preserve"> </w:t>
      </w:r>
      <w:r w:rsidR="008367A6" w:rsidRPr="003C38DE">
        <w:rPr>
          <w:sz w:val="24"/>
          <w:szCs w:val="24"/>
        </w:rPr>
        <w:t xml:space="preserve">provides that </w:t>
      </w:r>
      <w:r w:rsidR="00762CDE" w:rsidRPr="003C38DE">
        <w:rPr>
          <w:sz w:val="24"/>
          <w:szCs w:val="24"/>
        </w:rPr>
        <w:t>before a person is appointed as a member of the Expert Panel, the person must give written notice to the Chair of all interests, pecuniary or otherwise, that the person has or acquires and that conflict or could conflict with the proper performance of the person’s duties as a member of the Expert Panel.</w:t>
      </w:r>
    </w:p>
    <w:p w14:paraId="7DD2128F" w14:textId="040B413D" w:rsidR="00762CDE" w:rsidRPr="003C38DE" w:rsidRDefault="001A7B71" w:rsidP="00360638">
      <w:pPr>
        <w:pStyle w:val="ESPara"/>
        <w:numPr>
          <w:ilvl w:val="0"/>
          <w:numId w:val="0"/>
        </w:numPr>
        <w:ind w:left="360"/>
        <w:rPr>
          <w:sz w:val="24"/>
          <w:szCs w:val="24"/>
        </w:rPr>
      </w:pPr>
      <w:r w:rsidRPr="003C38DE">
        <w:rPr>
          <w:sz w:val="24"/>
          <w:szCs w:val="24"/>
        </w:rPr>
        <w:t xml:space="preserve">Subsection 25(2) </w:t>
      </w:r>
      <w:r w:rsidR="00956EB3" w:rsidRPr="003C38DE">
        <w:rPr>
          <w:sz w:val="24"/>
          <w:szCs w:val="24"/>
        </w:rPr>
        <w:t>provides an ongoing disclosure requirement that applies to Expert Panel members. Subsection 25(2) provides</w:t>
      </w:r>
      <w:r w:rsidR="00762CDE" w:rsidRPr="003C38DE">
        <w:rPr>
          <w:sz w:val="24"/>
          <w:szCs w:val="24"/>
        </w:rPr>
        <w:t xml:space="preserve"> that a member of the Expert Panel who has an interest, pecuniary or otherwise, in a matter being considered or about to be considered by the Board must disclose the nature of the interest to the Chair.</w:t>
      </w:r>
    </w:p>
    <w:p w14:paraId="5C422702" w14:textId="6790C3B6" w:rsidR="00762CDE" w:rsidRPr="003C38DE" w:rsidRDefault="001A7B71" w:rsidP="00360638">
      <w:pPr>
        <w:pStyle w:val="ESPara"/>
        <w:numPr>
          <w:ilvl w:val="0"/>
          <w:numId w:val="0"/>
        </w:numPr>
        <w:ind w:left="360"/>
        <w:rPr>
          <w:sz w:val="24"/>
          <w:szCs w:val="24"/>
        </w:rPr>
      </w:pPr>
      <w:r w:rsidRPr="003C38DE">
        <w:rPr>
          <w:sz w:val="24"/>
          <w:szCs w:val="24"/>
        </w:rPr>
        <w:lastRenderedPageBreak/>
        <w:t xml:space="preserve">Subsection 25(3) </w:t>
      </w:r>
      <w:r w:rsidR="00762CDE" w:rsidRPr="003C38DE">
        <w:rPr>
          <w:sz w:val="24"/>
          <w:szCs w:val="24"/>
        </w:rPr>
        <w:t xml:space="preserve">provides that a disclosure under </w:t>
      </w:r>
      <w:r w:rsidR="00956EB3" w:rsidRPr="003C38DE">
        <w:rPr>
          <w:sz w:val="24"/>
          <w:szCs w:val="24"/>
        </w:rPr>
        <w:t>subsection 25(2)</w:t>
      </w:r>
      <w:r w:rsidR="00762CDE" w:rsidRPr="003C38DE">
        <w:rPr>
          <w:sz w:val="24"/>
          <w:szCs w:val="24"/>
        </w:rPr>
        <w:t xml:space="preserve"> must be made as soon as possible after the relevant facts have come to the </w:t>
      </w:r>
      <w:r w:rsidR="00956EB3" w:rsidRPr="003C38DE">
        <w:rPr>
          <w:sz w:val="24"/>
          <w:szCs w:val="24"/>
        </w:rPr>
        <w:t xml:space="preserve">Expert Panel </w:t>
      </w:r>
      <w:r w:rsidR="00762CDE" w:rsidRPr="003C38DE">
        <w:rPr>
          <w:sz w:val="24"/>
          <w:szCs w:val="24"/>
        </w:rPr>
        <w:t xml:space="preserve">member’s knowledge. </w:t>
      </w:r>
    </w:p>
    <w:p w14:paraId="4AA9B56B" w14:textId="539FA7B3" w:rsidR="00762CDE" w:rsidRPr="003C38DE" w:rsidRDefault="001A7B71" w:rsidP="00360638">
      <w:pPr>
        <w:pStyle w:val="ESPara"/>
        <w:numPr>
          <w:ilvl w:val="0"/>
          <w:numId w:val="0"/>
        </w:numPr>
        <w:ind w:left="360"/>
        <w:rPr>
          <w:sz w:val="24"/>
          <w:szCs w:val="24"/>
        </w:rPr>
      </w:pPr>
      <w:r w:rsidRPr="003C38DE">
        <w:rPr>
          <w:sz w:val="24"/>
          <w:szCs w:val="24"/>
        </w:rPr>
        <w:t xml:space="preserve">Subsection 25(4) </w:t>
      </w:r>
      <w:r w:rsidR="00762CDE" w:rsidRPr="003C38DE">
        <w:rPr>
          <w:sz w:val="24"/>
          <w:szCs w:val="24"/>
        </w:rPr>
        <w:t xml:space="preserve">provides that unless the </w:t>
      </w:r>
      <w:r w:rsidR="00956EB3" w:rsidRPr="003C38DE">
        <w:rPr>
          <w:sz w:val="24"/>
          <w:szCs w:val="24"/>
        </w:rPr>
        <w:t>CIRB</w:t>
      </w:r>
      <w:r w:rsidR="00762CDE" w:rsidRPr="003C38DE">
        <w:rPr>
          <w:sz w:val="24"/>
          <w:szCs w:val="24"/>
        </w:rPr>
        <w:t xml:space="preserve"> otherwise determines, the member of the Expert Panel must not be present during any deliberation by the </w:t>
      </w:r>
      <w:r w:rsidR="00956EB3" w:rsidRPr="003C38DE">
        <w:rPr>
          <w:sz w:val="24"/>
          <w:szCs w:val="24"/>
        </w:rPr>
        <w:t xml:space="preserve">CIRB on the interest raised by the Expert Panel member. </w:t>
      </w:r>
    </w:p>
    <w:p w14:paraId="557DB9F1" w14:textId="4B985758" w:rsidR="008569E7" w:rsidRPr="003C38DE" w:rsidRDefault="001A7B71" w:rsidP="00360638">
      <w:pPr>
        <w:pStyle w:val="ESPara"/>
        <w:numPr>
          <w:ilvl w:val="0"/>
          <w:numId w:val="0"/>
        </w:numPr>
        <w:ind w:left="360"/>
        <w:rPr>
          <w:sz w:val="24"/>
          <w:szCs w:val="24"/>
        </w:rPr>
      </w:pPr>
      <w:r w:rsidRPr="003C38DE">
        <w:rPr>
          <w:sz w:val="24"/>
          <w:szCs w:val="24"/>
        </w:rPr>
        <w:t>Subsection 25(5) provides that f</w:t>
      </w:r>
      <w:r w:rsidR="009F16BE" w:rsidRPr="003C38DE">
        <w:rPr>
          <w:sz w:val="24"/>
          <w:szCs w:val="24"/>
        </w:rPr>
        <w:t xml:space="preserve">or the purposes of making a determination under subsection </w:t>
      </w:r>
      <w:r w:rsidR="00956EB3" w:rsidRPr="003C38DE">
        <w:rPr>
          <w:sz w:val="24"/>
          <w:szCs w:val="24"/>
        </w:rPr>
        <w:t>25</w:t>
      </w:r>
      <w:r w:rsidR="009F16BE" w:rsidRPr="003C38DE">
        <w:rPr>
          <w:sz w:val="24"/>
          <w:szCs w:val="24"/>
        </w:rPr>
        <w:t>(4), the member of the Expert Panel must not be present during any deliberation of the Board for the purpo</w:t>
      </w:r>
      <w:r w:rsidR="00956EB3" w:rsidRPr="003C38DE">
        <w:rPr>
          <w:sz w:val="24"/>
          <w:szCs w:val="24"/>
        </w:rPr>
        <w:t xml:space="preserve">se of making the determination regarding their interest that is disclosed. </w:t>
      </w:r>
    </w:p>
    <w:p w14:paraId="17EF0A29" w14:textId="7F9915AB" w:rsidR="00762CDE" w:rsidRPr="003C38DE" w:rsidRDefault="001A7B71" w:rsidP="00360638">
      <w:pPr>
        <w:pStyle w:val="ESPara"/>
        <w:numPr>
          <w:ilvl w:val="0"/>
          <w:numId w:val="0"/>
        </w:numPr>
        <w:ind w:left="360"/>
        <w:rPr>
          <w:sz w:val="24"/>
          <w:szCs w:val="24"/>
        </w:rPr>
      </w:pPr>
      <w:r w:rsidRPr="003C38DE">
        <w:rPr>
          <w:sz w:val="24"/>
          <w:szCs w:val="24"/>
        </w:rPr>
        <w:t xml:space="preserve">Subsection 25(6) </w:t>
      </w:r>
      <w:r w:rsidR="009F16BE" w:rsidRPr="003C38DE">
        <w:rPr>
          <w:sz w:val="24"/>
          <w:szCs w:val="24"/>
        </w:rPr>
        <w:t>provides that a de</w:t>
      </w:r>
      <w:r w:rsidR="00C10115" w:rsidRPr="003C38DE">
        <w:rPr>
          <w:sz w:val="24"/>
          <w:szCs w:val="24"/>
        </w:rPr>
        <w:t xml:space="preserve">termination under subsection 25(4) </w:t>
      </w:r>
      <w:r w:rsidR="00956EB3" w:rsidRPr="003C38DE">
        <w:rPr>
          <w:sz w:val="24"/>
          <w:szCs w:val="24"/>
        </w:rPr>
        <w:t>relating to the disclosure of interest by the Expert Panel member must be</w:t>
      </w:r>
      <w:r w:rsidR="009F16BE" w:rsidRPr="003C38DE">
        <w:rPr>
          <w:sz w:val="24"/>
          <w:szCs w:val="24"/>
        </w:rPr>
        <w:t xml:space="preserve"> recorded by the </w:t>
      </w:r>
      <w:r w:rsidR="00956EB3" w:rsidRPr="003C38DE">
        <w:rPr>
          <w:sz w:val="24"/>
          <w:szCs w:val="24"/>
        </w:rPr>
        <w:t>CIRB. In addition, s</w:t>
      </w:r>
      <w:r w:rsidRPr="003C38DE">
        <w:rPr>
          <w:sz w:val="24"/>
          <w:szCs w:val="24"/>
        </w:rPr>
        <w:t xml:space="preserve">ubsection 25(7) provides that a disclosure under this section must be recorded by the </w:t>
      </w:r>
      <w:r w:rsidR="00956EB3" w:rsidRPr="003C38DE">
        <w:rPr>
          <w:sz w:val="24"/>
          <w:szCs w:val="24"/>
        </w:rPr>
        <w:t xml:space="preserve">CIRB. </w:t>
      </w:r>
      <w:r w:rsidRPr="003C38DE">
        <w:rPr>
          <w:sz w:val="24"/>
          <w:szCs w:val="24"/>
        </w:rPr>
        <w:t xml:space="preserve"> </w:t>
      </w:r>
    </w:p>
    <w:p w14:paraId="2EE14D77" w14:textId="07825102" w:rsidR="00956EB3" w:rsidRPr="003C38DE" w:rsidRDefault="00956EB3" w:rsidP="00360638">
      <w:pPr>
        <w:pStyle w:val="ESPara"/>
        <w:numPr>
          <w:ilvl w:val="0"/>
          <w:numId w:val="0"/>
        </w:numPr>
        <w:ind w:left="360"/>
        <w:rPr>
          <w:sz w:val="24"/>
          <w:szCs w:val="24"/>
          <w:highlight w:val="green"/>
        </w:rPr>
      </w:pPr>
      <w:r w:rsidRPr="003C38DE">
        <w:rPr>
          <w:sz w:val="24"/>
          <w:szCs w:val="24"/>
        </w:rPr>
        <w:t>The purpose of disclosure of interests by  Expert Panel member</w:t>
      </w:r>
      <w:r w:rsidR="00360638" w:rsidRPr="003C38DE">
        <w:rPr>
          <w:sz w:val="24"/>
          <w:szCs w:val="24"/>
        </w:rPr>
        <w:t>s</w:t>
      </w:r>
      <w:r w:rsidRPr="003C38DE">
        <w:rPr>
          <w:sz w:val="24"/>
          <w:szCs w:val="24"/>
        </w:rPr>
        <w:t xml:space="preserve"> is to avoid or mitigate potential conflicts of interests, whether real or perceived, relating </w:t>
      </w:r>
      <w:r w:rsidR="00360638" w:rsidRPr="003C38DE">
        <w:rPr>
          <w:sz w:val="24"/>
          <w:szCs w:val="24"/>
        </w:rPr>
        <w:t xml:space="preserve">to </w:t>
      </w:r>
      <w:r w:rsidRPr="003C38DE">
        <w:rPr>
          <w:sz w:val="24"/>
          <w:szCs w:val="24"/>
        </w:rPr>
        <w:t xml:space="preserve">a matter the CIRB is responsible for reviewing, or could be responsible for reviewing. Failure </w:t>
      </w:r>
      <w:r w:rsidR="000F6D90" w:rsidRPr="003C38DE">
        <w:rPr>
          <w:sz w:val="24"/>
          <w:szCs w:val="24"/>
        </w:rPr>
        <w:t xml:space="preserve">of </w:t>
      </w:r>
      <w:r w:rsidRPr="003C38DE">
        <w:rPr>
          <w:sz w:val="24"/>
          <w:szCs w:val="24"/>
        </w:rPr>
        <w:t>an Expert Panel member to disclose conflicts of interests in circumstances where the member has an interest in the matter under review</w:t>
      </w:r>
      <w:r w:rsidR="000F6D90" w:rsidRPr="003C38DE">
        <w:rPr>
          <w:sz w:val="24"/>
          <w:szCs w:val="24"/>
        </w:rPr>
        <w:t>,</w:t>
      </w:r>
      <w:r w:rsidRPr="003C38DE">
        <w:rPr>
          <w:sz w:val="24"/>
          <w:szCs w:val="24"/>
        </w:rPr>
        <w:t xml:space="preserve"> may undermine the public confidence of the CIRB.</w:t>
      </w:r>
    </w:p>
    <w:p w14:paraId="0486EBD6" w14:textId="14CE7468" w:rsidR="00CA41C1" w:rsidRPr="003C38DE" w:rsidRDefault="00383AF6" w:rsidP="00CD5D6D">
      <w:pPr>
        <w:pStyle w:val="ESAttHeading"/>
        <w:keepNext w:val="0"/>
        <w:widowControl w:val="0"/>
        <w:rPr>
          <w:sz w:val="24"/>
          <w:szCs w:val="24"/>
        </w:rPr>
      </w:pPr>
      <w:r w:rsidRPr="003C38DE">
        <w:rPr>
          <w:sz w:val="24"/>
          <w:szCs w:val="24"/>
        </w:rPr>
        <w:t>Section 26</w:t>
      </w:r>
      <w:r w:rsidR="00D7370C" w:rsidRPr="003C38DE">
        <w:rPr>
          <w:sz w:val="24"/>
          <w:szCs w:val="24"/>
        </w:rPr>
        <w:tab/>
        <w:t>Resignation of members of the Expert Panel</w:t>
      </w:r>
    </w:p>
    <w:p w14:paraId="37DF8E8C" w14:textId="54231C6E" w:rsidR="001A7B71" w:rsidRPr="003C38DE" w:rsidRDefault="00956EB3" w:rsidP="00360638">
      <w:pPr>
        <w:pStyle w:val="ESPara"/>
        <w:numPr>
          <w:ilvl w:val="0"/>
          <w:numId w:val="0"/>
        </w:numPr>
        <w:ind w:left="360"/>
        <w:rPr>
          <w:sz w:val="24"/>
          <w:szCs w:val="24"/>
        </w:rPr>
      </w:pPr>
      <w:r w:rsidRPr="003C38DE">
        <w:rPr>
          <w:sz w:val="24"/>
          <w:szCs w:val="24"/>
        </w:rPr>
        <w:t xml:space="preserve">Section 26 </w:t>
      </w:r>
      <w:r w:rsidR="001A7B71" w:rsidRPr="003C38DE">
        <w:rPr>
          <w:sz w:val="24"/>
          <w:szCs w:val="24"/>
        </w:rPr>
        <w:t>provides how a member of the Expert Panel may resign from the Expert Panel</w:t>
      </w:r>
      <w:r w:rsidRPr="003C38DE">
        <w:rPr>
          <w:sz w:val="24"/>
          <w:szCs w:val="24"/>
        </w:rPr>
        <w:t>. Section 26 is made under paragraph 70(5)(f) of the Act.</w:t>
      </w:r>
    </w:p>
    <w:p w14:paraId="32A4E0F3" w14:textId="17A7547E" w:rsidR="009F16BE" w:rsidRPr="003C38DE" w:rsidRDefault="001A7B71" w:rsidP="00360638">
      <w:pPr>
        <w:pStyle w:val="ESPara"/>
        <w:numPr>
          <w:ilvl w:val="0"/>
          <w:numId w:val="0"/>
        </w:numPr>
        <w:ind w:left="360"/>
        <w:rPr>
          <w:sz w:val="24"/>
          <w:szCs w:val="24"/>
        </w:rPr>
      </w:pPr>
      <w:r w:rsidRPr="003C38DE">
        <w:rPr>
          <w:sz w:val="24"/>
          <w:szCs w:val="24"/>
        </w:rPr>
        <w:t xml:space="preserve">Subsection 26(1) </w:t>
      </w:r>
      <w:r w:rsidR="009F16BE" w:rsidRPr="003C38DE">
        <w:rPr>
          <w:sz w:val="24"/>
          <w:szCs w:val="24"/>
        </w:rPr>
        <w:t>provides that a member of the Expert Panel may resign the member’s appointment to the Expert Panel by giving the Chair a written resignation.</w:t>
      </w:r>
    </w:p>
    <w:p w14:paraId="4359A4BC" w14:textId="19BDBA08" w:rsidR="009F16BE" w:rsidRPr="003C38DE" w:rsidRDefault="001A7B71" w:rsidP="00360638">
      <w:pPr>
        <w:pStyle w:val="ESPara"/>
        <w:numPr>
          <w:ilvl w:val="0"/>
          <w:numId w:val="0"/>
        </w:numPr>
        <w:ind w:left="360"/>
        <w:rPr>
          <w:sz w:val="24"/>
          <w:szCs w:val="24"/>
        </w:rPr>
      </w:pPr>
      <w:r w:rsidRPr="003C38DE">
        <w:rPr>
          <w:sz w:val="24"/>
          <w:szCs w:val="24"/>
        </w:rPr>
        <w:t xml:space="preserve">Subsection 26(2) provides that </w:t>
      </w:r>
      <w:r w:rsidR="009F16BE" w:rsidRPr="003C38DE">
        <w:rPr>
          <w:sz w:val="24"/>
          <w:szCs w:val="24"/>
        </w:rPr>
        <w:t>the resignation takes effect on the day it is received by the Chair or, if a later day is specified in the resignation, on that later day.</w:t>
      </w:r>
    </w:p>
    <w:p w14:paraId="662E45F9" w14:textId="3C2E6C1A" w:rsidR="00555DE9" w:rsidRPr="003C38DE" w:rsidRDefault="009F16BE">
      <w:pPr>
        <w:pStyle w:val="ESPara"/>
        <w:numPr>
          <w:ilvl w:val="0"/>
          <w:numId w:val="0"/>
        </w:numPr>
        <w:ind w:left="360"/>
        <w:rPr>
          <w:sz w:val="24"/>
          <w:szCs w:val="24"/>
        </w:rPr>
      </w:pPr>
      <w:r w:rsidRPr="003C38DE">
        <w:rPr>
          <w:sz w:val="24"/>
          <w:szCs w:val="24"/>
        </w:rPr>
        <w:t xml:space="preserve">The note under this subsection </w:t>
      </w:r>
      <w:r w:rsidR="00C05F5B" w:rsidRPr="003C38DE">
        <w:rPr>
          <w:sz w:val="24"/>
          <w:szCs w:val="24"/>
        </w:rPr>
        <w:t>clarifies</w:t>
      </w:r>
      <w:r w:rsidRPr="003C38DE">
        <w:rPr>
          <w:sz w:val="24"/>
          <w:szCs w:val="24"/>
        </w:rPr>
        <w:t xml:space="preserve"> that </w:t>
      </w:r>
      <w:r w:rsidR="00E27035" w:rsidRPr="003C38DE">
        <w:rPr>
          <w:sz w:val="24"/>
          <w:szCs w:val="24"/>
        </w:rPr>
        <w:t>r</w:t>
      </w:r>
      <w:r w:rsidRPr="003C38DE">
        <w:rPr>
          <w:sz w:val="24"/>
          <w:szCs w:val="24"/>
        </w:rPr>
        <w:t>esignation from the Expert Panel also means the person is not a member of any review panel for a review as the person is no longer a member of the Expert Panel.</w:t>
      </w:r>
    </w:p>
    <w:p w14:paraId="6230BFD9" w14:textId="050E4039" w:rsidR="00CA41C1" w:rsidRPr="003C38DE" w:rsidRDefault="00383AF6" w:rsidP="00CD5D6D">
      <w:pPr>
        <w:pStyle w:val="ESAttHeading"/>
        <w:keepNext w:val="0"/>
        <w:widowControl w:val="0"/>
        <w:rPr>
          <w:sz w:val="24"/>
          <w:szCs w:val="24"/>
        </w:rPr>
      </w:pPr>
      <w:r w:rsidRPr="003C38DE">
        <w:rPr>
          <w:sz w:val="24"/>
          <w:szCs w:val="24"/>
        </w:rPr>
        <w:t>Section 27</w:t>
      </w:r>
      <w:r w:rsidR="00D7370C" w:rsidRPr="003C38DE">
        <w:rPr>
          <w:sz w:val="24"/>
          <w:szCs w:val="24"/>
        </w:rPr>
        <w:tab/>
        <w:t>Termination of appointment of Expert Panel members</w:t>
      </w:r>
    </w:p>
    <w:p w14:paraId="12E47694" w14:textId="367DE581" w:rsidR="00C10115" w:rsidRPr="003C38DE" w:rsidRDefault="001A7B71" w:rsidP="00360638">
      <w:pPr>
        <w:pStyle w:val="ESPara"/>
        <w:numPr>
          <w:ilvl w:val="0"/>
          <w:numId w:val="0"/>
        </w:numPr>
        <w:ind w:left="360"/>
        <w:rPr>
          <w:sz w:val="24"/>
          <w:szCs w:val="24"/>
        </w:rPr>
      </w:pPr>
      <w:r w:rsidRPr="003C38DE">
        <w:rPr>
          <w:sz w:val="24"/>
          <w:szCs w:val="24"/>
        </w:rPr>
        <w:t xml:space="preserve">Section 27 specifies the situation in which the Chair may terminate the appointment of a member of the </w:t>
      </w:r>
      <w:r w:rsidR="00C05F5B" w:rsidRPr="003C38DE">
        <w:rPr>
          <w:sz w:val="24"/>
          <w:szCs w:val="24"/>
        </w:rPr>
        <w:t>Expert Panel. Section 27 is made under paragraph 70(5)(h) of the Act.</w:t>
      </w:r>
    </w:p>
    <w:p w14:paraId="04C6B4D3" w14:textId="55287420" w:rsidR="00C05F5B" w:rsidRPr="003C38DE" w:rsidRDefault="00C05F5B" w:rsidP="00360638">
      <w:pPr>
        <w:pStyle w:val="ESPara"/>
        <w:numPr>
          <w:ilvl w:val="0"/>
          <w:numId w:val="0"/>
        </w:numPr>
        <w:ind w:left="360"/>
        <w:rPr>
          <w:sz w:val="24"/>
          <w:szCs w:val="24"/>
        </w:rPr>
      </w:pPr>
      <w:r w:rsidRPr="003C38DE">
        <w:rPr>
          <w:sz w:val="24"/>
          <w:szCs w:val="24"/>
        </w:rPr>
        <w:t>Section 27 provides that the Chair may terminate the membership of an Expert Panel member for any of the following reasons:</w:t>
      </w:r>
    </w:p>
    <w:p w14:paraId="2859AF2F" w14:textId="3AB345D9" w:rsidR="00C05F5B" w:rsidRPr="003C38DE" w:rsidRDefault="003C38DE"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m</w:t>
      </w:r>
      <w:r w:rsidR="00C05F5B" w:rsidRPr="003C38DE">
        <w:rPr>
          <w:rFonts w:ascii="Times New Roman" w:hAnsi="Times New Roman" w:cs="Times New Roman"/>
          <w:sz w:val="24"/>
          <w:szCs w:val="24"/>
        </w:rPr>
        <w:t xml:space="preserve">isbehaviour (paragraph 27(a)); </w:t>
      </w:r>
      <w:r w:rsidR="00AB1169" w:rsidRPr="003C38DE">
        <w:rPr>
          <w:rFonts w:ascii="Times New Roman" w:hAnsi="Times New Roman" w:cs="Times New Roman"/>
          <w:sz w:val="24"/>
          <w:szCs w:val="24"/>
        </w:rPr>
        <w:t>or</w:t>
      </w:r>
    </w:p>
    <w:p w14:paraId="13A26ACE" w14:textId="77777777" w:rsidR="00C05F5B" w:rsidRPr="003C38DE" w:rsidRDefault="00C05F5B" w:rsidP="003C38DE">
      <w:pPr>
        <w:pStyle w:val="ListParagraph"/>
        <w:ind w:left="709"/>
        <w:rPr>
          <w:rFonts w:ascii="Times New Roman" w:hAnsi="Times New Roman" w:cs="Times New Roman"/>
          <w:sz w:val="24"/>
          <w:szCs w:val="24"/>
        </w:rPr>
      </w:pPr>
    </w:p>
    <w:p w14:paraId="58E8144F" w14:textId="1CA4022C"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lastRenderedPageBreak/>
        <w:t xml:space="preserve">if the member of the Expert Panel is unable to perform the duties of the member’s office because of physical or mental incapacity (paragraph 27(b)); </w:t>
      </w:r>
      <w:r w:rsidR="00AB1169" w:rsidRPr="003C38DE">
        <w:rPr>
          <w:rFonts w:ascii="Times New Roman" w:hAnsi="Times New Roman" w:cs="Times New Roman"/>
          <w:sz w:val="24"/>
          <w:szCs w:val="24"/>
        </w:rPr>
        <w:t>or</w:t>
      </w:r>
    </w:p>
    <w:p w14:paraId="5A6012BC" w14:textId="77777777" w:rsidR="00C05F5B" w:rsidRPr="003C38DE" w:rsidRDefault="00C05F5B" w:rsidP="003C38DE">
      <w:pPr>
        <w:pStyle w:val="ListParagraph"/>
        <w:ind w:left="709"/>
        <w:rPr>
          <w:rFonts w:ascii="Times New Roman" w:hAnsi="Times New Roman" w:cs="Times New Roman"/>
          <w:sz w:val="24"/>
          <w:szCs w:val="24"/>
        </w:rPr>
      </w:pPr>
    </w:p>
    <w:p w14:paraId="32BB8FB0" w14:textId="5AF41006"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if the member becomes bankrupt (subparagraph 27(c)(i));</w:t>
      </w:r>
      <w:r w:rsidR="00AB1169" w:rsidRPr="003C38DE">
        <w:rPr>
          <w:rFonts w:ascii="Times New Roman" w:hAnsi="Times New Roman" w:cs="Times New Roman"/>
          <w:sz w:val="24"/>
          <w:szCs w:val="24"/>
        </w:rPr>
        <w:t>or</w:t>
      </w:r>
    </w:p>
    <w:p w14:paraId="60842129" w14:textId="77777777" w:rsidR="00C05F5B" w:rsidRPr="003C38DE" w:rsidRDefault="00C05F5B" w:rsidP="003C38DE">
      <w:pPr>
        <w:pStyle w:val="ListParagraph"/>
        <w:ind w:left="709"/>
        <w:rPr>
          <w:rFonts w:ascii="Times New Roman" w:hAnsi="Times New Roman" w:cs="Times New Roman"/>
          <w:sz w:val="24"/>
          <w:szCs w:val="24"/>
        </w:rPr>
      </w:pPr>
    </w:p>
    <w:p w14:paraId="47F91403" w14:textId="60179F4D"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 xml:space="preserve">if the member applies to take the benefit of any law for the relief of bankrupt or insolvent debtors (subparagraph 27(c)(ii)); or </w:t>
      </w:r>
    </w:p>
    <w:p w14:paraId="39818311" w14:textId="77777777" w:rsidR="00C05F5B" w:rsidRPr="003C38DE" w:rsidRDefault="00C05F5B" w:rsidP="003C38DE">
      <w:pPr>
        <w:pStyle w:val="ListParagraph"/>
        <w:ind w:left="709"/>
        <w:rPr>
          <w:rFonts w:ascii="Times New Roman" w:hAnsi="Times New Roman" w:cs="Times New Roman"/>
          <w:sz w:val="24"/>
          <w:szCs w:val="24"/>
        </w:rPr>
      </w:pPr>
    </w:p>
    <w:p w14:paraId="388E040F" w14:textId="0547471C"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 xml:space="preserve">if the member compounds with the member’s creditors (subparagraph 27(c)(iii)); </w:t>
      </w:r>
      <w:r w:rsidR="00AB1169" w:rsidRPr="003C38DE">
        <w:rPr>
          <w:rFonts w:ascii="Times New Roman" w:hAnsi="Times New Roman" w:cs="Times New Roman"/>
          <w:sz w:val="24"/>
          <w:szCs w:val="24"/>
        </w:rPr>
        <w:t>or</w:t>
      </w:r>
    </w:p>
    <w:p w14:paraId="3B3E87F8" w14:textId="77777777" w:rsidR="00C05F5B" w:rsidRPr="003C38DE" w:rsidRDefault="00C05F5B" w:rsidP="003C38DE">
      <w:pPr>
        <w:pStyle w:val="ListParagraph"/>
        <w:ind w:left="709"/>
        <w:rPr>
          <w:rFonts w:ascii="Times New Roman" w:hAnsi="Times New Roman" w:cs="Times New Roman"/>
          <w:sz w:val="24"/>
          <w:szCs w:val="24"/>
        </w:rPr>
      </w:pPr>
    </w:p>
    <w:p w14:paraId="68F30ABC" w14:textId="1A7FB37F"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if the member makes an assignment of the member’s remuneration for the benefit of the member’s creditors (subparagraph 27(c)(iv));</w:t>
      </w:r>
      <w:r w:rsidR="00AB1169" w:rsidRPr="003C38DE">
        <w:rPr>
          <w:rFonts w:ascii="Times New Roman" w:hAnsi="Times New Roman" w:cs="Times New Roman"/>
          <w:sz w:val="24"/>
          <w:szCs w:val="24"/>
        </w:rPr>
        <w:t xml:space="preserve"> or</w:t>
      </w:r>
    </w:p>
    <w:p w14:paraId="4EEFBFBD" w14:textId="77777777" w:rsidR="00245BC8" w:rsidRPr="003C38DE" w:rsidRDefault="00245BC8" w:rsidP="003C38DE">
      <w:pPr>
        <w:pStyle w:val="ListParagraph"/>
        <w:ind w:left="709"/>
        <w:rPr>
          <w:rFonts w:ascii="Times New Roman" w:hAnsi="Times New Roman" w:cs="Times New Roman"/>
          <w:sz w:val="24"/>
          <w:szCs w:val="24"/>
        </w:rPr>
      </w:pPr>
    </w:p>
    <w:p w14:paraId="5E9B8FA6" w14:textId="3015DD10"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if the member fails, without reasonable excuse, to comply with the duty to disclose conflicts (provided for in section 25 of the Rules) (paragraph 27(d)</w:t>
      </w:r>
      <w:r w:rsidR="00AB1169" w:rsidRPr="003C38DE">
        <w:rPr>
          <w:rFonts w:ascii="Times New Roman" w:hAnsi="Times New Roman" w:cs="Times New Roman"/>
          <w:sz w:val="24"/>
          <w:szCs w:val="24"/>
        </w:rPr>
        <w:t>)</w:t>
      </w:r>
      <w:r w:rsidRPr="003C38DE">
        <w:rPr>
          <w:rFonts w:ascii="Times New Roman" w:hAnsi="Times New Roman" w:cs="Times New Roman"/>
          <w:sz w:val="24"/>
          <w:szCs w:val="24"/>
        </w:rPr>
        <w:t>; or</w:t>
      </w:r>
    </w:p>
    <w:p w14:paraId="10E2B2EB" w14:textId="77777777" w:rsidR="00C05F5B" w:rsidRPr="003C38DE" w:rsidRDefault="00C05F5B" w:rsidP="003C38DE">
      <w:pPr>
        <w:pStyle w:val="ListParagraph"/>
        <w:ind w:left="709"/>
        <w:rPr>
          <w:rFonts w:ascii="Times New Roman" w:hAnsi="Times New Roman" w:cs="Times New Roman"/>
          <w:sz w:val="24"/>
          <w:szCs w:val="24"/>
        </w:rPr>
      </w:pPr>
    </w:p>
    <w:p w14:paraId="63C09663" w14:textId="21A9207D" w:rsidR="00C05F5B" w:rsidRPr="003C38DE" w:rsidRDefault="00C05F5B" w:rsidP="003C38DE">
      <w:pPr>
        <w:pStyle w:val="ListParagraph"/>
        <w:numPr>
          <w:ilvl w:val="2"/>
          <w:numId w:val="17"/>
        </w:numPr>
        <w:ind w:left="709"/>
        <w:rPr>
          <w:rFonts w:ascii="Times New Roman" w:hAnsi="Times New Roman" w:cs="Times New Roman"/>
          <w:sz w:val="24"/>
          <w:szCs w:val="24"/>
        </w:rPr>
      </w:pPr>
      <w:r w:rsidRPr="003C38DE">
        <w:rPr>
          <w:rFonts w:ascii="Times New Roman" w:hAnsi="Times New Roman" w:cs="Times New Roman"/>
          <w:sz w:val="24"/>
          <w:szCs w:val="24"/>
        </w:rPr>
        <w:t>if the Chair ceases to be satisfied of any matter in subsection 22(3) relating to the member (paragraph 27(e)). Subsection 22(3) outlines the eligibility the criteria for appointment to the Expert Panel.</w:t>
      </w:r>
    </w:p>
    <w:p w14:paraId="5D3979AF" w14:textId="7EECB53C" w:rsidR="008569E7" w:rsidRPr="003C38DE" w:rsidRDefault="009F16BE" w:rsidP="00360638">
      <w:pPr>
        <w:pStyle w:val="ESPara"/>
        <w:numPr>
          <w:ilvl w:val="0"/>
          <w:numId w:val="0"/>
        </w:numPr>
        <w:ind w:left="360"/>
        <w:rPr>
          <w:sz w:val="24"/>
          <w:szCs w:val="24"/>
        </w:rPr>
      </w:pPr>
      <w:r w:rsidRPr="003C38DE">
        <w:rPr>
          <w:sz w:val="24"/>
          <w:szCs w:val="24"/>
        </w:rPr>
        <w:t xml:space="preserve">The note under this subsection provides that the termination from the </w:t>
      </w:r>
      <w:r w:rsidR="00C05F5B" w:rsidRPr="003C38DE">
        <w:rPr>
          <w:sz w:val="24"/>
          <w:szCs w:val="24"/>
        </w:rPr>
        <w:t>Expert Panel</w:t>
      </w:r>
      <w:r w:rsidRPr="003C38DE">
        <w:rPr>
          <w:sz w:val="24"/>
          <w:szCs w:val="24"/>
        </w:rPr>
        <w:t xml:space="preserve"> also means the person is not a member of any review panel for a review as the person is no longer a member of the Expert Panel.</w:t>
      </w:r>
    </w:p>
    <w:p w14:paraId="4197E42F" w14:textId="77777777" w:rsidR="00D7370C" w:rsidRPr="003C38DE" w:rsidRDefault="00D7370C" w:rsidP="00CD5D6D">
      <w:pPr>
        <w:pStyle w:val="ESAttHeading"/>
        <w:keepNext w:val="0"/>
        <w:widowControl w:val="0"/>
        <w:rPr>
          <w:sz w:val="24"/>
          <w:szCs w:val="24"/>
        </w:rPr>
      </w:pPr>
      <w:r w:rsidRPr="003C38DE">
        <w:rPr>
          <w:sz w:val="24"/>
          <w:szCs w:val="24"/>
        </w:rPr>
        <w:t>Division 5 – Other matters</w:t>
      </w:r>
    </w:p>
    <w:p w14:paraId="7295BBAC" w14:textId="115A2E63" w:rsidR="00D7370C" w:rsidRPr="003C38DE" w:rsidRDefault="009F16BE" w:rsidP="00CD5D6D">
      <w:pPr>
        <w:pStyle w:val="ESAttHeading"/>
        <w:keepNext w:val="0"/>
        <w:widowControl w:val="0"/>
        <w:rPr>
          <w:sz w:val="24"/>
          <w:szCs w:val="24"/>
        </w:rPr>
      </w:pPr>
      <w:r w:rsidRPr="003C38DE">
        <w:rPr>
          <w:sz w:val="24"/>
          <w:szCs w:val="24"/>
        </w:rPr>
        <w:t>Section 28</w:t>
      </w:r>
      <w:r w:rsidR="00D7370C" w:rsidRPr="003C38DE">
        <w:rPr>
          <w:sz w:val="24"/>
          <w:szCs w:val="24"/>
        </w:rPr>
        <w:tab/>
        <w:t>Purpose of this Division</w:t>
      </w:r>
    </w:p>
    <w:p w14:paraId="202CB8E7" w14:textId="4AEFC44F" w:rsidR="008367A6" w:rsidRPr="003C38DE" w:rsidRDefault="00C05F5B" w:rsidP="00360638">
      <w:pPr>
        <w:pStyle w:val="ESPara"/>
        <w:numPr>
          <w:ilvl w:val="0"/>
          <w:numId w:val="0"/>
        </w:numPr>
        <w:ind w:left="360"/>
        <w:rPr>
          <w:sz w:val="24"/>
          <w:szCs w:val="24"/>
        </w:rPr>
      </w:pPr>
      <w:r w:rsidRPr="003C38DE">
        <w:rPr>
          <w:sz w:val="24"/>
          <w:szCs w:val="24"/>
        </w:rPr>
        <w:t xml:space="preserve">Section 28 provides that the purpose of Division 5 is to make Rules for the purpose of subsection 73(2) of the Act. Subsection 73(2) of the Act provides that the Rules may make provisions for or in relation to the operation and procedures of the CIRB. </w:t>
      </w:r>
      <w:r w:rsidR="009F7219" w:rsidRPr="003C38DE">
        <w:rPr>
          <w:sz w:val="24"/>
          <w:szCs w:val="24"/>
        </w:rPr>
        <w:t xml:space="preserve"> </w:t>
      </w:r>
    </w:p>
    <w:p w14:paraId="5B98F245" w14:textId="3E79F5EA" w:rsidR="00D7370C" w:rsidRPr="003C38DE" w:rsidRDefault="009F16BE" w:rsidP="00CD5D6D">
      <w:pPr>
        <w:pStyle w:val="ESAttHeading"/>
        <w:keepNext w:val="0"/>
        <w:widowControl w:val="0"/>
        <w:rPr>
          <w:sz w:val="24"/>
          <w:szCs w:val="24"/>
        </w:rPr>
      </w:pPr>
      <w:r w:rsidRPr="003C38DE">
        <w:rPr>
          <w:sz w:val="24"/>
          <w:szCs w:val="24"/>
        </w:rPr>
        <w:t>Section 29</w:t>
      </w:r>
      <w:r w:rsidR="00D7370C" w:rsidRPr="003C38DE">
        <w:rPr>
          <w:sz w:val="24"/>
          <w:szCs w:val="24"/>
        </w:rPr>
        <w:tab/>
        <w:t>Convening meetings</w:t>
      </w:r>
    </w:p>
    <w:p w14:paraId="40A7C24B" w14:textId="0A16E13A" w:rsidR="00C24C63" w:rsidRPr="003C38DE" w:rsidRDefault="00C05F5B" w:rsidP="00360638">
      <w:pPr>
        <w:pStyle w:val="ESPara"/>
        <w:numPr>
          <w:ilvl w:val="0"/>
          <w:numId w:val="0"/>
        </w:numPr>
        <w:ind w:left="720" w:hanging="360"/>
        <w:rPr>
          <w:sz w:val="24"/>
          <w:szCs w:val="24"/>
        </w:rPr>
      </w:pPr>
      <w:r w:rsidRPr="003C38DE">
        <w:rPr>
          <w:sz w:val="24"/>
          <w:szCs w:val="24"/>
        </w:rPr>
        <w:t>Section 29</w:t>
      </w:r>
      <w:r w:rsidR="008367A6" w:rsidRPr="003C38DE">
        <w:rPr>
          <w:sz w:val="24"/>
          <w:szCs w:val="24"/>
        </w:rPr>
        <w:t xml:space="preserve"> </w:t>
      </w:r>
      <w:r w:rsidR="00C24C63" w:rsidRPr="003C38DE">
        <w:rPr>
          <w:sz w:val="24"/>
          <w:szCs w:val="24"/>
        </w:rPr>
        <w:t xml:space="preserve">provides provisions relating to the convening of meetings of the CIRB. </w:t>
      </w:r>
    </w:p>
    <w:p w14:paraId="75027AE9" w14:textId="13D4467A" w:rsidR="00C24C63" w:rsidRPr="003C38DE" w:rsidRDefault="00C24C63" w:rsidP="00BF0E05">
      <w:pPr>
        <w:pStyle w:val="ESPara"/>
        <w:numPr>
          <w:ilvl w:val="0"/>
          <w:numId w:val="0"/>
        </w:numPr>
        <w:ind w:left="360"/>
        <w:rPr>
          <w:sz w:val="24"/>
          <w:szCs w:val="24"/>
        </w:rPr>
      </w:pPr>
      <w:r w:rsidRPr="003C38DE">
        <w:rPr>
          <w:sz w:val="24"/>
          <w:szCs w:val="24"/>
        </w:rPr>
        <w:t xml:space="preserve">Subsection 29(1) </w:t>
      </w:r>
      <w:r w:rsidR="008367A6" w:rsidRPr="003C38DE">
        <w:rPr>
          <w:sz w:val="24"/>
          <w:szCs w:val="24"/>
        </w:rPr>
        <w:t xml:space="preserve">provides that </w:t>
      </w:r>
      <w:r w:rsidR="000E5C3E" w:rsidRPr="003C38DE">
        <w:rPr>
          <w:sz w:val="24"/>
          <w:szCs w:val="24"/>
        </w:rPr>
        <w:t xml:space="preserve">the </w:t>
      </w:r>
      <w:r w:rsidRPr="003C38DE">
        <w:rPr>
          <w:sz w:val="24"/>
          <w:szCs w:val="24"/>
        </w:rPr>
        <w:t>CIRB</w:t>
      </w:r>
      <w:r w:rsidR="000E5C3E" w:rsidRPr="003C38DE">
        <w:rPr>
          <w:sz w:val="24"/>
          <w:szCs w:val="24"/>
        </w:rPr>
        <w:t xml:space="preserve"> must hold such meetings as are necessary for the efficient performance of its functions</w:t>
      </w:r>
      <w:r w:rsidRPr="003C38DE">
        <w:rPr>
          <w:sz w:val="24"/>
          <w:szCs w:val="24"/>
        </w:rPr>
        <w:t xml:space="preserve"> (which are outlined in section 62 of the Act)</w:t>
      </w:r>
      <w:r w:rsidR="000E5C3E" w:rsidRPr="003C38DE">
        <w:rPr>
          <w:sz w:val="24"/>
          <w:szCs w:val="24"/>
        </w:rPr>
        <w:t>.</w:t>
      </w:r>
    </w:p>
    <w:p w14:paraId="1BE4E639" w14:textId="750F2717" w:rsidR="008367A6" w:rsidRPr="003C38DE" w:rsidRDefault="00C24C63" w:rsidP="00360638">
      <w:pPr>
        <w:pStyle w:val="ESPara"/>
        <w:numPr>
          <w:ilvl w:val="0"/>
          <w:numId w:val="0"/>
        </w:numPr>
        <w:ind w:left="360"/>
        <w:rPr>
          <w:sz w:val="24"/>
          <w:szCs w:val="24"/>
        </w:rPr>
      </w:pPr>
      <w:r w:rsidRPr="003C38DE">
        <w:rPr>
          <w:sz w:val="24"/>
          <w:szCs w:val="24"/>
        </w:rPr>
        <w:t xml:space="preserve">Subsection 29(2) </w:t>
      </w:r>
      <w:r w:rsidR="000E5C3E" w:rsidRPr="003C38DE">
        <w:rPr>
          <w:sz w:val="24"/>
          <w:szCs w:val="24"/>
        </w:rPr>
        <w:t xml:space="preserve">further provides that the Chair may convene a meeting at any time and must convene a meeting within 30 days after receiving a written request to do so from another member of the </w:t>
      </w:r>
      <w:r w:rsidRPr="003C38DE">
        <w:rPr>
          <w:sz w:val="24"/>
          <w:szCs w:val="24"/>
        </w:rPr>
        <w:t>CIRB.</w:t>
      </w:r>
      <w:r w:rsidR="000E5C3E" w:rsidRPr="003C38DE">
        <w:rPr>
          <w:sz w:val="24"/>
          <w:szCs w:val="24"/>
        </w:rPr>
        <w:t xml:space="preserve"> </w:t>
      </w:r>
    </w:p>
    <w:p w14:paraId="64DFA736" w14:textId="78D72CFA" w:rsidR="00D7370C" w:rsidRPr="003C38DE" w:rsidRDefault="009F16BE" w:rsidP="00CD5D6D">
      <w:pPr>
        <w:pStyle w:val="ESAttHeading"/>
        <w:keepNext w:val="0"/>
        <w:widowControl w:val="0"/>
        <w:rPr>
          <w:sz w:val="24"/>
          <w:szCs w:val="24"/>
        </w:rPr>
      </w:pPr>
      <w:r w:rsidRPr="003C38DE">
        <w:rPr>
          <w:sz w:val="24"/>
          <w:szCs w:val="24"/>
        </w:rPr>
        <w:t>Section 30</w:t>
      </w:r>
      <w:r w:rsidR="00D7370C" w:rsidRPr="003C38DE">
        <w:rPr>
          <w:sz w:val="24"/>
          <w:szCs w:val="24"/>
        </w:rPr>
        <w:tab/>
        <w:t>Presiding at meetings</w:t>
      </w:r>
    </w:p>
    <w:p w14:paraId="7B0A4BDA" w14:textId="35D44E50" w:rsidR="00C24C63" w:rsidRPr="003C38DE" w:rsidRDefault="00C24C63" w:rsidP="00360638">
      <w:pPr>
        <w:pStyle w:val="ESPara"/>
        <w:numPr>
          <w:ilvl w:val="0"/>
          <w:numId w:val="0"/>
        </w:numPr>
        <w:ind w:left="720" w:hanging="360"/>
        <w:rPr>
          <w:sz w:val="24"/>
          <w:szCs w:val="24"/>
        </w:rPr>
      </w:pPr>
      <w:r w:rsidRPr="003C38DE">
        <w:rPr>
          <w:sz w:val="24"/>
          <w:szCs w:val="24"/>
        </w:rPr>
        <w:t>Section 30 provides provisions relating to the presiding of meeting</w:t>
      </w:r>
      <w:r w:rsidR="00AB1169" w:rsidRPr="003C38DE">
        <w:rPr>
          <w:sz w:val="24"/>
          <w:szCs w:val="24"/>
        </w:rPr>
        <w:t>s</w:t>
      </w:r>
      <w:r w:rsidRPr="003C38DE">
        <w:rPr>
          <w:sz w:val="24"/>
          <w:szCs w:val="24"/>
        </w:rPr>
        <w:t xml:space="preserve"> of the CIRB. </w:t>
      </w:r>
    </w:p>
    <w:p w14:paraId="3E1A7030" w14:textId="538531A8" w:rsidR="00C24C63" w:rsidRPr="003C38DE" w:rsidRDefault="00C24C63" w:rsidP="00360638">
      <w:pPr>
        <w:pStyle w:val="ESPara"/>
        <w:numPr>
          <w:ilvl w:val="0"/>
          <w:numId w:val="0"/>
        </w:numPr>
        <w:ind w:left="360"/>
        <w:rPr>
          <w:sz w:val="24"/>
          <w:szCs w:val="24"/>
        </w:rPr>
      </w:pPr>
      <w:r w:rsidRPr="003C38DE">
        <w:rPr>
          <w:sz w:val="24"/>
          <w:szCs w:val="24"/>
        </w:rPr>
        <w:lastRenderedPageBreak/>
        <w:t xml:space="preserve">Subsection 30(1) provides that </w:t>
      </w:r>
      <w:r w:rsidR="000E5C3E" w:rsidRPr="003C38DE">
        <w:rPr>
          <w:sz w:val="24"/>
          <w:szCs w:val="24"/>
        </w:rPr>
        <w:t>the Chair must preside at all meetings at which the Chair is present</w:t>
      </w:r>
      <w:r w:rsidRPr="003C38DE">
        <w:rPr>
          <w:sz w:val="24"/>
          <w:szCs w:val="24"/>
        </w:rPr>
        <w:t>.</w:t>
      </w:r>
    </w:p>
    <w:p w14:paraId="12FD59E5" w14:textId="6E3DD5F3" w:rsidR="008367A6" w:rsidRPr="003C38DE" w:rsidRDefault="00C24C63" w:rsidP="00360638">
      <w:pPr>
        <w:pStyle w:val="ESPara"/>
        <w:numPr>
          <w:ilvl w:val="0"/>
          <w:numId w:val="0"/>
        </w:numPr>
        <w:ind w:left="360"/>
        <w:rPr>
          <w:sz w:val="24"/>
          <w:szCs w:val="24"/>
        </w:rPr>
      </w:pPr>
      <w:r w:rsidRPr="003C38DE">
        <w:rPr>
          <w:sz w:val="24"/>
          <w:szCs w:val="24"/>
        </w:rPr>
        <w:t xml:space="preserve">Subsection 30(2) provides that </w:t>
      </w:r>
      <w:r w:rsidR="000E5C3E" w:rsidRPr="003C38DE">
        <w:rPr>
          <w:sz w:val="24"/>
          <w:szCs w:val="24"/>
        </w:rPr>
        <w:t xml:space="preserve">if the Chair is not present at a meeting, the other members of </w:t>
      </w:r>
      <w:r w:rsidR="00F20876" w:rsidRPr="003C38DE">
        <w:rPr>
          <w:sz w:val="24"/>
          <w:szCs w:val="24"/>
        </w:rPr>
        <w:t xml:space="preserve">the </w:t>
      </w:r>
      <w:r w:rsidRPr="003C38DE">
        <w:rPr>
          <w:sz w:val="24"/>
          <w:szCs w:val="24"/>
        </w:rPr>
        <w:t>CIRB</w:t>
      </w:r>
      <w:r w:rsidR="00F20876" w:rsidRPr="003C38DE">
        <w:rPr>
          <w:sz w:val="24"/>
          <w:szCs w:val="24"/>
        </w:rPr>
        <w:t xml:space="preserve"> present must appoint one of themselves to preside. </w:t>
      </w:r>
    </w:p>
    <w:p w14:paraId="01A96BE9" w14:textId="780292D6" w:rsidR="00D7370C" w:rsidRPr="003C38DE" w:rsidRDefault="009F16BE" w:rsidP="00CD5D6D">
      <w:pPr>
        <w:pStyle w:val="ESAttHeading"/>
        <w:keepNext w:val="0"/>
        <w:widowControl w:val="0"/>
        <w:rPr>
          <w:sz w:val="24"/>
          <w:szCs w:val="24"/>
        </w:rPr>
      </w:pPr>
      <w:r w:rsidRPr="003C38DE">
        <w:rPr>
          <w:sz w:val="24"/>
          <w:szCs w:val="24"/>
        </w:rPr>
        <w:t>Section 31</w:t>
      </w:r>
      <w:r w:rsidR="00D7370C" w:rsidRPr="003C38DE">
        <w:rPr>
          <w:sz w:val="24"/>
          <w:szCs w:val="24"/>
        </w:rPr>
        <w:tab/>
        <w:t>Voting at meetings</w:t>
      </w:r>
    </w:p>
    <w:p w14:paraId="429A3F1C" w14:textId="6189589A" w:rsidR="00C24C63" w:rsidRPr="003C38DE" w:rsidRDefault="00C24C63" w:rsidP="00360638">
      <w:pPr>
        <w:pStyle w:val="ESPara"/>
        <w:numPr>
          <w:ilvl w:val="0"/>
          <w:numId w:val="0"/>
        </w:numPr>
        <w:ind w:left="720" w:hanging="360"/>
        <w:rPr>
          <w:sz w:val="24"/>
          <w:szCs w:val="24"/>
        </w:rPr>
      </w:pPr>
      <w:r w:rsidRPr="003C38DE">
        <w:rPr>
          <w:sz w:val="24"/>
          <w:szCs w:val="24"/>
        </w:rPr>
        <w:t>Section 31 provides provisions relating to the voting of meetings of the CIRB.</w:t>
      </w:r>
    </w:p>
    <w:p w14:paraId="7063A665" w14:textId="7AD3468B" w:rsidR="00C24C63" w:rsidRPr="003C38DE" w:rsidRDefault="00C24C63" w:rsidP="00360638">
      <w:pPr>
        <w:pStyle w:val="ESPara"/>
        <w:numPr>
          <w:ilvl w:val="0"/>
          <w:numId w:val="0"/>
        </w:numPr>
        <w:ind w:left="360"/>
        <w:rPr>
          <w:sz w:val="24"/>
          <w:szCs w:val="24"/>
        </w:rPr>
      </w:pPr>
      <w:r w:rsidRPr="003C38DE">
        <w:rPr>
          <w:sz w:val="24"/>
          <w:szCs w:val="24"/>
        </w:rPr>
        <w:t xml:space="preserve">Subsection 31(1) </w:t>
      </w:r>
      <w:r w:rsidR="008367A6" w:rsidRPr="003C38DE">
        <w:rPr>
          <w:sz w:val="24"/>
          <w:szCs w:val="24"/>
        </w:rPr>
        <w:t xml:space="preserve">provides </w:t>
      </w:r>
      <w:r w:rsidR="00AB1169" w:rsidRPr="003C38DE">
        <w:rPr>
          <w:sz w:val="24"/>
          <w:szCs w:val="24"/>
        </w:rPr>
        <w:t xml:space="preserve">that a </w:t>
      </w:r>
      <w:r w:rsidR="00273073" w:rsidRPr="003C38DE">
        <w:rPr>
          <w:sz w:val="24"/>
          <w:szCs w:val="24"/>
        </w:rPr>
        <w:t xml:space="preserve">question arising at a meeting of the </w:t>
      </w:r>
      <w:r w:rsidRPr="003C38DE">
        <w:rPr>
          <w:sz w:val="24"/>
          <w:szCs w:val="24"/>
        </w:rPr>
        <w:t xml:space="preserve">CIRB </w:t>
      </w:r>
      <w:r w:rsidR="00273073" w:rsidRPr="003C38DE">
        <w:rPr>
          <w:sz w:val="24"/>
          <w:szCs w:val="24"/>
        </w:rPr>
        <w:t xml:space="preserve">is to be determined by a majority of the votes of the members of the </w:t>
      </w:r>
      <w:r w:rsidRPr="003C38DE">
        <w:rPr>
          <w:sz w:val="24"/>
          <w:szCs w:val="24"/>
        </w:rPr>
        <w:t>CIRB</w:t>
      </w:r>
      <w:r w:rsidR="00273073" w:rsidRPr="003C38DE">
        <w:rPr>
          <w:sz w:val="24"/>
          <w:szCs w:val="24"/>
        </w:rPr>
        <w:t xml:space="preserve"> present and voting. </w:t>
      </w:r>
    </w:p>
    <w:p w14:paraId="4EFE04EB" w14:textId="1BCDE636" w:rsidR="008367A6" w:rsidRPr="003C38DE" w:rsidRDefault="00C24C63" w:rsidP="00360638">
      <w:pPr>
        <w:pStyle w:val="ESPara"/>
        <w:numPr>
          <w:ilvl w:val="0"/>
          <w:numId w:val="0"/>
        </w:numPr>
        <w:ind w:left="360"/>
        <w:rPr>
          <w:sz w:val="24"/>
          <w:szCs w:val="24"/>
        </w:rPr>
      </w:pPr>
      <w:r w:rsidRPr="003C38DE">
        <w:rPr>
          <w:sz w:val="24"/>
          <w:szCs w:val="24"/>
        </w:rPr>
        <w:t>Subsection 301(2)</w:t>
      </w:r>
      <w:r w:rsidR="00273073" w:rsidRPr="003C38DE">
        <w:rPr>
          <w:sz w:val="24"/>
          <w:szCs w:val="24"/>
        </w:rPr>
        <w:t xml:space="preserve"> provides that the person presiding at a meeting of the </w:t>
      </w:r>
      <w:r w:rsidRPr="003C38DE">
        <w:rPr>
          <w:sz w:val="24"/>
          <w:szCs w:val="24"/>
        </w:rPr>
        <w:t xml:space="preserve">CIRB, which will generally be the CIRB’s Chair, </w:t>
      </w:r>
      <w:r w:rsidR="00273073" w:rsidRPr="003C38DE">
        <w:rPr>
          <w:sz w:val="24"/>
          <w:szCs w:val="24"/>
        </w:rPr>
        <w:t xml:space="preserve">has a deliberative vote and, if the votes are equal, a casting vote. </w:t>
      </w:r>
    </w:p>
    <w:p w14:paraId="06E2B0E9" w14:textId="47E294FC" w:rsidR="00D7370C" w:rsidRPr="003C38DE" w:rsidRDefault="009F16BE" w:rsidP="00CD5D6D">
      <w:pPr>
        <w:pStyle w:val="ESAttHeading"/>
        <w:keepNext w:val="0"/>
        <w:widowControl w:val="0"/>
        <w:rPr>
          <w:sz w:val="24"/>
          <w:szCs w:val="24"/>
        </w:rPr>
      </w:pPr>
      <w:r w:rsidRPr="003C38DE">
        <w:rPr>
          <w:sz w:val="24"/>
          <w:szCs w:val="24"/>
        </w:rPr>
        <w:t>Section 32</w:t>
      </w:r>
      <w:r w:rsidR="00D7370C" w:rsidRPr="003C38DE">
        <w:rPr>
          <w:sz w:val="24"/>
          <w:szCs w:val="24"/>
        </w:rPr>
        <w:tab/>
        <w:t>Conduct of meetings</w:t>
      </w:r>
    </w:p>
    <w:p w14:paraId="790F8133" w14:textId="43C5E9AD" w:rsidR="00C24C63" w:rsidRPr="003C38DE" w:rsidRDefault="003D575A" w:rsidP="00360638">
      <w:pPr>
        <w:pStyle w:val="ESPara"/>
        <w:numPr>
          <w:ilvl w:val="0"/>
          <w:numId w:val="0"/>
        </w:numPr>
        <w:ind w:left="720" w:hanging="360"/>
        <w:rPr>
          <w:sz w:val="24"/>
          <w:szCs w:val="24"/>
        </w:rPr>
      </w:pPr>
      <w:r w:rsidRPr="003C38DE">
        <w:rPr>
          <w:sz w:val="24"/>
          <w:szCs w:val="24"/>
        </w:rPr>
        <w:t>Section 32</w:t>
      </w:r>
      <w:r w:rsidR="00492723" w:rsidRPr="003C38DE">
        <w:rPr>
          <w:sz w:val="24"/>
          <w:szCs w:val="24"/>
        </w:rPr>
        <w:t xml:space="preserve"> provides </w:t>
      </w:r>
      <w:r w:rsidR="00C24C63" w:rsidRPr="003C38DE">
        <w:rPr>
          <w:sz w:val="24"/>
          <w:szCs w:val="24"/>
        </w:rPr>
        <w:t xml:space="preserve">provisions for the conduct of meetings of the CIRB. </w:t>
      </w:r>
    </w:p>
    <w:p w14:paraId="719DD939" w14:textId="4F924D45" w:rsidR="00492723" w:rsidRPr="003C38DE" w:rsidRDefault="00C24C63" w:rsidP="00360638">
      <w:pPr>
        <w:pStyle w:val="ESPara"/>
        <w:numPr>
          <w:ilvl w:val="0"/>
          <w:numId w:val="0"/>
        </w:numPr>
        <w:ind w:left="360"/>
        <w:rPr>
          <w:sz w:val="24"/>
          <w:szCs w:val="24"/>
        </w:rPr>
      </w:pPr>
      <w:r w:rsidRPr="003C38DE">
        <w:rPr>
          <w:sz w:val="24"/>
          <w:szCs w:val="24"/>
        </w:rPr>
        <w:t xml:space="preserve">Section 32 provides </w:t>
      </w:r>
      <w:r w:rsidR="00492723" w:rsidRPr="003C38DE">
        <w:rPr>
          <w:sz w:val="24"/>
          <w:szCs w:val="24"/>
        </w:rPr>
        <w:t xml:space="preserve">that the </w:t>
      </w:r>
      <w:r w:rsidRPr="003C38DE">
        <w:rPr>
          <w:sz w:val="24"/>
          <w:szCs w:val="24"/>
        </w:rPr>
        <w:t>CIRB</w:t>
      </w:r>
      <w:r w:rsidR="00492723" w:rsidRPr="003C38DE">
        <w:rPr>
          <w:sz w:val="24"/>
          <w:szCs w:val="24"/>
        </w:rPr>
        <w:t xml:space="preserve"> may, subject to this instrument and the Act, regulate proceedings at its meetings as it considered appropriate. </w:t>
      </w:r>
    </w:p>
    <w:p w14:paraId="3D70D233" w14:textId="6E2185C8" w:rsidR="00492723" w:rsidRPr="003C38DE" w:rsidRDefault="00492723" w:rsidP="00360638">
      <w:pPr>
        <w:pStyle w:val="ESPara"/>
        <w:numPr>
          <w:ilvl w:val="0"/>
          <w:numId w:val="0"/>
        </w:numPr>
        <w:ind w:left="360"/>
        <w:rPr>
          <w:sz w:val="24"/>
          <w:szCs w:val="24"/>
        </w:rPr>
      </w:pPr>
      <w:r w:rsidRPr="003C38DE">
        <w:rPr>
          <w:sz w:val="24"/>
          <w:szCs w:val="24"/>
        </w:rPr>
        <w:t xml:space="preserve">The note in this section provides that section 33B of the </w:t>
      </w:r>
      <w:r w:rsidRPr="003C38DE">
        <w:rPr>
          <w:i/>
          <w:sz w:val="24"/>
          <w:szCs w:val="24"/>
        </w:rPr>
        <w:t xml:space="preserve">Acts Interpretation Act 1901 </w:t>
      </w:r>
      <w:r w:rsidRPr="003C38DE">
        <w:rPr>
          <w:sz w:val="24"/>
          <w:szCs w:val="24"/>
        </w:rPr>
        <w:t xml:space="preserve">contains further information about the ways in which Board members may participate in meetings. Section 33B of the </w:t>
      </w:r>
      <w:r w:rsidRPr="003C38DE">
        <w:rPr>
          <w:i/>
          <w:sz w:val="24"/>
          <w:szCs w:val="24"/>
        </w:rPr>
        <w:t>Acts Interpretation Act 1901</w:t>
      </w:r>
      <w:r w:rsidRPr="003C38DE">
        <w:rPr>
          <w:sz w:val="24"/>
          <w:szCs w:val="24"/>
        </w:rPr>
        <w:t xml:space="preserve"> provides </w:t>
      </w:r>
      <w:r w:rsidR="00F8070D" w:rsidRPr="003C38DE">
        <w:rPr>
          <w:sz w:val="24"/>
          <w:szCs w:val="24"/>
        </w:rPr>
        <w:t>guidance for remote participation in meetings for bodies created under an Act. It applies to both incorporated and unincorporated bodies that are required or permitted to hold meetings. Members of such bodies may participate in meetings using telephone, closed-circuit television, or any other means of communication, as permitted by the body. Members participating remotely are considered present at the meeting and count towards the quorum. Meetings can be conducted entirely through remote communication, with all members participating remotely if necessary. Additionally, meetings may take place across multiple locations simultaneously when remote participation is in effect, providing flexibility for hybrid or remote formats.</w:t>
      </w:r>
    </w:p>
    <w:p w14:paraId="33D2CD89" w14:textId="516FE064" w:rsidR="00D7370C" w:rsidRPr="003C38DE" w:rsidRDefault="009F16BE" w:rsidP="00CD5D6D">
      <w:pPr>
        <w:pStyle w:val="ESAttHeading"/>
        <w:keepNext w:val="0"/>
        <w:widowControl w:val="0"/>
        <w:rPr>
          <w:sz w:val="24"/>
          <w:szCs w:val="24"/>
        </w:rPr>
      </w:pPr>
      <w:r w:rsidRPr="003C38DE">
        <w:rPr>
          <w:sz w:val="24"/>
          <w:szCs w:val="24"/>
        </w:rPr>
        <w:t>Section 3</w:t>
      </w:r>
      <w:r w:rsidR="00D7370C" w:rsidRPr="003C38DE">
        <w:rPr>
          <w:sz w:val="24"/>
          <w:szCs w:val="24"/>
        </w:rPr>
        <w:t>3</w:t>
      </w:r>
      <w:r w:rsidR="00D7370C" w:rsidRPr="003C38DE">
        <w:rPr>
          <w:sz w:val="24"/>
          <w:szCs w:val="24"/>
        </w:rPr>
        <w:tab/>
        <w:t>Minutes</w:t>
      </w:r>
    </w:p>
    <w:p w14:paraId="012C7366" w14:textId="3D15EE0F" w:rsidR="00492723" w:rsidRPr="003C38DE" w:rsidRDefault="003D575A" w:rsidP="00360638">
      <w:pPr>
        <w:pStyle w:val="ESPara"/>
        <w:numPr>
          <w:ilvl w:val="0"/>
          <w:numId w:val="0"/>
        </w:numPr>
        <w:ind w:left="720" w:hanging="360"/>
        <w:rPr>
          <w:sz w:val="24"/>
          <w:szCs w:val="24"/>
        </w:rPr>
      </w:pPr>
      <w:r w:rsidRPr="003C38DE">
        <w:rPr>
          <w:sz w:val="24"/>
          <w:szCs w:val="24"/>
        </w:rPr>
        <w:t xml:space="preserve">Section 33 </w:t>
      </w:r>
      <w:r w:rsidR="00492723" w:rsidRPr="003C38DE">
        <w:rPr>
          <w:sz w:val="24"/>
          <w:szCs w:val="24"/>
        </w:rPr>
        <w:t xml:space="preserve">provides that the </w:t>
      </w:r>
      <w:r w:rsidR="00C24C63" w:rsidRPr="003C38DE">
        <w:rPr>
          <w:sz w:val="24"/>
          <w:szCs w:val="24"/>
        </w:rPr>
        <w:t>CIRB</w:t>
      </w:r>
      <w:r w:rsidR="00492723" w:rsidRPr="003C38DE">
        <w:rPr>
          <w:sz w:val="24"/>
          <w:szCs w:val="24"/>
        </w:rPr>
        <w:t xml:space="preserve"> must keep minutes of its meetings. </w:t>
      </w:r>
    </w:p>
    <w:p w14:paraId="131523B5" w14:textId="26E6FC50" w:rsidR="008367A6" w:rsidRPr="003C38DE" w:rsidRDefault="009F16BE" w:rsidP="00CD5D6D">
      <w:pPr>
        <w:pStyle w:val="ESAttHeading"/>
        <w:keepNext w:val="0"/>
        <w:widowControl w:val="0"/>
        <w:rPr>
          <w:sz w:val="24"/>
          <w:szCs w:val="24"/>
        </w:rPr>
      </w:pPr>
      <w:r w:rsidRPr="003C38DE">
        <w:rPr>
          <w:sz w:val="24"/>
          <w:szCs w:val="24"/>
        </w:rPr>
        <w:t>Section 34</w:t>
      </w:r>
      <w:r w:rsidR="003D575A" w:rsidRPr="003C38DE">
        <w:rPr>
          <w:sz w:val="24"/>
          <w:szCs w:val="24"/>
        </w:rPr>
        <w:tab/>
        <w:t>Decisions without meetings</w:t>
      </w:r>
    </w:p>
    <w:p w14:paraId="066A50B3" w14:textId="5C14DABE" w:rsidR="003D575A" w:rsidRPr="003C38DE" w:rsidRDefault="003D575A" w:rsidP="00360638">
      <w:pPr>
        <w:pStyle w:val="ESPara"/>
        <w:numPr>
          <w:ilvl w:val="0"/>
          <w:numId w:val="0"/>
        </w:numPr>
        <w:ind w:left="360"/>
        <w:rPr>
          <w:sz w:val="24"/>
          <w:szCs w:val="24"/>
        </w:rPr>
      </w:pPr>
      <w:r w:rsidRPr="003C38DE">
        <w:rPr>
          <w:sz w:val="24"/>
          <w:szCs w:val="24"/>
        </w:rPr>
        <w:t xml:space="preserve">Section </w:t>
      </w:r>
      <w:r w:rsidR="009368FA" w:rsidRPr="003C38DE">
        <w:rPr>
          <w:sz w:val="24"/>
          <w:szCs w:val="24"/>
        </w:rPr>
        <w:t xml:space="preserve">34 provides guidance on when decisions </w:t>
      </w:r>
      <w:r w:rsidR="00C24C63" w:rsidRPr="003C38DE">
        <w:rPr>
          <w:sz w:val="24"/>
          <w:szCs w:val="24"/>
        </w:rPr>
        <w:t>have been made by the CIRB without a meeting being conducted.</w:t>
      </w:r>
    </w:p>
    <w:p w14:paraId="755AC4F5" w14:textId="77777777" w:rsidR="00C24C63" w:rsidRPr="003C38DE" w:rsidRDefault="009368FA" w:rsidP="00360638">
      <w:pPr>
        <w:pStyle w:val="ESPara"/>
        <w:numPr>
          <w:ilvl w:val="0"/>
          <w:numId w:val="0"/>
        </w:numPr>
        <w:ind w:left="360"/>
        <w:rPr>
          <w:sz w:val="24"/>
          <w:szCs w:val="24"/>
        </w:rPr>
      </w:pPr>
      <w:r w:rsidRPr="003C38DE">
        <w:rPr>
          <w:sz w:val="24"/>
          <w:szCs w:val="24"/>
        </w:rPr>
        <w:t xml:space="preserve">Subsection 34(1) </w:t>
      </w:r>
      <w:r w:rsidR="009F16BE" w:rsidRPr="003C38DE">
        <w:rPr>
          <w:sz w:val="24"/>
          <w:szCs w:val="24"/>
        </w:rPr>
        <w:t xml:space="preserve">prescribes that the </w:t>
      </w:r>
      <w:r w:rsidR="00C24C63" w:rsidRPr="003C38DE">
        <w:rPr>
          <w:sz w:val="24"/>
          <w:szCs w:val="24"/>
        </w:rPr>
        <w:t xml:space="preserve">CIRB </w:t>
      </w:r>
      <w:r w:rsidR="009F16BE" w:rsidRPr="003C38DE">
        <w:rPr>
          <w:sz w:val="24"/>
          <w:szCs w:val="24"/>
        </w:rPr>
        <w:t>is taken to have m</w:t>
      </w:r>
      <w:r w:rsidR="00C24C63" w:rsidRPr="003C38DE">
        <w:rPr>
          <w:sz w:val="24"/>
          <w:szCs w:val="24"/>
        </w:rPr>
        <w:t>ade a decision at a meeting if the following are all satisfied:</w:t>
      </w:r>
    </w:p>
    <w:p w14:paraId="78973C83" w14:textId="5E1BD51C" w:rsidR="00C24C63" w:rsidRPr="003C38DE" w:rsidRDefault="009F16BE" w:rsidP="003C38DE">
      <w:pPr>
        <w:pStyle w:val="ESAttHeading"/>
        <w:keepNext w:val="0"/>
        <w:widowControl w:val="0"/>
        <w:numPr>
          <w:ilvl w:val="0"/>
          <w:numId w:val="29"/>
        </w:numPr>
        <w:tabs>
          <w:tab w:val="clear" w:pos="1080"/>
          <w:tab w:val="num" w:pos="851"/>
        </w:tabs>
        <w:ind w:left="709"/>
        <w:rPr>
          <w:b w:val="0"/>
          <w:sz w:val="24"/>
          <w:szCs w:val="24"/>
        </w:rPr>
      </w:pPr>
      <w:r w:rsidRPr="003C38DE">
        <w:rPr>
          <w:b w:val="0"/>
          <w:sz w:val="24"/>
          <w:szCs w:val="24"/>
        </w:rPr>
        <w:t xml:space="preserve">without meeting, a majority of the Board members entitled to vote on the proposed decision </w:t>
      </w:r>
      <w:r w:rsidRPr="003C38DE">
        <w:rPr>
          <w:b w:val="0"/>
          <w:sz w:val="24"/>
          <w:szCs w:val="24"/>
        </w:rPr>
        <w:lastRenderedPageBreak/>
        <w:t>indic</w:t>
      </w:r>
      <w:r w:rsidR="00C24C63" w:rsidRPr="003C38DE">
        <w:rPr>
          <w:b w:val="0"/>
          <w:sz w:val="24"/>
          <w:szCs w:val="24"/>
        </w:rPr>
        <w:t>ate agreement with the decision (paragraph 34(1)(a)</w:t>
      </w:r>
      <w:r w:rsidR="00411C26" w:rsidRPr="003C38DE">
        <w:rPr>
          <w:b w:val="0"/>
          <w:sz w:val="24"/>
          <w:szCs w:val="24"/>
        </w:rPr>
        <w:t>)</w:t>
      </w:r>
      <w:r w:rsidR="00C24C63" w:rsidRPr="003C38DE">
        <w:rPr>
          <w:b w:val="0"/>
          <w:sz w:val="24"/>
          <w:szCs w:val="24"/>
        </w:rPr>
        <w:t>;</w:t>
      </w:r>
    </w:p>
    <w:p w14:paraId="3A2318B0" w14:textId="3D5CA89B" w:rsidR="00AC56DA" w:rsidRPr="003C38DE" w:rsidRDefault="009F16BE" w:rsidP="003C38DE">
      <w:pPr>
        <w:pStyle w:val="ESAttHeading"/>
        <w:keepNext w:val="0"/>
        <w:widowControl w:val="0"/>
        <w:numPr>
          <w:ilvl w:val="0"/>
          <w:numId w:val="29"/>
        </w:numPr>
        <w:tabs>
          <w:tab w:val="clear" w:pos="1080"/>
          <w:tab w:val="num" w:pos="851"/>
        </w:tabs>
        <w:ind w:left="709"/>
        <w:rPr>
          <w:b w:val="0"/>
          <w:sz w:val="24"/>
          <w:szCs w:val="24"/>
        </w:rPr>
      </w:pPr>
      <w:r w:rsidRPr="003C38DE">
        <w:rPr>
          <w:b w:val="0"/>
          <w:sz w:val="24"/>
          <w:szCs w:val="24"/>
        </w:rPr>
        <w:t xml:space="preserve">that agreement is indicated in accordance with the method determined by the Board under subsection </w:t>
      </w:r>
      <w:r w:rsidR="00AC56DA" w:rsidRPr="003C38DE">
        <w:rPr>
          <w:b w:val="0"/>
          <w:sz w:val="24"/>
          <w:szCs w:val="24"/>
        </w:rPr>
        <w:t>34</w:t>
      </w:r>
      <w:r w:rsidRPr="003C38DE">
        <w:rPr>
          <w:b w:val="0"/>
          <w:sz w:val="24"/>
          <w:szCs w:val="24"/>
        </w:rPr>
        <w:t>(2)</w:t>
      </w:r>
      <w:r w:rsidR="00AC56DA" w:rsidRPr="003C38DE">
        <w:rPr>
          <w:b w:val="0"/>
          <w:sz w:val="24"/>
          <w:szCs w:val="24"/>
        </w:rPr>
        <w:t xml:space="preserve"> (paragraph 34(1)(b))</w:t>
      </w:r>
      <w:r w:rsidRPr="003C38DE">
        <w:rPr>
          <w:b w:val="0"/>
          <w:sz w:val="24"/>
          <w:szCs w:val="24"/>
        </w:rPr>
        <w:t>;</w:t>
      </w:r>
      <w:r w:rsidR="00AC56DA" w:rsidRPr="003C38DE">
        <w:rPr>
          <w:b w:val="0"/>
          <w:sz w:val="24"/>
          <w:szCs w:val="24"/>
        </w:rPr>
        <w:t xml:space="preserve"> and</w:t>
      </w:r>
    </w:p>
    <w:p w14:paraId="37F89EC0" w14:textId="2B8B1720" w:rsidR="009F16BE" w:rsidRPr="003C38DE" w:rsidRDefault="009F16BE" w:rsidP="003C38DE">
      <w:pPr>
        <w:pStyle w:val="ESAttHeading"/>
        <w:keepNext w:val="0"/>
        <w:widowControl w:val="0"/>
        <w:numPr>
          <w:ilvl w:val="0"/>
          <w:numId w:val="29"/>
        </w:numPr>
        <w:tabs>
          <w:tab w:val="clear" w:pos="1080"/>
          <w:tab w:val="num" w:pos="851"/>
        </w:tabs>
        <w:ind w:left="709"/>
        <w:rPr>
          <w:b w:val="0"/>
          <w:sz w:val="24"/>
          <w:szCs w:val="24"/>
        </w:rPr>
      </w:pPr>
      <w:r w:rsidRPr="003C38DE">
        <w:rPr>
          <w:b w:val="0"/>
          <w:sz w:val="24"/>
          <w:szCs w:val="24"/>
        </w:rPr>
        <w:t>all the Board members were informed of the proposed decision, or reasonable efforts were made to inform all the Board members of the proposed decision</w:t>
      </w:r>
      <w:r w:rsidR="00AC56DA" w:rsidRPr="003C38DE">
        <w:rPr>
          <w:b w:val="0"/>
          <w:sz w:val="24"/>
          <w:szCs w:val="24"/>
        </w:rPr>
        <w:t xml:space="preserve"> (paragraph 34(1)(b))</w:t>
      </w:r>
      <w:r w:rsidRPr="003C38DE">
        <w:rPr>
          <w:b w:val="0"/>
          <w:sz w:val="24"/>
          <w:szCs w:val="24"/>
        </w:rPr>
        <w:t>.</w:t>
      </w:r>
    </w:p>
    <w:p w14:paraId="5DAB6C7B" w14:textId="732A79F3" w:rsidR="00D47BFC" w:rsidRPr="003C38DE" w:rsidRDefault="009368FA" w:rsidP="00360638">
      <w:pPr>
        <w:pStyle w:val="ESPara"/>
        <w:numPr>
          <w:ilvl w:val="0"/>
          <w:numId w:val="0"/>
        </w:numPr>
        <w:ind w:left="360"/>
        <w:rPr>
          <w:sz w:val="24"/>
          <w:szCs w:val="24"/>
        </w:rPr>
      </w:pPr>
      <w:r w:rsidRPr="003C38DE">
        <w:rPr>
          <w:sz w:val="24"/>
          <w:szCs w:val="24"/>
        </w:rPr>
        <w:t xml:space="preserve">Subsection 34(2) </w:t>
      </w:r>
      <w:r w:rsidR="00FD3BE4" w:rsidRPr="003C38DE">
        <w:rPr>
          <w:sz w:val="24"/>
          <w:szCs w:val="24"/>
        </w:rPr>
        <w:t xml:space="preserve">prescribes that subsection </w:t>
      </w:r>
      <w:r w:rsidR="00AC56DA" w:rsidRPr="003C38DE">
        <w:rPr>
          <w:sz w:val="24"/>
          <w:szCs w:val="24"/>
        </w:rPr>
        <w:t>34(1) only applies if the CIRB</w:t>
      </w:r>
      <w:r w:rsidR="00FD3BE4" w:rsidRPr="003C38DE">
        <w:rPr>
          <w:sz w:val="24"/>
          <w:szCs w:val="24"/>
        </w:rPr>
        <w:t xml:space="preserve"> has determined that it may make decisio</w:t>
      </w:r>
      <w:r w:rsidR="00AC56DA" w:rsidRPr="003C38DE">
        <w:rPr>
          <w:sz w:val="24"/>
          <w:szCs w:val="24"/>
        </w:rPr>
        <w:t>ns of that kind without meeting</w:t>
      </w:r>
      <w:r w:rsidR="00FD3BE4" w:rsidRPr="003C38DE">
        <w:rPr>
          <w:sz w:val="24"/>
          <w:szCs w:val="24"/>
        </w:rPr>
        <w:t xml:space="preserve"> and determined the method by which Board members are to indicate agreement with proposed decisions.</w:t>
      </w:r>
      <w:r w:rsidR="00826034" w:rsidRPr="003C38DE">
        <w:rPr>
          <w:sz w:val="24"/>
          <w:szCs w:val="24"/>
        </w:rPr>
        <w:t xml:space="preserve"> This will ensure that the CIRB has sufficient discretion to ensure it can make decisions in the manner that suits the operational requirements for each decision.</w:t>
      </w:r>
    </w:p>
    <w:p w14:paraId="12BDEA39" w14:textId="70708E0D" w:rsidR="00FD3BE4" w:rsidRPr="003C38DE" w:rsidRDefault="009368FA" w:rsidP="00360638">
      <w:pPr>
        <w:pStyle w:val="ESPara"/>
        <w:numPr>
          <w:ilvl w:val="0"/>
          <w:numId w:val="0"/>
        </w:numPr>
        <w:ind w:left="360"/>
        <w:rPr>
          <w:sz w:val="24"/>
          <w:szCs w:val="24"/>
        </w:rPr>
      </w:pPr>
      <w:r w:rsidRPr="003C38DE">
        <w:rPr>
          <w:sz w:val="24"/>
          <w:szCs w:val="24"/>
        </w:rPr>
        <w:t xml:space="preserve">Subsection 34(3) </w:t>
      </w:r>
      <w:r w:rsidR="00FD3BE4" w:rsidRPr="003C38DE">
        <w:rPr>
          <w:sz w:val="24"/>
          <w:szCs w:val="24"/>
        </w:rPr>
        <w:t xml:space="preserve">prescribes that for the purposes of paragraph </w:t>
      </w:r>
      <w:r w:rsidR="00AC56DA" w:rsidRPr="003C38DE">
        <w:rPr>
          <w:sz w:val="24"/>
          <w:szCs w:val="24"/>
        </w:rPr>
        <w:t>34</w:t>
      </w:r>
      <w:r w:rsidR="00FD3BE4" w:rsidRPr="003C38DE">
        <w:rPr>
          <w:sz w:val="24"/>
          <w:szCs w:val="24"/>
        </w:rPr>
        <w:t>(1)(a), a Board member is not entitled to vote on a proposed decision if the Board member would not have been entitled to vote on that proposal if the matter had been considered at a meeting of the</w:t>
      </w:r>
      <w:r w:rsidR="00AC56DA" w:rsidRPr="003C38DE">
        <w:rPr>
          <w:sz w:val="24"/>
          <w:szCs w:val="24"/>
        </w:rPr>
        <w:t xml:space="preserve"> CIRB</w:t>
      </w:r>
      <w:r w:rsidR="00FD3BE4" w:rsidRPr="003C38DE">
        <w:rPr>
          <w:sz w:val="24"/>
          <w:szCs w:val="24"/>
        </w:rPr>
        <w:t>.</w:t>
      </w:r>
    </w:p>
    <w:p w14:paraId="380119BB" w14:textId="4A14CE3C" w:rsidR="00FD3BE4" w:rsidRPr="003C38DE" w:rsidRDefault="009368FA" w:rsidP="00360638">
      <w:pPr>
        <w:pStyle w:val="ESPara"/>
        <w:numPr>
          <w:ilvl w:val="0"/>
          <w:numId w:val="0"/>
        </w:numPr>
        <w:ind w:left="360"/>
        <w:rPr>
          <w:sz w:val="24"/>
          <w:szCs w:val="24"/>
        </w:rPr>
      </w:pPr>
      <w:r w:rsidRPr="003C38DE">
        <w:rPr>
          <w:sz w:val="24"/>
          <w:szCs w:val="24"/>
        </w:rPr>
        <w:t xml:space="preserve">Subsection 34(4) </w:t>
      </w:r>
      <w:r w:rsidR="00FD3BE4" w:rsidRPr="003C38DE">
        <w:rPr>
          <w:sz w:val="24"/>
          <w:szCs w:val="24"/>
        </w:rPr>
        <w:t>provides that the</w:t>
      </w:r>
      <w:r w:rsidR="00AC56DA" w:rsidRPr="003C38DE">
        <w:rPr>
          <w:sz w:val="24"/>
          <w:szCs w:val="24"/>
        </w:rPr>
        <w:t xml:space="preserve"> CIRB</w:t>
      </w:r>
      <w:r w:rsidR="00FD3BE4" w:rsidRPr="003C38DE">
        <w:rPr>
          <w:sz w:val="24"/>
          <w:szCs w:val="24"/>
        </w:rPr>
        <w:t xml:space="preserve"> must keep a record of decisions made in accordance with </w:t>
      </w:r>
      <w:r w:rsidR="00AC56DA" w:rsidRPr="003C38DE">
        <w:rPr>
          <w:sz w:val="24"/>
          <w:szCs w:val="24"/>
        </w:rPr>
        <w:t xml:space="preserve">section 34. </w:t>
      </w:r>
    </w:p>
    <w:p w14:paraId="1B38B043" w14:textId="5AB7EEE1" w:rsidR="00BF3D19" w:rsidRPr="003C38DE" w:rsidRDefault="00BF3D19" w:rsidP="00360638">
      <w:pPr>
        <w:pStyle w:val="ESPara"/>
        <w:numPr>
          <w:ilvl w:val="0"/>
          <w:numId w:val="0"/>
        </w:numPr>
        <w:ind w:left="360"/>
        <w:rPr>
          <w:sz w:val="24"/>
          <w:szCs w:val="24"/>
        </w:rPr>
      </w:pPr>
    </w:p>
    <w:p w14:paraId="0761168A" w14:textId="3A0E3524" w:rsidR="00BF3D19" w:rsidRPr="003C38DE" w:rsidRDefault="00826034" w:rsidP="003C38DE">
      <w:pPr>
        <w:jc w:val="right"/>
        <w:rPr>
          <w:rFonts w:ascii="Times New Roman" w:hAnsi="Times New Roman" w:cs="Times New Roman"/>
          <w:sz w:val="24"/>
          <w:szCs w:val="24"/>
          <w:u w:val="single"/>
        </w:rPr>
      </w:pPr>
      <w:r w:rsidRPr="003C38DE">
        <w:rPr>
          <w:rFonts w:ascii="Times New Roman" w:hAnsi="Times New Roman" w:cs="Times New Roman"/>
          <w:b/>
          <w:sz w:val="24"/>
          <w:szCs w:val="24"/>
          <w:u w:val="single"/>
        </w:rPr>
        <w:br w:type="page"/>
      </w:r>
      <w:r w:rsidR="005200BE" w:rsidRPr="003C38DE">
        <w:rPr>
          <w:rFonts w:ascii="Times New Roman" w:hAnsi="Times New Roman" w:cs="Times New Roman"/>
          <w:b/>
          <w:sz w:val="24"/>
          <w:szCs w:val="24"/>
          <w:u w:val="single"/>
        </w:rPr>
        <w:lastRenderedPageBreak/>
        <w:t>ATTACHMENT B</w:t>
      </w:r>
    </w:p>
    <w:p w14:paraId="32AA7317" w14:textId="77777777" w:rsidR="00BF3D19" w:rsidRPr="003C38DE" w:rsidRDefault="00BF3D19" w:rsidP="00BF3D19">
      <w:pPr>
        <w:keepNext/>
        <w:keepLines/>
        <w:spacing w:before="40" w:after="0"/>
        <w:jc w:val="center"/>
        <w:outlineLvl w:val="1"/>
        <w:rPr>
          <w:rFonts w:ascii="Times New Roman" w:hAnsi="Times New Roman" w:cs="Times New Roman"/>
          <w:b/>
          <w:color w:val="000000" w:themeColor="text1"/>
          <w:sz w:val="24"/>
          <w:szCs w:val="24"/>
        </w:rPr>
      </w:pPr>
    </w:p>
    <w:p w14:paraId="4FCF0E0A" w14:textId="77777777" w:rsidR="00B429E1" w:rsidRPr="003C38DE" w:rsidRDefault="00B429E1" w:rsidP="003C38DE">
      <w:pPr>
        <w:pStyle w:val="Heading2"/>
        <w:spacing w:after="360"/>
        <w:rPr>
          <w:sz w:val="24"/>
          <w:szCs w:val="24"/>
        </w:rPr>
      </w:pPr>
      <w:bookmarkStart w:id="1" w:name="PM"/>
      <w:bookmarkStart w:id="2" w:name="_Hlk93507018"/>
      <w:bookmarkEnd w:id="1"/>
      <w:bookmarkEnd w:id="2"/>
      <w:r w:rsidRPr="003C38DE">
        <w:rPr>
          <w:sz w:val="24"/>
          <w:szCs w:val="24"/>
        </w:rPr>
        <w:t>Statement of Compatibility with Human Rights</w:t>
      </w:r>
    </w:p>
    <w:p w14:paraId="555A6CC6" w14:textId="77777777" w:rsidR="00B429E1" w:rsidRPr="003C38DE" w:rsidRDefault="00B429E1" w:rsidP="00B429E1">
      <w:pPr>
        <w:spacing w:before="120" w:after="120" w:line="240" w:lineRule="auto"/>
        <w:jc w:val="center"/>
        <w:rPr>
          <w:rFonts w:ascii="Times New Roman" w:hAnsi="Times New Roman"/>
          <w:sz w:val="24"/>
          <w:szCs w:val="24"/>
        </w:rPr>
      </w:pPr>
      <w:r w:rsidRPr="003C38DE">
        <w:rPr>
          <w:rFonts w:ascii="Times New Roman" w:hAnsi="Times New Roman"/>
          <w:i/>
          <w:sz w:val="24"/>
          <w:szCs w:val="24"/>
        </w:rPr>
        <w:t>Prepared in accordance with Part 3 of the Human Rights (Parliamentary Scrutiny) Act 2011</w:t>
      </w:r>
    </w:p>
    <w:p w14:paraId="090BCB4A" w14:textId="77777777" w:rsidR="00B429E1" w:rsidRPr="003C38DE" w:rsidRDefault="00B429E1" w:rsidP="00B429E1">
      <w:pPr>
        <w:spacing w:before="120" w:after="120" w:line="240" w:lineRule="auto"/>
        <w:jc w:val="center"/>
        <w:rPr>
          <w:rFonts w:ascii="Times New Roman" w:hAnsi="Times New Roman"/>
          <w:sz w:val="24"/>
          <w:szCs w:val="24"/>
        </w:rPr>
      </w:pPr>
    </w:p>
    <w:p w14:paraId="248283D1" w14:textId="77777777" w:rsidR="00B429E1" w:rsidRPr="003C38DE" w:rsidRDefault="00B429E1" w:rsidP="00B429E1">
      <w:pPr>
        <w:spacing w:before="120" w:after="120" w:line="240" w:lineRule="auto"/>
        <w:jc w:val="center"/>
        <w:rPr>
          <w:rFonts w:ascii="Times New Roman" w:hAnsi="Times New Roman"/>
          <w:b/>
          <w:i/>
          <w:sz w:val="24"/>
          <w:szCs w:val="24"/>
        </w:rPr>
      </w:pPr>
      <w:r w:rsidRPr="003C38DE">
        <w:rPr>
          <w:rFonts w:ascii="Times New Roman" w:hAnsi="Times New Roman"/>
          <w:b/>
          <w:i/>
          <w:sz w:val="24"/>
          <w:szCs w:val="24"/>
        </w:rPr>
        <w:t>Cyber Security (Cyber Incident Review Board) Rules 2025</w:t>
      </w:r>
    </w:p>
    <w:p w14:paraId="3E07A9AA" w14:textId="77777777" w:rsidR="00B429E1" w:rsidRPr="003C38DE" w:rsidRDefault="00B429E1" w:rsidP="00B429E1">
      <w:pPr>
        <w:spacing w:before="120" w:after="120" w:line="240" w:lineRule="auto"/>
        <w:jc w:val="center"/>
        <w:rPr>
          <w:rFonts w:ascii="Times New Roman" w:hAnsi="Times New Roman"/>
          <w:sz w:val="24"/>
          <w:szCs w:val="24"/>
        </w:rPr>
      </w:pPr>
    </w:p>
    <w:p w14:paraId="4704B633" w14:textId="77777777" w:rsidR="00B429E1" w:rsidRPr="003C38DE" w:rsidRDefault="00B429E1" w:rsidP="00B429E1">
      <w:pPr>
        <w:spacing w:before="120" w:after="120" w:line="240" w:lineRule="auto"/>
        <w:jc w:val="center"/>
        <w:rPr>
          <w:rFonts w:ascii="Times New Roman" w:hAnsi="Times New Roman"/>
          <w:sz w:val="24"/>
          <w:szCs w:val="24"/>
        </w:rPr>
      </w:pPr>
      <w:r w:rsidRPr="003C38DE">
        <w:rPr>
          <w:rFonts w:ascii="Times New Roman" w:hAnsi="Times New Roman"/>
          <w:sz w:val="24"/>
          <w:szCs w:val="24"/>
        </w:rPr>
        <w:t xml:space="preserve">This Disallowable Legislative Instrument is compatible with the human rights and freedoms recognised or declared in the international instruments listed in section 3 of the </w:t>
      </w:r>
      <w:r w:rsidRPr="003C38DE">
        <w:rPr>
          <w:rFonts w:ascii="Times New Roman" w:hAnsi="Times New Roman"/>
          <w:i/>
          <w:sz w:val="24"/>
          <w:szCs w:val="24"/>
        </w:rPr>
        <w:t>Human Rights (Parliamentary Scrutiny) Act 2011</w:t>
      </w:r>
      <w:r w:rsidRPr="003C38DE">
        <w:rPr>
          <w:rFonts w:ascii="Times New Roman" w:hAnsi="Times New Roman"/>
          <w:sz w:val="24"/>
          <w:szCs w:val="24"/>
        </w:rPr>
        <w:t>.</w:t>
      </w:r>
    </w:p>
    <w:p w14:paraId="1ACE9B65" w14:textId="77777777" w:rsidR="00B429E1" w:rsidRPr="003C38DE" w:rsidRDefault="00B429E1" w:rsidP="00B429E1">
      <w:pPr>
        <w:spacing w:before="120" w:after="120" w:line="240" w:lineRule="auto"/>
        <w:rPr>
          <w:rFonts w:ascii="Times New Roman" w:hAnsi="Times New Roman"/>
          <w:sz w:val="24"/>
          <w:szCs w:val="24"/>
        </w:rPr>
      </w:pPr>
    </w:p>
    <w:p w14:paraId="032C3581" w14:textId="77777777" w:rsidR="00B429E1" w:rsidRPr="003C38DE" w:rsidRDefault="00B429E1" w:rsidP="00B429E1">
      <w:pPr>
        <w:pStyle w:val="Heading3"/>
      </w:pPr>
      <w:r w:rsidRPr="003C38DE">
        <w:t>Overview of the Disallowable Legislative Instrument</w:t>
      </w:r>
    </w:p>
    <w:p w14:paraId="520D5819" w14:textId="64ABA19F" w:rsidR="00B429E1" w:rsidRPr="003C38DE" w:rsidRDefault="00B429E1" w:rsidP="00B429E1">
      <w:pPr>
        <w:pStyle w:val="BodyText"/>
        <w:spacing w:line="240" w:lineRule="auto"/>
        <w:rPr>
          <w:rFonts w:ascii="Times New Roman" w:eastAsiaTheme="minorHAnsi" w:hAnsi="Times New Roman" w:cstheme="minorBidi"/>
          <w:sz w:val="24"/>
          <w:lang w:eastAsia="en-US"/>
        </w:rPr>
      </w:pPr>
      <w:r w:rsidRPr="003C38DE">
        <w:rPr>
          <w:rFonts w:ascii="Times New Roman" w:eastAsiaTheme="minorHAnsi" w:hAnsi="Times New Roman" w:cstheme="minorBidi"/>
          <w:sz w:val="24"/>
          <w:lang w:eastAsia="en-US"/>
        </w:rPr>
        <w:t xml:space="preserve">Australia’s cyber security landscape is evolving, with malicious activities targeting Australia becoming more frequent and sophisticated. The </w:t>
      </w:r>
      <w:r w:rsidRPr="003C38DE">
        <w:rPr>
          <w:rFonts w:ascii="Times New Roman" w:eastAsiaTheme="minorHAnsi" w:hAnsi="Times New Roman" w:cstheme="minorBidi"/>
          <w:i/>
          <w:sz w:val="24"/>
          <w:lang w:eastAsia="en-US"/>
        </w:rPr>
        <w:t>Cyber Security Act 2024</w:t>
      </w:r>
      <w:r w:rsidRPr="003C38DE">
        <w:rPr>
          <w:rFonts w:ascii="Times New Roman" w:eastAsiaTheme="minorHAnsi" w:hAnsi="Times New Roman" w:cstheme="minorBidi"/>
          <w:sz w:val="24"/>
          <w:lang w:eastAsia="en-US"/>
        </w:rPr>
        <w:t xml:space="preserve"> (the Act) provides a clear legislative framework for whole-of-economy cyber security issues. The Act was introduced to provide additional protections to Australian citizens and businesses; improve the security of our increasingly interconnected devices; build mitigations for existing cyber risks; and improve the Government’s threat picture to inform protections, incident response procedures and future policy.</w:t>
      </w:r>
    </w:p>
    <w:p w14:paraId="2764408E" w14:textId="77777777" w:rsidR="005E0B6C" w:rsidRPr="003C38DE" w:rsidRDefault="005E0B6C" w:rsidP="00B429E1">
      <w:pPr>
        <w:pStyle w:val="BodyText"/>
        <w:spacing w:line="240" w:lineRule="auto"/>
        <w:rPr>
          <w:rFonts w:ascii="Times New Roman" w:eastAsiaTheme="minorHAnsi" w:hAnsi="Times New Roman" w:cstheme="minorBidi"/>
          <w:sz w:val="24"/>
          <w:lang w:eastAsia="en-US"/>
        </w:rPr>
      </w:pPr>
    </w:p>
    <w:p w14:paraId="64F9A6CD" w14:textId="3008CFA9" w:rsidR="00B429E1" w:rsidRPr="003C38DE" w:rsidRDefault="00B429E1" w:rsidP="00B429E1">
      <w:pPr>
        <w:pStyle w:val="BodyText"/>
        <w:spacing w:line="240" w:lineRule="auto"/>
        <w:rPr>
          <w:rFonts w:ascii="Times New Roman" w:eastAsiaTheme="minorHAnsi" w:hAnsi="Times New Roman" w:cstheme="minorBidi"/>
          <w:sz w:val="24"/>
          <w:lang w:eastAsia="en-US"/>
        </w:rPr>
      </w:pPr>
      <w:r w:rsidRPr="003C38DE">
        <w:rPr>
          <w:rFonts w:ascii="Times New Roman" w:eastAsiaTheme="minorHAnsi" w:hAnsi="Times New Roman" w:cstheme="minorBidi"/>
          <w:sz w:val="24"/>
          <w:lang w:eastAsia="en-US"/>
        </w:rPr>
        <w:t xml:space="preserve">The Act establishes the Cyber Incident Review Board (CIRB) as an independent statutory advisory body to conduct no-fault, post-incident reviews of significant cyber security incidents, and make recommendations to prevent, detect, respond to, or minimise the impact of cyber security incidents of a similar nature in the future. </w:t>
      </w:r>
    </w:p>
    <w:p w14:paraId="5D135598" w14:textId="77777777" w:rsidR="005E0B6C" w:rsidRPr="003C38DE" w:rsidRDefault="005E0B6C" w:rsidP="00B429E1">
      <w:pPr>
        <w:pStyle w:val="BodyText"/>
        <w:spacing w:line="240" w:lineRule="auto"/>
        <w:rPr>
          <w:rFonts w:ascii="Times New Roman" w:eastAsiaTheme="minorHAnsi" w:hAnsi="Times New Roman" w:cstheme="minorBidi"/>
          <w:sz w:val="24"/>
          <w:lang w:eastAsia="en-US"/>
        </w:rPr>
      </w:pPr>
    </w:p>
    <w:p w14:paraId="5880F0A5" w14:textId="77777777" w:rsidR="00B429E1" w:rsidRPr="003C38DE" w:rsidRDefault="00B429E1" w:rsidP="00B429E1">
      <w:pPr>
        <w:pStyle w:val="BodyText"/>
        <w:rPr>
          <w:rFonts w:ascii="Times New Roman" w:eastAsiaTheme="minorHAnsi" w:hAnsi="Times New Roman" w:cstheme="minorBidi"/>
          <w:sz w:val="24"/>
          <w:lang w:eastAsia="en-US"/>
        </w:rPr>
      </w:pPr>
      <w:r w:rsidRPr="003C38DE">
        <w:rPr>
          <w:rFonts w:ascii="Times New Roman" w:eastAsiaTheme="minorHAnsi" w:hAnsi="Times New Roman" w:cstheme="minorBidi"/>
          <w:sz w:val="24"/>
          <w:lang w:eastAsia="en-US"/>
        </w:rPr>
        <w:t xml:space="preserve">Pursuant to Part 5 of the Act , the </w:t>
      </w:r>
      <w:r w:rsidRPr="003C38DE">
        <w:rPr>
          <w:rFonts w:ascii="Times New Roman" w:eastAsiaTheme="minorHAnsi" w:hAnsi="Times New Roman" w:cstheme="minorBidi"/>
          <w:i/>
          <w:sz w:val="24"/>
          <w:lang w:eastAsia="en-US"/>
        </w:rPr>
        <w:t>Cyber Security (Cyber Incident Review Board) Rules 2025</w:t>
      </w:r>
      <w:r w:rsidRPr="003C38DE">
        <w:rPr>
          <w:rFonts w:ascii="Times New Roman" w:eastAsiaTheme="minorHAnsi" w:hAnsi="Times New Roman" w:cstheme="minorBidi"/>
          <w:sz w:val="24"/>
          <w:lang w:eastAsia="en-US"/>
        </w:rPr>
        <w:t xml:space="preserve"> (the Disallowable Legislative Instrument) establishes the governance parameters through which the CIRB will perform its functions, while providing flexibility to ensure the CIRB can respond effectively and regulate its proceedings as it sees fit. The Disallowable Legislative Instrument sets out the following:</w:t>
      </w:r>
    </w:p>
    <w:p w14:paraId="659CD28A" w14:textId="77777777" w:rsidR="00B429E1" w:rsidRPr="003C38DE" w:rsidRDefault="00B429E1" w:rsidP="00B429E1">
      <w:pPr>
        <w:pStyle w:val="BodyText"/>
        <w:numPr>
          <w:ilvl w:val="0"/>
          <w:numId w:val="45"/>
        </w:numPr>
        <w:rPr>
          <w:rFonts w:ascii="Times New Roman" w:eastAsiaTheme="minorHAnsi" w:hAnsi="Times New Roman" w:cstheme="minorBidi"/>
          <w:sz w:val="24"/>
          <w:lang w:eastAsia="en-US"/>
        </w:rPr>
      </w:pPr>
      <w:r w:rsidRPr="003C38DE">
        <w:rPr>
          <w:rFonts w:ascii="Times New Roman" w:eastAsiaTheme="minorHAnsi" w:hAnsi="Times New Roman" w:cstheme="minorBidi"/>
          <w:sz w:val="24"/>
          <w:lang w:eastAsia="en-US"/>
        </w:rPr>
        <w:t>Parameters for the CIRB to consider referrals against criteria established in section 46 of the Act, drafting the terms of reference for a review, and the timing and public notification of reviews.</w:t>
      </w:r>
    </w:p>
    <w:p w14:paraId="4C45E7DA" w14:textId="77777777" w:rsidR="00B429E1" w:rsidRPr="003C38DE" w:rsidRDefault="00B429E1" w:rsidP="00B429E1">
      <w:pPr>
        <w:pStyle w:val="BodyText"/>
        <w:numPr>
          <w:ilvl w:val="0"/>
          <w:numId w:val="45"/>
        </w:numPr>
        <w:rPr>
          <w:rFonts w:ascii="Times New Roman" w:eastAsiaTheme="minorHAnsi" w:hAnsi="Times New Roman" w:cstheme="minorBidi"/>
          <w:sz w:val="24"/>
          <w:lang w:eastAsia="en-US"/>
        </w:rPr>
      </w:pPr>
      <w:r w:rsidRPr="003C38DE">
        <w:rPr>
          <w:rFonts w:ascii="Times New Roman" w:eastAsiaTheme="minorHAnsi" w:hAnsi="Times New Roman"/>
          <w:sz w:val="24"/>
        </w:rPr>
        <w:t>Parameters for managing the appointments of standing members of the board, their eligibility requirements, disclosure of interests, resignation and termination parameters.</w:t>
      </w:r>
    </w:p>
    <w:p w14:paraId="30DC695E" w14:textId="77777777" w:rsidR="00B429E1" w:rsidRPr="003C38DE" w:rsidRDefault="00B429E1" w:rsidP="00B429E1">
      <w:pPr>
        <w:pStyle w:val="BodyText"/>
        <w:numPr>
          <w:ilvl w:val="0"/>
          <w:numId w:val="45"/>
        </w:numPr>
        <w:rPr>
          <w:rFonts w:ascii="Times New Roman" w:eastAsiaTheme="minorHAnsi" w:hAnsi="Times New Roman" w:cstheme="minorBidi"/>
          <w:sz w:val="24"/>
          <w:lang w:eastAsia="en-US"/>
        </w:rPr>
      </w:pPr>
      <w:r w:rsidRPr="003C38DE">
        <w:rPr>
          <w:rFonts w:ascii="Times New Roman" w:eastAsiaTheme="minorHAnsi" w:hAnsi="Times New Roman" w:cstheme="minorBidi"/>
          <w:sz w:val="24"/>
          <w:lang w:eastAsia="en-US"/>
        </w:rPr>
        <w:t>Parameters for the Expert Panel, their eligibility requirements, disclosure of interests, remuneration, resignation and termination parameters.</w:t>
      </w:r>
    </w:p>
    <w:p w14:paraId="12C30674" w14:textId="77777777" w:rsidR="00B429E1" w:rsidRPr="003C38DE" w:rsidRDefault="00B429E1" w:rsidP="00B429E1">
      <w:pPr>
        <w:pStyle w:val="BodyText"/>
        <w:numPr>
          <w:ilvl w:val="0"/>
          <w:numId w:val="45"/>
        </w:numPr>
        <w:rPr>
          <w:rFonts w:eastAsiaTheme="minorHAnsi" w:cstheme="minorBidi"/>
          <w:sz w:val="24"/>
          <w:lang w:eastAsia="en-US"/>
        </w:rPr>
      </w:pPr>
      <w:r w:rsidRPr="003C38DE">
        <w:rPr>
          <w:rFonts w:ascii="Times New Roman" w:eastAsiaTheme="minorHAnsi" w:hAnsi="Times New Roman" w:cstheme="minorBidi"/>
          <w:sz w:val="24"/>
          <w:lang w:eastAsia="en-US"/>
        </w:rPr>
        <w:t>Other governance parameters establishing processes for convening meetings, conduct at meeting, voting and record keeping.</w:t>
      </w:r>
    </w:p>
    <w:p w14:paraId="5EDB58AB" w14:textId="00E1529C" w:rsidR="00B429E1" w:rsidRPr="003C38DE" w:rsidRDefault="00B429E1" w:rsidP="00B429E1">
      <w:pPr>
        <w:pStyle w:val="BodyText"/>
        <w:rPr>
          <w:rFonts w:ascii="Times New Roman" w:eastAsiaTheme="minorHAnsi" w:hAnsi="Times New Roman"/>
          <w:sz w:val="24"/>
          <w:lang w:eastAsia="en-US"/>
        </w:rPr>
      </w:pPr>
      <w:r w:rsidRPr="003C38DE">
        <w:rPr>
          <w:rFonts w:ascii="Times New Roman" w:eastAsiaTheme="minorHAnsi" w:hAnsi="Times New Roman"/>
          <w:sz w:val="24"/>
          <w:lang w:eastAsia="en-US"/>
        </w:rPr>
        <w:t xml:space="preserve">The CIRB is comprised of a Chair, standing members, which together form the core component of the CIRB, and an Expert Panel of industry experts that can be called upon for individual reviews. Reviews will be conducted by the Chair, the standing members and at least two members of the </w:t>
      </w:r>
      <w:r w:rsidRPr="003C38DE">
        <w:rPr>
          <w:rFonts w:ascii="Times New Roman" w:eastAsiaTheme="minorHAnsi" w:hAnsi="Times New Roman"/>
          <w:sz w:val="24"/>
          <w:lang w:eastAsia="en-US"/>
        </w:rPr>
        <w:lastRenderedPageBreak/>
        <w:t>Expert Panel, who will be allocated based on expertise and experience most relevant to the review. Following reviews by the CIRB, the CIRB will disseminate recommendations to both Government and industry.</w:t>
      </w:r>
    </w:p>
    <w:p w14:paraId="5F2ACF76" w14:textId="77777777" w:rsidR="005E0B6C" w:rsidRPr="003C38DE" w:rsidRDefault="005E0B6C" w:rsidP="00B429E1">
      <w:pPr>
        <w:pStyle w:val="BodyText"/>
        <w:rPr>
          <w:rFonts w:ascii="Times New Roman" w:hAnsi="Times New Roman"/>
          <w:sz w:val="24"/>
        </w:rPr>
      </w:pPr>
    </w:p>
    <w:p w14:paraId="1FE591BB" w14:textId="77777777" w:rsidR="00B429E1" w:rsidRPr="003C38DE" w:rsidRDefault="00B429E1" w:rsidP="00B429E1">
      <w:pPr>
        <w:pStyle w:val="BodyText"/>
        <w:rPr>
          <w:rFonts w:ascii="Times New Roman" w:hAnsi="Times New Roman"/>
          <w:sz w:val="24"/>
        </w:rPr>
      </w:pPr>
      <w:r w:rsidRPr="003C38DE">
        <w:rPr>
          <w:rFonts w:ascii="Times New Roman" w:hAnsi="Times New Roman"/>
          <w:sz w:val="24"/>
        </w:rPr>
        <w:t>The CIRB provides an independent, expert body that can distil and disseminate the key lessons to learn from significant cyber security incidents, without apportioning blame. This will help both private and public sectors, and the community, to learn and better inform themselves, enhancing our combined cyber security resilience.</w:t>
      </w:r>
    </w:p>
    <w:p w14:paraId="45148534" w14:textId="77777777" w:rsidR="00B429E1" w:rsidRPr="003C38DE" w:rsidRDefault="00B429E1" w:rsidP="00B429E1">
      <w:pPr>
        <w:spacing w:before="120" w:after="120" w:line="240" w:lineRule="auto"/>
        <w:rPr>
          <w:rFonts w:ascii="Times New Roman" w:hAnsi="Times New Roman"/>
          <w:sz w:val="24"/>
          <w:szCs w:val="24"/>
        </w:rPr>
      </w:pPr>
    </w:p>
    <w:p w14:paraId="3F4706AA" w14:textId="77777777" w:rsidR="00B429E1" w:rsidRPr="003C38DE" w:rsidRDefault="00B429E1" w:rsidP="00B429E1">
      <w:pPr>
        <w:pStyle w:val="Heading3"/>
      </w:pPr>
      <w:r w:rsidRPr="003C38DE">
        <w:t>Human rights implications</w:t>
      </w:r>
    </w:p>
    <w:p w14:paraId="22D77B61" w14:textId="77777777"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 xml:space="preserve">This Disallowable Legislative Instrument may engage the following rights: </w:t>
      </w:r>
    </w:p>
    <w:p w14:paraId="3FA506FD" w14:textId="77777777" w:rsidR="00B429E1" w:rsidRPr="003C38DE" w:rsidRDefault="00B429E1" w:rsidP="00B429E1">
      <w:pPr>
        <w:pStyle w:val="ListParagraph"/>
        <w:numPr>
          <w:ilvl w:val="0"/>
          <w:numId w:val="46"/>
        </w:numPr>
        <w:spacing w:before="120" w:after="120" w:line="240" w:lineRule="auto"/>
        <w:rPr>
          <w:rFonts w:ascii="Times New Roman" w:hAnsi="Times New Roman"/>
          <w:sz w:val="24"/>
          <w:szCs w:val="24"/>
        </w:rPr>
      </w:pPr>
      <w:r w:rsidRPr="003C38DE">
        <w:rPr>
          <w:rFonts w:ascii="Times New Roman" w:hAnsi="Times New Roman"/>
          <w:sz w:val="24"/>
          <w:szCs w:val="24"/>
        </w:rPr>
        <w:t xml:space="preserve">the right to work in Article 6 of the </w:t>
      </w:r>
      <w:r w:rsidRPr="003C38DE">
        <w:rPr>
          <w:rFonts w:ascii="Times New Roman" w:hAnsi="Times New Roman"/>
          <w:i/>
          <w:sz w:val="24"/>
          <w:szCs w:val="24"/>
        </w:rPr>
        <w:t xml:space="preserve">International Covenant on Social, Economic and Cultural Rights </w:t>
      </w:r>
      <w:r w:rsidRPr="003C38DE">
        <w:rPr>
          <w:rFonts w:ascii="Times New Roman" w:hAnsi="Times New Roman"/>
          <w:sz w:val="24"/>
          <w:szCs w:val="24"/>
        </w:rPr>
        <w:t>(ISESCR)</w:t>
      </w:r>
    </w:p>
    <w:p w14:paraId="3909EE14" w14:textId="77777777" w:rsidR="00B429E1" w:rsidRPr="003C38DE" w:rsidRDefault="00B429E1" w:rsidP="00B429E1">
      <w:pPr>
        <w:pStyle w:val="ListParagraph"/>
        <w:numPr>
          <w:ilvl w:val="0"/>
          <w:numId w:val="46"/>
        </w:numPr>
        <w:spacing w:before="120" w:after="120" w:line="240" w:lineRule="auto"/>
        <w:rPr>
          <w:rFonts w:ascii="Times New Roman" w:hAnsi="Times New Roman"/>
          <w:sz w:val="24"/>
          <w:szCs w:val="24"/>
        </w:rPr>
      </w:pPr>
      <w:r w:rsidRPr="003C38DE">
        <w:rPr>
          <w:rFonts w:ascii="Times New Roman" w:hAnsi="Times New Roman"/>
          <w:sz w:val="24"/>
          <w:szCs w:val="24"/>
        </w:rPr>
        <w:t xml:space="preserve">the prohibition on interference with privacy in Article 17 of the </w:t>
      </w:r>
      <w:r w:rsidRPr="003C38DE">
        <w:rPr>
          <w:rFonts w:ascii="Times New Roman" w:hAnsi="Times New Roman"/>
          <w:i/>
          <w:sz w:val="24"/>
          <w:szCs w:val="24"/>
        </w:rPr>
        <w:t xml:space="preserve">International Covenant on Civil and Political Rights </w:t>
      </w:r>
      <w:r w:rsidRPr="003C38DE">
        <w:rPr>
          <w:rFonts w:ascii="Times New Roman" w:hAnsi="Times New Roman"/>
          <w:sz w:val="24"/>
          <w:szCs w:val="24"/>
        </w:rPr>
        <w:t>(ICCPR)</w:t>
      </w:r>
    </w:p>
    <w:p w14:paraId="4CFF4AC2" w14:textId="77777777" w:rsidR="00B429E1" w:rsidRPr="003C38DE" w:rsidRDefault="00B429E1" w:rsidP="00B429E1">
      <w:pPr>
        <w:spacing w:before="120" w:after="120" w:line="240" w:lineRule="auto"/>
        <w:rPr>
          <w:rFonts w:ascii="Times New Roman" w:hAnsi="Times New Roman"/>
          <w:sz w:val="24"/>
          <w:szCs w:val="24"/>
        </w:rPr>
      </w:pPr>
    </w:p>
    <w:p w14:paraId="78E3D7FA" w14:textId="77777777" w:rsidR="00B429E1" w:rsidRPr="003C38DE" w:rsidRDefault="00B429E1" w:rsidP="00B429E1">
      <w:pPr>
        <w:spacing w:before="120" w:after="120" w:line="240" w:lineRule="auto"/>
        <w:rPr>
          <w:rFonts w:ascii="Times New Roman" w:hAnsi="Times New Roman"/>
          <w:i/>
          <w:sz w:val="24"/>
          <w:szCs w:val="24"/>
        </w:rPr>
      </w:pPr>
      <w:r w:rsidRPr="003C38DE">
        <w:rPr>
          <w:rFonts w:ascii="Times New Roman" w:hAnsi="Times New Roman"/>
          <w:i/>
          <w:sz w:val="24"/>
          <w:szCs w:val="24"/>
        </w:rPr>
        <w:t>Right to Work</w:t>
      </w:r>
    </w:p>
    <w:p w14:paraId="57E19A6A" w14:textId="28E97752"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Article 6 of the ICESCR provides that states will recognise the right to the opportunity for a person to gain work of their choosing. The right to work does not equate to a guarantee to particular employment. The United Nations Committee on Economic Social and Cultural Rights has stated that this protection includes the right to not be unfairly deprived of work. Any limitations need to be reasonable, necessary and proportionate to the legitimate objective sought to be achieved.</w:t>
      </w:r>
    </w:p>
    <w:p w14:paraId="1F9347DA" w14:textId="77777777" w:rsidR="005E0B6C" w:rsidRPr="003C38DE" w:rsidRDefault="005E0B6C" w:rsidP="00B429E1">
      <w:pPr>
        <w:spacing w:before="120" w:after="120" w:line="240" w:lineRule="auto"/>
        <w:rPr>
          <w:rFonts w:ascii="Times New Roman" w:hAnsi="Times New Roman"/>
          <w:sz w:val="24"/>
          <w:szCs w:val="24"/>
        </w:rPr>
      </w:pPr>
    </w:p>
    <w:p w14:paraId="04EDB372" w14:textId="276CBD74"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Section 17 of the Disallowable Legislative Instrument provides that</w:t>
      </w:r>
      <w:r w:rsidRPr="003C38DE">
        <w:rPr>
          <w:sz w:val="24"/>
          <w:szCs w:val="24"/>
        </w:rPr>
        <w:t xml:space="preserve"> </w:t>
      </w:r>
      <w:r w:rsidRPr="003C38DE">
        <w:rPr>
          <w:rFonts w:ascii="Times New Roman" w:hAnsi="Times New Roman"/>
          <w:sz w:val="24"/>
          <w:szCs w:val="24"/>
        </w:rPr>
        <w:t xml:space="preserve">a CIRB member must not engage in any paid work that, in the Minister’s opinion, conflicts or could conflict with the proper performance of the CIRB member’s duties. This may restrict a CIRB member’s ability to engage in other paid work in related industries. To the extent that this provision might limit a CIRB member’s ability to engage in work of their choosing, it is reasonable as a person nominating for a position on the CIRB does so voluntarily, with an understanding of the conditions attached to such a position and the sensitive nature of the work involved. Article 6 does not guarantee an individual’s employment in a particular position. This potential limitation is reasonable and necessary in the circumstances and proportionate to the legitimate objective of ensuring confidence in the CIRB’s ability to conduct its review independently. </w:t>
      </w:r>
    </w:p>
    <w:p w14:paraId="11ACE249" w14:textId="088846AD" w:rsidR="005E0B6C" w:rsidRPr="003C38DE" w:rsidRDefault="005E0B6C" w:rsidP="00B429E1">
      <w:pPr>
        <w:spacing w:before="120" w:after="120" w:line="240" w:lineRule="auto"/>
        <w:rPr>
          <w:rFonts w:ascii="Times New Roman" w:hAnsi="Times New Roman"/>
          <w:sz w:val="24"/>
          <w:szCs w:val="24"/>
        </w:rPr>
      </w:pPr>
    </w:p>
    <w:p w14:paraId="2E09D536" w14:textId="77777777" w:rsidR="00B429E1" w:rsidRPr="003C38DE" w:rsidRDefault="00B429E1" w:rsidP="00B429E1">
      <w:pPr>
        <w:spacing w:before="120" w:after="120" w:line="240" w:lineRule="auto"/>
        <w:rPr>
          <w:rFonts w:ascii="Times New Roman" w:hAnsi="Times New Roman"/>
          <w:i/>
          <w:sz w:val="24"/>
          <w:szCs w:val="24"/>
        </w:rPr>
      </w:pPr>
      <w:r w:rsidRPr="003C38DE">
        <w:rPr>
          <w:rFonts w:ascii="Times New Roman" w:hAnsi="Times New Roman"/>
          <w:i/>
          <w:sz w:val="24"/>
          <w:szCs w:val="24"/>
        </w:rPr>
        <w:t>Right to Privacy</w:t>
      </w:r>
    </w:p>
    <w:p w14:paraId="4A454651" w14:textId="43CB2282" w:rsidR="00B429E1" w:rsidRPr="003C38DE" w:rsidRDefault="00B429E1" w:rsidP="00B429E1">
      <w:pPr>
        <w:spacing w:before="120" w:after="120" w:line="240" w:lineRule="auto"/>
        <w:rPr>
          <w:rFonts w:ascii="Times New Roman" w:eastAsia="Times New Roman" w:hAnsi="Times New Roman" w:cs="Times New Roman"/>
          <w:sz w:val="24"/>
          <w:szCs w:val="24"/>
        </w:rPr>
      </w:pPr>
      <w:r w:rsidRPr="003C38DE">
        <w:rPr>
          <w:rFonts w:ascii="Times New Roman" w:eastAsia="Times New Roman" w:hAnsi="Times New Roman" w:cs="Times New Roman"/>
          <w:sz w:val="24"/>
          <w:szCs w:val="24"/>
        </w:rPr>
        <w:t>Article 17(1) of the ICCPR provides that no one shall be subjected to arbitrary or unlawful interference with his or her privacy.</w:t>
      </w:r>
    </w:p>
    <w:p w14:paraId="62F7A6F9" w14:textId="77777777" w:rsidR="005E0B6C" w:rsidRPr="003C38DE" w:rsidRDefault="005E0B6C" w:rsidP="00B429E1">
      <w:pPr>
        <w:spacing w:before="120" w:after="120" w:line="240" w:lineRule="auto"/>
        <w:rPr>
          <w:rFonts w:ascii="Times New Roman" w:hAnsi="Times New Roman"/>
          <w:sz w:val="24"/>
          <w:szCs w:val="24"/>
        </w:rPr>
      </w:pPr>
    </w:p>
    <w:p w14:paraId="5EA77920" w14:textId="77777777" w:rsidR="00B429E1" w:rsidRPr="003C38DE" w:rsidRDefault="00B429E1" w:rsidP="00B429E1">
      <w:pPr>
        <w:spacing w:after="0" w:line="240" w:lineRule="auto"/>
        <w:rPr>
          <w:rFonts w:ascii="Times New Roman" w:hAnsi="Times New Roman" w:cs="Times New Roman"/>
          <w:sz w:val="24"/>
          <w:szCs w:val="24"/>
          <w:lang w:eastAsia="en-AU"/>
        </w:rPr>
      </w:pPr>
      <w:r w:rsidRPr="003C38DE">
        <w:rPr>
          <w:rFonts w:ascii="Times New Roman" w:eastAsia="Times New Roman" w:hAnsi="Times New Roman" w:cs="Times New Roman"/>
          <w:sz w:val="24"/>
          <w:szCs w:val="24"/>
        </w:rPr>
        <w:t>Interferences with privacy may be permissible,</w:t>
      </w:r>
      <w:r w:rsidRPr="003C38DE">
        <w:rPr>
          <w:rFonts w:ascii="Times New Roman" w:eastAsia="Times New Roman" w:hAnsi="Times New Roman" w:cs="Times New Roman"/>
          <w:sz w:val="24"/>
          <w:szCs w:val="24"/>
          <w:vertAlign w:val="superscript"/>
        </w:rPr>
        <w:t xml:space="preserve"> </w:t>
      </w:r>
      <w:r w:rsidRPr="003C38DE">
        <w:rPr>
          <w:rFonts w:ascii="Times New Roman" w:eastAsia="Times New Roman" w:hAnsi="Times New Roman" w:cs="Times New Roman"/>
          <w:sz w:val="24"/>
          <w:szCs w:val="24"/>
        </w:rPr>
        <w:t xml:space="preserve">where they are authorised by law and not arbitrary. In General Comment 16, the United Nations Human Rights Committee (UNHRC) argued that the introduction of the concept of arbitrariness in Article 17 “is intended to guarantee that even interference provided for by law should be in accordance with the provisions, aims and objectives of the Covenant and should be in any event, reasonable in the particular circumstances.” The UNHRC </w:t>
      </w:r>
      <w:r w:rsidRPr="003C38DE">
        <w:rPr>
          <w:rFonts w:ascii="Times New Roman" w:eastAsia="Times New Roman" w:hAnsi="Times New Roman" w:cs="Times New Roman"/>
          <w:sz w:val="24"/>
          <w:szCs w:val="24"/>
        </w:rPr>
        <w:lastRenderedPageBreak/>
        <w:t>further clarified that “any interference with privacy must be proportional to the end sought and be necessary in the circumstances of any given case.”</w:t>
      </w:r>
      <w:r w:rsidRPr="003C38DE">
        <w:rPr>
          <w:rStyle w:val="FootnoteReference"/>
          <w:rFonts w:eastAsia="Times New Roman"/>
          <w:sz w:val="24"/>
          <w:szCs w:val="24"/>
        </w:rPr>
        <w:footnoteReference w:id="1"/>
      </w:r>
      <w:r w:rsidRPr="003C38DE">
        <w:rPr>
          <w:rFonts w:ascii="Times New Roman" w:hAnsi="Times New Roman" w:cs="Times New Roman"/>
          <w:sz w:val="24"/>
          <w:szCs w:val="24"/>
          <w:lang w:eastAsia="en-AU"/>
        </w:rPr>
        <w:t xml:space="preserve"> </w:t>
      </w:r>
    </w:p>
    <w:p w14:paraId="59DEA973" w14:textId="77777777" w:rsidR="00B429E1" w:rsidRPr="003C38DE" w:rsidRDefault="00B429E1" w:rsidP="00B429E1">
      <w:pPr>
        <w:spacing w:before="120" w:after="120" w:line="240" w:lineRule="auto"/>
        <w:rPr>
          <w:rFonts w:ascii="Times New Roman" w:hAnsi="Times New Roman"/>
          <w:sz w:val="24"/>
          <w:szCs w:val="24"/>
        </w:rPr>
      </w:pPr>
    </w:p>
    <w:p w14:paraId="4E177F09" w14:textId="57568F61"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Section 15 and 16 of the Disallowable Legislative Instrument require that members of the CIRB disclose</w:t>
      </w:r>
      <w:r w:rsidRPr="003C38DE">
        <w:rPr>
          <w:sz w:val="24"/>
          <w:szCs w:val="24"/>
        </w:rPr>
        <w:t xml:space="preserve"> </w:t>
      </w:r>
      <w:r w:rsidRPr="003C38DE">
        <w:rPr>
          <w:rFonts w:ascii="Times New Roman" w:hAnsi="Times New Roman"/>
          <w:sz w:val="24"/>
          <w:szCs w:val="24"/>
        </w:rPr>
        <w:t>to the Minister and the CIRB all interests, pecuniary or otherwise, that the person is aware of having in a matter of a kind likely to be considered by the CIRB. Similarly, section 25 of the Disallowable Legislative Instrument requires that members of the Expert Panel must disclose to the Chair of the Board any interests, pecuniary or otherwise, in a matter being considered or about to be considered by the CIRB. These disclosure requirements are ongoing in nature and are made in order to avoid or mitigate</w:t>
      </w:r>
      <w:r w:rsidRPr="003C38DE">
        <w:rPr>
          <w:sz w:val="24"/>
          <w:szCs w:val="24"/>
        </w:rPr>
        <w:t xml:space="preserve"> </w:t>
      </w:r>
      <w:r w:rsidRPr="003C38DE">
        <w:rPr>
          <w:rFonts w:ascii="Times New Roman" w:hAnsi="Times New Roman"/>
          <w:sz w:val="24"/>
          <w:szCs w:val="24"/>
        </w:rPr>
        <w:t xml:space="preserve">potential conflicts of interests, whether real or perceived, relating to the CIRB or the Panel. Further, the Disallowable Legislative Instrument requires that CIRB members disclose </w:t>
      </w:r>
      <w:r w:rsidRPr="003C38DE">
        <w:rPr>
          <w:rFonts w:ascii="Times New Roman" w:hAnsi="Times New Roman" w:cs="Times New Roman"/>
          <w:sz w:val="24"/>
          <w:szCs w:val="24"/>
        </w:rPr>
        <w:t xml:space="preserve">to the Minister any matter for the purpose of section 29 of the </w:t>
      </w:r>
      <w:r w:rsidRPr="003C38DE">
        <w:rPr>
          <w:rFonts w:ascii="Times New Roman" w:hAnsi="Times New Roman" w:cs="Times New Roman"/>
          <w:i/>
          <w:iCs/>
          <w:sz w:val="24"/>
          <w:szCs w:val="24"/>
        </w:rPr>
        <w:t xml:space="preserve">Public Governance, Performance and Accountability Act 2013 </w:t>
      </w:r>
      <w:r w:rsidRPr="003C38DE">
        <w:rPr>
          <w:rFonts w:ascii="Times New Roman" w:hAnsi="Times New Roman" w:cs="Times New Roman"/>
          <w:iCs/>
          <w:sz w:val="24"/>
          <w:szCs w:val="24"/>
        </w:rPr>
        <w:t>(PGPAA). Section 29 of the PGPPA requires an official of a Commonwealth entity to disclose details of any material personal interest that relates to the affairs of the entity they are an official of</w:t>
      </w:r>
      <w:r w:rsidRPr="003C38DE">
        <w:rPr>
          <w:iCs/>
          <w:sz w:val="24"/>
          <w:szCs w:val="24"/>
        </w:rPr>
        <w:t>.</w:t>
      </w:r>
      <w:r w:rsidRPr="003C38DE">
        <w:rPr>
          <w:i/>
          <w:iCs/>
          <w:sz w:val="24"/>
          <w:szCs w:val="24"/>
        </w:rPr>
        <w:t xml:space="preserve"> </w:t>
      </w:r>
      <w:r w:rsidRPr="003C38DE">
        <w:rPr>
          <w:rFonts w:ascii="Times New Roman" w:hAnsi="Times New Roman"/>
          <w:sz w:val="24"/>
          <w:szCs w:val="24"/>
        </w:rPr>
        <w:t>Failure to disclose in accordance with this section will also result in non-compliance under the PGPPA.</w:t>
      </w:r>
    </w:p>
    <w:p w14:paraId="2EC764D7" w14:textId="77777777" w:rsidR="005E0B6C" w:rsidRPr="003C38DE" w:rsidRDefault="005E0B6C" w:rsidP="00B429E1">
      <w:pPr>
        <w:spacing w:before="120" w:after="120" w:line="240" w:lineRule="auto"/>
        <w:rPr>
          <w:rFonts w:ascii="Times New Roman" w:hAnsi="Times New Roman"/>
          <w:sz w:val="24"/>
          <w:szCs w:val="24"/>
        </w:rPr>
      </w:pPr>
    </w:p>
    <w:p w14:paraId="76716970" w14:textId="77777777"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These disclosure obligations placed on members of the CIRB and Expert Panel, may require the disclosure of personal and financial information to the CIRB and to the Minister. To the extent these obligations limit the right to privacy in Article 17 of the ICCPR, they are not arbitrary or unlawful. A person is voluntarily appointed to the CIRB or the Panel and it is reasonable and necessary to ensure that they disclose any conflicts of interest to maintain public confidence that these bodies and their members are able to complete their reviews independently. It is appropriate that a CIRB member as an official for the purposes of the PGPPA is subject to the same disclosure requirements as other officials in the Commonwealth. These measures are aimed at the legitimate objective of establishing the governance parameters of an</w:t>
      </w:r>
      <w:r w:rsidRPr="003C38DE">
        <w:rPr>
          <w:sz w:val="24"/>
          <w:szCs w:val="24"/>
        </w:rPr>
        <w:t xml:space="preserve"> </w:t>
      </w:r>
      <w:r w:rsidRPr="003C38DE">
        <w:rPr>
          <w:rFonts w:ascii="Times New Roman" w:hAnsi="Times New Roman"/>
          <w:sz w:val="24"/>
          <w:szCs w:val="24"/>
        </w:rPr>
        <w:t>independent advisory body designed to provide recommendations to the Government and industry to strengthen Australia’s collective cyber resilience.</w:t>
      </w:r>
    </w:p>
    <w:p w14:paraId="77E6E079" w14:textId="77777777" w:rsidR="00B429E1" w:rsidRPr="003C38DE" w:rsidRDefault="00B429E1" w:rsidP="00B429E1">
      <w:pPr>
        <w:spacing w:before="120" w:after="120" w:line="240" w:lineRule="auto"/>
        <w:rPr>
          <w:rFonts w:ascii="Times New Roman" w:hAnsi="Times New Roman"/>
          <w:sz w:val="24"/>
          <w:szCs w:val="24"/>
        </w:rPr>
      </w:pPr>
    </w:p>
    <w:p w14:paraId="6F3E8CA6" w14:textId="77777777"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 xml:space="preserve">Subsections 64(1) and 66(1) of the Act provide that the Minister may appoint a person as the chair or as a standing member by a written instrument. Similarly, section 14 of the Disallowable Legislative Instrument provides that the Minister may appoint a person to act as a standing member by a written instrument. This means that CIRB members’ personal information such as their names may be published on the Federal Register of Legislation. This limitation on the right to privacy is not arbitrary given the public nature of the CIRB’s business. Moreover, appointment to the CIRB is voluntary and the publishing of such personal information would only be done with the agreement and consent of the person. </w:t>
      </w:r>
    </w:p>
    <w:p w14:paraId="4DA69E89" w14:textId="77777777" w:rsidR="00B429E1" w:rsidRPr="003C38DE" w:rsidRDefault="00B429E1" w:rsidP="00B429E1">
      <w:pPr>
        <w:spacing w:before="120" w:after="120" w:line="240" w:lineRule="auto"/>
        <w:rPr>
          <w:rFonts w:ascii="Times New Roman" w:hAnsi="Times New Roman"/>
          <w:sz w:val="24"/>
          <w:szCs w:val="24"/>
        </w:rPr>
      </w:pPr>
    </w:p>
    <w:p w14:paraId="0C1CCCB5" w14:textId="77777777" w:rsidR="00B429E1" w:rsidRPr="003C38DE" w:rsidDel="00E601E4" w:rsidRDefault="00B429E1" w:rsidP="00B429E1">
      <w:pPr>
        <w:spacing w:before="120" w:after="120" w:line="240" w:lineRule="auto"/>
        <w:rPr>
          <w:rFonts w:ascii="Times New Roman" w:hAnsi="Times New Roman"/>
          <w:sz w:val="24"/>
          <w:szCs w:val="24"/>
        </w:rPr>
      </w:pPr>
      <w:r w:rsidRPr="003C38DE" w:rsidDel="00E601E4">
        <w:rPr>
          <w:rFonts w:ascii="Times New Roman" w:hAnsi="Times New Roman"/>
          <w:sz w:val="24"/>
          <w:szCs w:val="24"/>
          <w:lang w:val="en-US"/>
        </w:rPr>
        <w:t xml:space="preserve">The </w:t>
      </w:r>
      <w:r w:rsidRPr="003C38DE">
        <w:rPr>
          <w:rFonts w:ascii="Times New Roman" w:hAnsi="Times New Roman"/>
          <w:sz w:val="24"/>
          <w:szCs w:val="24"/>
          <w:lang w:val="en-US"/>
        </w:rPr>
        <w:t>Disallowable Legislative Instrument</w:t>
      </w:r>
      <w:r w:rsidRPr="003C38DE" w:rsidDel="00E601E4">
        <w:rPr>
          <w:rFonts w:ascii="Times New Roman" w:hAnsi="Times New Roman"/>
          <w:sz w:val="24"/>
          <w:szCs w:val="24"/>
          <w:lang w:val="en-US"/>
        </w:rPr>
        <w:t xml:space="preserve"> establish</w:t>
      </w:r>
      <w:r w:rsidRPr="003C38DE">
        <w:rPr>
          <w:rFonts w:ascii="Times New Roman" w:hAnsi="Times New Roman"/>
          <w:sz w:val="24"/>
          <w:szCs w:val="24"/>
          <w:lang w:val="en-US"/>
        </w:rPr>
        <w:t>es</w:t>
      </w:r>
      <w:r w:rsidRPr="003C38DE" w:rsidDel="00E601E4">
        <w:rPr>
          <w:rFonts w:ascii="Times New Roman" w:hAnsi="Times New Roman"/>
          <w:sz w:val="24"/>
          <w:szCs w:val="24"/>
          <w:lang w:val="en-US"/>
        </w:rPr>
        <w:t xml:space="preserve"> the minimum necessary governance standards </w:t>
      </w:r>
      <w:r w:rsidRPr="003C38DE">
        <w:rPr>
          <w:rFonts w:ascii="Times New Roman" w:hAnsi="Times New Roman"/>
          <w:sz w:val="24"/>
          <w:szCs w:val="24"/>
          <w:lang w:val="en-US"/>
        </w:rPr>
        <w:t xml:space="preserve">for </w:t>
      </w:r>
      <w:r w:rsidRPr="003C38DE" w:rsidDel="00E601E4">
        <w:rPr>
          <w:rFonts w:ascii="Times New Roman" w:hAnsi="Times New Roman"/>
          <w:sz w:val="24"/>
          <w:szCs w:val="24"/>
          <w:lang w:val="en-US"/>
        </w:rPr>
        <w:t xml:space="preserve">oversight </w:t>
      </w:r>
      <w:r w:rsidRPr="003C38DE">
        <w:rPr>
          <w:rFonts w:ascii="Times New Roman" w:hAnsi="Times New Roman"/>
          <w:sz w:val="24"/>
          <w:szCs w:val="24"/>
          <w:lang w:val="en-US"/>
        </w:rPr>
        <w:t>of</w:t>
      </w:r>
      <w:r w:rsidRPr="003C38DE" w:rsidDel="00E601E4">
        <w:rPr>
          <w:rFonts w:ascii="Times New Roman" w:hAnsi="Times New Roman"/>
          <w:sz w:val="24"/>
          <w:szCs w:val="24"/>
          <w:lang w:val="en-US"/>
        </w:rPr>
        <w:t xml:space="preserve"> the actions of the </w:t>
      </w:r>
      <w:r w:rsidRPr="003C38DE">
        <w:rPr>
          <w:rFonts w:ascii="Times New Roman" w:hAnsi="Times New Roman"/>
          <w:sz w:val="24"/>
          <w:szCs w:val="24"/>
          <w:lang w:val="en-US"/>
        </w:rPr>
        <w:t>CIRB and Expert Panel</w:t>
      </w:r>
      <w:r w:rsidRPr="003C38DE" w:rsidDel="00E601E4">
        <w:rPr>
          <w:rFonts w:ascii="Times New Roman" w:hAnsi="Times New Roman"/>
          <w:sz w:val="24"/>
          <w:szCs w:val="24"/>
          <w:lang w:val="en-US"/>
        </w:rPr>
        <w:t xml:space="preserve">, which </w:t>
      </w:r>
      <w:r w:rsidRPr="003C38DE">
        <w:rPr>
          <w:rFonts w:ascii="Times New Roman" w:hAnsi="Times New Roman"/>
          <w:sz w:val="24"/>
          <w:szCs w:val="24"/>
          <w:lang w:val="en-US"/>
        </w:rPr>
        <w:t>are reasonable, necessary and proportionate</w:t>
      </w:r>
      <w:r w:rsidRPr="003C38DE" w:rsidDel="00E601E4">
        <w:rPr>
          <w:rFonts w:ascii="Times New Roman" w:hAnsi="Times New Roman"/>
          <w:sz w:val="24"/>
          <w:szCs w:val="24"/>
          <w:lang w:val="en-US"/>
        </w:rPr>
        <w:t xml:space="preserve"> </w:t>
      </w:r>
      <w:r w:rsidRPr="003C38DE">
        <w:rPr>
          <w:rFonts w:ascii="Times New Roman" w:hAnsi="Times New Roman"/>
          <w:sz w:val="24"/>
          <w:szCs w:val="24"/>
          <w:lang w:val="en-US"/>
        </w:rPr>
        <w:t>to achieving the legitimate objective of providing a transparent and independent advisory body as part of the Government’s strategy to mitigate the recurrence of cyber security incidents and strengthen Australia’s cyber resilience.</w:t>
      </w:r>
    </w:p>
    <w:p w14:paraId="47E5F48D" w14:textId="77777777" w:rsidR="00B429E1" w:rsidRPr="003C38DE" w:rsidRDefault="00B429E1" w:rsidP="00B429E1">
      <w:pPr>
        <w:spacing w:before="120" w:after="120" w:line="240" w:lineRule="auto"/>
        <w:rPr>
          <w:rFonts w:ascii="Times New Roman" w:hAnsi="Times New Roman"/>
          <w:sz w:val="24"/>
          <w:szCs w:val="24"/>
        </w:rPr>
      </w:pPr>
    </w:p>
    <w:p w14:paraId="5BE392EC" w14:textId="77777777" w:rsidR="00B429E1" w:rsidRPr="003C38DE" w:rsidRDefault="00B429E1" w:rsidP="00B429E1">
      <w:pPr>
        <w:pStyle w:val="Heading3"/>
      </w:pPr>
      <w:r w:rsidRPr="003C38DE">
        <w:lastRenderedPageBreak/>
        <w:t>Conclusion</w:t>
      </w:r>
    </w:p>
    <w:p w14:paraId="44884F6F" w14:textId="77777777" w:rsidR="00B429E1" w:rsidRPr="003C38DE" w:rsidRDefault="00B429E1" w:rsidP="00B429E1">
      <w:pPr>
        <w:spacing w:before="120" w:after="120" w:line="240" w:lineRule="auto"/>
        <w:rPr>
          <w:rFonts w:ascii="Times New Roman" w:hAnsi="Times New Roman"/>
          <w:sz w:val="24"/>
          <w:szCs w:val="24"/>
        </w:rPr>
      </w:pPr>
      <w:r w:rsidRPr="003C38DE">
        <w:rPr>
          <w:rFonts w:ascii="Times New Roman" w:hAnsi="Times New Roman"/>
          <w:sz w:val="24"/>
          <w:szCs w:val="24"/>
        </w:rPr>
        <w:t xml:space="preserve">This Disallowable Legislative Instrument is compatible with human rights because to the extent it may limit human rights, those limitations are reasonable, necessary and proportionate. </w:t>
      </w:r>
    </w:p>
    <w:p w14:paraId="3C5C3E26" w14:textId="77777777" w:rsidR="00B429E1" w:rsidRPr="003C38DE" w:rsidRDefault="00B429E1" w:rsidP="00B429E1">
      <w:pPr>
        <w:spacing w:before="120" w:after="120" w:line="240" w:lineRule="auto"/>
        <w:rPr>
          <w:rFonts w:ascii="Times New Roman" w:hAnsi="Times New Roman"/>
          <w:sz w:val="24"/>
          <w:szCs w:val="24"/>
        </w:rPr>
      </w:pPr>
    </w:p>
    <w:p w14:paraId="39C91611" w14:textId="77777777" w:rsidR="00B429E1" w:rsidRPr="003C38DE" w:rsidRDefault="00B429E1" w:rsidP="00B429E1">
      <w:pPr>
        <w:pStyle w:val="paragraph"/>
        <w:spacing w:before="0" w:beforeAutospacing="0" w:after="0" w:afterAutospacing="0"/>
        <w:jc w:val="center"/>
        <w:textAlignment w:val="baseline"/>
        <w:rPr>
          <w:rFonts w:ascii="Segoe UI" w:hAnsi="Segoe UI" w:cs="Segoe UI"/>
        </w:rPr>
      </w:pPr>
      <w:r w:rsidRPr="003C38DE">
        <w:rPr>
          <w:rStyle w:val="normaltextrun"/>
          <w:b/>
          <w:bCs/>
        </w:rPr>
        <w:t>The Honourable Tony Burke MP</w:t>
      </w:r>
      <w:r w:rsidRPr="003C38DE">
        <w:rPr>
          <w:rStyle w:val="eop"/>
          <w:rFonts w:eastAsia="Calibri"/>
        </w:rPr>
        <w:t> </w:t>
      </w:r>
    </w:p>
    <w:p w14:paraId="1678F7CA" w14:textId="401A4ECB" w:rsidR="00B429E1" w:rsidRPr="003C38DE" w:rsidRDefault="00B429E1" w:rsidP="005E0B6C">
      <w:pPr>
        <w:pStyle w:val="paragraph"/>
        <w:spacing w:before="0" w:beforeAutospacing="0" w:after="0" w:afterAutospacing="0"/>
        <w:jc w:val="center"/>
        <w:textAlignment w:val="baseline"/>
        <w:rPr>
          <w:rFonts w:ascii="Segoe UI" w:hAnsi="Segoe UI" w:cs="Segoe UI"/>
        </w:rPr>
      </w:pPr>
      <w:r w:rsidRPr="003C38DE">
        <w:rPr>
          <w:rStyle w:val="normaltextrun"/>
          <w:b/>
          <w:bCs/>
        </w:rPr>
        <w:t>Minister for Home Affairs and Minister for Cyber Security</w:t>
      </w:r>
      <w:r w:rsidRPr="003C38DE">
        <w:rPr>
          <w:rStyle w:val="eop"/>
          <w:rFonts w:eastAsia="Calibri"/>
        </w:rPr>
        <w:t> </w:t>
      </w:r>
    </w:p>
    <w:p w14:paraId="39E6D9E0" w14:textId="7A9A27E9" w:rsidR="00BF3D19" w:rsidRPr="003C38DE" w:rsidRDefault="00BF3D19" w:rsidP="00360638">
      <w:pPr>
        <w:pStyle w:val="ESPara"/>
        <w:numPr>
          <w:ilvl w:val="0"/>
          <w:numId w:val="0"/>
        </w:numPr>
        <w:ind w:left="360"/>
        <w:rPr>
          <w:sz w:val="24"/>
          <w:szCs w:val="24"/>
        </w:rPr>
      </w:pPr>
    </w:p>
    <w:sectPr w:rsidR="00BF3D19" w:rsidRPr="003C38DE" w:rsidSect="004F5CE4">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276" w:left="108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3A49215D" w16cid:durableId="1F012EFB"/>
  <w16cid:commentId w16cid:paraId="7AC1BE9A" w16cid:durableId="6E1AF4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9D9B" w14:textId="77777777" w:rsidR="00F14B95" w:rsidRDefault="00F14B95" w:rsidP="008C76E5">
      <w:pPr>
        <w:spacing w:after="0" w:line="240" w:lineRule="auto"/>
      </w:pPr>
      <w:r>
        <w:separator/>
      </w:r>
    </w:p>
  </w:endnote>
  <w:endnote w:type="continuationSeparator" w:id="0">
    <w:p w14:paraId="1205567D" w14:textId="77777777" w:rsidR="00F14B95" w:rsidRDefault="00F14B95" w:rsidP="008C7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5B868" w14:textId="2C391F51" w:rsidR="00F14B95" w:rsidRDefault="00F14B95">
    <w:pPr>
      <w:pStyle w:val="Footer"/>
    </w:pPr>
    <w:r>
      <w:rPr>
        <w:noProof/>
        <w:lang w:eastAsia="en-AU"/>
      </w:rPr>
      <mc:AlternateContent>
        <mc:Choice Requires="wps">
          <w:drawing>
            <wp:anchor distT="0" distB="0" distL="0" distR="0" simplePos="0" relativeHeight="251662336" behindDoc="0" locked="0" layoutInCell="1" allowOverlap="1" wp14:anchorId="26733D32" wp14:editId="2DFF67AE">
              <wp:simplePos x="635" y="635"/>
              <wp:positionH relativeFrom="page">
                <wp:align>center</wp:align>
              </wp:positionH>
              <wp:positionV relativeFrom="page">
                <wp:align>bottom</wp:align>
              </wp:positionV>
              <wp:extent cx="2209800" cy="390525"/>
              <wp:effectExtent l="0" t="0" r="0" b="0"/>
              <wp:wrapNone/>
              <wp:docPr id="407925597" name="Text Box 5"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9800" cy="390525"/>
                      </a:xfrm>
                      <a:prstGeom prst="rect">
                        <a:avLst/>
                      </a:prstGeom>
                      <a:noFill/>
                      <a:ln>
                        <a:noFill/>
                      </a:ln>
                    </wps:spPr>
                    <wps:txbx>
                      <w:txbxContent>
                        <w:p w14:paraId="4175C49D" w14:textId="5E04A415"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733D32" id="_x0000_t202" coordsize="21600,21600" o:spt="202" path="m,l,21600r21600,l21600,xe">
              <v:stroke joinstyle="miter"/>
              <v:path gradientshapeok="t" o:connecttype="rect"/>
            </v:shapetype>
            <v:shape id="Text Box 5" o:spid="_x0000_s1028" type="#_x0000_t202" alt="OFFICIAL: Sensitive//Legal-Privilege" style="position:absolute;margin-left:0;margin-top:0;width:174pt;height:30.7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" filled="f" stroked="f">
              <v:textbox style="mso-fit-shape-to-text:t" inset="0,0,0,15pt">
                <w:txbxContent>
                  <w:p w14:paraId="4175C49D" w14:textId="5E04A415"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575382"/>
      <w:docPartObj>
        <w:docPartGallery w:val="Page Numbers (Bottom of Page)"/>
        <w:docPartUnique/>
      </w:docPartObj>
    </w:sdtPr>
    <w:sdtEndPr>
      <w:rPr>
        <w:rFonts w:ascii="Times New Roman" w:hAnsi="Times New Roman" w:cs="Times New Roman"/>
        <w:noProof/>
      </w:rPr>
    </w:sdtEndPr>
    <w:sdtContent>
      <w:p w14:paraId="3666E5C6" w14:textId="590A39EA" w:rsidR="00BF3D19" w:rsidRPr="00BF3D19" w:rsidRDefault="00BF3D19">
        <w:pPr>
          <w:pStyle w:val="Footer"/>
          <w:jc w:val="center"/>
          <w:rPr>
            <w:rFonts w:ascii="Times New Roman" w:hAnsi="Times New Roman" w:cs="Times New Roman"/>
          </w:rPr>
        </w:pPr>
        <w:r w:rsidRPr="00BF3D19">
          <w:rPr>
            <w:rFonts w:ascii="Times New Roman" w:hAnsi="Times New Roman" w:cs="Times New Roman"/>
          </w:rPr>
          <w:fldChar w:fldCharType="begin"/>
        </w:r>
        <w:r w:rsidRPr="00BF3D19">
          <w:rPr>
            <w:rFonts w:ascii="Times New Roman" w:hAnsi="Times New Roman" w:cs="Times New Roman"/>
          </w:rPr>
          <w:instrText xml:space="preserve"> PAGE   \* MERGEFORMAT </w:instrText>
        </w:r>
        <w:r w:rsidRPr="00BF3D19">
          <w:rPr>
            <w:rFonts w:ascii="Times New Roman" w:hAnsi="Times New Roman" w:cs="Times New Roman"/>
          </w:rPr>
          <w:fldChar w:fldCharType="separate"/>
        </w:r>
        <w:r w:rsidR="003C38DE">
          <w:rPr>
            <w:rFonts w:ascii="Times New Roman" w:hAnsi="Times New Roman" w:cs="Times New Roman"/>
            <w:noProof/>
          </w:rPr>
          <w:t>23</w:t>
        </w:r>
        <w:r w:rsidRPr="00BF3D19">
          <w:rPr>
            <w:rFonts w:ascii="Times New Roman" w:hAnsi="Times New Roman" w:cs="Times New Roman"/>
            <w:noProof/>
          </w:rPr>
          <w:fldChar w:fldCharType="end"/>
        </w:r>
      </w:p>
    </w:sdtContent>
  </w:sdt>
  <w:p w14:paraId="567E82F2" w14:textId="61E8ADF8" w:rsidR="00F14B95" w:rsidRDefault="00F14B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B0D34" w14:textId="1307DF83" w:rsidR="00F14B95" w:rsidRDefault="00F14B95">
    <w:pPr>
      <w:pStyle w:val="Footer"/>
    </w:pPr>
    <w:r>
      <w:rPr>
        <w:noProof/>
        <w:lang w:eastAsia="en-AU"/>
      </w:rPr>
      <mc:AlternateContent>
        <mc:Choice Requires="wps">
          <w:drawing>
            <wp:anchor distT="0" distB="0" distL="0" distR="0" simplePos="0" relativeHeight="251661312" behindDoc="0" locked="0" layoutInCell="1" allowOverlap="1" wp14:anchorId="30166E19" wp14:editId="678A6FD3">
              <wp:simplePos x="635" y="635"/>
              <wp:positionH relativeFrom="page">
                <wp:align>center</wp:align>
              </wp:positionH>
              <wp:positionV relativeFrom="page">
                <wp:align>bottom</wp:align>
              </wp:positionV>
              <wp:extent cx="2209800" cy="390525"/>
              <wp:effectExtent l="0" t="0" r="0" b="0"/>
              <wp:wrapNone/>
              <wp:docPr id="1531830320" name="Text Box 4"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209800" cy="390525"/>
                      </a:xfrm>
                      <a:prstGeom prst="rect">
                        <a:avLst/>
                      </a:prstGeom>
                      <a:noFill/>
                      <a:ln>
                        <a:noFill/>
                      </a:ln>
                    </wps:spPr>
                    <wps:txbx>
                      <w:txbxContent>
                        <w:p w14:paraId="6711578B" w14:textId="1F586210"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166E19" id="_x0000_t202" coordsize="21600,21600" o:spt="202" path="m,l,21600r21600,l21600,xe">
              <v:stroke joinstyle="miter"/>
              <v:path gradientshapeok="t" o:connecttype="rect"/>
            </v:shapetype>
            <v:shape id="Text Box 4" o:spid="_x0000_s1030" type="#_x0000_t202" alt="OFFICIAL: Sensitive//Legal-Privilege" style="position:absolute;margin-left:0;margin-top:0;width:174pt;height:30.7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" filled="f" stroked="f">
              <v:textbox style="mso-fit-shape-to-text:t" inset="0,0,0,15pt">
                <w:txbxContent>
                  <w:p w14:paraId="6711578B" w14:textId="1F586210"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E37E90" w14:textId="77777777" w:rsidR="00F14B95" w:rsidRDefault="00F14B95" w:rsidP="008C76E5">
      <w:pPr>
        <w:spacing w:after="0" w:line="240" w:lineRule="auto"/>
      </w:pPr>
      <w:r>
        <w:separator/>
      </w:r>
    </w:p>
  </w:footnote>
  <w:footnote w:type="continuationSeparator" w:id="0">
    <w:p w14:paraId="59F902E8" w14:textId="77777777" w:rsidR="00F14B95" w:rsidRDefault="00F14B95" w:rsidP="008C76E5">
      <w:pPr>
        <w:spacing w:after="0" w:line="240" w:lineRule="auto"/>
      </w:pPr>
      <w:r>
        <w:continuationSeparator/>
      </w:r>
    </w:p>
  </w:footnote>
  <w:footnote w:id="1">
    <w:p w14:paraId="39C6BC40" w14:textId="77777777" w:rsidR="00B429E1" w:rsidRDefault="00B429E1" w:rsidP="00B429E1">
      <w:pPr>
        <w:pStyle w:val="FootnoteText"/>
      </w:pPr>
      <w:r>
        <w:rPr>
          <w:rStyle w:val="FootnoteReference"/>
        </w:rPr>
        <w:footnoteRef/>
      </w:r>
      <w:r>
        <w:t xml:space="preserve"> </w:t>
      </w:r>
      <w:r>
        <w:rPr>
          <w:rFonts w:ascii="Calibri" w:eastAsia="Calibri" w:hAnsi="Calibri" w:cs="Calibri"/>
          <w:i/>
          <w:iCs/>
        </w:rPr>
        <w:t>Toonen v Australia</w:t>
      </w:r>
      <w:r>
        <w:rPr>
          <w:rFonts w:ascii="Calibri" w:eastAsia="Calibri" w:hAnsi="Calibri" w:cs="Calibri"/>
        </w:rPr>
        <w:t>, Communication No. 488/1992, para. 8.3; see also communications Nos. 903/1999, para 7.3, and 1482/2006, paras. 10.1 and 10.2.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7CDBB" w14:textId="60F1687C" w:rsidR="00F14B95" w:rsidRDefault="00F14B95">
    <w:pPr>
      <w:pStyle w:val="Header"/>
    </w:pPr>
    <w:r>
      <w:rPr>
        <w:noProof/>
        <w:lang w:eastAsia="en-AU"/>
      </w:rPr>
      <mc:AlternateContent>
        <mc:Choice Requires="wps">
          <w:drawing>
            <wp:anchor distT="0" distB="0" distL="0" distR="0" simplePos="0" relativeHeight="251659264" behindDoc="0" locked="0" layoutInCell="1" allowOverlap="1" wp14:anchorId="2842463F" wp14:editId="2E250CFB">
              <wp:simplePos x="635" y="635"/>
              <wp:positionH relativeFrom="page">
                <wp:align>center</wp:align>
              </wp:positionH>
              <wp:positionV relativeFrom="page">
                <wp:align>top</wp:align>
              </wp:positionV>
              <wp:extent cx="2209800" cy="390525"/>
              <wp:effectExtent l="0" t="0" r="0" b="9525"/>
              <wp:wrapNone/>
              <wp:docPr id="1465368243" name="Text Box 2"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09800" cy="390525"/>
                      </a:xfrm>
                      <a:prstGeom prst="rect">
                        <a:avLst/>
                      </a:prstGeom>
                      <a:noFill/>
                      <a:ln>
                        <a:noFill/>
                      </a:ln>
                    </wps:spPr>
                    <wps:txbx>
                      <w:txbxContent>
                        <w:p w14:paraId="5F8EDF99" w14:textId="0724E9AC"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42463F" id="_x0000_t202" coordsize="21600,21600" o:spt="202" path="m,l,21600r21600,l21600,xe">
              <v:stroke joinstyle="miter"/>
              <v:path gradientshapeok="t" o:connecttype="rect"/>
            </v:shapetype>
            <v:shape id="Text Box 2" o:spid="_x0000_s1026" type="#_x0000_t202" alt="OFFICIAL: Sensitive//Legal-Privilege" style="position:absolute;margin-left:0;margin-top:0;width:174pt;height:30.7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" filled="f" stroked="f">
              <v:textbox style="mso-fit-shape-to-text:t" inset="0,15pt,0,0">
                <w:txbxContent>
                  <w:p w14:paraId="5F8EDF99" w14:textId="0724E9AC"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DCB97" w14:textId="7AC7F575" w:rsidR="00F14B95" w:rsidRDefault="00F14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C4195" w14:textId="5A916D9E" w:rsidR="00F14B95" w:rsidRDefault="00F14B95">
    <w:pPr>
      <w:pStyle w:val="Header"/>
    </w:pPr>
    <w:r>
      <w:rPr>
        <w:noProof/>
        <w:lang w:eastAsia="en-AU"/>
      </w:rPr>
      <mc:AlternateContent>
        <mc:Choice Requires="wps">
          <w:drawing>
            <wp:anchor distT="0" distB="0" distL="0" distR="0" simplePos="0" relativeHeight="251658240" behindDoc="0" locked="0" layoutInCell="1" allowOverlap="1" wp14:anchorId="18271E38" wp14:editId="38EE8B01">
              <wp:simplePos x="635" y="635"/>
              <wp:positionH relativeFrom="page">
                <wp:align>center</wp:align>
              </wp:positionH>
              <wp:positionV relativeFrom="page">
                <wp:align>top</wp:align>
              </wp:positionV>
              <wp:extent cx="2209800" cy="390525"/>
              <wp:effectExtent l="0" t="0" r="0" b="9525"/>
              <wp:wrapNone/>
              <wp:docPr id="1372412961" name="Text Box 1" descr="OFFICIAL: Sensitive//Legal-Privilege">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209800" cy="390525"/>
                      </a:xfrm>
                      <a:prstGeom prst="rect">
                        <a:avLst/>
                      </a:prstGeom>
                      <a:noFill/>
                      <a:ln>
                        <a:noFill/>
                      </a:ln>
                    </wps:spPr>
                    <wps:txbx>
                      <w:txbxContent>
                        <w:p w14:paraId="755B0F50" w14:textId="41677489"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271E38" id="_x0000_t202" coordsize="21600,21600" o:spt="202" path="m,l,21600r21600,l21600,xe">
              <v:stroke joinstyle="miter"/>
              <v:path gradientshapeok="t" o:connecttype="rect"/>
            </v:shapetype>
            <v:shape id="Text Box 1" o:spid="_x0000_s1029" type="#_x0000_t202" alt="OFFICIAL: Sensitive//Legal-Privilege" style="position:absolute;margin-left:0;margin-top:0;width:174pt;height:30.7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" filled="f" stroked="f">
              <v:textbox style="mso-fit-shape-to-text:t" inset="0,15pt,0,0">
                <w:txbxContent>
                  <w:p w14:paraId="755B0F50" w14:textId="41677489" w:rsidR="00F14B95" w:rsidRPr="008C76E5" w:rsidRDefault="00F14B95" w:rsidP="008C76E5">
                    <w:pPr>
                      <w:spacing w:after="0"/>
                      <w:rPr>
                        <w:rFonts w:ascii="Calibri" w:eastAsia="Calibri" w:hAnsi="Calibri" w:cs="Calibri"/>
                        <w:noProof/>
                        <w:color w:val="FF0000"/>
                        <w:sz w:val="24"/>
                        <w:szCs w:val="24"/>
                      </w:rPr>
                    </w:pPr>
                    <w:r w:rsidRPr="008C76E5">
                      <w:rPr>
                        <w:rFonts w:ascii="Calibri" w:eastAsia="Calibri" w:hAnsi="Calibri" w:cs="Calibri"/>
                        <w:noProof/>
                        <w:color w:val="FF0000"/>
                        <w:sz w:val="24"/>
                        <w:szCs w:val="24"/>
                      </w:rPr>
                      <w:t>OFFICIAL: Sensitive//Legal-Privilege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59C"/>
    <w:multiLevelType w:val="hybridMultilevel"/>
    <w:tmpl w:val="A40ABCF0"/>
    <w:lvl w:ilvl="0" w:tplc="3AA4F30A">
      <w:start w:val="105"/>
      <w:numFmt w:val="bullet"/>
      <w:lvlText w:val="-"/>
      <w:lvlJc w:val="left"/>
      <w:pPr>
        <w:ind w:left="927" w:hanging="360"/>
      </w:pPr>
      <w:rPr>
        <w:rFonts w:ascii="Times New Roman" w:eastAsiaTheme="minorHAnsi" w:hAnsi="Times New Roman" w:cs="Times New Roman" w:hint="default"/>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 w15:restartNumberingAfterBreak="0">
    <w:nsid w:val="16305B59"/>
    <w:multiLevelType w:val="hybridMultilevel"/>
    <w:tmpl w:val="686C9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FD6CCD"/>
    <w:multiLevelType w:val="multilevel"/>
    <w:tmpl w:val="7D98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496B9C"/>
    <w:multiLevelType w:val="hybridMultilevel"/>
    <w:tmpl w:val="0B3A27DA"/>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B67CD"/>
    <w:multiLevelType w:val="hybridMultilevel"/>
    <w:tmpl w:val="FE3866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EBB1F20"/>
    <w:multiLevelType w:val="multilevel"/>
    <w:tmpl w:val="F9582960"/>
    <w:lvl w:ilvl="0">
      <w:start w:val="5"/>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F56BDA"/>
    <w:multiLevelType w:val="multilevel"/>
    <w:tmpl w:val="AB50C6F2"/>
    <w:lvl w:ilvl="0">
      <w:start w:val="1"/>
      <w:numFmt w:val="bullet"/>
      <w:lvlText w:val=""/>
      <w:lvlJc w:val="left"/>
      <w:pPr>
        <w:tabs>
          <w:tab w:val="num" w:pos="1080"/>
        </w:tabs>
        <w:ind w:left="1080" w:hanging="360"/>
      </w:pPr>
      <w:rPr>
        <w:rFonts w:ascii="Symbol" w:hAnsi="Symbol" w:hint="default"/>
        <w:b w:val="0"/>
      </w:rPr>
    </w:lvl>
    <w:lvl w:ilvl="1">
      <w:start w:val="1"/>
      <w:numFmt w:val="bullet"/>
      <w:lvlText w:val=""/>
      <w:lvlJc w:val="left"/>
      <w:pPr>
        <w:tabs>
          <w:tab w:val="num" w:pos="2160"/>
        </w:tabs>
        <w:ind w:left="2160" w:hanging="360"/>
      </w:pPr>
      <w:rPr>
        <w:rFonts w:ascii="Symbol" w:hAnsi="Symbol" w:hint="default"/>
      </w:rPr>
    </w:lvl>
    <w:lvl w:ilvl="2">
      <w:start w:val="1"/>
      <w:numFmt w:val="lowerLetter"/>
      <w:lvlText w:val="(%3)"/>
      <w:lvlJc w:val="left"/>
      <w:pPr>
        <w:ind w:left="2880" w:hanging="36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15:restartNumberingAfterBreak="0">
    <w:nsid w:val="22874B80"/>
    <w:multiLevelType w:val="multilevel"/>
    <w:tmpl w:val="EB84B86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63AED"/>
    <w:multiLevelType w:val="hybridMultilevel"/>
    <w:tmpl w:val="B018257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2FAD2EFF"/>
    <w:multiLevelType w:val="multilevel"/>
    <w:tmpl w:val="3EA80984"/>
    <w:lvl w:ilvl="0">
      <w:start w:val="3"/>
      <w:numFmt w:val="decimal"/>
      <w:lvlText w:val="%1."/>
      <w:lvlJc w:val="left"/>
      <w:pPr>
        <w:tabs>
          <w:tab w:val="num" w:pos="720"/>
        </w:tabs>
        <w:ind w:left="720" w:hanging="360"/>
      </w:pPr>
    </w:lvl>
    <w:lvl w:ilvl="1">
      <w:start w:val="146"/>
      <w:numFmt w:val="bullet"/>
      <w:lvlText w:val="•"/>
      <w:lvlJc w:val="left"/>
      <w:pPr>
        <w:tabs>
          <w:tab w:val="num" w:pos="1440"/>
        </w:tabs>
        <w:ind w:left="1440" w:hanging="360"/>
      </w:pPr>
      <w:rPr>
        <w:rFonts w:ascii="Calibri" w:eastAsiaTheme="minorHAnsi" w:hAnsi="Calibri" w:cs="Times New Roman"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FF0E71"/>
    <w:multiLevelType w:val="multilevel"/>
    <w:tmpl w:val="FB686204"/>
    <w:lvl w:ilvl="0">
      <w:start w:val="5"/>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7A7CB4"/>
    <w:multiLevelType w:val="hybridMultilevel"/>
    <w:tmpl w:val="8FC4F77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4E32622"/>
    <w:multiLevelType w:val="multilevel"/>
    <w:tmpl w:val="67DC03E0"/>
    <w:lvl w:ilvl="0">
      <w:start w:val="146"/>
      <w:numFmt w:val="bullet"/>
      <w:lvlText w:val="•"/>
      <w:lvlJc w:val="left"/>
      <w:pPr>
        <w:tabs>
          <w:tab w:val="num" w:pos="1440"/>
        </w:tabs>
        <w:ind w:left="1440" w:hanging="360"/>
      </w:pPr>
      <w:rPr>
        <w:rFonts w:ascii="Calibri" w:eastAsiaTheme="minorHAnsi" w:hAnsi="Calibri" w:cs="Times New Roman" w:hint="default"/>
        <w:color w:val="auto"/>
      </w:rPr>
    </w:lvl>
    <w:lvl w:ilvl="1">
      <w:start w:val="146"/>
      <w:numFmt w:val="bullet"/>
      <w:lvlText w:val="•"/>
      <w:lvlJc w:val="left"/>
      <w:pPr>
        <w:tabs>
          <w:tab w:val="num" w:pos="2160"/>
        </w:tabs>
        <w:ind w:left="2160" w:hanging="360"/>
      </w:pPr>
      <w:rPr>
        <w:rFonts w:ascii="Calibri" w:eastAsiaTheme="minorHAnsi" w:hAnsi="Calibri" w:cs="Times New Roman" w:hint="default"/>
        <w:color w:val="auto"/>
      </w:rPr>
    </w:lvl>
    <w:lvl w:ilvl="2">
      <w:start w:val="1"/>
      <w:numFmt w:val="lowerRoman"/>
      <w:lvlText w:val="(%3)"/>
      <w:lvlJc w:val="left"/>
      <w:pPr>
        <w:ind w:left="3240" w:hanging="720"/>
      </w:pPr>
      <w:rPr>
        <w:rFonts w:hint="default"/>
      </w:r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3" w15:restartNumberingAfterBreak="0">
    <w:nsid w:val="3AE532A9"/>
    <w:multiLevelType w:val="hybridMultilevel"/>
    <w:tmpl w:val="9522D586"/>
    <w:lvl w:ilvl="0" w:tplc="C80632DA">
      <w:start w:val="1"/>
      <w:numFmt w:val="decimal"/>
      <w:lvlText w:val="%1"/>
      <w:lvlJc w:val="left"/>
      <w:pPr>
        <w:ind w:left="720" w:hanging="360"/>
      </w:pPr>
      <w:rPr>
        <w:rFonts w:hint="default"/>
        <w:b w:val="0"/>
        <w:i w:val="0"/>
      </w:rPr>
    </w:lvl>
    <w:lvl w:ilvl="1" w:tplc="ABC2DF26">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4B9890A8">
      <w:start w:val="3"/>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B40EFD"/>
    <w:multiLevelType w:val="multilevel"/>
    <w:tmpl w:val="3F24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17F681C"/>
    <w:multiLevelType w:val="hybridMultilevel"/>
    <w:tmpl w:val="7C9CF69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BEE242A"/>
    <w:multiLevelType w:val="multilevel"/>
    <w:tmpl w:val="3EA80984"/>
    <w:lvl w:ilvl="0">
      <w:start w:val="3"/>
      <w:numFmt w:val="decimal"/>
      <w:lvlText w:val="%1."/>
      <w:lvlJc w:val="left"/>
      <w:pPr>
        <w:tabs>
          <w:tab w:val="num" w:pos="720"/>
        </w:tabs>
        <w:ind w:left="720" w:hanging="360"/>
      </w:pPr>
    </w:lvl>
    <w:lvl w:ilvl="1">
      <w:start w:val="146"/>
      <w:numFmt w:val="bullet"/>
      <w:lvlText w:val="•"/>
      <w:lvlJc w:val="left"/>
      <w:pPr>
        <w:tabs>
          <w:tab w:val="num" w:pos="1440"/>
        </w:tabs>
        <w:ind w:left="1440" w:hanging="360"/>
      </w:pPr>
      <w:rPr>
        <w:rFonts w:ascii="Calibri" w:eastAsiaTheme="minorHAnsi" w:hAnsi="Calibri" w:cs="Times New Roman"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6502BB"/>
    <w:multiLevelType w:val="hybridMultilevel"/>
    <w:tmpl w:val="62027D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7D97B11"/>
    <w:multiLevelType w:val="multilevel"/>
    <w:tmpl w:val="3E6292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0B72040"/>
    <w:multiLevelType w:val="multilevel"/>
    <w:tmpl w:val="DE621A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75337"/>
    <w:multiLevelType w:val="hybridMultilevel"/>
    <w:tmpl w:val="7BDC31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660B0278"/>
    <w:multiLevelType w:val="multilevel"/>
    <w:tmpl w:val="F9582960"/>
    <w:lvl w:ilvl="0">
      <w:start w:val="5"/>
      <w:numFmt w:val="decimal"/>
      <w:lvlText w:val="%1."/>
      <w:lvlJc w:val="left"/>
      <w:pPr>
        <w:tabs>
          <w:tab w:val="num" w:pos="360"/>
        </w:tabs>
        <w:ind w:left="36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836318"/>
    <w:multiLevelType w:val="multilevel"/>
    <w:tmpl w:val="944831C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3C4F53"/>
    <w:multiLevelType w:val="hybridMultilevel"/>
    <w:tmpl w:val="DBACF120"/>
    <w:lvl w:ilvl="0" w:tplc="3AA4F30A">
      <w:start w:val="105"/>
      <w:numFmt w:val="bullet"/>
      <w:lvlText w:val="-"/>
      <w:lvlJc w:val="left"/>
      <w:pPr>
        <w:ind w:left="927"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3505A5"/>
    <w:multiLevelType w:val="hybridMultilevel"/>
    <w:tmpl w:val="62329F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73027021"/>
    <w:multiLevelType w:val="hybridMultilevel"/>
    <w:tmpl w:val="D6007B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64A4DFB"/>
    <w:multiLevelType w:val="hybridMultilevel"/>
    <w:tmpl w:val="FF144D66"/>
    <w:lvl w:ilvl="0" w:tplc="B92C55F6">
      <w:start w:val="1"/>
      <w:numFmt w:val="decimal"/>
      <w:pStyle w:val="ESPara"/>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7996B66"/>
    <w:multiLevelType w:val="multilevel"/>
    <w:tmpl w:val="FB686204"/>
    <w:lvl w:ilvl="0">
      <w:start w:val="5"/>
      <w:numFmt w:val="decimal"/>
      <w:lvlText w:val="%1."/>
      <w:lvlJc w:val="left"/>
      <w:pPr>
        <w:tabs>
          <w:tab w:val="num" w:pos="720"/>
        </w:tabs>
        <w:ind w:left="720" w:hanging="360"/>
      </w:pPr>
      <w:rPr>
        <w:b w:val="0"/>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0C1992"/>
    <w:multiLevelType w:val="hybridMultilevel"/>
    <w:tmpl w:val="4D82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17"/>
  </w:num>
  <w:num w:numId="4">
    <w:abstractNumId w:val="17"/>
  </w:num>
  <w:num w:numId="5">
    <w:abstractNumId w:val="18"/>
  </w:num>
  <w:num w:numId="6">
    <w:abstractNumId w:val="20"/>
  </w:num>
  <w:num w:numId="7">
    <w:abstractNumId w:val="23"/>
  </w:num>
  <w:num w:numId="8">
    <w:abstractNumId w:val="2"/>
  </w:num>
  <w:num w:numId="9">
    <w:abstractNumId w:val="14"/>
  </w:num>
  <w:num w:numId="10">
    <w:abstractNumId w:val="19"/>
  </w:num>
  <w:num w:numId="11">
    <w:abstractNumId w:val="22"/>
  </w:num>
  <w:num w:numId="12">
    <w:abstractNumId w:val="16"/>
  </w:num>
  <w:num w:numId="13">
    <w:abstractNumId w:val="9"/>
  </w:num>
  <w:num w:numId="14">
    <w:abstractNumId w:val="12"/>
  </w:num>
  <w:num w:numId="15">
    <w:abstractNumId w:val="7"/>
  </w:num>
  <w:num w:numId="16">
    <w:abstractNumId w:val="15"/>
  </w:num>
  <w:num w:numId="17">
    <w:abstractNumId w:val="28"/>
  </w:num>
  <w:num w:numId="18">
    <w:abstractNumId w:val="5"/>
  </w:num>
  <w:num w:numId="19">
    <w:abstractNumId w:val="10"/>
  </w:num>
  <w:num w:numId="20">
    <w:abstractNumId w:val="21"/>
  </w:num>
  <w:num w:numId="21">
    <w:abstractNumId w:val="0"/>
  </w:num>
  <w:num w:numId="22">
    <w:abstractNumId w:val="24"/>
  </w:num>
  <w:num w:numId="23">
    <w:abstractNumId w:val="3"/>
  </w:num>
  <w:num w:numId="24">
    <w:abstractNumId w:val="8"/>
  </w:num>
  <w:num w:numId="25">
    <w:abstractNumId w:val="13"/>
  </w:num>
  <w:num w:numId="26">
    <w:abstractNumId w:val="13"/>
  </w:num>
  <w:num w:numId="27">
    <w:abstractNumId w:val="13"/>
    <w:lvlOverride w:ilvl="0">
      <w:startOverride w:val="1"/>
    </w:lvlOverride>
  </w:num>
  <w:num w:numId="28">
    <w:abstractNumId w:val="26"/>
  </w:num>
  <w:num w:numId="29">
    <w:abstractNumId w:val="6"/>
  </w:num>
  <w:num w:numId="30">
    <w:abstractNumId w:val="25"/>
  </w:num>
  <w:num w:numId="31">
    <w:abstractNumId w:val="4"/>
  </w:num>
  <w:num w:numId="32">
    <w:abstractNumId w:val="11"/>
  </w:num>
  <w:num w:numId="33">
    <w:abstractNumId w:val="13"/>
  </w:num>
  <w:num w:numId="34">
    <w:abstractNumId w:val="17"/>
  </w:num>
  <w:num w:numId="35">
    <w:abstractNumId w:val="17"/>
  </w:num>
  <w:num w:numId="36">
    <w:abstractNumId w:val="17"/>
  </w:num>
  <w:num w:numId="37">
    <w:abstractNumId w:val="17"/>
  </w:num>
  <w:num w:numId="38">
    <w:abstractNumId w:val="17"/>
  </w:num>
  <w:num w:numId="39">
    <w:abstractNumId w:val="13"/>
  </w:num>
  <w:num w:numId="40">
    <w:abstractNumId w:val="27"/>
  </w:num>
  <w:num w:numId="41">
    <w:abstractNumId w:val="27"/>
  </w:num>
  <w:num w:numId="42">
    <w:abstractNumId w:val="27"/>
  </w:num>
  <w:num w:numId="43">
    <w:abstractNumId w:val="27"/>
  </w:num>
  <w:num w:numId="44">
    <w:abstractNumId w:val="27"/>
  </w:num>
  <w:num w:numId="45">
    <w:abstractNumId w:val="1"/>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BE7"/>
    <w:rsid w:val="00020F2D"/>
    <w:rsid w:val="00030DE5"/>
    <w:rsid w:val="000468A2"/>
    <w:rsid w:val="0006150B"/>
    <w:rsid w:val="00063408"/>
    <w:rsid w:val="000744B9"/>
    <w:rsid w:val="000756AF"/>
    <w:rsid w:val="00076563"/>
    <w:rsid w:val="000A2432"/>
    <w:rsid w:val="000B796D"/>
    <w:rsid w:val="000C2292"/>
    <w:rsid w:val="000D014F"/>
    <w:rsid w:val="000D50E7"/>
    <w:rsid w:val="000E227F"/>
    <w:rsid w:val="000E5C3E"/>
    <w:rsid w:val="000F6953"/>
    <w:rsid w:val="000F6D90"/>
    <w:rsid w:val="00100DFC"/>
    <w:rsid w:val="001122FF"/>
    <w:rsid w:val="00116BF3"/>
    <w:rsid w:val="0015591A"/>
    <w:rsid w:val="0015708E"/>
    <w:rsid w:val="0016103A"/>
    <w:rsid w:val="00162AA2"/>
    <w:rsid w:val="00171135"/>
    <w:rsid w:val="00180541"/>
    <w:rsid w:val="00180891"/>
    <w:rsid w:val="00184F72"/>
    <w:rsid w:val="0019164E"/>
    <w:rsid w:val="001A7B71"/>
    <w:rsid w:val="001C00F3"/>
    <w:rsid w:val="001E21A2"/>
    <w:rsid w:val="001E3672"/>
    <w:rsid w:val="001F3909"/>
    <w:rsid w:val="00212962"/>
    <w:rsid w:val="0022075A"/>
    <w:rsid w:val="00226177"/>
    <w:rsid w:val="00226BDB"/>
    <w:rsid w:val="002402E0"/>
    <w:rsid w:val="00240E73"/>
    <w:rsid w:val="00245BC8"/>
    <w:rsid w:val="002544C4"/>
    <w:rsid w:val="00260FE8"/>
    <w:rsid w:val="00273073"/>
    <w:rsid w:val="00280709"/>
    <w:rsid w:val="00284532"/>
    <w:rsid w:val="00287CFD"/>
    <w:rsid w:val="002965C3"/>
    <w:rsid w:val="002A5D1A"/>
    <w:rsid w:val="002B10CC"/>
    <w:rsid w:val="002B20C2"/>
    <w:rsid w:val="002C0278"/>
    <w:rsid w:val="002C6682"/>
    <w:rsid w:val="002D167E"/>
    <w:rsid w:val="002D2596"/>
    <w:rsid w:val="002D27D5"/>
    <w:rsid w:val="002F14F5"/>
    <w:rsid w:val="002F3AE2"/>
    <w:rsid w:val="002F6A1C"/>
    <w:rsid w:val="002F6EA7"/>
    <w:rsid w:val="002F77B4"/>
    <w:rsid w:val="00310028"/>
    <w:rsid w:val="0031311A"/>
    <w:rsid w:val="00325E14"/>
    <w:rsid w:val="003505E7"/>
    <w:rsid w:val="00351A1D"/>
    <w:rsid w:val="00354946"/>
    <w:rsid w:val="00360638"/>
    <w:rsid w:val="0036274F"/>
    <w:rsid w:val="00367E19"/>
    <w:rsid w:val="003737FD"/>
    <w:rsid w:val="00383AF6"/>
    <w:rsid w:val="00383F2C"/>
    <w:rsid w:val="003A3138"/>
    <w:rsid w:val="003C1A75"/>
    <w:rsid w:val="003C38DE"/>
    <w:rsid w:val="003D1F9F"/>
    <w:rsid w:val="003D575A"/>
    <w:rsid w:val="003E1ADF"/>
    <w:rsid w:val="003F7D48"/>
    <w:rsid w:val="00411C26"/>
    <w:rsid w:val="00412E58"/>
    <w:rsid w:val="00430310"/>
    <w:rsid w:val="004336FC"/>
    <w:rsid w:val="00441DCE"/>
    <w:rsid w:val="00444989"/>
    <w:rsid w:val="00457D4A"/>
    <w:rsid w:val="004623E6"/>
    <w:rsid w:val="00464080"/>
    <w:rsid w:val="00474473"/>
    <w:rsid w:val="00492723"/>
    <w:rsid w:val="004A09EB"/>
    <w:rsid w:val="004A0ED1"/>
    <w:rsid w:val="004D206C"/>
    <w:rsid w:val="004D4E8A"/>
    <w:rsid w:val="004E3040"/>
    <w:rsid w:val="004E40CA"/>
    <w:rsid w:val="004E5E39"/>
    <w:rsid w:val="004E63B7"/>
    <w:rsid w:val="004F5B3E"/>
    <w:rsid w:val="004F5CE4"/>
    <w:rsid w:val="00500D58"/>
    <w:rsid w:val="00501D16"/>
    <w:rsid w:val="005077C3"/>
    <w:rsid w:val="005200BE"/>
    <w:rsid w:val="00521BBC"/>
    <w:rsid w:val="00523FA5"/>
    <w:rsid w:val="00530879"/>
    <w:rsid w:val="00531F78"/>
    <w:rsid w:val="00543168"/>
    <w:rsid w:val="00555DE9"/>
    <w:rsid w:val="00560B24"/>
    <w:rsid w:val="00561DE8"/>
    <w:rsid w:val="0057002B"/>
    <w:rsid w:val="0057492C"/>
    <w:rsid w:val="00591FEF"/>
    <w:rsid w:val="00593844"/>
    <w:rsid w:val="00595E92"/>
    <w:rsid w:val="00596FBD"/>
    <w:rsid w:val="005A3733"/>
    <w:rsid w:val="005A7A35"/>
    <w:rsid w:val="005B04BC"/>
    <w:rsid w:val="005B2065"/>
    <w:rsid w:val="005B3635"/>
    <w:rsid w:val="005B7D07"/>
    <w:rsid w:val="005D4664"/>
    <w:rsid w:val="005D662A"/>
    <w:rsid w:val="005E0B6C"/>
    <w:rsid w:val="005E5B4A"/>
    <w:rsid w:val="005F7CD5"/>
    <w:rsid w:val="00604E06"/>
    <w:rsid w:val="00627AD4"/>
    <w:rsid w:val="006345E0"/>
    <w:rsid w:val="00642B7A"/>
    <w:rsid w:val="00644298"/>
    <w:rsid w:val="00653D4E"/>
    <w:rsid w:val="00661624"/>
    <w:rsid w:val="00691030"/>
    <w:rsid w:val="006940C8"/>
    <w:rsid w:val="006A0AEB"/>
    <w:rsid w:val="006D1BA1"/>
    <w:rsid w:val="00706A04"/>
    <w:rsid w:val="007137D3"/>
    <w:rsid w:val="007262AA"/>
    <w:rsid w:val="00726BBE"/>
    <w:rsid w:val="007308EC"/>
    <w:rsid w:val="007509CC"/>
    <w:rsid w:val="00755EC2"/>
    <w:rsid w:val="00762CDE"/>
    <w:rsid w:val="00765CA2"/>
    <w:rsid w:val="00767D81"/>
    <w:rsid w:val="007B159D"/>
    <w:rsid w:val="007D7A71"/>
    <w:rsid w:val="007E2266"/>
    <w:rsid w:val="007E455E"/>
    <w:rsid w:val="007E4691"/>
    <w:rsid w:val="007E50F7"/>
    <w:rsid w:val="007F195D"/>
    <w:rsid w:val="00815EB4"/>
    <w:rsid w:val="00825DAC"/>
    <w:rsid w:val="00826034"/>
    <w:rsid w:val="008348BE"/>
    <w:rsid w:val="008359F1"/>
    <w:rsid w:val="008366F4"/>
    <w:rsid w:val="008367A6"/>
    <w:rsid w:val="00843CA7"/>
    <w:rsid w:val="008440D8"/>
    <w:rsid w:val="008510CD"/>
    <w:rsid w:val="00851E29"/>
    <w:rsid w:val="008538BD"/>
    <w:rsid w:val="00853C7C"/>
    <w:rsid w:val="008569E7"/>
    <w:rsid w:val="00872235"/>
    <w:rsid w:val="008778EB"/>
    <w:rsid w:val="0088407D"/>
    <w:rsid w:val="008B24C8"/>
    <w:rsid w:val="008B4AB4"/>
    <w:rsid w:val="008C76E5"/>
    <w:rsid w:val="008E2DF1"/>
    <w:rsid w:val="008E3BFA"/>
    <w:rsid w:val="0091358D"/>
    <w:rsid w:val="00915032"/>
    <w:rsid w:val="009368FA"/>
    <w:rsid w:val="00937291"/>
    <w:rsid w:val="00943BF3"/>
    <w:rsid w:val="00946A7A"/>
    <w:rsid w:val="00956EB3"/>
    <w:rsid w:val="009636F7"/>
    <w:rsid w:val="00974A1B"/>
    <w:rsid w:val="00981F63"/>
    <w:rsid w:val="00987545"/>
    <w:rsid w:val="00996481"/>
    <w:rsid w:val="009968DF"/>
    <w:rsid w:val="009A5B09"/>
    <w:rsid w:val="009B195E"/>
    <w:rsid w:val="009C0318"/>
    <w:rsid w:val="009C531D"/>
    <w:rsid w:val="009C77FC"/>
    <w:rsid w:val="009D55B1"/>
    <w:rsid w:val="009E4864"/>
    <w:rsid w:val="009E764C"/>
    <w:rsid w:val="009F16BE"/>
    <w:rsid w:val="009F7219"/>
    <w:rsid w:val="009F765E"/>
    <w:rsid w:val="00A01B2A"/>
    <w:rsid w:val="00A07219"/>
    <w:rsid w:val="00A24CEF"/>
    <w:rsid w:val="00A374FC"/>
    <w:rsid w:val="00A510AE"/>
    <w:rsid w:val="00A8245A"/>
    <w:rsid w:val="00A941D3"/>
    <w:rsid w:val="00AA24A6"/>
    <w:rsid w:val="00AA2B4C"/>
    <w:rsid w:val="00AA4557"/>
    <w:rsid w:val="00AA4F77"/>
    <w:rsid w:val="00AB1169"/>
    <w:rsid w:val="00AB572C"/>
    <w:rsid w:val="00AC0A72"/>
    <w:rsid w:val="00AC56DA"/>
    <w:rsid w:val="00AC60DF"/>
    <w:rsid w:val="00AD1A10"/>
    <w:rsid w:val="00AD3D0F"/>
    <w:rsid w:val="00AE3EAD"/>
    <w:rsid w:val="00B17E8A"/>
    <w:rsid w:val="00B206F3"/>
    <w:rsid w:val="00B26AD5"/>
    <w:rsid w:val="00B27B37"/>
    <w:rsid w:val="00B429E1"/>
    <w:rsid w:val="00B445D9"/>
    <w:rsid w:val="00B4565B"/>
    <w:rsid w:val="00B57BF8"/>
    <w:rsid w:val="00B633E4"/>
    <w:rsid w:val="00B65A06"/>
    <w:rsid w:val="00B71299"/>
    <w:rsid w:val="00B75478"/>
    <w:rsid w:val="00B76037"/>
    <w:rsid w:val="00B762E9"/>
    <w:rsid w:val="00B766DA"/>
    <w:rsid w:val="00B773EC"/>
    <w:rsid w:val="00B8426B"/>
    <w:rsid w:val="00B8534E"/>
    <w:rsid w:val="00B93A4B"/>
    <w:rsid w:val="00B95739"/>
    <w:rsid w:val="00BA13D6"/>
    <w:rsid w:val="00BB0A6B"/>
    <w:rsid w:val="00BB0CF2"/>
    <w:rsid w:val="00BB7130"/>
    <w:rsid w:val="00BB7B4E"/>
    <w:rsid w:val="00BD164A"/>
    <w:rsid w:val="00BD598E"/>
    <w:rsid w:val="00BE3351"/>
    <w:rsid w:val="00BE3E7F"/>
    <w:rsid w:val="00BF0E05"/>
    <w:rsid w:val="00BF1A67"/>
    <w:rsid w:val="00BF3D19"/>
    <w:rsid w:val="00C05F5B"/>
    <w:rsid w:val="00C10115"/>
    <w:rsid w:val="00C200FF"/>
    <w:rsid w:val="00C20D41"/>
    <w:rsid w:val="00C24BE7"/>
    <w:rsid w:val="00C24C63"/>
    <w:rsid w:val="00C367A4"/>
    <w:rsid w:val="00C55845"/>
    <w:rsid w:val="00C81A5E"/>
    <w:rsid w:val="00C930F2"/>
    <w:rsid w:val="00CA41C1"/>
    <w:rsid w:val="00CC3D3C"/>
    <w:rsid w:val="00CD5D2B"/>
    <w:rsid w:val="00CD5D6D"/>
    <w:rsid w:val="00CE0CE4"/>
    <w:rsid w:val="00CE6F99"/>
    <w:rsid w:val="00CF13B2"/>
    <w:rsid w:val="00D0074D"/>
    <w:rsid w:val="00D14E45"/>
    <w:rsid w:val="00D2355A"/>
    <w:rsid w:val="00D26C86"/>
    <w:rsid w:val="00D40E1E"/>
    <w:rsid w:val="00D425A7"/>
    <w:rsid w:val="00D47BFC"/>
    <w:rsid w:val="00D560AB"/>
    <w:rsid w:val="00D675AC"/>
    <w:rsid w:val="00D727BD"/>
    <w:rsid w:val="00D7370C"/>
    <w:rsid w:val="00D823A1"/>
    <w:rsid w:val="00D848DE"/>
    <w:rsid w:val="00DA6449"/>
    <w:rsid w:val="00DC6954"/>
    <w:rsid w:val="00DC6E15"/>
    <w:rsid w:val="00DD54CF"/>
    <w:rsid w:val="00E03DCC"/>
    <w:rsid w:val="00E17616"/>
    <w:rsid w:val="00E210B5"/>
    <w:rsid w:val="00E21BD1"/>
    <w:rsid w:val="00E27035"/>
    <w:rsid w:val="00E33836"/>
    <w:rsid w:val="00E3581E"/>
    <w:rsid w:val="00E378F0"/>
    <w:rsid w:val="00E45FE2"/>
    <w:rsid w:val="00E67376"/>
    <w:rsid w:val="00E71E1B"/>
    <w:rsid w:val="00E72CD0"/>
    <w:rsid w:val="00EA12C9"/>
    <w:rsid w:val="00EC60F4"/>
    <w:rsid w:val="00EC7A8F"/>
    <w:rsid w:val="00EE1BD9"/>
    <w:rsid w:val="00F14B95"/>
    <w:rsid w:val="00F20876"/>
    <w:rsid w:val="00F20FB7"/>
    <w:rsid w:val="00F33428"/>
    <w:rsid w:val="00F43C16"/>
    <w:rsid w:val="00F77CED"/>
    <w:rsid w:val="00F8070D"/>
    <w:rsid w:val="00F85190"/>
    <w:rsid w:val="00F944C7"/>
    <w:rsid w:val="00FB1133"/>
    <w:rsid w:val="00FB4D15"/>
    <w:rsid w:val="00FB53CA"/>
    <w:rsid w:val="00FD3BE4"/>
    <w:rsid w:val="00FD5770"/>
    <w:rsid w:val="00FE0C0A"/>
    <w:rsid w:val="00FE0FEE"/>
    <w:rsid w:val="00FE7DB5"/>
    <w:rsid w:val="00FF1D7B"/>
    <w:rsid w:val="02CB5376"/>
    <w:rsid w:val="037593F3"/>
    <w:rsid w:val="04180AEA"/>
    <w:rsid w:val="045A0AB6"/>
    <w:rsid w:val="0464DAA5"/>
    <w:rsid w:val="0740D9A4"/>
    <w:rsid w:val="09DDB53B"/>
    <w:rsid w:val="0AB8C13D"/>
    <w:rsid w:val="0BBFB5FE"/>
    <w:rsid w:val="118B2873"/>
    <w:rsid w:val="128C1FFF"/>
    <w:rsid w:val="15E764FA"/>
    <w:rsid w:val="16475AFE"/>
    <w:rsid w:val="18A49C7F"/>
    <w:rsid w:val="1A613A57"/>
    <w:rsid w:val="1A9877A1"/>
    <w:rsid w:val="1D006159"/>
    <w:rsid w:val="1D42F00F"/>
    <w:rsid w:val="1E21C462"/>
    <w:rsid w:val="220F64EE"/>
    <w:rsid w:val="24E47CCA"/>
    <w:rsid w:val="25F7530B"/>
    <w:rsid w:val="26C4B83A"/>
    <w:rsid w:val="26C73D8D"/>
    <w:rsid w:val="28C59A94"/>
    <w:rsid w:val="29CEC8F1"/>
    <w:rsid w:val="2BCF807F"/>
    <w:rsid w:val="2D2FBC88"/>
    <w:rsid w:val="34FF507F"/>
    <w:rsid w:val="357613B9"/>
    <w:rsid w:val="36BE5A91"/>
    <w:rsid w:val="38C7FFC5"/>
    <w:rsid w:val="3BFB9902"/>
    <w:rsid w:val="3C395F07"/>
    <w:rsid w:val="3CA4AC83"/>
    <w:rsid w:val="3DA9D840"/>
    <w:rsid w:val="4080B8A3"/>
    <w:rsid w:val="49A36F67"/>
    <w:rsid w:val="49D87173"/>
    <w:rsid w:val="4A83401C"/>
    <w:rsid w:val="4E535C51"/>
    <w:rsid w:val="4EE90CF5"/>
    <w:rsid w:val="4F1E87E7"/>
    <w:rsid w:val="5460A717"/>
    <w:rsid w:val="55618968"/>
    <w:rsid w:val="57279539"/>
    <w:rsid w:val="57502B3F"/>
    <w:rsid w:val="57C7766C"/>
    <w:rsid w:val="5826320C"/>
    <w:rsid w:val="59499DA7"/>
    <w:rsid w:val="5D26EAC2"/>
    <w:rsid w:val="5DEBDB8C"/>
    <w:rsid w:val="5E677206"/>
    <w:rsid w:val="5F80AFCF"/>
    <w:rsid w:val="6045A5DB"/>
    <w:rsid w:val="6271AD60"/>
    <w:rsid w:val="6292F5E0"/>
    <w:rsid w:val="65A6F85A"/>
    <w:rsid w:val="65C4D8A2"/>
    <w:rsid w:val="694B4CF2"/>
    <w:rsid w:val="699D27E4"/>
    <w:rsid w:val="69C9E9B2"/>
    <w:rsid w:val="6B0ADC6F"/>
    <w:rsid w:val="6D47E09C"/>
    <w:rsid w:val="6E8B8BF6"/>
    <w:rsid w:val="6F5360E5"/>
    <w:rsid w:val="71B05CAD"/>
    <w:rsid w:val="737F4651"/>
    <w:rsid w:val="74026A12"/>
    <w:rsid w:val="751BA3EE"/>
    <w:rsid w:val="75C07021"/>
    <w:rsid w:val="7647E96C"/>
    <w:rsid w:val="76B681A3"/>
    <w:rsid w:val="782FD334"/>
    <w:rsid w:val="7870A111"/>
    <w:rsid w:val="7945C2BF"/>
    <w:rsid w:val="7C954629"/>
    <w:rsid w:val="7E696AD6"/>
    <w:rsid w:val="7ED4D26A"/>
    <w:rsid w:val="7F149A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0A8FB7A"/>
  <w15:chartTrackingRefBased/>
  <w15:docId w15:val="{9B66F0CB-9B89-4E25-8415-EEFDA1E9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429E1"/>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B429E1"/>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spacing w:before="240" w:after="240" w:line="276" w:lineRule="auto"/>
      <w:ind w:left="0"/>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spacing w:before="240" w:after="240" w:line="276" w:lineRule="auto"/>
      <w:ind w:left="0"/>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numPr>
        <w:numId w:val="40"/>
      </w:numPr>
    </w:pPr>
  </w:style>
  <w:style w:type="character" w:customStyle="1" w:styleId="ESParaChar">
    <w:name w:val="ES_Para Char"/>
    <w:basedOn w:val="ESSubparaHeaderChar"/>
    <w:link w:val="ESPara"/>
    <w:rsid w:val="002D167E"/>
    <w:rPr>
      <w:rFonts w:ascii="Times New Roman" w:hAnsi="Times New Roman" w:cs="Times New Roman"/>
    </w:rPr>
  </w:style>
  <w:style w:type="character" w:customStyle="1" w:styleId="normaltextrun">
    <w:name w:val="normaltextrun"/>
    <w:basedOn w:val="DefaultParagraphFont"/>
    <w:rsid w:val="00DD54CF"/>
  </w:style>
  <w:style w:type="character" w:customStyle="1" w:styleId="eop">
    <w:name w:val="eop"/>
    <w:basedOn w:val="DefaultParagraphFont"/>
    <w:rsid w:val="00DD54CF"/>
  </w:style>
  <w:style w:type="paragraph" w:styleId="Header">
    <w:name w:val="header"/>
    <w:basedOn w:val="Normal"/>
    <w:link w:val="HeaderChar"/>
    <w:uiPriority w:val="99"/>
    <w:unhideWhenUsed/>
    <w:rsid w:val="008C7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6E5"/>
  </w:style>
  <w:style w:type="paragraph" w:styleId="Footer">
    <w:name w:val="footer"/>
    <w:basedOn w:val="Normal"/>
    <w:link w:val="FooterChar"/>
    <w:uiPriority w:val="99"/>
    <w:unhideWhenUsed/>
    <w:rsid w:val="008C7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6E5"/>
  </w:style>
  <w:style w:type="paragraph" w:customStyle="1" w:styleId="Default">
    <w:name w:val="Default"/>
    <w:rsid w:val="0031311A"/>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E5E39"/>
    <w:rPr>
      <w:sz w:val="16"/>
      <w:szCs w:val="16"/>
    </w:rPr>
  </w:style>
  <w:style w:type="paragraph" w:styleId="CommentText">
    <w:name w:val="annotation text"/>
    <w:basedOn w:val="Normal"/>
    <w:link w:val="CommentTextChar"/>
    <w:uiPriority w:val="99"/>
    <w:semiHidden/>
    <w:unhideWhenUsed/>
    <w:rsid w:val="004E5E39"/>
    <w:pPr>
      <w:spacing w:line="240" w:lineRule="auto"/>
    </w:pPr>
    <w:rPr>
      <w:sz w:val="20"/>
      <w:szCs w:val="20"/>
    </w:rPr>
  </w:style>
  <w:style w:type="character" w:customStyle="1" w:styleId="CommentTextChar">
    <w:name w:val="Comment Text Char"/>
    <w:basedOn w:val="DefaultParagraphFont"/>
    <w:link w:val="CommentText"/>
    <w:uiPriority w:val="99"/>
    <w:semiHidden/>
    <w:rsid w:val="004E5E39"/>
    <w:rPr>
      <w:sz w:val="20"/>
      <w:szCs w:val="20"/>
    </w:rPr>
  </w:style>
  <w:style w:type="paragraph" w:styleId="CommentSubject">
    <w:name w:val="annotation subject"/>
    <w:basedOn w:val="CommentText"/>
    <w:next w:val="CommentText"/>
    <w:link w:val="CommentSubjectChar"/>
    <w:uiPriority w:val="99"/>
    <w:semiHidden/>
    <w:unhideWhenUsed/>
    <w:rsid w:val="004E5E39"/>
    <w:rPr>
      <w:b/>
      <w:bCs/>
    </w:rPr>
  </w:style>
  <w:style w:type="character" w:customStyle="1" w:styleId="CommentSubjectChar">
    <w:name w:val="Comment Subject Char"/>
    <w:basedOn w:val="CommentTextChar"/>
    <w:link w:val="CommentSubject"/>
    <w:uiPriority w:val="99"/>
    <w:semiHidden/>
    <w:rsid w:val="004E5E39"/>
    <w:rPr>
      <w:b/>
      <w:bCs/>
      <w:sz w:val="20"/>
      <w:szCs w:val="20"/>
    </w:rPr>
  </w:style>
  <w:style w:type="paragraph" w:styleId="BalloonText">
    <w:name w:val="Balloon Text"/>
    <w:basedOn w:val="Normal"/>
    <w:link w:val="BalloonTextChar"/>
    <w:uiPriority w:val="99"/>
    <w:semiHidden/>
    <w:unhideWhenUsed/>
    <w:rsid w:val="004E5E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E39"/>
    <w:rPr>
      <w:rFonts w:ascii="Segoe UI" w:hAnsi="Segoe UI" w:cs="Segoe UI"/>
      <w:sz w:val="18"/>
      <w:szCs w:val="18"/>
    </w:rPr>
  </w:style>
  <w:style w:type="paragraph" w:styleId="BodyText">
    <w:name w:val="Body Text"/>
    <w:basedOn w:val="Normal"/>
    <w:link w:val="BodyTextChar"/>
    <w:uiPriority w:val="1"/>
    <w:qFormat/>
    <w:rsid w:val="0057492C"/>
    <w:pPr>
      <w:spacing w:before="120" w:after="120" w:line="264" w:lineRule="auto"/>
    </w:pPr>
    <w:rPr>
      <w:rFonts w:eastAsia="Times New Roman" w:cs="Times New Roman"/>
      <w:sz w:val="20"/>
      <w:szCs w:val="24"/>
      <w:lang w:eastAsia="en-AU"/>
    </w:rPr>
  </w:style>
  <w:style w:type="character" w:customStyle="1" w:styleId="BodyTextChar">
    <w:name w:val="Body Text Char"/>
    <w:basedOn w:val="DefaultParagraphFont"/>
    <w:link w:val="BodyText"/>
    <w:uiPriority w:val="1"/>
    <w:rsid w:val="0057492C"/>
    <w:rPr>
      <w:rFonts w:eastAsia="Times New Roman" w:cs="Times New Roman"/>
      <w:sz w:val="20"/>
      <w:szCs w:val="24"/>
      <w:lang w:eastAsia="en-AU"/>
    </w:rPr>
  </w:style>
  <w:style w:type="character" w:customStyle="1" w:styleId="Heading2Char">
    <w:name w:val="Heading 2 Char"/>
    <w:basedOn w:val="DefaultParagraphFont"/>
    <w:link w:val="Heading2"/>
    <w:uiPriority w:val="9"/>
    <w:rsid w:val="00B429E1"/>
    <w:rPr>
      <w:rFonts w:ascii="Times New Roman" w:hAnsi="Times New Roman"/>
      <w:b/>
      <w:sz w:val="28"/>
      <w:szCs w:val="28"/>
    </w:rPr>
  </w:style>
  <w:style w:type="character" w:customStyle="1" w:styleId="Heading3Char">
    <w:name w:val="Heading 3 Char"/>
    <w:basedOn w:val="DefaultParagraphFont"/>
    <w:link w:val="Heading3"/>
    <w:uiPriority w:val="9"/>
    <w:rsid w:val="00B429E1"/>
    <w:rPr>
      <w:rFonts w:ascii="Times New Roman" w:hAnsi="Times New Roman"/>
      <w:b/>
      <w:sz w:val="24"/>
      <w:szCs w:val="24"/>
    </w:rPr>
  </w:style>
  <w:style w:type="paragraph" w:customStyle="1" w:styleId="paragraph">
    <w:name w:val="paragraph"/>
    <w:basedOn w:val="Normal"/>
    <w:rsid w:val="00B429E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B429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9E1"/>
    <w:rPr>
      <w:sz w:val="20"/>
      <w:szCs w:val="20"/>
    </w:rPr>
  </w:style>
  <w:style w:type="character" w:styleId="FootnoteReference">
    <w:name w:val="footnote reference"/>
    <w:basedOn w:val="DefaultParagraphFont"/>
    <w:uiPriority w:val="99"/>
    <w:semiHidden/>
    <w:unhideWhenUsed/>
    <w:rsid w:val="00B429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11860">
      <w:bodyDiv w:val="1"/>
      <w:marLeft w:val="0"/>
      <w:marRight w:val="0"/>
      <w:marTop w:val="0"/>
      <w:marBottom w:val="0"/>
      <w:divBdr>
        <w:top w:val="none" w:sz="0" w:space="0" w:color="auto"/>
        <w:left w:val="none" w:sz="0" w:space="0" w:color="auto"/>
        <w:bottom w:val="none" w:sz="0" w:space="0" w:color="auto"/>
        <w:right w:val="none" w:sz="0" w:space="0" w:color="auto"/>
      </w:divBdr>
      <w:divsChild>
        <w:div w:id="1596592957">
          <w:marLeft w:val="0"/>
          <w:marRight w:val="0"/>
          <w:marTop w:val="0"/>
          <w:marBottom w:val="0"/>
          <w:divBdr>
            <w:top w:val="none" w:sz="0" w:space="0" w:color="auto"/>
            <w:left w:val="none" w:sz="0" w:space="0" w:color="auto"/>
            <w:bottom w:val="none" w:sz="0" w:space="0" w:color="auto"/>
            <w:right w:val="none" w:sz="0" w:space="0" w:color="auto"/>
          </w:divBdr>
        </w:div>
        <w:div w:id="86773977">
          <w:marLeft w:val="0"/>
          <w:marRight w:val="0"/>
          <w:marTop w:val="0"/>
          <w:marBottom w:val="0"/>
          <w:divBdr>
            <w:top w:val="none" w:sz="0" w:space="0" w:color="auto"/>
            <w:left w:val="none" w:sz="0" w:space="0" w:color="auto"/>
            <w:bottom w:val="none" w:sz="0" w:space="0" w:color="auto"/>
            <w:right w:val="none" w:sz="0" w:space="0" w:color="auto"/>
          </w:divBdr>
        </w:div>
        <w:div w:id="92092746">
          <w:marLeft w:val="0"/>
          <w:marRight w:val="0"/>
          <w:marTop w:val="0"/>
          <w:marBottom w:val="0"/>
          <w:divBdr>
            <w:top w:val="none" w:sz="0" w:space="0" w:color="auto"/>
            <w:left w:val="none" w:sz="0" w:space="0" w:color="auto"/>
            <w:bottom w:val="none" w:sz="0" w:space="0" w:color="auto"/>
            <w:right w:val="none" w:sz="0" w:space="0" w:color="auto"/>
          </w:divBdr>
        </w:div>
        <w:div w:id="1352336448">
          <w:marLeft w:val="0"/>
          <w:marRight w:val="0"/>
          <w:marTop w:val="0"/>
          <w:marBottom w:val="0"/>
          <w:divBdr>
            <w:top w:val="none" w:sz="0" w:space="0" w:color="auto"/>
            <w:left w:val="none" w:sz="0" w:space="0" w:color="auto"/>
            <w:bottom w:val="none" w:sz="0" w:space="0" w:color="auto"/>
            <w:right w:val="none" w:sz="0" w:space="0" w:color="auto"/>
          </w:divBdr>
        </w:div>
        <w:div w:id="762993769">
          <w:marLeft w:val="0"/>
          <w:marRight w:val="0"/>
          <w:marTop w:val="0"/>
          <w:marBottom w:val="0"/>
          <w:divBdr>
            <w:top w:val="none" w:sz="0" w:space="0" w:color="auto"/>
            <w:left w:val="none" w:sz="0" w:space="0" w:color="auto"/>
            <w:bottom w:val="none" w:sz="0" w:space="0" w:color="auto"/>
            <w:right w:val="none" w:sz="0" w:space="0" w:color="auto"/>
          </w:divBdr>
        </w:div>
        <w:div w:id="454175012">
          <w:marLeft w:val="0"/>
          <w:marRight w:val="0"/>
          <w:marTop w:val="0"/>
          <w:marBottom w:val="0"/>
          <w:divBdr>
            <w:top w:val="none" w:sz="0" w:space="0" w:color="auto"/>
            <w:left w:val="none" w:sz="0" w:space="0" w:color="auto"/>
            <w:bottom w:val="none" w:sz="0" w:space="0" w:color="auto"/>
            <w:right w:val="none" w:sz="0" w:space="0" w:color="auto"/>
          </w:divBdr>
        </w:div>
        <w:div w:id="1183206135">
          <w:marLeft w:val="0"/>
          <w:marRight w:val="0"/>
          <w:marTop w:val="0"/>
          <w:marBottom w:val="0"/>
          <w:divBdr>
            <w:top w:val="none" w:sz="0" w:space="0" w:color="auto"/>
            <w:left w:val="none" w:sz="0" w:space="0" w:color="auto"/>
            <w:bottom w:val="none" w:sz="0" w:space="0" w:color="auto"/>
            <w:right w:val="none" w:sz="0" w:space="0" w:color="auto"/>
          </w:divBdr>
        </w:div>
        <w:div w:id="1203246369">
          <w:marLeft w:val="0"/>
          <w:marRight w:val="0"/>
          <w:marTop w:val="0"/>
          <w:marBottom w:val="0"/>
          <w:divBdr>
            <w:top w:val="none" w:sz="0" w:space="0" w:color="auto"/>
            <w:left w:val="none" w:sz="0" w:space="0" w:color="auto"/>
            <w:bottom w:val="none" w:sz="0" w:space="0" w:color="auto"/>
            <w:right w:val="none" w:sz="0" w:space="0" w:color="auto"/>
          </w:divBdr>
        </w:div>
        <w:div w:id="1945453466">
          <w:marLeft w:val="0"/>
          <w:marRight w:val="0"/>
          <w:marTop w:val="0"/>
          <w:marBottom w:val="0"/>
          <w:divBdr>
            <w:top w:val="none" w:sz="0" w:space="0" w:color="auto"/>
            <w:left w:val="none" w:sz="0" w:space="0" w:color="auto"/>
            <w:bottom w:val="none" w:sz="0" w:space="0" w:color="auto"/>
            <w:right w:val="none" w:sz="0" w:space="0" w:color="auto"/>
          </w:divBdr>
        </w:div>
        <w:div w:id="1605192739">
          <w:marLeft w:val="0"/>
          <w:marRight w:val="0"/>
          <w:marTop w:val="0"/>
          <w:marBottom w:val="0"/>
          <w:divBdr>
            <w:top w:val="none" w:sz="0" w:space="0" w:color="auto"/>
            <w:left w:val="none" w:sz="0" w:space="0" w:color="auto"/>
            <w:bottom w:val="none" w:sz="0" w:space="0" w:color="auto"/>
            <w:right w:val="none" w:sz="0" w:space="0" w:color="auto"/>
          </w:divBdr>
        </w:div>
      </w:divsChild>
    </w:div>
    <w:div w:id="770397079">
      <w:bodyDiv w:val="1"/>
      <w:marLeft w:val="0"/>
      <w:marRight w:val="0"/>
      <w:marTop w:val="0"/>
      <w:marBottom w:val="0"/>
      <w:divBdr>
        <w:top w:val="none" w:sz="0" w:space="0" w:color="auto"/>
        <w:left w:val="none" w:sz="0" w:space="0" w:color="auto"/>
        <w:bottom w:val="none" w:sz="0" w:space="0" w:color="auto"/>
        <w:right w:val="none" w:sz="0" w:space="0" w:color="auto"/>
      </w:divBdr>
    </w:div>
    <w:div w:id="890119253">
      <w:bodyDiv w:val="1"/>
      <w:marLeft w:val="0"/>
      <w:marRight w:val="0"/>
      <w:marTop w:val="0"/>
      <w:marBottom w:val="0"/>
      <w:divBdr>
        <w:top w:val="none" w:sz="0" w:space="0" w:color="auto"/>
        <w:left w:val="none" w:sz="0" w:space="0" w:color="auto"/>
        <w:bottom w:val="none" w:sz="0" w:space="0" w:color="auto"/>
        <w:right w:val="none" w:sz="0" w:space="0" w:color="auto"/>
      </w:divBdr>
    </w:div>
    <w:div w:id="1214733174">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 w:id="158518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57c062ef6e704906"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F9329FFBAACC04CA5BE6C796194AE18" ma:contentTypeVersion="" ma:contentTypeDescription="PDMS Document Site Content Type" ma:contentTypeScope="" ma:versionID="43a55a2f870692535a4bd7692a9cac04">
  <xsd:schema xmlns:xsd="http://www.w3.org/2001/XMLSchema" xmlns:xs="http://www.w3.org/2001/XMLSchema" xmlns:p="http://schemas.microsoft.com/office/2006/metadata/properties" xmlns:ns2="E8E97509-5905-4E3E-9D0A-CBC495CBFB6C" targetNamespace="http://schemas.microsoft.com/office/2006/metadata/properties" ma:root="true" ma:fieldsID="72acceff26ba70b90449d0a456bbfd7c" ns2:_="">
    <xsd:import namespace="E8E97509-5905-4E3E-9D0A-CBC495CBFB6C"/>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97509-5905-4E3E-9D0A-CBC495CBFB6C"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8E97509-5905-4E3E-9D0A-CBC495CBFB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81B7A-416D-46FA-916D-E785DDD92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97509-5905-4E3E-9D0A-CBC495CB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D3686-6126-40BC-8AEC-9B9814741248}">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8E97509-5905-4E3E-9D0A-CBC495CBFB6C"/>
    <ds:schemaRef ds:uri="http://www.w3.org/XML/1998/namespace"/>
  </ds:schemaRefs>
</ds:datastoreItem>
</file>

<file path=customXml/itemProps3.xml><?xml version="1.0" encoding="utf-8"?>
<ds:datastoreItem xmlns:ds="http://schemas.openxmlformats.org/officeDocument/2006/customXml" ds:itemID="{093716B3-A8AC-49F6-AD23-22CE9A76F798}">
  <ds:schemaRefs>
    <ds:schemaRef ds:uri="http://schemas.microsoft.com/sharepoint/v3/contenttype/forms"/>
  </ds:schemaRefs>
</ds:datastoreItem>
</file>

<file path=customXml/itemProps4.xml><?xml version="1.0" encoding="utf-8"?>
<ds:datastoreItem xmlns:ds="http://schemas.openxmlformats.org/officeDocument/2006/customXml" ds:itemID="{991C4E2D-9F40-4D97-96D2-1CF5E25B0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27</Pages>
  <Words>9570</Words>
  <Characters>54554</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63997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ZHAO</dc:creator>
  <cp:keywords/>
  <dc:description/>
  <cp:lastModifiedBy>KC</cp:lastModifiedBy>
  <cp:revision>26</cp:revision>
  <dcterms:created xsi:type="dcterms:W3CDTF">2025-02-23T22:13:00Z</dcterms:created>
  <dcterms:modified xsi:type="dcterms:W3CDTF">2025-02-24T07:10:00Z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0x010100266966F133664895A6EE3632470D45F500BF9329FFBAACC04CA5BE6C796194AE18</vt:lpwstr>
  </property>
  <property fmtid="{D5CDD505-2E9C-101B-9397-08002B2CF9AE}" pid="3" name="ClassificationContentMarkingHeaderShapeIds">
    <vt:lpwstr>51cd5c21,5757beb3,2e3572bf</vt:lpwstr>
  </property>
  <property fmtid="{D5CDD505-2E9C-101B-9397-08002B2CF9AE}" pid="4" name="ClassificationContentMarkingHeaderFontProps">
    <vt:lpwstr>#ff0000,12,Calibri</vt:lpwstr>
  </property>
  <property fmtid="{D5CDD505-2E9C-101B-9397-08002B2CF9AE}" pid="5" name="ClassificationContentMarkingHeaderText">
    <vt:lpwstr>OFFICIAL: Sensitive//Legal-Privilege</vt:lpwstr>
  </property>
  <property fmtid="{D5CDD505-2E9C-101B-9397-08002B2CF9AE}" pid="6" name="ClassificationContentMarkingFooterShapeIds">
    <vt:lpwstr>5b4de030,1850735d,1797b18d</vt:lpwstr>
  </property>
  <property fmtid="{D5CDD505-2E9C-101B-9397-08002B2CF9AE}" pid="7" name="ClassificationContentMarkingFooterFontProps">
    <vt:lpwstr>#ff0000,12,Calibri</vt:lpwstr>
  </property>
  <property fmtid="{D5CDD505-2E9C-101B-9397-08002B2CF9AE}" pid="8" name="ClassificationContentMarkingFooterText">
    <vt:lpwstr>OFFICIAL: Sensitive//Legal-Privilege</vt:lpwstr>
  </property>
  <property fmtid="{D5CDD505-2E9C-101B-9397-08002B2CF9AE}" pid="9" name="MSIP_Label_4e0d45ce-eb67-402b-a8fa-c20ad1814926_Enabled">
    <vt:lpwstr>true</vt:lpwstr>
  </property>
  <property fmtid="{D5CDD505-2E9C-101B-9397-08002B2CF9AE}" pid="10" name="MSIP_Label_4e0d45ce-eb67-402b-a8fa-c20ad1814926_SetDate">
    <vt:lpwstr>2024-10-18T02:03:57Z</vt:lpwstr>
  </property>
  <property fmtid="{D5CDD505-2E9C-101B-9397-08002B2CF9AE}" pid="11" name="MSIP_Label_4e0d45ce-eb67-402b-a8fa-c20ad1814926_Method">
    <vt:lpwstr>Privileged</vt:lpwstr>
  </property>
  <property fmtid="{D5CDD505-2E9C-101B-9397-08002B2CF9AE}" pid="12" name="MSIP_Label_4e0d45ce-eb67-402b-a8fa-c20ad1814926_Name">
    <vt:lpwstr>OS LP</vt:lpwstr>
  </property>
  <property fmtid="{D5CDD505-2E9C-101B-9397-08002B2CF9AE}" pid="13" name="MSIP_Label_4e0d45ce-eb67-402b-a8fa-c20ad1814926_SiteId">
    <vt:lpwstr>6872c766-c4c7-42a9-a973-8671fad5e15a</vt:lpwstr>
  </property>
  <property fmtid="{D5CDD505-2E9C-101B-9397-08002B2CF9AE}" pid="14" name="MSIP_Label_4e0d45ce-eb67-402b-a8fa-c20ad1814926_ActionId">
    <vt:lpwstr>9e111718-5ae1-4491-ba2b-eb4891bdae39</vt:lpwstr>
  </property>
  <property fmtid="{D5CDD505-2E9C-101B-9397-08002B2CF9AE}" pid="15" name="MSIP_Label_4e0d45ce-eb67-402b-a8fa-c20ad1814926_ContentBits">
    <vt:lpwstr>3</vt:lpwstr>
  </property>
</Properties>
</file>