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8D79C" w14:textId="55BD95D9" w:rsidR="007D3A3E" w:rsidRPr="00956F9E" w:rsidRDefault="00956F9E" w:rsidP="00804350">
      <w:pPr>
        <w:pStyle w:val="Title1"/>
        <w:rPr>
          <w:rFonts w:eastAsia="Calibri"/>
        </w:rPr>
      </w:pPr>
      <w:bookmarkStart w:id="0" w:name="_Hlk190431468"/>
      <w:r w:rsidRPr="00956F9E">
        <w:t xml:space="preserve">Family Law (Superannuation) (Methods </w:t>
      </w:r>
      <w:r>
        <w:t>a</w:t>
      </w:r>
      <w:r w:rsidRPr="00956F9E">
        <w:t>nd Factors for Valuing Particular Superannuation Interests) Approval 2025</w:t>
      </w:r>
    </w:p>
    <w:bookmarkEnd w:id="0"/>
    <w:p w14:paraId="65D44061" w14:textId="7BA6D891" w:rsidR="007D3A3E" w:rsidRPr="00956F9E" w:rsidRDefault="00956F9E" w:rsidP="00804350">
      <w:pPr>
        <w:pStyle w:val="Title1"/>
      </w:pPr>
      <w:r w:rsidRPr="00956F9E">
        <w:t xml:space="preserve">Explanatory statement </w:t>
      </w:r>
      <w:r w:rsidR="007D3A3E" w:rsidRPr="00956F9E">
        <w:br/>
      </w:r>
    </w:p>
    <w:p w14:paraId="1AB6B8BC" w14:textId="0FECB49B" w:rsidR="007D3A3E" w:rsidRPr="009915FB" w:rsidRDefault="007D3A3E" w:rsidP="00804350">
      <w:pPr>
        <w:jc w:val="center"/>
      </w:pPr>
      <w:r w:rsidRPr="009915FB">
        <w:t>Issued by authority of the Attorney-General</w:t>
      </w:r>
    </w:p>
    <w:p w14:paraId="6ED9C28F" w14:textId="1BFD4B07" w:rsidR="007D3A3E" w:rsidRPr="009915FB" w:rsidRDefault="00B56C99" w:rsidP="00804350">
      <w:pPr>
        <w:jc w:val="center"/>
        <w:rPr>
          <w:i/>
        </w:rPr>
      </w:pPr>
      <w:r w:rsidRPr="009915FB">
        <w:t xml:space="preserve">in compliance with section 15J of the </w:t>
      </w:r>
      <w:r w:rsidRPr="009915FB">
        <w:rPr>
          <w:i/>
        </w:rPr>
        <w:t>Legislation Act 2003</w:t>
      </w:r>
    </w:p>
    <w:p w14:paraId="3309E5FB" w14:textId="77777777" w:rsidR="007D3A3E" w:rsidRPr="00956F9E" w:rsidRDefault="007D3A3E" w:rsidP="00804350">
      <w:pPr>
        <w:pStyle w:val="Title2"/>
      </w:pPr>
      <w:r w:rsidRPr="00956F9E">
        <w:t>Purpose and operation of the Instrument</w:t>
      </w:r>
    </w:p>
    <w:p w14:paraId="4C2F7D1B" w14:textId="7B128000" w:rsidR="00D65BCD" w:rsidRDefault="00DE0A34" w:rsidP="00804350">
      <w:bookmarkStart w:id="1" w:name="_Hlk177032410"/>
      <w:bookmarkStart w:id="2" w:name="_Hlk176959735"/>
      <w:r w:rsidRPr="009915FB">
        <w:t>The Family Law (Superannuation) Regulations 2025 (</w:t>
      </w:r>
      <w:r w:rsidR="008017B8">
        <w:t>2025</w:t>
      </w:r>
      <w:r w:rsidRPr="009915FB">
        <w:t xml:space="preserve"> Regulations) give effect to the distribution of superannuation interests under Parts VIIIB and VIIIC of the </w:t>
      </w:r>
      <w:r w:rsidRPr="00DE0A34">
        <w:rPr>
          <w:i/>
        </w:rPr>
        <w:t>Family Law Act 1975</w:t>
      </w:r>
      <w:r>
        <w:t xml:space="preserve"> (Family Law Act). </w:t>
      </w:r>
    </w:p>
    <w:p w14:paraId="6214252B" w14:textId="287D8980" w:rsidR="00DE0A34" w:rsidRPr="009915FB" w:rsidRDefault="00D65BCD" w:rsidP="00804350">
      <w:r w:rsidRPr="009915FB">
        <w:t xml:space="preserve">The </w:t>
      </w:r>
      <w:r w:rsidR="008017B8">
        <w:t>2025</w:t>
      </w:r>
      <w:r w:rsidRPr="009915FB">
        <w:t xml:space="preserve"> Regulations provide ‘default’ methods and factors for </w:t>
      </w:r>
      <w:r>
        <w:t xml:space="preserve">determining </w:t>
      </w:r>
      <w:r w:rsidRPr="009915FB">
        <w:t xml:space="preserve">the gross value of a superannuation interest. Where </w:t>
      </w:r>
      <w:r>
        <w:t>those</w:t>
      </w:r>
      <w:r w:rsidRPr="009915FB">
        <w:t xml:space="preserve"> default methods and factors are not appropriate, s</w:t>
      </w:r>
      <w:r w:rsidR="00DE0A34" w:rsidRPr="009915FB">
        <w:t>ubsections</w:t>
      </w:r>
      <w:r w:rsidR="00CA5B75">
        <w:t> </w:t>
      </w:r>
      <w:r w:rsidR="00DE0A34" w:rsidRPr="009915FB">
        <w:t xml:space="preserve">62(1) and 70(1) of the </w:t>
      </w:r>
      <w:r w:rsidR="008017B8">
        <w:t>2025</w:t>
      </w:r>
      <w:r w:rsidR="00DE0A34" w:rsidRPr="009915FB">
        <w:t xml:space="preserve"> Regulations authorise the Attorney-General to approve</w:t>
      </w:r>
      <w:r w:rsidR="00F77869">
        <w:t>,</w:t>
      </w:r>
      <w:r w:rsidR="00DE0A34" w:rsidRPr="009915FB">
        <w:t xml:space="preserve"> in writing</w:t>
      </w:r>
      <w:r w:rsidR="00432C43">
        <w:t>,</w:t>
      </w:r>
      <w:r w:rsidR="00DE0A34" w:rsidRPr="009915FB">
        <w:t xml:space="preserve"> method</w:t>
      </w:r>
      <w:r w:rsidR="00DE0A34">
        <w:t>s</w:t>
      </w:r>
      <w:r w:rsidR="00DE0A34" w:rsidRPr="009915FB">
        <w:t xml:space="preserve"> or factors for determining the gross value of superannuation interests in a particular superannuation plan.</w:t>
      </w:r>
    </w:p>
    <w:p w14:paraId="4D1BA46E" w14:textId="738ED1BF" w:rsidR="00DE0A34" w:rsidRDefault="00DE0A34" w:rsidP="00804350">
      <w:r w:rsidRPr="009915FB">
        <w:t xml:space="preserve">For </w:t>
      </w:r>
      <w:r>
        <w:t xml:space="preserve">a </w:t>
      </w:r>
      <w:r w:rsidRPr="009915FB">
        <w:t>superannuation interest whose gross value is calculated using method</w:t>
      </w:r>
      <w:r>
        <w:t>s</w:t>
      </w:r>
      <w:r w:rsidRPr="009915FB">
        <w:t xml:space="preserve"> or factors approved by the Attorney-General</w:t>
      </w:r>
      <w:r>
        <w:t xml:space="preserve"> under </w:t>
      </w:r>
      <w:r w:rsidRPr="009915FB">
        <w:t xml:space="preserve">subsections 62(1) and 70(1) of the </w:t>
      </w:r>
      <w:r w:rsidR="008017B8">
        <w:t>2025</w:t>
      </w:r>
      <w:r w:rsidRPr="009915FB">
        <w:t xml:space="preserve"> Regulations</w:t>
      </w:r>
      <w:r>
        <w:t xml:space="preserve">, subsection 79(1) of the </w:t>
      </w:r>
      <w:r w:rsidR="008017B8">
        <w:t>2025</w:t>
      </w:r>
      <w:r>
        <w:t xml:space="preserve"> Regulations authorises the Attorney-General to approve</w:t>
      </w:r>
      <w:r w:rsidR="00C1565B">
        <w:t>,</w:t>
      </w:r>
      <w:r>
        <w:t xml:space="preserve"> in writing</w:t>
      </w:r>
      <w:r w:rsidR="00C1565B">
        <w:t>,</w:t>
      </w:r>
      <w:r>
        <w:t xml:space="preserve"> a transition factor, or one or more methods for determining the transition factor, for the purpose of calculating the non</w:t>
      </w:r>
      <w:r w:rsidR="00987F82">
        <w:noBreakHyphen/>
      </w:r>
      <w:r>
        <w:t xml:space="preserve">member spouse’s entitlement </w:t>
      </w:r>
      <w:r w:rsidR="008500FF">
        <w:t>in respect of a family law superannuation payment split.</w:t>
      </w:r>
    </w:p>
    <w:p w14:paraId="193A9271" w14:textId="528D817C" w:rsidR="00101E39" w:rsidRDefault="008500FF" w:rsidP="00804350">
      <w:r>
        <w:t>T</w:t>
      </w:r>
      <w:r w:rsidR="00101E39">
        <w:t>he Family Law (Superannuation) (Methods and Factors for Valuing Particular Superannuation Interests) Approval 2025 (2025 Approval Instrument) replace</w:t>
      </w:r>
      <w:r>
        <w:t>s</w:t>
      </w:r>
      <w:r w:rsidR="00101E39">
        <w:t xml:space="preserve"> the Family Law (Superannuation) (Methods and Factors for Valuing Particular Superannuation Interests) Approval 2003 (2003</w:t>
      </w:r>
      <w:r w:rsidR="008A01A0">
        <w:t> </w:t>
      </w:r>
      <w:r w:rsidR="00101E39">
        <w:t>Approval Instrument).</w:t>
      </w:r>
    </w:p>
    <w:p w14:paraId="0A9E7385" w14:textId="0DBAE693" w:rsidR="001254EF" w:rsidRDefault="00101E39" w:rsidP="00804350">
      <w:r>
        <w:t>The 20</w:t>
      </w:r>
      <w:r w:rsidR="001F7B3F">
        <w:t>25</w:t>
      </w:r>
      <w:r>
        <w:t xml:space="preserve"> Approval Instrument sets out the methods and factors approved by the Attorney-General for the purpose of determining the gross value of a superannuation interest in particular superannuation plans. </w:t>
      </w:r>
      <w:r w:rsidRPr="00101E39">
        <w:t>The 2025 Approval Instrument preserves the</w:t>
      </w:r>
      <w:r w:rsidR="001254EF">
        <w:t xml:space="preserve"> methods and factors in the</w:t>
      </w:r>
      <w:r w:rsidRPr="00101E39">
        <w:t xml:space="preserve"> 2003 Approval Instrument in its entirety, and sets out </w:t>
      </w:r>
      <w:r w:rsidR="00F66923">
        <w:t xml:space="preserve">a framework for </w:t>
      </w:r>
      <w:r w:rsidR="001254EF">
        <w:t xml:space="preserve">the approval of </w:t>
      </w:r>
      <w:r>
        <w:t xml:space="preserve">‘transition factors’, in </w:t>
      </w:r>
      <w:r w:rsidR="001254EF">
        <w:t xml:space="preserve">these </w:t>
      </w:r>
      <w:r>
        <w:t>superannuation plans</w:t>
      </w:r>
      <w:r w:rsidR="001254EF" w:rsidRPr="001254EF">
        <w:t xml:space="preserve"> </w:t>
      </w:r>
      <w:r w:rsidR="001254EF">
        <w:t>to ensure the approved methods and factors continue to operate effectively after the commencement of the 2025 Regulations and to ensure consistent and equitable outcomes for all parties who are subject to family law superannuation splitting arrangements.</w:t>
      </w:r>
    </w:p>
    <w:p w14:paraId="1216AF19" w14:textId="242D0B9B" w:rsidR="00832938" w:rsidRPr="00832938" w:rsidRDefault="00956F9E" w:rsidP="00804350">
      <w:pPr>
        <w:pStyle w:val="Title2"/>
      </w:pPr>
      <w:r>
        <w:t>I</w:t>
      </w:r>
      <w:r w:rsidR="00832938">
        <w:t>ncorporation by reference</w:t>
      </w:r>
    </w:p>
    <w:p w14:paraId="7843FEBA" w14:textId="2D9F3BDC" w:rsidR="00EE0FB1" w:rsidRDefault="00B7458D" w:rsidP="00804350">
      <w:r>
        <w:t xml:space="preserve">As permitted by section 14 of the </w:t>
      </w:r>
      <w:r>
        <w:rPr>
          <w:i/>
        </w:rPr>
        <w:t>Legislation Act 2003</w:t>
      </w:r>
      <w:r>
        <w:t xml:space="preserve"> (L</w:t>
      </w:r>
      <w:r w:rsidR="001D1C52">
        <w:t xml:space="preserve">egislation </w:t>
      </w:r>
      <w:r>
        <w:t>A</w:t>
      </w:r>
      <w:r w:rsidR="001D1C52">
        <w:t>ct</w:t>
      </w:r>
      <w:r>
        <w:t>), the</w:t>
      </w:r>
      <w:r w:rsidR="00D65BCD">
        <w:t xml:space="preserve"> 2025 Approval Instrument </w:t>
      </w:r>
      <w:r w:rsidR="008350DE">
        <w:t>makes provision in relation to matters by incorporating</w:t>
      </w:r>
      <w:r w:rsidR="00D65BCD">
        <w:t xml:space="preserve"> </w:t>
      </w:r>
      <w:r w:rsidR="008350DE">
        <w:t xml:space="preserve">the </w:t>
      </w:r>
      <w:r w:rsidR="00D65BCD">
        <w:t>2001 Regulations</w:t>
      </w:r>
      <w:r w:rsidR="001F7B3F">
        <w:t xml:space="preserve"> in force </w:t>
      </w:r>
      <w:r w:rsidR="00F73B70">
        <w:t xml:space="preserve">on </w:t>
      </w:r>
      <w:r w:rsidR="001F7B3F">
        <w:t>31 March 2025</w:t>
      </w:r>
      <w:r w:rsidR="00F73B70">
        <w:t>,</w:t>
      </w:r>
      <w:r w:rsidR="00902800">
        <w:t xml:space="preserve"> which is the day prior</w:t>
      </w:r>
      <w:r w:rsidR="00785140">
        <w:t xml:space="preserve"> to</w:t>
      </w:r>
      <w:r w:rsidR="00902800">
        <w:t xml:space="preserve"> the</w:t>
      </w:r>
      <w:r w:rsidR="00F73B70">
        <w:t xml:space="preserve">ir repeal, </w:t>
      </w:r>
      <w:r w:rsidR="002C1F02">
        <w:t>up</w:t>
      </w:r>
      <w:r w:rsidR="00F73B70">
        <w:t>on the commencement of the FLS Regulations</w:t>
      </w:r>
      <w:r w:rsidR="00902800">
        <w:t>.</w:t>
      </w:r>
    </w:p>
    <w:p w14:paraId="05C3B80E" w14:textId="7750FEA1" w:rsidR="002C1F02" w:rsidRDefault="004B20C4" w:rsidP="006E73AD">
      <w:r>
        <w:t>Subsection 2(</w:t>
      </w:r>
      <w:r w:rsidR="00EE0FB1">
        <w:t>1</w:t>
      </w:r>
      <w:r>
        <w:t xml:space="preserve">) </w:t>
      </w:r>
      <w:r w:rsidR="00EE0FB1">
        <w:t xml:space="preserve">of the </w:t>
      </w:r>
      <w:r w:rsidR="00EE0FB1">
        <w:rPr>
          <w:i/>
        </w:rPr>
        <w:t>Acts Interpretation Act 1901</w:t>
      </w:r>
      <w:r w:rsidR="00EE0FB1">
        <w:t xml:space="preserve"> (A</w:t>
      </w:r>
      <w:r w:rsidR="008017B8">
        <w:t>cts Interpretation Act</w:t>
      </w:r>
      <w:r w:rsidR="00EE0FB1">
        <w:t xml:space="preserve">) applies </w:t>
      </w:r>
      <w:r>
        <w:t xml:space="preserve">the </w:t>
      </w:r>
      <w:r w:rsidR="008017B8">
        <w:t>Acts Interpretation Act</w:t>
      </w:r>
      <w:r w:rsidR="00EE0FB1">
        <w:t xml:space="preserve"> </w:t>
      </w:r>
      <w:r>
        <w:t>to all Acts, subject to a contrary intention</w:t>
      </w:r>
      <w:r w:rsidR="00EE0FB1">
        <w:t xml:space="preserve"> (see subsection 2(2))</w:t>
      </w:r>
      <w:r>
        <w:t>.</w:t>
      </w:r>
      <w:r w:rsidR="00B834C5">
        <w:t xml:space="preserve"> </w:t>
      </w:r>
      <w:r w:rsidR="00832938">
        <w:t xml:space="preserve">Paragraph 13(1)(a) of the </w:t>
      </w:r>
      <w:r>
        <w:t>L</w:t>
      </w:r>
      <w:r w:rsidR="001D1C52">
        <w:t xml:space="preserve">egislation </w:t>
      </w:r>
      <w:r>
        <w:t>A</w:t>
      </w:r>
      <w:r w:rsidR="001D1C52">
        <w:t>ct</w:t>
      </w:r>
      <w:r w:rsidR="00832938">
        <w:t xml:space="preserve"> provides that</w:t>
      </w:r>
      <w:r>
        <w:t>, unless the contrary intention appears,</w:t>
      </w:r>
      <w:r w:rsidR="00832938">
        <w:t xml:space="preserve"> the </w:t>
      </w:r>
      <w:r>
        <w:t>A</w:t>
      </w:r>
      <w:r w:rsidR="008017B8">
        <w:t>cts Interpretation Act</w:t>
      </w:r>
      <w:r w:rsidR="00832938">
        <w:t xml:space="preserve"> applies to any instrument as if it were an Act, and </w:t>
      </w:r>
      <w:r w:rsidR="00DF731A">
        <w:t xml:space="preserve">as if each provision of the instrument were a section </w:t>
      </w:r>
      <w:r w:rsidR="00DF731A">
        <w:lastRenderedPageBreak/>
        <w:t>of an Act.</w:t>
      </w:r>
      <w:r w:rsidR="00832938">
        <w:rPr>
          <w:i/>
        </w:rPr>
        <w:t xml:space="preserve"> </w:t>
      </w:r>
      <w:r w:rsidR="008350DE">
        <w:t>Paragraph 10(b)</w:t>
      </w:r>
      <w:r w:rsidR="00B37062">
        <w:t xml:space="preserve"> and (c)</w:t>
      </w:r>
      <w:r w:rsidR="008350DE">
        <w:t xml:space="preserve"> of the A</w:t>
      </w:r>
      <w:r w:rsidR="008017B8">
        <w:t>cts Interpretation Act</w:t>
      </w:r>
      <w:r w:rsidR="008350DE">
        <w:t xml:space="preserve"> provides that where an Act contains a reference to another Act</w:t>
      </w:r>
      <w:r w:rsidR="00F808D3">
        <w:t xml:space="preserve"> or a provision of another Act</w:t>
      </w:r>
      <w:r w:rsidR="008350DE">
        <w:t xml:space="preserve">, then where that other </w:t>
      </w:r>
      <w:r w:rsidR="00075709">
        <w:t>A</w:t>
      </w:r>
      <w:r w:rsidR="008350DE">
        <w:t xml:space="preserve">ct </w:t>
      </w:r>
      <w:r w:rsidR="00F808D3">
        <w:t xml:space="preserve">or provision </w:t>
      </w:r>
      <w:r w:rsidR="008350DE">
        <w:t>has been repealed and re</w:t>
      </w:r>
      <w:r w:rsidR="00996E04">
        <w:noBreakHyphen/>
      </w:r>
      <w:r w:rsidR="008350DE">
        <w:t>en</w:t>
      </w:r>
      <w:r w:rsidR="00B7458D">
        <w:t>a</w:t>
      </w:r>
      <w:r w:rsidR="008350DE">
        <w:t xml:space="preserve">cted, a reference to the repealed </w:t>
      </w:r>
      <w:r w:rsidR="00A14C40">
        <w:t>Act</w:t>
      </w:r>
      <w:r w:rsidR="00F808D3">
        <w:t xml:space="preserve"> or </w:t>
      </w:r>
      <w:r w:rsidR="008350DE">
        <w:t xml:space="preserve">provision </w:t>
      </w:r>
      <w:r w:rsidR="002C1F02">
        <w:t xml:space="preserve">is taken to be a reference to the </w:t>
      </w:r>
      <w:r w:rsidR="008350DE">
        <w:t xml:space="preserve">re-enacted </w:t>
      </w:r>
      <w:r w:rsidR="00A14C40">
        <w:t>Act</w:t>
      </w:r>
      <w:r w:rsidR="00F808D3">
        <w:t xml:space="preserve"> or </w:t>
      </w:r>
      <w:r w:rsidR="008350DE">
        <w:t>provision.</w:t>
      </w:r>
      <w:r w:rsidR="00075709">
        <w:t xml:space="preserve"> </w:t>
      </w:r>
    </w:p>
    <w:p w14:paraId="0B19F1D8" w14:textId="7FC59196" w:rsidR="005968AB" w:rsidRDefault="00B37062" w:rsidP="006E73AD">
      <w:r>
        <w:t xml:space="preserve">These provisions would ordinarily apply so as a reference within the 2025 Approval Instrument </w:t>
      </w:r>
      <w:r w:rsidR="00795F17">
        <w:t xml:space="preserve">to the 2001 Regulations is to be treated as a reference to the </w:t>
      </w:r>
      <w:r w:rsidR="008017B8">
        <w:t>2025</w:t>
      </w:r>
      <w:r w:rsidR="00795F17">
        <w:t xml:space="preserve"> Regulations, once the 2001 Regulations have been repealed and remade</w:t>
      </w:r>
      <w:r>
        <w:t xml:space="preserve"> on 1 April 2025</w:t>
      </w:r>
      <w:r w:rsidR="00795F17">
        <w:t xml:space="preserve">. </w:t>
      </w:r>
    </w:p>
    <w:p w14:paraId="2FF4FA59" w14:textId="6EB7BB75" w:rsidR="00D65BCD" w:rsidRDefault="00B37062" w:rsidP="006E73AD">
      <w:r>
        <w:t>However,</w:t>
      </w:r>
      <w:r w:rsidR="003A1BC8">
        <w:t xml:space="preserve"> </w:t>
      </w:r>
      <w:r>
        <w:t xml:space="preserve">section 7 of the </w:t>
      </w:r>
      <w:r w:rsidR="003A1BC8">
        <w:t xml:space="preserve">2025 Approval Instrument </w:t>
      </w:r>
      <w:r w:rsidR="006E73AD">
        <w:t>set</w:t>
      </w:r>
      <w:r w:rsidR="003A1BC8">
        <w:t>s</w:t>
      </w:r>
      <w:r w:rsidR="006E73AD">
        <w:t xml:space="preserve"> out a contrary intention to </w:t>
      </w:r>
      <w:r w:rsidR="00795F17">
        <w:t>paragraph 13(1)(a) of the L</w:t>
      </w:r>
      <w:r w:rsidR="001D1C52">
        <w:t xml:space="preserve">egislation </w:t>
      </w:r>
      <w:r w:rsidR="00795F17">
        <w:t>A</w:t>
      </w:r>
      <w:r w:rsidR="001D1C52">
        <w:t>ct</w:t>
      </w:r>
      <w:r w:rsidR="00795F17">
        <w:t xml:space="preserve"> and to paragraph 10(b)</w:t>
      </w:r>
      <w:r w:rsidR="00F81F9F">
        <w:t xml:space="preserve"> </w:t>
      </w:r>
      <w:r>
        <w:t xml:space="preserve">and (c) </w:t>
      </w:r>
      <w:r w:rsidR="00F81F9F">
        <w:t>of the A</w:t>
      </w:r>
      <w:r w:rsidR="008017B8">
        <w:t>cts Interpretation Act</w:t>
      </w:r>
      <w:r w:rsidR="003A1BC8">
        <w:t xml:space="preserve">. It makes clear that </w:t>
      </w:r>
      <w:r w:rsidR="008350DE">
        <w:t xml:space="preserve">a reference to </w:t>
      </w:r>
      <w:r w:rsidR="008350DE" w:rsidRPr="008350DE">
        <w:t xml:space="preserve">the </w:t>
      </w:r>
      <w:r w:rsidR="008350DE" w:rsidRPr="008350DE">
        <w:rPr>
          <w:b/>
          <w:i/>
        </w:rPr>
        <w:t>2001 Regulations</w:t>
      </w:r>
      <w:r w:rsidR="008350DE">
        <w:t xml:space="preserve"> in the 2025 Approval Instrument</w:t>
      </w:r>
      <w:r w:rsidR="008350DE" w:rsidRPr="008350DE">
        <w:t xml:space="preserve"> is taken to be a reference to the Family Law (Superannuation) Regulations </w:t>
      </w:r>
      <w:r w:rsidR="008350DE" w:rsidRPr="008017B8">
        <w:t xml:space="preserve">2001 </w:t>
      </w:r>
      <w:r w:rsidR="00AC1725" w:rsidRPr="008017B8">
        <w:t>(2001 Regulations)</w:t>
      </w:r>
      <w:r w:rsidR="00AC1725">
        <w:t xml:space="preserve"> </w:t>
      </w:r>
      <w:r w:rsidR="008350DE" w:rsidRPr="008350DE">
        <w:t xml:space="preserve">as in force </w:t>
      </w:r>
      <w:r w:rsidR="009B3FF7">
        <w:t>on</w:t>
      </w:r>
      <w:r w:rsidR="008350DE" w:rsidRPr="008350DE">
        <w:t xml:space="preserve"> 31</w:t>
      </w:r>
      <w:r w:rsidR="003F122C">
        <w:t> </w:t>
      </w:r>
      <w:r w:rsidR="008350DE" w:rsidRPr="008350DE">
        <w:t>March 2025</w:t>
      </w:r>
      <w:r w:rsidR="00DA2D11">
        <w:t xml:space="preserve">. The reference will continue to operate in this way </w:t>
      </w:r>
      <w:r w:rsidR="00F808D3">
        <w:t xml:space="preserve">following the commencement of </w:t>
      </w:r>
      <w:r w:rsidR="00DA2D11">
        <w:t xml:space="preserve">the </w:t>
      </w:r>
      <w:r w:rsidR="008017B8">
        <w:t>2025</w:t>
      </w:r>
      <w:r w:rsidR="00DA2D11">
        <w:t xml:space="preserve"> </w:t>
      </w:r>
      <w:r w:rsidR="008350DE" w:rsidRPr="008350DE">
        <w:t xml:space="preserve">Regulations, which </w:t>
      </w:r>
      <w:r w:rsidR="008350DE">
        <w:t xml:space="preserve">will repeal and </w:t>
      </w:r>
      <w:r w:rsidR="008350DE" w:rsidRPr="008350DE">
        <w:t>replace the 2001 Regulations</w:t>
      </w:r>
      <w:r w:rsidR="00DA2D11">
        <w:t xml:space="preserve"> on 1 April 2025</w:t>
      </w:r>
      <w:r w:rsidR="008350DE" w:rsidRPr="008350DE">
        <w:t>.</w:t>
      </w:r>
      <w:r w:rsidR="00DA2D11">
        <w:t xml:space="preserve"> </w:t>
      </w:r>
    </w:p>
    <w:p w14:paraId="7CB3A73B" w14:textId="11AEA88C" w:rsidR="00B066FC" w:rsidRDefault="00B7458D" w:rsidP="00804350">
      <w:r>
        <w:t>The 2025 Approval Instrument also incorporates</w:t>
      </w:r>
      <w:r w:rsidR="00B066FC">
        <w:t xml:space="preserve"> Commonwealth legislation,</w:t>
      </w:r>
      <w:r>
        <w:t xml:space="preserve"> </w:t>
      </w:r>
      <w:r w:rsidR="00D109C7">
        <w:t>s</w:t>
      </w:r>
      <w:r w:rsidR="00B066FC">
        <w:t>tate</w:t>
      </w:r>
      <w:r>
        <w:t xml:space="preserve"> </w:t>
      </w:r>
      <w:r w:rsidR="00B066FC">
        <w:t xml:space="preserve">legislation, and other </w:t>
      </w:r>
      <w:r>
        <w:t>documents</w:t>
      </w:r>
      <w:r w:rsidR="00B066FC">
        <w:t>, by reference</w:t>
      </w:r>
      <w:r>
        <w:t>.</w:t>
      </w:r>
      <w:r w:rsidR="00B066FC">
        <w:t xml:space="preserve"> Commonwealth legislation can be accessed via the Federal Register of Legislation, located at </w:t>
      </w:r>
      <w:r w:rsidR="00FC474D" w:rsidRPr="006D2C30">
        <w:t>https://www.legislat</w:t>
      </w:r>
      <w:bookmarkStart w:id="3" w:name="_GoBack"/>
      <w:bookmarkEnd w:id="3"/>
      <w:r w:rsidR="00FC474D" w:rsidRPr="006D2C30">
        <w:t>ion.gov.au/</w:t>
      </w:r>
      <w:r w:rsidR="00B066FC">
        <w:t xml:space="preserve">. The </w:t>
      </w:r>
      <w:r w:rsidR="00D109C7">
        <w:t>s</w:t>
      </w:r>
      <w:r w:rsidR="00B066FC">
        <w:t xml:space="preserve">tate legislation and other documents that are incorporated, and details </w:t>
      </w:r>
      <w:r w:rsidR="00390D5A">
        <w:t xml:space="preserve">on </w:t>
      </w:r>
      <w:r w:rsidR="00B066FC">
        <w:t>how to access them, are set out in the table below.</w:t>
      </w:r>
      <w:r w:rsidR="00A97C07">
        <w:t xml:space="preserve"> </w:t>
      </w:r>
      <w:r w:rsidR="009B3FF7">
        <w:t xml:space="preserve"> These details are current as at the making of this </w:t>
      </w:r>
      <w:r w:rsidR="00F808D3">
        <w:t>i</w:t>
      </w:r>
      <w:r w:rsidR="009B3FF7">
        <w:t>nstrument.</w:t>
      </w:r>
    </w:p>
    <w:tbl>
      <w:tblPr>
        <w:tblStyle w:val="TableGrid"/>
        <w:tblW w:w="9016" w:type="dxa"/>
        <w:tblLook w:val="04A0" w:firstRow="1" w:lastRow="0" w:firstColumn="1" w:lastColumn="0" w:noHBand="0" w:noVBand="1"/>
      </w:tblPr>
      <w:tblGrid>
        <w:gridCol w:w="3681"/>
        <w:gridCol w:w="5327"/>
        <w:gridCol w:w="8"/>
      </w:tblGrid>
      <w:tr w:rsidR="00B066FC" w14:paraId="3BFFB059" w14:textId="77777777" w:rsidTr="00901211">
        <w:trPr>
          <w:trHeight w:val="408"/>
          <w:tblHeader/>
        </w:trPr>
        <w:tc>
          <w:tcPr>
            <w:tcW w:w="3681" w:type="dxa"/>
            <w:tcBorders>
              <w:bottom w:val="single" w:sz="4" w:space="0" w:color="auto"/>
            </w:tcBorders>
            <w:shd w:val="clear" w:color="auto" w:fill="D9D9D9" w:themeFill="background1" w:themeFillShade="D9"/>
          </w:tcPr>
          <w:p w14:paraId="1D22306F" w14:textId="5D40C05F" w:rsidR="00B066FC" w:rsidRPr="00B066FC" w:rsidRDefault="00B066FC" w:rsidP="00BB4C8F">
            <w:pPr>
              <w:spacing w:line="240" w:lineRule="auto"/>
              <w:rPr>
                <w:b/>
              </w:rPr>
            </w:pPr>
            <w:r w:rsidRPr="00B066FC">
              <w:rPr>
                <w:b/>
              </w:rPr>
              <w:t>Title of legislation or document</w:t>
            </w:r>
          </w:p>
        </w:tc>
        <w:tc>
          <w:tcPr>
            <w:tcW w:w="5335" w:type="dxa"/>
            <w:gridSpan w:val="2"/>
            <w:tcBorders>
              <w:bottom w:val="single" w:sz="4" w:space="0" w:color="auto"/>
            </w:tcBorders>
            <w:shd w:val="clear" w:color="auto" w:fill="D9D9D9" w:themeFill="background1" w:themeFillShade="D9"/>
          </w:tcPr>
          <w:p w14:paraId="43A8C414" w14:textId="0D48302A" w:rsidR="00B066FC" w:rsidRPr="00B066FC" w:rsidRDefault="00B066FC" w:rsidP="00BB4C8F">
            <w:pPr>
              <w:spacing w:line="240" w:lineRule="auto"/>
              <w:rPr>
                <w:b/>
              </w:rPr>
            </w:pPr>
            <w:r w:rsidRPr="00B066FC">
              <w:rPr>
                <w:b/>
              </w:rPr>
              <w:t>Access details</w:t>
            </w:r>
          </w:p>
        </w:tc>
      </w:tr>
      <w:tr w:rsidR="002756DD" w14:paraId="5393A9E3" w14:textId="77777777" w:rsidTr="00BB4C8F">
        <w:trPr>
          <w:trHeight w:val="117"/>
        </w:trPr>
        <w:tc>
          <w:tcPr>
            <w:tcW w:w="3681" w:type="dxa"/>
            <w:tcBorders>
              <w:right w:val="nil"/>
            </w:tcBorders>
            <w:shd w:val="clear" w:color="auto" w:fill="F2F2F2" w:themeFill="background1" w:themeFillShade="F2"/>
          </w:tcPr>
          <w:p w14:paraId="2B522BFF" w14:textId="24AC6756" w:rsidR="002756DD" w:rsidRPr="002756DD" w:rsidRDefault="002756DD" w:rsidP="00BB4C8F">
            <w:pPr>
              <w:spacing w:after="0" w:line="240" w:lineRule="auto"/>
              <w:rPr>
                <w:b/>
              </w:rPr>
            </w:pPr>
            <w:r w:rsidRPr="002756DD">
              <w:rPr>
                <w:b/>
              </w:rPr>
              <w:t>N</w:t>
            </w:r>
            <w:r w:rsidR="00132ECE">
              <w:rPr>
                <w:b/>
              </w:rPr>
              <w:t xml:space="preserve">ew </w:t>
            </w:r>
            <w:r w:rsidRPr="002756DD">
              <w:rPr>
                <w:b/>
              </w:rPr>
              <w:t>S</w:t>
            </w:r>
            <w:r w:rsidR="00132ECE">
              <w:rPr>
                <w:b/>
              </w:rPr>
              <w:t xml:space="preserve">outh </w:t>
            </w:r>
            <w:r w:rsidRPr="002756DD">
              <w:rPr>
                <w:b/>
              </w:rPr>
              <w:t>W</w:t>
            </w:r>
            <w:r w:rsidR="00132ECE">
              <w:rPr>
                <w:b/>
              </w:rPr>
              <w:t>ales</w:t>
            </w:r>
          </w:p>
        </w:tc>
        <w:tc>
          <w:tcPr>
            <w:tcW w:w="5335" w:type="dxa"/>
            <w:gridSpan w:val="2"/>
            <w:tcBorders>
              <w:left w:val="nil"/>
              <w:bottom w:val="single" w:sz="4" w:space="0" w:color="auto"/>
            </w:tcBorders>
            <w:shd w:val="clear" w:color="auto" w:fill="F2F2F2" w:themeFill="background1" w:themeFillShade="F2"/>
          </w:tcPr>
          <w:p w14:paraId="0A6EB147" w14:textId="77777777" w:rsidR="002756DD" w:rsidRDefault="002756DD" w:rsidP="00BB4C8F">
            <w:pPr>
              <w:spacing w:after="0" w:line="240" w:lineRule="auto"/>
            </w:pPr>
          </w:p>
        </w:tc>
      </w:tr>
      <w:tr w:rsidR="00A66E67" w14:paraId="5DF7AB92" w14:textId="77777777" w:rsidTr="00BB4C8F">
        <w:tc>
          <w:tcPr>
            <w:tcW w:w="3681" w:type="dxa"/>
          </w:tcPr>
          <w:p w14:paraId="2B06FBD7" w14:textId="77A6C3ED" w:rsidR="00A66E67" w:rsidRPr="0057077D" w:rsidRDefault="00A66E67" w:rsidP="00BB4C8F">
            <w:pPr>
              <w:spacing w:after="0" w:line="240" w:lineRule="auto"/>
              <w:rPr>
                <w:rFonts w:eastAsia="Times New Roman" w:cstheme="minorHAnsi"/>
                <w:i/>
                <w:color w:val="000000"/>
              </w:rPr>
            </w:pPr>
            <w:r w:rsidRPr="0057077D">
              <w:rPr>
                <w:rFonts w:eastAsia="Times New Roman" w:cstheme="minorHAnsi"/>
                <w:i/>
                <w:color w:val="000000"/>
              </w:rPr>
              <w:t xml:space="preserve">Constitution Act 1902 </w:t>
            </w:r>
            <w:r w:rsidRPr="00CA7FE2">
              <w:rPr>
                <w:rFonts w:eastAsia="Times New Roman" w:cstheme="minorHAnsi"/>
                <w:color w:val="000000"/>
              </w:rPr>
              <w:t>(NSW)</w:t>
            </w:r>
          </w:p>
        </w:tc>
        <w:tc>
          <w:tcPr>
            <w:tcW w:w="5335" w:type="dxa"/>
            <w:gridSpan w:val="2"/>
            <w:vMerge w:val="restart"/>
          </w:tcPr>
          <w:p w14:paraId="69228154" w14:textId="42AF9232" w:rsidR="00155363" w:rsidRDefault="00A66E67" w:rsidP="00BB4C8F">
            <w:pPr>
              <w:spacing w:after="160" w:line="240" w:lineRule="auto"/>
              <w:rPr>
                <w:rStyle w:val="Hyperlink"/>
              </w:rPr>
            </w:pPr>
            <w:r w:rsidRPr="00836135">
              <w:rPr>
                <w:u w:val="single"/>
              </w:rPr>
              <w:t>Online</w:t>
            </w:r>
            <w:r w:rsidR="0031192E">
              <w:rPr>
                <w:u w:val="single"/>
              </w:rPr>
              <w:br/>
            </w:r>
            <w:r w:rsidRPr="00836135">
              <w:rPr>
                <w:b/>
              </w:rPr>
              <w:t>Website</w:t>
            </w:r>
            <w:r>
              <w:t xml:space="preserve">: </w:t>
            </w:r>
            <w:r w:rsidRPr="00661787">
              <w:t>www.legislation.nsw.gov.au</w:t>
            </w:r>
          </w:p>
          <w:p w14:paraId="275422D0" w14:textId="57E26085" w:rsidR="00A66E67" w:rsidRDefault="00A66E67" w:rsidP="00BB4C8F">
            <w:pPr>
              <w:spacing w:after="160" w:line="240" w:lineRule="auto"/>
            </w:pPr>
            <w:r w:rsidRPr="00C8133B">
              <w:rPr>
                <w:u w:val="single"/>
              </w:rPr>
              <w:t>Hardcopy</w:t>
            </w:r>
            <w:r w:rsidR="0031192E">
              <w:rPr>
                <w:u w:val="single"/>
              </w:rPr>
              <w:br/>
            </w:r>
            <w:r w:rsidRPr="00742F5D">
              <w:t>LitSupport (TIMG)</w:t>
            </w:r>
            <w:r>
              <w:t xml:space="preserve"> - supplier of hard copy </w:t>
            </w:r>
            <w:r w:rsidRPr="00742F5D">
              <w:t xml:space="preserve">New South Wales </w:t>
            </w:r>
            <w:r>
              <w:t>Legislation</w:t>
            </w:r>
          </w:p>
          <w:p w14:paraId="45364392" w14:textId="137B6D80" w:rsidR="00A66E67" w:rsidRDefault="00A66E67" w:rsidP="00BB4C8F">
            <w:pPr>
              <w:spacing w:after="0" w:line="240" w:lineRule="auto"/>
            </w:pPr>
            <w:r w:rsidRPr="00912F7F">
              <w:rPr>
                <w:b/>
              </w:rPr>
              <w:t>Address:</w:t>
            </w:r>
            <w:r>
              <w:t xml:space="preserve"> </w:t>
            </w:r>
            <w:r w:rsidRPr="00742F5D">
              <w:t>Level 2, 32 Martin Place, Sydney, NSW, 2000</w:t>
            </w:r>
          </w:p>
          <w:p w14:paraId="5DE42B00" w14:textId="61243B03" w:rsidR="00A66E67" w:rsidRDefault="00A66E67" w:rsidP="00BB4C8F">
            <w:pPr>
              <w:spacing w:after="0" w:line="240" w:lineRule="auto"/>
            </w:pPr>
            <w:r w:rsidRPr="00912F7F">
              <w:rPr>
                <w:b/>
              </w:rPr>
              <w:t>Website:</w:t>
            </w:r>
            <w:r w:rsidRPr="008A0756">
              <w:rPr>
                <w:b/>
              </w:rPr>
              <w:t xml:space="preserve"> </w:t>
            </w:r>
            <w:r w:rsidRPr="00661787">
              <w:t xml:space="preserve"> https://legislationnsw.timg.com</w:t>
            </w:r>
          </w:p>
          <w:p w14:paraId="0231D9A6" w14:textId="62C0FE46" w:rsidR="00A66E67" w:rsidRPr="008A0756" w:rsidRDefault="00A66E67" w:rsidP="00BB4C8F">
            <w:pPr>
              <w:spacing w:after="0" w:line="240" w:lineRule="auto"/>
              <w:rPr>
                <w:b/>
              </w:rPr>
            </w:pPr>
            <w:r w:rsidRPr="00912F7F">
              <w:rPr>
                <w:b/>
              </w:rPr>
              <w:t>Telephone:</w:t>
            </w:r>
            <w:r w:rsidRPr="00FC7763">
              <w:t xml:space="preserve"> 02 9210 5920</w:t>
            </w:r>
            <w:r w:rsidRPr="008A0756">
              <w:rPr>
                <w:b/>
              </w:rPr>
              <w:t> </w:t>
            </w:r>
          </w:p>
          <w:p w14:paraId="45F83435" w14:textId="774AB1B6" w:rsidR="00A66E67" w:rsidRPr="00155363" w:rsidRDefault="00A66E67" w:rsidP="00BB4C8F">
            <w:pPr>
              <w:spacing w:after="160" w:line="240" w:lineRule="auto"/>
            </w:pPr>
            <w:r w:rsidRPr="00912F7F">
              <w:rPr>
                <w:b/>
              </w:rPr>
              <w:t>Email:</w:t>
            </w:r>
            <w:r w:rsidRPr="008A0756">
              <w:rPr>
                <w:b/>
              </w:rPr>
              <w:t xml:space="preserve"> </w:t>
            </w:r>
            <w:r w:rsidRPr="00661787">
              <w:t>NSWLegislation@timg.com</w:t>
            </w:r>
          </w:p>
        </w:tc>
      </w:tr>
      <w:tr w:rsidR="00A66E67" w14:paraId="126E33B9" w14:textId="77777777" w:rsidTr="00BB4C8F">
        <w:tc>
          <w:tcPr>
            <w:tcW w:w="3681" w:type="dxa"/>
          </w:tcPr>
          <w:p w14:paraId="51C18583" w14:textId="5929E91F" w:rsidR="00A66E67" w:rsidRPr="0057077D" w:rsidRDefault="00A66E67" w:rsidP="00BB4C8F">
            <w:pPr>
              <w:spacing w:after="0" w:line="240" w:lineRule="auto"/>
              <w:rPr>
                <w:rFonts w:eastAsia="Times New Roman" w:cstheme="minorHAnsi"/>
                <w:i/>
                <w:color w:val="000000"/>
              </w:rPr>
            </w:pPr>
            <w:r w:rsidRPr="0057077D">
              <w:rPr>
                <w:rFonts w:eastAsia="Times New Roman" w:cstheme="minorHAnsi"/>
                <w:i/>
                <w:color w:val="000000"/>
              </w:rPr>
              <w:t xml:space="preserve">Elections Act 1912 </w:t>
            </w:r>
            <w:r w:rsidRPr="00CA7FE2">
              <w:rPr>
                <w:rFonts w:eastAsia="Times New Roman" w:cstheme="minorHAnsi"/>
                <w:color w:val="000000"/>
              </w:rPr>
              <w:t>(NSW)</w:t>
            </w:r>
          </w:p>
        </w:tc>
        <w:tc>
          <w:tcPr>
            <w:tcW w:w="5335" w:type="dxa"/>
            <w:gridSpan w:val="2"/>
            <w:vMerge/>
          </w:tcPr>
          <w:p w14:paraId="082BC697" w14:textId="46A0E995" w:rsidR="00A66E67" w:rsidRPr="00CA7FE2" w:rsidRDefault="00A66E67" w:rsidP="00BB4C8F">
            <w:pPr>
              <w:spacing w:after="0" w:line="240" w:lineRule="auto"/>
            </w:pPr>
          </w:p>
        </w:tc>
      </w:tr>
      <w:tr w:rsidR="00A66E67" w14:paraId="67159388" w14:textId="77777777" w:rsidTr="00BB4C8F">
        <w:tc>
          <w:tcPr>
            <w:tcW w:w="3681" w:type="dxa"/>
          </w:tcPr>
          <w:p w14:paraId="756EB1F8" w14:textId="36D89311" w:rsidR="00A66E67" w:rsidRPr="0057077D" w:rsidRDefault="00A66E67" w:rsidP="00BB4C8F">
            <w:pPr>
              <w:spacing w:after="0" w:line="240" w:lineRule="auto"/>
              <w:rPr>
                <w:rFonts w:eastAsia="Times New Roman" w:cstheme="minorHAnsi"/>
                <w:i/>
                <w:color w:val="000000"/>
              </w:rPr>
            </w:pPr>
            <w:r w:rsidRPr="00A66E67">
              <w:rPr>
                <w:rFonts w:eastAsia="Times New Roman" w:cstheme="minorHAnsi"/>
                <w:i/>
                <w:color w:val="000000"/>
              </w:rPr>
              <w:t>Local Government and Other Authorities (Superannuation) Act 1927 (NSW)</w:t>
            </w:r>
          </w:p>
        </w:tc>
        <w:tc>
          <w:tcPr>
            <w:tcW w:w="5335" w:type="dxa"/>
            <w:gridSpan w:val="2"/>
            <w:vMerge/>
          </w:tcPr>
          <w:p w14:paraId="32AE62EB" w14:textId="77777777" w:rsidR="00A66E67" w:rsidRPr="00CA7FE2" w:rsidRDefault="00A66E67" w:rsidP="00BB4C8F">
            <w:pPr>
              <w:spacing w:after="0" w:line="240" w:lineRule="auto"/>
            </w:pPr>
          </w:p>
        </w:tc>
      </w:tr>
      <w:tr w:rsidR="00A66E67" w14:paraId="3B68B1B2" w14:textId="77777777" w:rsidTr="00BB4C8F">
        <w:tc>
          <w:tcPr>
            <w:tcW w:w="3681" w:type="dxa"/>
          </w:tcPr>
          <w:p w14:paraId="2323E03E" w14:textId="77777777" w:rsidR="00A66E67" w:rsidRPr="003A3497" w:rsidRDefault="00A66E67" w:rsidP="00BB4C8F">
            <w:pPr>
              <w:spacing w:after="0" w:line="240" w:lineRule="auto"/>
              <w:rPr>
                <w:rFonts w:eastAsia="Times New Roman" w:cstheme="minorHAnsi"/>
                <w:i/>
                <w:color w:val="000000"/>
              </w:rPr>
            </w:pPr>
            <w:r w:rsidRPr="00E4665C">
              <w:rPr>
                <w:rFonts w:eastAsia="Times New Roman" w:cstheme="minorHAnsi"/>
                <w:b/>
                <w:color w:val="000000"/>
              </w:rPr>
              <w:t>Local Government Superannuation Scheme</w:t>
            </w:r>
            <w:r>
              <w:rPr>
                <w:rFonts w:eastAsia="Times New Roman" w:cstheme="minorHAnsi"/>
                <w:color w:val="000000"/>
              </w:rPr>
              <w:t xml:space="preserve"> - The Trust Deed dated 30 June 1997, entered into by the Treasurer of New South Wales and LGSS Pty Limited</w:t>
            </w:r>
          </w:p>
        </w:tc>
        <w:tc>
          <w:tcPr>
            <w:tcW w:w="5335" w:type="dxa"/>
            <w:gridSpan w:val="2"/>
            <w:tcBorders>
              <w:top w:val="nil"/>
            </w:tcBorders>
          </w:tcPr>
          <w:p w14:paraId="6C6DD375" w14:textId="4C467885" w:rsidR="00A66E67" w:rsidRDefault="00A66E67" w:rsidP="00BB4C8F">
            <w:pPr>
              <w:spacing w:after="160" w:line="240" w:lineRule="auto"/>
            </w:pPr>
            <w:r>
              <w:rPr>
                <w:rFonts w:eastAsia="Times New Roman" w:cstheme="minorHAnsi"/>
                <w:color w:val="000000"/>
              </w:rPr>
              <w:t xml:space="preserve">Vision Super </w:t>
            </w:r>
            <w:r w:rsidRPr="00D95236">
              <w:rPr>
                <w:rFonts w:eastAsia="Times New Roman" w:cstheme="minorHAnsi"/>
                <w:color w:val="000000"/>
              </w:rPr>
              <w:t xml:space="preserve"> </w:t>
            </w:r>
          </w:p>
          <w:p w14:paraId="359C9C48" w14:textId="4C5FF15A" w:rsidR="00A54671" w:rsidRDefault="00A54671" w:rsidP="00BB4C8F">
            <w:pPr>
              <w:spacing w:after="0" w:line="240" w:lineRule="auto"/>
            </w:pPr>
            <w:r w:rsidRPr="00D95236">
              <w:rPr>
                <w:rFonts w:eastAsia="Times New Roman" w:cstheme="minorHAnsi"/>
                <w:b/>
                <w:color w:val="000000"/>
              </w:rPr>
              <w:t>Website</w:t>
            </w:r>
            <w:r>
              <w:rPr>
                <w:rFonts w:eastAsia="Times New Roman" w:cstheme="minorHAnsi"/>
                <w:color w:val="000000"/>
              </w:rPr>
              <w:t xml:space="preserve">: </w:t>
            </w:r>
            <w:r w:rsidRPr="00661787">
              <w:t>www.visionsuper.com.au</w:t>
            </w:r>
          </w:p>
          <w:p w14:paraId="4C562C42" w14:textId="77777777" w:rsidR="00A66E67" w:rsidRPr="00CA7FE2" w:rsidRDefault="00A66E67" w:rsidP="00BB4C8F">
            <w:pPr>
              <w:spacing w:after="0" w:line="240" w:lineRule="auto"/>
            </w:pPr>
            <w:r w:rsidRPr="00D95236">
              <w:rPr>
                <w:b/>
              </w:rPr>
              <w:t>Postal address</w:t>
            </w:r>
            <w:r>
              <w:t>: PO Box 18041, Collins Street East, VIC, 8003</w:t>
            </w:r>
          </w:p>
          <w:p w14:paraId="4DE092B3" w14:textId="329B59CD" w:rsidR="00155363" w:rsidRDefault="00A66E67" w:rsidP="00BB4C8F">
            <w:pPr>
              <w:spacing w:after="160" w:line="240" w:lineRule="auto"/>
            </w:pPr>
            <w:r>
              <w:rPr>
                <w:b/>
              </w:rPr>
              <w:t>Telep</w:t>
            </w:r>
            <w:r w:rsidRPr="00D95236">
              <w:rPr>
                <w:b/>
              </w:rPr>
              <w:t>hone</w:t>
            </w:r>
            <w:r>
              <w:t>:</w:t>
            </w:r>
            <w:r w:rsidRPr="0057772E">
              <w:t xml:space="preserve"> </w:t>
            </w:r>
            <w:r w:rsidRPr="00141514">
              <w:t>1300 300 820</w:t>
            </w:r>
          </w:p>
        </w:tc>
      </w:tr>
      <w:tr w:rsidR="0031192E" w14:paraId="69AE7B90" w14:textId="77777777" w:rsidTr="00BB4C8F">
        <w:tc>
          <w:tcPr>
            <w:tcW w:w="3681" w:type="dxa"/>
          </w:tcPr>
          <w:p w14:paraId="18F8C0F9" w14:textId="3FC8F4C4" w:rsidR="0031192E" w:rsidRPr="0057077D" w:rsidRDefault="0031192E" w:rsidP="00BB4C8F">
            <w:pPr>
              <w:spacing w:after="0" w:line="240" w:lineRule="auto"/>
              <w:rPr>
                <w:rFonts w:eastAsia="Times New Roman" w:cstheme="minorHAnsi"/>
                <w:i/>
                <w:color w:val="000000"/>
              </w:rPr>
            </w:pPr>
            <w:r w:rsidRPr="0057077D">
              <w:rPr>
                <w:rFonts w:eastAsia="Times New Roman" w:cstheme="minorHAnsi"/>
                <w:i/>
                <w:color w:val="000000"/>
              </w:rPr>
              <w:t xml:space="preserve">Parliamentary Contributory Superannuation Act 1971 </w:t>
            </w:r>
            <w:r w:rsidRPr="00CA7FE2">
              <w:rPr>
                <w:rFonts w:eastAsia="Times New Roman" w:cstheme="minorHAnsi"/>
                <w:color w:val="000000"/>
              </w:rPr>
              <w:t>(NSW)</w:t>
            </w:r>
          </w:p>
        </w:tc>
        <w:tc>
          <w:tcPr>
            <w:tcW w:w="5335" w:type="dxa"/>
            <w:gridSpan w:val="2"/>
            <w:vMerge w:val="restart"/>
          </w:tcPr>
          <w:p w14:paraId="6B9EA73C" w14:textId="780B2CB0" w:rsidR="00155363" w:rsidRDefault="0031192E" w:rsidP="00BB4C8F">
            <w:pPr>
              <w:spacing w:after="160" w:line="240" w:lineRule="auto"/>
              <w:rPr>
                <w:rStyle w:val="Hyperlink"/>
              </w:rPr>
            </w:pPr>
            <w:r w:rsidRPr="00A66E67">
              <w:rPr>
                <w:u w:val="single"/>
              </w:rPr>
              <w:t>Online</w:t>
            </w:r>
            <w:r>
              <w:rPr>
                <w:u w:val="single"/>
              </w:rPr>
              <w:br/>
            </w:r>
            <w:r w:rsidRPr="00A66E67">
              <w:rPr>
                <w:b/>
              </w:rPr>
              <w:t>Website</w:t>
            </w:r>
            <w:r w:rsidRPr="00A66E67">
              <w:t xml:space="preserve">: </w:t>
            </w:r>
            <w:r w:rsidRPr="00661787">
              <w:t>www.legislation.nsw.gov.au</w:t>
            </w:r>
          </w:p>
          <w:p w14:paraId="50E26A4B" w14:textId="21DE6392" w:rsidR="0031192E" w:rsidRPr="0031192E" w:rsidRDefault="0031192E" w:rsidP="00BB4C8F">
            <w:pPr>
              <w:spacing w:after="160" w:line="240" w:lineRule="auto"/>
              <w:rPr>
                <w:color w:val="0563C1" w:themeColor="hyperlink"/>
                <w:u w:val="single"/>
              </w:rPr>
            </w:pPr>
            <w:r w:rsidRPr="00A66E67">
              <w:rPr>
                <w:u w:val="single"/>
              </w:rPr>
              <w:t>Hardcopy</w:t>
            </w:r>
            <w:r>
              <w:rPr>
                <w:u w:val="single"/>
              </w:rPr>
              <w:br/>
            </w:r>
            <w:r w:rsidRPr="00A66E67">
              <w:t>LitSupport (TIMG) - supplier of hard copy New South Wales Legislation</w:t>
            </w:r>
          </w:p>
          <w:p w14:paraId="49F927DB" w14:textId="77777777" w:rsidR="0031192E" w:rsidRPr="00A66E67" w:rsidRDefault="0031192E" w:rsidP="00BB4C8F">
            <w:pPr>
              <w:spacing w:after="0" w:line="240" w:lineRule="auto"/>
            </w:pPr>
            <w:r w:rsidRPr="00A66E67">
              <w:rPr>
                <w:b/>
              </w:rPr>
              <w:t>Address:</w:t>
            </w:r>
            <w:r w:rsidRPr="00A66E67">
              <w:t xml:space="preserve"> Level 2, 32 Martin Place, Sydney, NSW, 2000</w:t>
            </w:r>
          </w:p>
          <w:p w14:paraId="767AE6F4" w14:textId="2426CB4F" w:rsidR="0031192E" w:rsidRPr="00A66E67" w:rsidRDefault="0031192E" w:rsidP="00BB4C8F">
            <w:pPr>
              <w:spacing w:after="0" w:line="240" w:lineRule="auto"/>
            </w:pPr>
            <w:r w:rsidRPr="00A66E67">
              <w:rPr>
                <w:b/>
              </w:rPr>
              <w:t xml:space="preserve">Website: </w:t>
            </w:r>
            <w:r w:rsidRPr="00661787">
              <w:t xml:space="preserve"> https://legislationnsw.timg.com</w:t>
            </w:r>
          </w:p>
          <w:p w14:paraId="63FB1C25" w14:textId="77777777" w:rsidR="0031192E" w:rsidRPr="00A66E67" w:rsidRDefault="0031192E" w:rsidP="00BB4C8F">
            <w:pPr>
              <w:spacing w:after="0" w:line="240" w:lineRule="auto"/>
              <w:rPr>
                <w:b/>
              </w:rPr>
            </w:pPr>
            <w:r w:rsidRPr="00A66E67">
              <w:rPr>
                <w:b/>
              </w:rPr>
              <w:t>Telephone:</w:t>
            </w:r>
            <w:r w:rsidRPr="00A66E67">
              <w:t xml:space="preserve"> 02 9210 5920</w:t>
            </w:r>
            <w:r w:rsidRPr="00A66E67">
              <w:rPr>
                <w:b/>
              </w:rPr>
              <w:t> </w:t>
            </w:r>
          </w:p>
          <w:p w14:paraId="1A0FC2BD" w14:textId="7A54AD01" w:rsidR="0031192E" w:rsidRPr="00CA7FE2" w:rsidRDefault="0031192E" w:rsidP="00BB4C8F">
            <w:pPr>
              <w:spacing w:after="160" w:line="240" w:lineRule="auto"/>
            </w:pPr>
            <w:r w:rsidRPr="00A66E67">
              <w:rPr>
                <w:b/>
              </w:rPr>
              <w:t xml:space="preserve">Email: </w:t>
            </w:r>
            <w:r w:rsidRPr="00A54671">
              <w:t>NSWLegislation@timg.com</w:t>
            </w:r>
          </w:p>
        </w:tc>
      </w:tr>
      <w:tr w:rsidR="0031192E" w14:paraId="079D7FC5" w14:textId="77777777" w:rsidTr="00BB4C8F">
        <w:tc>
          <w:tcPr>
            <w:tcW w:w="3681" w:type="dxa"/>
          </w:tcPr>
          <w:p w14:paraId="56B67FE4" w14:textId="1B22E1D6" w:rsidR="0031192E" w:rsidRPr="003A3497" w:rsidRDefault="0031192E" w:rsidP="00BB4C8F">
            <w:pPr>
              <w:spacing w:after="0" w:line="240" w:lineRule="auto"/>
              <w:rPr>
                <w:rFonts w:eastAsia="Times New Roman" w:cstheme="minorHAnsi"/>
                <w:i/>
                <w:color w:val="000000"/>
              </w:rPr>
            </w:pPr>
            <w:r w:rsidRPr="0057077D">
              <w:rPr>
                <w:rFonts w:eastAsia="Times New Roman" w:cstheme="minorHAnsi"/>
                <w:i/>
                <w:color w:val="000000"/>
              </w:rPr>
              <w:t xml:space="preserve">Police Association Employees (Superannuation) Act 1969 </w:t>
            </w:r>
            <w:r w:rsidRPr="00CA7FE2">
              <w:rPr>
                <w:rFonts w:eastAsia="Times New Roman" w:cstheme="minorHAnsi"/>
                <w:color w:val="000000"/>
              </w:rPr>
              <w:t>(NSW)</w:t>
            </w:r>
          </w:p>
        </w:tc>
        <w:tc>
          <w:tcPr>
            <w:tcW w:w="5335" w:type="dxa"/>
            <w:gridSpan w:val="2"/>
            <w:vMerge/>
          </w:tcPr>
          <w:p w14:paraId="325525F2" w14:textId="754F022B" w:rsidR="0031192E" w:rsidRPr="00CA7FE2" w:rsidRDefault="0031192E" w:rsidP="00BB4C8F">
            <w:pPr>
              <w:spacing w:after="0" w:line="240" w:lineRule="auto"/>
            </w:pPr>
          </w:p>
        </w:tc>
      </w:tr>
      <w:tr w:rsidR="0031192E" w14:paraId="40F2535B" w14:textId="77777777" w:rsidTr="00BB4C8F">
        <w:tc>
          <w:tcPr>
            <w:tcW w:w="3681" w:type="dxa"/>
          </w:tcPr>
          <w:p w14:paraId="787D0EB3" w14:textId="7B7E92D7" w:rsidR="0031192E" w:rsidRPr="003A3497" w:rsidRDefault="0031192E" w:rsidP="00BB4C8F">
            <w:pPr>
              <w:spacing w:after="0" w:line="240" w:lineRule="auto"/>
              <w:rPr>
                <w:rFonts w:eastAsia="Times New Roman" w:cstheme="minorHAnsi"/>
                <w:color w:val="000000"/>
              </w:rPr>
            </w:pPr>
            <w:r w:rsidRPr="00CA7FE2">
              <w:rPr>
                <w:rFonts w:eastAsia="Times New Roman" w:cstheme="minorHAnsi"/>
                <w:i/>
                <w:color w:val="000000"/>
              </w:rPr>
              <w:t>Police Regulation (Superannuation) Act 1906</w:t>
            </w:r>
            <w:r w:rsidRPr="003A3497">
              <w:rPr>
                <w:rFonts w:eastAsia="Times New Roman" w:cstheme="minorHAnsi"/>
                <w:color w:val="000000"/>
              </w:rPr>
              <w:t xml:space="preserve"> (NSW)</w:t>
            </w:r>
          </w:p>
        </w:tc>
        <w:tc>
          <w:tcPr>
            <w:tcW w:w="5335" w:type="dxa"/>
            <w:gridSpan w:val="2"/>
            <w:vMerge/>
          </w:tcPr>
          <w:p w14:paraId="70A9E63B" w14:textId="58D47F71" w:rsidR="0031192E" w:rsidRDefault="0031192E" w:rsidP="00BB4C8F">
            <w:pPr>
              <w:spacing w:after="0" w:line="240" w:lineRule="auto"/>
            </w:pPr>
          </w:p>
        </w:tc>
      </w:tr>
      <w:tr w:rsidR="0031192E" w14:paraId="301BCFF1" w14:textId="77777777" w:rsidTr="00BB4C8F">
        <w:tc>
          <w:tcPr>
            <w:tcW w:w="3681" w:type="dxa"/>
          </w:tcPr>
          <w:p w14:paraId="12D99EE0" w14:textId="2EF6E103" w:rsidR="0031192E" w:rsidRPr="00CA7FE2" w:rsidRDefault="0031192E" w:rsidP="00BB4C8F">
            <w:pPr>
              <w:spacing w:after="0" w:line="240" w:lineRule="auto"/>
              <w:rPr>
                <w:rFonts w:eastAsia="Times New Roman" w:cstheme="minorHAnsi"/>
                <w:color w:val="000000"/>
              </w:rPr>
            </w:pPr>
            <w:r w:rsidRPr="00FB3EE9">
              <w:rPr>
                <w:rFonts w:eastAsia="Times New Roman" w:cstheme="minorHAnsi"/>
                <w:i/>
                <w:color w:val="000000"/>
              </w:rPr>
              <w:t>Police Superannuation Regulation 2005</w:t>
            </w:r>
            <w:r w:rsidRPr="00E30967">
              <w:rPr>
                <w:rFonts w:eastAsia="Times New Roman" w:cstheme="minorHAnsi"/>
                <w:color w:val="000000"/>
              </w:rPr>
              <w:t xml:space="preserve"> (NSW)</w:t>
            </w:r>
          </w:p>
        </w:tc>
        <w:tc>
          <w:tcPr>
            <w:tcW w:w="5335" w:type="dxa"/>
            <w:gridSpan w:val="2"/>
            <w:vMerge/>
          </w:tcPr>
          <w:p w14:paraId="41B0A0F6" w14:textId="7DFBDA75" w:rsidR="0031192E" w:rsidRDefault="0031192E" w:rsidP="00BB4C8F">
            <w:pPr>
              <w:spacing w:after="0" w:line="240" w:lineRule="auto"/>
            </w:pPr>
          </w:p>
        </w:tc>
      </w:tr>
      <w:tr w:rsidR="0031192E" w14:paraId="7E2AACC5" w14:textId="77777777" w:rsidTr="00BB4C8F">
        <w:tc>
          <w:tcPr>
            <w:tcW w:w="3681" w:type="dxa"/>
          </w:tcPr>
          <w:p w14:paraId="745E038B" w14:textId="2C752B3F" w:rsidR="0031192E" w:rsidRPr="00FB3EE9" w:rsidRDefault="0031192E" w:rsidP="00BB4C8F">
            <w:pPr>
              <w:spacing w:after="0" w:line="240" w:lineRule="auto"/>
              <w:rPr>
                <w:rFonts w:eastAsia="Times New Roman" w:cstheme="minorHAnsi"/>
                <w:i/>
                <w:color w:val="000000"/>
              </w:rPr>
            </w:pPr>
            <w:r w:rsidRPr="003A3497">
              <w:rPr>
                <w:rFonts w:eastAsia="Times New Roman" w:cstheme="minorHAnsi"/>
                <w:i/>
                <w:color w:val="000000"/>
              </w:rPr>
              <w:lastRenderedPageBreak/>
              <w:t xml:space="preserve">State Authorities Non‑contributory Superannuation Act 1987 </w:t>
            </w:r>
            <w:r w:rsidRPr="00CA7FE2">
              <w:rPr>
                <w:rFonts w:eastAsia="Times New Roman" w:cstheme="minorHAnsi"/>
                <w:color w:val="000000"/>
              </w:rPr>
              <w:t>(NSW)</w:t>
            </w:r>
          </w:p>
        </w:tc>
        <w:tc>
          <w:tcPr>
            <w:tcW w:w="5335" w:type="dxa"/>
            <w:gridSpan w:val="2"/>
            <w:vMerge w:val="restart"/>
          </w:tcPr>
          <w:p w14:paraId="0B5DBC47" w14:textId="14B99EE8" w:rsidR="0031192E" w:rsidRDefault="0031192E" w:rsidP="00BB4C8F">
            <w:pPr>
              <w:spacing w:after="160" w:line="240" w:lineRule="auto"/>
              <w:rPr>
                <w:rStyle w:val="Hyperlink"/>
              </w:rPr>
            </w:pPr>
            <w:r w:rsidRPr="00A66E67">
              <w:rPr>
                <w:u w:val="single"/>
              </w:rPr>
              <w:t>Online</w:t>
            </w:r>
            <w:r>
              <w:rPr>
                <w:u w:val="single"/>
              </w:rPr>
              <w:br/>
            </w:r>
            <w:r w:rsidRPr="00A66E67">
              <w:rPr>
                <w:b/>
              </w:rPr>
              <w:t>Website</w:t>
            </w:r>
            <w:r w:rsidRPr="00A66E67">
              <w:t xml:space="preserve">: </w:t>
            </w:r>
            <w:r w:rsidRPr="00661787">
              <w:t>www.legislation.nsw.gov.au</w:t>
            </w:r>
          </w:p>
          <w:p w14:paraId="260CB4BB" w14:textId="77777777" w:rsidR="0031192E" w:rsidRPr="0031192E" w:rsidRDefault="0031192E" w:rsidP="00BB4C8F">
            <w:pPr>
              <w:spacing w:after="160" w:line="240" w:lineRule="auto"/>
              <w:rPr>
                <w:color w:val="0563C1" w:themeColor="hyperlink"/>
                <w:u w:val="single"/>
              </w:rPr>
            </w:pPr>
            <w:r w:rsidRPr="00A66E67">
              <w:rPr>
                <w:u w:val="single"/>
              </w:rPr>
              <w:t>Hardcopy</w:t>
            </w:r>
            <w:r>
              <w:rPr>
                <w:u w:val="single"/>
              </w:rPr>
              <w:br/>
            </w:r>
            <w:r w:rsidRPr="00A66E67">
              <w:t>LitSupport (TIMG) - supplier of hard copy New South Wales Legislation</w:t>
            </w:r>
          </w:p>
          <w:p w14:paraId="55BAE687" w14:textId="3C074406" w:rsidR="0031192E" w:rsidRDefault="0031192E" w:rsidP="00BB4C8F">
            <w:pPr>
              <w:spacing w:after="160" w:line="240" w:lineRule="auto"/>
            </w:pPr>
            <w:r w:rsidRPr="00A66E67">
              <w:rPr>
                <w:b/>
              </w:rPr>
              <w:t>Address:</w:t>
            </w:r>
            <w:r w:rsidRPr="00A66E67">
              <w:t xml:space="preserve"> Level 2, 32 Martin Place, Sydney, NSW, 2000</w:t>
            </w:r>
            <w:r w:rsidR="00155363">
              <w:br/>
            </w:r>
            <w:r w:rsidRPr="00A66E67">
              <w:rPr>
                <w:b/>
              </w:rPr>
              <w:t xml:space="preserve">Website: </w:t>
            </w:r>
            <w:r w:rsidRPr="00661787">
              <w:t xml:space="preserve"> https://legislationnsw.timg.com</w:t>
            </w:r>
            <w:r w:rsidR="00155363">
              <w:rPr>
                <w:rStyle w:val="Hyperlink"/>
              </w:rPr>
              <w:br/>
            </w:r>
            <w:r w:rsidRPr="00A66E67">
              <w:rPr>
                <w:b/>
              </w:rPr>
              <w:t>Telephone:</w:t>
            </w:r>
            <w:r w:rsidRPr="00A66E67">
              <w:t xml:space="preserve"> 02 9210 5920</w:t>
            </w:r>
            <w:r w:rsidRPr="00A66E67">
              <w:rPr>
                <w:b/>
              </w:rPr>
              <w:t> </w:t>
            </w:r>
            <w:r w:rsidR="00155363">
              <w:rPr>
                <w:b/>
              </w:rPr>
              <w:br/>
            </w:r>
            <w:r w:rsidRPr="00A66E67">
              <w:rPr>
                <w:b/>
              </w:rPr>
              <w:t xml:space="preserve">Email: </w:t>
            </w:r>
            <w:r w:rsidRPr="00A54671">
              <w:t>NSWLegislation@timg.com</w:t>
            </w:r>
          </w:p>
        </w:tc>
      </w:tr>
      <w:tr w:rsidR="0031192E" w14:paraId="6D61D849" w14:textId="77777777" w:rsidTr="00BB4C8F">
        <w:tc>
          <w:tcPr>
            <w:tcW w:w="3681" w:type="dxa"/>
          </w:tcPr>
          <w:p w14:paraId="27E81486" w14:textId="2608CD54" w:rsidR="0031192E" w:rsidRPr="00FB3EE9" w:rsidRDefault="0031192E" w:rsidP="00BB4C8F">
            <w:pPr>
              <w:spacing w:after="0" w:line="240" w:lineRule="auto"/>
              <w:rPr>
                <w:rFonts w:eastAsia="Times New Roman" w:cstheme="minorHAnsi"/>
                <w:i/>
                <w:color w:val="000000"/>
              </w:rPr>
            </w:pPr>
            <w:r w:rsidRPr="0057077D">
              <w:rPr>
                <w:rFonts w:eastAsia="Times New Roman" w:cstheme="minorHAnsi"/>
                <w:i/>
                <w:color w:val="000000"/>
              </w:rPr>
              <w:t xml:space="preserve">State Authorities Non‑contributory Superannuation Regulation 2005 </w:t>
            </w:r>
            <w:r w:rsidRPr="00CA7FE2">
              <w:rPr>
                <w:rFonts w:eastAsia="Times New Roman" w:cstheme="minorHAnsi"/>
                <w:color w:val="000000"/>
              </w:rPr>
              <w:t>(NSW)</w:t>
            </w:r>
          </w:p>
        </w:tc>
        <w:tc>
          <w:tcPr>
            <w:tcW w:w="5335" w:type="dxa"/>
            <w:gridSpan w:val="2"/>
            <w:vMerge/>
          </w:tcPr>
          <w:p w14:paraId="0D6817B3" w14:textId="77777777" w:rsidR="0031192E" w:rsidRDefault="0031192E" w:rsidP="00BB4C8F">
            <w:pPr>
              <w:spacing w:after="0" w:line="240" w:lineRule="auto"/>
            </w:pPr>
          </w:p>
        </w:tc>
      </w:tr>
      <w:tr w:rsidR="0031192E" w14:paraId="157A105E" w14:textId="77777777" w:rsidTr="00BB4C8F">
        <w:tc>
          <w:tcPr>
            <w:tcW w:w="3681" w:type="dxa"/>
          </w:tcPr>
          <w:p w14:paraId="21CD9217" w14:textId="1F332CFD" w:rsidR="0031192E" w:rsidRDefault="0031192E" w:rsidP="00BB4C8F">
            <w:pPr>
              <w:spacing w:after="0" w:line="240" w:lineRule="auto"/>
            </w:pPr>
            <w:r w:rsidRPr="00CA7FE2">
              <w:rPr>
                <w:rFonts w:eastAsia="Times New Roman" w:cstheme="minorHAnsi"/>
                <w:i/>
                <w:color w:val="000000"/>
              </w:rPr>
              <w:t>State Authorities Superannuation (Closed Local Government Schemes Transfer) (Savings and Transitional) Regulation 1990</w:t>
            </w:r>
            <w:r w:rsidRPr="003A3497">
              <w:rPr>
                <w:rFonts w:eastAsia="Times New Roman" w:cstheme="minorHAnsi"/>
                <w:color w:val="000000"/>
              </w:rPr>
              <w:t xml:space="preserve"> (NSW)</w:t>
            </w:r>
          </w:p>
        </w:tc>
        <w:tc>
          <w:tcPr>
            <w:tcW w:w="5335" w:type="dxa"/>
            <w:gridSpan w:val="2"/>
            <w:vMerge/>
          </w:tcPr>
          <w:p w14:paraId="666A4230" w14:textId="0951A83A" w:rsidR="0031192E" w:rsidRDefault="0031192E" w:rsidP="00BB4C8F">
            <w:pPr>
              <w:spacing w:after="0" w:line="240" w:lineRule="auto"/>
            </w:pPr>
          </w:p>
        </w:tc>
      </w:tr>
      <w:tr w:rsidR="0031192E" w14:paraId="21323880" w14:textId="77777777" w:rsidTr="00BB4C8F">
        <w:tc>
          <w:tcPr>
            <w:tcW w:w="3681" w:type="dxa"/>
          </w:tcPr>
          <w:p w14:paraId="174BB91A" w14:textId="6F936ED3" w:rsidR="0031192E" w:rsidRPr="003A3497" w:rsidRDefault="0031192E" w:rsidP="00BB4C8F">
            <w:pPr>
              <w:spacing w:after="0" w:line="240" w:lineRule="auto"/>
              <w:rPr>
                <w:rFonts w:eastAsia="Times New Roman" w:cstheme="minorHAnsi"/>
                <w:i/>
                <w:color w:val="000000"/>
              </w:rPr>
            </w:pPr>
            <w:r w:rsidRPr="003A3497">
              <w:rPr>
                <w:rFonts w:eastAsia="Times New Roman" w:cstheme="minorHAnsi"/>
                <w:i/>
                <w:color w:val="000000"/>
              </w:rPr>
              <w:t>State Authorities Superannuation Act 1987 </w:t>
            </w:r>
            <w:r w:rsidRPr="00CA7FE2">
              <w:rPr>
                <w:rFonts w:eastAsia="Times New Roman" w:cstheme="minorHAnsi"/>
                <w:color w:val="000000"/>
              </w:rPr>
              <w:t>(NSW)</w:t>
            </w:r>
          </w:p>
        </w:tc>
        <w:tc>
          <w:tcPr>
            <w:tcW w:w="5335" w:type="dxa"/>
            <w:gridSpan w:val="2"/>
            <w:vMerge/>
          </w:tcPr>
          <w:p w14:paraId="4F08D723" w14:textId="77777777" w:rsidR="0031192E" w:rsidRDefault="0031192E" w:rsidP="00BB4C8F">
            <w:pPr>
              <w:spacing w:after="0" w:line="240" w:lineRule="auto"/>
            </w:pPr>
          </w:p>
        </w:tc>
      </w:tr>
      <w:tr w:rsidR="0031192E" w14:paraId="106E3F64" w14:textId="77777777" w:rsidTr="00BB4C8F">
        <w:tc>
          <w:tcPr>
            <w:tcW w:w="3681" w:type="dxa"/>
          </w:tcPr>
          <w:p w14:paraId="5FBCFB4E" w14:textId="1D197AF7" w:rsidR="0031192E" w:rsidRPr="003A3497" w:rsidRDefault="0031192E" w:rsidP="00BB4C8F">
            <w:pPr>
              <w:spacing w:after="0" w:line="240" w:lineRule="auto"/>
              <w:rPr>
                <w:rFonts w:eastAsia="Times New Roman" w:cstheme="minorHAnsi"/>
                <w:i/>
                <w:color w:val="000000"/>
              </w:rPr>
            </w:pPr>
            <w:r w:rsidRPr="003A3497">
              <w:rPr>
                <w:rFonts w:eastAsia="Times New Roman" w:cstheme="minorHAnsi"/>
                <w:i/>
                <w:color w:val="000000"/>
              </w:rPr>
              <w:t>State Authorities Superannuation (State Public Service Superannuation Scheme Transfer) (Savings and Transitional) Regulation 1989 </w:t>
            </w:r>
            <w:r w:rsidRPr="00CA7FE2">
              <w:rPr>
                <w:rFonts w:eastAsia="Times New Roman" w:cstheme="minorHAnsi"/>
                <w:color w:val="000000"/>
              </w:rPr>
              <w:t>(NSW)</w:t>
            </w:r>
          </w:p>
        </w:tc>
        <w:tc>
          <w:tcPr>
            <w:tcW w:w="5335" w:type="dxa"/>
            <w:gridSpan w:val="2"/>
            <w:vMerge/>
          </w:tcPr>
          <w:p w14:paraId="7001CEFA" w14:textId="77777777" w:rsidR="0031192E" w:rsidRDefault="0031192E" w:rsidP="00BB4C8F">
            <w:pPr>
              <w:spacing w:after="0" w:line="240" w:lineRule="auto"/>
            </w:pPr>
          </w:p>
        </w:tc>
      </w:tr>
      <w:tr w:rsidR="0031192E" w14:paraId="5675FD25" w14:textId="77777777" w:rsidTr="00BB4C8F">
        <w:tc>
          <w:tcPr>
            <w:tcW w:w="3681" w:type="dxa"/>
          </w:tcPr>
          <w:p w14:paraId="4B405759" w14:textId="00659A5D" w:rsidR="0031192E" w:rsidRPr="003A3497" w:rsidRDefault="0031192E" w:rsidP="00BB4C8F">
            <w:pPr>
              <w:spacing w:after="0" w:line="240" w:lineRule="auto"/>
              <w:rPr>
                <w:rFonts w:eastAsia="Times New Roman" w:cstheme="minorHAnsi"/>
                <w:i/>
                <w:color w:val="000000"/>
              </w:rPr>
            </w:pPr>
            <w:r w:rsidRPr="003A3497">
              <w:rPr>
                <w:rFonts w:eastAsia="Times New Roman" w:cstheme="minorHAnsi"/>
                <w:i/>
                <w:color w:val="000000"/>
              </w:rPr>
              <w:t xml:space="preserve">Superannuation Act 1916 </w:t>
            </w:r>
            <w:r w:rsidRPr="00CA7FE2">
              <w:rPr>
                <w:rFonts w:eastAsia="Times New Roman" w:cstheme="minorHAnsi"/>
                <w:color w:val="000000"/>
              </w:rPr>
              <w:t>(NSW)</w:t>
            </w:r>
          </w:p>
        </w:tc>
        <w:tc>
          <w:tcPr>
            <w:tcW w:w="5335" w:type="dxa"/>
            <w:gridSpan w:val="2"/>
            <w:vMerge/>
          </w:tcPr>
          <w:p w14:paraId="7E63D1D6" w14:textId="77777777" w:rsidR="0031192E" w:rsidRDefault="0031192E" w:rsidP="00BB4C8F">
            <w:pPr>
              <w:spacing w:after="0" w:line="240" w:lineRule="auto"/>
            </w:pPr>
          </w:p>
        </w:tc>
      </w:tr>
      <w:tr w:rsidR="00956585" w14:paraId="0B43A954" w14:textId="77777777" w:rsidTr="00BB4C8F">
        <w:trPr>
          <w:gridAfter w:val="1"/>
          <w:wAfter w:w="8" w:type="dxa"/>
          <w:trHeight w:val="175"/>
        </w:trPr>
        <w:tc>
          <w:tcPr>
            <w:tcW w:w="3681" w:type="dxa"/>
            <w:tcBorders>
              <w:right w:val="nil"/>
            </w:tcBorders>
            <w:shd w:val="clear" w:color="auto" w:fill="F2F2F2" w:themeFill="background1" w:themeFillShade="F2"/>
          </w:tcPr>
          <w:p w14:paraId="0E15DD1C" w14:textId="1A455F80" w:rsidR="00956585" w:rsidRPr="002756DD" w:rsidRDefault="00956585" w:rsidP="00BB4C8F">
            <w:pPr>
              <w:spacing w:after="0" w:line="240" w:lineRule="auto"/>
              <w:rPr>
                <w:rFonts w:eastAsia="Times New Roman" w:cstheme="minorHAnsi"/>
                <w:b/>
                <w:color w:val="000000"/>
              </w:rPr>
            </w:pPr>
            <w:r>
              <w:rPr>
                <w:rFonts w:eastAsia="Times New Roman" w:cstheme="minorHAnsi"/>
                <w:b/>
                <w:color w:val="000000"/>
              </w:rPr>
              <w:t>Victoria</w:t>
            </w:r>
          </w:p>
        </w:tc>
        <w:tc>
          <w:tcPr>
            <w:tcW w:w="5327" w:type="dxa"/>
            <w:tcBorders>
              <w:left w:val="nil"/>
              <w:bottom w:val="single" w:sz="4" w:space="0" w:color="auto"/>
            </w:tcBorders>
            <w:shd w:val="clear" w:color="auto" w:fill="F2F2F2" w:themeFill="background1" w:themeFillShade="F2"/>
          </w:tcPr>
          <w:p w14:paraId="77D04067" w14:textId="77777777" w:rsidR="00956585" w:rsidRDefault="00956585" w:rsidP="00BB4C8F">
            <w:pPr>
              <w:spacing w:after="0" w:line="240" w:lineRule="auto"/>
            </w:pPr>
          </w:p>
        </w:tc>
      </w:tr>
      <w:tr w:rsidR="0031192E" w14:paraId="1CD00974" w14:textId="77777777" w:rsidTr="00BB4C8F">
        <w:trPr>
          <w:gridAfter w:val="1"/>
          <w:wAfter w:w="8" w:type="dxa"/>
        </w:trPr>
        <w:tc>
          <w:tcPr>
            <w:tcW w:w="3681" w:type="dxa"/>
          </w:tcPr>
          <w:p w14:paraId="69DB98A1" w14:textId="17226C4E" w:rsidR="0031192E" w:rsidRPr="003D4E13" w:rsidRDefault="0031192E" w:rsidP="00BB4C8F">
            <w:pPr>
              <w:spacing w:after="0" w:line="240" w:lineRule="auto"/>
              <w:rPr>
                <w:rFonts w:eastAsia="Times New Roman" w:cstheme="minorHAnsi"/>
                <w:bCs/>
                <w:i/>
                <w:color w:val="000000"/>
              </w:rPr>
            </w:pPr>
            <w:r w:rsidRPr="003D4E13">
              <w:rPr>
                <w:rFonts w:eastAsia="Times New Roman" w:cstheme="minorHAnsi"/>
                <w:bCs/>
                <w:i/>
                <w:color w:val="000000"/>
              </w:rPr>
              <w:t>Attorney-General and</w:t>
            </w:r>
            <w:r>
              <w:rPr>
                <w:rFonts w:eastAsia="Times New Roman" w:cstheme="minorHAnsi"/>
                <w:bCs/>
                <w:i/>
                <w:color w:val="000000"/>
              </w:rPr>
              <w:t xml:space="preserve"> </w:t>
            </w:r>
            <w:r w:rsidRPr="003D4E13">
              <w:rPr>
                <w:rFonts w:eastAsia="Times New Roman" w:cstheme="minorHAnsi"/>
                <w:bCs/>
                <w:i/>
                <w:color w:val="000000"/>
              </w:rPr>
              <w:t xml:space="preserve">Solicitor-General Act 1972 </w:t>
            </w:r>
            <w:r>
              <w:rPr>
                <w:rFonts w:eastAsia="Times New Roman" w:cstheme="minorHAnsi"/>
                <w:bCs/>
                <w:color w:val="000000"/>
              </w:rPr>
              <w:t>(VIC)</w:t>
            </w:r>
          </w:p>
        </w:tc>
        <w:tc>
          <w:tcPr>
            <w:tcW w:w="5327" w:type="dxa"/>
            <w:vMerge w:val="restart"/>
          </w:tcPr>
          <w:p w14:paraId="1CA1FCC3" w14:textId="60204026" w:rsidR="0031192E" w:rsidRPr="0031192E" w:rsidRDefault="0031192E" w:rsidP="00BB4C8F">
            <w:pPr>
              <w:spacing w:after="0" w:line="240" w:lineRule="auto"/>
              <w:rPr>
                <w:u w:val="single"/>
              </w:rPr>
            </w:pPr>
            <w:r w:rsidRPr="00CA7FE2">
              <w:rPr>
                <w:u w:val="single"/>
              </w:rPr>
              <w:t xml:space="preserve">Online </w:t>
            </w:r>
          </w:p>
          <w:p w14:paraId="2BB5E9B2" w14:textId="3377C0DF" w:rsidR="0031192E" w:rsidRDefault="0031192E" w:rsidP="00BB4C8F">
            <w:pPr>
              <w:spacing w:after="160" w:line="240" w:lineRule="auto"/>
            </w:pPr>
            <w:r w:rsidRPr="00CA7FE2">
              <w:rPr>
                <w:b/>
              </w:rPr>
              <w:t>Website</w:t>
            </w:r>
            <w:r>
              <w:t xml:space="preserve">: </w:t>
            </w:r>
            <w:r w:rsidRPr="00661787">
              <w:t>https://www.legislation.vic.gov.au</w:t>
            </w:r>
          </w:p>
          <w:p w14:paraId="0A1F1C14" w14:textId="56C72D75" w:rsidR="0031192E" w:rsidRDefault="0031192E" w:rsidP="00BB4C8F">
            <w:pPr>
              <w:spacing w:after="0" w:line="240" w:lineRule="auto"/>
              <w:rPr>
                <w:u w:val="single"/>
              </w:rPr>
            </w:pPr>
            <w:r w:rsidRPr="00CA7FE2">
              <w:rPr>
                <w:u w:val="single"/>
              </w:rPr>
              <w:t>Hardcopy</w:t>
            </w:r>
          </w:p>
          <w:p w14:paraId="112B7EAA" w14:textId="564926E1" w:rsidR="0031192E" w:rsidRDefault="0031192E" w:rsidP="00BB4C8F">
            <w:pPr>
              <w:spacing w:after="160" w:line="240" w:lineRule="auto"/>
              <w:rPr>
                <w:u w:val="single"/>
              </w:rPr>
            </w:pPr>
            <w:r w:rsidRPr="00252FA5">
              <w:t>LitSupport (TIMG) - supplier of hard copy Victoria</w:t>
            </w:r>
            <w:r>
              <w:t>n</w:t>
            </w:r>
            <w:r w:rsidRPr="00252FA5">
              <w:t xml:space="preserve"> Legislation</w:t>
            </w:r>
          </w:p>
          <w:p w14:paraId="491CC58E" w14:textId="46E2473A" w:rsidR="0031192E" w:rsidRDefault="0031192E" w:rsidP="00BB4C8F">
            <w:pPr>
              <w:spacing w:after="0" w:line="240" w:lineRule="auto"/>
            </w:pPr>
            <w:r w:rsidRPr="00912F7F">
              <w:rPr>
                <w:b/>
              </w:rPr>
              <w:t>Address:</w:t>
            </w:r>
            <w:r>
              <w:t xml:space="preserve"> </w:t>
            </w:r>
            <w:r w:rsidRPr="00922E22">
              <w:t>Level 10, 575 Bourke Street Melbourne, VIC, 3000</w:t>
            </w:r>
          </w:p>
          <w:p w14:paraId="287B49EE" w14:textId="67A99598" w:rsidR="0031192E" w:rsidRDefault="0031192E" w:rsidP="00BB4C8F">
            <w:pPr>
              <w:spacing w:after="0" w:line="240" w:lineRule="auto"/>
            </w:pPr>
            <w:r w:rsidRPr="00912F7F">
              <w:rPr>
                <w:b/>
              </w:rPr>
              <w:t>Website:</w:t>
            </w:r>
            <w:r>
              <w:t xml:space="preserve"> </w:t>
            </w:r>
            <w:r w:rsidRPr="00661787">
              <w:t>https://legislationvic.timg.com/</w:t>
            </w:r>
            <w:r>
              <w:t xml:space="preserve"> </w:t>
            </w:r>
            <w:r>
              <w:br/>
            </w:r>
            <w:r w:rsidRPr="00912F7F">
              <w:rPr>
                <w:b/>
              </w:rPr>
              <w:t>Telephone:</w:t>
            </w:r>
            <w:r>
              <w:t xml:space="preserve"> </w:t>
            </w:r>
            <w:r w:rsidRPr="00922E22">
              <w:t>03 8621 6767</w:t>
            </w:r>
            <w:r>
              <w:br/>
            </w:r>
            <w:r w:rsidRPr="00912F7F">
              <w:rPr>
                <w:b/>
              </w:rPr>
              <w:t>Email:</w:t>
            </w:r>
            <w:r>
              <w:t xml:space="preserve"> </w:t>
            </w:r>
            <w:r w:rsidRPr="00922E22">
              <w:t>VICLegislation@timg.com</w:t>
            </w:r>
          </w:p>
        </w:tc>
      </w:tr>
      <w:tr w:rsidR="0031192E" w14:paraId="7C175F21" w14:textId="77777777" w:rsidTr="00BB4C8F">
        <w:trPr>
          <w:gridAfter w:val="1"/>
          <w:wAfter w:w="8" w:type="dxa"/>
        </w:trPr>
        <w:tc>
          <w:tcPr>
            <w:tcW w:w="3681" w:type="dxa"/>
          </w:tcPr>
          <w:p w14:paraId="59C8442F" w14:textId="781D1D39" w:rsidR="0031192E" w:rsidRPr="003D4E13" w:rsidRDefault="0031192E" w:rsidP="00BB4C8F">
            <w:pPr>
              <w:spacing w:after="0" w:line="240" w:lineRule="auto"/>
              <w:rPr>
                <w:rFonts w:eastAsia="Times New Roman" w:cstheme="minorHAnsi"/>
                <w:bCs/>
                <w:i/>
                <w:color w:val="000000"/>
              </w:rPr>
            </w:pPr>
            <w:r w:rsidRPr="003D4E13">
              <w:rPr>
                <w:rFonts w:eastAsia="Times New Roman" w:cstheme="minorHAnsi"/>
                <w:bCs/>
                <w:i/>
                <w:color w:val="000000"/>
              </w:rPr>
              <w:t xml:space="preserve">Constitution Act 1975 </w:t>
            </w:r>
            <w:r>
              <w:rPr>
                <w:rFonts w:eastAsia="Times New Roman" w:cstheme="minorHAnsi"/>
                <w:bCs/>
                <w:color w:val="000000"/>
              </w:rPr>
              <w:t>(VIC)</w:t>
            </w:r>
          </w:p>
        </w:tc>
        <w:tc>
          <w:tcPr>
            <w:tcW w:w="5327" w:type="dxa"/>
            <w:vMerge/>
          </w:tcPr>
          <w:p w14:paraId="72ECA8DF" w14:textId="77777777" w:rsidR="0031192E" w:rsidRDefault="0031192E" w:rsidP="00BB4C8F">
            <w:pPr>
              <w:spacing w:after="0" w:line="240" w:lineRule="auto"/>
            </w:pPr>
          </w:p>
        </w:tc>
      </w:tr>
      <w:tr w:rsidR="0031192E" w14:paraId="6251001D" w14:textId="77777777" w:rsidTr="00BB4C8F">
        <w:trPr>
          <w:gridAfter w:val="1"/>
          <w:wAfter w:w="8" w:type="dxa"/>
        </w:trPr>
        <w:tc>
          <w:tcPr>
            <w:tcW w:w="3681" w:type="dxa"/>
          </w:tcPr>
          <w:p w14:paraId="3E065D38" w14:textId="32A17BF4" w:rsidR="0031192E" w:rsidRPr="003D4E13" w:rsidRDefault="0031192E" w:rsidP="00BB4C8F">
            <w:pPr>
              <w:spacing w:after="0" w:line="240" w:lineRule="auto"/>
              <w:rPr>
                <w:rFonts w:eastAsia="Times New Roman" w:cstheme="minorHAnsi"/>
                <w:bCs/>
                <w:i/>
                <w:color w:val="000000"/>
              </w:rPr>
            </w:pPr>
            <w:r w:rsidRPr="003D4E13">
              <w:rPr>
                <w:rFonts w:eastAsia="Times New Roman" w:cstheme="minorHAnsi"/>
                <w:bCs/>
                <w:i/>
                <w:color w:val="000000"/>
              </w:rPr>
              <w:t xml:space="preserve">County Court Act 1958 </w:t>
            </w:r>
            <w:r>
              <w:rPr>
                <w:rFonts w:eastAsia="Times New Roman" w:cstheme="minorHAnsi"/>
                <w:bCs/>
                <w:color w:val="000000"/>
              </w:rPr>
              <w:t>(VIC)</w:t>
            </w:r>
          </w:p>
        </w:tc>
        <w:tc>
          <w:tcPr>
            <w:tcW w:w="5327" w:type="dxa"/>
            <w:vMerge/>
          </w:tcPr>
          <w:p w14:paraId="15330B9B" w14:textId="77777777" w:rsidR="0031192E" w:rsidRDefault="0031192E" w:rsidP="00BB4C8F">
            <w:pPr>
              <w:spacing w:after="0" w:line="240" w:lineRule="auto"/>
            </w:pPr>
          </w:p>
        </w:tc>
      </w:tr>
      <w:tr w:rsidR="0031192E" w14:paraId="623032B5" w14:textId="77777777" w:rsidTr="00BB4C8F">
        <w:trPr>
          <w:gridAfter w:val="1"/>
          <w:wAfter w:w="8" w:type="dxa"/>
        </w:trPr>
        <w:tc>
          <w:tcPr>
            <w:tcW w:w="3681" w:type="dxa"/>
          </w:tcPr>
          <w:p w14:paraId="176EF56D" w14:textId="7791E23F" w:rsidR="0031192E" w:rsidRPr="003D4E13" w:rsidRDefault="0031192E" w:rsidP="00BB4C8F">
            <w:pPr>
              <w:spacing w:after="0" w:line="240" w:lineRule="auto"/>
              <w:rPr>
                <w:rFonts w:cstheme="minorHAnsi"/>
                <w:color w:val="000000"/>
              </w:rPr>
            </w:pPr>
            <w:r w:rsidRPr="00E30967">
              <w:rPr>
                <w:rFonts w:cstheme="minorHAnsi"/>
                <w:i/>
                <w:color w:val="000000"/>
              </w:rPr>
              <w:t>Emergency Services Superannuation Act 1986</w:t>
            </w:r>
            <w:r w:rsidRPr="00E30967">
              <w:rPr>
                <w:rFonts w:cstheme="minorHAnsi"/>
                <w:color w:val="000000"/>
              </w:rPr>
              <w:t xml:space="preserve"> </w:t>
            </w:r>
            <w:r>
              <w:rPr>
                <w:rFonts w:eastAsia="Times New Roman" w:cstheme="minorHAnsi"/>
                <w:bCs/>
                <w:color w:val="000000"/>
              </w:rPr>
              <w:t>(VIC)</w:t>
            </w:r>
          </w:p>
        </w:tc>
        <w:tc>
          <w:tcPr>
            <w:tcW w:w="5327" w:type="dxa"/>
            <w:vMerge/>
          </w:tcPr>
          <w:p w14:paraId="16CA1910" w14:textId="77777777" w:rsidR="0031192E" w:rsidRDefault="0031192E" w:rsidP="00BB4C8F">
            <w:pPr>
              <w:spacing w:after="0" w:line="240" w:lineRule="auto"/>
            </w:pPr>
          </w:p>
        </w:tc>
      </w:tr>
      <w:tr w:rsidR="0031192E" w14:paraId="20E31F2A" w14:textId="77777777" w:rsidTr="00BB4C8F">
        <w:trPr>
          <w:gridAfter w:val="1"/>
          <w:wAfter w:w="8" w:type="dxa"/>
        </w:trPr>
        <w:tc>
          <w:tcPr>
            <w:tcW w:w="3681" w:type="dxa"/>
          </w:tcPr>
          <w:p w14:paraId="04A7E0CC" w14:textId="7F35E53A" w:rsidR="0031192E" w:rsidRPr="00B94B04" w:rsidRDefault="0031192E" w:rsidP="00BB4C8F">
            <w:pPr>
              <w:spacing w:after="0" w:line="240" w:lineRule="auto"/>
              <w:rPr>
                <w:rFonts w:eastAsia="Times New Roman" w:cstheme="minorHAnsi"/>
                <w:i/>
                <w:color w:val="000000"/>
              </w:rPr>
            </w:pPr>
            <w:r w:rsidRPr="003D4E13">
              <w:rPr>
                <w:rFonts w:eastAsia="Times New Roman" w:cstheme="minorHAnsi"/>
                <w:i/>
                <w:color w:val="000000"/>
              </w:rPr>
              <w:t xml:space="preserve">Parliamentary Salaries and Superannuation Act 1968 </w:t>
            </w:r>
            <w:r w:rsidRPr="00CA7FE2">
              <w:rPr>
                <w:rFonts w:eastAsia="Times New Roman" w:cstheme="minorHAnsi"/>
                <w:color w:val="000000"/>
              </w:rPr>
              <w:t>(</w:t>
            </w:r>
            <w:r>
              <w:rPr>
                <w:rFonts w:eastAsia="Times New Roman" w:cstheme="minorHAnsi"/>
                <w:color w:val="000000"/>
              </w:rPr>
              <w:t>VIC)</w:t>
            </w:r>
          </w:p>
        </w:tc>
        <w:tc>
          <w:tcPr>
            <w:tcW w:w="5327" w:type="dxa"/>
            <w:vMerge/>
          </w:tcPr>
          <w:p w14:paraId="3767B6F8" w14:textId="77777777" w:rsidR="0031192E" w:rsidRDefault="0031192E" w:rsidP="00BB4C8F">
            <w:pPr>
              <w:spacing w:after="0" w:line="240" w:lineRule="auto"/>
            </w:pPr>
          </w:p>
        </w:tc>
      </w:tr>
      <w:tr w:rsidR="0031192E" w14:paraId="328A1597" w14:textId="77777777" w:rsidTr="00BB4C8F">
        <w:trPr>
          <w:gridAfter w:val="1"/>
          <w:wAfter w:w="8" w:type="dxa"/>
        </w:trPr>
        <w:tc>
          <w:tcPr>
            <w:tcW w:w="3681" w:type="dxa"/>
          </w:tcPr>
          <w:p w14:paraId="2EFB47F5" w14:textId="25A0A991" w:rsidR="0031192E" w:rsidRPr="00B94B04" w:rsidRDefault="0031192E" w:rsidP="00BB4C8F">
            <w:pPr>
              <w:spacing w:after="0" w:line="240" w:lineRule="auto"/>
              <w:rPr>
                <w:rFonts w:eastAsia="Times New Roman" w:cstheme="minorHAnsi"/>
                <w:i/>
                <w:color w:val="000000"/>
              </w:rPr>
            </w:pPr>
            <w:r w:rsidRPr="00B94B04">
              <w:rPr>
                <w:rFonts w:cstheme="minorHAnsi"/>
                <w:bCs/>
                <w:i/>
                <w:color w:val="000000"/>
              </w:rPr>
              <w:t>Public</w:t>
            </w:r>
            <w:r>
              <w:rPr>
                <w:rFonts w:cstheme="minorHAnsi"/>
                <w:bCs/>
                <w:i/>
                <w:color w:val="000000"/>
              </w:rPr>
              <w:t xml:space="preserve"> </w:t>
            </w:r>
            <w:r w:rsidRPr="00B94B04">
              <w:rPr>
                <w:rFonts w:cstheme="minorHAnsi"/>
                <w:bCs/>
                <w:i/>
                <w:color w:val="000000"/>
              </w:rPr>
              <w:t xml:space="preserve">Prosecutions Act 1994 </w:t>
            </w:r>
            <w:r>
              <w:rPr>
                <w:rFonts w:eastAsia="Times New Roman" w:cstheme="minorHAnsi"/>
                <w:bCs/>
                <w:color w:val="000000"/>
              </w:rPr>
              <w:t>(VIC)</w:t>
            </w:r>
          </w:p>
        </w:tc>
        <w:tc>
          <w:tcPr>
            <w:tcW w:w="5327" w:type="dxa"/>
            <w:vMerge/>
          </w:tcPr>
          <w:p w14:paraId="79043C4C" w14:textId="77777777" w:rsidR="0031192E" w:rsidRDefault="0031192E" w:rsidP="00BB4C8F">
            <w:pPr>
              <w:spacing w:after="0" w:line="240" w:lineRule="auto"/>
            </w:pPr>
          </w:p>
        </w:tc>
      </w:tr>
      <w:tr w:rsidR="0031192E" w14:paraId="5D227A24" w14:textId="77777777" w:rsidTr="00BB4C8F">
        <w:trPr>
          <w:gridAfter w:val="1"/>
          <w:wAfter w:w="8" w:type="dxa"/>
        </w:trPr>
        <w:tc>
          <w:tcPr>
            <w:tcW w:w="3681" w:type="dxa"/>
          </w:tcPr>
          <w:p w14:paraId="10604096" w14:textId="3E566251" w:rsidR="0031192E" w:rsidRPr="00E30967" w:rsidRDefault="0031192E" w:rsidP="00BB4C8F">
            <w:pPr>
              <w:spacing w:after="0" w:line="240" w:lineRule="auto"/>
              <w:rPr>
                <w:rFonts w:eastAsia="Times New Roman" w:cstheme="minorHAnsi"/>
                <w:color w:val="000000"/>
              </w:rPr>
            </w:pPr>
            <w:r w:rsidRPr="00B94B04">
              <w:rPr>
                <w:rFonts w:eastAsia="Times New Roman" w:cstheme="minorHAnsi"/>
                <w:i/>
                <w:color w:val="000000"/>
              </w:rPr>
              <w:t>Public Sector Management Act 1992</w:t>
            </w:r>
            <w:r w:rsidRPr="00B94B04">
              <w:rPr>
                <w:rFonts w:eastAsia="Times New Roman" w:cstheme="minorHAnsi"/>
                <w:color w:val="000000"/>
              </w:rPr>
              <w:t xml:space="preserve"> (VIC)</w:t>
            </w:r>
          </w:p>
        </w:tc>
        <w:tc>
          <w:tcPr>
            <w:tcW w:w="5327" w:type="dxa"/>
            <w:vMerge/>
          </w:tcPr>
          <w:p w14:paraId="579A7FB7" w14:textId="77777777" w:rsidR="0031192E" w:rsidRDefault="0031192E" w:rsidP="00BB4C8F">
            <w:pPr>
              <w:spacing w:after="0" w:line="240" w:lineRule="auto"/>
            </w:pPr>
          </w:p>
        </w:tc>
      </w:tr>
      <w:tr w:rsidR="0031192E" w14:paraId="6F02FB1C" w14:textId="77777777" w:rsidTr="00BB4C8F">
        <w:trPr>
          <w:gridAfter w:val="1"/>
          <w:wAfter w:w="8" w:type="dxa"/>
        </w:trPr>
        <w:tc>
          <w:tcPr>
            <w:tcW w:w="3681" w:type="dxa"/>
          </w:tcPr>
          <w:p w14:paraId="0CFDE026" w14:textId="1DD47F47" w:rsidR="0031192E" w:rsidRPr="00E30967" w:rsidRDefault="0031192E" w:rsidP="00BB4C8F">
            <w:pPr>
              <w:spacing w:after="0" w:line="240" w:lineRule="auto"/>
              <w:rPr>
                <w:rFonts w:eastAsia="Times New Roman" w:cstheme="minorHAnsi"/>
                <w:color w:val="000000"/>
              </w:rPr>
            </w:pPr>
            <w:r w:rsidRPr="00E30967">
              <w:rPr>
                <w:rFonts w:eastAsia="Times New Roman" w:cstheme="minorHAnsi"/>
                <w:i/>
                <w:color w:val="000000"/>
              </w:rPr>
              <w:t>Public Sector Management and Employment Act 1998</w:t>
            </w:r>
            <w:r w:rsidRPr="00E30967">
              <w:rPr>
                <w:rFonts w:eastAsia="Times New Roman" w:cstheme="minorHAnsi"/>
                <w:color w:val="000000"/>
              </w:rPr>
              <w:t xml:space="preserve"> (VIC)</w:t>
            </w:r>
          </w:p>
        </w:tc>
        <w:tc>
          <w:tcPr>
            <w:tcW w:w="5327" w:type="dxa"/>
            <w:vMerge/>
          </w:tcPr>
          <w:p w14:paraId="028CCF8D" w14:textId="1279172C" w:rsidR="0031192E" w:rsidRDefault="0031192E" w:rsidP="00EE19E0">
            <w:pPr>
              <w:spacing w:after="0" w:line="240" w:lineRule="auto"/>
            </w:pPr>
          </w:p>
        </w:tc>
      </w:tr>
      <w:tr w:rsidR="0031192E" w14:paraId="53837772" w14:textId="77777777" w:rsidTr="00BB4C8F">
        <w:trPr>
          <w:gridAfter w:val="1"/>
          <w:wAfter w:w="8" w:type="dxa"/>
        </w:trPr>
        <w:tc>
          <w:tcPr>
            <w:tcW w:w="3681" w:type="dxa"/>
          </w:tcPr>
          <w:p w14:paraId="31940F03" w14:textId="48BFFFA7" w:rsidR="0031192E" w:rsidRPr="00E30967" w:rsidRDefault="0031192E" w:rsidP="00BB4C8F">
            <w:pPr>
              <w:spacing w:after="0" w:line="240" w:lineRule="auto"/>
              <w:rPr>
                <w:rFonts w:eastAsia="Times New Roman" w:cstheme="minorHAnsi"/>
                <w:color w:val="000000"/>
              </w:rPr>
            </w:pPr>
            <w:r w:rsidRPr="00E30967">
              <w:rPr>
                <w:rFonts w:cstheme="minorHAnsi"/>
                <w:i/>
                <w:color w:val="000000"/>
              </w:rPr>
              <w:t>State Superannuation Act 1988 </w:t>
            </w:r>
            <w:r>
              <w:rPr>
                <w:rFonts w:eastAsia="Times New Roman" w:cstheme="minorHAnsi"/>
                <w:bCs/>
                <w:color w:val="000000"/>
              </w:rPr>
              <w:t>(VIC)</w:t>
            </w:r>
          </w:p>
        </w:tc>
        <w:tc>
          <w:tcPr>
            <w:tcW w:w="5327" w:type="dxa"/>
            <w:vMerge/>
          </w:tcPr>
          <w:p w14:paraId="1810B1D8" w14:textId="77777777" w:rsidR="0031192E" w:rsidRDefault="0031192E" w:rsidP="00BB4C8F">
            <w:pPr>
              <w:spacing w:after="0" w:line="240" w:lineRule="auto"/>
            </w:pPr>
          </w:p>
        </w:tc>
      </w:tr>
      <w:tr w:rsidR="00BB4C8F" w14:paraId="6ECCFA5E" w14:textId="77777777" w:rsidTr="00BB4C8F">
        <w:trPr>
          <w:gridAfter w:val="1"/>
          <w:wAfter w:w="8" w:type="dxa"/>
        </w:trPr>
        <w:tc>
          <w:tcPr>
            <w:tcW w:w="3681" w:type="dxa"/>
          </w:tcPr>
          <w:p w14:paraId="35DF7E50" w14:textId="66C86307" w:rsidR="00BB4C8F" w:rsidRPr="00E30967" w:rsidRDefault="00BB4C8F" w:rsidP="00BB4C8F">
            <w:pPr>
              <w:spacing w:after="0" w:line="240" w:lineRule="auto"/>
              <w:rPr>
                <w:rFonts w:cstheme="minorHAnsi"/>
                <w:i/>
                <w:color w:val="000000"/>
              </w:rPr>
            </w:pPr>
            <w:r w:rsidRPr="00E30967">
              <w:rPr>
                <w:rFonts w:cstheme="minorHAnsi"/>
                <w:bCs/>
                <w:i/>
                <w:color w:val="000000"/>
              </w:rPr>
              <w:t xml:space="preserve">State Employees Retirement Benefits Act 1979 </w:t>
            </w:r>
            <w:r>
              <w:rPr>
                <w:rFonts w:eastAsia="Times New Roman" w:cstheme="minorHAnsi"/>
                <w:bCs/>
                <w:color w:val="000000"/>
              </w:rPr>
              <w:t>(VIC)</w:t>
            </w:r>
          </w:p>
        </w:tc>
        <w:tc>
          <w:tcPr>
            <w:tcW w:w="5327" w:type="dxa"/>
            <w:vMerge/>
          </w:tcPr>
          <w:p w14:paraId="59FD8B11" w14:textId="77777777" w:rsidR="00BB4C8F" w:rsidRDefault="00BB4C8F" w:rsidP="00BB4C8F">
            <w:pPr>
              <w:spacing w:after="0" w:line="240" w:lineRule="auto"/>
            </w:pPr>
          </w:p>
        </w:tc>
      </w:tr>
      <w:tr w:rsidR="0031192E" w14:paraId="4F6118F5" w14:textId="77777777" w:rsidTr="00BB4C8F">
        <w:trPr>
          <w:gridAfter w:val="1"/>
          <w:wAfter w:w="8" w:type="dxa"/>
        </w:trPr>
        <w:tc>
          <w:tcPr>
            <w:tcW w:w="3681" w:type="dxa"/>
          </w:tcPr>
          <w:p w14:paraId="45F95D87" w14:textId="75D1E197" w:rsidR="0031192E" w:rsidRPr="00E30967" w:rsidRDefault="0031192E" w:rsidP="00BB4C8F">
            <w:pPr>
              <w:spacing w:after="0" w:line="240" w:lineRule="auto"/>
              <w:rPr>
                <w:rFonts w:cstheme="minorHAnsi"/>
                <w:i/>
                <w:color w:val="000000"/>
              </w:rPr>
            </w:pPr>
            <w:r w:rsidRPr="00E30967">
              <w:rPr>
                <w:rFonts w:cstheme="minorHAnsi"/>
                <w:bCs/>
                <w:i/>
                <w:color w:val="000000"/>
              </w:rPr>
              <w:t>Superannuation Benefits Act 1977</w:t>
            </w:r>
            <w:r w:rsidRPr="00E30967">
              <w:rPr>
                <w:rFonts w:cstheme="minorHAnsi"/>
                <w:bCs/>
                <w:color w:val="000000"/>
              </w:rPr>
              <w:t xml:space="preserve"> </w:t>
            </w:r>
            <w:r>
              <w:rPr>
                <w:rFonts w:eastAsia="Times New Roman" w:cstheme="minorHAnsi"/>
                <w:bCs/>
                <w:color w:val="000000"/>
              </w:rPr>
              <w:t>(VIC)</w:t>
            </w:r>
          </w:p>
        </w:tc>
        <w:tc>
          <w:tcPr>
            <w:tcW w:w="5327" w:type="dxa"/>
            <w:vMerge/>
          </w:tcPr>
          <w:p w14:paraId="0A85F051" w14:textId="77777777" w:rsidR="0031192E" w:rsidRDefault="0031192E" w:rsidP="00BB4C8F">
            <w:pPr>
              <w:spacing w:after="0" w:line="240" w:lineRule="auto"/>
            </w:pPr>
          </w:p>
        </w:tc>
      </w:tr>
      <w:tr w:rsidR="0031192E" w14:paraId="4FBB09E6" w14:textId="77777777" w:rsidTr="00BB4C8F">
        <w:trPr>
          <w:gridAfter w:val="1"/>
          <w:wAfter w:w="8" w:type="dxa"/>
        </w:trPr>
        <w:tc>
          <w:tcPr>
            <w:tcW w:w="3681" w:type="dxa"/>
          </w:tcPr>
          <w:p w14:paraId="34B17488" w14:textId="137166EC" w:rsidR="0031192E" w:rsidRPr="00E30967" w:rsidRDefault="0031192E" w:rsidP="00BB4C8F">
            <w:pPr>
              <w:spacing w:after="0" w:line="240" w:lineRule="auto"/>
              <w:rPr>
                <w:rFonts w:cstheme="minorHAnsi"/>
                <w:bCs/>
                <w:i/>
                <w:color w:val="000000"/>
              </w:rPr>
            </w:pPr>
            <w:r w:rsidRPr="003D4E13">
              <w:rPr>
                <w:rFonts w:cstheme="minorHAnsi"/>
                <w:bCs/>
                <w:i/>
                <w:color w:val="000000"/>
              </w:rPr>
              <w:t xml:space="preserve">Superannuation (Portability) Act 1989 </w:t>
            </w:r>
            <w:r>
              <w:rPr>
                <w:rFonts w:eastAsia="Times New Roman" w:cstheme="minorHAnsi"/>
                <w:bCs/>
                <w:color w:val="000000"/>
              </w:rPr>
              <w:t>(VIC)</w:t>
            </w:r>
          </w:p>
        </w:tc>
        <w:tc>
          <w:tcPr>
            <w:tcW w:w="5327" w:type="dxa"/>
            <w:vMerge/>
          </w:tcPr>
          <w:p w14:paraId="16D04A31" w14:textId="77777777" w:rsidR="0031192E" w:rsidRDefault="0031192E" w:rsidP="00BB4C8F">
            <w:pPr>
              <w:spacing w:after="0" w:line="240" w:lineRule="auto"/>
            </w:pPr>
          </w:p>
        </w:tc>
      </w:tr>
      <w:tr w:rsidR="0031192E" w14:paraId="0AC8C0CA" w14:textId="77777777" w:rsidTr="00BB4C8F">
        <w:trPr>
          <w:gridAfter w:val="1"/>
          <w:wAfter w:w="8" w:type="dxa"/>
        </w:trPr>
        <w:tc>
          <w:tcPr>
            <w:tcW w:w="3681" w:type="dxa"/>
          </w:tcPr>
          <w:p w14:paraId="6C1B7A2C" w14:textId="310C276A" w:rsidR="0031192E" w:rsidRPr="00E30967" w:rsidRDefault="0031192E" w:rsidP="00BB4C8F">
            <w:pPr>
              <w:spacing w:after="0" w:line="240" w:lineRule="auto"/>
              <w:rPr>
                <w:rFonts w:cstheme="minorHAnsi"/>
                <w:i/>
                <w:color w:val="000000"/>
              </w:rPr>
            </w:pPr>
            <w:r w:rsidRPr="00B94B04">
              <w:rPr>
                <w:rFonts w:cstheme="minorHAnsi"/>
                <w:bCs/>
                <w:i/>
                <w:color w:val="000000"/>
              </w:rPr>
              <w:t xml:space="preserve">Supreme Court Act 1986 </w:t>
            </w:r>
            <w:r>
              <w:rPr>
                <w:rFonts w:eastAsia="Times New Roman" w:cstheme="minorHAnsi"/>
                <w:bCs/>
                <w:color w:val="000000"/>
              </w:rPr>
              <w:t>(VIC)</w:t>
            </w:r>
          </w:p>
        </w:tc>
        <w:tc>
          <w:tcPr>
            <w:tcW w:w="5327" w:type="dxa"/>
            <w:vMerge/>
          </w:tcPr>
          <w:p w14:paraId="752AECBB" w14:textId="77777777" w:rsidR="0031192E" w:rsidRDefault="0031192E" w:rsidP="00BB4C8F">
            <w:pPr>
              <w:spacing w:after="0" w:line="240" w:lineRule="auto"/>
            </w:pPr>
          </w:p>
        </w:tc>
      </w:tr>
      <w:tr w:rsidR="0031192E" w14:paraId="1670757F" w14:textId="77777777" w:rsidTr="00BB4C8F">
        <w:trPr>
          <w:gridAfter w:val="1"/>
          <w:wAfter w:w="8" w:type="dxa"/>
        </w:trPr>
        <w:tc>
          <w:tcPr>
            <w:tcW w:w="3681" w:type="dxa"/>
          </w:tcPr>
          <w:p w14:paraId="13589ED4" w14:textId="4CBC9385" w:rsidR="0031192E" w:rsidRPr="00E30967" w:rsidRDefault="0031192E" w:rsidP="00BB4C8F">
            <w:pPr>
              <w:spacing w:after="0" w:line="240" w:lineRule="auto"/>
              <w:rPr>
                <w:rFonts w:cstheme="minorHAnsi"/>
                <w:i/>
                <w:color w:val="000000"/>
              </w:rPr>
            </w:pPr>
            <w:r w:rsidRPr="00E30967">
              <w:rPr>
                <w:rFonts w:cstheme="minorHAnsi"/>
                <w:i/>
                <w:color w:val="000000"/>
              </w:rPr>
              <w:t xml:space="preserve">Transport Superannuation Act 1989 </w:t>
            </w:r>
            <w:r>
              <w:rPr>
                <w:rFonts w:eastAsia="Times New Roman" w:cstheme="minorHAnsi"/>
                <w:bCs/>
                <w:color w:val="000000"/>
              </w:rPr>
              <w:t>(VIC)</w:t>
            </w:r>
          </w:p>
        </w:tc>
        <w:tc>
          <w:tcPr>
            <w:tcW w:w="5327" w:type="dxa"/>
            <w:vMerge/>
          </w:tcPr>
          <w:p w14:paraId="49D1F352" w14:textId="77777777" w:rsidR="0031192E" w:rsidRDefault="0031192E" w:rsidP="00BB4C8F">
            <w:pPr>
              <w:spacing w:after="0" w:line="240" w:lineRule="auto"/>
            </w:pPr>
          </w:p>
        </w:tc>
      </w:tr>
      <w:tr w:rsidR="00956585" w:rsidRPr="002756DD" w14:paraId="34D7D15D" w14:textId="77777777" w:rsidTr="00BB4C8F">
        <w:trPr>
          <w:gridAfter w:val="1"/>
          <w:wAfter w:w="8" w:type="dxa"/>
          <w:trHeight w:val="58"/>
        </w:trPr>
        <w:tc>
          <w:tcPr>
            <w:tcW w:w="3681" w:type="dxa"/>
            <w:tcBorders>
              <w:bottom w:val="single" w:sz="4" w:space="0" w:color="auto"/>
              <w:right w:val="nil"/>
            </w:tcBorders>
            <w:shd w:val="clear" w:color="auto" w:fill="F2F2F2" w:themeFill="background1" w:themeFillShade="F2"/>
          </w:tcPr>
          <w:p w14:paraId="74274883" w14:textId="4A5899A0" w:rsidR="00956585" w:rsidRPr="002756DD" w:rsidRDefault="00956585" w:rsidP="00956585">
            <w:pPr>
              <w:spacing w:after="0" w:line="240" w:lineRule="auto"/>
              <w:rPr>
                <w:rFonts w:eastAsia="Times New Roman" w:cstheme="minorHAnsi"/>
                <w:b/>
                <w:color w:val="000000"/>
              </w:rPr>
            </w:pPr>
            <w:r w:rsidRPr="002756DD">
              <w:rPr>
                <w:rFonts w:eastAsia="Times New Roman" w:cstheme="minorHAnsi"/>
                <w:b/>
                <w:color w:val="000000"/>
              </w:rPr>
              <w:t>Queensland</w:t>
            </w:r>
          </w:p>
        </w:tc>
        <w:tc>
          <w:tcPr>
            <w:tcW w:w="5327" w:type="dxa"/>
            <w:tcBorders>
              <w:left w:val="nil"/>
              <w:bottom w:val="single" w:sz="4" w:space="0" w:color="auto"/>
            </w:tcBorders>
            <w:shd w:val="clear" w:color="auto" w:fill="F2F2F2" w:themeFill="background1" w:themeFillShade="F2"/>
          </w:tcPr>
          <w:p w14:paraId="2215AE98" w14:textId="77777777" w:rsidR="00956585" w:rsidRPr="002756DD" w:rsidRDefault="00956585" w:rsidP="00956585">
            <w:pPr>
              <w:spacing w:after="0" w:line="240" w:lineRule="auto"/>
              <w:rPr>
                <w:b/>
              </w:rPr>
            </w:pPr>
          </w:p>
        </w:tc>
      </w:tr>
      <w:tr w:rsidR="00956585" w14:paraId="4FF2B264" w14:textId="77777777" w:rsidTr="00BB4C8F">
        <w:trPr>
          <w:gridAfter w:val="1"/>
          <w:wAfter w:w="8" w:type="dxa"/>
        </w:trPr>
        <w:tc>
          <w:tcPr>
            <w:tcW w:w="3681" w:type="dxa"/>
            <w:tcBorders>
              <w:bottom w:val="single" w:sz="4" w:space="0" w:color="auto"/>
            </w:tcBorders>
          </w:tcPr>
          <w:p w14:paraId="16915851" w14:textId="51A7E02D" w:rsidR="00956585" w:rsidRPr="00E30967" w:rsidRDefault="00956585" w:rsidP="0031192E">
            <w:pPr>
              <w:spacing w:after="0" w:line="240" w:lineRule="auto"/>
              <w:rPr>
                <w:rFonts w:eastAsia="Times New Roman" w:cstheme="minorHAnsi"/>
                <w:color w:val="000000"/>
              </w:rPr>
            </w:pPr>
            <w:r w:rsidRPr="00CA7FE2">
              <w:rPr>
                <w:rFonts w:eastAsia="Times New Roman" w:cstheme="minorHAnsi"/>
                <w:i/>
                <w:color w:val="000000"/>
              </w:rPr>
              <w:t>Local Government Act 1993</w:t>
            </w:r>
            <w:r w:rsidRPr="00490481">
              <w:rPr>
                <w:rFonts w:eastAsia="Times New Roman" w:cstheme="minorHAnsi"/>
                <w:color w:val="000000"/>
              </w:rPr>
              <w:t xml:space="preserve"> (Q</w:t>
            </w:r>
            <w:r>
              <w:rPr>
                <w:rFonts w:eastAsia="Times New Roman" w:cstheme="minorHAnsi"/>
                <w:color w:val="000000"/>
              </w:rPr>
              <w:t>LD</w:t>
            </w:r>
            <w:r w:rsidRPr="00490481">
              <w:rPr>
                <w:rFonts w:eastAsia="Times New Roman" w:cstheme="minorHAnsi"/>
                <w:color w:val="000000"/>
              </w:rPr>
              <w:t>)</w:t>
            </w:r>
          </w:p>
        </w:tc>
        <w:tc>
          <w:tcPr>
            <w:tcW w:w="5327" w:type="dxa"/>
            <w:vMerge w:val="restart"/>
          </w:tcPr>
          <w:p w14:paraId="15760D9A" w14:textId="05E7AA47" w:rsidR="00956585" w:rsidRPr="00155363" w:rsidRDefault="00956585" w:rsidP="00155363">
            <w:pPr>
              <w:spacing w:after="160" w:line="240" w:lineRule="auto"/>
              <w:rPr>
                <w:rFonts w:eastAsia="Times New Roman" w:cstheme="minorHAnsi"/>
                <w:color w:val="000000"/>
              </w:rPr>
            </w:pPr>
            <w:r w:rsidRPr="00CA7FE2">
              <w:rPr>
                <w:rFonts w:eastAsia="Times New Roman" w:cstheme="minorHAnsi"/>
                <w:color w:val="000000"/>
                <w:u w:val="single"/>
              </w:rPr>
              <w:t>Online</w:t>
            </w:r>
            <w:r w:rsidR="00155363">
              <w:rPr>
                <w:rFonts w:eastAsia="Times New Roman" w:cstheme="minorHAnsi"/>
                <w:color w:val="000000"/>
                <w:u w:val="single"/>
              </w:rPr>
              <w:br/>
            </w:r>
            <w:r w:rsidRPr="00CA7FE2">
              <w:rPr>
                <w:b/>
              </w:rPr>
              <w:t>Website</w:t>
            </w:r>
            <w:r>
              <w:t xml:space="preserve">: </w:t>
            </w:r>
            <w:r w:rsidRPr="00661787">
              <w:rPr>
                <w:rFonts w:eastAsia="Times New Roman" w:cstheme="minorHAnsi"/>
              </w:rPr>
              <w:t>www.legislation.qld.gov.au</w:t>
            </w:r>
          </w:p>
          <w:p w14:paraId="7DF9A309" w14:textId="77777777" w:rsidR="00155363" w:rsidRDefault="00956585" w:rsidP="00155363">
            <w:pPr>
              <w:spacing w:after="160" w:line="240" w:lineRule="auto"/>
            </w:pPr>
            <w:r w:rsidRPr="00CA7FE2">
              <w:rPr>
                <w:rFonts w:cstheme="minorHAnsi"/>
                <w:color w:val="000000"/>
                <w:u w:val="single"/>
              </w:rPr>
              <w:t xml:space="preserve">Hardcopy </w:t>
            </w:r>
            <w:r w:rsidR="00155363">
              <w:rPr>
                <w:rFonts w:cstheme="minorHAnsi"/>
                <w:color w:val="000000"/>
                <w:u w:val="single"/>
              </w:rPr>
              <w:br/>
            </w:r>
            <w:r>
              <w:rPr>
                <w:rFonts w:cstheme="minorHAnsi"/>
                <w:color w:val="000000"/>
              </w:rPr>
              <w:t xml:space="preserve">LitSupport (TIMG) </w:t>
            </w:r>
            <w:r w:rsidR="00A54671">
              <w:rPr>
                <w:rFonts w:cstheme="minorHAnsi"/>
                <w:color w:val="000000"/>
              </w:rPr>
              <w:t xml:space="preserve">- </w:t>
            </w:r>
            <w:r>
              <w:t>supplier of hard copy Queensland</w:t>
            </w:r>
            <w:r w:rsidRPr="00742F5D">
              <w:t xml:space="preserve"> </w:t>
            </w:r>
            <w:r>
              <w:t>Legislation</w:t>
            </w:r>
          </w:p>
          <w:p w14:paraId="60F5C77B" w14:textId="692D5165" w:rsidR="00956585" w:rsidRPr="0046731A" w:rsidRDefault="00956585" w:rsidP="0046731A">
            <w:pPr>
              <w:spacing w:after="160" w:line="240" w:lineRule="auto"/>
              <w:rPr>
                <w:rFonts w:cstheme="minorHAnsi"/>
                <w:color w:val="000000"/>
              </w:rPr>
            </w:pPr>
            <w:r>
              <w:rPr>
                <w:rFonts w:cstheme="minorHAnsi"/>
                <w:b/>
                <w:color w:val="000000"/>
              </w:rPr>
              <w:t>A</w:t>
            </w:r>
            <w:r w:rsidRPr="00CA7FE2">
              <w:rPr>
                <w:rFonts w:cstheme="minorHAnsi"/>
                <w:b/>
                <w:color w:val="000000"/>
              </w:rPr>
              <w:t>ddress</w:t>
            </w:r>
            <w:r>
              <w:rPr>
                <w:rFonts w:cstheme="minorHAnsi"/>
                <w:color w:val="000000"/>
              </w:rPr>
              <w:t xml:space="preserve">: </w:t>
            </w:r>
            <w:r w:rsidRPr="00132ECE">
              <w:rPr>
                <w:rFonts w:cstheme="minorHAnsi"/>
                <w:color w:val="000000"/>
              </w:rPr>
              <w:t>Level 1, 145 Eagle Street, Brisbane</w:t>
            </w:r>
            <w:r w:rsidR="006E6F78">
              <w:rPr>
                <w:rFonts w:cstheme="minorHAnsi"/>
                <w:color w:val="000000"/>
              </w:rPr>
              <w:t>,</w:t>
            </w:r>
            <w:r w:rsidRPr="00132ECE">
              <w:rPr>
                <w:rFonts w:cstheme="minorHAnsi"/>
                <w:color w:val="000000"/>
              </w:rPr>
              <w:t xml:space="preserve"> QLD</w:t>
            </w:r>
            <w:r w:rsidR="006E6F78">
              <w:rPr>
                <w:rFonts w:cstheme="minorHAnsi"/>
                <w:color w:val="000000"/>
              </w:rPr>
              <w:t>,</w:t>
            </w:r>
            <w:r w:rsidRPr="00132ECE">
              <w:rPr>
                <w:rFonts w:cstheme="minorHAnsi"/>
                <w:color w:val="000000"/>
              </w:rPr>
              <w:t xml:space="preserve"> 4000</w:t>
            </w:r>
            <w:r w:rsidR="00155363">
              <w:rPr>
                <w:rFonts w:cstheme="minorHAnsi"/>
                <w:color w:val="000000"/>
              </w:rPr>
              <w:br/>
            </w:r>
            <w:r>
              <w:rPr>
                <w:rFonts w:cstheme="minorHAnsi"/>
                <w:b/>
                <w:color w:val="000000"/>
              </w:rPr>
              <w:t>Website</w:t>
            </w:r>
            <w:r w:rsidRPr="00753852">
              <w:rPr>
                <w:rFonts w:cstheme="minorHAnsi"/>
                <w:color w:val="000000"/>
              </w:rPr>
              <w:t xml:space="preserve">: </w:t>
            </w:r>
            <w:r w:rsidR="00215A2A" w:rsidRPr="00661787">
              <w:t>https://legislationqld.timg.com/</w:t>
            </w:r>
            <w:r w:rsidR="00155363">
              <w:rPr>
                <w:rStyle w:val="Hyperlink"/>
              </w:rPr>
              <w:br/>
            </w:r>
            <w:r w:rsidRPr="00CA7FE2">
              <w:rPr>
                <w:rFonts w:cstheme="minorHAnsi"/>
                <w:b/>
                <w:color w:val="000000"/>
              </w:rPr>
              <w:lastRenderedPageBreak/>
              <w:t>Telephone</w:t>
            </w:r>
            <w:r w:rsidRPr="00CF5BBF">
              <w:rPr>
                <w:rFonts w:cstheme="minorHAnsi"/>
                <w:color w:val="000000"/>
              </w:rPr>
              <w:t xml:space="preserve">: 07 </w:t>
            </w:r>
            <w:r w:rsidRPr="00132ECE">
              <w:rPr>
                <w:rFonts w:cstheme="minorHAnsi"/>
                <w:color w:val="000000"/>
              </w:rPr>
              <w:t>3223 9200</w:t>
            </w:r>
            <w:r w:rsidR="00155363">
              <w:rPr>
                <w:rFonts w:cstheme="minorHAnsi"/>
                <w:color w:val="000000"/>
              </w:rPr>
              <w:br/>
            </w:r>
            <w:r w:rsidRPr="00CA7FE2">
              <w:rPr>
                <w:rFonts w:cstheme="minorHAnsi"/>
                <w:b/>
                <w:color w:val="000000"/>
              </w:rPr>
              <w:t>Email</w:t>
            </w:r>
            <w:r w:rsidRPr="00CF5BBF">
              <w:rPr>
                <w:rFonts w:cstheme="minorHAnsi"/>
                <w:color w:val="000000"/>
              </w:rPr>
              <w:t xml:space="preserve">: </w:t>
            </w:r>
            <w:r w:rsidRPr="00A54671">
              <w:rPr>
                <w:rFonts w:cstheme="minorHAnsi"/>
              </w:rPr>
              <w:t>Legislation@litsupport.com.au</w:t>
            </w:r>
          </w:p>
        </w:tc>
      </w:tr>
      <w:tr w:rsidR="00956585" w14:paraId="35606014" w14:textId="77777777" w:rsidTr="00BB4C8F">
        <w:trPr>
          <w:gridAfter w:val="1"/>
          <w:wAfter w:w="8" w:type="dxa"/>
        </w:trPr>
        <w:tc>
          <w:tcPr>
            <w:tcW w:w="3681" w:type="dxa"/>
            <w:tcBorders>
              <w:bottom w:val="single" w:sz="4" w:space="0" w:color="auto"/>
            </w:tcBorders>
          </w:tcPr>
          <w:p w14:paraId="4404AFF2" w14:textId="5190480E" w:rsidR="00956585" w:rsidRPr="00CA7FE2" w:rsidRDefault="00956585" w:rsidP="0031192E">
            <w:pPr>
              <w:spacing w:after="0" w:line="240" w:lineRule="auto"/>
              <w:rPr>
                <w:rFonts w:eastAsia="Times New Roman" w:cstheme="minorHAnsi"/>
                <w:i/>
                <w:color w:val="000000"/>
              </w:rPr>
            </w:pPr>
            <w:r>
              <w:rPr>
                <w:rFonts w:eastAsia="Times New Roman" w:cstheme="minorHAnsi"/>
                <w:i/>
                <w:color w:val="000000"/>
              </w:rPr>
              <w:t xml:space="preserve">Superannuation (State Public Sector) Act 1990 </w:t>
            </w:r>
            <w:r>
              <w:rPr>
                <w:rFonts w:eastAsia="Times New Roman" w:cstheme="minorHAnsi"/>
                <w:color w:val="000000"/>
              </w:rPr>
              <w:t>(QLD)</w:t>
            </w:r>
          </w:p>
        </w:tc>
        <w:tc>
          <w:tcPr>
            <w:tcW w:w="5327" w:type="dxa"/>
            <w:vMerge/>
            <w:tcBorders>
              <w:bottom w:val="single" w:sz="4" w:space="0" w:color="auto"/>
            </w:tcBorders>
          </w:tcPr>
          <w:p w14:paraId="02DEB8B3" w14:textId="77777777" w:rsidR="00956585" w:rsidRPr="00CA7FE2" w:rsidRDefault="00956585" w:rsidP="0031192E">
            <w:pPr>
              <w:spacing w:after="0" w:line="240" w:lineRule="auto"/>
              <w:rPr>
                <w:rFonts w:eastAsia="Times New Roman" w:cstheme="minorHAnsi"/>
                <w:color w:val="000000"/>
                <w:u w:val="single"/>
              </w:rPr>
            </w:pPr>
          </w:p>
        </w:tc>
      </w:tr>
      <w:tr w:rsidR="00023D0E" w14:paraId="5F83DA60" w14:textId="77777777" w:rsidTr="00BB4C8F">
        <w:trPr>
          <w:gridAfter w:val="1"/>
          <w:wAfter w:w="8" w:type="dxa"/>
        </w:trPr>
        <w:tc>
          <w:tcPr>
            <w:tcW w:w="3681" w:type="dxa"/>
            <w:tcBorders>
              <w:top w:val="single" w:sz="4" w:space="0" w:color="auto"/>
              <w:bottom w:val="single" w:sz="4" w:space="0" w:color="auto"/>
            </w:tcBorders>
          </w:tcPr>
          <w:p w14:paraId="61AFA20D" w14:textId="7AA6FA93" w:rsidR="00023D0E" w:rsidRPr="00F02DCF" w:rsidRDefault="00FA6445" w:rsidP="0031192E">
            <w:pPr>
              <w:spacing w:after="0" w:line="240" w:lineRule="auto"/>
              <w:rPr>
                <w:rFonts w:eastAsia="Times New Roman" w:cstheme="minorHAnsi"/>
                <w:color w:val="000000"/>
              </w:rPr>
            </w:pPr>
            <w:r w:rsidRPr="00357490">
              <w:rPr>
                <w:rFonts w:eastAsia="Times New Roman" w:cstheme="minorHAnsi"/>
                <w:b/>
                <w:color w:val="000000"/>
              </w:rPr>
              <w:t>Superannuation</w:t>
            </w:r>
            <w:r w:rsidR="00023D0E" w:rsidRPr="00357490">
              <w:rPr>
                <w:rFonts w:eastAsia="Times New Roman" w:cstheme="minorHAnsi"/>
                <w:b/>
                <w:color w:val="000000"/>
              </w:rPr>
              <w:t xml:space="preserve"> (State Public Sector) </w:t>
            </w:r>
            <w:r w:rsidRPr="00357490">
              <w:rPr>
                <w:rFonts w:eastAsia="Times New Roman" w:cstheme="minorHAnsi"/>
                <w:b/>
                <w:color w:val="000000"/>
              </w:rPr>
              <w:t>Scheme</w:t>
            </w:r>
            <w:r>
              <w:rPr>
                <w:rFonts w:eastAsia="Times New Roman" w:cstheme="minorHAnsi"/>
                <w:i/>
                <w:color w:val="000000"/>
              </w:rPr>
              <w:t xml:space="preserve"> – </w:t>
            </w:r>
            <w:r>
              <w:rPr>
                <w:rFonts w:eastAsia="Times New Roman" w:cstheme="minorHAnsi"/>
                <w:color w:val="000000"/>
              </w:rPr>
              <w:t>Trust Deed governing the Scheme</w:t>
            </w:r>
          </w:p>
        </w:tc>
        <w:tc>
          <w:tcPr>
            <w:tcW w:w="5327" w:type="dxa"/>
            <w:tcBorders>
              <w:top w:val="single" w:sz="4" w:space="0" w:color="auto"/>
              <w:bottom w:val="single" w:sz="4" w:space="0" w:color="auto"/>
            </w:tcBorders>
          </w:tcPr>
          <w:p w14:paraId="4BA8C995" w14:textId="77777777" w:rsidR="00FA6445" w:rsidRDefault="00FA6445" w:rsidP="00D825CA">
            <w:pPr>
              <w:spacing w:after="160" w:line="240" w:lineRule="auto"/>
            </w:pPr>
            <w:r>
              <w:t>Australian Retirement Trust (ART)</w:t>
            </w:r>
          </w:p>
          <w:p w14:paraId="29E8B566" w14:textId="15E70321" w:rsidR="00023D0E" w:rsidRPr="00D825CA" w:rsidRDefault="00FA6445" w:rsidP="00D825CA">
            <w:pPr>
              <w:spacing w:after="160" w:line="240" w:lineRule="auto"/>
            </w:pPr>
            <w:r w:rsidRPr="00CA7FE2">
              <w:rPr>
                <w:b/>
              </w:rPr>
              <w:t>Website</w:t>
            </w:r>
            <w:r>
              <w:t xml:space="preserve">: </w:t>
            </w:r>
            <w:r w:rsidRPr="00661787">
              <w:t>www.australianretirementtrust.com.au/</w:t>
            </w:r>
            <w:r>
              <w:t xml:space="preserve"> </w:t>
            </w:r>
            <w:r w:rsidR="00D825CA">
              <w:br/>
            </w:r>
            <w:r w:rsidRPr="00CA7FE2">
              <w:rPr>
                <w:b/>
              </w:rPr>
              <w:t>Postal Address</w:t>
            </w:r>
            <w:r>
              <w:t xml:space="preserve">: </w:t>
            </w:r>
            <w:r w:rsidRPr="009F29F7">
              <w:t>GPO Box 2924</w:t>
            </w:r>
            <w:r>
              <w:t xml:space="preserve">, </w:t>
            </w:r>
            <w:r w:rsidRPr="009F29F7">
              <w:t>Brisbane</w:t>
            </w:r>
            <w:r w:rsidR="000C57A5">
              <w:t>,</w:t>
            </w:r>
            <w:r w:rsidRPr="009F29F7">
              <w:t xml:space="preserve"> QLD</w:t>
            </w:r>
            <w:r w:rsidR="000C57A5">
              <w:t>,</w:t>
            </w:r>
            <w:r w:rsidRPr="009F29F7">
              <w:t xml:space="preserve"> 4001</w:t>
            </w:r>
            <w:r w:rsidRPr="009F29F7">
              <w:br/>
            </w:r>
            <w:r>
              <w:rPr>
                <w:b/>
              </w:rPr>
              <w:t>Teleph</w:t>
            </w:r>
            <w:r w:rsidRPr="00CA7FE2">
              <w:rPr>
                <w:b/>
              </w:rPr>
              <w:t>one</w:t>
            </w:r>
            <w:r>
              <w:t xml:space="preserve">: </w:t>
            </w:r>
            <w:r w:rsidRPr="009F29F7">
              <w:t>13 11 84</w:t>
            </w:r>
          </w:p>
        </w:tc>
      </w:tr>
      <w:tr w:rsidR="00956585" w14:paraId="07E74DC3" w14:textId="77777777" w:rsidTr="00BB4C8F">
        <w:trPr>
          <w:gridAfter w:val="1"/>
          <w:wAfter w:w="8" w:type="dxa"/>
        </w:trPr>
        <w:tc>
          <w:tcPr>
            <w:tcW w:w="3681" w:type="dxa"/>
            <w:tcBorders>
              <w:top w:val="single" w:sz="4" w:space="0" w:color="auto"/>
              <w:bottom w:val="single" w:sz="4" w:space="0" w:color="auto"/>
            </w:tcBorders>
          </w:tcPr>
          <w:p w14:paraId="0FBDAA16" w14:textId="7FC8C996" w:rsidR="00956585" w:rsidRPr="00CA7FE2" w:rsidRDefault="00023D0E" w:rsidP="0031192E">
            <w:pPr>
              <w:spacing w:after="0" w:line="240" w:lineRule="auto"/>
              <w:rPr>
                <w:rFonts w:eastAsia="Times New Roman" w:cstheme="minorHAnsi"/>
                <w:color w:val="000000"/>
              </w:rPr>
            </w:pPr>
            <w:r w:rsidRPr="00357490">
              <w:rPr>
                <w:rFonts w:eastAsia="Times New Roman" w:cstheme="minorHAnsi"/>
                <w:b/>
                <w:color w:val="000000"/>
              </w:rPr>
              <w:t>Local Government Superannuation Scheme</w:t>
            </w:r>
            <w:r>
              <w:rPr>
                <w:rFonts w:eastAsia="Times New Roman" w:cstheme="minorHAnsi"/>
                <w:i/>
                <w:color w:val="000000"/>
              </w:rPr>
              <w:t xml:space="preserve"> - </w:t>
            </w:r>
            <w:r w:rsidR="00956585" w:rsidRPr="00CA7FE2">
              <w:rPr>
                <w:rFonts w:eastAsia="Times New Roman" w:cstheme="minorHAnsi"/>
                <w:color w:val="000000"/>
              </w:rPr>
              <w:t>Trust Deed made on 23 June 1998 by the Queensland</w:t>
            </w:r>
            <w:r w:rsidR="00956585">
              <w:rPr>
                <w:rFonts w:eastAsia="Times New Roman" w:cstheme="minorHAnsi"/>
                <w:color w:val="000000"/>
              </w:rPr>
              <w:t xml:space="preserve"> </w:t>
            </w:r>
            <w:r w:rsidR="00956585" w:rsidRPr="00CA7FE2">
              <w:rPr>
                <w:rFonts w:eastAsia="Times New Roman" w:cstheme="minorHAnsi"/>
                <w:color w:val="000000"/>
              </w:rPr>
              <w:t>Local Government Superannuation Board</w:t>
            </w:r>
          </w:p>
        </w:tc>
        <w:tc>
          <w:tcPr>
            <w:tcW w:w="5327" w:type="dxa"/>
            <w:tcBorders>
              <w:top w:val="single" w:sz="4" w:space="0" w:color="auto"/>
              <w:bottom w:val="single" w:sz="4" w:space="0" w:color="auto"/>
            </w:tcBorders>
          </w:tcPr>
          <w:p w14:paraId="3149DACB" w14:textId="27B4746A" w:rsidR="00956585" w:rsidRPr="007C6F36" w:rsidRDefault="00956585" w:rsidP="007C6F36">
            <w:pPr>
              <w:spacing w:after="160" w:line="240" w:lineRule="auto"/>
            </w:pPr>
            <w:r w:rsidRPr="007C6F36">
              <w:t>Brighter Super</w:t>
            </w:r>
          </w:p>
          <w:p w14:paraId="3B13C656" w14:textId="0EFC4C1C" w:rsidR="00956585" w:rsidRDefault="00956585" w:rsidP="0031192E">
            <w:pPr>
              <w:spacing w:after="0" w:line="240" w:lineRule="auto"/>
            </w:pPr>
            <w:r w:rsidRPr="00CA7FE2">
              <w:rPr>
                <w:rFonts w:eastAsia="Times New Roman" w:cstheme="minorHAnsi"/>
                <w:b/>
                <w:color w:val="000000"/>
              </w:rPr>
              <w:t>Website</w:t>
            </w:r>
            <w:r>
              <w:rPr>
                <w:rFonts w:eastAsia="Times New Roman" w:cstheme="minorHAnsi"/>
                <w:color w:val="000000"/>
              </w:rPr>
              <w:t xml:space="preserve">: </w:t>
            </w:r>
            <w:r w:rsidRPr="00661787">
              <w:rPr>
                <w:rFonts w:eastAsia="Times New Roman" w:cstheme="minorHAnsi"/>
              </w:rPr>
              <w:t>www.brightersuper.com.au</w:t>
            </w:r>
          </w:p>
          <w:p w14:paraId="39775C14" w14:textId="0344CC23" w:rsidR="00956585" w:rsidRDefault="00956585" w:rsidP="0031192E">
            <w:pPr>
              <w:spacing w:after="0" w:line="240" w:lineRule="auto"/>
              <w:rPr>
                <w:rFonts w:eastAsia="Times New Roman" w:cstheme="minorHAnsi"/>
                <w:color w:val="000000"/>
              </w:rPr>
            </w:pPr>
            <w:r w:rsidRPr="00CA7FE2">
              <w:rPr>
                <w:b/>
              </w:rPr>
              <w:t>Postal address</w:t>
            </w:r>
            <w:r>
              <w:t xml:space="preserve">: </w:t>
            </w:r>
            <w:r>
              <w:rPr>
                <w:rFonts w:eastAsia="Times New Roman" w:cstheme="minorHAnsi"/>
                <w:color w:val="000000"/>
              </w:rPr>
              <w:t>GPO Box 264, Brisbane</w:t>
            </w:r>
            <w:r w:rsidR="00C63599">
              <w:rPr>
                <w:rFonts w:eastAsia="Times New Roman" w:cstheme="minorHAnsi"/>
                <w:color w:val="000000"/>
              </w:rPr>
              <w:t>,</w:t>
            </w:r>
            <w:r>
              <w:rPr>
                <w:rFonts w:eastAsia="Times New Roman" w:cstheme="minorHAnsi"/>
                <w:color w:val="000000"/>
              </w:rPr>
              <w:t xml:space="preserve"> QLD</w:t>
            </w:r>
            <w:r w:rsidR="00C63599">
              <w:rPr>
                <w:rFonts w:eastAsia="Times New Roman" w:cstheme="minorHAnsi"/>
                <w:color w:val="000000"/>
              </w:rPr>
              <w:t>,</w:t>
            </w:r>
            <w:r>
              <w:rPr>
                <w:rFonts w:eastAsia="Times New Roman" w:cstheme="minorHAnsi"/>
                <w:color w:val="000000"/>
              </w:rPr>
              <w:t xml:space="preserve"> 4001</w:t>
            </w:r>
          </w:p>
          <w:p w14:paraId="7A32BF71" w14:textId="012EF99E" w:rsidR="0093199F" w:rsidRPr="0093199F" w:rsidDel="00490481" w:rsidRDefault="00956585" w:rsidP="00D825CA">
            <w:pPr>
              <w:spacing w:after="160" w:line="240" w:lineRule="auto"/>
            </w:pPr>
            <w:r>
              <w:rPr>
                <w:b/>
              </w:rPr>
              <w:t>Telep</w:t>
            </w:r>
            <w:r w:rsidRPr="00CA7FE2">
              <w:rPr>
                <w:b/>
              </w:rPr>
              <w:t>hone</w:t>
            </w:r>
            <w:r>
              <w:t>:</w:t>
            </w:r>
            <w:r w:rsidRPr="0057772E">
              <w:t xml:space="preserve"> 1800 444 396</w:t>
            </w:r>
          </w:p>
        </w:tc>
      </w:tr>
      <w:tr w:rsidR="00FC474D" w14:paraId="53C85500" w14:textId="77777777" w:rsidTr="00BB4C8F">
        <w:trPr>
          <w:gridAfter w:val="1"/>
          <w:wAfter w:w="8" w:type="dxa"/>
          <w:trHeight w:val="166"/>
        </w:trPr>
        <w:tc>
          <w:tcPr>
            <w:tcW w:w="3681" w:type="dxa"/>
            <w:tcBorders>
              <w:right w:val="nil"/>
            </w:tcBorders>
            <w:shd w:val="clear" w:color="auto" w:fill="F2F2F2" w:themeFill="background1" w:themeFillShade="F2"/>
          </w:tcPr>
          <w:p w14:paraId="475A96E6" w14:textId="24C1624F" w:rsidR="00FC474D" w:rsidRPr="0080096A" w:rsidRDefault="00FC474D" w:rsidP="0031192E">
            <w:pPr>
              <w:spacing w:after="0" w:line="240" w:lineRule="auto"/>
              <w:rPr>
                <w:rFonts w:eastAsia="Times New Roman" w:cstheme="minorHAnsi"/>
                <w:b/>
                <w:color w:val="000000"/>
              </w:rPr>
            </w:pPr>
            <w:r w:rsidRPr="0080096A">
              <w:rPr>
                <w:rFonts w:eastAsia="Times New Roman" w:cstheme="minorHAnsi"/>
                <w:b/>
                <w:color w:val="000000"/>
              </w:rPr>
              <w:t>Western Australia</w:t>
            </w:r>
          </w:p>
        </w:tc>
        <w:tc>
          <w:tcPr>
            <w:tcW w:w="5327" w:type="dxa"/>
            <w:tcBorders>
              <w:left w:val="nil"/>
            </w:tcBorders>
            <w:shd w:val="clear" w:color="auto" w:fill="F2F2F2" w:themeFill="background1" w:themeFillShade="F2"/>
          </w:tcPr>
          <w:p w14:paraId="795BDA08" w14:textId="77777777" w:rsidR="00FC474D" w:rsidRDefault="00FC474D" w:rsidP="0031192E">
            <w:pPr>
              <w:spacing w:after="0" w:line="240" w:lineRule="auto"/>
            </w:pPr>
          </w:p>
        </w:tc>
      </w:tr>
      <w:tr w:rsidR="00F02DCF" w14:paraId="1DF54584" w14:textId="77777777" w:rsidTr="00BB4C8F">
        <w:trPr>
          <w:gridAfter w:val="1"/>
          <w:wAfter w:w="8" w:type="dxa"/>
        </w:trPr>
        <w:tc>
          <w:tcPr>
            <w:tcW w:w="3681" w:type="dxa"/>
            <w:tcBorders>
              <w:bottom w:val="single" w:sz="4" w:space="0" w:color="auto"/>
            </w:tcBorders>
          </w:tcPr>
          <w:p w14:paraId="4771B0A6" w14:textId="77777777" w:rsidR="00F02DCF" w:rsidRPr="00E30967" w:rsidRDefault="00F02DCF" w:rsidP="0031192E">
            <w:pPr>
              <w:spacing w:after="0" w:line="240" w:lineRule="auto"/>
              <w:rPr>
                <w:rFonts w:eastAsia="Times New Roman" w:cstheme="minorHAnsi"/>
                <w:color w:val="000000"/>
              </w:rPr>
            </w:pPr>
            <w:r>
              <w:rPr>
                <w:rFonts w:cstheme="minorHAnsi"/>
                <w:i/>
              </w:rPr>
              <w:t>State Superannuation Act 2000</w:t>
            </w:r>
            <w:r>
              <w:rPr>
                <w:rFonts w:cstheme="minorHAnsi"/>
              </w:rPr>
              <w:t xml:space="preserve"> (WA)</w:t>
            </w:r>
          </w:p>
        </w:tc>
        <w:tc>
          <w:tcPr>
            <w:tcW w:w="5327" w:type="dxa"/>
            <w:vMerge w:val="restart"/>
          </w:tcPr>
          <w:p w14:paraId="1F4ACEEA" w14:textId="2D1BDEC1" w:rsidR="00F02DCF" w:rsidRDefault="00F02DCF" w:rsidP="00D825CA">
            <w:pPr>
              <w:spacing w:after="160" w:line="240" w:lineRule="auto"/>
            </w:pPr>
            <w:r w:rsidRPr="00CA7FE2">
              <w:rPr>
                <w:u w:val="single"/>
              </w:rPr>
              <w:t xml:space="preserve">Online </w:t>
            </w:r>
            <w:r w:rsidR="00D825CA">
              <w:rPr>
                <w:u w:val="single"/>
              </w:rPr>
              <w:br/>
            </w:r>
            <w:r w:rsidRPr="00CA7FE2">
              <w:rPr>
                <w:b/>
              </w:rPr>
              <w:t>Website</w:t>
            </w:r>
            <w:r>
              <w:t xml:space="preserve">: </w:t>
            </w:r>
            <w:r w:rsidRPr="00661787">
              <w:t>legislation.wa.gov.au/legislation/</w:t>
            </w:r>
            <w:proofErr w:type="spellStart"/>
            <w:r w:rsidRPr="00661787">
              <w:t>statutes.nsf</w:t>
            </w:r>
            <w:proofErr w:type="spellEnd"/>
            <w:r w:rsidRPr="00661787">
              <w:t>/actsif.html</w:t>
            </w:r>
            <w:r w:rsidRPr="00F02DCF">
              <w:t xml:space="preserve"> </w:t>
            </w:r>
          </w:p>
          <w:p w14:paraId="1CAF2AE9" w14:textId="6756D791" w:rsidR="00F02DCF" w:rsidRDefault="00F02DCF" w:rsidP="00D825CA">
            <w:pPr>
              <w:spacing w:after="160" w:line="240" w:lineRule="auto"/>
            </w:pPr>
            <w:r w:rsidRPr="00CA7FE2">
              <w:rPr>
                <w:u w:val="single"/>
              </w:rPr>
              <w:t>Hardcopy</w:t>
            </w:r>
            <w:r w:rsidR="00D825CA">
              <w:rPr>
                <w:u w:val="single"/>
              </w:rPr>
              <w:br/>
            </w:r>
            <w:r>
              <w:t>LitSupport - supplier of hard copy Western Australian legislation</w:t>
            </w:r>
          </w:p>
          <w:p w14:paraId="58CBCFF1" w14:textId="43BE1CFB" w:rsidR="0093199F" w:rsidRPr="00D825CA" w:rsidRDefault="00F02DCF" w:rsidP="00D825CA">
            <w:pPr>
              <w:spacing w:after="160" w:line="240" w:lineRule="auto"/>
              <w:rPr>
                <w:b/>
              </w:rPr>
            </w:pPr>
            <w:r>
              <w:rPr>
                <w:b/>
              </w:rPr>
              <w:t>Address</w:t>
            </w:r>
            <w:r w:rsidRPr="00753852">
              <w:t>: 4/109 St Georges Terrace, Perth, WA, 6000</w:t>
            </w:r>
            <w:r w:rsidR="00D825CA">
              <w:br/>
            </w:r>
            <w:r w:rsidRPr="00CA7FE2">
              <w:rPr>
                <w:b/>
              </w:rPr>
              <w:t>Website</w:t>
            </w:r>
            <w:r>
              <w:t xml:space="preserve">: </w:t>
            </w:r>
            <w:r w:rsidRPr="00661787">
              <w:t>https://legislationwa.timg.com/</w:t>
            </w:r>
            <w:r>
              <w:t xml:space="preserve"> </w:t>
            </w:r>
            <w:r w:rsidR="00D825CA">
              <w:br/>
            </w:r>
            <w:r w:rsidRPr="00CA7FE2">
              <w:rPr>
                <w:b/>
              </w:rPr>
              <w:t>Telephone</w:t>
            </w:r>
            <w:r>
              <w:t>: 0</w:t>
            </w:r>
            <w:r w:rsidRPr="00CA7FE2">
              <w:t>8 9215 7333</w:t>
            </w:r>
            <w:r w:rsidR="00D825CA">
              <w:br/>
            </w:r>
            <w:r w:rsidRPr="00CA7FE2">
              <w:rPr>
                <w:b/>
              </w:rPr>
              <w:t>Email</w:t>
            </w:r>
            <w:r>
              <w:t xml:space="preserve">: </w:t>
            </w:r>
            <w:r w:rsidR="0093199F" w:rsidRPr="00661787">
              <w:rPr>
                <w:bCs/>
              </w:rPr>
              <w:t>WALegislation@timg.com</w:t>
            </w:r>
          </w:p>
        </w:tc>
      </w:tr>
      <w:tr w:rsidR="00F02DCF" w14:paraId="2097943E" w14:textId="77777777" w:rsidTr="00BB4C8F">
        <w:trPr>
          <w:gridAfter w:val="1"/>
          <w:wAfter w:w="8" w:type="dxa"/>
          <w:trHeight w:val="420"/>
        </w:trPr>
        <w:tc>
          <w:tcPr>
            <w:tcW w:w="3681" w:type="dxa"/>
            <w:tcBorders>
              <w:bottom w:val="single" w:sz="4" w:space="0" w:color="auto"/>
            </w:tcBorders>
          </w:tcPr>
          <w:p w14:paraId="57CD202E" w14:textId="2FF41A15" w:rsidR="00F02DCF" w:rsidRDefault="00F02DCF" w:rsidP="0031192E">
            <w:pPr>
              <w:spacing w:after="0" w:line="240" w:lineRule="auto"/>
              <w:rPr>
                <w:rFonts w:cstheme="minorHAnsi"/>
                <w:i/>
              </w:rPr>
            </w:pPr>
            <w:r w:rsidRPr="00F02DCF">
              <w:rPr>
                <w:rFonts w:cstheme="minorHAnsi"/>
                <w:i/>
              </w:rPr>
              <w:t>State Superannuation Regulations 2001</w:t>
            </w:r>
            <w:r>
              <w:rPr>
                <w:rFonts w:cstheme="minorHAnsi"/>
                <w:i/>
              </w:rPr>
              <w:t xml:space="preserve"> </w:t>
            </w:r>
            <w:r w:rsidRPr="009F2F0B">
              <w:rPr>
                <w:rFonts w:cstheme="minorHAnsi"/>
              </w:rPr>
              <w:t>(WA)</w:t>
            </w:r>
          </w:p>
        </w:tc>
        <w:tc>
          <w:tcPr>
            <w:tcW w:w="5327" w:type="dxa"/>
            <w:vMerge/>
            <w:tcBorders>
              <w:bottom w:val="single" w:sz="4" w:space="0" w:color="auto"/>
            </w:tcBorders>
          </w:tcPr>
          <w:p w14:paraId="7358613F" w14:textId="77777777" w:rsidR="00F02DCF" w:rsidRPr="00CA7FE2" w:rsidRDefault="00F02DCF" w:rsidP="0031192E">
            <w:pPr>
              <w:spacing w:after="0" w:line="240" w:lineRule="auto"/>
              <w:rPr>
                <w:u w:val="single"/>
              </w:rPr>
            </w:pPr>
          </w:p>
        </w:tc>
      </w:tr>
      <w:tr w:rsidR="00A66E67" w:rsidRPr="0057772E" w14:paraId="05D9FCCF" w14:textId="77777777" w:rsidTr="00BB4C8F">
        <w:trPr>
          <w:gridAfter w:val="1"/>
          <w:wAfter w:w="8" w:type="dxa"/>
          <w:trHeight w:val="197"/>
        </w:trPr>
        <w:tc>
          <w:tcPr>
            <w:tcW w:w="3681" w:type="dxa"/>
            <w:tcBorders>
              <w:bottom w:val="single" w:sz="4" w:space="0" w:color="auto"/>
              <w:right w:val="nil"/>
            </w:tcBorders>
            <w:shd w:val="clear" w:color="auto" w:fill="F2F2F2" w:themeFill="background1" w:themeFillShade="F2"/>
          </w:tcPr>
          <w:p w14:paraId="4C183C4F" w14:textId="4D00FEEC" w:rsidR="00A66E67" w:rsidRDefault="00A66E67" w:rsidP="0031192E">
            <w:pPr>
              <w:spacing w:after="0" w:line="240" w:lineRule="auto"/>
              <w:rPr>
                <w:rFonts w:cstheme="minorHAnsi"/>
                <w:i/>
              </w:rPr>
            </w:pPr>
            <w:r w:rsidRPr="0080096A">
              <w:rPr>
                <w:rFonts w:eastAsia="Times New Roman" w:cstheme="minorHAnsi"/>
                <w:b/>
                <w:color w:val="000000"/>
              </w:rPr>
              <w:t>South Australia</w:t>
            </w:r>
          </w:p>
        </w:tc>
        <w:tc>
          <w:tcPr>
            <w:tcW w:w="5327" w:type="dxa"/>
            <w:tcBorders>
              <w:left w:val="nil"/>
              <w:bottom w:val="single" w:sz="4" w:space="0" w:color="auto"/>
            </w:tcBorders>
            <w:shd w:val="clear" w:color="auto" w:fill="F2F2F2" w:themeFill="background1" w:themeFillShade="F2"/>
          </w:tcPr>
          <w:p w14:paraId="58CE853B" w14:textId="77777777" w:rsidR="00A66E67" w:rsidRPr="0057772E" w:rsidRDefault="00A66E67" w:rsidP="0031192E">
            <w:pPr>
              <w:spacing w:after="0" w:line="240" w:lineRule="auto"/>
              <w:rPr>
                <w:u w:val="single"/>
              </w:rPr>
            </w:pPr>
          </w:p>
        </w:tc>
      </w:tr>
      <w:tr w:rsidR="00A66E67" w:rsidRPr="00CA7FE2" w14:paraId="2DE73D3C" w14:textId="77777777" w:rsidTr="00BB4C8F">
        <w:trPr>
          <w:gridAfter w:val="1"/>
          <w:wAfter w:w="8" w:type="dxa"/>
        </w:trPr>
        <w:tc>
          <w:tcPr>
            <w:tcW w:w="3681" w:type="dxa"/>
            <w:tcBorders>
              <w:bottom w:val="single" w:sz="4" w:space="0" w:color="auto"/>
            </w:tcBorders>
          </w:tcPr>
          <w:p w14:paraId="16C4328C" w14:textId="19FECD30" w:rsidR="00A66E67" w:rsidRPr="0046731A" w:rsidRDefault="00215A2A" w:rsidP="0046731A">
            <w:pPr>
              <w:spacing w:after="0" w:line="240" w:lineRule="auto"/>
              <w:rPr>
                <w:rFonts w:cstheme="minorHAnsi"/>
                <w:i/>
              </w:rPr>
            </w:pPr>
            <w:r w:rsidRPr="00A57C1A">
              <w:rPr>
                <w:rFonts w:cstheme="minorHAnsi"/>
                <w:i/>
              </w:rPr>
              <w:t>Judges' Pensions Ac</w:t>
            </w:r>
            <w:r>
              <w:rPr>
                <w:rFonts w:cstheme="minorHAnsi"/>
                <w:i/>
              </w:rPr>
              <w:t>t 1971(SA)</w:t>
            </w:r>
          </w:p>
        </w:tc>
        <w:tc>
          <w:tcPr>
            <w:tcW w:w="5327" w:type="dxa"/>
            <w:vMerge w:val="restart"/>
          </w:tcPr>
          <w:p w14:paraId="361CE9FC" w14:textId="691F6D4C" w:rsidR="00A66E67" w:rsidRPr="0014201F" w:rsidRDefault="00A66E67" w:rsidP="0014201F">
            <w:pPr>
              <w:spacing w:after="160"/>
              <w:rPr>
                <w:u w:val="single"/>
              </w:rPr>
            </w:pPr>
            <w:r>
              <w:rPr>
                <w:u w:val="single"/>
              </w:rPr>
              <w:t>Online</w:t>
            </w:r>
            <w:r w:rsidR="0014201F">
              <w:rPr>
                <w:u w:val="single"/>
              </w:rPr>
              <w:br/>
            </w:r>
            <w:r w:rsidRPr="00F02DCF">
              <w:rPr>
                <w:b/>
              </w:rPr>
              <w:t>Website:</w:t>
            </w:r>
            <w:r>
              <w:t xml:space="preserve"> </w:t>
            </w:r>
            <w:r w:rsidRPr="00661787">
              <w:t>www.legislation.sa.gov.au/legislation/acts</w:t>
            </w:r>
            <w:r>
              <w:t xml:space="preserve">   </w:t>
            </w:r>
          </w:p>
          <w:p w14:paraId="58506EF1" w14:textId="5AAA1C2C" w:rsidR="00A54671" w:rsidRPr="0014201F" w:rsidRDefault="00A66E67" w:rsidP="0014201F">
            <w:pPr>
              <w:spacing w:after="160"/>
              <w:rPr>
                <w:u w:val="single"/>
              </w:rPr>
            </w:pPr>
            <w:r>
              <w:rPr>
                <w:u w:val="single"/>
              </w:rPr>
              <w:t>Hardcopy</w:t>
            </w:r>
            <w:r w:rsidR="0014201F">
              <w:rPr>
                <w:u w:val="single"/>
              </w:rPr>
              <w:br/>
            </w:r>
            <w:r w:rsidRPr="00CA7FE2">
              <w:t>Service SA</w:t>
            </w:r>
            <w:r w:rsidR="00A743F4">
              <w:t xml:space="preserve"> </w:t>
            </w:r>
            <w:r w:rsidR="00A54671">
              <w:t xml:space="preserve">– supplier of hard copy South Australian legislation </w:t>
            </w:r>
          </w:p>
          <w:p w14:paraId="5EEFBB09" w14:textId="202A9CE5" w:rsidR="00A66E67" w:rsidRPr="00CA7FE2" w:rsidRDefault="00A66E67" w:rsidP="0014201F">
            <w:pPr>
              <w:spacing w:after="160"/>
            </w:pPr>
            <w:r w:rsidRPr="00CA7FE2">
              <w:rPr>
                <w:b/>
              </w:rPr>
              <w:t>Website</w:t>
            </w:r>
            <w:r w:rsidRPr="00CA7FE2">
              <w:t xml:space="preserve">: </w:t>
            </w:r>
            <w:r w:rsidRPr="00661787">
              <w:t>https://shop.service.sa.gov.au/</w:t>
            </w:r>
            <w:r w:rsidR="0014201F">
              <w:rPr>
                <w:rStyle w:val="Hyperlink"/>
              </w:rPr>
              <w:br/>
            </w:r>
            <w:r w:rsidRPr="00CA7FE2">
              <w:rPr>
                <w:b/>
              </w:rPr>
              <w:t>Postal Address</w:t>
            </w:r>
            <w:r>
              <w:t>: GPO Box 1533, Adelaide</w:t>
            </w:r>
            <w:r w:rsidR="00A54671">
              <w:t>,</w:t>
            </w:r>
            <w:r>
              <w:t xml:space="preserve"> SA</w:t>
            </w:r>
            <w:r w:rsidR="00A54671">
              <w:t>,</w:t>
            </w:r>
            <w:r>
              <w:t xml:space="preserve"> 5001</w:t>
            </w:r>
            <w:r w:rsidR="0014201F">
              <w:br/>
            </w:r>
            <w:r w:rsidRPr="00CA7FE2">
              <w:rPr>
                <w:b/>
              </w:rPr>
              <w:t>Telephone</w:t>
            </w:r>
            <w:r>
              <w:t xml:space="preserve">: </w:t>
            </w:r>
            <w:r w:rsidRPr="00CE1E28">
              <w:t>13 10 84</w:t>
            </w:r>
          </w:p>
        </w:tc>
      </w:tr>
      <w:tr w:rsidR="00F02DCF" w:rsidRPr="0057772E" w14:paraId="01FD06C4" w14:textId="77777777" w:rsidTr="00BB4C8F">
        <w:trPr>
          <w:gridAfter w:val="1"/>
          <w:wAfter w:w="8" w:type="dxa"/>
        </w:trPr>
        <w:tc>
          <w:tcPr>
            <w:tcW w:w="3681" w:type="dxa"/>
            <w:tcBorders>
              <w:bottom w:val="single" w:sz="4" w:space="0" w:color="auto"/>
            </w:tcBorders>
          </w:tcPr>
          <w:p w14:paraId="0C1AED15" w14:textId="30E05496" w:rsidR="00F02DCF" w:rsidRPr="00A57C1A" w:rsidRDefault="00215A2A" w:rsidP="0046731A">
            <w:pPr>
              <w:spacing w:after="0" w:line="240" w:lineRule="auto"/>
              <w:rPr>
                <w:rFonts w:cstheme="minorHAnsi"/>
                <w:i/>
              </w:rPr>
            </w:pPr>
            <w:r w:rsidRPr="00A57C1A">
              <w:rPr>
                <w:i/>
              </w:rPr>
              <w:t xml:space="preserve">Local Government Act 1999 </w:t>
            </w:r>
            <w:r w:rsidRPr="00CA7FE2">
              <w:t>(SA)</w:t>
            </w:r>
          </w:p>
        </w:tc>
        <w:tc>
          <w:tcPr>
            <w:tcW w:w="5327" w:type="dxa"/>
            <w:vMerge/>
          </w:tcPr>
          <w:p w14:paraId="00060511" w14:textId="77777777" w:rsidR="00F02DCF" w:rsidRPr="0057772E" w:rsidRDefault="00F02DCF" w:rsidP="0031192E">
            <w:pPr>
              <w:spacing w:after="0"/>
              <w:rPr>
                <w:u w:val="single"/>
              </w:rPr>
            </w:pPr>
          </w:p>
        </w:tc>
      </w:tr>
      <w:tr w:rsidR="00A66E67" w:rsidRPr="0057772E" w14:paraId="65542F8C" w14:textId="77777777" w:rsidTr="00BB4C8F">
        <w:trPr>
          <w:gridAfter w:val="1"/>
          <w:wAfter w:w="8" w:type="dxa"/>
        </w:trPr>
        <w:tc>
          <w:tcPr>
            <w:tcW w:w="3681" w:type="dxa"/>
            <w:tcBorders>
              <w:bottom w:val="single" w:sz="4" w:space="0" w:color="auto"/>
            </w:tcBorders>
          </w:tcPr>
          <w:p w14:paraId="1B24EF08" w14:textId="04E51616" w:rsidR="00A66E67" w:rsidRPr="00A57C1A" w:rsidRDefault="00215A2A" w:rsidP="0046731A">
            <w:pPr>
              <w:spacing w:after="0" w:line="240" w:lineRule="auto"/>
              <w:rPr>
                <w:rFonts w:cstheme="minorHAnsi"/>
                <w:i/>
              </w:rPr>
            </w:pPr>
            <w:r w:rsidRPr="00F02DCF">
              <w:rPr>
                <w:rFonts w:cstheme="minorHAnsi"/>
                <w:i/>
              </w:rPr>
              <w:t>Local Government (Superannuation Scheme) Amendment Act 2008</w:t>
            </w:r>
          </w:p>
        </w:tc>
        <w:tc>
          <w:tcPr>
            <w:tcW w:w="5327" w:type="dxa"/>
            <w:vMerge/>
          </w:tcPr>
          <w:p w14:paraId="72F2BD47" w14:textId="77777777" w:rsidR="00A66E67" w:rsidRPr="0057772E" w:rsidRDefault="00A66E67" w:rsidP="0031192E">
            <w:pPr>
              <w:spacing w:after="0"/>
              <w:rPr>
                <w:u w:val="single"/>
              </w:rPr>
            </w:pPr>
          </w:p>
        </w:tc>
      </w:tr>
      <w:tr w:rsidR="00F02DCF" w:rsidRPr="00CA7FE2" w14:paraId="0E638737" w14:textId="77777777" w:rsidTr="00BB4C8F">
        <w:trPr>
          <w:gridAfter w:val="1"/>
          <w:wAfter w:w="8" w:type="dxa"/>
        </w:trPr>
        <w:tc>
          <w:tcPr>
            <w:tcW w:w="3681" w:type="dxa"/>
            <w:tcBorders>
              <w:bottom w:val="single" w:sz="4" w:space="0" w:color="auto"/>
            </w:tcBorders>
          </w:tcPr>
          <w:p w14:paraId="2225256A" w14:textId="5E1A373B" w:rsidR="00F02DCF" w:rsidRPr="009F2F0B" w:rsidRDefault="00215A2A" w:rsidP="0046731A">
            <w:pPr>
              <w:spacing w:after="0" w:line="240" w:lineRule="auto"/>
              <w:rPr>
                <w:rFonts w:cstheme="minorHAnsi"/>
              </w:rPr>
            </w:pPr>
            <w:r w:rsidRPr="00A57C1A">
              <w:rPr>
                <w:rFonts w:cstheme="minorHAnsi"/>
                <w:i/>
              </w:rPr>
              <w:t>Parliamentary Superannuation Act</w:t>
            </w:r>
            <w:r>
              <w:rPr>
                <w:rFonts w:cstheme="minorHAnsi"/>
                <w:i/>
              </w:rPr>
              <w:t xml:space="preserve"> 1974 </w:t>
            </w:r>
            <w:r w:rsidRPr="00CA7FE2">
              <w:rPr>
                <w:rFonts w:cstheme="minorHAnsi"/>
              </w:rPr>
              <w:t>(SA)</w:t>
            </w:r>
          </w:p>
        </w:tc>
        <w:tc>
          <w:tcPr>
            <w:tcW w:w="5327" w:type="dxa"/>
            <w:vMerge/>
          </w:tcPr>
          <w:p w14:paraId="061929C1" w14:textId="77777777" w:rsidR="00F02DCF" w:rsidRPr="00CA7FE2" w:rsidRDefault="00F02DCF" w:rsidP="00A66E67">
            <w:pPr>
              <w:spacing w:after="0"/>
            </w:pPr>
          </w:p>
        </w:tc>
      </w:tr>
      <w:tr w:rsidR="00A66E67" w:rsidRPr="00CA7FE2" w14:paraId="638CA8AC" w14:textId="77777777" w:rsidTr="00BB4C8F">
        <w:trPr>
          <w:gridAfter w:val="1"/>
          <w:wAfter w:w="8" w:type="dxa"/>
        </w:trPr>
        <w:tc>
          <w:tcPr>
            <w:tcW w:w="3681" w:type="dxa"/>
            <w:tcBorders>
              <w:bottom w:val="single" w:sz="4" w:space="0" w:color="auto"/>
            </w:tcBorders>
          </w:tcPr>
          <w:p w14:paraId="69B0F748" w14:textId="2EC5CCB8" w:rsidR="00A66E67" w:rsidRPr="00A57C1A" w:rsidRDefault="00A66E67" w:rsidP="0046731A">
            <w:pPr>
              <w:spacing w:after="0" w:line="240" w:lineRule="auto"/>
              <w:rPr>
                <w:i/>
              </w:rPr>
            </w:pPr>
            <w:r w:rsidRPr="00A57C1A">
              <w:rPr>
                <w:rFonts w:cstheme="minorHAnsi"/>
                <w:i/>
              </w:rPr>
              <w:t xml:space="preserve">Police </w:t>
            </w:r>
            <w:r w:rsidR="00215A2A" w:rsidRPr="00F02DCF">
              <w:rPr>
                <w:rFonts w:cstheme="minorHAnsi"/>
                <w:i/>
              </w:rPr>
              <w:t>Pensions</w:t>
            </w:r>
            <w:r w:rsidRPr="00A57C1A">
              <w:rPr>
                <w:rFonts w:cstheme="minorHAnsi"/>
                <w:i/>
              </w:rPr>
              <w:t xml:space="preserve"> Act</w:t>
            </w:r>
            <w:r>
              <w:rPr>
                <w:rFonts w:cstheme="minorHAnsi"/>
                <w:i/>
              </w:rPr>
              <w:t xml:space="preserve"> </w:t>
            </w:r>
            <w:r w:rsidR="00215A2A" w:rsidRPr="00F02DCF">
              <w:rPr>
                <w:rFonts w:cstheme="minorHAnsi"/>
                <w:i/>
              </w:rPr>
              <w:t>1971</w:t>
            </w:r>
            <w:r>
              <w:rPr>
                <w:rFonts w:cstheme="minorHAnsi"/>
                <w:i/>
              </w:rPr>
              <w:t xml:space="preserve"> </w:t>
            </w:r>
            <w:r w:rsidRPr="00765B09">
              <w:rPr>
                <w:rFonts w:cstheme="minorHAnsi"/>
              </w:rPr>
              <w:t>(SA)</w:t>
            </w:r>
          </w:p>
        </w:tc>
        <w:tc>
          <w:tcPr>
            <w:tcW w:w="5327" w:type="dxa"/>
            <w:vMerge/>
          </w:tcPr>
          <w:p w14:paraId="450B74CD" w14:textId="77777777" w:rsidR="00A66E67" w:rsidRPr="00CA7FE2" w:rsidRDefault="00A66E67" w:rsidP="00A66E67">
            <w:pPr>
              <w:spacing w:after="0"/>
            </w:pPr>
          </w:p>
        </w:tc>
      </w:tr>
      <w:tr w:rsidR="00A66E67" w:rsidRPr="00CA7FE2" w14:paraId="620A4642" w14:textId="77777777" w:rsidTr="00BB4C8F">
        <w:trPr>
          <w:gridAfter w:val="1"/>
          <w:wAfter w:w="8" w:type="dxa"/>
        </w:trPr>
        <w:tc>
          <w:tcPr>
            <w:tcW w:w="3681" w:type="dxa"/>
            <w:tcBorders>
              <w:bottom w:val="single" w:sz="4" w:space="0" w:color="auto"/>
            </w:tcBorders>
          </w:tcPr>
          <w:p w14:paraId="262FC446" w14:textId="754B731A" w:rsidR="00A66E67" w:rsidRDefault="00215A2A" w:rsidP="0046731A">
            <w:pPr>
              <w:spacing w:after="0" w:line="240" w:lineRule="auto"/>
              <w:rPr>
                <w:rFonts w:cstheme="minorHAnsi"/>
                <w:i/>
              </w:rPr>
            </w:pPr>
            <w:r w:rsidRPr="00A57C1A">
              <w:rPr>
                <w:rFonts w:cstheme="minorHAnsi"/>
                <w:i/>
              </w:rPr>
              <w:t xml:space="preserve">Police </w:t>
            </w:r>
            <w:r w:rsidR="00A66E67">
              <w:rPr>
                <w:i/>
              </w:rPr>
              <w:t xml:space="preserve">Superannuation Act </w:t>
            </w:r>
            <w:r>
              <w:rPr>
                <w:rFonts w:cstheme="minorHAnsi"/>
                <w:i/>
              </w:rPr>
              <w:t>1990</w:t>
            </w:r>
            <w:r w:rsidR="00A66E67">
              <w:rPr>
                <w:rFonts w:cstheme="minorHAnsi"/>
                <w:i/>
              </w:rPr>
              <w:t xml:space="preserve"> </w:t>
            </w:r>
            <w:r w:rsidR="00A66E67">
              <w:t>(SA)</w:t>
            </w:r>
          </w:p>
        </w:tc>
        <w:tc>
          <w:tcPr>
            <w:tcW w:w="5327" w:type="dxa"/>
            <w:vMerge/>
          </w:tcPr>
          <w:p w14:paraId="11897997" w14:textId="77777777" w:rsidR="00A66E67" w:rsidRPr="00CA7FE2" w:rsidRDefault="00A66E67" w:rsidP="00A66E67">
            <w:pPr>
              <w:spacing w:after="0"/>
            </w:pPr>
          </w:p>
        </w:tc>
      </w:tr>
      <w:tr w:rsidR="00A66E67" w:rsidRPr="00CA7FE2" w14:paraId="0B98E1F8" w14:textId="77777777" w:rsidTr="00BB4C8F">
        <w:trPr>
          <w:gridAfter w:val="1"/>
          <w:wAfter w:w="8" w:type="dxa"/>
        </w:trPr>
        <w:tc>
          <w:tcPr>
            <w:tcW w:w="3681" w:type="dxa"/>
            <w:tcBorders>
              <w:bottom w:val="single" w:sz="4" w:space="0" w:color="auto"/>
            </w:tcBorders>
          </w:tcPr>
          <w:p w14:paraId="1E2FEC19" w14:textId="6A8B987D" w:rsidR="00A66E67" w:rsidRDefault="00215A2A" w:rsidP="0046731A">
            <w:pPr>
              <w:spacing w:after="0" w:line="240" w:lineRule="auto"/>
              <w:rPr>
                <w:rFonts w:cstheme="minorHAnsi"/>
                <w:i/>
              </w:rPr>
            </w:pPr>
            <w:r>
              <w:rPr>
                <w:i/>
              </w:rPr>
              <w:t>Superannuation Act 1988</w:t>
            </w:r>
            <w:r>
              <w:t xml:space="preserve"> (SA)</w:t>
            </w:r>
          </w:p>
        </w:tc>
        <w:tc>
          <w:tcPr>
            <w:tcW w:w="5327" w:type="dxa"/>
            <w:vMerge/>
            <w:tcBorders>
              <w:bottom w:val="single" w:sz="4" w:space="0" w:color="auto"/>
            </w:tcBorders>
          </w:tcPr>
          <w:p w14:paraId="2F8139F3" w14:textId="77777777" w:rsidR="00A66E67" w:rsidRPr="00CA7FE2" w:rsidRDefault="00A66E67" w:rsidP="00A66E67">
            <w:pPr>
              <w:spacing w:after="0"/>
            </w:pPr>
          </w:p>
        </w:tc>
      </w:tr>
      <w:tr w:rsidR="00F02DCF" w:rsidRPr="00CA7FE2" w14:paraId="0EB18D85" w14:textId="77777777" w:rsidTr="00BB4C8F">
        <w:trPr>
          <w:gridAfter w:val="1"/>
          <w:wAfter w:w="8" w:type="dxa"/>
        </w:trPr>
        <w:tc>
          <w:tcPr>
            <w:tcW w:w="3681" w:type="dxa"/>
            <w:tcBorders>
              <w:bottom w:val="single" w:sz="4" w:space="0" w:color="auto"/>
            </w:tcBorders>
          </w:tcPr>
          <w:p w14:paraId="7B187DFE" w14:textId="2D8EC2D3" w:rsidR="00F02DCF" w:rsidRPr="009F2F0B" w:rsidRDefault="009F2F0B" w:rsidP="0093199F">
            <w:pPr>
              <w:spacing w:after="0" w:line="240" w:lineRule="auto"/>
              <w:rPr>
                <w:rFonts w:cstheme="minorHAnsi"/>
              </w:rPr>
            </w:pPr>
            <w:r w:rsidRPr="00215A2A">
              <w:rPr>
                <w:rFonts w:cstheme="minorHAnsi"/>
                <w:b/>
              </w:rPr>
              <w:t xml:space="preserve">SA Local Government </w:t>
            </w:r>
            <w:r w:rsidR="0093129D" w:rsidRPr="0093129D">
              <w:rPr>
                <w:rFonts w:cstheme="minorHAnsi"/>
                <w:b/>
              </w:rPr>
              <w:t>Superannuation</w:t>
            </w:r>
            <w:r w:rsidRPr="00215A2A">
              <w:rPr>
                <w:rFonts w:cstheme="minorHAnsi"/>
                <w:b/>
              </w:rPr>
              <w:t xml:space="preserve"> Scheme -</w:t>
            </w:r>
            <w:r>
              <w:rPr>
                <w:rFonts w:cstheme="minorHAnsi"/>
              </w:rPr>
              <w:t xml:space="preserve"> </w:t>
            </w:r>
            <w:r w:rsidR="00F02DCF" w:rsidRPr="009F2F0B">
              <w:rPr>
                <w:rFonts w:cstheme="minorHAnsi"/>
              </w:rPr>
              <w:t>The trust deed for SA Local Government Superannuation Scheme</w:t>
            </w:r>
            <w:r w:rsidR="006B651C">
              <w:rPr>
                <w:rFonts w:cstheme="minorHAnsi"/>
              </w:rPr>
              <w:t xml:space="preserve"> T</w:t>
            </w:r>
            <w:r w:rsidR="006B651C" w:rsidRPr="006B651C">
              <w:rPr>
                <w:rFonts w:cstheme="minorHAnsi"/>
              </w:rPr>
              <w:t>rust deed means the declaration of trust dated 8 February 1988, made by Host‑Plus Pty Ltd, as amended and in force on 29 April 2022</w:t>
            </w:r>
          </w:p>
        </w:tc>
        <w:tc>
          <w:tcPr>
            <w:tcW w:w="5327" w:type="dxa"/>
            <w:tcBorders>
              <w:bottom w:val="single" w:sz="4" w:space="0" w:color="auto"/>
            </w:tcBorders>
          </w:tcPr>
          <w:p w14:paraId="7AB66A37" w14:textId="668B842E" w:rsidR="006B651C" w:rsidRDefault="006B651C" w:rsidP="0014201F">
            <w:pPr>
              <w:spacing w:after="160" w:line="240" w:lineRule="auto"/>
            </w:pPr>
            <w:proofErr w:type="spellStart"/>
            <w:r>
              <w:t>HostPlus</w:t>
            </w:r>
            <w:proofErr w:type="spellEnd"/>
          </w:p>
          <w:p w14:paraId="149A2641" w14:textId="124ACC96" w:rsidR="006B651C" w:rsidRPr="006B651C" w:rsidRDefault="006B651C" w:rsidP="0014201F">
            <w:pPr>
              <w:spacing w:after="160" w:line="240" w:lineRule="auto"/>
            </w:pPr>
            <w:r w:rsidRPr="009F2F0B">
              <w:rPr>
                <w:b/>
              </w:rPr>
              <w:t>Website</w:t>
            </w:r>
            <w:r>
              <w:t xml:space="preserve">: </w:t>
            </w:r>
            <w:r w:rsidRPr="00661787">
              <w:t>https://hostplus.com.au/</w:t>
            </w:r>
            <w:r w:rsidR="0014201F">
              <w:rPr>
                <w:rStyle w:val="Hyperlink"/>
              </w:rPr>
              <w:br/>
            </w:r>
            <w:r w:rsidRPr="009F2F0B">
              <w:rPr>
                <w:b/>
              </w:rPr>
              <w:t>Postal Address</w:t>
            </w:r>
            <w:r>
              <w:t xml:space="preserve">: </w:t>
            </w:r>
            <w:r w:rsidRPr="006B651C">
              <w:t>Locked Bag 5046, Parramatta</w:t>
            </w:r>
            <w:r w:rsidR="0014201F">
              <w:t>,</w:t>
            </w:r>
            <w:r w:rsidRPr="006B651C">
              <w:t xml:space="preserve"> NSW</w:t>
            </w:r>
            <w:r w:rsidR="0014201F">
              <w:t xml:space="preserve">, </w:t>
            </w:r>
            <w:r w:rsidRPr="006B651C">
              <w:t>2124</w:t>
            </w:r>
            <w:r w:rsidR="0014201F">
              <w:br/>
            </w:r>
            <w:r w:rsidRPr="009F2F0B">
              <w:rPr>
                <w:b/>
              </w:rPr>
              <w:t>Telephone</w:t>
            </w:r>
            <w:r>
              <w:t xml:space="preserve">: </w:t>
            </w:r>
            <w:r w:rsidRPr="006B651C">
              <w:t>1300 467 875</w:t>
            </w:r>
            <w:r w:rsidR="0014201F">
              <w:br/>
            </w:r>
            <w:r w:rsidRPr="009F2F0B">
              <w:rPr>
                <w:b/>
              </w:rPr>
              <w:t>Email</w:t>
            </w:r>
            <w:r>
              <w:t xml:space="preserve">: </w:t>
            </w:r>
            <w:r w:rsidRPr="006B651C">
              <w:t>info@hostplus.com.au</w:t>
            </w:r>
          </w:p>
        </w:tc>
      </w:tr>
      <w:tr w:rsidR="00A66E67" w14:paraId="5366BA88" w14:textId="77777777" w:rsidTr="00BB4C8F">
        <w:trPr>
          <w:gridAfter w:val="1"/>
          <w:wAfter w:w="8" w:type="dxa"/>
        </w:trPr>
        <w:tc>
          <w:tcPr>
            <w:tcW w:w="3681" w:type="dxa"/>
            <w:tcBorders>
              <w:right w:val="nil"/>
            </w:tcBorders>
            <w:shd w:val="clear" w:color="auto" w:fill="F2F2F2" w:themeFill="background1" w:themeFillShade="F2"/>
          </w:tcPr>
          <w:p w14:paraId="03218D89" w14:textId="77777777" w:rsidR="00A66E67" w:rsidRPr="007C1833" w:rsidRDefault="00A66E67" w:rsidP="0093199F">
            <w:pPr>
              <w:spacing w:after="0" w:line="240" w:lineRule="auto"/>
              <w:rPr>
                <w:rFonts w:eastAsia="Times New Roman" w:cstheme="minorHAnsi"/>
                <w:b/>
                <w:color w:val="000000"/>
              </w:rPr>
            </w:pPr>
            <w:r w:rsidRPr="007C1833">
              <w:rPr>
                <w:rFonts w:eastAsia="Times New Roman" w:cstheme="minorHAnsi"/>
                <w:b/>
                <w:color w:val="000000"/>
              </w:rPr>
              <w:t>Other superannuation plans</w:t>
            </w:r>
          </w:p>
        </w:tc>
        <w:tc>
          <w:tcPr>
            <w:tcW w:w="5327" w:type="dxa"/>
            <w:tcBorders>
              <w:left w:val="nil"/>
            </w:tcBorders>
            <w:shd w:val="clear" w:color="auto" w:fill="F2F2F2" w:themeFill="background1" w:themeFillShade="F2"/>
          </w:tcPr>
          <w:p w14:paraId="393F7B37" w14:textId="77777777" w:rsidR="00A66E67" w:rsidRDefault="00A66E67" w:rsidP="00A66E67">
            <w:pPr>
              <w:spacing w:after="0" w:line="240" w:lineRule="auto"/>
            </w:pPr>
          </w:p>
        </w:tc>
      </w:tr>
      <w:tr w:rsidR="00A66E67" w14:paraId="00C7EF96" w14:textId="77777777" w:rsidTr="00BB4C8F">
        <w:trPr>
          <w:gridAfter w:val="1"/>
          <w:wAfter w:w="8" w:type="dxa"/>
        </w:trPr>
        <w:tc>
          <w:tcPr>
            <w:tcW w:w="3681" w:type="dxa"/>
            <w:tcBorders>
              <w:bottom w:val="single" w:sz="4" w:space="0" w:color="auto"/>
            </w:tcBorders>
          </w:tcPr>
          <w:p w14:paraId="33F8FDD5" w14:textId="1C90B9CD" w:rsidR="00A66E67" w:rsidRDefault="00A66E67" w:rsidP="0093199F">
            <w:pPr>
              <w:spacing w:after="0" w:line="240" w:lineRule="auto"/>
              <w:rPr>
                <w:rFonts w:cstheme="minorHAnsi"/>
                <w:i/>
              </w:rPr>
            </w:pPr>
            <w:r w:rsidRPr="00252FA5">
              <w:rPr>
                <w:rFonts w:eastAsia="Times New Roman" w:cstheme="minorHAnsi"/>
                <w:b/>
                <w:color w:val="000000"/>
              </w:rPr>
              <w:t>Construction and Building Unions Superannuation Fund (previously called Energy Industries Superannuation Scheme)</w:t>
            </w:r>
            <w:r w:rsidR="00A54671">
              <w:rPr>
                <w:rFonts w:eastAsia="Times New Roman" w:cstheme="minorHAnsi"/>
                <w:b/>
                <w:color w:val="000000"/>
              </w:rPr>
              <w:t xml:space="preserve"> </w:t>
            </w:r>
            <w:r>
              <w:rPr>
                <w:rFonts w:eastAsia="Times New Roman" w:cstheme="minorHAnsi"/>
                <w:i/>
                <w:color w:val="000000"/>
              </w:rPr>
              <w:t xml:space="preserve">- </w:t>
            </w:r>
            <w:r w:rsidRPr="00CB2758">
              <w:rPr>
                <w:rFonts w:eastAsia="Times New Roman" w:cstheme="minorHAnsi"/>
                <w:color w:val="000000"/>
              </w:rPr>
              <w:t xml:space="preserve">Trust Deed dated 29 May 1984, entered into </w:t>
            </w:r>
            <w:r w:rsidRPr="00CB2758">
              <w:rPr>
                <w:rFonts w:eastAsia="Times New Roman" w:cstheme="minorHAnsi"/>
                <w:color w:val="000000"/>
              </w:rPr>
              <w:lastRenderedPageBreak/>
              <w:t>by United Super Pty Ltd, as in force on 12 May 2023</w:t>
            </w:r>
          </w:p>
        </w:tc>
        <w:tc>
          <w:tcPr>
            <w:tcW w:w="5327" w:type="dxa"/>
            <w:tcBorders>
              <w:bottom w:val="single" w:sz="4" w:space="0" w:color="auto"/>
            </w:tcBorders>
          </w:tcPr>
          <w:p w14:paraId="0F89194B" w14:textId="77777777" w:rsidR="00A66E67" w:rsidRDefault="00A66E67" w:rsidP="0014201F">
            <w:pPr>
              <w:spacing w:after="160" w:line="240" w:lineRule="auto"/>
              <w:rPr>
                <w:rFonts w:eastAsia="Times New Roman" w:cstheme="minorHAnsi"/>
                <w:color w:val="000000"/>
              </w:rPr>
            </w:pPr>
            <w:r w:rsidRPr="00E30967">
              <w:rPr>
                <w:rFonts w:eastAsia="Times New Roman" w:cstheme="minorHAnsi"/>
                <w:color w:val="000000"/>
              </w:rPr>
              <w:lastRenderedPageBreak/>
              <w:t xml:space="preserve">Construction and Building Unions Superannuation Fund </w:t>
            </w:r>
            <w:r>
              <w:rPr>
                <w:rFonts w:eastAsia="Times New Roman" w:cstheme="minorHAnsi"/>
                <w:color w:val="000000"/>
              </w:rPr>
              <w:t xml:space="preserve">(CBUS) </w:t>
            </w:r>
          </w:p>
          <w:p w14:paraId="722E999C" w14:textId="7B1FA831" w:rsidR="00A66E67" w:rsidRPr="00CA7FE2" w:rsidRDefault="00A54671" w:rsidP="00B778C2">
            <w:pPr>
              <w:spacing w:after="160" w:line="240" w:lineRule="auto"/>
              <w:rPr>
                <w:u w:val="single"/>
              </w:rPr>
            </w:pPr>
            <w:r w:rsidRPr="00CA7FE2">
              <w:rPr>
                <w:b/>
              </w:rPr>
              <w:t>Website</w:t>
            </w:r>
            <w:r>
              <w:t xml:space="preserve">: </w:t>
            </w:r>
            <w:r w:rsidRPr="00661787">
              <w:t>https://www.cbussuper.com.au/</w:t>
            </w:r>
            <w:r>
              <w:t xml:space="preserve"> </w:t>
            </w:r>
            <w:r w:rsidR="0014201F">
              <w:br/>
            </w:r>
            <w:r w:rsidR="00A66E67" w:rsidRPr="00CA7FE2">
              <w:rPr>
                <w:rFonts w:eastAsia="Times New Roman" w:cstheme="minorHAnsi"/>
                <w:b/>
                <w:color w:val="000000"/>
              </w:rPr>
              <w:t>Postal Address</w:t>
            </w:r>
            <w:r w:rsidR="00A66E67">
              <w:rPr>
                <w:rFonts w:eastAsia="Times New Roman" w:cstheme="minorHAnsi"/>
                <w:color w:val="000000"/>
              </w:rPr>
              <w:t xml:space="preserve">: </w:t>
            </w:r>
            <w:r w:rsidR="00A66E67" w:rsidRPr="00CD59CA">
              <w:rPr>
                <w:rFonts w:eastAsia="Times New Roman" w:cstheme="minorHAnsi"/>
                <w:color w:val="000000"/>
              </w:rPr>
              <w:t>Locked Bag 5056</w:t>
            </w:r>
            <w:r w:rsidR="00A66E67">
              <w:rPr>
                <w:rFonts w:eastAsia="Times New Roman" w:cstheme="minorHAnsi"/>
                <w:color w:val="000000"/>
              </w:rPr>
              <w:t xml:space="preserve">, </w:t>
            </w:r>
            <w:r w:rsidR="00A66E67" w:rsidRPr="00CD59CA">
              <w:rPr>
                <w:rFonts w:eastAsia="Times New Roman" w:cstheme="minorHAnsi"/>
                <w:color w:val="000000"/>
              </w:rPr>
              <w:t>Parramatta</w:t>
            </w:r>
            <w:r w:rsidR="00A66E67">
              <w:rPr>
                <w:rFonts w:eastAsia="Times New Roman" w:cstheme="minorHAnsi"/>
                <w:color w:val="000000"/>
              </w:rPr>
              <w:t xml:space="preserve">, </w:t>
            </w:r>
            <w:r w:rsidR="00A66E67" w:rsidRPr="00CD59CA">
              <w:rPr>
                <w:rFonts w:eastAsia="Times New Roman" w:cstheme="minorHAnsi"/>
                <w:color w:val="000000"/>
              </w:rPr>
              <w:t>NSW</w:t>
            </w:r>
            <w:r>
              <w:rPr>
                <w:rFonts w:eastAsia="Times New Roman" w:cstheme="minorHAnsi"/>
                <w:color w:val="000000"/>
              </w:rPr>
              <w:t>,</w:t>
            </w:r>
            <w:r w:rsidR="00A66E67" w:rsidRPr="00CD59CA">
              <w:rPr>
                <w:rFonts w:eastAsia="Times New Roman" w:cstheme="minorHAnsi"/>
                <w:color w:val="000000"/>
              </w:rPr>
              <w:t xml:space="preserve"> 2124</w:t>
            </w:r>
            <w:r w:rsidR="0014201F">
              <w:rPr>
                <w:rFonts w:eastAsia="Times New Roman" w:cstheme="minorHAnsi"/>
                <w:color w:val="000000"/>
              </w:rPr>
              <w:br/>
            </w:r>
            <w:r w:rsidR="00A66E67" w:rsidRPr="00CA7FE2">
              <w:rPr>
                <w:rFonts w:eastAsia="Times New Roman" w:cstheme="minorHAnsi"/>
                <w:b/>
                <w:color w:val="000000"/>
              </w:rPr>
              <w:lastRenderedPageBreak/>
              <w:t>Telephone</w:t>
            </w:r>
            <w:r w:rsidR="00A66E67">
              <w:rPr>
                <w:rFonts w:eastAsia="Times New Roman" w:cstheme="minorHAnsi"/>
                <w:color w:val="000000"/>
              </w:rPr>
              <w:t xml:space="preserve">: </w:t>
            </w:r>
            <w:r w:rsidR="00A66E67" w:rsidRPr="00CD59CA">
              <w:rPr>
                <w:rFonts w:eastAsia="Times New Roman" w:cstheme="minorHAnsi"/>
                <w:color w:val="000000"/>
              </w:rPr>
              <w:t>1300 361 784</w:t>
            </w:r>
            <w:r w:rsidR="0014201F">
              <w:rPr>
                <w:rFonts w:eastAsia="Times New Roman" w:cstheme="minorHAnsi"/>
                <w:color w:val="000000"/>
              </w:rPr>
              <w:br/>
            </w:r>
            <w:r w:rsidR="00A66E67" w:rsidRPr="00CA7FE2">
              <w:rPr>
                <w:b/>
              </w:rPr>
              <w:t>Email</w:t>
            </w:r>
            <w:r w:rsidR="00A66E67">
              <w:t xml:space="preserve">: </w:t>
            </w:r>
            <w:r w:rsidRPr="00A54671">
              <w:t>cbusenq@cbussuper.com.au</w:t>
            </w:r>
            <w:r w:rsidR="00A66E67">
              <w:t xml:space="preserve"> </w:t>
            </w:r>
          </w:p>
        </w:tc>
      </w:tr>
      <w:tr w:rsidR="008C1224" w14:paraId="5197E6C2" w14:textId="77777777" w:rsidTr="00BB4C8F">
        <w:trPr>
          <w:gridAfter w:val="1"/>
          <w:wAfter w:w="8" w:type="dxa"/>
        </w:trPr>
        <w:tc>
          <w:tcPr>
            <w:tcW w:w="3681" w:type="dxa"/>
          </w:tcPr>
          <w:p w14:paraId="13082D57" w14:textId="44ADADFD" w:rsidR="008C1224" w:rsidRPr="00252FA5" w:rsidRDefault="008C1224" w:rsidP="0093199F">
            <w:pPr>
              <w:spacing w:after="0" w:line="240" w:lineRule="auto"/>
            </w:pPr>
            <w:r w:rsidRPr="00252FA5">
              <w:rPr>
                <w:b/>
              </w:rPr>
              <w:lastRenderedPageBreak/>
              <w:t xml:space="preserve">Ford Employees Superannuation Fund </w:t>
            </w:r>
            <w:r>
              <w:t xml:space="preserve">- </w:t>
            </w:r>
            <w:r>
              <w:rPr>
                <w:color w:val="000000"/>
              </w:rPr>
              <w:t>Deed dated 29 December 1941</w:t>
            </w:r>
          </w:p>
        </w:tc>
        <w:tc>
          <w:tcPr>
            <w:tcW w:w="5327" w:type="dxa"/>
            <w:vMerge w:val="restart"/>
          </w:tcPr>
          <w:p w14:paraId="35B62D4C" w14:textId="2A6A04B8" w:rsidR="008C1224" w:rsidRPr="00B45F37" w:rsidRDefault="008C1224" w:rsidP="0014201F">
            <w:pPr>
              <w:spacing w:after="160" w:line="240" w:lineRule="auto"/>
              <w:rPr>
                <w:rFonts w:eastAsia="Times New Roman" w:cstheme="minorHAnsi"/>
                <w:b/>
                <w:color w:val="000000"/>
              </w:rPr>
            </w:pPr>
            <w:r>
              <w:rPr>
                <w:rFonts w:eastAsia="Times New Roman" w:cstheme="minorHAnsi"/>
                <w:color w:val="000000"/>
              </w:rPr>
              <w:t>Mercer Super Trust</w:t>
            </w:r>
          </w:p>
          <w:p w14:paraId="3BC00BF7" w14:textId="56F6F40B" w:rsidR="008C1224" w:rsidRPr="00CA7FE2" w:rsidRDefault="008C1224" w:rsidP="0014201F">
            <w:pPr>
              <w:spacing w:after="160" w:line="240" w:lineRule="auto"/>
              <w:rPr>
                <w:u w:val="single"/>
              </w:rPr>
            </w:pPr>
            <w:r w:rsidRPr="00B45F37">
              <w:rPr>
                <w:rFonts w:eastAsia="Times New Roman" w:cstheme="minorHAnsi"/>
                <w:b/>
                <w:color w:val="000000"/>
              </w:rPr>
              <w:t>Website</w:t>
            </w:r>
            <w:r w:rsidRPr="00B45F37">
              <w:rPr>
                <w:rFonts w:eastAsia="Times New Roman" w:cstheme="minorHAnsi"/>
                <w:color w:val="000000"/>
              </w:rPr>
              <w:t xml:space="preserve">: </w:t>
            </w:r>
            <w:r w:rsidRPr="00661787">
              <w:t>www.mercersuper.com.au</w:t>
            </w:r>
            <w:r w:rsidR="0014201F">
              <w:rPr>
                <w:rStyle w:val="Hyperlink"/>
              </w:rPr>
              <w:br/>
            </w:r>
            <w:r w:rsidRPr="00B45F37">
              <w:rPr>
                <w:rFonts w:eastAsia="Times New Roman" w:cstheme="minorHAnsi"/>
                <w:b/>
                <w:color w:val="000000"/>
              </w:rPr>
              <w:t>Postal address</w:t>
            </w:r>
            <w:r w:rsidRPr="00B45F37">
              <w:rPr>
                <w:rFonts w:eastAsia="Times New Roman" w:cstheme="minorHAnsi"/>
                <w:color w:val="000000"/>
              </w:rPr>
              <w:t xml:space="preserve">: </w:t>
            </w:r>
            <w:r w:rsidRPr="004A04C0">
              <w:rPr>
                <w:rFonts w:eastAsia="Times New Roman" w:cstheme="minorHAnsi"/>
                <w:color w:val="000000"/>
              </w:rPr>
              <w:t>GPO BOX 4303,</w:t>
            </w:r>
            <w:r>
              <w:rPr>
                <w:rFonts w:eastAsia="Times New Roman" w:cstheme="minorHAnsi"/>
                <w:color w:val="000000"/>
              </w:rPr>
              <w:t xml:space="preserve"> </w:t>
            </w:r>
            <w:r w:rsidRPr="004A04C0">
              <w:rPr>
                <w:rFonts w:eastAsia="Times New Roman" w:cstheme="minorHAnsi"/>
                <w:color w:val="000000"/>
              </w:rPr>
              <w:t>Melbourne, VIC</w:t>
            </w:r>
            <w:r w:rsidR="00A54671">
              <w:rPr>
                <w:rFonts w:eastAsia="Times New Roman" w:cstheme="minorHAnsi"/>
                <w:color w:val="000000"/>
              </w:rPr>
              <w:t>,</w:t>
            </w:r>
            <w:r w:rsidRPr="004A04C0">
              <w:rPr>
                <w:rFonts w:eastAsia="Times New Roman" w:cstheme="minorHAnsi"/>
                <w:color w:val="000000"/>
              </w:rPr>
              <w:t xml:space="preserve"> 3001</w:t>
            </w:r>
            <w:r w:rsidR="0014201F">
              <w:rPr>
                <w:rFonts w:eastAsia="Times New Roman" w:cstheme="minorHAnsi"/>
                <w:color w:val="000000"/>
              </w:rPr>
              <w:br/>
            </w:r>
            <w:r w:rsidRPr="00B45F37">
              <w:rPr>
                <w:rFonts w:eastAsia="Times New Roman" w:cstheme="minorHAnsi"/>
                <w:b/>
                <w:color w:val="000000"/>
              </w:rPr>
              <w:t>Telephone:</w:t>
            </w:r>
            <w:r w:rsidRPr="00B45F37">
              <w:rPr>
                <w:rFonts w:eastAsia="Times New Roman" w:cstheme="minorHAnsi"/>
                <w:color w:val="000000"/>
              </w:rPr>
              <w:t xml:space="preserve"> </w:t>
            </w:r>
            <w:r w:rsidRPr="004A04C0">
              <w:rPr>
                <w:rFonts w:eastAsia="Times New Roman" w:cstheme="minorHAnsi"/>
                <w:color w:val="000000"/>
              </w:rPr>
              <w:t>1800 682 525</w:t>
            </w:r>
            <w:r w:rsidR="0014201F">
              <w:rPr>
                <w:rFonts w:eastAsia="Times New Roman" w:cstheme="minorHAnsi"/>
                <w:color w:val="000000"/>
              </w:rPr>
              <w:br/>
            </w:r>
            <w:r w:rsidRPr="00CA7FE2">
              <w:rPr>
                <w:b/>
              </w:rPr>
              <w:t>Email</w:t>
            </w:r>
            <w:r>
              <w:t xml:space="preserve">: </w:t>
            </w:r>
            <w:r w:rsidRPr="00A54671">
              <w:rPr>
                <w:rFonts w:cstheme="minorHAnsi"/>
              </w:rPr>
              <w:t>mst@mercer.com</w:t>
            </w:r>
          </w:p>
        </w:tc>
      </w:tr>
      <w:tr w:rsidR="00F57141" w14:paraId="15ABAF1C" w14:textId="77777777" w:rsidTr="00BB4C8F">
        <w:trPr>
          <w:gridAfter w:val="1"/>
          <w:wAfter w:w="8" w:type="dxa"/>
        </w:trPr>
        <w:tc>
          <w:tcPr>
            <w:tcW w:w="3681" w:type="dxa"/>
          </w:tcPr>
          <w:p w14:paraId="3BE002C2" w14:textId="7CD0705B" w:rsidR="00F57141" w:rsidRPr="00252FA5" w:rsidRDefault="00F57141" w:rsidP="0093199F">
            <w:pPr>
              <w:spacing w:after="0" w:line="240" w:lineRule="auto"/>
              <w:rPr>
                <w:b/>
              </w:rPr>
            </w:pPr>
            <w:r w:rsidRPr="00252FA5">
              <w:rPr>
                <w:b/>
              </w:rPr>
              <w:t xml:space="preserve">Ford Employees Superannuation Fund </w:t>
            </w:r>
            <w:r>
              <w:rPr>
                <w:b/>
              </w:rPr>
              <w:t xml:space="preserve">- </w:t>
            </w:r>
            <w:r>
              <w:rPr>
                <w:color w:val="000000"/>
              </w:rPr>
              <w:t>Deed dated 21 April 1999</w:t>
            </w:r>
          </w:p>
        </w:tc>
        <w:tc>
          <w:tcPr>
            <w:tcW w:w="5327" w:type="dxa"/>
            <w:vMerge/>
          </w:tcPr>
          <w:p w14:paraId="1BD6ACB0" w14:textId="77777777" w:rsidR="00F57141" w:rsidRDefault="00F57141" w:rsidP="0014201F">
            <w:pPr>
              <w:spacing w:after="160" w:line="240" w:lineRule="auto"/>
              <w:rPr>
                <w:rFonts w:eastAsia="Times New Roman" w:cstheme="minorHAnsi"/>
                <w:color w:val="000000"/>
              </w:rPr>
            </w:pPr>
          </w:p>
        </w:tc>
      </w:tr>
      <w:tr w:rsidR="008C1224" w14:paraId="607DEB85" w14:textId="77777777" w:rsidTr="00BB4C8F">
        <w:trPr>
          <w:gridAfter w:val="1"/>
          <w:wAfter w:w="8" w:type="dxa"/>
        </w:trPr>
        <w:tc>
          <w:tcPr>
            <w:tcW w:w="3681" w:type="dxa"/>
            <w:tcBorders>
              <w:bottom w:val="single" w:sz="4" w:space="0" w:color="auto"/>
            </w:tcBorders>
          </w:tcPr>
          <w:p w14:paraId="77573606" w14:textId="62DAC980" w:rsidR="008C1224" w:rsidRDefault="008C1224" w:rsidP="0093199F">
            <w:pPr>
              <w:spacing w:after="0" w:line="240" w:lineRule="auto"/>
              <w:rPr>
                <w:rFonts w:cstheme="minorHAnsi"/>
                <w:i/>
              </w:rPr>
            </w:pPr>
            <w:r w:rsidRPr="007C1833">
              <w:rPr>
                <w:b/>
              </w:rPr>
              <w:t>Ford Management Retirement Plan</w:t>
            </w:r>
            <w:r>
              <w:rPr>
                <w:b/>
              </w:rPr>
              <w:t xml:space="preserve"> -</w:t>
            </w:r>
            <w:r>
              <w:rPr>
                <w:color w:val="000000"/>
              </w:rPr>
              <w:t>Trust Deed dated 1 January 1989</w:t>
            </w:r>
          </w:p>
        </w:tc>
        <w:tc>
          <w:tcPr>
            <w:tcW w:w="5327" w:type="dxa"/>
            <w:vMerge/>
          </w:tcPr>
          <w:p w14:paraId="67C08A13" w14:textId="77777777" w:rsidR="008C1224" w:rsidRPr="00CA7FE2" w:rsidRDefault="008C1224" w:rsidP="0014201F">
            <w:pPr>
              <w:spacing w:after="160" w:line="240" w:lineRule="auto"/>
              <w:rPr>
                <w:u w:val="single"/>
              </w:rPr>
            </w:pPr>
          </w:p>
        </w:tc>
      </w:tr>
      <w:tr w:rsidR="00F02DCF" w14:paraId="3088E4A6" w14:textId="77777777" w:rsidTr="00BB4C8F">
        <w:trPr>
          <w:gridAfter w:val="1"/>
          <w:wAfter w:w="8" w:type="dxa"/>
        </w:trPr>
        <w:tc>
          <w:tcPr>
            <w:tcW w:w="3681" w:type="dxa"/>
          </w:tcPr>
          <w:p w14:paraId="776EC02E" w14:textId="48F0EC1A" w:rsidR="00F02DCF" w:rsidRPr="00252FA5" w:rsidRDefault="00F02DCF" w:rsidP="0093199F">
            <w:pPr>
              <w:spacing w:after="0" w:line="240" w:lineRule="auto"/>
              <w:rPr>
                <w:rFonts w:eastAsia="Times New Roman" w:cstheme="minorHAnsi"/>
                <w:b/>
                <w:color w:val="000000"/>
              </w:rPr>
            </w:pPr>
            <w:r w:rsidRPr="00252FA5">
              <w:rPr>
                <w:rFonts w:eastAsia="Times New Roman" w:cstheme="minorHAnsi"/>
                <w:b/>
                <w:color w:val="000000"/>
              </w:rPr>
              <w:t>GlaxoSmithKline Superannuation Fund</w:t>
            </w:r>
            <w:r w:rsidRPr="008C1224">
              <w:rPr>
                <w:rFonts w:eastAsia="Times New Roman" w:cstheme="minorHAnsi"/>
                <w:color w:val="000000"/>
              </w:rPr>
              <w:t xml:space="preserve"> </w:t>
            </w:r>
            <w:r>
              <w:rPr>
                <w:rFonts w:eastAsia="Times New Roman" w:cstheme="minorHAnsi"/>
                <w:color w:val="000000"/>
              </w:rPr>
              <w:t xml:space="preserve">- </w:t>
            </w:r>
            <w:r w:rsidRPr="008C1224">
              <w:rPr>
                <w:rFonts w:eastAsia="Times New Roman" w:cstheme="minorHAnsi"/>
                <w:color w:val="000000"/>
              </w:rPr>
              <w:t>Deed dated 3 November 1966</w:t>
            </w:r>
            <w:r w:rsidR="00F57141" w:rsidRPr="008C1224">
              <w:rPr>
                <w:rFonts w:eastAsia="Times New Roman" w:cstheme="minorHAnsi"/>
                <w:color w:val="000000"/>
              </w:rPr>
              <w:t xml:space="preserve"> </w:t>
            </w:r>
          </w:p>
        </w:tc>
        <w:tc>
          <w:tcPr>
            <w:tcW w:w="5327" w:type="dxa"/>
            <w:vMerge w:val="restart"/>
            <w:tcBorders>
              <w:top w:val="single" w:sz="4" w:space="0" w:color="auto"/>
            </w:tcBorders>
          </w:tcPr>
          <w:p w14:paraId="13C297CB" w14:textId="40E652A4" w:rsidR="00F02DCF" w:rsidRPr="00B45F37" w:rsidRDefault="00F02DCF" w:rsidP="0014201F">
            <w:pPr>
              <w:spacing w:after="160" w:line="240" w:lineRule="auto"/>
              <w:rPr>
                <w:rFonts w:eastAsia="Times New Roman" w:cstheme="minorHAnsi"/>
                <w:b/>
                <w:color w:val="000000"/>
              </w:rPr>
            </w:pPr>
            <w:r>
              <w:rPr>
                <w:rFonts w:eastAsia="Times New Roman" w:cstheme="minorHAnsi"/>
                <w:color w:val="000000"/>
              </w:rPr>
              <w:t>Mercer Super Trust</w:t>
            </w:r>
          </w:p>
          <w:p w14:paraId="6ECFAF67" w14:textId="686FF582" w:rsidR="00F02DCF" w:rsidRPr="00B778C2" w:rsidRDefault="00F02DCF" w:rsidP="0014201F">
            <w:pPr>
              <w:spacing w:after="160" w:line="240" w:lineRule="auto"/>
              <w:rPr>
                <w:rFonts w:cstheme="minorHAnsi"/>
              </w:rPr>
            </w:pPr>
            <w:r w:rsidRPr="00B45F37">
              <w:rPr>
                <w:rFonts w:eastAsia="Times New Roman" w:cstheme="minorHAnsi"/>
                <w:b/>
                <w:color w:val="000000"/>
              </w:rPr>
              <w:t>Website</w:t>
            </w:r>
            <w:r w:rsidRPr="00B45F37">
              <w:rPr>
                <w:rFonts w:eastAsia="Times New Roman" w:cstheme="minorHAnsi"/>
                <w:color w:val="000000"/>
              </w:rPr>
              <w:t xml:space="preserve">: </w:t>
            </w:r>
            <w:r w:rsidRPr="00661787">
              <w:t>www.mercersuper.com.au</w:t>
            </w:r>
            <w:r w:rsidR="0014201F">
              <w:rPr>
                <w:rStyle w:val="Hyperlink"/>
              </w:rPr>
              <w:br/>
            </w:r>
            <w:r w:rsidRPr="00B45F37">
              <w:rPr>
                <w:rFonts w:eastAsia="Times New Roman" w:cstheme="minorHAnsi"/>
                <w:b/>
                <w:color w:val="000000"/>
              </w:rPr>
              <w:t>Postal address</w:t>
            </w:r>
            <w:r w:rsidRPr="00B45F37">
              <w:rPr>
                <w:rFonts w:eastAsia="Times New Roman" w:cstheme="minorHAnsi"/>
                <w:color w:val="000000"/>
              </w:rPr>
              <w:t xml:space="preserve">: </w:t>
            </w:r>
            <w:r w:rsidRPr="004A04C0">
              <w:rPr>
                <w:rFonts w:eastAsia="Times New Roman" w:cstheme="minorHAnsi"/>
                <w:color w:val="000000"/>
              </w:rPr>
              <w:t>GPO BOX 4303,</w:t>
            </w:r>
            <w:r>
              <w:rPr>
                <w:rFonts w:eastAsia="Times New Roman" w:cstheme="minorHAnsi"/>
                <w:color w:val="000000"/>
              </w:rPr>
              <w:t xml:space="preserve"> </w:t>
            </w:r>
            <w:r w:rsidRPr="004A04C0">
              <w:rPr>
                <w:rFonts w:eastAsia="Times New Roman" w:cstheme="minorHAnsi"/>
                <w:color w:val="000000"/>
              </w:rPr>
              <w:t>Melbourne, VIC</w:t>
            </w:r>
            <w:r>
              <w:rPr>
                <w:rFonts w:eastAsia="Times New Roman" w:cstheme="minorHAnsi"/>
                <w:color w:val="000000"/>
              </w:rPr>
              <w:t>,</w:t>
            </w:r>
            <w:r w:rsidRPr="004A04C0">
              <w:rPr>
                <w:rFonts w:eastAsia="Times New Roman" w:cstheme="minorHAnsi"/>
                <w:color w:val="000000"/>
              </w:rPr>
              <w:t xml:space="preserve"> 3001</w:t>
            </w:r>
            <w:r w:rsidR="0014201F">
              <w:rPr>
                <w:rFonts w:eastAsia="Times New Roman" w:cstheme="minorHAnsi"/>
                <w:color w:val="000000"/>
              </w:rPr>
              <w:br/>
            </w:r>
            <w:r w:rsidRPr="00B45F37">
              <w:rPr>
                <w:rFonts w:eastAsia="Times New Roman" w:cstheme="minorHAnsi"/>
                <w:b/>
                <w:color w:val="000000"/>
              </w:rPr>
              <w:t>Telephone:</w:t>
            </w:r>
            <w:r w:rsidRPr="00B45F37">
              <w:rPr>
                <w:rFonts w:eastAsia="Times New Roman" w:cstheme="minorHAnsi"/>
                <w:color w:val="000000"/>
              </w:rPr>
              <w:t xml:space="preserve"> </w:t>
            </w:r>
            <w:r w:rsidRPr="004A04C0">
              <w:rPr>
                <w:rFonts w:eastAsia="Times New Roman" w:cstheme="minorHAnsi"/>
                <w:color w:val="000000"/>
              </w:rPr>
              <w:t>1800 682 525</w:t>
            </w:r>
            <w:r w:rsidR="0014201F">
              <w:rPr>
                <w:rFonts w:eastAsia="Times New Roman" w:cstheme="minorHAnsi"/>
                <w:color w:val="000000"/>
              </w:rPr>
              <w:br/>
            </w:r>
            <w:r w:rsidR="00F57141" w:rsidRPr="00CA7FE2">
              <w:rPr>
                <w:b/>
              </w:rPr>
              <w:t>Email</w:t>
            </w:r>
            <w:r w:rsidR="00F57141">
              <w:t xml:space="preserve">: </w:t>
            </w:r>
            <w:r w:rsidR="00F57141" w:rsidRPr="00661787">
              <w:rPr>
                <w:rFonts w:cstheme="minorHAnsi"/>
              </w:rPr>
              <w:t>mst@mercer.com</w:t>
            </w:r>
          </w:p>
        </w:tc>
      </w:tr>
      <w:tr w:rsidR="00F57141" w14:paraId="54CC4B7B" w14:textId="77777777" w:rsidTr="00BB4C8F">
        <w:trPr>
          <w:gridAfter w:val="1"/>
          <w:wAfter w:w="8" w:type="dxa"/>
        </w:trPr>
        <w:tc>
          <w:tcPr>
            <w:tcW w:w="3681" w:type="dxa"/>
          </w:tcPr>
          <w:p w14:paraId="1D626A35" w14:textId="3021E3DE" w:rsidR="00F57141" w:rsidRPr="00252FA5" w:rsidRDefault="00F57141" w:rsidP="0093199F">
            <w:pPr>
              <w:spacing w:after="0" w:line="240" w:lineRule="auto"/>
              <w:rPr>
                <w:rFonts w:eastAsia="Times New Roman" w:cstheme="minorHAnsi"/>
                <w:b/>
                <w:color w:val="000000"/>
              </w:rPr>
            </w:pPr>
            <w:r w:rsidRPr="00252FA5">
              <w:rPr>
                <w:rFonts w:eastAsia="Times New Roman" w:cstheme="minorHAnsi"/>
                <w:b/>
                <w:color w:val="000000"/>
              </w:rPr>
              <w:t>GlaxoSmithKline Superannuation Fund</w:t>
            </w:r>
            <w:r w:rsidRPr="008C1224">
              <w:rPr>
                <w:rFonts w:eastAsia="Times New Roman" w:cstheme="minorHAnsi"/>
                <w:color w:val="000000"/>
              </w:rPr>
              <w:t xml:space="preserve"> </w:t>
            </w:r>
            <w:r>
              <w:rPr>
                <w:rFonts w:eastAsia="Times New Roman" w:cstheme="minorHAnsi"/>
                <w:color w:val="000000"/>
              </w:rPr>
              <w:t xml:space="preserve">- </w:t>
            </w:r>
            <w:r w:rsidRPr="008C1224">
              <w:rPr>
                <w:rFonts w:eastAsia="Times New Roman" w:cstheme="minorHAnsi"/>
                <w:color w:val="000000"/>
              </w:rPr>
              <w:t>Deed dated 17 April 2001</w:t>
            </w:r>
          </w:p>
        </w:tc>
        <w:tc>
          <w:tcPr>
            <w:tcW w:w="5327" w:type="dxa"/>
            <w:vMerge/>
          </w:tcPr>
          <w:p w14:paraId="639135DD" w14:textId="77777777" w:rsidR="00F57141" w:rsidRDefault="00F57141" w:rsidP="0014201F">
            <w:pPr>
              <w:spacing w:after="160" w:line="240" w:lineRule="auto"/>
              <w:rPr>
                <w:rFonts w:eastAsia="Times New Roman" w:cstheme="minorHAnsi"/>
                <w:color w:val="000000"/>
              </w:rPr>
            </w:pPr>
          </w:p>
        </w:tc>
      </w:tr>
      <w:tr w:rsidR="00A66E67" w14:paraId="6AA8E475" w14:textId="77777777" w:rsidTr="00BB4C8F">
        <w:trPr>
          <w:gridAfter w:val="1"/>
          <w:wAfter w:w="8" w:type="dxa"/>
        </w:trPr>
        <w:tc>
          <w:tcPr>
            <w:tcW w:w="3681" w:type="dxa"/>
          </w:tcPr>
          <w:p w14:paraId="321010F4" w14:textId="0184D14F" w:rsidR="00A66E67" w:rsidRDefault="00B27E01" w:rsidP="0093199F">
            <w:pPr>
              <w:spacing w:after="0" w:line="240" w:lineRule="auto"/>
              <w:rPr>
                <w:rFonts w:cstheme="minorHAnsi"/>
                <w:i/>
              </w:rPr>
            </w:pPr>
            <w:r w:rsidRPr="00252FA5">
              <w:rPr>
                <w:rFonts w:eastAsia="Times New Roman" w:cstheme="minorHAnsi"/>
                <w:b/>
                <w:color w:val="000000"/>
              </w:rPr>
              <w:t>Hanson Australia Pty Limited</w:t>
            </w:r>
            <w:r w:rsidRPr="00E30967">
              <w:rPr>
                <w:rFonts w:eastAsia="Times New Roman" w:cstheme="minorHAnsi"/>
                <w:color w:val="000000"/>
              </w:rPr>
              <w:t xml:space="preserve"> </w:t>
            </w:r>
            <w:r w:rsidR="00215A2A">
              <w:rPr>
                <w:rFonts w:eastAsia="Times New Roman" w:cstheme="minorHAnsi"/>
                <w:color w:val="000000"/>
              </w:rPr>
              <w:t>-</w:t>
            </w:r>
            <w:r w:rsidR="00CD421B">
              <w:rPr>
                <w:rFonts w:eastAsia="Times New Roman" w:cstheme="minorHAnsi"/>
                <w:color w:val="000000"/>
              </w:rPr>
              <w:t xml:space="preserve"> Principal Deed </w:t>
            </w:r>
            <w:r w:rsidR="00215A2A">
              <w:rPr>
                <w:rFonts w:eastAsia="Times New Roman" w:cstheme="minorHAnsi"/>
                <w:color w:val="000000"/>
              </w:rPr>
              <w:t>-</w:t>
            </w:r>
            <w:r w:rsidR="00CD421B">
              <w:rPr>
                <w:rFonts w:eastAsia="Times New Roman" w:cstheme="minorHAnsi"/>
                <w:color w:val="000000"/>
              </w:rPr>
              <w:t xml:space="preserve"> </w:t>
            </w:r>
            <w:r w:rsidR="00CD421B">
              <w:rPr>
                <w:color w:val="000000"/>
              </w:rPr>
              <w:t>Trust Deed dated 1 October 1987</w:t>
            </w:r>
          </w:p>
        </w:tc>
        <w:tc>
          <w:tcPr>
            <w:tcW w:w="5327" w:type="dxa"/>
            <w:vMerge w:val="restart"/>
            <w:tcBorders>
              <w:top w:val="single" w:sz="4" w:space="0" w:color="auto"/>
            </w:tcBorders>
          </w:tcPr>
          <w:p w14:paraId="42915EBC" w14:textId="4118E110" w:rsidR="00A66E67" w:rsidRDefault="00A66E67" w:rsidP="0014201F">
            <w:pPr>
              <w:spacing w:after="160" w:line="240" w:lineRule="auto"/>
            </w:pPr>
            <w:r>
              <w:t>Australian Retirement Trust (ART)</w:t>
            </w:r>
          </w:p>
          <w:p w14:paraId="2D672FFE" w14:textId="35C73541" w:rsidR="009E73A4" w:rsidRPr="00252FA5" w:rsidRDefault="00A66E67" w:rsidP="0014201F">
            <w:pPr>
              <w:spacing w:after="160" w:line="240" w:lineRule="auto"/>
            </w:pPr>
            <w:r w:rsidRPr="00CA7FE2">
              <w:rPr>
                <w:b/>
              </w:rPr>
              <w:t>Website</w:t>
            </w:r>
            <w:r>
              <w:t xml:space="preserve">: </w:t>
            </w:r>
            <w:r w:rsidRPr="00661787">
              <w:t>www.australianretirementtrust.com.au/</w:t>
            </w:r>
            <w:r>
              <w:t xml:space="preserve"> </w:t>
            </w:r>
            <w:r w:rsidR="0014201F">
              <w:br/>
            </w:r>
            <w:r w:rsidRPr="00CA7FE2">
              <w:rPr>
                <w:b/>
              </w:rPr>
              <w:t>Postal Address</w:t>
            </w:r>
            <w:r>
              <w:t xml:space="preserve">: </w:t>
            </w:r>
            <w:r w:rsidRPr="009F29F7">
              <w:t>GPO Box 2924</w:t>
            </w:r>
            <w:r>
              <w:t xml:space="preserve">, </w:t>
            </w:r>
            <w:r w:rsidRPr="009F29F7">
              <w:t>Brisbane</w:t>
            </w:r>
            <w:r w:rsidR="00A54671">
              <w:t>,</w:t>
            </w:r>
            <w:r w:rsidRPr="009F29F7">
              <w:t xml:space="preserve"> QLD</w:t>
            </w:r>
            <w:r w:rsidR="00A54671">
              <w:t xml:space="preserve">, </w:t>
            </w:r>
            <w:r w:rsidRPr="009F29F7">
              <w:t>4001</w:t>
            </w:r>
            <w:r w:rsidRPr="009F29F7">
              <w:br/>
            </w:r>
            <w:r>
              <w:rPr>
                <w:b/>
              </w:rPr>
              <w:t>Teleph</w:t>
            </w:r>
            <w:r w:rsidRPr="00CA7FE2">
              <w:rPr>
                <w:b/>
              </w:rPr>
              <w:t>one</w:t>
            </w:r>
            <w:r>
              <w:t xml:space="preserve">: </w:t>
            </w:r>
            <w:r w:rsidRPr="009F29F7">
              <w:t>13 11 84</w:t>
            </w:r>
          </w:p>
        </w:tc>
      </w:tr>
      <w:tr w:rsidR="00F02DCF" w14:paraId="531778AF" w14:textId="77777777" w:rsidTr="00BB4C8F">
        <w:trPr>
          <w:gridAfter w:val="1"/>
          <w:wAfter w:w="8" w:type="dxa"/>
        </w:trPr>
        <w:tc>
          <w:tcPr>
            <w:tcW w:w="3681" w:type="dxa"/>
          </w:tcPr>
          <w:p w14:paraId="4389B921" w14:textId="5D6CED4D" w:rsidR="00F02DCF" w:rsidRPr="00252FA5" w:rsidRDefault="00CD421B" w:rsidP="0093199F">
            <w:pPr>
              <w:spacing w:after="0" w:line="240" w:lineRule="auto"/>
              <w:rPr>
                <w:rFonts w:eastAsia="Times New Roman" w:cstheme="minorHAnsi"/>
                <w:b/>
                <w:color w:val="000000"/>
              </w:rPr>
            </w:pPr>
            <w:r w:rsidRPr="00252FA5">
              <w:rPr>
                <w:rFonts w:eastAsia="Times New Roman" w:cstheme="minorHAnsi"/>
                <w:b/>
                <w:color w:val="000000"/>
              </w:rPr>
              <w:t>Hanson Australia Pty Limited</w:t>
            </w:r>
            <w:r w:rsidRPr="00E30967">
              <w:rPr>
                <w:rFonts w:eastAsia="Times New Roman" w:cstheme="minorHAnsi"/>
                <w:color w:val="000000"/>
              </w:rPr>
              <w:t xml:space="preserve"> </w:t>
            </w:r>
            <w:r>
              <w:rPr>
                <w:rFonts w:eastAsia="Times New Roman" w:cstheme="minorHAnsi"/>
                <w:color w:val="000000"/>
              </w:rPr>
              <w:t xml:space="preserve">– Secondary Deed - </w:t>
            </w:r>
            <w:r>
              <w:rPr>
                <w:color w:val="000000"/>
              </w:rPr>
              <w:t xml:space="preserve">Deed dated 29 June 2004 between </w:t>
            </w:r>
            <w:proofErr w:type="spellStart"/>
            <w:r>
              <w:rPr>
                <w:color w:val="000000"/>
              </w:rPr>
              <w:t>Sunsuper</w:t>
            </w:r>
            <w:proofErr w:type="spellEnd"/>
            <w:r>
              <w:rPr>
                <w:color w:val="000000"/>
              </w:rPr>
              <w:t xml:space="preserve"> Pty Ltd and Hanson Australia Pty Limited</w:t>
            </w:r>
          </w:p>
        </w:tc>
        <w:tc>
          <w:tcPr>
            <w:tcW w:w="5327" w:type="dxa"/>
            <w:vMerge/>
            <w:tcBorders>
              <w:top w:val="single" w:sz="4" w:space="0" w:color="auto"/>
            </w:tcBorders>
          </w:tcPr>
          <w:p w14:paraId="15901237" w14:textId="77777777" w:rsidR="00F02DCF" w:rsidRDefault="00F02DCF" w:rsidP="0014201F">
            <w:pPr>
              <w:spacing w:after="160" w:line="240" w:lineRule="auto"/>
            </w:pPr>
          </w:p>
        </w:tc>
      </w:tr>
      <w:tr w:rsidR="00A66E67" w14:paraId="2775FF74" w14:textId="77777777" w:rsidTr="00BB4C8F">
        <w:trPr>
          <w:gridAfter w:val="1"/>
          <w:wAfter w:w="8" w:type="dxa"/>
        </w:trPr>
        <w:tc>
          <w:tcPr>
            <w:tcW w:w="3681" w:type="dxa"/>
          </w:tcPr>
          <w:p w14:paraId="4A94182D" w14:textId="17F998F0" w:rsidR="00A66E67" w:rsidRDefault="009E73A4" w:rsidP="0093199F">
            <w:pPr>
              <w:spacing w:after="0" w:line="240" w:lineRule="auto"/>
              <w:rPr>
                <w:rFonts w:cstheme="minorHAnsi"/>
                <w:i/>
              </w:rPr>
            </w:pPr>
            <w:r w:rsidRPr="00252FA5">
              <w:rPr>
                <w:b/>
              </w:rPr>
              <w:t>The RACV Superannuation Fund</w:t>
            </w:r>
            <w:r>
              <w:rPr>
                <w:b/>
              </w:rPr>
              <w:t xml:space="preserve"> </w:t>
            </w:r>
            <w:r w:rsidR="00E4665C">
              <w:rPr>
                <w:b/>
              </w:rPr>
              <w:t>-</w:t>
            </w:r>
            <w:r>
              <w:t xml:space="preserve"> </w:t>
            </w:r>
            <w:r w:rsidR="00A66E67" w:rsidRPr="00D97C1C">
              <w:t>Deed dated 1 March 1962</w:t>
            </w:r>
          </w:p>
        </w:tc>
        <w:tc>
          <w:tcPr>
            <w:tcW w:w="5327" w:type="dxa"/>
          </w:tcPr>
          <w:p w14:paraId="34CB7820" w14:textId="736FF36D" w:rsidR="00A66E67" w:rsidRDefault="00A66E67" w:rsidP="0014201F">
            <w:pPr>
              <w:spacing w:after="160" w:line="240" w:lineRule="auto"/>
            </w:pPr>
            <w:r>
              <w:t>Royal Automobile Club Victoria (RACV)</w:t>
            </w:r>
          </w:p>
          <w:p w14:paraId="2E705B94" w14:textId="20752C47" w:rsidR="008C1224" w:rsidRPr="00673299" w:rsidRDefault="00A66E67" w:rsidP="0014201F">
            <w:pPr>
              <w:spacing w:after="160" w:line="240" w:lineRule="auto"/>
              <w:rPr>
                <w:color w:val="0563C1" w:themeColor="hyperlink"/>
              </w:rPr>
            </w:pPr>
            <w:r w:rsidRPr="00CA7FE2">
              <w:rPr>
                <w:b/>
              </w:rPr>
              <w:t>Website</w:t>
            </w:r>
            <w:r>
              <w:t xml:space="preserve">: </w:t>
            </w:r>
            <w:r w:rsidRPr="00661787">
              <w:t>www.racv.com.au/</w:t>
            </w:r>
            <w:r>
              <w:t xml:space="preserve"> </w:t>
            </w:r>
            <w:r w:rsidR="0014201F">
              <w:br/>
            </w:r>
            <w:r>
              <w:rPr>
                <w:b/>
              </w:rPr>
              <w:t>Teleph</w:t>
            </w:r>
            <w:r w:rsidRPr="00CA7FE2">
              <w:rPr>
                <w:b/>
              </w:rPr>
              <w:t>one</w:t>
            </w:r>
            <w:r>
              <w:t>: 1300 037 410</w:t>
            </w:r>
            <w:r w:rsidR="0014201F">
              <w:br/>
            </w:r>
            <w:r w:rsidRPr="00CA7FE2">
              <w:rPr>
                <w:b/>
              </w:rPr>
              <w:t>Email</w:t>
            </w:r>
            <w:r>
              <w:t xml:space="preserve">: </w:t>
            </w:r>
            <w:r w:rsidR="00A54671" w:rsidRPr="00A54671">
              <w:t>Pandc_payroll@racv.com.au</w:t>
            </w:r>
          </w:p>
        </w:tc>
      </w:tr>
      <w:tr w:rsidR="00A66E67" w14:paraId="7333F468" w14:textId="77777777" w:rsidTr="00BB4C8F">
        <w:trPr>
          <w:gridAfter w:val="1"/>
          <w:wAfter w:w="8" w:type="dxa"/>
        </w:trPr>
        <w:tc>
          <w:tcPr>
            <w:tcW w:w="3681" w:type="dxa"/>
          </w:tcPr>
          <w:p w14:paraId="5F42986A" w14:textId="33E3C11A" w:rsidR="00A66E67" w:rsidRPr="00E30967" w:rsidRDefault="009E73A4" w:rsidP="0093199F">
            <w:pPr>
              <w:spacing w:after="0" w:line="240" w:lineRule="auto"/>
              <w:rPr>
                <w:rFonts w:eastAsia="Times New Roman" w:cstheme="minorHAnsi"/>
                <w:color w:val="000000"/>
              </w:rPr>
            </w:pPr>
            <w:r w:rsidRPr="00252FA5">
              <w:rPr>
                <w:rFonts w:eastAsia="Times New Roman" w:cstheme="minorHAnsi"/>
                <w:b/>
                <w:color w:val="000000"/>
              </w:rPr>
              <w:t>UniSuper superannuation fund</w:t>
            </w:r>
            <w:r w:rsidRPr="00E30967">
              <w:rPr>
                <w:rFonts w:eastAsia="Times New Roman" w:cstheme="minorHAnsi"/>
                <w:color w:val="000000"/>
              </w:rPr>
              <w:t xml:space="preserve"> </w:t>
            </w:r>
            <w:r>
              <w:rPr>
                <w:rFonts w:eastAsia="Times New Roman" w:cstheme="minorHAnsi"/>
                <w:color w:val="000000"/>
              </w:rPr>
              <w:t>-</w:t>
            </w:r>
            <w:r w:rsidR="00E4665C">
              <w:rPr>
                <w:rFonts w:eastAsia="Times New Roman" w:cstheme="minorHAnsi"/>
                <w:color w:val="000000"/>
              </w:rPr>
              <w:t xml:space="preserve"> </w:t>
            </w:r>
            <w:r w:rsidR="00A66E67" w:rsidRPr="00E30967">
              <w:rPr>
                <w:rFonts w:eastAsia="Times New Roman" w:cstheme="minorHAnsi"/>
                <w:color w:val="000000"/>
              </w:rPr>
              <w:t>UniSuper Consolidated Trust Deed dated 8 November 2002</w:t>
            </w:r>
          </w:p>
          <w:p w14:paraId="47C8F5F9" w14:textId="77777777" w:rsidR="00A66E67" w:rsidRDefault="00A66E67" w:rsidP="0093199F">
            <w:pPr>
              <w:spacing w:after="0" w:line="240" w:lineRule="auto"/>
              <w:rPr>
                <w:rFonts w:cstheme="minorHAnsi"/>
                <w:i/>
              </w:rPr>
            </w:pPr>
          </w:p>
        </w:tc>
        <w:tc>
          <w:tcPr>
            <w:tcW w:w="5327" w:type="dxa"/>
            <w:tcBorders>
              <w:bottom w:val="single" w:sz="4" w:space="0" w:color="auto"/>
            </w:tcBorders>
          </w:tcPr>
          <w:p w14:paraId="17BFB751" w14:textId="196D9FAA" w:rsidR="00A66E67" w:rsidRDefault="00A66E67" w:rsidP="0014201F">
            <w:pPr>
              <w:spacing w:after="160" w:line="240" w:lineRule="auto"/>
              <w:rPr>
                <w:rFonts w:eastAsia="Times New Roman" w:cstheme="minorHAnsi"/>
                <w:b/>
                <w:color w:val="000000"/>
              </w:rPr>
            </w:pPr>
            <w:r w:rsidRPr="00E30967">
              <w:rPr>
                <w:rFonts w:eastAsia="Times New Roman" w:cstheme="minorHAnsi"/>
                <w:color w:val="000000"/>
              </w:rPr>
              <w:t xml:space="preserve">UniSuper </w:t>
            </w:r>
            <w:r>
              <w:rPr>
                <w:rFonts w:eastAsia="Times New Roman" w:cstheme="minorHAnsi"/>
                <w:color w:val="000000"/>
              </w:rPr>
              <w:t>S</w:t>
            </w:r>
            <w:r w:rsidRPr="00E30967">
              <w:rPr>
                <w:rFonts w:eastAsia="Times New Roman" w:cstheme="minorHAnsi"/>
                <w:color w:val="000000"/>
              </w:rPr>
              <w:t xml:space="preserve">uperannuation </w:t>
            </w:r>
            <w:r>
              <w:rPr>
                <w:rFonts w:eastAsia="Times New Roman" w:cstheme="minorHAnsi"/>
                <w:color w:val="000000"/>
              </w:rPr>
              <w:t>F</w:t>
            </w:r>
            <w:r w:rsidRPr="00E30967">
              <w:rPr>
                <w:rFonts w:eastAsia="Times New Roman" w:cstheme="minorHAnsi"/>
                <w:color w:val="000000"/>
              </w:rPr>
              <w:t>und</w:t>
            </w:r>
            <w:r w:rsidRPr="00CA7FE2">
              <w:rPr>
                <w:rFonts w:eastAsia="Times New Roman" w:cstheme="minorHAnsi"/>
                <w:b/>
                <w:color w:val="000000"/>
              </w:rPr>
              <w:t xml:space="preserve"> </w:t>
            </w:r>
          </w:p>
          <w:p w14:paraId="03912B3A" w14:textId="3AAF72F9" w:rsidR="008C1224" w:rsidRPr="00252FA5" w:rsidRDefault="00A66E67" w:rsidP="0014201F">
            <w:pPr>
              <w:spacing w:after="160" w:line="240" w:lineRule="auto"/>
            </w:pPr>
            <w:r w:rsidRPr="00CA7FE2">
              <w:rPr>
                <w:rFonts w:eastAsia="Times New Roman" w:cstheme="minorHAnsi"/>
                <w:b/>
                <w:color w:val="000000"/>
              </w:rPr>
              <w:t>Website</w:t>
            </w:r>
            <w:r>
              <w:rPr>
                <w:rFonts w:eastAsia="Times New Roman" w:cstheme="minorHAnsi"/>
                <w:color w:val="000000"/>
              </w:rPr>
              <w:t xml:space="preserve">: </w:t>
            </w:r>
            <w:r w:rsidRPr="00661787">
              <w:rPr>
                <w:rFonts w:eastAsia="Times New Roman" w:cstheme="minorHAnsi"/>
              </w:rPr>
              <w:t>www.unisuper.com.au/</w:t>
            </w:r>
            <w:r>
              <w:rPr>
                <w:rFonts w:eastAsia="Times New Roman" w:cstheme="minorHAnsi"/>
                <w:color w:val="000000"/>
              </w:rPr>
              <w:t xml:space="preserve"> </w:t>
            </w:r>
            <w:r w:rsidR="0014201F">
              <w:rPr>
                <w:rFonts w:eastAsia="Times New Roman" w:cstheme="minorHAnsi"/>
                <w:color w:val="000000"/>
              </w:rPr>
              <w:br/>
            </w:r>
            <w:r w:rsidRPr="00CA7FE2">
              <w:rPr>
                <w:rFonts w:eastAsia="Times New Roman" w:cstheme="minorHAnsi"/>
                <w:b/>
                <w:color w:val="000000"/>
              </w:rPr>
              <w:t>Postal Address</w:t>
            </w:r>
            <w:r>
              <w:rPr>
                <w:rFonts w:eastAsia="Times New Roman" w:cstheme="minorHAnsi"/>
                <w:color w:val="000000"/>
              </w:rPr>
              <w:t xml:space="preserve">: </w:t>
            </w:r>
            <w:r w:rsidRPr="00C85D1E">
              <w:rPr>
                <w:rFonts w:eastAsia="Times New Roman" w:cstheme="minorHAnsi"/>
                <w:color w:val="000000"/>
              </w:rPr>
              <w:t>Level 1, 385 Bourke Street</w:t>
            </w:r>
            <w:r>
              <w:rPr>
                <w:rFonts w:eastAsia="Times New Roman" w:cstheme="minorHAnsi"/>
                <w:color w:val="000000"/>
              </w:rPr>
              <w:t xml:space="preserve">, </w:t>
            </w:r>
            <w:r w:rsidRPr="00C85D1E">
              <w:rPr>
                <w:rFonts w:eastAsia="Times New Roman" w:cstheme="minorHAnsi"/>
                <w:color w:val="000000"/>
              </w:rPr>
              <w:t>Melbourne</w:t>
            </w:r>
            <w:r w:rsidR="00A54671">
              <w:rPr>
                <w:rFonts w:eastAsia="Times New Roman" w:cstheme="minorHAnsi"/>
                <w:color w:val="000000"/>
              </w:rPr>
              <w:t>,</w:t>
            </w:r>
            <w:r w:rsidRPr="00C85D1E">
              <w:rPr>
                <w:rFonts w:eastAsia="Times New Roman" w:cstheme="minorHAnsi"/>
                <w:color w:val="000000"/>
              </w:rPr>
              <w:t xml:space="preserve"> VIC</w:t>
            </w:r>
            <w:r w:rsidR="00A54671">
              <w:rPr>
                <w:rFonts w:eastAsia="Times New Roman" w:cstheme="minorHAnsi"/>
                <w:color w:val="000000"/>
              </w:rPr>
              <w:t>,</w:t>
            </w:r>
            <w:r w:rsidRPr="00C85D1E">
              <w:rPr>
                <w:rFonts w:eastAsia="Times New Roman" w:cstheme="minorHAnsi"/>
                <w:color w:val="000000"/>
              </w:rPr>
              <w:t xml:space="preserve"> 3000</w:t>
            </w:r>
            <w:r w:rsidR="0014201F">
              <w:rPr>
                <w:rFonts w:eastAsia="Times New Roman" w:cstheme="minorHAnsi"/>
                <w:color w:val="000000"/>
              </w:rPr>
              <w:br/>
            </w:r>
            <w:r w:rsidRPr="00CA7FE2">
              <w:rPr>
                <w:rFonts w:eastAsia="Times New Roman" w:cstheme="minorHAnsi"/>
                <w:b/>
                <w:color w:val="000000"/>
              </w:rPr>
              <w:t>Telephone</w:t>
            </w:r>
            <w:r>
              <w:rPr>
                <w:rFonts w:eastAsia="Times New Roman" w:cstheme="minorHAnsi"/>
                <w:color w:val="000000"/>
              </w:rPr>
              <w:t xml:space="preserve">: </w:t>
            </w:r>
            <w:r w:rsidRPr="00E30967">
              <w:rPr>
                <w:rFonts w:eastAsia="Times New Roman" w:cstheme="minorHAnsi"/>
                <w:color w:val="000000"/>
              </w:rPr>
              <w:t>1800 331 685</w:t>
            </w:r>
            <w:r w:rsidR="0014201F">
              <w:rPr>
                <w:rFonts w:eastAsia="Times New Roman" w:cstheme="minorHAnsi"/>
                <w:color w:val="000000"/>
              </w:rPr>
              <w:br/>
            </w:r>
            <w:r w:rsidRPr="00CA7FE2">
              <w:rPr>
                <w:rFonts w:eastAsia="Times New Roman" w:cstheme="minorHAnsi"/>
                <w:b/>
                <w:color w:val="000000"/>
              </w:rPr>
              <w:t>Email</w:t>
            </w:r>
            <w:r>
              <w:rPr>
                <w:rFonts w:eastAsia="Times New Roman" w:cstheme="minorHAnsi"/>
                <w:color w:val="000000"/>
              </w:rPr>
              <w:t xml:space="preserve">: </w:t>
            </w:r>
            <w:r w:rsidR="00A54671" w:rsidRPr="00A54671">
              <w:rPr>
                <w:rFonts w:cstheme="minorHAnsi"/>
              </w:rPr>
              <w:t>enquiry@unisuper.com.au</w:t>
            </w:r>
            <w:r>
              <w:t xml:space="preserve"> </w:t>
            </w:r>
          </w:p>
        </w:tc>
      </w:tr>
      <w:tr w:rsidR="00F02DCF" w:rsidRPr="00CA7FE2" w14:paraId="3AA745C9" w14:textId="77777777" w:rsidTr="00BB4C8F">
        <w:trPr>
          <w:gridAfter w:val="1"/>
          <w:wAfter w:w="8" w:type="dxa"/>
        </w:trPr>
        <w:tc>
          <w:tcPr>
            <w:tcW w:w="3681" w:type="dxa"/>
            <w:tcBorders>
              <w:top w:val="single" w:sz="4" w:space="0" w:color="auto"/>
              <w:bottom w:val="single" w:sz="4" w:space="0" w:color="auto"/>
            </w:tcBorders>
          </w:tcPr>
          <w:p w14:paraId="493C7E0A" w14:textId="4373E0C8" w:rsidR="00F02DCF" w:rsidRDefault="00F02DCF" w:rsidP="0093199F">
            <w:pPr>
              <w:spacing w:after="0" w:line="240" w:lineRule="auto"/>
              <w:rPr>
                <w:rFonts w:cstheme="minorHAnsi"/>
                <w:i/>
              </w:rPr>
            </w:pPr>
            <w:r w:rsidRPr="007C1833">
              <w:rPr>
                <w:b/>
              </w:rPr>
              <w:t>Victorian Racing Industry Superannuation Fund</w:t>
            </w:r>
            <w:r w:rsidRPr="00CB2758">
              <w:t xml:space="preserve"> </w:t>
            </w:r>
            <w:r>
              <w:t xml:space="preserve">- </w:t>
            </w:r>
            <w:r w:rsidRPr="00CB2758">
              <w:t>Trust Deed governing the Victorian Racing Industry Superannuation Fund, as in force on 27 February 2003</w:t>
            </w:r>
          </w:p>
        </w:tc>
        <w:tc>
          <w:tcPr>
            <w:tcW w:w="5327" w:type="dxa"/>
            <w:vMerge w:val="restart"/>
            <w:tcBorders>
              <w:top w:val="single" w:sz="4" w:space="0" w:color="auto"/>
            </w:tcBorders>
          </w:tcPr>
          <w:p w14:paraId="3E018042" w14:textId="52431523" w:rsidR="00F02DCF" w:rsidRDefault="00F02DCF" w:rsidP="0014201F">
            <w:pPr>
              <w:spacing w:after="160" w:line="240" w:lineRule="auto"/>
            </w:pPr>
            <w:r>
              <w:t>AMP Superannuation</w:t>
            </w:r>
          </w:p>
          <w:p w14:paraId="2CFB2AD7" w14:textId="1597EEE2" w:rsidR="00F02DCF" w:rsidRPr="00CA7FE2" w:rsidRDefault="00F02DCF" w:rsidP="0014201F">
            <w:pPr>
              <w:spacing w:after="160" w:line="240" w:lineRule="auto"/>
              <w:rPr>
                <w:u w:val="single"/>
              </w:rPr>
            </w:pPr>
            <w:r w:rsidRPr="00CB2758">
              <w:rPr>
                <w:b/>
              </w:rPr>
              <w:t>Website</w:t>
            </w:r>
            <w:r>
              <w:t xml:space="preserve">: </w:t>
            </w:r>
            <w:r w:rsidRPr="00661787">
              <w:t>https://www.amp.com.au/superannuation</w:t>
            </w:r>
            <w:r>
              <w:t xml:space="preserve">  </w:t>
            </w:r>
            <w:r w:rsidR="0014201F">
              <w:br/>
            </w:r>
            <w:r>
              <w:rPr>
                <w:b/>
              </w:rPr>
              <w:t>Address</w:t>
            </w:r>
            <w:r>
              <w:t xml:space="preserve">: </w:t>
            </w:r>
            <w:r w:rsidRPr="00CB2758">
              <w:t>PO Box 6346</w:t>
            </w:r>
            <w:r>
              <w:t xml:space="preserve">, </w:t>
            </w:r>
            <w:r w:rsidRPr="00CB2758">
              <w:t>Wetherill Park</w:t>
            </w:r>
            <w:r w:rsidR="0014201F">
              <w:t>,</w:t>
            </w:r>
            <w:r w:rsidRPr="00CB2758">
              <w:t xml:space="preserve"> NSW</w:t>
            </w:r>
            <w:r w:rsidR="0014201F">
              <w:t>,</w:t>
            </w:r>
            <w:r w:rsidRPr="00CB2758">
              <w:t xml:space="preserve"> 1851</w:t>
            </w:r>
            <w:r w:rsidR="0014201F">
              <w:br/>
            </w:r>
            <w:r w:rsidRPr="00CB2758">
              <w:rPr>
                <w:b/>
              </w:rPr>
              <w:t>Telephone</w:t>
            </w:r>
            <w:r>
              <w:t>: 1</w:t>
            </w:r>
            <w:r w:rsidRPr="00CB2758">
              <w:t>31 267</w:t>
            </w:r>
            <w:r w:rsidR="0014201F">
              <w:br/>
            </w:r>
            <w:r w:rsidRPr="00CB2758">
              <w:rPr>
                <w:b/>
              </w:rPr>
              <w:t>Email</w:t>
            </w:r>
            <w:r>
              <w:t xml:space="preserve">: </w:t>
            </w:r>
            <w:r w:rsidRPr="00A54671">
              <w:t>ampsuper@amp.com.au</w:t>
            </w:r>
            <w:r>
              <w:t xml:space="preserve"> </w:t>
            </w:r>
          </w:p>
        </w:tc>
      </w:tr>
      <w:tr w:rsidR="00F02DCF" w:rsidRPr="00CA7FE2" w14:paraId="4E25B901" w14:textId="77777777" w:rsidTr="00BB4C8F">
        <w:trPr>
          <w:gridAfter w:val="1"/>
          <w:wAfter w:w="8" w:type="dxa"/>
        </w:trPr>
        <w:tc>
          <w:tcPr>
            <w:tcW w:w="3681" w:type="dxa"/>
            <w:tcBorders>
              <w:top w:val="single" w:sz="4" w:space="0" w:color="auto"/>
              <w:bottom w:val="single" w:sz="4" w:space="0" w:color="auto"/>
            </w:tcBorders>
          </w:tcPr>
          <w:p w14:paraId="3E2CF507" w14:textId="51125BA4" w:rsidR="00F02DCF" w:rsidRDefault="00F02DCF" w:rsidP="0093199F">
            <w:pPr>
              <w:spacing w:after="0" w:line="240" w:lineRule="auto"/>
              <w:rPr>
                <w:rFonts w:cstheme="minorHAnsi"/>
                <w:i/>
              </w:rPr>
            </w:pPr>
            <w:r w:rsidRPr="00252FA5" w:rsidDel="00663FF7">
              <w:rPr>
                <w:b/>
              </w:rPr>
              <w:t>Victorian Racing Industry Superannuation Fund</w:t>
            </w:r>
            <w:r w:rsidRPr="00CB2758" w:rsidDel="00663FF7">
              <w:t xml:space="preserve"> </w:t>
            </w:r>
            <w:r w:rsidDel="00663FF7">
              <w:t xml:space="preserve">- </w:t>
            </w:r>
            <w:r w:rsidRPr="00CB2758" w:rsidDel="00663FF7">
              <w:t xml:space="preserve">Trust Deed dated 29 April 1964 </w:t>
            </w:r>
          </w:p>
        </w:tc>
        <w:tc>
          <w:tcPr>
            <w:tcW w:w="5327" w:type="dxa"/>
            <w:vMerge/>
            <w:tcBorders>
              <w:bottom w:val="single" w:sz="4" w:space="0" w:color="auto"/>
            </w:tcBorders>
          </w:tcPr>
          <w:p w14:paraId="5DC0F28B" w14:textId="77777777" w:rsidR="00F02DCF" w:rsidRPr="00CA7FE2" w:rsidRDefault="00F02DCF" w:rsidP="0014201F">
            <w:pPr>
              <w:spacing w:after="160" w:line="240" w:lineRule="auto"/>
              <w:rPr>
                <w:u w:val="single"/>
              </w:rPr>
            </w:pPr>
          </w:p>
        </w:tc>
      </w:tr>
      <w:tr w:rsidR="00A66E67" w14:paraId="2D821CAB" w14:textId="77777777" w:rsidTr="00BB4C8F">
        <w:trPr>
          <w:gridAfter w:val="1"/>
          <w:wAfter w:w="8" w:type="dxa"/>
        </w:trPr>
        <w:tc>
          <w:tcPr>
            <w:tcW w:w="3681" w:type="dxa"/>
          </w:tcPr>
          <w:p w14:paraId="0E0C322D" w14:textId="756638A1" w:rsidR="00A66E67" w:rsidRDefault="00B27E01" w:rsidP="0093199F">
            <w:pPr>
              <w:spacing w:after="0" w:line="240" w:lineRule="auto"/>
              <w:rPr>
                <w:rFonts w:cstheme="minorHAnsi"/>
                <w:i/>
              </w:rPr>
            </w:pPr>
            <w:r w:rsidRPr="00252FA5">
              <w:rPr>
                <w:rFonts w:eastAsia="Times New Roman" w:cstheme="minorHAnsi"/>
                <w:b/>
                <w:color w:val="000000"/>
              </w:rPr>
              <w:t>Woodside Superannuation Fund</w:t>
            </w:r>
            <w:r w:rsidRPr="00D97C1C">
              <w:rPr>
                <w:rFonts w:eastAsia="Times New Roman" w:cstheme="minorHAnsi"/>
                <w:color w:val="000000"/>
              </w:rPr>
              <w:t xml:space="preserve"> </w:t>
            </w:r>
            <w:r>
              <w:rPr>
                <w:rFonts w:eastAsia="Times New Roman" w:cstheme="minorHAnsi"/>
                <w:color w:val="000000"/>
              </w:rPr>
              <w:t xml:space="preserve">- </w:t>
            </w:r>
            <w:r w:rsidR="00A66E67" w:rsidRPr="00D97C1C">
              <w:rPr>
                <w:rFonts w:eastAsia="Times New Roman" w:cstheme="minorHAnsi"/>
                <w:color w:val="000000"/>
              </w:rPr>
              <w:t>Woodside Superannuation Fund Trust Deed as in force at 30 October 2001</w:t>
            </w:r>
          </w:p>
        </w:tc>
        <w:tc>
          <w:tcPr>
            <w:tcW w:w="5327" w:type="dxa"/>
            <w:vMerge w:val="restart"/>
          </w:tcPr>
          <w:p w14:paraId="5FD938ED" w14:textId="5B598485" w:rsidR="00A66E67" w:rsidRPr="00D97C1C" w:rsidRDefault="00A66E67" w:rsidP="0014201F">
            <w:pPr>
              <w:spacing w:after="160" w:line="240" w:lineRule="auto"/>
              <w:rPr>
                <w:rFonts w:eastAsia="Times New Roman" w:cstheme="minorHAnsi"/>
                <w:color w:val="000000"/>
              </w:rPr>
            </w:pPr>
            <w:r w:rsidRPr="00D97C1C">
              <w:rPr>
                <w:rFonts w:eastAsia="Times New Roman" w:cstheme="minorHAnsi"/>
                <w:color w:val="000000"/>
              </w:rPr>
              <w:t>Mercer Super Trust</w:t>
            </w:r>
          </w:p>
          <w:p w14:paraId="04EDAFE8" w14:textId="152C0F19" w:rsidR="00A66E67" w:rsidRPr="00CA7FE2" w:rsidRDefault="00A66E67" w:rsidP="0014201F">
            <w:pPr>
              <w:spacing w:after="160" w:line="240" w:lineRule="auto"/>
              <w:rPr>
                <w:u w:val="single"/>
              </w:rPr>
            </w:pPr>
            <w:r w:rsidRPr="00CB2758">
              <w:rPr>
                <w:rFonts w:eastAsia="Times New Roman" w:cstheme="minorHAnsi"/>
                <w:b/>
                <w:color w:val="000000"/>
              </w:rPr>
              <w:t>Website</w:t>
            </w:r>
            <w:r w:rsidRPr="00D97C1C">
              <w:rPr>
                <w:rFonts w:eastAsia="Times New Roman" w:cstheme="minorHAnsi"/>
                <w:color w:val="000000"/>
              </w:rPr>
              <w:t xml:space="preserve">: </w:t>
            </w:r>
            <w:r w:rsidRPr="00661787">
              <w:rPr>
                <w:rFonts w:eastAsia="Times New Roman" w:cstheme="minorHAnsi"/>
              </w:rPr>
              <w:t>www.mercersuper.com.au</w:t>
            </w:r>
            <w:r>
              <w:rPr>
                <w:rFonts w:eastAsia="Times New Roman" w:cstheme="minorHAnsi"/>
                <w:color w:val="000000"/>
              </w:rPr>
              <w:t xml:space="preserve"> </w:t>
            </w:r>
            <w:r w:rsidR="0014201F">
              <w:rPr>
                <w:rFonts w:eastAsia="Times New Roman" w:cstheme="minorHAnsi"/>
                <w:color w:val="000000"/>
              </w:rPr>
              <w:br/>
            </w:r>
            <w:r w:rsidRPr="00CB2758">
              <w:rPr>
                <w:rFonts w:eastAsia="Times New Roman" w:cstheme="minorHAnsi"/>
                <w:b/>
                <w:color w:val="000000"/>
              </w:rPr>
              <w:t>Postal address</w:t>
            </w:r>
            <w:r w:rsidRPr="00D97C1C">
              <w:rPr>
                <w:rFonts w:eastAsia="Times New Roman" w:cstheme="minorHAnsi"/>
                <w:color w:val="000000"/>
              </w:rPr>
              <w:t>: GPO BOX 4303, Melbourne, VIC</w:t>
            </w:r>
            <w:r w:rsidR="00A54671">
              <w:rPr>
                <w:rFonts w:eastAsia="Times New Roman" w:cstheme="minorHAnsi"/>
                <w:color w:val="000000"/>
              </w:rPr>
              <w:t>,</w:t>
            </w:r>
            <w:r w:rsidRPr="00D97C1C">
              <w:rPr>
                <w:rFonts w:eastAsia="Times New Roman" w:cstheme="minorHAnsi"/>
                <w:color w:val="000000"/>
              </w:rPr>
              <w:t xml:space="preserve"> 3001</w:t>
            </w:r>
            <w:r w:rsidR="0014201F">
              <w:rPr>
                <w:rFonts w:eastAsia="Times New Roman" w:cstheme="minorHAnsi"/>
                <w:color w:val="000000"/>
              </w:rPr>
              <w:br/>
            </w:r>
            <w:r w:rsidRPr="00CB2758">
              <w:rPr>
                <w:rFonts w:eastAsia="Times New Roman" w:cstheme="minorHAnsi"/>
                <w:b/>
                <w:color w:val="000000"/>
              </w:rPr>
              <w:t>Telephone</w:t>
            </w:r>
            <w:r w:rsidRPr="00D97C1C">
              <w:rPr>
                <w:rFonts w:eastAsia="Times New Roman" w:cstheme="minorHAnsi"/>
                <w:color w:val="000000"/>
              </w:rPr>
              <w:t>: 1800 682 525</w:t>
            </w:r>
            <w:r w:rsidR="0014201F">
              <w:rPr>
                <w:rFonts w:eastAsia="Times New Roman" w:cstheme="minorHAnsi"/>
                <w:color w:val="000000"/>
              </w:rPr>
              <w:br/>
            </w:r>
            <w:r w:rsidRPr="00CB2758">
              <w:rPr>
                <w:rFonts w:eastAsia="Times New Roman" w:cstheme="minorHAnsi"/>
                <w:b/>
                <w:color w:val="000000"/>
              </w:rPr>
              <w:t>Email</w:t>
            </w:r>
            <w:r w:rsidRPr="00D97C1C">
              <w:rPr>
                <w:rFonts w:eastAsia="Times New Roman" w:cstheme="minorHAnsi"/>
                <w:color w:val="000000"/>
              </w:rPr>
              <w:t>: mst@mercer.com</w:t>
            </w:r>
          </w:p>
        </w:tc>
      </w:tr>
      <w:tr w:rsidR="00A66E67" w14:paraId="5C43E1D9" w14:textId="77777777" w:rsidTr="00BB4C8F">
        <w:trPr>
          <w:gridAfter w:val="1"/>
          <w:wAfter w:w="8" w:type="dxa"/>
        </w:trPr>
        <w:tc>
          <w:tcPr>
            <w:tcW w:w="3681" w:type="dxa"/>
            <w:tcBorders>
              <w:bottom w:val="single" w:sz="4" w:space="0" w:color="auto"/>
            </w:tcBorders>
          </w:tcPr>
          <w:p w14:paraId="7392873D" w14:textId="62DEFF6F" w:rsidR="00A66E67" w:rsidRDefault="009E73A4" w:rsidP="0093199F">
            <w:pPr>
              <w:spacing w:after="0" w:line="240" w:lineRule="auto"/>
              <w:rPr>
                <w:rFonts w:cstheme="minorHAnsi"/>
                <w:i/>
              </w:rPr>
            </w:pPr>
            <w:r w:rsidRPr="00252FA5">
              <w:rPr>
                <w:rFonts w:eastAsia="Times New Roman" w:cstheme="minorHAnsi"/>
                <w:b/>
                <w:color w:val="000000"/>
              </w:rPr>
              <w:t>Woodside Superannuation Fund</w:t>
            </w:r>
            <w:r w:rsidRPr="00D97C1C">
              <w:t xml:space="preserve"> </w:t>
            </w:r>
            <w:r>
              <w:t xml:space="preserve">- </w:t>
            </w:r>
            <w:r w:rsidR="00A66E67" w:rsidRPr="00D97C1C">
              <w:t xml:space="preserve">Trust Deed dated 30 July </w:t>
            </w:r>
            <w:r w:rsidR="00215A2A" w:rsidRPr="00D97C1C">
              <w:t>197</w:t>
            </w:r>
          </w:p>
        </w:tc>
        <w:tc>
          <w:tcPr>
            <w:tcW w:w="5327" w:type="dxa"/>
            <w:vMerge/>
            <w:tcBorders>
              <w:bottom w:val="single" w:sz="4" w:space="0" w:color="auto"/>
            </w:tcBorders>
          </w:tcPr>
          <w:p w14:paraId="575B1510" w14:textId="77777777" w:rsidR="00A66E67" w:rsidRPr="00CA7FE2" w:rsidRDefault="00A66E67" w:rsidP="0014201F">
            <w:pPr>
              <w:spacing w:after="160" w:line="240" w:lineRule="auto"/>
              <w:rPr>
                <w:u w:val="single"/>
              </w:rPr>
            </w:pPr>
          </w:p>
        </w:tc>
      </w:tr>
      <w:tr w:rsidR="00F02DCF" w14:paraId="15752558" w14:textId="77777777" w:rsidTr="00BB4C8F">
        <w:trPr>
          <w:gridAfter w:val="1"/>
          <w:wAfter w:w="8" w:type="dxa"/>
        </w:trPr>
        <w:tc>
          <w:tcPr>
            <w:tcW w:w="3681" w:type="dxa"/>
          </w:tcPr>
          <w:p w14:paraId="0B3613AC" w14:textId="1FFA2F0D" w:rsidR="00F02DCF" w:rsidRDefault="00F02DCF" w:rsidP="0093199F">
            <w:pPr>
              <w:spacing w:after="0" w:line="240" w:lineRule="auto"/>
              <w:rPr>
                <w:rFonts w:cstheme="minorHAnsi"/>
                <w:i/>
              </w:rPr>
            </w:pPr>
            <w:r w:rsidRPr="00252FA5">
              <w:rPr>
                <w:rFonts w:eastAsia="Times New Roman" w:cstheme="minorHAnsi"/>
                <w:b/>
                <w:color w:val="000000"/>
              </w:rPr>
              <w:t>Woolworths Group Superannuation Scheme</w:t>
            </w:r>
            <w:r w:rsidRPr="00252FA5">
              <w:rPr>
                <w:rFonts w:eastAsia="Times New Roman" w:cstheme="minorHAnsi"/>
                <w:i/>
                <w:color w:val="000000"/>
              </w:rPr>
              <w:t xml:space="preserve"> -</w:t>
            </w:r>
            <w:r>
              <w:rPr>
                <w:rFonts w:eastAsia="Times New Roman" w:cstheme="minorHAnsi"/>
                <w:b/>
                <w:i/>
                <w:color w:val="000000"/>
              </w:rPr>
              <w:t xml:space="preserve"> </w:t>
            </w:r>
            <w:r w:rsidRPr="00E30967">
              <w:rPr>
                <w:rFonts w:eastAsia="Times New Roman" w:cstheme="minorHAnsi"/>
                <w:color w:val="000000"/>
              </w:rPr>
              <w:t xml:space="preserve">Trust Deed dated 12 March 1970 establishing the Woolworths </w:t>
            </w:r>
            <w:r w:rsidRPr="00E30967">
              <w:rPr>
                <w:rFonts w:eastAsia="Times New Roman" w:cstheme="minorHAnsi"/>
                <w:color w:val="000000"/>
              </w:rPr>
              <w:lastRenderedPageBreak/>
              <w:t>Group Superannuation Scheme, as amended and in force on the commencement of this Part</w:t>
            </w:r>
          </w:p>
        </w:tc>
        <w:tc>
          <w:tcPr>
            <w:tcW w:w="5327" w:type="dxa"/>
          </w:tcPr>
          <w:p w14:paraId="70C53A73" w14:textId="1E203FD0" w:rsidR="00F02DCF" w:rsidRDefault="00F02DCF" w:rsidP="0014201F">
            <w:pPr>
              <w:spacing w:after="160" w:line="240" w:lineRule="auto"/>
              <w:rPr>
                <w:rFonts w:eastAsia="Times New Roman" w:cstheme="minorHAnsi"/>
                <w:color w:val="000000"/>
              </w:rPr>
            </w:pPr>
            <w:r w:rsidRPr="00EF7FB2">
              <w:rPr>
                <w:rFonts w:eastAsia="Times New Roman" w:cstheme="minorHAnsi"/>
                <w:color w:val="000000"/>
              </w:rPr>
              <w:lastRenderedPageBreak/>
              <w:t xml:space="preserve">Woolworths </w:t>
            </w:r>
            <w:r>
              <w:rPr>
                <w:rFonts w:eastAsia="Times New Roman" w:cstheme="minorHAnsi"/>
                <w:color w:val="000000"/>
              </w:rPr>
              <w:t>Group</w:t>
            </w:r>
          </w:p>
          <w:p w14:paraId="349D6695" w14:textId="2F0F5B20" w:rsidR="00F02DCF" w:rsidRPr="00CA7FE2" w:rsidRDefault="00F02DCF" w:rsidP="0014201F">
            <w:pPr>
              <w:spacing w:after="160" w:line="240" w:lineRule="auto"/>
              <w:rPr>
                <w:u w:val="single"/>
              </w:rPr>
            </w:pPr>
            <w:r w:rsidRPr="00CA7FE2">
              <w:rPr>
                <w:rFonts w:eastAsia="Times New Roman" w:cstheme="minorHAnsi"/>
                <w:b/>
                <w:color w:val="000000"/>
              </w:rPr>
              <w:t>Postal Address</w:t>
            </w:r>
            <w:r>
              <w:rPr>
                <w:rFonts w:eastAsia="Times New Roman" w:cstheme="minorHAnsi"/>
                <w:color w:val="000000"/>
              </w:rPr>
              <w:t xml:space="preserve">: </w:t>
            </w:r>
            <w:r w:rsidRPr="00EF7FB2">
              <w:rPr>
                <w:rFonts w:eastAsia="Times New Roman" w:cstheme="minorHAnsi"/>
                <w:color w:val="000000"/>
              </w:rPr>
              <w:t>PO Box 8000</w:t>
            </w:r>
            <w:r>
              <w:rPr>
                <w:rFonts w:eastAsia="Times New Roman" w:cstheme="minorHAnsi"/>
                <w:color w:val="000000"/>
              </w:rPr>
              <w:t xml:space="preserve">, </w:t>
            </w:r>
            <w:r w:rsidRPr="00EF7FB2">
              <w:rPr>
                <w:rFonts w:eastAsia="Times New Roman" w:cstheme="minorHAnsi"/>
                <w:color w:val="000000"/>
              </w:rPr>
              <w:t>Baulkham Hills</w:t>
            </w:r>
            <w:r>
              <w:rPr>
                <w:rFonts w:eastAsia="Times New Roman" w:cstheme="minorHAnsi"/>
                <w:color w:val="000000"/>
              </w:rPr>
              <w:t>,</w:t>
            </w:r>
            <w:r w:rsidRPr="00EF7FB2">
              <w:rPr>
                <w:rFonts w:eastAsia="Times New Roman" w:cstheme="minorHAnsi"/>
                <w:color w:val="000000"/>
              </w:rPr>
              <w:t xml:space="preserve"> NSW</w:t>
            </w:r>
            <w:r>
              <w:rPr>
                <w:rFonts w:eastAsia="Times New Roman" w:cstheme="minorHAnsi"/>
                <w:color w:val="000000"/>
              </w:rPr>
              <w:t>,</w:t>
            </w:r>
            <w:r w:rsidRPr="00EF7FB2">
              <w:rPr>
                <w:rFonts w:eastAsia="Times New Roman" w:cstheme="minorHAnsi"/>
                <w:color w:val="000000"/>
              </w:rPr>
              <w:t xml:space="preserve"> 2153</w:t>
            </w:r>
            <w:r w:rsidR="0014201F">
              <w:rPr>
                <w:rFonts w:eastAsia="Times New Roman" w:cstheme="minorHAnsi"/>
                <w:color w:val="000000"/>
              </w:rPr>
              <w:br/>
            </w:r>
            <w:r w:rsidRPr="00CA7FE2">
              <w:rPr>
                <w:rFonts w:eastAsia="Times New Roman" w:cstheme="minorHAnsi"/>
                <w:b/>
                <w:color w:val="000000"/>
              </w:rPr>
              <w:lastRenderedPageBreak/>
              <w:t>Telephone</w:t>
            </w:r>
            <w:r w:rsidRPr="00EF7FB2">
              <w:rPr>
                <w:rFonts w:eastAsia="Times New Roman" w:cstheme="minorHAnsi"/>
                <w:color w:val="000000"/>
              </w:rPr>
              <w:t>: 02 8885 0000</w:t>
            </w:r>
            <w:r w:rsidR="0014201F">
              <w:rPr>
                <w:rFonts w:eastAsia="Times New Roman" w:cstheme="minorHAnsi"/>
                <w:color w:val="000000"/>
              </w:rPr>
              <w:br/>
            </w:r>
            <w:r w:rsidRPr="00CA7FE2">
              <w:rPr>
                <w:b/>
              </w:rPr>
              <w:t>Email</w:t>
            </w:r>
            <w:r w:rsidRPr="00EF7FB2">
              <w:t xml:space="preserve">: </w:t>
            </w:r>
            <w:r w:rsidRPr="004B42DB">
              <w:rPr>
                <w:rFonts w:cstheme="minorHAnsi"/>
              </w:rPr>
              <w:t>pspayroll@woolworths.com.au</w:t>
            </w:r>
          </w:p>
        </w:tc>
      </w:tr>
    </w:tbl>
    <w:p w14:paraId="5A0134B6" w14:textId="77777777" w:rsidR="001565A7" w:rsidRDefault="001565A7" w:rsidP="00075709">
      <w:pPr>
        <w:pStyle w:val="Title2"/>
      </w:pPr>
    </w:p>
    <w:p w14:paraId="4DA809A3" w14:textId="06055583" w:rsidR="00075709" w:rsidRPr="001F7B3F" w:rsidRDefault="00075709" w:rsidP="00075709">
      <w:pPr>
        <w:pStyle w:val="Title2"/>
      </w:pPr>
      <w:r>
        <w:t>Disallowance and sunsetting</w:t>
      </w:r>
    </w:p>
    <w:p w14:paraId="1C33855C" w14:textId="77777777" w:rsidR="008500FF" w:rsidRPr="00D2639E" w:rsidRDefault="008500FF" w:rsidP="00D2639E">
      <w:bookmarkStart w:id="4" w:name="_Hlk190431521"/>
      <w:r w:rsidRPr="00D2639E">
        <w:t xml:space="preserve">In </w:t>
      </w:r>
      <w:r>
        <w:t xml:space="preserve">accordance with table item 3 in section 9 of the </w:t>
      </w:r>
      <w:r w:rsidRPr="00D2639E">
        <w:t>Legislation (Exemptions and Other Matters) Regulation 2015</w:t>
      </w:r>
      <w:r>
        <w:t>, the 2025 Approval Instrument is not subject to disallowance, as it is an instrument (other than a regulation) relating to superannuation.</w:t>
      </w:r>
    </w:p>
    <w:p w14:paraId="0416807D" w14:textId="2D211B68" w:rsidR="008500FF" w:rsidRPr="00D2639E" w:rsidRDefault="008500FF" w:rsidP="00D2639E">
      <w:r w:rsidRPr="00D2639E">
        <w:t>In accordance with table item 6 in section 11 of the Legislation (Exemptions and Other Matters) Regulation 2015,</w:t>
      </w:r>
      <w:r>
        <w:t xml:space="preserve"> the 2025 Approval Instrument is not subject to sunsetting, as it is an instrument (other than a regulation) relating to superannuation.</w:t>
      </w:r>
      <w:bookmarkEnd w:id="4"/>
    </w:p>
    <w:bookmarkEnd w:id="1"/>
    <w:bookmarkEnd w:id="2"/>
    <w:p w14:paraId="2554BE67" w14:textId="764772A6" w:rsidR="007D3A3E" w:rsidRPr="009915FB" w:rsidRDefault="007D3A3E" w:rsidP="00804350">
      <w:pPr>
        <w:pStyle w:val="Title2"/>
      </w:pPr>
      <w:r w:rsidRPr="009915FB">
        <w:t xml:space="preserve">Consultation </w:t>
      </w:r>
    </w:p>
    <w:p w14:paraId="3A1FBCF6" w14:textId="7EABE5F2" w:rsidR="0086233D" w:rsidRDefault="00E26FED" w:rsidP="00804350">
      <w:r>
        <w:t>T</w:t>
      </w:r>
      <w:r w:rsidR="007D3A3E" w:rsidRPr="009915FB">
        <w:t xml:space="preserve">he 2025 </w:t>
      </w:r>
      <w:r>
        <w:t xml:space="preserve">Approval Instrument </w:t>
      </w:r>
      <w:r w:rsidR="007D3A3E" w:rsidRPr="009915FB">
        <w:t>will replace the 200</w:t>
      </w:r>
      <w:r>
        <w:t>3 Approval Instrument</w:t>
      </w:r>
      <w:r w:rsidR="007D3A3E" w:rsidRPr="009915FB">
        <w:t>,</w:t>
      </w:r>
      <w:r>
        <w:t xml:space="preserve"> and will operate to preserve the operation of the </w:t>
      </w:r>
      <w:r w:rsidR="00C27EB0">
        <w:t>2003 Approval Instrument</w:t>
      </w:r>
      <w:r w:rsidR="00490870">
        <w:t>.</w:t>
      </w:r>
      <w:r w:rsidR="00B76023">
        <w:t xml:space="preserve"> </w:t>
      </w:r>
    </w:p>
    <w:p w14:paraId="304B614E" w14:textId="53568342" w:rsidR="009D1795" w:rsidRPr="00F764A9" w:rsidRDefault="00F91004" w:rsidP="00804350">
      <w:r w:rsidRPr="00F91004">
        <w:t>In accordance with section 17 of the </w:t>
      </w:r>
      <w:r w:rsidR="006817D7" w:rsidRPr="00611979">
        <w:rPr>
          <w:iCs/>
        </w:rPr>
        <w:t>L</w:t>
      </w:r>
      <w:r w:rsidR="008017B8">
        <w:rPr>
          <w:iCs/>
        </w:rPr>
        <w:t>egislation Act</w:t>
      </w:r>
      <w:r w:rsidRPr="00F91004">
        <w:t>,</w:t>
      </w:r>
      <w:r w:rsidR="00C27EB0" w:rsidDel="0008280A">
        <w:t xml:space="preserve"> </w:t>
      </w:r>
      <w:r w:rsidR="00644853">
        <w:t xml:space="preserve">trustees of relevant superannuation plans </w:t>
      </w:r>
      <w:r w:rsidR="00C27EB0">
        <w:t>were notified that the instrument would be remade, and that there would be no practical</w:t>
      </w:r>
      <w:r w:rsidR="00644853">
        <w:t xml:space="preserve"> effect on the valuations of superannuation interests produced under the instrument. </w:t>
      </w:r>
      <w:r w:rsidR="00D828CF">
        <w:t xml:space="preserve">The methods and factors in the 2025 </w:t>
      </w:r>
      <w:r w:rsidR="00E6396A">
        <w:t>Approval Instrument</w:t>
      </w:r>
      <w:r w:rsidR="00D62D00">
        <w:t xml:space="preserve"> replicate the methods and factors in the 2003 Approval Instrument, which were proposed by the trustees and approved by the </w:t>
      </w:r>
      <w:r w:rsidR="00F808D3">
        <w:t>Minister</w:t>
      </w:r>
      <w:r w:rsidR="00D62D00" w:rsidRPr="00F764A9">
        <w:t xml:space="preserve">. On that basis, </w:t>
      </w:r>
      <w:r w:rsidRPr="00F764A9">
        <w:t>more detailed</w:t>
      </w:r>
      <w:r w:rsidR="00D65BCD" w:rsidRPr="00F764A9">
        <w:t xml:space="preserve"> consultation </w:t>
      </w:r>
      <w:r w:rsidR="00D62D00" w:rsidRPr="00B51249">
        <w:t xml:space="preserve">was not undertaken </w:t>
      </w:r>
      <w:r w:rsidR="00D65BCD" w:rsidRPr="00B51249">
        <w:t xml:space="preserve">with </w:t>
      </w:r>
      <w:r w:rsidR="00B51249">
        <w:t>relevant</w:t>
      </w:r>
      <w:r w:rsidR="00B51249" w:rsidRPr="00F764A9">
        <w:t xml:space="preserve"> </w:t>
      </w:r>
      <w:r w:rsidR="00D65BCD" w:rsidRPr="00F764A9">
        <w:t>trustees.</w:t>
      </w:r>
    </w:p>
    <w:p w14:paraId="086F8FDC" w14:textId="65954815" w:rsidR="00EB254B" w:rsidRPr="00EB254B" w:rsidRDefault="00EB254B" w:rsidP="00804350">
      <w:pPr>
        <w:rPr>
          <w:highlight w:val="yellow"/>
        </w:rPr>
      </w:pPr>
      <w:r w:rsidRPr="00611979">
        <w:t xml:space="preserve">Trustees were consulted more broadly in the process of </w:t>
      </w:r>
      <w:r w:rsidR="00F808D3">
        <w:t>developing</w:t>
      </w:r>
      <w:r w:rsidRPr="00611979">
        <w:t xml:space="preserve"> the </w:t>
      </w:r>
      <w:r w:rsidR="008017B8">
        <w:t>2025</w:t>
      </w:r>
      <w:r w:rsidRPr="00611979">
        <w:t xml:space="preserve"> Regulations which concerns the same subject matter and prompted the making of the 2025 Approval Instrument. Trustees were consulted </w:t>
      </w:r>
      <w:r w:rsidRPr="00F764A9">
        <w:t xml:space="preserve">through the release of exposure draft regulations of the </w:t>
      </w:r>
      <w:r w:rsidR="008017B8">
        <w:t>2025</w:t>
      </w:r>
      <w:r w:rsidRPr="00F764A9">
        <w:t xml:space="preserve"> Regulations for public consultation from</w:t>
      </w:r>
      <w:r w:rsidRPr="00EB254B">
        <w:t xml:space="preserve"> 14 March 2024 to 26 April 2024. Feedback was received from </w:t>
      </w:r>
      <w:r w:rsidR="002A2CF7" w:rsidRPr="00EB254B">
        <w:t xml:space="preserve">superannuation trustees, </w:t>
      </w:r>
      <w:r w:rsidRPr="00EB254B">
        <w:t>family law practitioners, superannuation actuaries (including the Australian Government Actuary), financial professionals and accountants, and superannuation industry peak bodies</w:t>
      </w:r>
      <w:r>
        <w:t>.</w:t>
      </w:r>
    </w:p>
    <w:p w14:paraId="72D1281C" w14:textId="2AFB3E66" w:rsidR="00D65BCD" w:rsidRPr="009915FB" w:rsidRDefault="00F91004" w:rsidP="00804350">
      <w:r>
        <w:t>The Department of Finance, as trustee of the P</w:t>
      </w:r>
      <w:r w:rsidRPr="00F91004">
        <w:t>arliamentary Contributory Superannuation Scheme (PCSS)</w:t>
      </w:r>
      <w:r>
        <w:t xml:space="preserve">, </w:t>
      </w:r>
      <w:r w:rsidR="002A2CF7">
        <w:t>was</w:t>
      </w:r>
      <w:r>
        <w:t xml:space="preserve"> consulted regarding the application provisions in the 2025 Approval Instrument that relate to the PCSS, to ensure the 2025 Approval Instrument </w:t>
      </w:r>
      <w:r w:rsidR="00084014">
        <w:t xml:space="preserve">operates effectively in relation to </w:t>
      </w:r>
      <w:r>
        <w:t xml:space="preserve">superannuation interests in that scheme. </w:t>
      </w:r>
    </w:p>
    <w:p w14:paraId="0DA44665" w14:textId="50FC809C" w:rsidR="007D3A3E" w:rsidRPr="009915FB" w:rsidRDefault="007D3A3E" w:rsidP="00804350">
      <w:pPr>
        <w:pStyle w:val="Title2"/>
      </w:pPr>
      <w:r w:rsidRPr="009915FB">
        <w:t>Impact analysis</w:t>
      </w:r>
    </w:p>
    <w:p w14:paraId="722D4AE8" w14:textId="0F1AA42E" w:rsidR="007D3A3E" w:rsidRPr="009915FB" w:rsidRDefault="007D3A3E" w:rsidP="00804350">
      <w:r w:rsidRPr="009915FB">
        <w:t>The Office of Impact Analysis ha</w:t>
      </w:r>
      <w:r w:rsidR="002A5DF7">
        <w:t>s</w:t>
      </w:r>
      <w:r w:rsidR="002A5DF7">
        <w:rPr>
          <w:rFonts w:eastAsia="Times New Roman"/>
        </w:rPr>
        <w:t xml:space="preserve"> determined that detailed analysis is not required under the Australian Government's Policy Impact Analysis Framework</w:t>
      </w:r>
      <w:r w:rsidRPr="009915FB">
        <w:t xml:space="preserve"> (</w:t>
      </w:r>
      <w:r w:rsidR="00C27EB0" w:rsidRPr="00C27EB0">
        <w:t>OIA25-09227</w:t>
      </w:r>
      <w:r w:rsidRPr="009915FB">
        <w:t>).</w:t>
      </w:r>
    </w:p>
    <w:p w14:paraId="0CCD6525" w14:textId="297DE33B" w:rsidR="00D65BCD" w:rsidRDefault="00956F9E" w:rsidP="00804350">
      <w:pPr>
        <w:pStyle w:val="Title2"/>
      </w:pPr>
      <w:r>
        <w:t>D</w:t>
      </w:r>
      <w:r w:rsidR="00D65BCD">
        <w:t>etails of the instrument</w:t>
      </w:r>
    </w:p>
    <w:p w14:paraId="4A965AB0" w14:textId="6B18CC75" w:rsidR="007D3A3E" w:rsidRPr="009915FB" w:rsidRDefault="007D3A3E" w:rsidP="00804350">
      <w:r w:rsidRPr="009915FB">
        <w:t xml:space="preserve">The instrument is a legislative instrument for the purposes of the </w:t>
      </w:r>
      <w:r w:rsidR="004664B3">
        <w:t>L</w:t>
      </w:r>
      <w:r w:rsidR="002A2CF7">
        <w:t xml:space="preserve">egislation </w:t>
      </w:r>
      <w:r w:rsidR="004664B3">
        <w:t>A</w:t>
      </w:r>
      <w:r w:rsidR="002A2CF7">
        <w:t>ct</w:t>
      </w:r>
      <w:r w:rsidRPr="009915FB">
        <w:t xml:space="preserve">. Details of the instrument are set out in </w:t>
      </w:r>
      <w:r w:rsidRPr="009915FB">
        <w:rPr>
          <w:b/>
        </w:rPr>
        <w:t xml:space="preserve">Attachment </w:t>
      </w:r>
      <w:r w:rsidR="008D4B4B">
        <w:rPr>
          <w:b/>
        </w:rPr>
        <w:t>A</w:t>
      </w:r>
      <w:r w:rsidRPr="009915FB">
        <w:t>.</w:t>
      </w:r>
      <w:r w:rsidRPr="009915FB">
        <w:br w:type="page"/>
      </w:r>
    </w:p>
    <w:p w14:paraId="0521FA04" w14:textId="6DAA5D15" w:rsidR="007D3A3E" w:rsidRPr="00804350" w:rsidRDefault="004E4E9F" w:rsidP="00804350">
      <w:pPr>
        <w:jc w:val="right"/>
        <w:rPr>
          <w:b/>
          <w:sz w:val="24"/>
          <w:u w:val="single"/>
        </w:rPr>
      </w:pPr>
      <w:r w:rsidRPr="00804350">
        <w:rPr>
          <w:b/>
          <w:sz w:val="24"/>
          <w:u w:val="single"/>
        </w:rPr>
        <w:lastRenderedPageBreak/>
        <w:t xml:space="preserve">ATTACHMENT </w:t>
      </w:r>
      <w:r w:rsidR="007D3A3E" w:rsidRPr="00804350">
        <w:rPr>
          <w:b/>
          <w:sz w:val="24"/>
          <w:u w:val="single"/>
        </w:rPr>
        <w:t>A</w:t>
      </w:r>
    </w:p>
    <w:p w14:paraId="22A0CD4A" w14:textId="37B9AD01" w:rsidR="00892B0F" w:rsidRPr="00956F9E" w:rsidRDefault="00892B0F" w:rsidP="00375DE7">
      <w:pPr>
        <w:pStyle w:val="Title3"/>
      </w:pPr>
      <w:r w:rsidRPr="00956F9E">
        <w:t>Details of the</w:t>
      </w:r>
      <w:r w:rsidR="00CB3393" w:rsidRPr="00956F9E">
        <w:t xml:space="preserve"> proposed</w:t>
      </w:r>
      <w:r w:rsidRPr="00956F9E">
        <w:t xml:space="preserve"> </w:t>
      </w:r>
      <w:r w:rsidRPr="00375DE7">
        <w:rPr>
          <w:i/>
        </w:rPr>
        <w:t>Family Law (Superannuation) (Methods and Factors for Valuing Particular Superannuation Interests) Approval 2025</w:t>
      </w:r>
    </w:p>
    <w:p w14:paraId="2EBADA02" w14:textId="7F70B762" w:rsidR="00892B0F" w:rsidRPr="00956F9E" w:rsidRDefault="00892B0F" w:rsidP="00804350">
      <w:pPr>
        <w:pStyle w:val="Heading1"/>
      </w:pPr>
      <w:r w:rsidRPr="00956F9E">
        <w:t>Part 1</w:t>
      </w:r>
      <w:r w:rsidR="008865C0">
        <w:t xml:space="preserve"> – </w:t>
      </w:r>
      <w:r w:rsidRPr="00956F9E">
        <w:t>Preliminary</w:t>
      </w:r>
    </w:p>
    <w:p w14:paraId="514A3AE5" w14:textId="77777777" w:rsidR="00892B0F" w:rsidRPr="009915FB" w:rsidRDefault="00892B0F" w:rsidP="00804350">
      <w:pPr>
        <w:pStyle w:val="Heading4"/>
      </w:pPr>
      <w:r w:rsidRPr="009915FB">
        <w:t>Section 1 – Name</w:t>
      </w:r>
    </w:p>
    <w:p w14:paraId="4E2D5B90" w14:textId="00F8D24F" w:rsidR="00804350" w:rsidRPr="008D4B4B" w:rsidRDefault="00892B0F" w:rsidP="008D4B4B">
      <w:pPr>
        <w:pStyle w:val="ListParagraph"/>
      </w:pPr>
      <w:r w:rsidRPr="008D4B4B">
        <w:t>This section provides</w:t>
      </w:r>
      <w:r w:rsidR="008865C0" w:rsidRPr="008D4B4B">
        <w:t xml:space="preserve"> that</w:t>
      </w:r>
      <w:r w:rsidRPr="008D4B4B">
        <w:t xml:space="preserve"> the title of th</w:t>
      </w:r>
      <w:r w:rsidR="008865C0" w:rsidRPr="008D4B4B">
        <w:t>e</w:t>
      </w:r>
      <w:r w:rsidRPr="008D4B4B">
        <w:t xml:space="preserve"> instrument is the </w:t>
      </w:r>
      <w:r w:rsidR="00780D1D" w:rsidRPr="008D4B4B">
        <w:t xml:space="preserve">Family Law (Superannuation) (Methods and Factors for Valuing Particular Superannuation Interests) Approval 2025 </w:t>
      </w:r>
      <w:r w:rsidRPr="008D4B4B">
        <w:t>(20</w:t>
      </w:r>
      <w:r w:rsidR="00780D1D" w:rsidRPr="008D4B4B">
        <w:t>25</w:t>
      </w:r>
      <w:r w:rsidR="0016511D">
        <w:t> </w:t>
      </w:r>
      <w:r w:rsidR="00780D1D" w:rsidRPr="008D4B4B">
        <w:t>Approval Instrument</w:t>
      </w:r>
      <w:r w:rsidRPr="008D4B4B">
        <w:t>).</w:t>
      </w:r>
    </w:p>
    <w:p w14:paraId="30D657AA" w14:textId="57D2D6AB" w:rsidR="008865C0" w:rsidRDefault="008865C0" w:rsidP="008865C0">
      <w:pPr>
        <w:pStyle w:val="Heading4"/>
      </w:pPr>
      <w:r>
        <w:t>Section 2 – Commencement</w:t>
      </w:r>
    </w:p>
    <w:p w14:paraId="4E82332A" w14:textId="348C3453" w:rsidR="008865C0" w:rsidRDefault="008865C0" w:rsidP="008D4B4B">
      <w:pPr>
        <w:pStyle w:val="ListParagraph"/>
      </w:pPr>
      <w:r>
        <w:t xml:space="preserve">This section provides that </w:t>
      </w:r>
      <w:r w:rsidR="0016511D">
        <w:t xml:space="preserve">the </w:t>
      </w:r>
      <w:r>
        <w:t>2025 Approval Instrument commences on 1 April 2025.</w:t>
      </w:r>
    </w:p>
    <w:p w14:paraId="3C4638D4" w14:textId="1190870A" w:rsidR="008865C0" w:rsidRDefault="008865C0" w:rsidP="008865C0">
      <w:pPr>
        <w:pStyle w:val="Heading4"/>
      </w:pPr>
      <w:r>
        <w:t>Section 3 – Authority</w:t>
      </w:r>
    </w:p>
    <w:p w14:paraId="0AAF3863" w14:textId="039590B2" w:rsidR="008865C0" w:rsidRDefault="008865C0" w:rsidP="008D4B4B">
      <w:pPr>
        <w:pStyle w:val="ListParagraph"/>
      </w:pPr>
      <w:r>
        <w:t xml:space="preserve">This section provides that the 2025 Approval Instrument is made under the </w:t>
      </w:r>
      <w:r w:rsidR="0016511D">
        <w:t>Family Law (Superannuation) Regulations 2025 (</w:t>
      </w:r>
      <w:r w:rsidR="00DA2D11">
        <w:t xml:space="preserve">2025 </w:t>
      </w:r>
      <w:r>
        <w:t>Regulations</w:t>
      </w:r>
      <w:r w:rsidR="0016511D">
        <w:t>)</w:t>
      </w:r>
      <w:r>
        <w:t>.</w:t>
      </w:r>
    </w:p>
    <w:p w14:paraId="636FF40E" w14:textId="439FADA6" w:rsidR="008865C0" w:rsidRDefault="008865C0" w:rsidP="008865C0">
      <w:pPr>
        <w:pStyle w:val="Heading4"/>
      </w:pPr>
      <w:r>
        <w:t>Section 4 – Definitions</w:t>
      </w:r>
    </w:p>
    <w:p w14:paraId="168B1F28" w14:textId="77777777" w:rsidR="001970BD" w:rsidRDefault="008865C0" w:rsidP="002A2CF7">
      <w:pPr>
        <w:pStyle w:val="ListParagraph"/>
      </w:pPr>
      <w:r>
        <w:t xml:space="preserve">This section provides a legislative note stating that expressions used in the 2025 Approval Instrument have the same meaning as in the </w:t>
      </w:r>
      <w:r w:rsidR="00DA2D11">
        <w:t xml:space="preserve">2025 </w:t>
      </w:r>
      <w:r>
        <w:t xml:space="preserve">Regulations and the </w:t>
      </w:r>
      <w:r w:rsidRPr="00CA7FE2">
        <w:rPr>
          <w:i/>
        </w:rPr>
        <w:t>Family Law Act</w:t>
      </w:r>
      <w:r w:rsidR="0016511D" w:rsidRPr="00CA7FE2">
        <w:rPr>
          <w:i/>
        </w:rPr>
        <w:t xml:space="preserve"> 1975 </w:t>
      </w:r>
      <w:r w:rsidR="0016511D">
        <w:t>(</w:t>
      </w:r>
      <w:r>
        <w:t>Family Law Act</w:t>
      </w:r>
      <w:r w:rsidR="0016511D">
        <w:t>)</w:t>
      </w:r>
      <w:r>
        <w:t>. The legislative note provides examples of such expressions.</w:t>
      </w:r>
    </w:p>
    <w:p w14:paraId="3B5A29B7" w14:textId="2A18DAB5" w:rsidR="008865C0" w:rsidRDefault="008865C0" w:rsidP="002A2CF7">
      <w:pPr>
        <w:pStyle w:val="ListParagraph"/>
      </w:pPr>
      <w:r>
        <w:t xml:space="preserve">This section also provides definitions for expressions used in the 2025 Approval Instrument that are not otherwise defined in the </w:t>
      </w:r>
      <w:r w:rsidR="00DA2D11">
        <w:t xml:space="preserve">2025 </w:t>
      </w:r>
      <w:r>
        <w:t>FLS Regulations or the Family Law Act</w:t>
      </w:r>
      <w:r w:rsidR="002A2CF7">
        <w:t>.</w:t>
      </w:r>
    </w:p>
    <w:p w14:paraId="4561B141" w14:textId="41E357AE" w:rsidR="008865C0" w:rsidRDefault="008865C0" w:rsidP="005F28F1">
      <w:pPr>
        <w:pStyle w:val="Heading1"/>
      </w:pPr>
      <w:r>
        <w:t xml:space="preserve">Part 2 – Methods </w:t>
      </w:r>
      <w:r w:rsidR="001A618B">
        <w:t>or</w:t>
      </w:r>
      <w:r>
        <w:t xml:space="preserve"> factors</w:t>
      </w:r>
    </w:p>
    <w:p w14:paraId="59827C10" w14:textId="1F86BD7F" w:rsidR="008865C0" w:rsidRDefault="005F28F1" w:rsidP="005F28F1">
      <w:pPr>
        <w:pStyle w:val="Heading4"/>
      </w:pPr>
      <w:r>
        <w:t xml:space="preserve">Section 5 – Approval of methods </w:t>
      </w:r>
      <w:r w:rsidR="00197D96">
        <w:t xml:space="preserve">or </w:t>
      </w:r>
      <w:r>
        <w:t>factors for valuing particular superannuation interests</w:t>
      </w:r>
    </w:p>
    <w:p w14:paraId="51D208C6" w14:textId="3D9F0F6D" w:rsidR="005F28F1" w:rsidRDefault="005F28F1" w:rsidP="008D4B4B">
      <w:pPr>
        <w:pStyle w:val="ListParagraph"/>
      </w:pPr>
      <w:r>
        <w:t xml:space="preserve">This section provides that methods </w:t>
      </w:r>
      <w:r w:rsidR="00197D96">
        <w:t xml:space="preserve">or </w:t>
      </w:r>
      <w:r>
        <w:t xml:space="preserve">factors </w:t>
      </w:r>
      <w:r w:rsidR="00655CB3">
        <w:t>specified</w:t>
      </w:r>
      <w:r>
        <w:t xml:space="preserve"> in a </w:t>
      </w:r>
      <w:r w:rsidR="00A25FBB">
        <w:t xml:space="preserve">provision </w:t>
      </w:r>
      <w:r>
        <w:t>of a Schedule to the 2025</w:t>
      </w:r>
      <w:r w:rsidR="00D713C4">
        <w:t> </w:t>
      </w:r>
      <w:r>
        <w:t xml:space="preserve">Approval Instrument are approved under certain powers in the </w:t>
      </w:r>
      <w:r w:rsidR="00DA2D11">
        <w:t xml:space="preserve">2025 </w:t>
      </w:r>
      <w:r>
        <w:t>Regulations, as follows:</w:t>
      </w:r>
    </w:p>
    <w:p w14:paraId="72ED5C8E" w14:textId="4A3A3946" w:rsidR="005F28F1" w:rsidRPr="005F28F1" w:rsidRDefault="005F28F1" w:rsidP="008D4B4B">
      <w:pPr>
        <w:pStyle w:val="ListParagraph"/>
        <w:numPr>
          <w:ilvl w:val="0"/>
          <w:numId w:val="41"/>
        </w:numPr>
        <w:ind w:left="1276"/>
      </w:pPr>
      <w:r>
        <w:t xml:space="preserve">To the extent that </w:t>
      </w:r>
      <w:r w:rsidR="00A25FBB">
        <w:t xml:space="preserve">a provision expressly applies to </w:t>
      </w:r>
      <w:r>
        <w:t>superannuation interest</w:t>
      </w:r>
      <w:r w:rsidR="00A25FBB">
        <w:t>s</w:t>
      </w:r>
      <w:r>
        <w:t xml:space="preserve"> in the growth phase, </w:t>
      </w:r>
      <w:r w:rsidR="00A25FBB">
        <w:t xml:space="preserve">the methods or factors </w:t>
      </w:r>
      <w:r>
        <w:t xml:space="preserve">are approved for the purposes of subsection 62(1) of the </w:t>
      </w:r>
      <w:r w:rsidR="00DA2D11">
        <w:t>2025</w:t>
      </w:r>
      <w:r w:rsidR="00D713C4">
        <w:t> </w:t>
      </w:r>
      <w:r>
        <w:t>Regulations.</w:t>
      </w:r>
    </w:p>
    <w:p w14:paraId="2E8626F3" w14:textId="34AF0015" w:rsidR="005F28F1" w:rsidRDefault="005F28F1" w:rsidP="008D4B4B">
      <w:pPr>
        <w:pStyle w:val="ListParagraph"/>
        <w:numPr>
          <w:ilvl w:val="0"/>
          <w:numId w:val="41"/>
        </w:numPr>
        <w:ind w:left="1276"/>
      </w:pPr>
      <w:r w:rsidRPr="005F28F1">
        <w:t>To t</w:t>
      </w:r>
      <w:r>
        <w:t xml:space="preserve">he extent that </w:t>
      </w:r>
      <w:r w:rsidR="00A25FBB">
        <w:t xml:space="preserve">a provision expressly applies to </w:t>
      </w:r>
      <w:r>
        <w:t>superannuation interest</w:t>
      </w:r>
      <w:r w:rsidR="00A25FBB">
        <w:t>s</w:t>
      </w:r>
      <w:r>
        <w:t xml:space="preserve"> in the payment phase, the</w:t>
      </w:r>
      <w:r w:rsidR="00A25FBB">
        <w:t xml:space="preserve"> methods or factors</w:t>
      </w:r>
      <w:r>
        <w:t xml:space="preserve"> are approved for the purposes of subsection 70(1) of the </w:t>
      </w:r>
      <w:r w:rsidR="00DA2D11">
        <w:t>2025</w:t>
      </w:r>
      <w:r w:rsidR="00D713C4">
        <w:t> </w:t>
      </w:r>
      <w:r>
        <w:t>Regulations.</w:t>
      </w:r>
    </w:p>
    <w:p w14:paraId="194F33FC" w14:textId="38A3041D" w:rsidR="005F28F1" w:rsidRPr="005F28F1" w:rsidRDefault="005F28F1" w:rsidP="008D4B4B">
      <w:pPr>
        <w:pStyle w:val="ListParagraph"/>
        <w:numPr>
          <w:ilvl w:val="0"/>
          <w:numId w:val="41"/>
        </w:numPr>
        <w:ind w:left="1276"/>
      </w:pPr>
      <w:r>
        <w:t xml:space="preserve">In any other case, the methods and factors are approved for the purposes of both subsections 62(1) and 70(1) of the </w:t>
      </w:r>
      <w:r w:rsidR="00DA2D11">
        <w:t xml:space="preserve">2025 </w:t>
      </w:r>
      <w:r>
        <w:t>Regulations.</w:t>
      </w:r>
    </w:p>
    <w:p w14:paraId="1AF34FF8" w14:textId="77777777" w:rsidR="007D6CAA" w:rsidRDefault="007D6CAA">
      <w:pPr>
        <w:spacing w:after="160" w:line="259" w:lineRule="auto"/>
        <w:rPr>
          <w:rFonts w:eastAsia="Times New Roman"/>
          <w:b/>
          <w:bCs/>
          <w:sz w:val="24"/>
          <w:szCs w:val="24"/>
        </w:rPr>
      </w:pPr>
      <w:r>
        <w:br w:type="page"/>
      </w:r>
    </w:p>
    <w:p w14:paraId="2DAB6120" w14:textId="00D232CB" w:rsidR="005F28F1" w:rsidRDefault="007D623C" w:rsidP="007D623C">
      <w:pPr>
        <w:pStyle w:val="Heading4"/>
      </w:pPr>
      <w:r>
        <w:lastRenderedPageBreak/>
        <w:t>Section 6 – Approval of transition factor</w:t>
      </w:r>
      <w:r w:rsidR="001A618B">
        <w:t xml:space="preserve"> (or methods to be used for determining the transition factor)</w:t>
      </w:r>
      <w:r>
        <w:t xml:space="preserve"> for</w:t>
      </w:r>
      <w:r w:rsidRPr="009E1F06">
        <w:t xml:space="preserve"> determin</w:t>
      </w:r>
      <w:r>
        <w:t>ing</w:t>
      </w:r>
      <w:r w:rsidRPr="009E1F06">
        <w:t xml:space="preserve"> the amount </w:t>
      </w:r>
      <w:r>
        <w:t>the</w:t>
      </w:r>
      <w:r w:rsidRPr="009E1F06">
        <w:t xml:space="preserve"> non</w:t>
      </w:r>
      <w:r>
        <w:noBreakHyphen/>
      </w:r>
      <w:r w:rsidRPr="009E1F06">
        <w:t>member spouse is entitled to be paid in relation to a superannuation interest</w:t>
      </w:r>
    </w:p>
    <w:p w14:paraId="5F1BFA46" w14:textId="77777777" w:rsidR="001F6705" w:rsidRDefault="007D623C" w:rsidP="008D4B4B">
      <w:pPr>
        <w:pStyle w:val="ListParagraph"/>
      </w:pPr>
      <w:r>
        <w:t xml:space="preserve">Subsection 6(1) provides that </w:t>
      </w:r>
      <w:r w:rsidR="001F6705">
        <w:t xml:space="preserve">section 6 applies </w:t>
      </w:r>
      <w:r>
        <w:t xml:space="preserve">if </w:t>
      </w:r>
      <w:r w:rsidR="001F6705">
        <w:t xml:space="preserve">one or more methods have been approved under section 5 for a superannuation interest. </w:t>
      </w:r>
    </w:p>
    <w:p w14:paraId="532CED29" w14:textId="7A6A9E76" w:rsidR="001F6705" w:rsidRDefault="001F6705" w:rsidP="001F6705">
      <w:pPr>
        <w:pStyle w:val="ListParagraph"/>
      </w:pPr>
      <w:r>
        <w:t xml:space="preserve">Subsection 6(2) provides two ways a transition factor can be approved </w:t>
      </w:r>
      <w:r w:rsidR="007D623C">
        <w:t xml:space="preserve">for the purposes of subsection 79(1) of the </w:t>
      </w:r>
      <w:r w:rsidR="00DA2D11">
        <w:t>2025</w:t>
      </w:r>
      <w:r w:rsidR="002F5749">
        <w:t> </w:t>
      </w:r>
      <w:r w:rsidR="007D623C">
        <w:t>Regulations</w:t>
      </w:r>
      <w:r>
        <w:t xml:space="preserve">. </w:t>
      </w:r>
    </w:p>
    <w:p w14:paraId="4F8C2648" w14:textId="674E033C" w:rsidR="001F6705" w:rsidRDefault="001F6705" w:rsidP="001F6705">
      <w:pPr>
        <w:pStyle w:val="ListParagraph"/>
      </w:pPr>
      <w:r>
        <w:t xml:space="preserve">Paragraph 6(2)(a) provides that if there is a provision in a Schedule to the 2025 Approval Instrument that specifies the transition factor, or one or more methods </w:t>
      </w:r>
      <w:r w:rsidR="003A0D42">
        <w:t>for</w:t>
      </w:r>
      <w:r>
        <w:t xml:space="preserve"> determining the transition factor, then that transition factor or those methods are approved for the superannuation interest. </w:t>
      </w:r>
    </w:p>
    <w:p w14:paraId="21A29B29" w14:textId="60845B62" w:rsidR="007D623C" w:rsidRDefault="001F6705" w:rsidP="008D4B4B">
      <w:pPr>
        <w:pStyle w:val="ListParagraph"/>
      </w:pPr>
      <w:r>
        <w:t xml:space="preserve">Paragraph 6(2)(b) provides that </w:t>
      </w:r>
      <w:r w:rsidR="007D623C">
        <w:t xml:space="preserve">in any other case, a transition factor of 1 is approved </w:t>
      </w:r>
      <w:r>
        <w:t xml:space="preserve">for the superannuation interest. </w:t>
      </w:r>
    </w:p>
    <w:p w14:paraId="50B29F09" w14:textId="56474470" w:rsidR="00C77E7A" w:rsidRDefault="005B37C5" w:rsidP="008D4B4B">
      <w:pPr>
        <w:pStyle w:val="ListParagraph"/>
      </w:pPr>
      <w:r>
        <w:t xml:space="preserve">The 2025 Regulations </w:t>
      </w:r>
      <w:r w:rsidR="007E2834">
        <w:t xml:space="preserve">provide for the application of a </w:t>
      </w:r>
      <w:r>
        <w:t>transition factor</w:t>
      </w:r>
      <w:r w:rsidR="00414D24">
        <w:t xml:space="preserve"> when calculating a non-member spouse’s entitlement. The introduction of transition factors is intended </w:t>
      </w:r>
      <w:r w:rsidR="007E2834">
        <w:t xml:space="preserve">to account for the circumstance when the calculation of the non-member spouse’s entitlement occurs using methods or factors that are different to the methods or factors </w:t>
      </w:r>
      <w:r w:rsidR="00414D24">
        <w:t>that applied</w:t>
      </w:r>
      <w:r w:rsidR="007E2834">
        <w:t xml:space="preserve"> when the agreement or order was originally made, because they have since been updated.  This is to ensure that neither the member spouse or the non-member spouse is inadvertently disadvantaged due to a change in valuation methods or factors.  </w:t>
      </w:r>
    </w:p>
    <w:p w14:paraId="63BDA00F" w14:textId="3ABDF322" w:rsidR="007D623C" w:rsidRDefault="007D623C" w:rsidP="007D623C">
      <w:pPr>
        <w:pStyle w:val="Heading4"/>
      </w:pPr>
      <w:r>
        <w:t xml:space="preserve">Section 7 – References in this instrument to the </w:t>
      </w:r>
      <w:r w:rsidRPr="001254EF">
        <w:rPr>
          <w:i/>
        </w:rPr>
        <w:t>2001 Regulations</w:t>
      </w:r>
    </w:p>
    <w:p w14:paraId="24252EC7" w14:textId="36DF0411" w:rsidR="007D623C" w:rsidRDefault="007D623C" w:rsidP="008D4B4B">
      <w:pPr>
        <w:pStyle w:val="ListParagraph"/>
      </w:pPr>
      <w:r>
        <w:t xml:space="preserve">Subsection 7(1) provides that a reference in the 2025 Approval Instrument is a reference to the </w:t>
      </w:r>
      <w:r w:rsidR="00901351">
        <w:t>2001 Regulations as in force on 31 March 2025</w:t>
      </w:r>
      <w:r w:rsidR="00060707">
        <w:t>.</w:t>
      </w:r>
    </w:p>
    <w:p w14:paraId="729B228B" w14:textId="6E538E95" w:rsidR="007D623C" w:rsidRDefault="00901351" w:rsidP="008D4B4B">
      <w:pPr>
        <w:pStyle w:val="ListParagraph"/>
      </w:pPr>
      <w:r>
        <w:t>Subsection 7(2) provides that subsection 7(1) is a contrary intention to the operation of paragraphs</w:t>
      </w:r>
      <w:r w:rsidR="00060707">
        <w:t xml:space="preserve"> 10(b) </w:t>
      </w:r>
      <w:r w:rsidR="00780348">
        <w:t xml:space="preserve">and (c) </w:t>
      </w:r>
      <w:r w:rsidR="00060707">
        <w:t>of the</w:t>
      </w:r>
      <w:r w:rsidR="00075709">
        <w:t xml:space="preserve"> A</w:t>
      </w:r>
      <w:r w:rsidR="008017B8">
        <w:t>cts Interpretation Act</w:t>
      </w:r>
      <w:r w:rsidR="00060707">
        <w:t xml:space="preserve"> and paragraph 13(1)(a) of the </w:t>
      </w:r>
      <w:r w:rsidR="008017B8">
        <w:t>Legislation Act</w:t>
      </w:r>
      <w:r w:rsidR="00060707">
        <w:t>.</w:t>
      </w:r>
      <w:r w:rsidR="00DA2D11">
        <w:t xml:space="preserve"> </w:t>
      </w:r>
    </w:p>
    <w:p w14:paraId="10256DE1" w14:textId="1D2C2E38" w:rsidR="00CC555E" w:rsidRDefault="00CC555E" w:rsidP="00CC555E">
      <w:pPr>
        <w:pStyle w:val="Heading4"/>
      </w:pPr>
      <w:r>
        <w:t>Section 8 – Schedule 11</w:t>
      </w:r>
    </w:p>
    <w:p w14:paraId="06F5045E" w14:textId="7DCDA872" w:rsidR="00CC555E" w:rsidRDefault="00027357" w:rsidP="00867614">
      <w:pPr>
        <w:pStyle w:val="ListParagraph"/>
      </w:pPr>
      <w:r>
        <w:t xml:space="preserve">Section 8 provides that each instrument specified in Schedule 11 is amended or repealed as set out in that Schedule. </w:t>
      </w:r>
    </w:p>
    <w:p w14:paraId="5A05C67C" w14:textId="14FDA358" w:rsidR="007D623C" w:rsidRDefault="00CE2291" w:rsidP="00F95E47">
      <w:pPr>
        <w:pStyle w:val="Heading1"/>
      </w:pPr>
      <w:r>
        <w:t xml:space="preserve">Part 3 – </w:t>
      </w:r>
      <w:r w:rsidRPr="00CE2291">
        <w:t>Application, saving and transitional provisions</w:t>
      </w:r>
    </w:p>
    <w:p w14:paraId="2010C4D8" w14:textId="1F840461" w:rsidR="00027357" w:rsidRDefault="00027357" w:rsidP="00027357">
      <w:pPr>
        <w:pStyle w:val="Heading4"/>
      </w:pPr>
      <w:r>
        <w:t>Section 9 – Saving</w:t>
      </w:r>
      <w:r w:rsidRPr="00027357">
        <w:t xml:space="preserve"> </w:t>
      </w:r>
      <w:r>
        <w:t>—methods or factors for old agreements or orders relating to superannuation interests in the PCSS</w:t>
      </w:r>
    </w:p>
    <w:p w14:paraId="0D448355" w14:textId="4AF48D40" w:rsidR="007F5B3C" w:rsidRDefault="00027357" w:rsidP="00867614">
      <w:pPr>
        <w:pStyle w:val="ListParagraph"/>
      </w:pPr>
      <w:r>
        <w:t>S</w:t>
      </w:r>
      <w:r w:rsidR="007F5B3C">
        <w:t>ubs</w:t>
      </w:r>
      <w:r>
        <w:t>ection 9</w:t>
      </w:r>
      <w:r w:rsidR="007F5B3C">
        <w:t xml:space="preserve">(1) provides that section 9 applies to an agreement or court order made on or before 28 September 2023 in relation to a superannuation interest in the scheme constituted by the </w:t>
      </w:r>
      <w:r w:rsidR="007F5B3C">
        <w:rPr>
          <w:i/>
        </w:rPr>
        <w:t xml:space="preserve">Parliamentary Contributory Superannuation Act </w:t>
      </w:r>
      <w:r w:rsidR="007F5B3C" w:rsidRPr="007F5B3C">
        <w:rPr>
          <w:i/>
        </w:rPr>
        <w:t>1948</w:t>
      </w:r>
      <w:r w:rsidR="007F5B3C">
        <w:rPr>
          <w:i/>
        </w:rPr>
        <w:t xml:space="preserve">. </w:t>
      </w:r>
    </w:p>
    <w:p w14:paraId="461F1CD9" w14:textId="77777777" w:rsidR="00EE3FFF" w:rsidRDefault="007F5B3C" w:rsidP="00904B0E">
      <w:pPr>
        <w:pStyle w:val="ListParagraph"/>
      </w:pPr>
      <w:r>
        <w:t>Subsection 9(2) provides that in these circumstances, Part 5 of Schedule 1 to the 2003 Approval Instrument as in force on 28 September 2023 applies in relation to determining the gross value of the superannuation interest.</w:t>
      </w:r>
      <w:r w:rsidR="007C4F6D">
        <w:t xml:space="preserve"> This operates despite the repeal of the 2003 Approval Instrument.</w:t>
      </w:r>
      <w:r>
        <w:t xml:space="preserve"> </w:t>
      </w:r>
    </w:p>
    <w:p w14:paraId="3772EC41" w14:textId="3E9C17E4" w:rsidR="007F5B3C" w:rsidRDefault="007F5B3C" w:rsidP="00867614">
      <w:pPr>
        <w:pStyle w:val="ListParagraph"/>
      </w:pPr>
      <w:r>
        <w:lastRenderedPageBreak/>
        <w:t>Subsection 9(2)</w:t>
      </w:r>
      <w:r w:rsidR="00EE3FFF">
        <w:t xml:space="preserve"> also</w:t>
      </w:r>
      <w:r>
        <w:t xml:space="preserve"> provides that this is regardless of whether the operative time is before, on or after 29 September 2023. </w:t>
      </w:r>
      <w:r w:rsidR="00666F9E">
        <w:t xml:space="preserve">The date, </w:t>
      </w:r>
      <w:r>
        <w:t>29 September 2023</w:t>
      </w:r>
      <w:r w:rsidR="00666F9E">
        <w:t>,</w:t>
      </w:r>
      <w:r>
        <w:t xml:space="preserve"> is the commencement date for the </w:t>
      </w:r>
      <w:r w:rsidRPr="00EE3FFF">
        <w:rPr>
          <w:i/>
          <w:iCs/>
        </w:rPr>
        <w:t>Family Law (Superannuation) (Methods and Factors for Valuing Particular Superannuation Interests) Amendment (No. 2) Approval 2023.</w:t>
      </w:r>
    </w:p>
    <w:p w14:paraId="58465539" w14:textId="1691D6C7" w:rsidR="00804350" w:rsidRPr="009915FB" w:rsidRDefault="007F5B3C" w:rsidP="00FC474D">
      <w:pPr>
        <w:pStyle w:val="ListParagraph"/>
      </w:pPr>
      <w:r>
        <w:t>A legislative note explains that this section is intended to preserve the operation of regulation</w:t>
      </w:r>
      <w:r w:rsidR="00666F9E">
        <w:t> </w:t>
      </w:r>
      <w:r>
        <w:t xml:space="preserve">5 </w:t>
      </w:r>
      <w:r w:rsidR="00600965">
        <w:t>of</w:t>
      </w:r>
      <w:r>
        <w:t xml:space="preserve"> the 2003 Approval Instrument.</w:t>
      </w:r>
    </w:p>
    <w:p w14:paraId="626B62CE" w14:textId="6EA4EB04" w:rsidR="00DF731A" w:rsidRDefault="00DF731A" w:rsidP="00804350">
      <w:pPr>
        <w:pStyle w:val="Heading1"/>
      </w:pPr>
      <w:r>
        <w:t>Schedule 1</w:t>
      </w:r>
      <w:r w:rsidR="00804350">
        <w:t xml:space="preserve"> – </w:t>
      </w:r>
      <w:r w:rsidRPr="009915FB">
        <w:t>P</w:t>
      </w:r>
      <w:r>
        <w:t>ublic</w:t>
      </w:r>
      <w:r w:rsidR="00804350">
        <w:t xml:space="preserve"> </w:t>
      </w:r>
      <w:r>
        <w:t>sector superannuation plans—Commonwealth</w:t>
      </w:r>
    </w:p>
    <w:p w14:paraId="64BEA46F" w14:textId="2001A399" w:rsidR="00DF731A" w:rsidRDefault="00804350" w:rsidP="008D4B4B">
      <w:pPr>
        <w:pStyle w:val="ListParagraph"/>
      </w:pPr>
      <w:r>
        <w:t>This Schedule</w:t>
      </w:r>
      <w:r w:rsidR="00DF731A">
        <w:t xml:space="preserve"> provides </w:t>
      </w:r>
      <w:r w:rsidR="00DF731A" w:rsidRPr="00804350">
        <w:t xml:space="preserve">methods and factors </w:t>
      </w:r>
      <w:r w:rsidR="00D2639E">
        <w:t xml:space="preserve">for determining the gross value of </w:t>
      </w:r>
      <w:r w:rsidR="00D74727">
        <w:t xml:space="preserve">superannuation interests in </w:t>
      </w:r>
      <w:r w:rsidR="00DF731A" w:rsidRPr="00804350">
        <w:t>Commonwealth public sector superannuation</w:t>
      </w:r>
      <w:r w:rsidR="00DF731A">
        <w:t xml:space="preserve"> plans.</w:t>
      </w:r>
    </w:p>
    <w:p w14:paraId="0E40FDEE" w14:textId="7E873B6C" w:rsidR="00DF731A" w:rsidRDefault="00DF731A" w:rsidP="00804350">
      <w:pPr>
        <w:pStyle w:val="Heading2"/>
      </w:pPr>
      <w:r w:rsidRPr="00956F9E">
        <w:t>Part 1</w:t>
      </w:r>
      <w:r w:rsidR="00804350">
        <w:t xml:space="preserve"> – </w:t>
      </w:r>
      <w:r w:rsidRPr="00956F9E">
        <w:t>Commonwealth</w:t>
      </w:r>
      <w:r w:rsidR="00804350">
        <w:t xml:space="preserve"> </w:t>
      </w:r>
      <w:r w:rsidRPr="00956F9E">
        <w:t>Superannuation Scheme</w:t>
      </w:r>
    </w:p>
    <w:p w14:paraId="24A11237" w14:textId="4D01D98E" w:rsidR="00804350" w:rsidRDefault="00804350" w:rsidP="008D4B4B">
      <w:pPr>
        <w:pStyle w:val="ListParagraph"/>
      </w:pPr>
      <w:r>
        <w:t xml:space="preserve">This Part provides </w:t>
      </w:r>
      <w:r w:rsidR="00D2639E">
        <w:t>methods and factors for determining the gross value of</w:t>
      </w:r>
      <w:r w:rsidR="00D74727">
        <w:t xml:space="preserve"> </w:t>
      </w:r>
      <w:r w:rsidR="00D544A6">
        <w:t>an interest</w:t>
      </w:r>
      <w:r w:rsidR="00D74727">
        <w:t xml:space="preserve"> in</w:t>
      </w:r>
      <w:r>
        <w:t xml:space="preserve"> the</w:t>
      </w:r>
      <w:r w:rsidR="00D626CD">
        <w:t xml:space="preserve"> superannuation plan known as the</w:t>
      </w:r>
      <w:r>
        <w:t xml:space="preserve"> Commonwealth Superannuation Scheme</w:t>
      </w:r>
      <w:r w:rsidR="00D626CD">
        <w:t xml:space="preserve">, which is the scheme established by the </w:t>
      </w:r>
      <w:r w:rsidR="00D626CD">
        <w:rPr>
          <w:i/>
        </w:rPr>
        <w:t>Superannuation Act 1976</w:t>
      </w:r>
      <w:r>
        <w:t>.</w:t>
      </w:r>
    </w:p>
    <w:p w14:paraId="0068A7D6" w14:textId="20DEFFA3" w:rsidR="00804350" w:rsidRDefault="00804350" w:rsidP="00804350">
      <w:pPr>
        <w:pStyle w:val="Heading2"/>
      </w:pPr>
      <w:r>
        <w:t>Part 2 – Public Sector Superannuation Scheme</w:t>
      </w:r>
    </w:p>
    <w:p w14:paraId="710B20E3" w14:textId="44DD4511" w:rsidR="00804350" w:rsidRPr="00D626CD" w:rsidRDefault="00804350" w:rsidP="008D4B4B">
      <w:pPr>
        <w:pStyle w:val="ListParagraph"/>
        <w:rPr>
          <w:i/>
        </w:rPr>
      </w:pPr>
      <w:r>
        <w:t xml:space="preserve">This Part provides </w:t>
      </w:r>
      <w:r w:rsidR="00D2639E">
        <w:t>methods and factors for determining the gross value of</w:t>
      </w:r>
      <w:r>
        <w:t xml:space="preserve"> </w:t>
      </w:r>
      <w:r w:rsidR="00D544A6">
        <w:t>an interest</w:t>
      </w:r>
      <w:r w:rsidR="00D74727">
        <w:t xml:space="preserve"> in </w:t>
      </w:r>
      <w:r>
        <w:t>the</w:t>
      </w:r>
      <w:r w:rsidRPr="00804350">
        <w:t xml:space="preserve"> </w:t>
      </w:r>
      <w:r w:rsidR="00D626CD">
        <w:t xml:space="preserve">superannuation plan known as the </w:t>
      </w:r>
      <w:r>
        <w:t>Public Sector Superannuation Scheme</w:t>
      </w:r>
      <w:r w:rsidR="00D626CD">
        <w:t xml:space="preserve">, which is the scheme mentioned in section 3 of the </w:t>
      </w:r>
      <w:r w:rsidR="00D626CD">
        <w:rPr>
          <w:i/>
        </w:rPr>
        <w:t>Superannuation Act 1990.</w:t>
      </w:r>
    </w:p>
    <w:p w14:paraId="661EEA38" w14:textId="69211BE3" w:rsidR="00DF731A" w:rsidRDefault="00804350" w:rsidP="00804350">
      <w:pPr>
        <w:pStyle w:val="Heading2"/>
      </w:pPr>
      <w:r w:rsidRPr="00804350">
        <w:t>Part 3</w:t>
      </w:r>
      <w:r>
        <w:t xml:space="preserve"> – </w:t>
      </w:r>
      <w:r w:rsidRPr="00804350">
        <w:t>Defence</w:t>
      </w:r>
      <w:r>
        <w:t xml:space="preserve"> </w:t>
      </w:r>
      <w:r w:rsidRPr="00804350">
        <w:t>Force Retirement and Death Benefits Scheme and earlier and associated schemes</w:t>
      </w:r>
    </w:p>
    <w:p w14:paraId="13E591EB" w14:textId="22D73638" w:rsidR="00D626CD" w:rsidRDefault="00804350" w:rsidP="008D4B4B">
      <w:pPr>
        <w:pStyle w:val="ListParagraph"/>
      </w:pPr>
      <w:r>
        <w:t xml:space="preserve">This Part provides </w:t>
      </w:r>
      <w:r w:rsidR="00D2639E">
        <w:t>methods and factors for determining the gross value of</w:t>
      </w:r>
      <w:r>
        <w:t xml:space="preserve"> </w:t>
      </w:r>
      <w:r w:rsidR="00D544A6">
        <w:t>an interest</w:t>
      </w:r>
      <w:r w:rsidR="00D74727">
        <w:t xml:space="preserve"> in </w:t>
      </w:r>
      <w:r>
        <w:t>the</w:t>
      </w:r>
      <w:r w:rsidR="00D626CD">
        <w:t xml:space="preserve"> superannuation plans known as:</w:t>
      </w:r>
    </w:p>
    <w:p w14:paraId="30379467" w14:textId="08A6F0F3" w:rsidR="00D626CD" w:rsidRPr="00D626CD" w:rsidRDefault="006D7679" w:rsidP="008D4B4B">
      <w:pPr>
        <w:pStyle w:val="ListParagraph"/>
        <w:numPr>
          <w:ilvl w:val="0"/>
          <w:numId w:val="40"/>
        </w:numPr>
        <w:ind w:left="1276"/>
      </w:pPr>
      <w:r>
        <w:t>T</w:t>
      </w:r>
      <w:r w:rsidR="00D626CD" w:rsidRPr="00D626CD">
        <w:t>he</w:t>
      </w:r>
      <w:r>
        <w:t xml:space="preserve"> Defence Force Retirement and Death Benefits</w:t>
      </w:r>
      <w:r w:rsidR="00804350" w:rsidRPr="00D626CD">
        <w:t xml:space="preserve"> Scheme</w:t>
      </w:r>
      <w:r w:rsidR="00D626CD" w:rsidRPr="00D626CD">
        <w:t xml:space="preserve">, which </w:t>
      </w:r>
      <w:r w:rsidR="00D626CD">
        <w:t>means</w:t>
      </w:r>
      <w:r w:rsidR="00D626CD" w:rsidRPr="00D626CD">
        <w:t xml:space="preserve"> the scheme constituted by the </w:t>
      </w:r>
      <w:r w:rsidR="00D626CD" w:rsidRPr="00D626CD">
        <w:rPr>
          <w:i/>
        </w:rPr>
        <w:t>Defence Force Retirement and Death Benefits Act 1973</w:t>
      </w:r>
    </w:p>
    <w:p w14:paraId="640FFDEC" w14:textId="74BD935C" w:rsidR="00D626CD" w:rsidRDefault="00D626CD" w:rsidP="008D4B4B">
      <w:pPr>
        <w:pStyle w:val="ListParagraph"/>
        <w:numPr>
          <w:ilvl w:val="0"/>
          <w:numId w:val="40"/>
        </w:numPr>
        <w:ind w:left="1276"/>
      </w:pPr>
      <w:r>
        <w:t>t</w:t>
      </w:r>
      <w:r w:rsidRPr="00D626CD">
        <w:t>he</w:t>
      </w:r>
      <w:r>
        <w:t xml:space="preserve"> </w:t>
      </w:r>
      <w:r w:rsidR="00F05A68">
        <w:t>Defence Forces Retirement Benefits</w:t>
      </w:r>
      <w:r>
        <w:t xml:space="preserve"> scheme, which means</w:t>
      </w:r>
      <w:r w:rsidRPr="00D626CD">
        <w:t xml:space="preserve"> the scheme constituted by the </w:t>
      </w:r>
      <w:r w:rsidRPr="00D626CD">
        <w:rPr>
          <w:i/>
        </w:rPr>
        <w:t>Defence Forces Retirement Benefits Act 1948,</w:t>
      </w:r>
      <w:r w:rsidR="00804350" w:rsidRPr="00D626CD">
        <w:t xml:space="preserve"> and </w:t>
      </w:r>
    </w:p>
    <w:p w14:paraId="40DF541C" w14:textId="39C717C0" w:rsidR="00804350" w:rsidRPr="00D626CD" w:rsidRDefault="00D626CD" w:rsidP="008D4B4B">
      <w:pPr>
        <w:pStyle w:val="ListParagraph"/>
        <w:numPr>
          <w:ilvl w:val="0"/>
          <w:numId w:val="40"/>
        </w:numPr>
        <w:ind w:left="1276"/>
      </w:pPr>
      <w:r>
        <w:t xml:space="preserve">the productivity benefit scheme, which means </w:t>
      </w:r>
      <w:r w:rsidRPr="00D626CD">
        <w:t xml:space="preserve">the scheme constituted by the </w:t>
      </w:r>
      <w:r w:rsidRPr="00D626CD" w:rsidDel="00880A5E">
        <w:t>Defence</w:t>
      </w:r>
      <w:r w:rsidR="00880A5E">
        <w:t> </w:t>
      </w:r>
      <w:r w:rsidRPr="00D626CD">
        <w:t xml:space="preserve">Force (Superannuation) (Productivity Benefit) Determination, made under subsection 52 (1) of the </w:t>
      </w:r>
      <w:r w:rsidRPr="00D626CD">
        <w:rPr>
          <w:i/>
        </w:rPr>
        <w:t>Defence Act 1903</w:t>
      </w:r>
      <w:r w:rsidRPr="00D626CD">
        <w:t xml:space="preserve">. </w:t>
      </w:r>
    </w:p>
    <w:p w14:paraId="2FDE8F68" w14:textId="4299CF6E" w:rsidR="007D3A3E" w:rsidRDefault="00804350" w:rsidP="00804350">
      <w:pPr>
        <w:pStyle w:val="Heading2"/>
      </w:pPr>
      <w:r w:rsidRPr="00804350">
        <w:t>Part 4</w:t>
      </w:r>
      <w:r>
        <w:t xml:space="preserve"> – </w:t>
      </w:r>
      <w:r w:rsidRPr="00804350">
        <w:t>Military</w:t>
      </w:r>
      <w:r>
        <w:t xml:space="preserve"> </w:t>
      </w:r>
      <w:r w:rsidRPr="00804350">
        <w:t>Superannuation and Benefits Scheme</w:t>
      </w:r>
    </w:p>
    <w:p w14:paraId="5AFDC4C4" w14:textId="1F8F177E" w:rsidR="00804350" w:rsidRPr="009915FB" w:rsidRDefault="00804350" w:rsidP="008D4B4B">
      <w:pPr>
        <w:pStyle w:val="ListParagraph"/>
      </w:pPr>
      <w:r>
        <w:t xml:space="preserve">This Part provides </w:t>
      </w:r>
      <w:r w:rsidR="00D2639E">
        <w:t>methods and factors for determining the gross value of</w:t>
      </w:r>
      <w:r w:rsidR="00D74727">
        <w:t xml:space="preserve"> </w:t>
      </w:r>
      <w:r w:rsidR="00D544A6">
        <w:t>an interest</w:t>
      </w:r>
      <w:r w:rsidR="00D74727">
        <w:t xml:space="preserve"> in</w:t>
      </w:r>
      <w:r>
        <w:t xml:space="preserve"> the</w:t>
      </w:r>
      <w:r w:rsidR="00843A25">
        <w:t xml:space="preserve"> superannuation plan known as the Military Superannuation and Benefits Scheme, which is the scheme </w:t>
      </w:r>
      <w:r w:rsidR="00843A25" w:rsidRPr="00F47AA7">
        <w:t xml:space="preserve">established by the </w:t>
      </w:r>
      <w:r w:rsidR="00843A25">
        <w:t xml:space="preserve">Trust Deed under the </w:t>
      </w:r>
      <w:r w:rsidR="00843A25">
        <w:rPr>
          <w:i/>
        </w:rPr>
        <w:t xml:space="preserve">Military </w:t>
      </w:r>
      <w:r w:rsidR="00843A25" w:rsidRPr="00081F2F">
        <w:rPr>
          <w:i/>
        </w:rPr>
        <w:t xml:space="preserve">Superannuation </w:t>
      </w:r>
      <w:r w:rsidR="00843A25">
        <w:rPr>
          <w:i/>
        </w:rPr>
        <w:t xml:space="preserve">and Benefits </w:t>
      </w:r>
      <w:r w:rsidR="00843A25" w:rsidRPr="00081F2F">
        <w:rPr>
          <w:i/>
        </w:rPr>
        <w:t xml:space="preserve">Act </w:t>
      </w:r>
      <w:r w:rsidR="00843A25">
        <w:rPr>
          <w:i/>
        </w:rPr>
        <w:t>1991</w:t>
      </w:r>
      <w:r>
        <w:t>.</w:t>
      </w:r>
    </w:p>
    <w:p w14:paraId="04609F91" w14:textId="148B5587" w:rsidR="007D3A3E" w:rsidRDefault="00804350" w:rsidP="00804350">
      <w:pPr>
        <w:pStyle w:val="Heading2"/>
      </w:pPr>
      <w:r w:rsidRPr="00804350">
        <w:t>Part 5</w:t>
      </w:r>
      <w:r>
        <w:t xml:space="preserve"> – </w:t>
      </w:r>
      <w:r w:rsidRPr="00804350">
        <w:t>Parliamentary</w:t>
      </w:r>
      <w:r>
        <w:t xml:space="preserve"> </w:t>
      </w:r>
      <w:r w:rsidRPr="00804350">
        <w:t>Contributory Superannuation Scheme</w:t>
      </w:r>
    </w:p>
    <w:p w14:paraId="31B5A506" w14:textId="25E6F92B" w:rsidR="00804350" w:rsidRDefault="00804350" w:rsidP="008D4B4B">
      <w:pPr>
        <w:pStyle w:val="ListParagraph"/>
      </w:pPr>
      <w:r>
        <w:t xml:space="preserve">This Part provides </w:t>
      </w:r>
      <w:r w:rsidR="00D2639E">
        <w:t>methods and factors for determining the gross value of</w:t>
      </w:r>
      <w:r w:rsidR="00D74727">
        <w:t xml:space="preserve"> </w:t>
      </w:r>
      <w:r w:rsidR="00D544A6">
        <w:t>an interest</w:t>
      </w:r>
      <w:r w:rsidR="00D74727">
        <w:t xml:space="preserve"> in</w:t>
      </w:r>
      <w:r>
        <w:t xml:space="preserve"> the</w:t>
      </w:r>
      <w:r w:rsidRPr="00804350">
        <w:t xml:space="preserve"> </w:t>
      </w:r>
      <w:r w:rsidR="00D74727">
        <w:t xml:space="preserve">superannuation plan known as the </w:t>
      </w:r>
      <w:r w:rsidRPr="00804350">
        <w:t>Parliamentary Contributory Superannuation Scheme</w:t>
      </w:r>
      <w:r w:rsidR="00843A25">
        <w:t xml:space="preserve">, which is the scheme constituted by the </w:t>
      </w:r>
      <w:r w:rsidR="00843A25" w:rsidRPr="009C1EC0">
        <w:rPr>
          <w:i/>
        </w:rPr>
        <w:t>Parliamentary Contributory Superannuation Act 1948</w:t>
      </w:r>
      <w:r>
        <w:t>.</w:t>
      </w:r>
      <w:r w:rsidR="001565B2">
        <w:t xml:space="preserve"> </w:t>
      </w:r>
    </w:p>
    <w:p w14:paraId="6CDE2C49" w14:textId="77777777" w:rsidR="00AA12CD" w:rsidRDefault="00AA12CD">
      <w:pPr>
        <w:spacing w:after="160" w:line="259" w:lineRule="auto"/>
        <w:rPr>
          <w:rStyle w:val="CharPartNo"/>
          <w:b/>
          <w:sz w:val="24"/>
          <w:szCs w:val="24"/>
        </w:rPr>
      </w:pPr>
      <w:bookmarkStart w:id="5" w:name="_Toc360097655"/>
      <w:r>
        <w:rPr>
          <w:rStyle w:val="CharPartNo"/>
        </w:rPr>
        <w:br w:type="page"/>
      </w:r>
    </w:p>
    <w:p w14:paraId="1187D3E8" w14:textId="69C2AFC6" w:rsidR="00804350" w:rsidRPr="00231147" w:rsidRDefault="00804350" w:rsidP="00804350">
      <w:pPr>
        <w:pStyle w:val="Heading2"/>
      </w:pPr>
      <w:r w:rsidRPr="00231147">
        <w:rPr>
          <w:rStyle w:val="CharPartNo"/>
        </w:rPr>
        <w:lastRenderedPageBreak/>
        <w:t>Part 6</w:t>
      </w:r>
      <w:r>
        <w:t xml:space="preserve"> – </w:t>
      </w:r>
      <w:r w:rsidRPr="00231147">
        <w:rPr>
          <w:rStyle w:val="CharPartText"/>
        </w:rPr>
        <w:t>Judges’ Pensions Act Scheme</w:t>
      </w:r>
      <w:bookmarkEnd w:id="5"/>
    </w:p>
    <w:p w14:paraId="0432751D" w14:textId="4FFD852E" w:rsidR="00804350" w:rsidRDefault="00804350" w:rsidP="008D4B4B">
      <w:pPr>
        <w:pStyle w:val="ListParagraph"/>
        <w:rPr>
          <w:rStyle w:val="CharPartText"/>
        </w:rPr>
      </w:pPr>
      <w:r>
        <w:t xml:space="preserve">This Part provides </w:t>
      </w:r>
      <w:r w:rsidR="00D2639E">
        <w:t>methods and factors for determining the gross value of</w:t>
      </w:r>
      <w:r w:rsidR="00D74727">
        <w:t xml:space="preserve"> </w:t>
      </w:r>
      <w:r w:rsidR="00D544A6">
        <w:t>an interest</w:t>
      </w:r>
      <w:r w:rsidR="00D74727">
        <w:t xml:space="preserve"> in</w:t>
      </w:r>
      <w:r>
        <w:t xml:space="preserve"> the</w:t>
      </w:r>
      <w:r w:rsidR="00D74727">
        <w:t xml:space="preserve"> superannuation plan known as the</w:t>
      </w:r>
      <w:r w:rsidRPr="00804350">
        <w:rPr>
          <w:rStyle w:val="CharPartText"/>
        </w:rPr>
        <w:t xml:space="preserve"> </w:t>
      </w:r>
      <w:r w:rsidRPr="00231147">
        <w:rPr>
          <w:rStyle w:val="CharPartText"/>
        </w:rPr>
        <w:t>Judges’ Pensions Act Scheme</w:t>
      </w:r>
      <w:r w:rsidR="0089761D">
        <w:rPr>
          <w:rStyle w:val="CharPartText"/>
        </w:rPr>
        <w:t xml:space="preserve">, which is the scheme constituted by the </w:t>
      </w:r>
      <w:r w:rsidR="0089761D" w:rsidRPr="00231147">
        <w:rPr>
          <w:i/>
        </w:rPr>
        <w:t>Judges’ Pensions Act 1968</w:t>
      </w:r>
      <w:r>
        <w:rPr>
          <w:rStyle w:val="CharPartText"/>
        </w:rPr>
        <w:t>.</w:t>
      </w:r>
    </w:p>
    <w:p w14:paraId="0F326520" w14:textId="2DA08EE0" w:rsidR="00804350" w:rsidRPr="00231147" w:rsidRDefault="00804350" w:rsidP="00804350">
      <w:pPr>
        <w:pStyle w:val="Heading2"/>
      </w:pPr>
      <w:bookmarkStart w:id="6" w:name="_Toc360097663"/>
      <w:r w:rsidRPr="00231147">
        <w:rPr>
          <w:rStyle w:val="CharPartNo"/>
        </w:rPr>
        <w:t>Part 7</w:t>
      </w:r>
      <w:r>
        <w:t xml:space="preserve"> – </w:t>
      </w:r>
      <w:r w:rsidRPr="00231147">
        <w:rPr>
          <w:rStyle w:val="CharPartText"/>
        </w:rPr>
        <w:t>Governors</w:t>
      </w:r>
      <w:r w:rsidRPr="00231147">
        <w:rPr>
          <w:rStyle w:val="CharPartText"/>
        </w:rPr>
        <w:noBreakHyphen/>
        <w:t>General Pension Scheme</w:t>
      </w:r>
      <w:bookmarkEnd w:id="6"/>
    </w:p>
    <w:p w14:paraId="1878FF63" w14:textId="174CBD08" w:rsidR="00804350" w:rsidRDefault="00804350" w:rsidP="008D4B4B">
      <w:pPr>
        <w:pStyle w:val="ListParagraph"/>
        <w:rPr>
          <w:rStyle w:val="CharPartText"/>
        </w:rPr>
      </w:pPr>
      <w:r>
        <w:t xml:space="preserve">This Part provides </w:t>
      </w:r>
      <w:r w:rsidR="00D2639E">
        <w:t>methods and factors for determining the gross value of</w:t>
      </w:r>
      <w:r>
        <w:t xml:space="preserve"> </w:t>
      </w:r>
      <w:r w:rsidR="00D544A6">
        <w:t>an interest</w:t>
      </w:r>
      <w:r w:rsidR="00C355E6">
        <w:t xml:space="preserve"> in the superannuation plan known as </w:t>
      </w:r>
      <w:r>
        <w:t xml:space="preserve">the </w:t>
      </w:r>
      <w:r w:rsidRPr="00231147">
        <w:rPr>
          <w:rStyle w:val="CharPartText"/>
        </w:rPr>
        <w:t>Governors</w:t>
      </w:r>
      <w:r w:rsidRPr="00231147">
        <w:rPr>
          <w:rStyle w:val="CharPartText"/>
        </w:rPr>
        <w:noBreakHyphen/>
        <w:t>General Pension Scheme</w:t>
      </w:r>
      <w:r w:rsidR="00C355E6">
        <w:rPr>
          <w:rStyle w:val="CharPartText"/>
        </w:rPr>
        <w:t xml:space="preserve">, which is the scheme </w:t>
      </w:r>
      <w:r w:rsidR="00C355E6">
        <w:rPr>
          <w:color w:val="000000"/>
        </w:rPr>
        <w:t>constituted by an allowance payable under section 4 of the </w:t>
      </w:r>
      <w:r w:rsidR="00C355E6">
        <w:rPr>
          <w:i/>
          <w:iCs/>
          <w:color w:val="000000"/>
        </w:rPr>
        <w:t>Governor</w:t>
      </w:r>
      <w:r w:rsidR="00C355E6">
        <w:rPr>
          <w:i/>
          <w:iCs/>
          <w:color w:val="000000"/>
        </w:rPr>
        <w:noBreakHyphen/>
        <w:t>General Act 1974</w:t>
      </w:r>
      <w:r w:rsidR="00C355E6">
        <w:rPr>
          <w:color w:val="000000"/>
        </w:rPr>
        <w:t>.</w:t>
      </w:r>
    </w:p>
    <w:p w14:paraId="47AD60EB" w14:textId="11352508" w:rsidR="00804350" w:rsidRDefault="00804350" w:rsidP="00804350">
      <w:pPr>
        <w:pStyle w:val="Heading1"/>
        <w:rPr>
          <w:rStyle w:val="CharAmSchText"/>
        </w:rPr>
      </w:pPr>
      <w:bookmarkStart w:id="7" w:name="_Toc97548663"/>
      <w:r w:rsidRPr="00E6366E">
        <w:rPr>
          <w:rStyle w:val="CharAmSchNo"/>
        </w:rPr>
        <w:t>Schedule 2</w:t>
      </w:r>
      <w:r>
        <w:t xml:space="preserve"> – </w:t>
      </w:r>
      <w:r w:rsidRPr="00E6366E">
        <w:rPr>
          <w:rStyle w:val="CharAmSchText"/>
        </w:rPr>
        <w:t>Public</w:t>
      </w:r>
      <w:r>
        <w:rPr>
          <w:rStyle w:val="CharAmSchText"/>
        </w:rPr>
        <w:t xml:space="preserve"> </w:t>
      </w:r>
      <w:r w:rsidRPr="00E6366E">
        <w:rPr>
          <w:rStyle w:val="CharAmSchText"/>
        </w:rPr>
        <w:t>sector superannuation plans — New South Wales</w:t>
      </w:r>
      <w:bookmarkEnd w:id="7"/>
    </w:p>
    <w:p w14:paraId="038F6364" w14:textId="7554B16D" w:rsidR="00804350" w:rsidRDefault="00804350" w:rsidP="008D4B4B">
      <w:pPr>
        <w:pStyle w:val="ListParagraph"/>
      </w:pPr>
      <w:r>
        <w:t xml:space="preserve">This Schedule provides </w:t>
      </w:r>
      <w:r w:rsidR="00D2639E">
        <w:t>methods and factors for determining the gross value of</w:t>
      </w:r>
      <w:r w:rsidR="00D74727">
        <w:t xml:space="preserve"> superannuation interests in</w:t>
      </w:r>
      <w:r>
        <w:t xml:space="preserve"> New South Wales public sector superannuation plans.</w:t>
      </w:r>
    </w:p>
    <w:p w14:paraId="5D971F05" w14:textId="1F38B1A8" w:rsidR="00804350" w:rsidRPr="00E6366E" w:rsidRDefault="00804350" w:rsidP="00804350">
      <w:pPr>
        <w:pStyle w:val="Heading2"/>
        <w:rPr>
          <w:i/>
        </w:rPr>
      </w:pPr>
      <w:bookmarkStart w:id="8" w:name="_Toc97548664"/>
      <w:r w:rsidRPr="00E6366E">
        <w:rPr>
          <w:rStyle w:val="CharSchPTNo"/>
        </w:rPr>
        <w:t>Part 1</w:t>
      </w:r>
      <w:r>
        <w:t xml:space="preserve"> – </w:t>
      </w:r>
      <w:r w:rsidRPr="00E6366E">
        <w:rPr>
          <w:rStyle w:val="CharSchPTText"/>
        </w:rPr>
        <w:t>Local</w:t>
      </w:r>
      <w:r>
        <w:rPr>
          <w:rStyle w:val="CharSchPTText"/>
        </w:rPr>
        <w:t xml:space="preserve"> </w:t>
      </w:r>
      <w:r w:rsidRPr="00E6366E">
        <w:rPr>
          <w:rStyle w:val="CharSchPTText"/>
        </w:rPr>
        <w:t>Government Superannuation Scheme</w:t>
      </w:r>
      <w:bookmarkEnd w:id="8"/>
    </w:p>
    <w:p w14:paraId="7E0EDEA4" w14:textId="7A2D6BB0" w:rsidR="00804350" w:rsidRDefault="00804350" w:rsidP="008D4B4B">
      <w:pPr>
        <w:pStyle w:val="ListParagraph"/>
        <w:rPr>
          <w:rStyle w:val="CharSchPTText"/>
        </w:rPr>
      </w:pPr>
      <w:r>
        <w:t xml:space="preserve">This Part provides </w:t>
      </w:r>
      <w:r w:rsidR="00D2639E">
        <w:t>methods and factors for determining the gross value of</w:t>
      </w:r>
      <w:r w:rsidR="00D74727">
        <w:t xml:space="preserve"> </w:t>
      </w:r>
      <w:r w:rsidR="00D544A6">
        <w:t>an interest</w:t>
      </w:r>
      <w:r w:rsidR="00D74727">
        <w:t xml:space="preserve"> in the superannuation plan known as the</w:t>
      </w:r>
      <w:r>
        <w:t xml:space="preserve"> </w:t>
      </w:r>
      <w:r w:rsidRPr="00E6366E">
        <w:rPr>
          <w:rStyle w:val="CharSchPTText"/>
        </w:rPr>
        <w:t>Local</w:t>
      </w:r>
      <w:r>
        <w:rPr>
          <w:rStyle w:val="CharSchPTText"/>
        </w:rPr>
        <w:t xml:space="preserve"> </w:t>
      </w:r>
      <w:r w:rsidRPr="00E6366E">
        <w:rPr>
          <w:rStyle w:val="CharSchPTText"/>
        </w:rPr>
        <w:t>Government Superannuation Scheme</w:t>
      </w:r>
      <w:r w:rsidR="00D74727">
        <w:rPr>
          <w:rStyle w:val="CharSchPTText"/>
        </w:rPr>
        <w:t xml:space="preserve">, which is the scheme established by the </w:t>
      </w:r>
      <w:r w:rsidR="00D74727" w:rsidRPr="00E6366E">
        <w:t>Trust Deed dated 30 June 1997, entered into by the Treasurer of New South Wales and LGSS Pty Limited</w:t>
      </w:r>
      <w:r w:rsidR="00D74727">
        <w:t>, as amended an</w:t>
      </w:r>
      <w:r w:rsidR="00ED2811">
        <w:t>d</w:t>
      </w:r>
      <w:r w:rsidR="00D74727">
        <w:t xml:space="preserve"> in force </w:t>
      </w:r>
      <w:r w:rsidR="00ED2811">
        <w:t xml:space="preserve">on </w:t>
      </w:r>
      <w:r w:rsidR="00200934">
        <w:t>13 September 2005</w:t>
      </w:r>
      <w:r>
        <w:rPr>
          <w:rStyle w:val="CharSchPTText"/>
        </w:rPr>
        <w:t>.</w:t>
      </w:r>
    </w:p>
    <w:p w14:paraId="3B892B6F" w14:textId="673226DC" w:rsidR="00A35F73" w:rsidRDefault="00A35F73" w:rsidP="008D4B4B">
      <w:pPr>
        <w:pStyle w:val="ListParagraph"/>
        <w:rPr>
          <w:rStyle w:val="CharSchPTText"/>
        </w:rPr>
      </w:pPr>
      <w:r>
        <w:rPr>
          <w:rStyle w:val="CharSchPTText"/>
        </w:rPr>
        <w:t xml:space="preserve">As at the </w:t>
      </w:r>
      <w:r w:rsidR="00A97C07">
        <w:rPr>
          <w:rStyle w:val="CharSchPTText"/>
        </w:rPr>
        <w:t>making</w:t>
      </w:r>
      <w:r>
        <w:rPr>
          <w:rStyle w:val="CharSchPTText"/>
        </w:rPr>
        <w:t xml:space="preserve"> of this Instrument, this Scheme is managed by Vision Super.  </w:t>
      </w:r>
    </w:p>
    <w:p w14:paraId="3BFB8B88" w14:textId="0A216A7C" w:rsidR="009E4A47" w:rsidRDefault="009E4A47" w:rsidP="009E4A47">
      <w:pPr>
        <w:pStyle w:val="Heading2"/>
        <w:rPr>
          <w:rStyle w:val="CharSchPTText"/>
        </w:rPr>
      </w:pPr>
      <w:bookmarkStart w:id="9" w:name="_Toc97548665"/>
      <w:r w:rsidRPr="004A42ED">
        <w:rPr>
          <w:rStyle w:val="CharSchPTNo"/>
        </w:rPr>
        <w:t>Part 5</w:t>
      </w:r>
      <w:r w:rsidR="00217924">
        <w:t xml:space="preserve"> – </w:t>
      </w:r>
      <w:r w:rsidRPr="004A42ED">
        <w:rPr>
          <w:rStyle w:val="CharSchPTText"/>
        </w:rPr>
        <w:t>New South Wales Police Superannuation Scheme</w:t>
      </w:r>
      <w:bookmarkEnd w:id="9"/>
    </w:p>
    <w:p w14:paraId="04724866" w14:textId="0F24D492" w:rsidR="00DA2D11" w:rsidRDefault="00DA2D11" w:rsidP="008D4B4B">
      <w:pPr>
        <w:pStyle w:val="ListParagraph"/>
      </w:pPr>
      <w:r>
        <w:t xml:space="preserve">This Part provides </w:t>
      </w:r>
      <w:r w:rsidR="00D2639E">
        <w:t>methods and factors for determining the gross value of</w:t>
      </w:r>
      <w:r>
        <w:t xml:space="preserve"> </w:t>
      </w:r>
      <w:r w:rsidR="00D544A6">
        <w:t>an interest</w:t>
      </w:r>
      <w:r>
        <w:t xml:space="preserve"> in the superannuation plan known as the New South Wales Police Superannuation Scheme, which is the scheme </w:t>
      </w:r>
      <w:r w:rsidR="0017297C">
        <w:t xml:space="preserve">constituted by the </w:t>
      </w:r>
      <w:r w:rsidR="0017297C">
        <w:rPr>
          <w:i/>
        </w:rPr>
        <w:t xml:space="preserve">Police Regulation (Superannuation) Act 1906 </w:t>
      </w:r>
      <w:r w:rsidR="0017297C">
        <w:t>(NSW).</w:t>
      </w:r>
    </w:p>
    <w:p w14:paraId="0AD007FD" w14:textId="3C853C70" w:rsidR="00217924" w:rsidRDefault="00217924" w:rsidP="00217924">
      <w:pPr>
        <w:pStyle w:val="Heading2"/>
        <w:jc w:val="left"/>
      </w:pPr>
      <w:r w:rsidRPr="004A42ED">
        <w:rPr>
          <w:rStyle w:val="CharSchPTNo"/>
        </w:rPr>
        <w:t xml:space="preserve">Part </w:t>
      </w:r>
      <w:r>
        <w:rPr>
          <w:rStyle w:val="CharSchPTNo"/>
        </w:rPr>
        <w:t xml:space="preserve">6 – </w:t>
      </w:r>
      <w:r w:rsidRPr="00217924">
        <w:t>Police</w:t>
      </w:r>
      <w:r>
        <w:t xml:space="preserve"> </w:t>
      </w:r>
      <w:r w:rsidRPr="00217924">
        <w:t>Association Superannuation Scheme</w:t>
      </w:r>
    </w:p>
    <w:p w14:paraId="5E6C715F" w14:textId="58535A6B" w:rsidR="00217924" w:rsidRDefault="00217924" w:rsidP="008D4B4B">
      <w:pPr>
        <w:pStyle w:val="ListParagraph"/>
        <w:rPr>
          <w:rStyle w:val="CharSchPTText"/>
        </w:rPr>
      </w:pPr>
      <w:r>
        <w:t xml:space="preserve">This Part provides </w:t>
      </w:r>
      <w:r w:rsidR="00D2639E">
        <w:t>methods and factors for determining the gross value of</w:t>
      </w:r>
      <w:r>
        <w:t xml:space="preserve"> </w:t>
      </w:r>
      <w:r w:rsidR="00D544A6">
        <w:t>an interest</w:t>
      </w:r>
      <w:r>
        <w:t xml:space="preserve"> in the superannuation plan known as the </w:t>
      </w:r>
      <w:r w:rsidRPr="00217924">
        <w:t>Police</w:t>
      </w:r>
      <w:r>
        <w:t xml:space="preserve"> </w:t>
      </w:r>
      <w:r w:rsidRPr="00217924">
        <w:t>Association Superannuation Scheme</w:t>
      </w:r>
      <w:r>
        <w:t xml:space="preserve">, </w:t>
      </w:r>
      <w:r>
        <w:rPr>
          <w:rStyle w:val="CharSchPTText"/>
        </w:rPr>
        <w:t>which is the scheme</w:t>
      </w:r>
      <w:r w:rsidR="0017297C">
        <w:rPr>
          <w:rStyle w:val="CharSchPTText"/>
        </w:rPr>
        <w:t xml:space="preserve"> constituted by the</w:t>
      </w:r>
      <w:r>
        <w:rPr>
          <w:rStyle w:val="CharSchPTText"/>
        </w:rPr>
        <w:t xml:space="preserve"> </w:t>
      </w:r>
      <w:r w:rsidR="0017297C">
        <w:rPr>
          <w:i/>
        </w:rPr>
        <w:t xml:space="preserve">Police Association Employees (Superannuation) Act 1969 </w:t>
      </w:r>
      <w:r w:rsidR="0017297C">
        <w:t>(NSW).</w:t>
      </w:r>
    </w:p>
    <w:p w14:paraId="4EEF010C" w14:textId="54F9D7D0" w:rsidR="00217924" w:rsidRDefault="00217924" w:rsidP="00217924">
      <w:pPr>
        <w:pStyle w:val="Heading2"/>
        <w:jc w:val="left"/>
      </w:pPr>
      <w:r w:rsidRPr="004A42ED">
        <w:rPr>
          <w:rStyle w:val="CharSchPTNo"/>
        </w:rPr>
        <w:t xml:space="preserve">Part </w:t>
      </w:r>
      <w:r>
        <w:rPr>
          <w:rStyle w:val="CharSchPTNo"/>
        </w:rPr>
        <w:t xml:space="preserve">7 – </w:t>
      </w:r>
      <w:r w:rsidRPr="00217924">
        <w:t>N</w:t>
      </w:r>
      <w:r w:rsidR="002C108F">
        <w:t>ew South Wales</w:t>
      </w:r>
      <w:r w:rsidRPr="00217924">
        <w:t xml:space="preserve"> State Authorities Superannuation Scheme</w:t>
      </w:r>
    </w:p>
    <w:p w14:paraId="0A39C581" w14:textId="35E40D1A" w:rsidR="00217924" w:rsidRDefault="00217924" w:rsidP="008D4B4B">
      <w:pPr>
        <w:pStyle w:val="ListParagraph"/>
        <w:rPr>
          <w:rStyle w:val="CharSchPTText"/>
        </w:rPr>
      </w:pPr>
      <w:r>
        <w:t xml:space="preserve">This Part provides </w:t>
      </w:r>
      <w:r w:rsidR="00D2639E">
        <w:t>methods and factors for determining the gross value of</w:t>
      </w:r>
      <w:r>
        <w:t xml:space="preserve"> </w:t>
      </w:r>
      <w:r w:rsidR="00D544A6">
        <w:t>an interest</w:t>
      </w:r>
      <w:r>
        <w:t xml:space="preserve"> in the superannuation plan known as the </w:t>
      </w:r>
      <w:r w:rsidRPr="00217924">
        <w:t>N</w:t>
      </w:r>
      <w:r w:rsidR="002C108F">
        <w:t>ew South Wales</w:t>
      </w:r>
      <w:r w:rsidRPr="00217924">
        <w:t xml:space="preserve"> State Authorities Superannuation Scheme</w:t>
      </w:r>
      <w:r>
        <w:t xml:space="preserve">, </w:t>
      </w:r>
      <w:r>
        <w:rPr>
          <w:rStyle w:val="CharSchPTText"/>
        </w:rPr>
        <w:t xml:space="preserve">which is the scheme </w:t>
      </w:r>
      <w:r w:rsidR="00F67390">
        <w:rPr>
          <w:rStyle w:val="CharSchPTText"/>
        </w:rPr>
        <w:t xml:space="preserve">constituted by the </w:t>
      </w:r>
      <w:r w:rsidR="00F67390" w:rsidRPr="005A13BE">
        <w:rPr>
          <w:i/>
        </w:rPr>
        <w:t>State Authorities Superannuation Act 1987</w:t>
      </w:r>
      <w:r w:rsidR="00F67390" w:rsidRPr="005A13BE">
        <w:t xml:space="preserve"> (NSW).</w:t>
      </w:r>
    </w:p>
    <w:p w14:paraId="7883DE9A" w14:textId="033C7E0F" w:rsidR="00217924" w:rsidRDefault="00217924" w:rsidP="00217924">
      <w:pPr>
        <w:pStyle w:val="Heading2"/>
        <w:jc w:val="left"/>
      </w:pPr>
      <w:r w:rsidRPr="004A42ED">
        <w:rPr>
          <w:rStyle w:val="CharSchPTNo"/>
        </w:rPr>
        <w:t xml:space="preserve">Part </w:t>
      </w:r>
      <w:r>
        <w:rPr>
          <w:rStyle w:val="CharSchPTNo"/>
        </w:rPr>
        <w:t xml:space="preserve">8 – </w:t>
      </w:r>
      <w:r w:rsidRPr="00217924">
        <w:t>N</w:t>
      </w:r>
      <w:r w:rsidR="002C108F">
        <w:t>ew South Wales</w:t>
      </w:r>
      <w:r w:rsidRPr="00217924">
        <w:t xml:space="preserve"> State Superannuation Scheme</w:t>
      </w:r>
    </w:p>
    <w:p w14:paraId="3BD4D39F" w14:textId="624578AD" w:rsidR="00217924" w:rsidRDefault="00217924" w:rsidP="008D4B4B">
      <w:pPr>
        <w:pStyle w:val="ListParagraph"/>
      </w:pPr>
      <w:r>
        <w:t xml:space="preserve">This Part provides </w:t>
      </w:r>
      <w:r w:rsidR="00D2639E">
        <w:t>methods and factors for determining the gross value of</w:t>
      </w:r>
      <w:r>
        <w:t xml:space="preserve"> </w:t>
      </w:r>
      <w:r w:rsidR="00D544A6">
        <w:t>an interest</w:t>
      </w:r>
      <w:r>
        <w:t xml:space="preserve"> in the superannuation plan known as the </w:t>
      </w:r>
      <w:r w:rsidRPr="00217924">
        <w:t>N</w:t>
      </w:r>
      <w:r w:rsidR="002C108F">
        <w:t>ew South Wales</w:t>
      </w:r>
      <w:r w:rsidRPr="00217924">
        <w:t xml:space="preserve"> State Superannuation Scheme</w:t>
      </w:r>
      <w:r>
        <w:t xml:space="preserve">, which is the scheme </w:t>
      </w:r>
      <w:r w:rsidR="00E147C5">
        <w:t xml:space="preserve">constituted by the </w:t>
      </w:r>
      <w:r w:rsidR="00E147C5" w:rsidRPr="007C6582">
        <w:rPr>
          <w:i/>
        </w:rPr>
        <w:t>Superannuation Act 1916</w:t>
      </w:r>
      <w:r w:rsidR="00E147C5" w:rsidRPr="007C6582">
        <w:t xml:space="preserve"> (NSW).</w:t>
      </w:r>
    </w:p>
    <w:p w14:paraId="0E740C0B" w14:textId="71567B3F" w:rsidR="00217924" w:rsidRDefault="00217924" w:rsidP="00217924">
      <w:pPr>
        <w:pStyle w:val="Heading2"/>
        <w:jc w:val="left"/>
      </w:pPr>
      <w:r w:rsidRPr="004A42ED">
        <w:rPr>
          <w:rStyle w:val="CharSchPTNo"/>
        </w:rPr>
        <w:t xml:space="preserve">Part </w:t>
      </w:r>
      <w:r>
        <w:rPr>
          <w:rStyle w:val="CharSchPTNo"/>
        </w:rPr>
        <w:t xml:space="preserve">9 – </w:t>
      </w:r>
      <w:r w:rsidRPr="00217924">
        <w:t>NSW State Authorities Non-Contributory Superannuation Scheme</w:t>
      </w:r>
    </w:p>
    <w:p w14:paraId="721B0D63" w14:textId="027A7D78" w:rsidR="00217924" w:rsidRDefault="00217924" w:rsidP="008D4B4B">
      <w:pPr>
        <w:pStyle w:val="ListParagraph"/>
      </w:pPr>
      <w:r>
        <w:t xml:space="preserve">This Part provides </w:t>
      </w:r>
      <w:r w:rsidR="00D2639E">
        <w:t>methods and factors for determining the gross value of</w:t>
      </w:r>
      <w:r>
        <w:t xml:space="preserve"> </w:t>
      </w:r>
      <w:r w:rsidR="00D544A6">
        <w:t>an interest</w:t>
      </w:r>
      <w:r>
        <w:t xml:space="preserve"> in the superannuation plan known </w:t>
      </w:r>
      <w:r w:rsidRPr="00217924">
        <w:t xml:space="preserve">as the NSW State Authorities Non-Contributory Superannuation </w:t>
      </w:r>
      <w:r w:rsidRPr="00217924">
        <w:lastRenderedPageBreak/>
        <w:t>Scheme</w:t>
      </w:r>
      <w:r>
        <w:t xml:space="preserve">, which is the scheme </w:t>
      </w:r>
      <w:r w:rsidR="00E147C5">
        <w:t xml:space="preserve">established by the </w:t>
      </w:r>
      <w:r w:rsidR="00E147C5">
        <w:rPr>
          <w:i/>
        </w:rPr>
        <w:t>State Authorities Non</w:t>
      </w:r>
      <w:r w:rsidR="00E147C5">
        <w:rPr>
          <w:i/>
        </w:rPr>
        <w:noBreakHyphen/>
        <w:t>contributory Superannuation Act 1987 </w:t>
      </w:r>
      <w:r w:rsidR="00E147C5">
        <w:t>(NSW).</w:t>
      </w:r>
    </w:p>
    <w:p w14:paraId="2B411FCB" w14:textId="6B4BB4E6" w:rsidR="00217924" w:rsidRDefault="00217924" w:rsidP="00217924">
      <w:pPr>
        <w:pStyle w:val="Heading2"/>
        <w:jc w:val="left"/>
      </w:pPr>
      <w:r w:rsidRPr="004A42ED">
        <w:rPr>
          <w:rStyle w:val="CharSchPTNo"/>
        </w:rPr>
        <w:t xml:space="preserve">Part </w:t>
      </w:r>
      <w:r>
        <w:rPr>
          <w:rStyle w:val="CharSchPTNo"/>
        </w:rPr>
        <w:t xml:space="preserve">10 – </w:t>
      </w:r>
      <w:r w:rsidRPr="00217924">
        <w:t>N</w:t>
      </w:r>
      <w:r w:rsidR="002C108F">
        <w:t>ew South Wales</w:t>
      </w:r>
      <w:r w:rsidRPr="00217924">
        <w:t xml:space="preserve"> Parliamentary Contributory Superannuation Scheme</w:t>
      </w:r>
    </w:p>
    <w:p w14:paraId="1891216C" w14:textId="0223DD48" w:rsidR="00217924" w:rsidRDefault="00217924" w:rsidP="008D4B4B">
      <w:pPr>
        <w:pStyle w:val="ListParagraph"/>
      </w:pPr>
      <w:r>
        <w:t xml:space="preserve">This Part provides </w:t>
      </w:r>
      <w:r w:rsidR="00D2639E">
        <w:t>methods and factors for determining the gross value of</w:t>
      </w:r>
      <w:r>
        <w:t xml:space="preserve"> </w:t>
      </w:r>
      <w:r w:rsidR="00D544A6">
        <w:t>an interest</w:t>
      </w:r>
      <w:r w:rsidRPr="00217924">
        <w:t xml:space="preserve"> in the superannuation plan known as the N</w:t>
      </w:r>
      <w:r w:rsidR="002C108F">
        <w:t>ew South Wales</w:t>
      </w:r>
      <w:r w:rsidRPr="00217924">
        <w:t xml:space="preserve"> Parliamentary Contributory Superannuation Scheme</w:t>
      </w:r>
      <w:r>
        <w:t xml:space="preserve">, which is the scheme </w:t>
      </w:r>
      <w:r w:rsidR="00E147C5">
        <w:t>establ</w:t>
      </w:r>
      <w:r w:rsidR="005B7A51">
        <w:t xml:space="preserve">ished by the </w:t>
      </w:r>
      <w:r w:rsidR="005B7A51" w:rsidRPr="005030A1">
        <w:rPr>
          <w:i/>
        </w:rPr>
        <w:t>Parliamentary Contributory Superannuation Act 1971</w:t>
      </w:r>
      <w:r w:rsidR="005B7A51" w:rsidRPr="005030A1">
        <w:t xml:space="preserve"> (NSW).</w:t>
      </w:r>
    </w:p>
    <w:p w14:paraId="192D4C26" w14:textId="360761CD" w:rsidR="00217924" w:rsidRDefault="00217924" w:rsidP="00217924">
      <w:pPr>
        <w:pStyle w:val="Heading1"/>
        <w:rPr>
          <w:rStyle w:val="CharAmSchText"/>
        </w:rPr>
      </w:pPr>
      <w:r w:rsidRPr="00E6366E">
        <w:rPr>
          <w:rStyle w:val="CharAmSchNo"/>
        </w:rPr>
        <w:t xml:space="preserve">Schedule </w:t>
      </w:r>
      <w:r>
        <w:rPr>
          <w:rStyle w:val="CharAmSchNo"/>
        </w:rPr>
        <w:t>3</w:t>
      </w:r>
      <w:r>
        <w:t xml:space="preserve"> – </w:t>
      </w:r>
      <w:r w:rsidRPr="00E6366E">
        <w:rPr>
          <w:rStyle w:val="CharAmSchText"/>
        </w:rPr>
        <w:t>Public</w:t>
      </w:r>
      <w:r>
        <w:rPr>
          <w:rStyle w:val="CharAmSchText"/>
        </w:rPr>
        <w:t xml:space="preserve"> </w:t>
      </w:r>
      <w:r w:rsidRPr="00E6366E">
        <w:rPr>
          <w:rStyle w:val="CharAmSchText"/>
        </w:rPr>
        <w:t xml:space="preserve">sector superannuation plans — </w:t>
      </w:r>
      <w:r>
        <w:rPr>
          <w:rStyle w:val="CharAmSchText"/>
        </w:rPr>
        <w:t>Victoria</w:t>
      </w:r>
    </w:p>
    <w:p w14:paraId="543FD11C" w14:textId="186329B1" w:rsidR="00217924" w:rsidRDefault="00217924" w:rsidP="00217924">
      <w:pPr>
        <w:pStyle w:val="Heading2"/>
        <w:jc w:val="left"/>
      </w:pPr>
      <w:r w:rsidRPr="004A42ED">
        <w:rPr>
          <w:rStyle w:val="CharSchPTNo"/>
        </w:rPr>
        <w:t xml:space="preserve">Part </w:t>
      </w:r>
      <w:r>
        <w:rPr>
          <w:rStyle w:val="CharSchPTNo"/>
        </w:rPr>
        <w:t xml:space="preserve">1 – </w:t>
      </w:r>
      <w:r w:rsidRPr="00217924">
        <w:t>Superannuation scheme established by the State Superannuation Act 1988 (Vic) – new scheme members</w:t>
      </w:r>
    </w:p>
    <w:p w14:paraId="2F4318B5" w14:textId="2D014927" w:rsidR="00217924" w:rsidRDefault="00217924" w:rsidP="008D4B4B">
      <w:pPr>
        <w:pStyle w:val="ListParagraph"/>
      </w:pPr>
      <w:r>
        <w:t xml:space="preserve">This Part provides </w:t>
      </w:r>
      <w:r w:rsidR="00D2639E">
        <w:t>methods and factors for determining the gross value of</w:t>
      </w:r>
      <w:r>
        <w:t xml:space="preserve"> </w:t>
      </w:r>
      <w:r w:rsidR="00D544A6">
        <w:t>an interest</w:t>
      </w:r>
      <w:r>
        <w:t xml:space="preserve"> in the superannuation plan which is the scheme </w:t>
      </w:r>
      <w:r w:rsidRPr="00217924">
        <w:t xml:space="preserve">established by the </w:t>
      </w:r>
      <w:r w:rsidRPr="00217924">
        <w:rPr>
          <w:i/>
        </w:rPr>
        <w:t>State Superannuation Act 1988</w:t>
      </w:r>
      <w:r w:rsidRPr="00217924">
        <w:t xml:space="preserve"> (Vic)</w:t>
      </w:r>
      <w:r>
        <w:t xml:space="preserve">, for </w:t>
      </w:r>
      <w:r w:rsidRPr="005B7A51">
        <w:rPr>
          <w:b/>
          <w:i/>
        </w:rPr>
        <w:t>new scheme members</w:t>
      </w:r>
      <w:r w:rsidR="005B7A51">
        <w:t xml:space="preserve"> as defined by section 3 of that Act.</w:t>
      </w:r>
    </w:p>
    <w:p w14:paraId="7405EB2E" w14:textId="193A4758" w:rsidR="00217924" w:rsidRDefault="00217924" w:rsidP="00217924">
      <w:pPr>
        <w:pStyle w:val="Heading2"/>
        <w:jc w:val="left"/>
      </w:pPr>
      <w:r w:rsidRPr="004A42ED">
        <w:rPr>
          <w:rStyle w:val="CharSchPTNo"/>
        </w:rPr>
        <w:t xml:space="preserve">Part </w:t>
      </w:r>
      <w:r>
        <w:rPr>
          <w:rStyle w:val="CharSchPTNo"/>
        </w:rPr>
        <w:t xml:space="preserve">2 – </w:t>
      </w:r>
      <w:r w:rsidRPr="00217924">
        <w:t xml:space="preserve">Superannuation scheme established by the State Superannuation Act 1988 (Vic) – </w:t>
      </w:r>
      <w:r>
        <w:t>revised</w:t>
      </w:r>
      <w:r w:rsidRPr="00217924">
        <w:t xml:space="preserve"> scheme members</w:t>
      </w:r>
    </w:p>
    <w:p w14:paraId="1D2431E5" w14:textId="75F4A75D" w:rsidR="00217924" w:rsidRDefault="00217924" w:rsidP="008D4B4B">
      <w:pPr>
        <w:pStyle w:val="ListParagraph"/>
      </w:pPr>
      <w:r>
        <w:t xml:space="preserve">This Part provides </w:t>
      </w:r>
      <w:r w:rsidR="00D2639E">
        <w:t>methods and factors for determining the gross value of</w:t>
      </w:r>
      <w:r>
        <w:t xml:space="preserve"> </w:t>
      </w:r>
      <w:r w:rsidR="00D544A6">
        <w:t>an interest</w:t>
      </w:r>
      <w:r>
        <w:t xml:space="preserve"> in the superannuation plan which is the scheme </w:t>
      </w:r>
      <w:r w:rsidRPr="00217924">
        <w:t xml:space="preserve">established by the </w:t>
      </w:r>
      <w:r w:rsidRPr="00217924">
        <w:rPr>
          <w:i/>
        </w:rPr>
        <w:t>State Superannuation Act 1988</w:t>
      </w:r>
      <w:r w:rsidRPr="00217924">
        <w:t xml:space="preserve"> (Vic)</w:t>
      </w:r>
      <w:r>
        <w:t xml:space="preserve">, for </w:t>
      </w:r>
      <w:r w:rsidRPr="005B7A51">
        <w:rPr>
          <w:b/>
          <w:i/>
        </w:rPr>
        <w:t>revised scheme members</w:t>
      </w:r>
      <w:r w:rsidR="005B7A51">
        <w:t xml:space="preserve"> as defined by section 3 of that Act</w:t>
      </w:r>
      <w:r>
        <w:t>.</w:t>
      </w:r>
    </w:p>
    <w:p w14:paraId="462015F3" w14:textId="6EF3FE8B" w:rsidR="00217924" w:rsidRPr="00217924" w:rsidRDefault="00217924" w:rsidP="00217924">
      <w:pPr>
        <w:pStyle w:val="Heading2"/>
        <w:jc w:val="left"/>
      </w:pPr>
      <w:r w:rsidRPr="004A42ED">
        <w:rPr>
          <w:rStyle w:val="CharSchPTNo"/>
        </w:rPr>
        <w:t xml:space="preserve">Part </w:t>
      </w:r>
      <w:r>
        <w:rPr>
          <w:rStyle w:val="CharSchPTNo"/>
        </w:rPr>
        <w:t xml:space="preserve">3 – </w:t>
      </w:r>
      <w:r w:rsidRPr="00217924">
        <w:t>Victorian State Employees Retirement Benefits Scheme</w:t>
      </w:r>
    </w:p>
    <w:p w14:paraId="2A963E3F" w14:textId="467C08D1" w:rsidR="00217924" w:rsidRDefault="00217924" w:rsidP="008D4B4B">
      <w:pPr>
        <w:pStyle w:val="ListParagraph"/>
      </w:pPr>
      <w:r>
        <w:t xml:space="preserve">This Part provides </w:t>
      </w:r>
      <w:r w:rsidR="00D2639E">
        <w:t>methods and factors for determining the gross value of</w:t>
      </w:r>
      <w:r>
        <w:t xml:space="preserve"> </w:t>
      </w:r>
      <w:r w:rsidR="00D544A6">
        <w:t>an interest</w:t>
      </w:r>
      <w:r w:rsidRPr="00217924">
        <w:t xml:space="preserve"> in the superannuation plan known as the</w:t>
      </w:r>
      <w:r>
        <w:t xml:space="preserve"> </w:t>
      </w:r>
      <w:r w:rsidRPr="00217924">
        <w:t>Victorian State Employees Retirement Benefits Scheme</w:t>
      </w:r>
      <w:r>
        <w:t xml:space="preserve">, which is the scheme </w:t>
      </w:r>
      <w:r w:rsidR="00D544A6">
        <w:t xml:space="preserve">established by the </w:t>
      </w:r>
      <w:r w:rsidR="00D544A6" w:rsidRPr="00D544A6">
        <w:rPr>
          <w:i/>
        </w:rPr>
        <w:t>State Employees Retirement Benefits Act 1979 </w:t>
      </w:r>
      <w:r w:rsidR="00D544A6" w:rsidRPr="00D544A6">
        <w:t>(Vic).</w:t>
      </w:r>
    </w:p>
    <w:p w14:paraId="529F375A" w14:textId="261718C6" w:rsidR="00D544A6" w:rsidRDefault="00D544A6" w:rsidP="00D544A6">
      <w:pPr>
        <w:pStyle w:val="Heading2"/>
        <w:jc w:val="left"/>
        <w:rPr>
          <w:rStyle w:val="CharSchPTText"/>
        </w:rPr>
      </w:pPr>
      <w:r w:rsidRPr="004A42ED">
        <w:rPr>
          <w:rStyle w:val="CharSchPTNo"/>
        </w:rPr>
        <w:t xml:space="preserve">Part </w:t>
      </w:r>
      <w:r>
        <w:rPr>
          <w:rStyle w:val="CharSchPTNo"/>
        </w:rPr>
        <w:t xml:space="preserve">4 – </w:t>
      </w:r>
      <w:r w:rsidRPr="001931B0">
        <w:rPr>
          <w:rStyle w:val="CharSchPTText"/>
        </w:rPr>
        <w:t>Benefits provided under the Superannuation Benefits Act 1977 (Vic)</w:t>
      </w:r>
    </w:p>
    <w:p w14:paraId="5F1E2185" w14:textId="685289D9" w:rsidR="00D544A6" w:rsidRDefault="00D544A6" w:rsidP="008D4B4B">
      <w:pPr>
        <w:pStyle w:val="ListParagraph"/>
      </w:pPr>
      <w:r>
        <w:t xml:space="preserve">This Part provides </w:t>
      </w:r>
      <w:r w:rsidR="00D2639E">
        <w:t>methods and factors for determining the gross value of</w:t>
      </w:r>
      <w:r>
        <w:t xml:space="preserve"> a component of a superannuation interest under the </w:t>
      </w:r>
      <w:r w:rsidRPr="00D544A6">
        <w:rPr>
          <w:i/>
        </w:rPr>
        <w:t xml:space="preserve">Superannuation Benefits Act 1977 </w:t>
      </w:r>
      <w:r w:rsidRPr="00D544A6">
        <w:t>(Vic).</w:t>
      </w:r>
    </w:p>
    <w:p w14:paraId="01F79C3D" w14:textId="1D41612B" w:rsidR="00D544A6" w:rsidRDefault="00D544A6" w:rsidP="00D544A6">
      <w:pPr>
        <w:pStyle w:val="Heading2"/>
        <w:jc w:val="left"/>
        <w:rPr>
          <w:rStyle w:val="CharSchPTText"/>
        </w:rPr>
      </w:pPr>
      <w:r w:rsidRPr="004A42ED">
        <w:rPr>
          <w:rStyle w:val="CharSchPTNo"/>
        </w:rPr>
        <w:t xml:space="preserve">Part </w:t>
      </w:r>
      <w:r>
        <w:rPr>
          <w:rStyle w:val="CharSchPTNo"/>
        </w:rPr>
        <w:t xml:space="preserve">5 – </w:t>
      </w:r>
      <w:r w:rsidRPr="00E403D8">
        <w:rPr>
          <w:rStyle w:val="CharSchPTText"/>
        </w:rPr>
        <w:t>Benefits provided under Transport Superannuation Act 1989 (Vic)</w:t>
      </w:r>
    </w:p>
    <w:p w14:paraId="703960E5" w14:textId="4AD2323E" w:rsidR="00D544A6" w:rsidRPr="00604C22" w:rsidRDefault="00D544A6" w:rsidP="008D4B4B">
      <w:pPr>
        <w:pStyle w:val="ListParagraph"/>
      </w:pPr>
      <w:r>
        <w:t xml:space="preserve">This Part provides </w:t>
      </w:r>
      <w:r w:rsidR="00D2639E">
        <w:t>methods and factors for determining the gross value of</w:t>
      </w:r>
      <w:r>
        <w:t xml:space="preserve"> an interest</w:t>
      </w:r>
      <w:r w:rsidR="00604C22">
        <w:t xml:space="preserve"> in the superannuation plan established by the </w:t>
      </w:r>
      <w:r w:rsidR="00604C22" w:rsidRPr="00604C22">
        <w:rPr>
          <w:i/>
        </w:rPr>
        <w:t>Transport Superannuation Act 1989</w:t>
      </w:r>
      <w:r w:rsidR="00604C22" w:rsidRPr="00604C22">
        <w:t xml:space="preserve"> (Vic).</w:t>
      </w:r>
    </w:p>
    <w:p w14:paraId="0E46C37B" w14:textId="7B1A5354" w:rsidR="00604C22" w:rsidRDefault="00604C22" w:rsidP="00604C22">
      <w:pPr>
        <w:pStyle w:val="Heading2"/>
        <w:jc w:val="left"/>
        <w:rPr>
          <w:rStyle w:val="CharSchPTText"/>
        </w:rPr>
      </w:pPr>
      <w:r w:rsidRPr="004A42ED">
        <w:rPr>
          <w:rStyle w:val="CharSchPTNo"/>
        </w:rPr>
        <w:t xml:space="preserve">Part </w:t>
      </w:r>
      <w:r>
        <w:rPr>
          <w:rStyle w:val="CharSchPTNo"/>
        </w:rPr>
        <w:t xml:space="preserve">6 – </w:t>
      </w:r>
      <w:r w:rsidRPr="00A05EEE">
        <w:rPr>
          <w:rStyle w:val="CharSchPTText"/>
        </w:rPr>
        <w:t>State Parliamentary Contributory Superannuation Fund</w:t>
      </w:r>
    </w:p>
    <w:p w14:paraId="2131B369" w14:textId="79B2DD76" w:rsidR="00604C22" w:rsidRPr="00604C22" w:rsidRDefault="00604C22" w:rsidP="008D4B4B">
      <w:pPr>
        <w:pStyle w:val="ListParagraph"/>
      </w:pPr>
      <w:r>
        <w:t xml:space="preserve">This Part provides </w:t>
      </w:r>
      <w:r w:rsidR="00D2639E">
        <w:t>methods and factors for determining the gross value of</w:t>
      </w:r>
      <w:r>
        <w:t xml:space="preserve"> an interest</w:t>
      </w:r>
      <w:r w:rsidRPr="00217924">
        <w:t xml:space="preserve"> in the superannuation plan known as </w:t>
      </w:r>
      <w:r w:rsidRPr="00604C22">
        <w:t>the State Parliamentary Contributory Superannuation Fund, which is</w:t>
      </w:r>
      <w:r>
        <w:t xml:space="preserve"> the scheme constituted by Part II of the </w:t>
      </w:r>
      <w:r w:rsidRPr="00604C22">
        <w:rPr>
          <w:i/>
        </w:rPr>
        <w:t>Parliamentary Salaries and Superannuation Act 1968</w:t>
      </w:r>
      <w:r w:rsidRPr="00604C22">
        <w:t xml:space="preserve"> (Vic).</w:t>
      </w:r>
    </w:p>
    <w:p w14:paraId="3932C5BF" w14:textId="0FFEEC97" w:rsidR="00E16898" w:rsidRDefault="00E16898" w:rsidP="00E16898">
      <w:pPr>
        <w:pStyle w:val="Heading2"/>
        <w:jc w:val="left"/>
        <w:rPr>
          <w:rStyle w:val="CharSchPTText"/>
        </w:rPr>
      </w:pPr>
      <w:r w:rsidRPr="004A42ED">
        <w:rPr>
          <w:rStyle w:val="CharSchPTNo"/>
        </w:rPr>
        <w:t xml:space="preserve">Part </w:t>
      </w:r>
      <w:r>
        <w:rPr>
          <w:rStyle w:val="CharSchPTNo"/>
        </w:rPr>
        <w:t xml:space="preserve">7 – </w:t>
      </w:r>
      <w:r w:rsidRPr="00780F96">
        <w:rPr>
          <w:rStyle w:val="CharSchPTText"/>
        </w:rPr>
        <w:t>Victorian pension schemes — Governor, Judges, Associate Judges, Chief Magistrate, Solicitor</w:t>
      </w:r>
      <w:r w:rsidRPr="00780F96">
        <w:rPr>
          <w:rStyle w:val="CharSchPTText"/>
        </w:rPr>
        <w:noBreakHyphen/>
        <w:t>General, Director of Public Prosecutions and Chief Crown Prosecutor</w:t>
      </w:r>
    </w:p>
    <w:p w14:paraId="41C709D0" w14:textId="7D52441D" w:rsidR="00E16898" w:rsidRPr="00E16898" w:rsidRDefault="00E16898" w:rsidP="008D4B4B">
      <w:pPr>
        <w:pStyle w:val="ListParagraph"/>
      </w:pPr>
      <w:r>
        <w:t xml:space="preserve">This Part </w:t>
      </w:r>
      <w:r w:rsidRPr="00E16898">
        <w:t xml:space="preserve">provides </w:t>
      </w:r>
      <w:r w:rsidR="00D2639E">
        <w:t>methods and factors for determining the gross value of</w:t>
      </w:r>
      <w:r w:rsidRPr="00E16898">
        <w:t xml:space="preserve"> interests held in certain Victorian pension schemes</w:t>
      </w:r>
      <w:r w:rsidR="00421BC7">
        <w:t>, by persons who hold certain office</w:t>
      </w:r>
      <w:r w:rsidRPr="00E16898">
        <w:t>, as follows:</w:t>
      </w:r>
    </w:p>
    <w:p w14:paraId="0AFF194B" w14:textId="1BAEAD1E" w:rsidR="00E16898" w:rsidRDefault="00E16898" w:rsidP="008D4B4B">
      <w:pPr>
        <w:pStyle w:val="ListParagraph"/>
        <w:numPr>
          <w:ilvl w:val="0"/>
          <w:numId w:val="40"/>
        </w:numPr>
        <w:ind w:left="1276"/>
      </w:pPr>
      <w:r>
        <w:lastRenderedPageBreak/>
        <w:t>A</w:t>
      </w:r>
      <w:r w:rsidRPr="00E16898">
        <w:t xml:space="preserve"> </w:t>
      </w:r>
      <w:r>
        <w:t xml:space="preserve">person who holds the eligible office of Governor </w:t>
      </w:r>
      <w:r w:rsidR="00EE565F">
        <w:t xml:space="preserve">of </w:t>
      </w:r>
      <w:r>
        <w:t xml:space="preserve">Victoria, in the scheme constituted by </w:t>
      </w:r>
      <w:r w:rsidR="00421BC7">
        <w:t xml:space="preserve">sections </w:t>
      </w:r>
      <w:r w:rsidRPr="00E16898">
        <w:t>7A to 7J of the</w:t>
      </w:r>
      <w:r>
        <w:t xml:space="preserve"> </w:t>
      </w:r>
      <w:r w:rsidRPr="00E16898">
        <w:rPr>
          <w:i/>
        </w:rPr>
        <w:t>Constitution Act 1975</w:t>
      </w:r>
      <w:r w:rsidRPr="00E16898">
        <w:t xml:space="preserve"> (Vic).</w:t>
      </w:r>
    </w:p>
    <w:p w14:paraId="5B001627" w14:textId="254738BF" w:rsidR="00E16898" w:rsidRDefault="00E16898" w:rsidP="008D4B4B">
      <w:pPr>
        <w:pStyle w:val="ListParagraph"/>
        <w:numPr>
          <w:ilvl w:val="0"/>
          <w:numId w:val="40"/>
        </w:numPr>
        <w:ind w:left="1276"/>
      </w:pPr>
      <w:r>
        <w:t>A</w:t>
      </w:r>
      <w:r w:rsidRPr="00E16898">
        <w:t xml:space="preserve"> </w:t>
      </w:r>
      <w:r>
        <w:t>person who holds the eligible office of Judge of the Supreme Court of Victoria, in the scheme constituted by</w:t>
      </w:r>
      <w:r w:rsidR="00421BC7" w:rsidRPr="00421BC7">
        <w:t xml:space="preserve"> </w:t>
      </w:r>
      <w:r w:rsidR="00421BC7">
        <w:t>sections</w:t>
      </w:r>
      <w:r>
        <w:t xml:space="preserve"> </w:t>
      </w:r>
      <w:r w:rsidRPr="00E16898">
        <w:t>83 to 83AI of the</w:t>
      </w:r>
      <w:r>
        <w:t xml:space="preserve"> </w:t>
      </w:r>
      <w:r w:rsidRPr="00E16898">
        <w:rPr>
          <w:i/>
        </w:rPr>
        <w:t>Constitution Act 1975</w:t>
      </w:r>
      <w:r w:rsidRPr="00E16898">
        <w:t xml:space="preserve"> (Vic).</w:t>
      </w:r>
    </w:p>
    <w:p w14:paraId="2B196533" w14:textId="3D9F8673" w:rsidR="00E16898" w:rsidRDefault="00E16898" w:rsidP="008D4B4B">
      <w:pPr>
        <w:pStyle w:val="ListParagraph"/>
        <w:numPr>
          <w:ilvl w:val="0"/>
          <w:numId w:val="40"/>
        </w:numPr>
        <w:ind w:left="1276"/>
      </w:pPr>
      <w:r>
        <w:t>A</w:t>
      </w:r>
      <w:r w:rsidRPr="00E16898">
        <w:t xml:space="preserve"> </w:t>
      </w:r>
      <w:r>
        <w:t>person who holds the eligible office of Chief Judge or a judge of the County Court of Victoria, in the scheme constituted by</w:t>
      </w:r>
      <w:r w:rsidR="00421BC7" w:rsidRPr="00421BC7">
        <w:t xml:space="preserve"> </w:t>
      </w:r>
      <w:r w:rsidR="00421BC7">
        <w:t>sections</w:t>
      </w:r>
      <w:r>
        <w:t xml:space="preserve"> </w:t>
      </w:r>
      <w:r w:rsidRPr="00E16898">
        <w:t>14 to 14AI of the</w:t>
      </w:r>
      <w:r>
        <w:t xml:space="preserve"> </w:t>
      </w:r>
      <w:r w:rsidRPr="00E16898">
        <w:rPr>
          <w:i/>
        </w:rPr>
        <w:t xml:space="preserve">County Court Act 1958 </w:t>
      </w:r>
      <w:r w:rsidRPr="00E16898">
        <w:t>(Vic).</w:t>
      </w:r>
    </w:p>
    <w:p w14:paraId="33CD630E" w14:textId="0B141BF7" w:rsidR="00E16898" w:rsidRDefault="00E16898" w:rsidP="008D4B4B">
      <w:pPr>
        <w:pStyle w:val="ListParagraph"/>
        <w:numPr>
          <w:ilvl w:val="0"/>
          <w:numId w:val="40"/>
        </w:numPr>
        <w:ind w:left="1276"/>
      </w:pPr>
      <w:r>
        <w:t>A</w:t>
      </w:r>
      <w:r w:rsidRPr="00E16898">
        <w:t xml:space="preserve"> </w:t>
      </w:r>
      <w:r>
        <w:t>person who holds the eligible office of Associate Judge of the Supreme Court of Victoria, in the scheme constituted by</w:t>
      </w:r>
      <w:r w:rsidR="00421BC7" w:rsidRPr="00421BC7">
        <w:t xml:space="preserve"> </w:t>
      </w:r>
      <w:r w:rsidR="00421BC7">
        <w:t>sections</w:t>
      </w:r>
      <w:r>
        <w:t xml:space="preserve"> </w:t>
      </w:r>
      <w:r w:rsidR="00421BC7" w:rsidRPr="00421BC7">
        <w:t xml:space="preserve">104A to 104J </w:t>
      </w:r>
      <w:r w:rsidRPr="00E16898">
        <w:t>of the</w:t>
      </w:r>
      <w:r>
        <w:t xml:space="preserve"> </w:t>
      </w:r>
      <w:r w:rsidR="00421BC7" w:rsidRPr="00421BC7">
        <w:rPr>
          <w:i/>
        </w:rPr>
        <w:t xml:space="preserve">Supreme Court Act 1986 </w:t>
      </w:r>
      <w:r w:rsidR="00421BC7" w:rsidRPr="00421BC7">
        <w:t>(Vic).</w:t>
      </w:r>
    </w:p>
    <w:p w14:paraId="0EDA5CC4" w14:textId="1B735317" w:rsidR="00421BC7" w:rsidRDefault="00421BC7" w:rsidP="008D4B4B">
      <w:pPr>
        <w:pStyle w:val="ListParagraph"/>
        <w:numPr>
          <w:ilvl w:val="0"/>
          <w:numId w:val="40"/>
        </w:numPr>
        <w:ind w:left="1276"/>
      </w:pPr>
      <w:r>
        <w:t>A</w:t>
      </w:r>
      <w:r w:rsidRPr="00E16898">
        <w:t xml:space="preserve"> </w:t>
      </w:r>
      <w:r>
        <w:t>person who holds the eligible office of associate judge of the County Court of Victoria, in the scheme constituted by</w:t>
      </w:r>
      <w:r w:rsidRPr="00421BC7">
        <w:t xml:space="preserve"> </w:t>
      </w:r>
      <w:r>
        <w:t xml:space="preserve">sections </w:t>
      </w:r>
      <w:r w:rsidRPr="00421BC7">
        <w:t xml:space="preserve">17B to 17K </w:t>
      </w:r>
      <w:r w:rsidRPr="00E16898">
        <w:t>of the</w:t>
      </w:r>
      <w:r>
        <w:t xml:space="preserve"> </w:t>
      </w:r>
      <w:r w:rsidRPr="00E16898">
        <w:rPr>
          <w:i/>
        </w:rPr>
        <w:t xml:space="preserve">County Court Act 1958 </w:t>
      </w:r>
      <w:r w:rsidRPr="00E16898">
        <w:t>(Vic).</w:t>
      </w:r>
    </w:p>
    <w:p w14:paraId="56E29C21" w14:textId="5B980330" w:rsidR="00E16898" w:rsidRPr="00421BC7" w:rsidRDefault="00421BC7" w:rsidP="008D4B4B">
      <w:pPr>
        <w:pStyle w:val="ListParagraph"/>
        <w:numPr>
          <w:ilvl w:val="0"/>
          <w:numId w:val="40"/>
        </w:numPr>
        <w:ind w:left="1276"/>
      </w:pPr>
      <w:r w:rsidRPr="00421BC7">
        <w:t xml:space="preserve">A person who holds the eligible office of Chief Magistrate of Victoria, in the scheme constituted by section 10A of the </w:t>
      </w:r>
      <w:r w:rsidRPr="00421BC7">
        <w:rPr>
          <w:i/>
        </w:rPr>
        <w:t>Magistrates’ Court Act 1989 (Vic).</w:t>
      </w:r>
    </w:p>
    <w:p w14:paraId="78E17747" w14:textId="76A5BDA2" w:rsidR="00421BC7" w:rsidRPr="00421BC7" w:rsidRDefault="00421BC7" w:rsidP="008D4B4B">
      <w:pPr>
        <w:pStyle w:val="ListParagraph"/>
        <w:numPr>
          <w:ilvl w:val="0"/>
          <w:numId w:val="40"/>
        </w:numPr>
        <w:ind w:left="1276"/>
      </w:pPr>
      <w:r w:rsidRPr="00421BC7">
        <w:t>A person who holds the eligible office of</w:t>
      </w:r>
      <w:r>
        <w:t xml:space="preserve"> Solicitor-General</w:t>
      </w:r>
      <w:r w:rsidRPr="00421BC7">
        <w:t xml:space="preserve"> of Victoria, in the scheme constituted by section 6 of the </w:t>
      </w:r>
      <w:r w:rsidRPr="00421BC7">
        <w:rPr>
          <w:i/>
        </w:rPr>
        <w:t>Attorney</w:t>
      </w:r>
      <w:r w:rsidRPr="00421BC7">
        <w:rPr>
          <w:i/>
        </w:rPr>
        <w:noBreakHyphen/>
        <w:t>General and Solicitor</w:t>
      </w:r>
      <w:r w:rsidRPr="00421BC7">
        <w:rPr>
          <w:i/>
        </w:rPr>
        <w:noBreakHyphen/>
        <w:t>General Act 1972</w:t>
      </w:r>
      <w:r w:rsidRPr="00421BC7">
        <w:t xml:space="preserve"> (Vic)</w:t>
      </w:r>
      <w:r>
        <w:t>.</w:t>
      </w:r>
    </w:p>
    <w:p w14:paraId="01A724EF" w14:textId="628EC57F" w:rsidR="00421BC7" w:rsidRPr="00421BC7" w:rsidRDefault="00421BC7" w:rsidP="008D4B4B">
      <w:pPr>
        <w:pStyle w:val="ListParagraph"/>
        <w:numPr>
          <w:ilvl w:val="0"/>
          <w:numId w:val="40"/>
        </w:numPr>
        <w:ind w:left="1276"/>
      </w:pPr>
      <w:r w:rsidRPr="00421BC7">
        <w:t>A person who holds the eligible office of</w:t>
      </w:r>
      <w:r>
        <w:t xml:space="preserve"> Director of Public Prosecutions</w:t>
      </w:r>
      <w:r w:rsidRPr="00421BC7">
        <w:t xml:space="preserve"> </w:t>
      </w:r>
      <w:r w:rsidR="00EE565F">
        <w:t xml:space="preserve">for </w:t>
      </w:r>
      <w:r w:rsidRPr="00421BC7">
        <w:t xml:space="preserve">Victoria, in the scheme constituted by section 87AF of the </w:t>
      </w:r>
      <w:r w:rsidRPr="00E16898">
        <w:rPr>
          <w:i/>
        </w:rPr>
        <w:t>Constitution Act 1975</w:t>
      </w:r>
      <w:r w:rsidRPr="00E16898">
        <w:t xml:space="preserve"> (Vic).</w:t>
      </w:r>
    </w:p>
    <w:p w14:paraId="13529DEF" w14:textId="48F29C4E" w:rsidR="00604C22" w:rsidRPr="00136A4E" w:rsidRDefault="00421BC7" w:rsidP="008D4B4B">
      <w:pPr>
        <w:pStyle w:val="ListParagraph"/>
        <w:numPr>
          <w:ilvl w:val="0"/>
          <w:numId w:val="40"/>
        </w:numPr>
        <w:ind w:left="1276"/>
      </w:pPr>
      <w:r w:rsidRPr="00421BC7">
        <w:t>A person who holds the eligible office of</w:t>
      </w:r>
      <w:r>
        <w:t xml:space="preserve"> Chief Crown Prosecutor</w:t>
      </w:r>
      <w:r w:rsidRPr="00421BC7">
        <w:t xml:space="preserve"> </w:t>
      </w:r>
      <w:r w:rsidR="00EE565F">
        <w:t xml:space="preserve">for </w:t>
      </w:r>
      <w:r w:rsidRPr="00421BC7">
        <w:t xml:space="preserve">Victoria, in the scheme constituted by section 18 of the </w:t>
      </w:r>
      <w:r w:rsidRPr="00421BC7">
        <w:rPr>
          <w:i/>
        </w:rPr>
        <w:t>Public Prosecutions Act 1994</w:t>
      </w:r>
      <w:r w:rsidRPr="00421BC7">
        <w:rPr>
          <w:b/>
        </w:rPr>
        <w:t> </w:t>
      </w:r>
      <w:r w:rsidRPr="00421BC7">
        <w:t>(Vic)</w:t>
      </w:r>
      <w:r>
        <w:t>.</w:t>
      </w:r>
    </w:p>
    <w:p w14:paraId="3BFBA7B1" w14:textId="2B1DC981" w:rsidR="00604C22" w:rsidRPr="00604C22" w:rsidRDefault="00136A4E" w:rsidP="00824D7F">
      <w:pPr>
        <w:pStyle w:val="Heading1"/>
      </w:pPr>
      <w:r w:rsidRPr="00E6366E">
        <w:rPr>
          <w:rStyle w:val="CharAmSchNo"/>
        </w:rPr>
        <w:t xml:space="preserve">Schedule </w:t>
      </w:r>
      <w:r w:rsidR="006F644E">
        <w:rPr>
          <w:rStyle w:val="CharAmSchNo"/>
        </w:rPr>
        <w:t>4</w:t>
      </w:r>
      <w:r>
        <w:t xml:space="preserve"> – </w:t>
      </w:r>
      <w:r w:rsidRPr="00E6366E">
        <w:rPr>
          <w:rStyle w:val="CharAmSchText"/>
        </w:rPr>
        <w:t>Public</w:t>
      </w:r>
      <w:r>
        <w:rPr>
          <w:rStyle w:val="CharAmSchText"/>
        </w:rPr>
        <w:t xml:space="preserve"> </w:t>
      </w:r>
      <w:r w:rsidRPr="00E6366E">
        <w:rPr>
          <w:rStyle w:val="CharAmSchText"/>
        </w:rPr>
        <w:t xml:space="preserve">sector superannuation plans — </w:t>
      </w:r>
      <w:r>
        <w:rPr>
          <w:rStyle w:val="CharAmSchText"/>
        </w:rPr>
        <w:t>Queensland</w:t>
      </w:r>
    </w:p>
    <w:p w14:paraId="3750DCF3" w14:textId="62CA0F8A" w:rsidR="00824D7F" w:rsidRDefault="00824D7F" w:rsidP="008D4B4B">
      <w:pPr>
        <w:pStyle w:val="ListParagraph"/>
      </w:pPr>
      <w:r>
        <w:t xml:space="preserve">This Schedule provides </w:t>
      </w:r>
      <w:r w:rsidR="00D2639E">
        <w:t>methods and factors for determining the gross value of</w:t>
      </w:r>
      <w:r>
        <w:t xml:space="preserve"> superannuation interests in Queensland public sector superannuation plans.</w:t>
      </w:r>
    </w:p>
    <w:p w14:paraId="23716708" w14:textId="4AA9B6FC" w:rsidR="006F644E" w:rsidRDefault="006F644E" w:rsidP="006F644E">
      <w:pPr>
        <w:pStyle w:val="Heading2"/>
        <w:jc w:val="left"/>
      </w:pPr>
      <w:r w:rsidRPr="004A42ED">
        <w:rPr>
          <w:rStyle w:val="CharSchPTNo"/>
        </w:rPr>
        <w:t xml:space="preserve">Part </w:t>
      </w:r>
      <w:r>
        <w:rPr>
          <w:rStyle w:val="CharSchPTNo"/>
        </w:rPr>
        <w:t xml:space="preserve">1 – </w:t>
      </w:r>
      <w:r w:rsidRPr="006F644E">
        <w:t>Superannuation scheme established by the Superannuation (State Public Sector) Act 1990</w:t>
      </w:r>
      <w:bookmarkStart w:id="10" w:name="BK_S3P2L8C46"/>
      <w:bookmarkEnd w:id="10"/>
      <w:r w:rsidRPr="006F644E">
        <w:t xml:space="preserve"> (Qld)</w:t>
      </w:r>
    </w:p>
    <w:p w14:paraId="16D4B954" w14:textId="53D269B4" w:rsidR="006F644E" w:rsidRDefault="006F644E" w:rsidP="008D4B4B">
      <w:pPr>
        <w:pStyle w:val="ListParagraph"/>
      </w:pPr>
      <w:r>
        <w:t xml:space="preserve">This Part provides </w:t>
      </w:r>
      <w:r w:rsidR="00D2639E">
        <w:t>methods and factors for determining the gross value of</w:t>
      </w:r>
      <w:r>
        <w:t xml:space="preserve"> an interest</w:t>
      </w:r>
      <w:r w:rsidRPr="00217924">
        <w:t xml:space="preserve"> in the superannuation </w:t>
      </w:r>
      <w:r>
        <w:t xml:space="preserve">scheme continued in existence </w:t>
      </w:r>
      <w:r w:rsidRPr="00DF2A41">
        <w:t xml:space="preserve">under section 5 of the </w:t>
      </w:r>
      <w:r w:rsidRPr="00DF2A41">
        <w:rPr>
          <w:i/>
        </w:rPr>
        <w:t>Superannuation (State Public Sector) Act 1990</w:t>
      </w:r>
      <w:r w:rsidRPr="00DF2A41">
        <w:t xml:space="preserve"> (Qld).</w:t>
      </w:r>
    </w:p>
    <w:p w14:paraId="72CD4EA4" w14:textId="2E0B1DC4" w:rsidR="00B42317" w:rsidRDefault="00B42317" w:rsidP="00B42317">
      <w:pPr>
        <w:pStyle w:val="ListParagraph"/>
        <w:rPr>
          <w:rStyle w:val="CharSchPTText"/>
        </w:rPr>
      </w:pPr>
      <w:bookmarkStart w:id="11" w:name="_Hlk191037325"/>
      <w:r>
        <w:rPr>
          <w:rStyle w:val="CharSchPTText"/>
        </w:rPr>
        <w:t xml:space="preserve">As at the </w:t>
      </w:r>
      <w:r w:rsidR="00A97C07">
        <w:rPr>
          <w:rStyle w:val="CharSchPTText"/>
        </w:rPr>
        <w:t>making</w:t>
      </w:r>
      <w:r>
        <w:rPr>
          <w:rStyle w:val="CharSchPTText"/>
        </w:rPr>
        <w:t xml:space="preserve"> of this Instrument, this Scheme is managed by </w:t>
      </w:r>
      <w:r w:rsidR="008410A3">
        <w:rPr>
          <w:rStyle w:val="CharSchPTText"/>
        </w:rPr>
        <w:t>Australian Retirement Trust</w:t>
      </w:r>
      <w:r>
        <w:rPr>
          <w:rStyle w:val="CharSchPTText"/>
        </w:rPr>
        <w:t xml:space="preserve">.  </w:t>
      </w:r>
    </w:p>
    <w:bookmarkEnd w:id="11"/>
    <w:p w14:paraId="1960CA40" w14:textId="7076A7E9" w:rsidR="006F644E" w:rsidRDefault="006F644E" w:rsidP="006F644E">
      <w:pPr>
        <w:pStyle w:val="Heading2"/>
        <w:jc w:val="left"/>
      </w:pPr>
      <w:r w:rsidRPr="004A42ED">
        <w:rPr>
          <w:rStyle w:val="CharSchPTNo"/>
        </w:rPr>
        <w:t xml:space="preserve">Part </w:t>
      </w:r>
      <w:r>
        <w:rPr>
          <w:rStyle w:val="CharSchPTNo"/>
        </w:rPr>
        <w:t xml:space="preserve">3 – </w:t>
      </w:r>
      <w:r w:rsidRPr="00060FDA">
        <w:rPr>
          <w:rStyle w:val="CharSchPTText"/>
        </w:rPr>
        <w:t>Local Government Superannuation Scheme</w:t>
      </w:r>
    </w:p>
    <w:p w14:paraId="482B260D" w14:textId="4FCC2847" w:rsidR="006F644E" w:rsidRDefault="006F644E" w:rsidP="008D4B4B">
      <w:pPr>
        <w:pStyle w:val="ListParagraph"/>
      </w:pPr>
      <w:r w:rsidRPr="006F644E">
        <w:t xml:space="preserve">This Part provides </w:t>
      </w:r>
      <w:r w:rsidR="00D2639E">
        <w:t>methods and factors for determining the gross value of</w:t>
      </w:r>
      <w:r w:rsidRPr="006F644E">
        <w:t xml:space="preserve"> an interest in the superannuation scheme continued in existence under subsection 1180 (1) of the </w:t>
      </w:r>
      <w:r w:rsidRPr="006F644E">
        <w:rPr>
          <w:i/>
        </w:rPr>
        <w:t>Local Government Act 1993</w:t>
      </w:r>
      <w:r w:rsidRPr="006F644E">
        <w:t xml:space="preserve"> (Qld) under the name Local Government Superannuation Scheme.</w:t>
      </w:r>
    </w:p>
    <w:p w14:paraId="66320E8C" w14:textId="4487B52B" w:rsidR="008410A3" w:rsidRPr="006F644E" w:rsidRDefault="008410A3" w:rsidP="00F02DCF">
      <w:pPr>
        <w:pStyle w:val="ListParagraph"/>
      </w:pPr>
      <w:r>
        <w:rPr>
          <w:rStyle w:val="CharSchPTText"/>
        </w:rPr>
        <w:t xml:space="preserve">As at the </w:t>
      </w:r>
      <w:r w:rsidR="00A97C07">
        <w:rPr>
          <w:rStyle w:val="CharSchPTText"/>
        </w:rPr>
        <w:t>makin</w:t>
      </w:r>
      <w:r w:rsidR="00A90EAD">
        <w:rPr>
          <w:rStyle w:val="CharSchPTText"/>
        </w:rPr>
        <w:t>g</w:t>
      </w:r>
      <w:r>
        <w:rPr>
          <w:rStyle w:val="CharSchPTText"/>
        </w:rPr>
        <w:t xml:space="preserve"> of this Instrument, this Scheme is managed by Brighter Super.   </w:t>
      </w:r>
    </w:p>
    <w:p w14:paraId="573589BC" w14:textId="77777777" w:rsidR="00990B26" w:rsidRDefault="00990B26" w:rsidP="006F644E">
      <w:pPr>
        <w:pStyle w:val="Heading1"/>
        <w:rPr>
          <w:rStyle w:val="CharAmSchNo"/>
        </w:rPr>
      </w:pPr>
    </w:p>
    <w:p w14:paraId="2A0E9D9D" w14:textId="123004D1" w:rsidR="006F644E" w:rsidRDefault="006F644E" w:rsidP="006F644E">
      <w:pPr>
        <w:pStyle w:val="Heading1"/>
        <w:rPr>
          <w:rStyle w:val="CharAmSchText"/>
        </w:rPr>
      </w:pPr>
      <w:r w:rsidRPr="00E6366E">
        <w:rPr>
          <w:rStyle w:val="CharAmSchNo"/>
        </w:rPr>
        <w:lastRenderedPageBreak/>
        <w:t xml:space="preserve">Schedule </w:t>
      </w:r>
      <w:r>
        <w:rPr>
          <w:rStyle w:val="CharAmSchNo"/>
        </w:rPr>
        <w:t>5</w:t>
      </w:r>
      <w:r>
        <w:t xml:space="preserve"> – </w:t>
      </w:r>
      <w:r w:rsidRPr="00E6366E">
        <w:rPr>
          <w:rStyle w:val="CharAmSchText"/>
        </w:rPr>
        <w:t>Public</w:t>
      </w:r>
      <w:r>
        <w:rPr>
          <w:rStyle w:val="CharAmSchText"/>
        </w:rPr>
        <w:t xml:space="preserve"> </w:t>
      </w:r>
      <w:r w:rsidRPr="00E6366E">
        <w:rPr>
          <w:rStyle w:val="CharAmSchText"/>
        </w:rPr>
        <w:t xml:space="preserve">sector superannuation plans — </w:t>
      </w:r>
      <w:r>
        <w:rPr>
          <w:rStyle w:val="CharAmSchText"/>
        </w:rPr>
        <w:t>Western Australia</w:t>
      </w:r>
    </w:p>
    <w:p w14:paraId="6CE5B064" w14:textId="50D6D96C" w:rsidR="006F644E" w:rsidRDefault="006F644E" w:rsidP="008D4B4B">
      <w:pPr>
        <w:pStyle w:val="ListParagraph"/>
      </w:pPr>
      <w:r>
        <w:t xml:space="preserve">This Schedule provides </w:t>
      </w:r>
      <w:r w:rsidR="00D2639E">
        <w:t>methods and factors for determining the gross value of</w:t>
      </w:r>
      <w:r>
        <w:t xml:space="preserve"> superannuation interests in Western Australian public sector superannuation plans.</w:t>
      </w:r>
    </w:p>
    <w:p w14:paraId="7F940A8C" w14:textId="056A7026" w:rsidR="006F644E" w:rsidRPr="008410A3" w:rsidRDefault="006F644E" w:rsidP="006F644E">
      <w:pPr>
        <w:pStyle w:val="Heading2"/>
        <w:jc w:val="left"/>
      </w:pPr>
      <w:r w:rsidRPr="008410A3">
        <w:rPr>
          <w:rStyle w:val="CharSchPTNo"/>
        </w:rPr>
        <w:t xml:space="preserve">Part 1 – </w:t>
      </w:r>
      <w:r w:rsidRPr="008410A3">
        <w:rPr>
          <w:rStyle w:val="CharSchPTText"/>
        </w:rPr>
        <w:t>Gold State Super Scheme</w:t>
      </w:r>
    </w:p>
    <w:p w14:paraId="43909955" w14:textId="434FDFA2" w:rsidR="006F644E" w:rsidRPr="00F02DCF" w:rsidRDefault="006F644E" w:rsidP="008D4B4B">
      <w:pPr>
        <w:pStyle w:val="ListParagraph"/>
        <w:rPr>
          <w:i/>
        </w:rPr>
      </w:pPr>
      <w:r w:rsidRPr="008410A3">
        <w:t xml:space="preserve">This Part provides </w:t>
      </w:r>
      <w:r w:rsidR="00D2639E" w:rsidRPr="008410A3">
        <w:t>methods and factors for determining the gross value of</w:t>
      </w:r>
      <w:r w:rsidRPr="008410A3">
        <w:t xml:space="preserve"> an interest in the superannuation plan known as the Gold State Super Scheme, which is the scheme continued by paragraph 29(b) of the </w:t>
      </w:r>
      <w:r w:rsidRPr="008410A3">
        <w:rPr>
          <w:i/>
        </w:rPr>
        <w:t>State Superannuation Act 2000</w:t>
      </w:r>
      <w:r w:rsidRPr="008410A3">
        <w:t xml:space="preserve"> (WA).</w:t>
      </w:r>
    </w:p>
    <w:p w14:paraId="1F9810AC" w14:textId="56559134" w:rsidR="00592E3E" w:rsidRDefault="00592E3E" w:rsidP="00592E3E">
      <w:pPr>
        <w:pStyle w:val="Heading1"/>
        <w:rPr>
          <w:rStyle w:val="CharAmSchText"/>
        </w:rPr>
      </w:pPr>
      <w:r w:rsidRPr="00E6366E">
        <w:rPr>
          <w:rStyle w:val="CharAmSchNo"/>
        </w:rPr>
        <w:t xml:space="preserve">Schedule </w:t>
      </w:r>
      <w:r>
        <w:rPr>
          <w:rStyle w:val="CharAmSchNo"/>
        </w:rPr>
        <w:t>6</w:t>
      </w:r>
      <w:r>
        <w:t xml:space="preserve"> – </w:t>
      </w:r>
      <w:r w:rsidRPr="00E6366E">
        <w:rPr>
          <w:rStyle w:val="CharAmSchText"/>
        </w:rPr>
        <w:t>Public</w:t>
      </w:r>
      <w:r>
        <w:rPr>
          <w:rStyle w:val="CharAmSchText"/>
        </w:rPr>
        <w:t xml:space="preserve"> </w:t>
      </w:r>
      <w:r w:rsidRPr="00E6366E">
        <w:rPr>
          <w:rStyle w:val="CharAmSchText"/>
        </w:rPr>
        <w:t xml:space="preserve">sector superannuation plans — </w:t>
      </w:r>
      <w:r>
        <w:rPr>
          <w:rStyle w:val="CharAmSchText"/>
        </w:rPr>
        <w:t>South Australia</w:t>
      </w:r>
    </w:p>
    <w:p w14:paraId="27B1F3CB" w14:textId="2C417489" w:rsidR="00592E3E" w:rsidRDefault="00592E3E" w:rsidP="008D4B4B">
      <w:pPr>
        <w:pStyle w:val="ListParagraph"/>
      </w:pPr>
      <w:r>
        <w:t xml:space="preserve">This Schedule provides </w:t>
      </w:r>
      <w:r w:rsidR="00D2639E">
        <w:t>methods and factors for determining the gross value of</w:t>
      </w:r>
      <w:r>
        <w:t xml:space="preserve"> superannuation interests in South Australian public sector superannuation plans.</w:t>
      </w:r>
    </w:p>
    <w:p w14:paraId="7C0DAA66" w14:textId="3007ACC8" w:rsidR="00592E3E" w:rsidRPr="006F644E" w:rsidRDefault="00592E3E" w:rsidP="00592E3E">
      <w:pPr>
        <w:pStyle w:val="Heading2"/>
        <w:jc w:val="left"/>
      </w:pPr>
      <w:r w:rsidRPr="004A42ED">
        <w:rPr>
          <w:rStyle w:val="CharSchPTNo"/>
        </w:rPr>
        <w:t xml:space="preserve">Part </w:t>
      </w:r>
      <w:r>
        <w:rPr>
          <w:rStyle w:val="CharSchPTNo"/>
        </w:rPr>
        <w:t xml:space="preserve">1 – </w:t>
      </w:r>
      <w:r w:rsidRPr="00D8780E">
        <w:rPr>
          <w:rStyle w:val="CharSchPTText"/>
        </w:rPr>
        <w:t>South Australian Superannuation Fund</w:t>
      </w:r>
    </w:p>
    <w:p w14:paraId="1C51E3B4" w14:textId="4F85FE2B" w:rsidR="00592E3E" w:rsidRDefault="00592E3E" w:rsidP="008D4B4B">
      <w:pPr>
        <w:pStyle w:val="ListParagraph"/>
      </w:pPr>
      <w:r>
        <w:t xml:space="preserve">This Part provides </w:t>
      </w:r>
      <w:r w:rsidR="00D2639E">
        <w:t>methods and factors for determining the gross value of</w:t>
      </w:r>
      <w:r>
        <w:t xml:space="preserve"> an interest</w:t>
      </w:r>
      <w:r w:rsidRPr="00217924">
        <w:t xml:space="preserve"> in the superannuation plan known as </w:t>
      </w:r>
      <w:r w:rsidR="00197DAE">
        <w:t xml:space="preserve">the </w:t>
      </w:r>
      <w:r w:rsidRPr="00D8780E">
        <w:rPr>
          <w:rStyle w:val="CharSchPTText"/>
        </w:rPr>
        <w:t>South Australian Superannuation Fund</w:t>
      </w:r>
      <w:r>
        <w:t xml:space="preserve">, which is the scheme </w:t>
      </w:r>
      <w:r w:rsidRPr="00D8780E">
        <w:t>continued in existence by subsection 17 (1) of the</w:t>
      </w:r>
      <w:r>
        <w:t xml:space="preserve"> </w:t>
      </w:r>
      <w:r w:rsidRPr="00D8780E">
        <w:rPr>
          <w:bCs/>
          <w:i/>
        </w:rPr>
        <w:t>Superannuation Act 1988</w:t>
      </w:r>
      <w:r w:rsidRPr="00D8780E">
        <w:rPr>
          <w:bCs/>
        </w:rPr>
        <w:t> (SA)</w:t>
      </w:r>
      <w:r w:rsidRPr="00D8780E">
        <w:t>.</w:t>
      </w:r>
    </w:p>
    <w:p w14:paraId="533F05D0" w14:textId="3E863550" w:rsidR="00592E3E" w:rsidRDefault="00592E3E" w:rsidP="00592E3E">
      <w:pPr>
        <w:pStyle w:val="Heading2"/>
        <w:jc w:val="left"/>
        <w:rPr>
          <w:rStyle w:val="CharSchPTText"/>
        </w:rPr>
      </w:pPr>
      <w:r w:rsidRPr="004A42ED">
        <w:rPr>
          <w:rStyle w:val="CharSchPTNo"/>
        </w:rPr>
        <w:t xml:space="preserve">Part </w:t>
      </w:r>
      <w:r>
        <w:rPr>
          <w:rStyle w:val="CharSchPTNo"/>
        </w:rPr>
        <w:t xml:space="preserve">2 – </w:t>
      </w:r>
      <w:r w:rsidRPr="00D8780E">
        <w:rPr>
          <w:rStyle w:val="CharSchPTText"/>
        </w:rPr>
        <w:t>South Australian Local Government Superannuation Scheme</w:t>
      </w:r>
    </w:p>
    <w:p w14:paraId="78DDED5A" w14:textId="301C4996" w:rsidR="00197DAE" w:rsidRPr="00197DAE" w:rsidRDefault="00592E3E" w:rsidP="008D4B4B">
      <w:pPr>
        <w:pStyle w:val="ListParagraph"/>
      </w:pPr>
      <w:r>
        <w:t xml:space="preserve">This Part provides </w:t>
      </w:r>
      <w:r w:rsidR="00D2639E">
        <w:t>methods and factors for determining the gross value of</w:t>
      </w:r>
      <w:r>
        <w:t xml:space="preserve"> an interest</w:t>
      </w:r>
      <w:r w:rsidRPr="00217924">
        <w:t xml:space="preserve"> in the superannuation plan known as </w:t>
      </w:r>
      <w:r w:rsidR="00197DAE">
        <w:t xml:space="preserve">the </w:t>
      </w:r>
      <w:r w:rsidR="00197DAE" w:rsidRPr="00D8780E">
        <w:rPr>
          <w:rStyle w:val="CharSchPTText"/>
        </w:rPr>
        <w:t>South Australian Local Government Superannuation Scheme</w:t>
      </w:r>
      <w:r>
        <w:t xml:space="preserve">, which is the </w:t>
      </w:r>
      <w:r w:rsidR="00197DAE" w:rsidRPr="00197DAE">
        <w:t xml:space="preserve">scheme continued in existence by paragraph 2 (1) (b) of Schedule 1 to the </w:t>
      </w:r>
      <w:r w:rsidR="00197DAE" w:rsidRPr="00197DAE">
        <w:rPr>
          <w:i/>
        </w:rPr>
        <w:t>Local Government (Superannuation Scheme) Amendment Act 2008</w:t>
      </w:r>
      <w:r w:rsidR="00197DAE">
        <w:t xml:space="preserve"> (SA)</w:t>
      </w:r>
      <w:r w:rsidR="00197DAE" w:rsidRPr="00197DAE">
        <w:t>.</w:t>
      </w:r>
    </w:p>
    <w:p w14:paraId="5D0B0347" w14:textId="4D1A1DE1" w:rsidR="00197DAE" w:rsidRDefault="00197DAE" w:rsidP="00197DAE">
      <w:pPr>
        <w:pStyle w:val="Heading2"/>
        <w:jc w:val="left"/>
        <w:rPr>
          <w:rStyle w:val="CharSchPTText"/>
        </w:rPr>
      </w:pPr>
      <w:r w:rsidRPr="004A42ED">
        <w:rPr>
          <w:rStyle w:val="CharSchPTNo"/>
        </w:rPr>
        <w:t xml:space="preserve">Part </w:t>
      </w:r>
      <w:r>
        <w:rPr>
          <w:rStyle w:val="CharSchPTNo"/>
        </w:rPr>
        <w:t xml:space="preserve">3 – </w:t>
      </w:r>
      <w:r w:rsidRPr="00D8780E">
        <w:rPr>
          <w:rStyle w:val="CharSchPTText"/>
        </w:rPr>
        <w:t>South Australian Police Superannuation Scheme</w:t>
      </w:r>
    </w:p>
    <w:p w14:paraId="107D1914" w14:textId="55395B46" w:rsidR="00197DAE" w:rsidRPr="00197DAE" w:rsidRDefault="00197DAE" w:rsidP="008D4B4B">
      <w:pPr>
        <w:pStyle w:val="ListParagraph"/>
        <w:rPr>
          <w:b/>
          <w:i/>
        </w:rPr>
      </w:pPr>
      <w:r>
        <w:t xml:space="preserve">This Part provides </w:t>
      </w:r>
      <w:r w:rsidR="00D2639E">
        <w:t>methods and factors for determining the gross value of</w:t>
      </w:r>
      <w:r>
        <w:t xml:space="preserve"> an interest</w:t>
      </w:r>
      <w:r w:rsidRPr="00217924">
        <w:t xml:space="preserve"> in the superannuation plan known as </w:t>
      </w:r>
      <w:r>
        <w:t xml:space="preserve">the </w:t>
      </w:r>
      <w:r w:rsidRPr="00D8780E">
        <w:rPr>
          <w:rStyle w:val="CharSchPTText"/>
        </w:rPr>
        <w:t>South Australian Police Superannuation Scheme</w:t>
      </w:r>
      <w:r>
        <w:t xml:space="preserve">, which is the </w:t>
      </w:r>
      <w:r w:rsidRPr="00197DAE">
        <w:t>scheme for the provision of superannuation benefits constituted by the</w:t>
      </w:r>
      <w:r>
        <w:t xml:space="preserve"> </w:t>
      </w:r>
      <w:r w:rsidRPr="00197DAE">
        <w:rPr>
          <w:i/>
        </w:rPr>
        <w:t xml:space="preserve">Police Superannuation Act 1990 </w:t>
      </w:r>
      <w:r w:rsidRPr="00197DAE">
        <w:t>(SA).</w:t>
      </w:r>
    </w:p>
    <w:p w14:paraId="57371D0A" w14:textId="0E952E06" w:rsidR="00197DAE" w:rsidRDefault="00197DAE" w:rsidP="00197DAE">
      <w:pPr>
        <w:pStyle w:val="Heading2"/>
        <w:jc w:val="left"/>
        <w:rPr>
          <w:rStyle w:val="CharSchPTText"/>
        </w:rPr>
      </w:pPr>
      <w:r w:rsidRPr="004A42ED">
        <w:rPr>
          <w:rStyle w:val="CharSchPTNo"/>
        </w:rPr>
        <w:t xml:space="preserve">Part </w:t>
      </w:r>
      <w:r>
        <w:rPr>
          <w:rStyle w:val="CharSchPTNo"/>
        </w:rPr>
        <w:t xml:space="preserve">4 – </w:t>
      </w:r>
      <w:r w:rsidRPr="00D8780E">
        <w:rPr>
          <w:rStyle w:val="CharSchPTText"/>
        </w:rPr>
        <w:t>South Australian Parliamentary Superannuation Scheme</w:t>
      </w:r>
    </w:p>
    <w:p w14:paraId="6963EB21" w14:textId="1159EF3E" w:rsidR="00592E3E" w:rsidRDefault="00197DAE" w:rsidP="008D4B4B">
      <w:pPr>
        <w:pStyle w:val="ListParagraph"/>
      </w:pPr>
      <w:r>
        <w:t xml:space="preserve">This Part provides </w:t>
      </w:r>
      <w:r w:rsidR="00D2639E">
        <w:t>methods and factors for determining the gross value of</w:t>
      </w:r>
      <w:r>
        <w:t xml:space="preserve"> an interest</w:t>
      </w:r>
      <w:r w:rsidRPr="00217924">
        <w:t xml:space="preserve"> in the superannuation plan known as </w:t>
      </w:r>
      <w:r>
        <w:t xml:space="preserve">the </w:t>
      </w:r>
      <w:r w:rsidRPr="00D8780E">
        <w:rPr>
          <w:rStyle w:val="CharSchPTText"/>
        </w:rPr>
        <w:t>South Australian Police Superannuation Scheme</w:t>
      </w:r>
      <w:r>
        <w:t xml:space="preserve">, which is </w:t>
      </w:r>
      <w:r w:rsidRPr="00197DAE">
        <w:t>the scheme for the payment of superannuation benefits constituted by the</w:t>
      </w:r>
      <w:r>
        <w:t xml:space="preserve"> </w:t>
      </w:r>
      <w:r w:rsidRPr="00197DAE">
        <w:rPr>
          <w:i/>
        </w:rPr>
        <w:t xml:space="preserve">Parliamentary Superannuation Act 1974 </w:t>
      </w:r>
      <w:r w:rsidRPr="00197DAE">
        <w:t>(SA).</w:t>
      </w:r>
    </w:p>
    <w:p w14:paraId="2DBC6AD6" w14:textId="0465EDD8" w:rsidR="00271CC7" w:rsidRDefault="00271CC7" w:rsidP="00271CC7">
      <w:pPr>
        <w:pStyle w:val="Heading2"/>
        <w:jc w:val="left"/>
        <w:rPr>
          <w:rStyle w:val="CharSchPTText"/>
        </w:rPr>
      </w:pPr>
      <w:r w:rsidRPr="004A42ED">
        <w:rPr>
          <w:rStyle w:val="CharSchPTNo"/>
        </w:rPr>
        <w:t xml:space="preserve">Part </w:t>
      </w:r>
      <w:r>
        <w:rPr>
          <w:rStyle w:val="CharSchPTNo"/>
        </w:rPr>
        <w:t xml:space="preserve">5 – </w:t>
      </w:r>
      <w:r w:rsidRPr="00D8780E">
        <w:rPr>
          <w:rStyle w:val="CharSchPTText"/>
        </w:rPr>
        <w:t>South Australian Judges’ Pension Scheme</w:t>
      </w:r>
    </w:p>
    <w:p w14:paraId="35B84E4A" w14:textId="0A694EB6" w:rsidR="00271CC7" w:rsidRDefault="00271CC7" w:rsidP="008D4B4B">
      <w:pPr>
        <w:pStyle w:val="ListParagraph"/>
      </w:pPr>
      <w:r>
        <w:t xml:space="preserve">This Part provides </w:t>
      </w:r>
      <w:r w:rsidR="00D2639E">
        <w:t>methods and factors for determining the gross value of</w:t>
      </w:r>
      <w:r>
        <w:t xml:space="preserve"> an interest</w:t>
      </w:r>
      <w:r w:rsidRPr="00217924">
        <w:t xml:space="preserve"> in the superannuation plan known as </w:t>
      </w:r>
      <w:r>
        <w:t xml:space="preserve">the </w:t>
      </w:r>
      <w:r w:rsidRPr="00D8780E">
        <w:rPr>
          <w:rStyle w:val="CharSchPTText"/>
        </w:rPr>
        <w:t>South Australian Police Superannuation Scheme</w:t>
      </w:r>
      <w:r>
        <w:t xml:space="preserve">, which is </w:t>
      </w:r>
      <w:r w:rsidRPr="00D8780E">
        <w:t>the scheme established by Part 2 of the</w:t>
      </w:r>
      <w:r>
        <w:t xml:space="preserve"> </w:t>
      </w:r>
      <w:r w:rsidRPr="00D8780E">
        <w:rPr>
          <w:i/>
        </w:rPr>
        <w:t>Judges’ Pensions Act 1971</w:t>
      </w:r>
      <w:r w:rsidRPr="00D8780E">
        <w:t xml:space="preserve"> (SA).</w:t>
      </w:r>
    </w:p>
    <w:p w14:paraId="2906B5A2" w14:textId="2FCEC31F" w:rsidR="001D319C" w:rsidRDefault="001D319C" w:rsidP="001D319C">
      <w:pPr>
        <w:pStyle w:val="Heading1"/>
        <w:rPr>
          <w:rStyle w:val="CharAmSchText"/>
        </w:rPr>
      </w:pPr>
      <w:r w:rsidRPr="00E6366E">
        <w:rPr>
          <w:rStyle w:val="CharAmSchNo"/>
        </w:rPr>
        <w:t xml:space="preserve">Schedule </w:t>
      </w:r>
      <w:r>
        <w:rPr>
          <w:rStyle w:val="CharAmSchNo"/>
        </w:rPr>
        <w:t>7</w:t>
      </w:r>
      <w:r>
        <w:t xml:space="preserve"> – </w:t>
      </w:r>
      <w:r w:rsidRPr="00E6366E">
        <w:rPr>
          <w:rStyle w:val="CharAmSchText"/>
        </w:rPr>
        <w:t>Public</w:t>
      </w:r>
      <w:r>
        <w:rPr>
          <w:rStyle w:val="CharAmSchText"/>
        </w:rPr>
        <w:t xml:space="preserve"> </w:t>
      </w:r>
      <w:r w:rsidRPr="00E6366E">
        <w:rPr>
          <w:rStyle w:val="CharAmSchText"/>
        </w:rPr>
        <w:t xml:space="preserve">sector superannuation plans — </w:t>
      </w:r>
      <w:r>
        <w:rPr>
          <w:rStyle w:val="CharAmSchText"/>
        </w:rPr>
        <w:t>Tasmania</w:t>
      </w:r>
    </w:p>
    <w:p w14:paraId="2A204DEF" w14:textId="06A97776" w:rsidR="001D319C" w:rsidRDefault="001D319C" w:rsidP="008D4B4B">
      <w:pPr>
        <w:pStyle w:val="ListParagraph"/>
      </w:pPr>
      <w:r>
        <w:t xml:space="preserve">This Part is reserved for future use, for provision of </w:t>
      </w:r>
      <w:r w:rsidR="00D2639E">
        <w:t>methods and factors for determining the gross value of</w:t>
      </w:r>
      <w:r>
        <w:t xml:space="preserve"> interests in Tasmanian public sector superannuation plans.</w:t>
      </w:r>
    </w:p>
    <w:p w14:paraId="484115E9" w14:textId="77777777" w:rsidR="00990B26" w:rsidRDefault="00990B26" w:rsidP="001D319C">
      <w:pPr>
        <w:pStyle w:val="Heading1"/>
        <w:rPr>
          <w:rStyle w:val="CharAmSchNo"/>
        </w:rPr>
      </w:pPr>
    </w:p>
    <w:p w14:paraId="51606B05" w14:textId="3BF1D9E6" w:rsidR="001D319C" w:rsidRDefault="001D319C" w:rsidP="001D319C">
      <w:pPr>
        <w:pStyle w:val="Heading1"/>
        <w:rPr>
          <w:rStyle w:val="CharAmSchText"/>
        </w:rPr>
      </w:pPr>
      <w:r w:rsidRPr="00E6366E">
        <w:rPr>
          <w:rStyle w:val="CharAmSchNo"/>
        </w:rPr>
        <w:lastRenderedPageBreak/>
        <w:t xml:space="preserve">Schedule </w:t>
      </w:r>
      <w:r>
        <w:rPr>
          <w:rStyle w:val="CharAmSchNo"/>
        </w:rPr>
        <w:t>8</w:t>
      </w:r>
      <w:r>
        <w:t xml:space="preserve"> – </w:t>
      </w:r>
      <w:r w:rsidRPr="00E6366E">
        <w:rPr>
          <w:rStyle w:val="CharAmSchText"/>
        </w:rPr>
        <w:t>Public</w:t>
      </w:r>
      <w:r>
        <w:rPr>
          <w:rStyle w:val="CharAmSchText"/>
        </w:rPr>
        <w:t xml:space="preserve"> </w:t>
      </w:r>
      <w:r w:rsidRPr="00E6366E">
        <w:rPr>
          <w:rStyle w:val="CharAmSchText"/>
        </w:rPr>
        <w:t xml:space="preserve">sector superannuation plans — </w:t>
      </w:r>
      <w:r w:rsidRPr="00D8780E">
        <w:rPr>
          <w:rStyle w:val="CharAmSchText"/>
        </w:rPr>
        <w:t>Australian Capital Territory</w:t>
      </w:r>
    </w:p>
    <w:p w14:paraId="3666EA45" w14:textId="7B5BCD7B" w:rsidR="00404DC2" w:rsidRPr="00990B26" w:rsidRDefault="001D319C" w:rsidP="00990B26">
      <w:pPr>
        <w:pStyle w:val="ListParagraph"/>
        <w:rPr>
          <w:rStyle w:val="CharAmSchNo"/>
        </w:rPr>
      </w:pPr>
      <w:r>
        <w:t xml:space="preserve">This Part is reserved for future use, for provision of </w:t>
      </w:r>
      <w:r w:rsidR="00D2639E">
        <w:t>methods and factors for determining the gross value of</w:t>
      </w:r>
      <w:r>
        <w:t xml:space="preserve"> interests in Australian Capital Territory public sector superannuation plans.</w:t>
      </w:r>
    </w:p>
    <w:p w14:paraId="1281B8E1" w14:textId="44CE38D4" w:rsidR="001D319C" w:rsidRDefault="001D319C" w:rsidP="001D319C">
      <w:pPr>
        <w:pStyle w:val="Heading1"/>
        <w:rPr>
          <w:rStyle w:val="CharAmSchText"/>
        </w:rPr>
      </w:pPr>
      <w:r w:rsidRPr="00E6366E">
        <w:rPr>
          <w:rStyle w:val="CharAmSchNo"/>
        </w:rPr>
        <w:t xml:space="preserve">Schedule </w:t>
      </w:r>
      <w:r>
        <w:rPr>
          <w:rStyle w:val="CharAmSchNo"/>
        </w:rPr>
        <w:t>9</w:t>
      </w:r>
      <w:r>
        <w:t xml:space="preserve"> – </w:t>
      </w:r>
      <w:r w:rsidRPr="00E6366E">
        <w:rPr>
          <w:rStyle w:val="CharAmSchText"/>
        </w:rPr>
        <w:t>Public</w:t>
      </w:r>
      <w:r>
        <w:rPr>
          <w:rStyle w:val="CharAmSchText"/>
        </w:rPr>
        <w:t xml:space="preserve"> </w:t>
      </w:r>
      <w:r w:rsidRPr="00E6366E">
        <w:rPr>
          <w:rStyle w:val="CharAmSchText"/>
        </w:rPr>
        <w:t xml:space="preserve">sector superannuation plans — </w:t>
      </w:r>
      <w:r>
        <w:rPr>
          <w:rStyle w:val="CharAmSchText"/>
        </w:rPr>
        <w:t>Northern</w:t>
      </w:r>
      <w:r w:rsidRPr="00D8780E">
        <w:rPr>
          <w:rStyle w:val="CharAmSchText"/>
        </w:rPr>
        <w:t xml:space="preserve"> Territory</w:t>
      </w:r>
    </w:p>
    <w:p w14:paraId="252B0AC8" w14:textId="62BF8FF0" w:rsidR="001D319C" w:rsidRDefault="001D319C" w:rsidP="008D4B4B">
      <w:pPr>
        <w:pStyle w:val="ListParagraph"/>
      </w:pPr>
      <w:r>
        <w:t xml:space="preserve">This Part is reserved for future use, for provision of </w:t>
      </w:r>
      <w:r w:rsidR="00D2639E">
        <w:t>methods and factors for determining the gross value of</w:t>
      </w:r>
      <w:r>
        <w:t xml:space="preserve"> interests in Northern Territory public sector superannuation plans.</w:t>
      </w:r>
    </w:p>
    <w:p w14:paraId="19955EF2" w14:textId="113EE333" w:rsidR="009C63F4" w:rsidRDefault="009C63F4" w:rsidP="009C63F4">
      <w:pPr>
        <w:pStyle w:val="Heading1"/>
        <w:rPr>
          <w:rStyle w:val="CharAmSchText"/>
        </w:rPr>
      </w:pPr>
      <w:r w:rsidRPr="00E6366E">
        <w:rPr>
          <w:rStyle w:val="CharAmSchNo"/>
        </w:rPr>
        <w:t xml:space="preserve">Schedule </w:t>
      </w:r>
      <w:r w:rsidR="00053B9B">
        <w:rPr>
          <w:rStyle w:val="CharAmSchNo"/>
        </w:rPr>
        <w:t>10</w:t>
      </w:r>
      <w:r>
        <w:t xml:space="preserve"> –</w:t>
      </w:r>
      <w:r w:rsidR="00053B9B">
        <w:rPr>
          <w:rStyle w:val="CharAmSchText"/>
        </w:rPr>
        <w:t xml:space="preserve"> Other</w:t>
      </w:r>
      <w:r w:rsidRPr="00E6366E">
        <w:rPr>
          <w:rStyle w:val="CharAmSchText"/>
        </w:rPr>
        <w:t xml:space="preserve"> superannuation plans</w:t>
      </w:r>
    </w:p>
    <w:p w14:paraId="22F12EEA" w14:textId="65F456B9" w:rsidR="00053B9B" w:rsidRDefault="00053B9B" w:rsidP="008D4B4B">
      <w:pPr>
        <w:pStyle w:val="ListParagraph"/>
      </w:pPr>
      <w:r>
        <w:t xml:space="preserve">This Schedule provides </w:t>
      </w:r>
      <w:r w:rsidR="00D2639E">
        <w:t>methods and factors for determining the gross value of</w:t>
      </w:r>
      <w:r>
        <w:t xml:space="preserve"> superannuation interests in other superannuation plans, that would not otherwise be provided for in any other Schedule in the 2025 Approval Instrument.</w:t>
      </w:r>
    </w:p>
    <w:p w14:paraId="764E0CC9" w14:textId="6287AA3F" w:rsidR="00C04D2D" w:rsidRDefault="00C04D2D" w:rsidP="00C04D2D">
      <w:pPr>
        <w:pStyle w:val="Heading2"/>
        <w:jc w:val="left"/>
        <w:rPr>
          <w:rStyle w:val="CharSchPTText"/>
        </w:rPr>
      </w:pPr>
      <w:r w:rsidRPr="004A42ED">
        <w:rPr>
          <w:rStyle w:val="CharSchPTNo"/>
        </w:rPr>
        <w:t xml:space="preserve">Part </w:t>
      </w:r>
      <w:r>
        <w:rPr>
          <w:rStyle w:val="CharSchPTNo"/>
        </w:rPr>
        <w:t xml:space="preserve">22 – </w:t>
      </w:r>
      <w:r w:rsidRPr="00D8780E">
        <w:t>Construction and Building Unions Superannuation Fund</w:t>
      </w:r>
    </w:p>
    <w:p w14:paraId="17E28E4C" w14:textId="1C40A503" w:rsidR="00C04D2D" w:rsidRDefault="00C04D2D" w:rsidP="008D4B4B">
      <w:pPr>
        <w:pStyle w:val="ListParagraph"/>
      </w:pPr>
      <w:r>
        <w:t xml:space="preserve">This Part provides </w:t>
      </w:r>
      <w:r w:rsidR="00D2639E">
        <w:t>methods and factors for determining the gross value of</w:t>
      </w:r>
      <w:r>
        <w:t xml:space="preserve"> an interest</w:t>
      </w:r>
      <w:r w:rsidRPr="00217924">
        <w:t xml:space="preserve"> in the superannuation plan known as </w:t>
      </w:r>
      <w:r>
        <w:t xml:space="preserve">the </w:t>
      </w:r>
      <w:r w:rsidRPr="00D8780E">
        <w:rPr>
          <w:bCs/>
          <w:iCs/>
        </w:rPr>
        <w:t>Construction and Building Unions Superannuation Fund</w:t>
      </w:r>
      <w:r>
        <w:t xml:space="preserve">, which is </w:t>
      </w:r>
      <w:r w:rsidRPr="00197DAE">
        <w:t xml:space="preserve">the scheme </w:t>
      </w:r>
      <w:r>
        <w:t xml:space="preserve">established by the </w:t>
      </w:r>
      <w:r w:rsidRPr="00C04D2D">
        <w:t>Trust Deed dated 29 May 1984, entered into by United Super Pty Ltd, as in force on 12 May 2023.</w:t>
      </w:r>
    </w:p>
    <w:p w14:paraId="34236077" w14:textId="2DFA8EFC" w:rsidR="00C04D2D" w:rsidRDefault="00C04D2D" w:rsidP="00C04D2D">
      <w:pPr>
        <w:pStyle w:val="Heading2"/>
        <w:jc w:val="left"/>
        <w:rPr>
          <w:rStyle w:val="CharSchPTText"/>
        </w:rPr>
      </w:pPr>
      <w:r w:rsidRPr="004A42ED">
        <w:rPr>
          <w:rStyle w:val="CharSchPTNo"/>
        </w:rPr>
        <w:t xml:space="preserve">Part </w:t>
      </w:r>
      <w:r>
        <w:rPr>
          <w:rStyle w:val="CharSchPTNo"/>
        </w:rPr>
        <w:t xml:space="preserve">30 – </w:t>
      </w:r>
      <w:r w:rsidRPr="00D8780E">
        <w:rPr>
          <w:rStyle w:val="CharSchPTText"/>
        </w:rPr>
        <w:t>Ford superannuation plans</w:t>
      </w:r>
    </w:p>
    <w:p w14:paraId="255DF5B1" w14:textId="6875CC72" w:rsidR="001D319C" w:rsidRPr="005002DC" w:rsidRDefault="00C04D2D" w:rsidP="008D4B4B">
      <w:pPr>
        <w:pStyle w:val="ListParagraph"/>
      </w:pPr>
      <w:r>
        <w:t xml:space="preserve">This </w:t>
      </w:r>
      <w:r w:rsidRPr="005002DC">
        <w:t xml:space="preserve">Part provides </w:t>
      </w:r>
      <w:r w:rsidR="00D2639E">
        <w:t>methods and factors for determining the gross value of</w:t>
      </w:r>
      <w:r w:rsidRPr="005002DC">
        <w:t xml:space="preserve"> interest</w:t>
      </w:r>
      <w:r w:rsidR="005002DC" w:rsidRPr="005002DC">
        <w:t>s</w:t>
      </w:r>
      <w:r w:rsidRPr="005002DC">
        <w:t xml:space="preserve"> in the superannuation plan</w:t>
      </w:r>
      <w:r w:rsidR="005002DC" w:rsidRPr="005002DC">
        <w:t>s</w:t>
      </w:r>
      <w:r w:rsidRPr="005002DC">
        <w:t xml:space="preserve"> known as</w:t>
      </w:r>
      <w:r w:rsidR="005002DC" w:rsidRPr="005002DC">
        <w:t>:</w:t>
      </w:r>
    </w:p>
    <w:p w14:paraId="634F7B08" w14:textId="7652C5BB" w:rsidR="005002DC" w:rsidRPr="005002DC" w:rsidRDefault="005002DC" w:rsidP="008D4B4B">
      <w:pPr>
        <w:pStyle w:val="ListParagraph"/>
        <w:numPr>
          <w:ilvl w:val="0"/>
          <w:numId w:val="40"/>
        </w:numPr>
        <w:ind w:left="1276"/>
      </w:pPr>
      <w:r w:rsidRPr="005002DC">
        <w:t>The Fo</w:t>
      </w:r>
      <w:r>
        <w:t xml:space="preserve">rd Employees </w:t>
      </w:r>
      <w:r w:rsidRPr="005002DC">
        <w:t>Superannuation Fund, which is the superannuation fund established by Deed dated 29 December 1941, and renamed by Deed dated 21 April 1999 as the Ford Employees Superannuation Fund.</w:t>
      </w:r>
    </w:p>
    <w:p w14:paraId="20D91D94" w14:textId="5C6BD24A" w:rsidR="005002DC" w:rsidRDefault="005002DC" w:rsidP="008D4B4B">
      <w:pPr>
        <w:pStyle w:val="ListParagraph"/>
        <w:numPr>
          <w:ilvl w:val="0"/>
          <w:numId w:val="40"/>
        </w:numPr>
        <w:ind w:left="1276"/>
      </w:pPr>
      <w:r>
        <w:t>The Ford Management Retirement Plan, which is the superannuation plan established by Trust Deed dated 1 January 1989.</w:t>
      </w:r>
    </w:p>
    <w:p w14:paraId="2F6F510D" w14:textId="5F7E0F32" w:rsidR="00DF3EE2" w:rsidRDefault="00DF3EE2" w:rsidP="00F02DCF">
      <w:pPr>
        <w:pStyle w:val="ListParagraph"/>
      </w:pPr>
      <w:r>
        <w:rPr>
          <w:rStyle w:val="CharSchPTText"/>
        </w:rPr>
        <w:t xml:space="preserve">As at the </w:t>
      </w:r>
      <w:r w:rsidR="00A97C07">
        <w:rPr>
          <w:rStyle w:val="CharSchPTText"/>
        </w:rPr>
        <w:t>making</w:t>
      </w:r>
      <w:r>
        <w:rPr>
          <w:rStyle w:val="CharSchPTText"/>
        </w:rPr>
        <w:t xml:space="preserve"> of this </w:t>
      </w:r>
      <w:r w:rsidRPr="00F02DCF">
        <w:t>Instrument</w:t>
      </w:r>
      <w:r>
        <w:rPr>
          <w:rStyle w:val="CharSchPTText"/>
        </w:rPr>
        <w:t xml:space="preserve">, this Scheme is managed by Mercer Super.   </w:t>
      </w:r>
    </w:p>
    <w:p w14:paraId="5C0267C4" w14:textId="4F6F03A5" w:rsidR="00EC34F8" w:rsidRDefault="00EC34F8" w:rsidP="00EC34F8">
      <w:pPr>
        <w:pStyle w:val="Heading2"/>
        <w:jc w:val="left"/>
        <w:rPr>
          <w:rStyle w:val="CharSchPTText"/>
        </w:rPr>
      </w:pPr>
      <w:r w:rsidRPr="004A42ED">
        <w:rPr>
          <w:rStyle w:val="CharSchPTNo"/>
        </w:rPr>
        <w:t xml:space="preserve">Part </w:t>
      </w:r>
      <w:r>
        <w:rPr>
          <w:rStyle w:val="CharSchPTNo"/>
        </w:rPr>
        <w:t xml:space="preserve">35 – </w:t>
      </w:r>
      <w:r w:rsidRPr="00D8780E">
        <w:rPr>
          <w:rStyle w:val="CharSchPTText"/>
        </w:rPr>
        <w:t>GlaxoSmithKline Superannuation Fund</w:t>
      </w:r>
    </w:p>
    <w:p w14:paraId="06EFAB45" w14:textId="35E48F6C" w:rsidR="00EC34F8" w:rsidRDefault="00EC34F8" w:rsidP="008D4B4B">
      <w:pPr>
        <w:pStyle w:val="ListParagraph"/>
      </w:pPr>
      <w:r>
        <w:t xml:space="preserve">This Part provides </w:t>
      </w:r>
      <w:r w:rsidR="00D2639E">
        <w:t>methods and factors for determining the gross value of</w:t>
      </w:r>
      <w:r>
        <w:t xml:space="preserve"> an interest</w:t>
      </w:r>
      <w:r w:rsidRPr="00217924">
        <w:t xml:space="preserve"> in the superannuation plan known as </w:t>
      </w:r>
      <w:r>
        <w:t xml:space="preserve">the </w:t>
      </w:r>
      <w:r w:rsidRPr="00EC34F8">
        <w:t>GlaxoSmithKline Superannuation Fund</w:t>
      </w:r>
      <w:r>
        <w:t xml:space="preserve">, which is the </w:t>
      </w:r>
      <w:r w:rsidRPr="00EC34F8">
        <w:t>pension fund established by Deed dated 3 November 1966, and renamed by Deed dated 17</w:t>
      </w:r>
      <w:r w:rsidR="00990B26">
        <w:t> </w:t>
      </w:r>
      <w:r w:rsidRPr="00EC34F8">
        <w:t>April 2001 as the GlaxoSmithKline Superannuation Fund.</w:t>
      </w:r>
    </w:p>
    <w:p w14:paraId="1B9EDA69" w14:textId="30123C5F" w:rsidR="00DF3EE2" w:rsidRDefault="00DF3EE2" w:rsidP="00DF3EE2">
      <w:pPr>
        <w:pStyle w:val="ListParagraph"/>
      </w:pPr>
      <w:r>
        <w:rPr>
          <w:rStyle w:val="CharSchPTText"/>
        </w:rPr>
        <w:t xml:space="preserve">As at the </w:t>
      </w:r>
      <w:r w:rsidR="00A97C07">
        <w:rPr>
          <w:rStyle w:val="CharSchPTText"/>
        </w:rPr>
        <w:t>making</w:t>
      </w:r>
      <w:r>
        <w:rPr>
          <w:rStyle w:val="CharSchPTText"/>
        </w:rPr>
        <w:t xml:space="preserve"> of this </w:t>
      </w:r>
      <w:r w:rsidRPr="00B97A96">
        <w:t>Instrument</w:t>
      </w:r>
      <w:r>
        <w:rPr>
          <w:rStyle w:val="CharSchPTText"/>
        </w:rPr>
        <w:t xml:space="preserve">, this Scheme is managed by Mercer Super.   </w:t>
      </w:r>
    </w:p>
    <w:p w14:paraId="490C95B4" w14:textId="41FC06E9" w:rsidR="00EC34F8" w:rsidRDefault="00EC34F8" w:rsidP="00EC34F8">
      <w:pPr>
        <w:pStyle w:val="Heading2"/>
        <w:jc w:val="left"/>
        <w:rPr>
          <w:rStyle w:val="CharSchPTText"/>
        </w:rPr>
      </w:pPr>
      <w:r w:rsidRPr="004A42ED">
        <w:rPr>
          <w:rStyle w:val="CharSchPTNo"/>
        </w:rPr>
        <w:t xml:space="preserve">Part </w:t>
      </w:r>
      <w:r w:rsidR="00BD6EC0">
        <w:rPr>
          <w:rStyle w:val="CharSchPTNo"/>
        </w:rPr>
        <w:t>40</w:t>
      </w:r>
      <w:r>
        <w:rPr>
          <w:rStyle w:val="CharSchPTNo"/>
        </w:rPr>
        <w:t xml:space="preserve"> – </w:t>
      </w:r>
      <w:r w:rsidR="00BD6EC0" w:rsidRPr="00D8780E">
        <w:rPr>
          <w:rStyle w:val="CharSchPTText"/>
        </w:rPr>
        <w:t xml:space="preserve">Hanson Australia Pty Limited as a participating employer in </w:t>
      </w:r>
      <w:proofErr w:type="spellStart"/>
      <w:r w:rsidR="00BD6EC0" w:rsidRPr="00D8780E">
        <w:rPr>
          <w:rStyle w:val="CharSchPTText"/>
        </w:rPr>
        <w:t>Sunsuper</w:t>
      </w:r>
      <w:proofErr w:type="spellEnd"/>
    </w:p>
    <w:p w14:paraId="3502CCAD" w14:textId="247AF0F7" w:rsidR="00BD6EC0" w:rsidRDefault="00BD6EC0" w:rsidP="008D4B4B">
      <w:pPr>
        <w:pStyle w:val="ListParagraph"/>
      </w:pPr>
      <w:r>
        <w:t xml:space="preserve">This Part provides </w:t>
      </w:r>
      <w:r w:rsidR="00D2639E">
        <w:t>methods and factors for determining the gross value of</w:t>
      </w:r>
      <w:r>
        <w:t xml:space="preserve"> an interest</w:t>
      </w:r>
      <w:r w:rsidRPr="00217924">
        <w:t xml:space="preserve"> in </w:t>
      </w:r>
      <w:r w:rsidR="00B74FCA">
        <w:t>the</w:t>
      </w:r>
      <w:r>
        <w:t xml:space="preserve"> </w:t>
      </w:r>
      <w:proofErr w:type="spellStart"/>
      <w:r>
        <w:t>Sunsuper</w:t>
      </w:r>
      <w:proofErr w:type="spellEnd"/>
      <w:r>
        <w:t xml:space="preserve"> Fund</w:t>
      </w:r>
      <w:r>
        <w:rPr>
          <w:bCs/>
          <w:iCs/>
        </w:rPr>
        <w:t>, which is</w:t>
      </w:r>
      <w:r w:rsidRPr="00BD6EC0">
        <w:t xml:space="preserve"> </w:t>
      </w:r>
      <w:r w:rsidRPr="00D8780E">
        <w:t xml:space="preserve">the superannuation trust fund known as </w:t>
      </w:r>
      <w:proofErr w:type="spellStart"/>
      <w:r w:rsidRPr="00D8780E">
        <w:t>Sunsuper</w:t>
      </w:r>
      <w:proofErr w:type="spellEnd"/>
      <w:r w:rsidRPr="00D8780E">
        <w:t xml:space="preserve"> established by</w:t>
      </w:r>
      <w:r>
        <w:t xml:space="preserve"> </w:t>
      </w:r>
      <w:r w:rsidRPr="00D8780E">
        <w:t>the Trust Deed dated 1 October 1987, as amended and in force on</w:t>
      </w:r>
      <w:r w:rsidR="00CF51B1">
        <w:t xml:space="preserve"> 4 March 2005.</w:t>
      </w:r>
    </w:p>
    <w:p w14:paraId="1B7AE75C" w14:textId="6EE717A9" w:rsidR="00DF3EE2" w:rsidRDefault="00DF3EE2" w:rsidP="00DF3EE2">
      <w:pPr>
        <w:pStyle w:val="ListParagraph"/>
      </w:pPr>
      <w:r>
        <w:rPr>
          <w:rStyle w:val="CharSchPTText"/>
        </w:rPr>
        <w:t xml:space="preserve">As at the </w:t>
      </w:r>
      <w:r w:rsidR="00A97C07">
        <w:rPr>
          <w:rStyle w:val="CharSchPTText"/>
        </w:rPr>
        <w:t>making</w:t>
      </w:r>
      <w:r>
        <w:rPr>
          <w:rStyle w:val="CharSchPTText"/>
        </w:rPr>
        <w:t xml:space="preserve"> of this </w:t>
      </w:r>
      <w:r w:rsidRPr="00B97A96">
        <w:t>Instrument</w:t>
      </w:r>
      <w:r>
        <w:rPr>
          <w:rStyle w:val="CharSchPTText"/>
        </w:rPr>
        <w:t xml:space="preserve">, this Scheme is managed by Australian Retirement Trust.   </w:t>
      </w:r>
    </w:p>
    <w:p w14:paraId="7EC906CF" w14:textId="77777777" w:rsidR="00990B26" w:rsidRDefault="00990B26" w:rsidP="00B74FCA">
      <w:pPr>
        <w:pStyle w:val="Heading2"/>
        <w:jc w:val="left"/>
        <w:rPr>
          <w:rStyle w:val="CharSchPTNo"/>
        </w:rPr>
      </w:pPr>
    </w:p>
    <w:p w14:paraId="4FB40C52" w14:textId="1C5EE021" w:rsidR="00B74FCA" w:rsidRPr="00EC34F8" w:rsidRDefault="00B74FCA" w:rsidP="00B74FCA">
      <w:pPr>
        <w:pStyle w:val="Heading2"/>
        <w:jc w:val="left"/>
        <w:rPr>
          <w:bCs/>
          <w:iCs/>
        </w:rPr>
      </w:pPr>
      <w:r w:rsidRPr="004A42ED">
        <w:rPr>
          <w:rStyle w:val="CharSchPTNo"/>
        </w:rPr>
        <w:lastRenderedPageBreak/>
        <w:t xml:space="preserve">Part </w:t>
      </w:r>
      <w:r>
        <w:rPr>
          <w:rStyle w:val="CharSchPTNo"/>
        </w:rPr>
        <w:t xml:space="preserve">90 – </w:t>
      </w:r>
      <w:r w:rsidRPr="00D8780E">
        <w:rPr>
          <w:rStyle w:val="CharSchPTText"/>
        </w:rPr>
        <w:t>RACV superannuation fund</w:t>
      </w:r>
    </w:p>
    <w:p w14:paraId="14B8AF52" w14:textId="5CD3E131" w:rsidR="00B74FCA" w:rsidRPr="00B74FCA" w:rsidRDefault="00B74FCA" w:rsidP="008D4B4B">
      <w:pPr>
        <w:pStyle w:val="ListParagraph"/>
      </w:pPr>
      <w:r>
        <w:t xml:space="preserve">This Part provides </w:t>
      </w:r>
      <w:r w:rsidR="00D2639E">
        <w:t>methods and factors for determining the gross value of</w:t>
      </w:r>
      <w:r>
        <w:t xml:space="preserve"> an interest</w:t>
      </w:r>
      <w:r w:rsidRPr="00217924">
        <w:t xml:space="preserve"> in the </w:t>
      </w:r>
      <w:r>
        <w:t xml:space="preserve">RACV fund, which is the scheme </w:t>
      </w:r>
      <w:r w:rsidRPr="00B74FCA">
        <w:t>known as the RACV Superannuation Fund established by Deed dated 1 March 1962.</w:t>
      </w:r>
    </w:p>
    <w:p w14:paraId="4D1E70D9" w14:textId="0A385D12" w:rsidR="009E6A50" w:rsidRPr="00EC34F8" w:rsidRDefault="009E6A50" w:rsidP="009E6A50">
      <w:pPr>
        <w:pStyle w:val="Heading2"/>
        <w:jc w:val="left"/>
        <w:rPr>
          <w:bCs/>
          <w:iCs/>
        </w:rPr>
      </w:pPr>
      <w:r w:rsidRPr="004A42ED">
        <w:rPr>
          <w:rStyle w:val="CharSchPTNo"/>
        </w:rPr>
        <w:t xml:space="preserve">Part </w:t>
      </w:r>
      <w:r>
        <w:rPr>
          <w:rStyle w:val="CharSchPTNo"/>
        </w:rPr>
        <w:t xml:space="preserve">105 – </w:t>
      </w:r>
      <w:r w:rsidRPr="00D8780E">
        <w:rPr>
          <w:rStyle w:val="CharSchPTText"/>
        </w:rPr>
        <w:t>UniSuper superannuation fund</w:t>
      </w:r>
    </w:p>
    <w:p w14:paraId="13D74007" w14:textId="7EF7CDE3" w:rsidR="009E6A50" w:rsidRPr="00ED2811" w:rsidRDefault="009E6A50" w:rsidP="008D4B4B">
      <w:pPr>
        <w:pStyle w:val="ListParagraph"/>
      </w:pPr>
      <w:r w:rsidRPr="00ED2811">
        <w:t xml:space="preserve">This Part provides </w:t>
      </w:r>
      <w:r w:rsidR="00D2639E" w:rsidRPr="00ED2811">
        <w:t>methods and factors for determining the gross value of</w:t>
      </w:r>
      <w:r w:rsidRPr="00ED2811">
        <w:t xml:space="preserve"> an interest in the UniSuper fund, which is the superannuation fund known as UniSuper and mentioned in the UniSuper Consolidated Trust Deed dated 8 November 2002.</w:t>
      </w:r>
    </w:p>
    <w:p w14:paraId="1E45F8DA" w14:textId="17BE014F" w:rsidR="009E6A50" w:rsidRPr="00EC34F8" w:rsidRDefault="009E6A50" w:rsidP="009E6A50">
      <w:pPr>
        <w:pStyle w:val="Heading2"/>
        <w:jc w:val="left"/>
        <w:rPr>
          <w:bCs/>
          <w:iCs/>
        </w:rPr>
      </w:pPr>
      <w:r w:rsidRPr="004A42ED">
        <w:rPr>
          <w:rStyle w:val="CharSchPTNo"/>
        </w:rPr>
        <w:t xml:space="preserve">Part </w:t>
      </w:r>
      <w:r>
        <w:rPr>
          <w:rStyle w:val="CharSchPTNo"/>
        </w:rPr>
        <w:t xml:space="preserve">110 – </w:t>
      </w:r>
      <w:r w:rsidRPr="00D8780E">
        <w:rPr>
          <w:rStyle w:val="CharSchPTText"/>
        </w:rPr>
        <w:t>Victorian Racing Industry Superannuation Fund</w:t>
      </w:r>
    </w:p>
    <w:p w14:paraId="03127A04" w14:textId="726F2456" w:rsidR="009E6A50" w:rsidRDefault="009E6A50" w:rsidP="008D4B4B">
      <w:pPr>
        <w:pStyle w:val="ListParagraph"/>
        <w:rPr>
          <w:bCs/>
          <w:iCs/>
        </w:rPr>
      </w:pPr>
      <w:r>
        <w:t xml:space="preserve">This Part provides </w:t>
      </w:r>
      <w:r w:rsidR="00D2639E">
        <w:t>methods and factors for determining the gross value of</w:t>
      </w:r>
      <w:r>
        <w:t xml:space="preserve"> an interest</w:t>
      </w:r>
      <w:r w:rsidRPr="00217924">
        <w:t xml:space="preserve"> in the </w:t>
      </w:r>
      <w:r w:rsidRPr="009E6A50">
        <w:rPr>
          <w:bCs/>
          <w:iCs/>
        </w:rPr>
        <w:t>Victorian Racing Industry Superannuation Fund</w:t>
      </w:r>
      <w:r>
        <w:rPr>
          <w:bCs/>
          <w:iCs/>
        </w:rPr>
        <w:t xml:space="preserve">, which is the superannuation </w:t>
      </w:r>
      <w:r w:rsidRPr="009E6A50">
        <w:rPr>
          <w:bCs/>
          <w:iCs/>
        </w:rPr>
        <w:t xml:space="preserve">fund established by the Trust </w:t>
      </w:r>
      <w:r w:rsidRPr="00D8780E">
        <w:t xml:space="preserve">Deed governing the Victorian Racing Industry Superannuation Fund, </w:t>
      </w:r>
      <w:r w:rsidRPr="009E6A50">
        <w:rPr>
          <w:bCs/>
          <w:iCs/>
        </w:rPr>
        <w:t>dated 29</w:t>
      </w:r>
      <w:r w:rsidR="00990B26">
        <w:rPr>
          <w:bCs/>
          <w:iCs/>
        </w:rPr>
        <w:t> </w:t>
      </w:r>
      <w:r w:rsidRPr="009E6A50">
        <w:rPr>
          <w:bCs/>
          <w:iCs/>
        </w:rPr>
        <w:t>April 1964 and renamed, with effect on 16 August 2001, as the Victorian Racing Industry Superannuation Fund</w:t>
      </w:r>
      <w:r>
        <w:rPr>
          <w:bCs/>
          <w:iCs/>
        </w:rPr>
        <w:t xml:space="preserve">, </w:t>
      </w:r>
      <w:r w:rsidRPr="00D8780E">
        <w:t>as in force on 27 February 2003</w:t>
      </w:r>
      <w:r w:rsidRPr="009E6A50">
        <w:rPr>
          <w:bCs/>
          <w:iCs/>
        </w:rPr>
        <w:t>.</w:t>
      </w:r>
    </w:p>
    <w:p w14:paraId="19DF98A2" w14:textId="3B2E820A" w:rsidR="00602452" w:rsidRPr="00602452" w:rsidRDefault="00602452" w:rsidP="00602452">
      <w:pPr>
        <w:pStyle w:val="ListParagraph"/>
      </w:pPr>
      <w:r>
        <w:rPr>
          <w:rStyle w:val="CharSchPTText"/>
        </w:rPr>
        <w:t xml:space="preserve">As at the </w:t>
      </w:r>
      <w:r w:rsidR="00A97C07">
        <w:rPr>
          <w:rStyle w:val="CharSchPTText"/>
        </w:rPr>
        <w:t>making</w:t>
      </w:r>
      <w:r>
        <w:rPr>
          <w:rStyle w:val="CharSchPTText"/>
        </w:rPr>
        <w:t xml:space="preserve"> of this </w:t>
      </w:r>
      <w:r w:rsidRPr="00B97A96">
        <w:t>Instrument</w:t>
      </w:r>
      <w:r>
        <w:rPr>
          <w:rStyle w:val="CharSchPTText"/>
        </w:rPr>
        <w:t xml:space="preserve">, this Scheme is managed by AMP.  </w:t>
      </w:r>
    </w:p>
    <w:p w14:paraId="7F10B78C" w14:textId="19B65E26" w:rsidR="002B035F" w:rsidRPr="00EC34F8" w:rsidRDefault="002B035F" w:rsidP="002B035F">
      <w:pPr>
        <w:pStyle w:val="Heading2"/>
        <w:jc w:val="left"/>
        <w:rPr>
          <w:bCs/>
          <w:iCs/>
        </w:rPr>
      </w:pPr>
      <w:r w:rsidRPr="004A42ED">
        <w:rPr>
          <w:rStyle w:val="CharSchPTNo"/>
        </w:rPr>
        <w:t xml:space="preserve">Part </w:t>
      </w:r>
      <w:r>
        <w:rPr>
          <w:rStyle w:val="CharSchPTNo"/>
        </w:rPr>
        <w:t xml:space="preserve">115 – </w:t>
      </w:r>
      <w:r w:rsidRPr="00D8780E">
        <w:rPr>
          <w:rStyle w:val="CharSchPTText"/>
        </w:rPr>
        <w:t>Woodside Superannuation Fund</w:t>
      </w:r>
    </w:p>
    <w:p w14:paraId="1E2EEB3D" w14:textId="0D53D609" w:rsidR="009E6A50" w:rsidRDefault="002B035F" w:rsidP="008D4B4B">
      <w:pPr>
        <w:pStyle w:val="ListParagraph"/>
      </w:pPr>
      <w:r>
        <w:t>This Part provides methods and factors for determining the gross value of an interest</w:t>
      </w:r>
      <w:r w:rsidRPr="00217924">
        <w:t xml:space="preserve"> in the</w:t>
      </w:r>
      <w:r>
        <w:t xml:space="preserve"> superannuation plan known as the</w:t>
      </w:r>
      <w:r w:rsidRPr="00217924">
        <w:t xml:space="preserve"> </w:t>
      </w:r>
      <w:r w:rsidRPr="00D8780E">
        <w:rPr>
          <w:rStyle w:val="CharSchPTText"/>
        </w:rPr>
        <w:t>Woodside Superannuation Fund</w:t>
      </w:r>
      <w:r>
        <w:rPr>
          <w:rStyle w:val="CharSchPTText"/>
        </w:rPr>
        <w:t>,</w:t>
      </w:r>
      <w:r>
        <w:rPr>
          <w:bCs/>
          <w:iCs/>
        </w:rPr>
        <w:t xml:space="preserve"> which is the superannuation </w:t>
      </w:r>
      <w:r w:rsidRPr="009E6A50">
        <w:rPr>
          <w:bCs/>
          <w:iCs/>
        </w:rPr>
        <w:t xml:space="preserve">fund established by the </w:t>
      </w:r>
      <w:r w:rsidRPr="00D8780E">
        <w:rPr>
          <w:i/>
        </w:rPr>
        <w:t>Woodside Superannuation Fund Trust Deed</w:t>
      </w:r>
      <w:r w:rsidRPr="00D8780E">
        <w:t xml:space="preserve"> </w:t>
      </w:r>
      <w:r w:rsidR="00E439E3">
        <w:t>dated 30</w:t>
      </w:r>
      <w:r w:rsidR="00990B26">
        <w:t> </w:t>
      </w:r>
      <w:r w:rsidR="00E439E3">
        <w:t xml:space="preserve">July 1979, </w:t>
      </w:r>
      <w:r w:rsidRPr="00D8780E">
        <w:t>as in force at 30 October 2001.</w:t>
      </w:r>
    </w:p>
    <w:p w14:paraId="01BDF6B2" w14:textId="270922E0" w:rsidR="00602452" w:rsidRDefault="00602452" w:rsidP="00602452">
      <w:pPr>
        <w:pStyle w:val="ListParagraph"/>
      </w:pPr>
      <w:r>
        <w:rPr>
          <w:rStyle w:val="CharSchPTText"/>
        </w:rPr>
        <w:t xml:space="preserve">As at the </w:t>
      </w:r>
      <w:r w:rsidR="00A97C07">
        <w:rPr>
          <w:rStyle w:val="CharSchPTText"/>
        </w:rPr>
        <w:t>making</w:t>
      </w:r>
      <w:r>
        <w:rPr>
          <w:rStyle w:val="CharSchPTText"/>
        </w:rPr>
        <w:t xml:space="preserve"> of this </w:t>
      </w:r>
      <w:r w:rsidRPr="00B97A96">
        <w:t>Instrument</w:t>
      </w:r>
      <w:r>
        <w:rPr>
          <w:rStyle w:val="CharSchPTText"/>
        </w:rPr>
        <w:t xml:space="preserve">, this Scheme is managed by Mercer Super.   </w:t>
      </w:r>
    </w:p>
    <w:p w14:paraId="4DB2C520" w14:textId="77777777" w:rsidR="002B035F" w:rsidRPr="002B035F" w:rsidRDefault="002B035F" w:rsidP="002B035F">
      <w:pPr>
        <w:pStyle w:val="Heading2"/>
      </w:pPr>
      <w:r w:rsidRPr="004A42ED">
        <w:rPr>
          <w:rStyle w:val="CharSchPTNo"/>
        </w:rPr>
        <w:t xml:space="preserve">Part </w:t>
      </w:r>
      <w:r>
        <w:rPr>
          <w:rStyle w:val="CharSchPTNo"/>
        </w:rPr>
        <w:t xml:space="preserve">116 – </w:t>
      </w:r>
      <w:r w:rsidRPr="002B035F">
        <w:t>Woolworths Group Superannuation Scheme</w:t>
      </w:r>
    </w:p>
    <w:p w14:paraId="1A20A54E" w14:textId="76A3C685" w:rsidR="002B035F" w:rsidRPr="008D4B4B" w:rsidRDefault="002B035F" w:rsidP="00F701E6">
      <w:pPr>
        <w:pStyle w:val="ListParagraph"/>
        <w:rPr>
          <w:bCs/>
          <w:iCs/>
        </w:rPr>
      </w:pPr>
      <w:r>
        <w:t>This Part provides methods and factors for determining the gross value of an interest</w:t>
      </w:r>
      <w:r w:rsidRPr="00217924">
        <w:t xml:space="preserve"> in the</w:t>
      </w:r>
      <w:r>
        <w:t xml:space="preserve"> superannuation plan known as the</w:t>
      </w:r>
      <w:r w:rsidRPr="00217924">
        <w:t xml:space="preserve"> </w:t>
      </w:r>
      <w:r w:rsidRPr="00D8780E">
        <w:t>Woolworths Group Superannuation Scheme</w:t>
      </w:r>
      <w:r>
        <w:t>, which is the superannuation scheme established</w:t>
      </w:r>
      <w:r w:rsidR="00822B0D">
        <w:t xml:space="preserve"> by </w:t>
      </w:r>
      <w:r w:rsidR="00822B0D" w:rsidRPr="00D8780E">
        <w:t>Trust Deed dated 12 March 1970</w:t>
      </w:r>
      <w:r w:rsidRPr="00D8780E">
        <w:t>, as amended and in force on</w:t>
      </w:r>
      <w:r w:rsidR="00822B0D">
        <w:t xml:space="preserve"> </w:t>
      </w:r>
      <w:bookmarkStart w:id="12" w:name="_Hlk190773707"/>
      <w:r w:rsidR="00822B0D">
        <w:t>22 September 2005.</w:t>
      </w:r>
      <w:bookmarkEnd w:id="12"/>
    </w:p>
    <w:p w14:paraId="1F401705" w14:textId="1774242E" w:rsidR="00C95309" w:rsidRDefault="00C95309" w:rsidP="00C95309">
      <w:pPr>
        <w:pStyle w:val="Heading1"/>
        <w:rPr>
          <w:rStyle w:val="CharAmSchText"/>
        </w:rPr>
      </w:pPr>
      <w:r w:rsidRPr="00E6366E">
        <w:rPr>
          <w:rStyle w:val="CharAmSchNo"/>
        </w:rPr>
        <w:t xml:space="preserve">Schedule </w:t>
      </w:r>
      <w:r>
        <w:rPr>
          <w:rStyle w:val="CharAmSchNo"/>
        </w:rPr>
        <w:t>11</w:t>
      </w:r>
      <w:r>
        <w:t xml:space="preserve"> –</w:t>
      </w:r>
      <w:r>
        <w:rPr>
          <w:rStyle w:val="CharAmSchText"/>
        </w:rPr>
        <w:t xml:space="preserve"> Repeal of the Family Law (Superannuation) (Methods and Factors for Valuing Particular Superannuation Interests) Approval 2003</w:t>
      </w:r>
    </w:p>
    <w:p w14:paraId="63A35817" w14:textId="6C5A4744" w:rsidR="008F447F" w:rsidRDefault="008F447F" w:rsidP="008F447F">
      <w:pPr>
        <w:pStyle w:val="Heading4"/>
      </w:pPr>
      <w:r>
        <w:t>Clause 1 – The whole of the instrument</w:t>
      </w:r>
    </w:p>
    <w:p w14:paraId="6BFC007D" w14:textId="0B3B4921" w:rsidR="00A86753" w:rsidRPr="009915FB" w:rsidRDefault="00C95309" w:rsidP="008D4B4B">
      <w:pPr>
        <w:pStyle w:val="ListParagraph"/>
      </w:pPr>
      <w:r>
        <w:t xml:space="preserve">This </w:t>
      </w:r>
      <w:r w:rsidR="008F447F">
        <w:t>clause</w:t>
      </w:r>
      <w:r>
        <w:t xml:space="preserve"> </w:t>
      </w:r>
      <w:r w:rsidR="008B08F2">
        <w:t xml:space="preserve">repeals </w:t>
      </w:r>
      <w:r w:rsidR="008B08F2" w:rsidRPr="008B08F2">
        <w:t>the 200</w:t>
      </w:r>
      <w:r w:rsidR="008F447F">
        <w:t>3 Approval Instrument</w:t>
      </w:r>
      <w:r w:rsidR="008B08F2" w:rsidRPr="008B08F2">
        <w:t xml:space="preserve"> which will be replaced by the 2025</w:t>
      </w:r>
      <w:r w:rsidR="00666F9E">
        <w:t> </w:t>
      </w:r>
      <w:r>
        <w:t>Approval Instrument</w:t>
      </w:r>
      <w:r w:rsidR="008F447F">
        <w:t xml:space="preserve"> on 1 April 2025</w:t>
      </w:r>
      <w:r>
        <w:t>.</w:t>
      </w:r>
    </w:p>
    <w:sectPr w:rsidR="00A86753" w:rsidRPr="009915F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A1DB0" w14:textId="77777777" w:rsidR="00CE240C" w:rsidRDefault="00CE240C" w:rsidP="00804350">
      <w:r>
        <w:separator/>
      </w:r>
    </w:p>
  </w:endnote>
  <w:endnote w:type="continuationSeparator" w:id="0">
    <w:p w14:paraId="5FE2D261" w14:textId="77777777" w:rsidR="00CE240C" w:rsidRDefault="00CE240C" w:rsidP="00804350">
      <w:r>
        <w:continuationSeparator/>
      </w:r>
    </w:p>
  </w:endnote>
  <w:endnote w:type="continuationNotice" w:id="1">
    <w:p w14:paraId="755C15D1" w14:textId="77777777" w:rsidR="00CE240C" w:rsidRDefault="00CE240C" w:rsidP="00804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591891"/>
      <w:docPartObj>
        <w:docPartGallery w:val="Page Numbers (Bottom of Page)"/>
        <w:docPartUnique/>
      </w:docPartObj>
    </w:sdtPr>
    <w:sdtEndPr>
      <w:rPr>
        <w:noProof/>
      </w:rPr>
    </w:sdtEndPr>
    <w:sdtContent>
      <w:p w14:paraId="4144381D" w14:textId="6038A75C" w:rsidR="00131A90" w:rsidRPr="00CC4E3F" w:rsidRDefault="00131A90" w:rsidP="00804350">
        <w:pPr>
          <w:pStyle w:val="Footer"/>
        </w:pPr>
        <w:r w:rsidRPr="00CC4E3F">
          <w:fldChar w:fldCharType="begin"/>
        </w:r>
        <w:r w:rsidRPr="00CC4E3F">
          <w:instrText xml:space="preserve"> PAGE   \* MERGEFORMAT </w:instrText>
        </w:r>
        <w:r w:rsidRPr="00CC4E3F">
          <w:fldChar w:fldCharType="separate"/>
        </w:r>
        <w:r w:rsidRPr="00CC4E3F">
          <w:rPr>
            <w:noProof/>
          </w:rPr>
          <w:t>2</w:t>
        </w:r>
        <w:r w:rsidRPr="00CC4E3F">
          <w:rPr>
            <w:noProof/>
          </w:rPr>
          <w:fldChar w:fldCharType="end"/>
        </w:r>
      </w:p>
    </w:sdtContent>
  </w:sdt>
  <w:p w14:paraId="5E2AD7A7" w14:textId="77777777" w:rsidR="00131A90" w:rsidRPr="00CC4E3F" w:rsidRDefault="00131A90" w:rsidP="00804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45ACA" w14:textId="77777777" w:rsidR="00CE240C" w:rsidRDefault="00CE240C" w:rsidP="00804350">
      <w:r>
        <w:separator/>
      </w:r>
    </w:p>
  </w:footnote>
  <w:footnote w:type="continuationSeparator" w:id="0">
    <w:p w14:paraId="422A0D34" w14:textId="77777777" w:rsidR="00CE240C" w:rsidRDefault="00CE240C" w:rsidP="00804350">
      <w:r>
        <w:continuationSeparator/>
      </w:r>
    </w:p>
  </w:footnote>
  <w:footnote w:type="continuationNotice" w:id="1">
    <w:p w14:paraId="3225118C" w14:textId="77777777" w:rsidR="00CE240C" w:rsidRDefault="00CE240C" w:rsidP="008043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8886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DAB1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D6E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66F9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087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45407"/>
    <w:multiLevelType w:val="hybridMultilevel"/>
    <w:tmpl w:val="8C669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3D3B09"/>
    <w:multiLevelType w:val="hybridMultilevel"/>
    <w:tmpl w:val="90B87B4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581573"/>
    <w:multiLevelType w:val="hybridMultilevel"/>
    <w:tmpl w:val="3A6E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004142"/>
    <w:multiLevelType w:val="hybridMultilevel"/>
    <w:tmpl w:val="A0AA0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1A1C26"/>
    <w:multiLevelType w:val="multilevel"/>
    <w:tmpl w:val="396E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69B71EC"/>
    <w:multiLevelType w:val="multilevel"/>
    <w:tmpl w:val="62BC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F41715"/>
    <w:multiLevelType w:val="hybridMultilevel"/>
    <w:tmpl w:val="E56CE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14B7E28"/>
    <w:multiLevelType w:val="hybridMultilevel"/>
    <w:tmpl w:val="37CA93CE"/>
    <w:lvl w:ilvl="0" w:tplc="02FE3FA0">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6A1237"/>
    <w:multiLevelType w:val="multilevel"/>
    <w:tmpl w:val="D50A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1B354C"/>
    <w:multiLevelType w:val="hybridMultilevel"/>
    <w:tmpl w:val="C11E0D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2AF64EB4"/>
    <w:multiLevelType w:val="hybridMultilevel"/>
    <w:tmpl w:val="28604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881CFB"/>
    <w:multiLevelType w:val="hybridMultilevel"/>
    <w:tmpl w:val="6BDC7986"/>
    <w:lvl w:ilvl="0" w:tplc="B77CC8D6">
      <w:start w:val="1"/>
      <w:numFmt w:val="decimal"/>
      <w:pStyle w:val="ListParagraph"/>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0B30A92"/>
    <w:multiLevelType w:val="hybridMultilevel"/>
    <w:tmpl w:val="75606118"/>
    <w:lvl w:ilvl="0" w:tplc="02FE3FA0">
      <w:start w:val="2"/>
      <w:numFmt w:val="bullet"/>
      <w:lvlText w:val=""/>
      <w:lvlJc w:val="left"/>
      <w:pPr>
        <w:ind w:left="780" w:hanging="360"/>
      </w:pPr>
      <w:rPr>
        <w:rFonts w:ascii="Symbol" w:eastAsiaTheme="minorHAnsi" w:hAnsi="Symbol"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BC2549C"/>
    <w:multiLevelType w:val="hybridMultilevel"/>
    <w:tmpl w:val="41C46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811C3F"/>
    <w:multiLevelType w:val="hybridMultilevel"/>
    <w:tmpl w:val="395038E4"/>
    <w:lvl w:ilvl="0" w:tplc="F9D4C210">
      <w:start w:val="1"/>
      <w:numFmt w:val="lowerLetter"/>
      <w:lvlText w:val="(%1)"/>
      <w:lvlJc w:val="left"/>
      <w:pPr>
        <w:ind w:left="1800" w:hanging="360"/>
      </w:pPr>
      <w:rPr>
        <w:rFonts w:ascii="Times New Roman" w:eastAsiaTheme="minorHAnsi" w:hAnsi="Times New Roman" w:cs="Times New Roman"/>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457F49FE"/>
    <w:multiLevelType w:val="hybridMultilevel"/>
    <w:tmpl w:val="B8982250"/>
    <w:lvl w:ilvl="0" w:tplc="02FE3FA0">
      <w:start w:val="2"/>
      <w:numFmt w:val="bullet"/>
      <w:lvlText w:val=""/>
      <w:lvlJc w:val="left"/>
      <w:pPr>
        <w:ind w:left="780" w:hanging="360"/>
      </w:pPr>
      <w:rPr>
        <w:rFonts w:ascii="Symbol" w:eastAsiaTheme="minorHAnsi" w:hAnsi="Symbol"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4F59462B"/>
    <w:multiLevelType w:val="hybridMultilevel"/>
    <w:tmpl w:val="B25AB5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440777"/>
    <w:multiLevelType w:val="hybridMultilevel"/>
    <w:tmpl w:val="A6A4664C"/>
    <w:lvl w:ilvl="0" w:tplc="538C8230">
      <w:start w:val="16"/>
      <w:numFmt w:val="bullet"/>
      <w:lvlText w:val=""/>
      <w:lvlJc w:val="left"/>
      <w:pPr>
        <w:ind w:left="1800" w:hanging="360"/>
      </w:pPr>
      <w:rPr>
        <w:rFonts w:ascii="Symbol" w:eastAsiaTheme="minorHAnsi" w:hAnsi="Symbol" w:cs="Times New Roman" w:hint="default"/>
      </w:rPr>
    </w:lvl>
    <w:lvl w:ilvl="1" w:tplc="0DC22C30">
      <w:start w:val="1"/>
      <w:numFmt w:val="bullet"/>
      <w:lvlText w:val="-"/>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50BF6421"/>
    <w:multiLevelType w:val="hybridMultilevel"/>
    <w:tmpl w:val="BA3E8968"/>
    <w:lvl w:ilvl="0" w:tplc="ED6CE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26701CF"/>
    <w:multiLevelType w:val="hybridMultilevel"/>
    <w:tmpl w:val="2A7064AC"/>
    <w:lvl w:ilvl="0" w:tplc="8C32DEA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860EAB"/>
    <w:multiLevelType w:val="hybridMultilevel"/>
    <w:tmpl w:val="B02E3FC4"/>
    <w:lvl w:ilvl="0" w:tplc="9C66650C">
      <w:start w:val="1"/>
      <w:numFmt w:val="decimal"/>
      <w:pStyle w:val="Numberedparagraph"/>
      <w:lvlText w:val="%1."/>
      <w:lvlJc w:val="left"/>
      <w:pPr>
        <w:ind w:left="36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57CD20D7"/>
    <w:multiLevelType w:val="hybridMultilevel"/>
    <w:tmpl w:val="19427B38"/>
    <w:lvl w:ilvl="0" w:tplc="163ED0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7" w15:restartNumberingAfterBreak="0">
    <w:nsid w:val="66935ECB"/>
    <w:multiLevelType w:val="hybridMultilevel"/>
    <w:tmpl w:val="BD04E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39" w15:restartNumberingAfterBreak="0">
    <w:nsid w:val="702928B5"/>
    <w:multiLevelType w:val="hybridMultilevel"/>
    <w:tmpl w:val="D1CC1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F4046A"/>
    <w:multiLevelType w:val="hybridMultilevel"/>
    <w:tmpl w:val="B8B0E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D075B"/>
    <w:multiLevelType w:val="hybridMultilevel"/>
    <w:tmpl w:val="CB58997A"/>
    <w:lvl w:ilvl="0" w:tplc="0C090001">
      <w:start w:val="1"/>
      <w:numFmt w:val="bullet"/>
      <w:lvlText w:val=""/>
      <w:lvlJc w:val="left"/>
      <w:pPr>
        <w:ind w:left="788" w:hanging="504"/>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3">
      <w:start w:val="1"/>
      <w:numFmt w:val="bullet"/>
      <w:lvlText w:val="o"/>
      <w:lvlJc w:val="left"/>
      <w:pPr>
        <w:ind w:left="2880" w:hanging="360"/>
      </w:pPr>
      <w:rPr>
        <w:rFonts w:ascii="Courier New" w:hAnsi="Courier New" w:cs="Courier New" w:hint="default"/>
      </w:rPr>
    </w:lvl>
    <w:lvl w:ilvl="4" w:tplc="0C090003">
      <w:start w:val="1"/>
      <w:numFmt w:val="bullet"/>
      <w:lvlText w:val="o"/>
      <w:lvlJc w:val="left"/>
      <w:pPr>
        <w:ind w:left="3600" w:hanging="360"/>
      </w:pPr>
      <w:rPr>
        <w:rFonts w:ascii="Courier New" w:hAnsi="Courier New" w:cs="Courier New"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D71F8E"/>
    <w:multiLevelType w:val="hybridMultilevel"/>
    <w:tmpl w:val="01825B6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2"/>
  </w:num>
  <w:num w:numId="5">
    <w:abstractNumId w:val="12"/>
  </w:num>
  <w:num w:numId="6">
    <w:abstractNumId w:val="38"/>
  </w:num>
  <w:num w:numId="7">
    <w:abstractNumId w:val="31"/>
  </w:num>
  <w:num w:numId="8">
    <w:abstractNumId w:val="10"/>
  </w:num>
  <w:num w:numId="9">
    <w:abstractNumId w:val="26"/>
  </w:num>
  <w:num w:numId="10">
    <w:abstractNumId w:val="37"/>
  </w:num>
  <w:num w:numId="11">
    <w:abstractNumId w:val="30"/>
  </w:num>
  <w:num w:numId="12">
    <w:abstractNumId w:val="41"/>
  </w:num>
  <w:num w:numId="13">
    <w:abstractNumId w:val="40"/>
  </w:num>
  <w:num w:numId="14">
    <w:abstractNumId w:val="39"/>
  </w:num>
  <w:num w:numId="15">
    <w:abstractNumId w:val="22"/>
  </w:num>
  <w:num w:numId="16">
    <w:abstractNumId w:val="27"/>
  </w:num>
  <w:num w:numId="17">
    <w:abstractNumId w:val="21"/>
  </w:num>
  <w:num w:numId="18">
    <w:abstractNumId w:val="20"/>
  </w:num>
  <w:num w:numId="19">
    <w:abstractNumId w:val="16"/>
  </w:num>
  <w:num w:numId="20">
    <w:abstractNumId w:val="14"/>
  </w:num>
  <w:num w:numId="21">
    <w:abstractNumId w:val="18"/>
  </w:num>
  <w:num w:numId="22">
    <w:abstractNumId w:val="41"/>
    <w:lvlOverride w:ilvl="0">
      <w:startOverride w:val="1"/>
    </w:lvlOverride>
  </w:num>
  <w:num w:numId="23">
    <w:abstractNumId w:val="41"/>
    <w:lvlOverride w:ilvl="0">
      <w:startOverride w:val="1"/>
    </w:lvlOverride>
  </w:num>
  <w:num w:numId="24">
    <w:abstractNumId w:val="3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5"/>
  </w:num>
  <w:num w:numId="36">
    <w:abstractNumId w:val="35"/>
  </w:num>
  <w:num w:numId="37">
    <w:abstractNumId w:val="17"/>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28"/>
  </w:num>
  <w:num w:numId="41">
    <w:abstractNumId w:val="24"/>
  </w:num>
  <w:num w:numId="42">
    <w:abstractNumId w:val="29"/>
  </w:num>
  <w:num w:numId="43">
    <w:abstractNumId w:val="23"/>
  </w:num>
  <w:num w:numId="44">
    <w:abstractNumId w:val="13"/>
  </w:num>
  <w:num w:numId="45">
    <w:abstractNumId w:val="23"/>
    <w:lvlOverride w:ilvl="0">
      <w:startOverride w:val="1"/>
    </w:lvlOverride>
  </w:num>
  <w:num w:numId="46">
    <w:abstractNumId w:val="23"/>
    <w:lvlOverride w:ilvl="0">
      <w:startOverride w:val="1"/>
    </w:lvlOverride>
  </w:num>
  <w:num w:numId="47">
    <w:abstractNumId w:val="23"/>
  </w:num>
  <w:num w:numId="48">
    <w:abstractNumId w:val="3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53"/>
    <w:rsid w:val="00003793"/>
    <w:rsid w:val="00005A3A"/>
    <w:rsid w:val="0002144E"/>
    <w:rsid w:val="00021C6C"/>
    <w:rsid w:val="000228D9"/>
    <w:rsid w:val="00023D0E"/>
    <w:rsid w:val="000267FD"/>
    <w:rsid w:val="00027357"/>
    <w:rsid w:val="00031BB7"/>
    <w:rsid w:val="00033A35"/>
    <w:rsid w:val="00036A7B"/>
    <w:rsid w:val="00041913"/>
    <w:rsid w:val="00041DA3"/>
    <w:rsid w:val="00046A02"/>
    <w:rsid w:val="00051572"/>
    <w:rsid w:val="00053B9B"/>
    <w:rsid w:val="000577E2"/>
    <w:rsid w:val="00060707"/>
    <w:rsid w:val="00061865"/>
    <w:rsid w:val="00066B5D"/>
    <w:rsid w:val="0007385A"/>
    <w:rsid w:val="000739BC"/>
    <w:rsid w:val="00075709"/>
    <w:rsid w:val="00080C09"/>
    <w:rsid w:val="00081CB5"/>
    <w:rsid w:val="0008280A"/>
    <w:rsid w:val="0008394D"/>
    <w:rsid w:val="00083DAA"/>
    <w:rsid w:val="00084014"/>
    <w:rsid w:val="000848F6"/>
    <w:rsid w:val="00097142"/>
    <w:rsid w:val="000A03E3"/>
    <w:rsid w:val="000A0D04"/>
    <w:rsid w:val="000A2BE8"/>
    <w:rsid w:val="000A4426"/>
    <w:rsid w:val="000B172F"/>
    <w:rsid w:val="000B3FB9"/>
    <w:rsid w:val="000B46E4"/>
    <w:rsid w:val="000B51A8"/>
    <w:rsid w:val="000B6D4F"/>
    <w:rsid w:val="000C57A5"/>
    <w:rsid w:val="000D550D"/>
    <w:rsid w:val="000D6B7B"/>
    <w:rsid w:val="000E6DC3"/>
    <w:rsid w:val="000F0542"/>
    <w:rsid w:val="000F2054"/>
    <w:rsid w:val="000F498D"/>
    <w:rsid w:val="000F6CF3"/>
    <w:rsid w:val="00101E39"/>
    <w:rsid w:val="0010525C"/>
    <w:rsid w:val="001059D4"/>
    <w:rsid w:val="00113574"/>
    <w:rsid w:val="001174C5"/>
    <w:rsid w:val="001242CC"/>
    <w:rsid w:val="00124D52"/>
    <w:rsid w:val="001254EF"/>
    <w:rsid w:val="00125E13"/>
    <w:rsid w:val="00131A90"/>
    <w:rsid w:val="00132ECE"/>
    <w:rsid w:val="0013384D"/>
    <w:rsid w:val="00134616"/>
    <w:rsid w:val="00135920"/>
    <w:rsid w:val="00136A4E"/>
    <w:rsid w:val="0014136E"/>
    <w:rsid w:val="00141514"/>
    <w:rsid w:val="0014201F"/>
    <w:rsid w:val="00143B85"/>
    <w:rsid w:val="00144849"/>
    <w:rsid w:val="00147002"/>
    <w:rsid w:val="001530B3"/>
    <w:rsid w:val="001540BC"/>
    <w:rsid w:val="00155363"/>
    <w:rsid w:val="001556A8"/>
    <w:rsid w:val="001565A7"/>
    <w:rsid w:val="001565B2"/>
    <w:rsid w:val="0016511D"/>
    <w:rsid w:val="00172433"/>
    <w:rsid w:val="0017297C"/>
    <w:rsid w:val="001731FB"/>
    <w:rsid w:val="00181A30"/>
    <w:rsid w:val="00185C55"/>
    <w:rsid w:val="00190409"/>
    <w:rsid w:val="00191D34"/>
    <w:rsid w:val="00192992"/>
    <w:rsid w:val="001959BA"/>
    <w:rsid w:val="00195C54"/>
    <w:rsid w:val="00196106"/>
    <w:rsid w:val="001970BD"/>
    <w:rsid w:val="00197D96"/>
    <w:rsid w:val="00197DAE"/>
    <w:rsid w:val="001A222E"/>
    <w:rsid w:val="001A5EEC"/>
    <w:rsid w:val="001A618B"/>
    <w:rsid w:val="001A7B87"/>
    <w:rsid w:val="001B6018"/>
    <w:rsid w:val="001B617C"/>
    <w:rsid w:val="001B7169"/>
    <w:rsid w:val="001D1292"/>
    <w:rsid w:val="001D1C52"/>
    <w:rsid w:val="001D2F73"/>
    <w:rsid w:val="001D319C"/>
    <w:rsid w:val="001D7C8F"/>
    <w:rsid w:val="001F098F"/>
    <w:rsid w:val="001F6705"/>
    <w:rsid w:val="001F6DC9"/>
    <w:rsid w:val="001F7B3F"/>
    <w:rsid w:val="00200934"/>
    <w:rsid w:val="00202405"/>
    <w:rsid w:val="00203B53"/>
    <w:rsid w:val="00206673"/>
    <w:rsid w:val="00211779"/>
    <w:rsid w:val="00214C82"/>
    <w:rsid w:val="00214EF9"/>
    <w:rsid w:val="00215A2A"/>
    <w:rsid w:val="0021762D"/>
    <w:rsid w:val="00217924"/>
    <w:rsid w:val="00222DC1"/>
    <w:rsid w:val="00223C7F"/>
    <w:rsid w:val="0022787C"/>
    <w:rsid w:val="00231422"/>
    <w:rsid w:val="00236118"/>
    <w:rsid w:val="00240135"/>
    <w:rsid w:val="0024295F"/>
    <w:rsid w:val="00242EE9"/>
    <w:rsid w:val="00245F59"/>
    <w:rsid w:val="002522D3"/>
    <w:rsid w:val="00252FA5"/>
    <w:rsid w:val="00262C48"/>
    <w:rsid w:val="00264CA7"/>
    <w:rsid w:val="002655C5"/>
    <w:rsid w:val="00266591"/>
    <w:rsid w:val="00271CC7"/>
    <w:rsid w:val="002756DD"/>
    <w:rsid w:val="002757D8"/>
    <w:rsid w:val="0027623E"/>
    <w:rsid w:val="002776D8"/>
    <w:rsid w:val="00277BF9"/>
    <w:rsid w:val="00285B96"/>
    <w:rsid w:val="00286D88"/>
    <w:rsid w:val="00286E2D"/>
    <w:rsid w:val="0029064D"/>
    <w:rsid w:val="002A230B"/>
    <w:rsid w:val="002A2CF7"/>
    <w:rsid w:val="002A5DF7"/>
    <w:rsid w:val="002A7536"/>
    <w:rsid w:val="002B035F"/>
    <w:rsid w:val="002B0C41"/>
    <w:rsid w:val="002B14D9"/>
    <w:rsid w:val="002B1693"/>
    <w:rsid w:val="002B1E11"/>
    <w:rsid w:val="002B2297"/>
    <w:rsid w:val="002B53E2"/>
    <w:rsid w:val="002B73FF"/>
    <w:rsid w:val="002C0C4C"/>
    <w:rsid w:val="002C108F"/>
    <w:rsid w:val="002C1F02"/>
    <w:rsid w:val="002C7232"/>
    <w:rsid w:val="002C7B91"/>
    <w:rsid w:val="002E00DC"/>
    <w:rsid w:val="002E2805"/>
    <w:rsid w:val="002E4D4B"/>
    <w:rsid w:val="002E58F1"/>
    <w:rsid w:val="002E7315"/>
    <w:rsid w:val="002F430D"/>
    <w:rsid w:val="002F5749"/>
    <w:rsid w:val="002F602D"/>
    <w:rsid w:val="002F730E"/>
    <w:rsid w:val="00303ADD"/>
    <w:rsid w:val="00310CF3"/>
    <w:rsid w:val="0031192E"/>
    <w:rsid w:val="00315396"/>
    <w:rsid w:val="00315796"/>
    <w:rsid w:val="00330B21"/>
    <w:rsid w:val="003330BD"/>
    <w:rsid w:val="0033577F"/>
    <w:rsid w:val="00340BF5"/>
    <w:rsid w:val="003414D6"/>
    <w:rsid w:val="00342D88"/>
    <w:rsid w:val="00347600"/>
    <w:rsid w:val="00350337"/>
    <w:rsid w:val="0035474D"/>
    <w:rsid w:val="00357490"/>
    <w:rsid w:val="003577E8"/>
    <w:rsid w:val="00365729"/>
    <w:rsid w:val="00367A4D"/>
    <w:rsid w:val="00373B7D"/>
    <w:rsid w:val="00375DE7"/>
    <w:rsid w:val="00377585"/>
    <w:rsid w:val="00385CEA"/>
    <w:rsid w:val="003862FC"/>
    <w:rsid w:val="00390D5A"/>
    <w:rsid w:val="0039559F"/>
    <w:rsid w:val="003A0D42"/>
    <w:rsid w:val="003A16F5"/>
    <w:rsid w:val="003A1BC8"/>
    <w:rsid w:val="003A3497"/>
    <w:rsid w:val="003A5B31"/>
    <w:rsid w:val="003A61F7"/>
    <w:rsid w:val="003A7152"/>
    <w:rsid w:val="003B0144"/>
    <w:rsid w:val="003B64FA"/>
    <w:rsid w:val="003B73D0"/>
    <w:rsid w:val="003C10AA"/>
    <w:rsid w:val="003C2F28"/>
    <w:rsid w:val="003D0238"/>
    <w:rsid w:val="003D0262"/>
    <w:rsid w:val="003D4E13"/>
    <w:rsid w:val="003E5B88"/>
    <w:rsid w:val="003F122C"/>
    <w:rsid w:val="0040007D"/>
    <w:rsid w:val="00401B9F"/>
    <w:rsid w:val="00404DC2"/>
    <w:rsid w:val="00411835"/>
    <w:rsid w:val="00411BF2"/>
    <w:rsid w:val="004149AD"/>
    <w:rsid w:val="00414D24"/>
    <w:rsid w:val="004211AC"/>
    <w:rsid w:val="00421BC7"/>
    <w:rsid w:val="00422785"/>
    <w:rsid w:val="004227FA"/>
    <w:rsid w:val="00427B80"/>
    <w:rsid w:val="004314D1"/>
    <w:rsid w:val="00432C43"/>
    <w:rsid w:val="00433E2C"/>
    <w:rsid w:val="00436F16"/>
    <w:rsid w:val="0044519C"/>
    <w:rsid w:val="00446A10"/>
    <w:rsid w:val="00453098"/>
    <w:rsid w:val="00457394"/>
    <w:rsid w:val="00464F3C"/>
    <w:rsid w:val="00465676"/>
    <w:rsid w:val="004664B3"/>
    <w:rsid w:val="004666D9"/>
    <w:rsid w:val="0046731A"/>
    <w:rsid w:val="00472BA3"/>
    <w:rsid w:val="00473433"/>
    <w:rsid w:val="004735D0"/>
    <w:rsid w:val="00473F9F"/>
    <w:rsid w:val="00490481"/>
    <w:rsid w:val="00490870"/>
    <w:rsid w:val="004924A2"/>
    <w:rsid w:val="00494513"/>
    <w:rsid w:val="00497317"/>
    <w:rsid w:val="004A0C23"/>
    <w:rsid w:val="004B20C4"/>
    <w:rsid w:val="004B245B"/>
    <w:rsid w:val="004B3789"/>
    <w:rsid w:val="004B42DB"/>
    <w:rsid w:val="004B4F3E"/>
    <w:rsid w:val="004B5CD0"/>
    <w:rsid w:val="004C0380"/>
    <w:rsid w:val="004C6B5A"/>
    <w:rsid w:val="004E2091"/>
    <w:rsid w:val="004E2BAB"/>
    <w:rsid w:val="004E4E9F"/>
    <w:rsid w:val="004E4FE5"/>
    <w:rsid w:val="004E6E82"/>
    <w:rsid w:val="004F186B"/>
    <w:rsid w:val="004F5653"/>
    <w:rsid w:val="004F662D"/>
    <w:rsid w:val="004F6D1C"/>
    <w:rsid w:val="005002DC"/>
    <w:rsid w:val="00500695"/>
    <w:rsid w:val="00501357"/>
    <w:rsid w:val="00502ADA"/>
    <w:rsid w:val="0050601A"/>
    <w:rsid w:val="00511064"/>
    <w:rsid w:val="00513A8C"/>
    <w:rsid w:val="005140CD"/>
    <w:rsid w:val="00516A08"/>
    <w:rsid w:val="00517908"/>
    <w:rsid w:val="0052009B"/>
    <w:rsid w:val="0052071D"/>
    <w:rsid w:val="005249D8"/>
    <w:rsid w:val="00536E60"/>
    <w:rsid w:val="00540238"/>
    <w:rsid w:val="00540D69"/>
    <w:rsid w:val="00543CE1"/>
    <w:rsid w:val="00551B74"/>
    <w:rsid w:val="00554F7B"/>
    <w:rsid w:val="00561E3C"/>
    <w:rsid w:val="005624A0"/>
    <w:rsid w:val="0056286F"/>
    <w:rsid w:val="00564C62"/>
    <w:rsid w:val="00565ED4"/>
    <w:rsid w:val="0057077D"/>
    <w:rsid w:val="005725D3"/>
    <w:rsid w:val="0057350C"/>
    <w:rsid w:val="00573A22"/>
    <w:rsid w:val="0057772E"/>
    <w:rsid w:val="0058270F"/>
    <w:rsid w:val="00592E3E"/>
    <w:rsid w:val="00595D90"/>
    <w:rsid w:val="005968AB"/>
    <w:rsid w:val="00596E42"/>
    <w:rsid w:val="0059716B"/>
    <w:rsid w:val="005A046B"/>
    <w:rsid w:val="005A6511"/>
    <w:rsid w:val="005A78B0"/>
    <w:rsid w:val="005B37C5"/>
    <w:rsid w:val="005B7A51"/>
    <w:rsid w:val="005C49FD"/>
    <w:rsid w:val="005C51AF"/>
    <w:rsid w:val="005D068C"/>
    <w:rsid w:val="005D0DB0"/>
    <w:rsid w:val="005D5AC0"/>
    <w:rsid w:val="005F1E91"/>
    <w:rsid w:val="005F1F80"/>
    <w:rsid w:val="005F28F1"/>
    <w:rsid w:val="005F7A84"/>
    <w:rsid w:val="00600965"/>
    <w:rsid w:val="00600B8F"/>
    <w:rsid w:val="0060178E"/>
    <w:rsid w:val="00602452"/>
    <w:rsid w:val="00603759"/>
    <w:rsid w:val="00604C22"/>
    <w:rsid w:val="00611979"/>
    <w:rsid w:val="00612F22"/>
    <w:rsid w:val="00616BD3"/>
    <w:rsid w:val="0062187F"/>
    <w:rsid w:val="00631C2E"/>
    <w:rsid w:val="006348DE"/>
    <w:rsid w:val="00634C75"/>
    <w:rsid w:val="00635FFE"/>
    <w:rsid w:val="00637693"/>
    <w:rsid w:val="00644853"/>
    <w:rsid w:val="00645216"/>
    <w:rsid w:val="00645CF9"/>
    <w:rsid w:val="00650071"/>
    <w:rsid w:val="00652BFB"/>
    <w:rsid w:val="00655CB3"/>
    <w:rsid w:val="00661787"/>
    <w:rsid w:val="0066217A"/>
    <w:rsid w:val="00663FF7"/>
    <w:rsid w:val="00666F9E"/>
    <w:rsid w:val="00670BE8"/>
    <w:rsid w:val="00673299"/>
    <w:rsid w:val="00675401"/>
    <w:rsid w:val="006817D7"/>
    <w:rsid w:val="00685BDE"/>
    <w:rsid w:val="00687B96"/>
    <w:rsid w:val="0069682B"/>
    <w:rsid w:val="006A0637"/>
    <w:rsid w:val="006A4B2B"/>
    <w:rsid w:val="006B12D2"/>
    <w:rsid w:val="006B651C"/>
    <w:rsid w:val="006B7F14"/>
    <w:rsid w:val="006C0B4F"/>
    <w:rsid w:val="006C24D5"/>
    <w:rsid w:val="006C4723"/>
    <w:rsid w:val="006C7B45"/>
    <w:rsid w:val="006C7F41"/>
    <w:rsid w:val="006D1DA0"/>
    <w:rsid w:val="006D2C30"/>
    <w:rsid w:val="006D7679"/>
    <w:rsid w:val="006E10FE"/>
    <w:rsid w:val="006E1E1D"/>
    <w:rsid w:val="006E4CD2"/>
    <w:rsid w:val="006E6F78"/>
    <w:rsid w:val="006E73AD"/>
    <w:rsid w:val="006E7A7C"/>
    <w:rsid w:val="006F644E"/>
    <w:rsid w:val="006F7077"/>
    <w:rsid w:val="006F7158"/>
    <w:rsid w:val="006F78E9"/>
    <w:rsid w:val="0070387F"/>
    <w:rsid w:val="0070655F"/>
    <w:rsid w:val="00706F94"/>
    <w:rsid w:val="0070769F"/>
    <w:rsid w:val="00715D52"/>
    <w:rsid w:val="00720BC8"/>
    <w:rsid w:val="00720F4C"/>
    <w:rsid w:val="0072221E"/>
    <w:rsid w:val="00725C37"/>
    <w:rsid w:val="00725D40"/>
    <w:rsid w:val="00731C96"/>
    <w:rsid w:val="00732F57"/>
    <w:rsid w:val="00741109"/>
    <w:rsid w:val="007412D1"/>
    <w:rsid w:val="00742F5D"/>
    <w:rsid w:val="007522B4"/>
    <w:rsid w:val="00753283"/>
    <w:rsid w:val="00753852"/>
    <w:rsid w:val="007544BD"/>
    <w:rsid w:val="00754B18"/>
    <w:rsid w:val="00762CD2"/>
    <w:rsid w:val="007654A2"/>
    <w:rsid w:val="00765612"/>
    <w:rsid w:val="00765D3C"/>
    <w:rsid w:val="00767B4B"/>
    <w:rsid w:val="00780348"/>
    <w:rsid w:val="00780D1D"/>
    <w:rsid w:val="007812D0"/>
    <w:rsid w:val="00785140"/>
    <w:rsid w:val="0078639E"/>
    <w:rsid w:val="00787E07"/>
    <w:rsid w:val="00794BA4"/>
    <w:rsid w:val="00795F17"/>
    <w:rsid w:val="007A073B"/>
    <w:rsid w:val="007A66F2"/>
    <w:rsid w:val="007B35D7"/>
    <w:rsid w:val="007B3FFD"/>
    <w:rsid w:val="007B6D3D"/>
    <w:rsid w:val="007B7949"/>
    <w:rsid w:val="007B7E2C"/>
    <w:rsid w:val="007C10F0"/>
    <w:rsid w:val="007C228A"/>
    <w:rsid w:val="007C3282"/>
    <w:rsid w:val="007C4544"/>
    <w:rsid w:val="007C4F6D"/>
    <w:rsid w:val="007C4FAF"/>
    <w:rsid w:val="007C6F36"/>
    <w:rsid w:val="007D3A3E"/>
    <w:rsid w:val="007D3DD7"/>
    <w:rsid w:val="007D57B3"/>
    <w:rsid w:val="007D623C"/>
    <w:rsid w:val="007D62C6"/>
    <w:rsid w:val="007D6CAA"/>
    <w:rsid w:val="007D7932"/>
    <w:rsid w:val="007E2834"/>
    <w:rsid w:val="007F000C"/>
    <w:rsid w:val="007F44C2"/>
    <w:rsid w:val="007F5B3C"/>
    <w:rsid w:val="007F6E5E"/>
    <w:rsid w:val="0080096A"/>
    <w:rsid w:val="008017B8"/>
    <w:rsid w:val="00801EE1"/>
    <w:rsid w:val="008034E9"/>
    <w:rsid w:val="00804350"/>
    <w:rsid w:val="008118DA"/>
    <w:rsid w:val="00812A8D"/>
    <w:rsid w:val="00822B0D"/>
    <w:rsid w:val="0082481F"/>
    <w:rsid w:val="00824D7F"/>
    <w:rsid w:val="00831EA9"/>
    <w:rsid w:val="00832938"/>
    <w:rsid w:val="00833698"/>
    <w:rsid w:val="008350DE"/>
    <w:rsid w:val="008410A3"/>
    <w:rsid w:val="00841E40"/>
    <w:rsid w:val="00842E6F"/>
    <w:rsid w:val="00843A25"/>
    <w:rsid w:val="008500FF"/>
    <w:rsid w:val="00851DB6"/>
    <w:rsid w:val="00852311"/>
    <w:rsid w:val="008555E5"/>
    <w:rsid w:val="0086233D"/>
    <w:rsid w:val="0086361E"/>
    <w:rsid w:val="00867614"/>
    <w:rsid w:val="0087421F"/>
    <w:rsid w:val="00880440"/>
    <w:rsid w:val="00880A5E"/>
    <w:rsid w:val="0088327A"/>
    <w:rsid w:val="00885EF6"/>
    <w:rsid w:val="008865C0"/>
    <w:rsid w:val="00890DFD"/>
    <w:rsid w:val="00892B0F"/>
    <w:rsid w:val="0089761D"/>
    <w:rsid w:val="008A01A0"/>
    <w:rsid w:val="008A0756"/>
    <w:rsid w:val="008A2648"/>
    <w:rsid w:val="008A350F"/>
    <w:rsid w:val="008B08F2"/>
    <w:rsid w:val="008B16FC"/>
    <w:rsid w:val="008B2538"/>
    <w:rsid w:val="008B636F"/>
    <w:rsid w:val="008C1224"/>
    <w:rsid w:val="008C4BE4"/>
    <w:rsid w:val="008C69CF"/>
    <w:rsid w:val="008D00E7"/>
    <w:rsid w:val="008D4AAE"/>
    <w:rsid w:val="008D4B4B"/>
    <w:rsid w:val="008D4F26"/>
    <w:rsid w:val="008E46CF"/>
    <w:rsid w:val="008E55EF"/>
    <w:rsid w:val="008E60AD"/>
    <w:rsid w:val="008F016D"/>
    <w:rsid w:val="008F1447"/>
    <w:rsid w:val="008F447F"/>
    <w:rsid w:val="008F5474"/>
    <w:rsid w:val="00901211"/>
    <w:rsid w:val="00901351"/>
    <w:rsid w:val="00902800"/>
    <w:rsid w:val="00904B0E"/>
    <w:rsid w:val="009105B1"/>
    <w:rsid w:val="00910B7C"/>
    <w:rsid w:val="00912539"/>
    <w:rsid w:val="00912A67"/>
    <w:rsid w:val="00912F7F"/>
    <w:rsid w:val="00915135"/>
    <w:rsid w:val="00920CD2"/>
    <w:rsid w:val="009214BF"/>
    <w:rsid w:val="00922E22"/>
    <w:rsid w:val="009237D1"/>
    <w:rsid w:val="009308C4"/>
    <w:rsid w:val="0093129D"/>
    <w:rsid w:val="0093199F"/>
    <w:rsid w:val="00942646"/>
    <w:rsid w:val="00943791"/>
    <w:rsid w:val="00951D30"/>
    <w:rsid w:val="00952096"/>
    <w:rsid w:val="009523A6"/>
    <w:rsid w:val="00956585"/>
    <w:rsid w:val="00956F9E"/>
    <w:rsid w:val="0096112C"/>
    <w:rsid w:val="009638D9"/>
    <w:rsid w:val="00971429"/>
    <w:rsid w:val="009747B8"/>
    <w:rsid w:val="00974ECF"/>
    <w:rsid w:val="00975EF1"/>
    <w:rsid w:val="00977E18"/>
    <w:rsid w:val="0098124B"/>
    <w:rsid w:val="00982C1B"/>
    <w:rsid w:val="00982CC7"/>
    <w:rsid w:val="00987F82"/>
    <w:rsid w:val="00990B26"/>
    <w:rsid w:val="009915FB"/>
    <w:rsid w:val="009932E8"/>
    <w:rsid w:val="00994D5C"/>
    <w:rsid w:val="00996E04"/>
    <w:rsid w:val="009A0FF2"/>
    <w:rsid w:val="009A5460"/>
    <w:rsid w:val="009B267D"/>
    <w:rsid w:val="009B3FF7"/>
    <w:rsid w:val="009B402F"/>
    <w:rsid w:val="009B5A0E"/>
    <w:rsid w:val="009C1857"/>
    <w:rsid w:val="009C63F4"/>
    <w:rsid w:val="009D1505"/>
    <w:rsid w:val="009D1795"/>
    <w:rsid w:val="009D2388"/>
    <w:rsid w:val="009D5CDD"/>
    <w:rsid w:val="009E039F"/>
    <w:rsid w:val="009E10B5"/>
    <w:rsid w:val="009E2AC6"/>
    <w:rsid w:val="009E3A10"/>
    <w:rsid w:val="009E4A47"/>
    <w:rsid w:val="009E6A50"/>
    <w:rsid w:val="009E73A4"/>
    <w:rsid w:val="009F1E37"/>
    <w:rsid w:val="009F29F7"/>
    <w:rsid w:val="009F2F0B"/>
    <w:rsid w:val="009F35EF"/>
    <w:rsid w:val="009F518C"/>
    <w:rsid w:val="009F5BD8"/>
    <w:rsid w:val="009F5FFF"/>
    <w:rsid w:val="009F62A9"/>
    <w:rsid w:val="009F7B83"/>
    <w:rsid w:val="00A0385A"/>
    <w:rsid w:val="00A04757"/>
    <w:rsid w:val="00A05B77"/>
    <w:rsid w:val="00A05B86"/>
    <w:rsid w:val="00A05EDB"/>
    <w:rsid w:val="00A075B7"/>
    <w:rsid w:val="00A14C40"/>
    <w:rsid w:val="00A25FBB"/>
    <w:rsid w:val="00A30BEC"/>
    <w:rsid w:val="00A3398F"/>
    <w:rsid w:val="00A35F73"/>
    <w:rsid w:val="00A36052"/>
    <w:rsid w:val="00A3727F"/>
    <w:rsid w:val="00A44576"/>
    <w:rsid w:val="00A46DD9"/>
    <w:rsid w:val="00A51172"/>
    <w:rsid w:val="00A51CF0"/>
    <w:rsid w:val="00A542E3"/>
    <w:rsid w:val="00A54671"/>
    <w:rsid w:val="00A57C1A"/>
    <w:rsid w:val="00A6230A"/>
    <w:rsid w:val="00A634F6"/>
    <w:rsid w:val="00A66E67"/>
    <w:rsid w:val="00A67097"/>
    <w:rsid w:val="00A67E9A"/>
    <w:rsid w:val="00A71EA1"/>
    <w:rsid w:val="00A743F4"/>
    <w:rsid w:val="00A76CDC"/>
    <w:rsid w:val="00A7726F"/>
    <w:rsid w:val="00A7754E"/>
    <w:rsid w:val="00A779E7"/>
    <w:rsid w:val="00A86753"/>
    <w:rsid w:val="00A90AB3"/>
    <w:rsid w:val="00A90EAD"/>
    <w:rsid w:val="00A95716"/>
    <w:rsid w:val="00A969C8"/>
    <w:rsid w:val="00A97C07"/>
    <w:rsid w:val="00AA12CD"/>
    <w:rsid w:val="00AA15F7"/>
    <w:rsid w:val="00AA27AC"/>
    <w:rsid w:val="00AA3BFD"/>
    <w:rsid w:val="00AA41AB"/>
    <w:rsid w:val="00AA70B7"/>
    <w:rsid w:val="00AB10BB"/>
    <w:rsid w:val="00AB1EC3"/>
    <w:rsid w:val="00AB26BF"/>
    <w:rsid w:val="00AC1725"/>
    <w:rsid w:val="00AC6863"/>
    <w:rsid w:val="00AE3194"/>
    <w:rsid w:val="00AE3469"/>
    <w:rsid w:val="00AF01F4"/>
    <w:rsid w:val="00AF33AD"/>
    <w:rsid w:val="00B01C02"/>
    <w:rsid w:val="00B02874"/>
    <w:rsid w:val="00B04970"/>
    <w:rsid w:val="00B0594B"/>
    <w:rsid w:val="00B066FC"/>
    <w:rsid w:val="00B0795D"/>
    <w:rsid w:val="00B13686"/>
    <w:rsid w:val="00B2326E"/>
    <w:rsid w:val="00B23CC0"/>
    <w:rsid w:val="00B2533F"/>
    <w:rsid w:val="00B27C65"/>
    <w:rsid w:val="00B27E01"/>
    <w:rsid w:val="00B32281"/>
    <w:rsid w:val="00B35FB7"/>
    <w:rsid w:val="00B37062"/>
    <w:rsid w:val="00B42317"/>
    <w:rsid w:val="00B42BC1"/>
    <w:rsid w:val="00B438CD"/>
    <w:rsid w:val="00B45F37"/>
    <w:rsid w:val="00B4730A"/>
    <w:rsid w:val="00B51249"/>
    <w:rsid w:val="00B51F53"/>
    <w:rsid w:val="00B56C99"/>
    <w:rsid w:val="00B57AAA"/>
    <w:rsid w:val="00B65317"/>
    <w:rsid w:val="00B663D8"/>
    <w:rsid w:val="00B6641E"/>
    <w:rsid w:val="00B709C6"/>
    <w:rsid w:val="00B724A1"/>
    <w:rsid w:val="00B7458D"/>
    <w:rsid w:val="00B74FCA"/>
    <w:rsid w:val="00B76023"/>
    <w:rsid w:val="00B764C8"/>
    <w:rsid w:val="00B7668A"/>
    <w:rsid w:val="00B778C2"/>
    <w:rsid w:val="00B81E44"/>
    <w:rsid w:val="00B834C5"/>
    <w:rsid w:val="00B85AB7"/>
    <w:rsid w:val="00B85DCF"/>
    <w:rsid w:val="00B87347"/>
    <w:rsid w:val="00B92A09"/>
    <w:rsid w:val="00B94B04"/>
    <w:rsid w:val="00B95085"/>
    <w:rsid w:val="00B957B6"/>
    <w:rsid w:val="00BA5910"/>
    <w:rsid w:val="00BA61C1"/>
    <w:rsid w:val="00BA7762"/>
    <w:rsid w:val="00BB1989"/>
    <w:rsid w:val="00BB1B4F"/>
    <w:rsid w:val="00BB4C8F"/>
    <w:rsid w:val="00BC033C"/>
    <w:rsid w:val="00BC2B73"/>
    <w:rsid w:val="00BD005C"/>
    <w:rsid w:val="00BD3E7F"/>
    <w:rsid w:val="00BD6142"/>
    <w:rsid w:val="00BD6EC0"/>
    <w:rsid w:val="00BE29B1"/>
    <w:rsid w:val="00BE3933"/>
    <w:rsid w:val="00BE3FD1"/>
    <w:rsid w:val="00BF14BA"/>
    <w:rsid w:val="00BF6096"/>
    <w:rsid w:val="00C028FF"/>
    <w:rsid w:val="00C04D2D"/>
    <w:rsid w:val="00C10174"/>
    <w:rsid w:val="00C11131"/>
    <w:rsid w:val="00C11DFE"/>
    <w:rsid w:val="00C13ED5"/>
    <w:rsid w:val="00C15264"/>
    <w:rsid w:val="00C153DE"/>
    <w:rsid w:val="00C1565B"/>
    <w:rsid w:val="00C201A8"/>
    <w:rsid w:val="00C2353F"/>
    <w:rsid w:val="00C24B43"/>
    <w:rsid w:val="00C27EB0"/>
    <w:rsid w:val="00C30AB9"/>
    <w:rsid w:val="00C3375C"/>
    <w:rsid w:val="00C355E6"/>
    <w:rsid w:val="00C36832"/>
    <w:rsid w:val="00C400A7"/>
    <w:rsid w:val="00C411FC"/>
    <w:rsid w:val="00C42111"/>
    <w:rsid w:val="00C4362B"/>
    <w:rsid w:val="00C44BC2"/>
    <w:rsid w:val="00C53860"/>
    <w:rsid w:val="00C557AB"/>
    <w:rsid w:val="00C62158"/>
    <w:rsid w:val="00C63599"/>
    <w:rsid w:val="00C637E6"/>
    <w:rsid w:val="00C638B9"/>
    <w:rsid w:val="00C6592C"/>
    <w:rsid w:val="00C673D8"/>
    <w:rsid w:val="00C77E7A"/>
    <w:rsid w:val="00C82935"/>
    <w:rsid w:val="00C833B9"/>
    <w:rsid w:val="00C85C02"/>
    <w:rsid w:val="00C85D1E"/>
    <w:rsid w:val="00C929A0"/>
    <w:rsid w:val="00C92BE0"/>
    <w:rsid w:val="00C94CB9"/>
    <w:rsid w:val="00C94D29"/>
    <w:rsid w:val="00C95309"/>
    <w:rsid w:val="00C95660"/>
    <w:rsid w:val="00C9796F"/>
    <w:rsid w:val="00CA5B75"/>
    <w:rsid w:val="00CA7AD0"/>
    <w:rsid w:val="00CA7FE2"/>
    <w:rsid w:val="00CB2758"/>
    <w:rsid w:val="00CB3393"/>
    <w:rsid w:val="00CC4E3F"/>
    <w:rsid w:val="00CC555E"/>
    <w:rsid w:val="00CD421B"/>
    <w:rsid w:val="00CD67CC"/>
    <w:rsid w:val="00CE1E28"/>
    <w:rsid w:val="00CE2291"/>
    <w:rsid w:val="00CE240C"/>
    <w:rsid w:val="00CE5615"/>
    <w:rsid w:val="00CE5B60"/>
    <w:rsid w:val="00CE709F"/>
    <w:rsid w:val="00CF4856"/>
    <w:rsid w:val="00CF51B1"/>
    <w:rsid w:val="00D0170C"/>
    <w:rsid w:val="00D01DAD"/>
    <w:rsid w:val="00D109C7"/>
    <w:rsid w:val="00D139E3"/>
    <w:rsid w:val="00D25BCD"/>
    <w:rsid w:val="00D2639E"/>
    <w:rsid w:val="00D375BD"/>
    <w:rsid w:val="00D40077"/>
    <w:rsid w:val="00D40A3C"/>
    <w:rsid w:val="00D45D59"/>
    <w:rsid w:val="00D501F3"/>
    <w:rsid w:val="00D523EB"/>
    <w:rsid w:val="00D544A6"/>
    <w:rsid w:val="00D54D74"/>
    <w:rsid w:val="00D61B9B"/>
    <w:rsid w:val="00D626CD"/>
    <w:rsid w:val="00D62D00"/>
    <w:rsid w:val="00D640F1"/>
    <w:rsid w:val="00D65BCD"/>
    <w:rsid w:val="00D672B0"/>
    <w:rsid w:val="00D713C4"/>
    <w:rsid w:val="00D74727"/>
    <w:rsid w:val="00D76B5C"/>
    <w:rsid w:val="00D80AB1"/>
    <w:rsid w:val="00D81460"/>
    <w:rsid w:val="00D825CA"/>
    <w:rsid w:val="00D828CF"/>
    <w:rsid w:val="00D9122A"/>
    <w:rsid w:val="00D97C1C"/>
    <w:rsid w:val="00D97F2B"/>
    <w:rsid w:val="00DA2145"/>
    <w:rsid w:val="00DA27BB"/>
    <w:rsid w:val="00DA2D11"/>
    <w:rsid w:val="00DB28BE"/>
    <w:rsid w:val="00DB2BE7"/>
    <w:rsid w:val="00DB46E8"/>
    <w:rsid w:val="00DC214C"/>
    <w:rsid w:val="00DC57F0"/>
    <w:rsid w:val="00DD6575"/>
    <w:rsid w:val="00DE0A34"/>
    <w:rsid w:val="00DF2E62"/>
    <w:rsid w:val="00DF3EE2"/>
    <w:rsid w:val="00DF4490"/>
    <w:rsid w:val="00DF731A"/>
    <w:rsid w:val="00E05AE5"/>
    <w:rsid w:val="00E06808"/>
    <w:rsid w:val="00E13307"/>
    <w:rsid w:val="00E147C5"/>
    <w:rsid w:val="00E15FD5"/>
    <w:rsid w:val="00E16898"/>
    <w:rsid w:val="00E20443"/>
    <w:rsid w:val="00E20940"/>
    <w:rsid w:val="00E21090"/>
    <w:rsid w:val="00E25EBA"/>
    <w:rsid w:val="00E26FED"/>
    <w:rsid w:val="00E30F4F"/>
    <w:rsid w:val="00E34AF6"/>
    <w:rsid w:val="00E34E49"/>
    <w:rsid w:val="00E357ED"/>
    <w:rsid w:val="00E41B51"/>
    <w:rsid w:val="00E4322F"/>
    <w:rsid w:val="00E43497"/>
    <w:rsid w:val="00E439E3"/>
    <w:rsid w:val="00E4665C"/>
    <w:rsid w:val="00E5150C"/>
    <w:rsid w:val="00E51EDB"/>
    <w:rsid w:val="00E6396A"/>
    <w:rsid w:val="00E64CF7"/>
    <w:rsid w:val="00E733F8"/>
    <w:rsid w:val="00E76132"/>
    <w:rsid w:val="00E76D19"/>
    <w:rsid w:val="00E863DC"/>
    <w:rsid w:val="00E876ED"/>
    <w:rsid w:val="00E908BE"/>
    <w:rsid w:val="00E973AF"/>
    <w:rsid w:val="00EA4852"/>
    <w:rsid w:val="00EA4C0C"/>
    <w:rsid w:val="00EB126A"/>
    <w:rsid w:val="00EB17C4"/>
    <w:rsid w:val="00EB254B"/>
    <w:rsid w:val="00EB2BD6"/>
    <w:rsid w:val="00EB4BFC"/>
    <w:rsid w:val="00EB7E42"/>
    <w:rsid w:val="00EC34F8"/>
    <w:rsid w:val="00EC4975"/>
    <w:rsid w:val="00EC4C49"/>
    <w:rsid w:val="00ED2811"/>
    <w:rsid w:val="00ED2EA6"/>
    <w:rsid w:val="00ED3AEC"/>
    <w:rsid w:val="00EE0AAD"/>
    <w:rsid w:val="00EE0FB1"/>
    <w:rsid w:val="00EE19E0"/>
    <w:rsid w:val="00EE1D0A"/>
    <w:rsid w:val="00EE2BFC"/>
    <w:rsid w:val="00EE3FFF"/>
    <w:rsid w:val="00EE49B1"/>
    <w:rsid w:val="00EE565F"/>
    <w:rsid w:val="00EE697F"/>
    <w:rsid w:val="00EE78E4"/>
    <w:rsid w:val="00EE7EF8"/>
    <w:rsid w:val="00EF07B2"/>
    <w:rsid w:val="00EF331B"/>
    <w:rsid w:val="00EF35C5"/>
    <w:rsid w:val="00EF685E"/>
    <w:rsid w:val="00EF7FB2"/>
    <w:rsid w:val="00F00FC8"/>
    <w:rsid w:val="00F02DCF"/>
    <w:rsid w:val="00F03296"/>
    <w:rsid w:val="00F05A68"/>
    <w:rsid w:val="00F33F9E"/>
    <w:rsid w:val="00F355F6"/>
    <w:rsid w:val="00F44291"/>
    <w:rsid w:val="00F44B00"/>
    <w:rsid w:val="00F45C14"/>
    <w:rsid w:val="00F47995"/>
    <w:rsid w:val="00F50BE8"/>
    <w:rsid w:val="00F5626E"/>
    <w:rsid w:val="00F57141"/>
    <w:rsid w:val="00F61418"/>
    <w:rsid w:val="00F6315C"/>
    <w:rsid w:val="00F63502"/>
    <w:rsid w:val="00F64D4C"/>
    <w:rsid w:val="00F66923"/>
    <w:rsid w:val="00F670E6"/>
    <w:rsid w:val="00F67390"/>
    <w:rsid w:val="00F67D88"/>
    <w:rsid w:val="00F701E6"/>
    <w:rsid w:val="00F73B70"/>
    <w:rsid w:val="00F764A9"/>
    <w:rsid w:val="00F77869"/>
    <w:rsid w:val="00F808D3"/>
    <w:rsid w:val="00F816D1"/>
    <w:rsid w:val="00F81F9F"/>
    <w:rsid w:val="00F9059C"/>
    <w:rsid w:val="00F90AAD"/>
    <w:rsid w:val="00F91004"/>
    <w:rsid w:val="00F95E47"/>
    <w:rsid w:val="00F9609B"/>
    <w:rsid w:val="00F97F92"/>
    <w:rsid w:val="00FA06B3"/>
    <w:rsid w:val="00FA6445"/>
    <w:rsid w:val="00FB1894"/>
    <w:rsid w:val="00FB42F3"/>
    <w:rsid w:val="00FB476C"/>
    <w:rsid w:val="00FB613D"/>
    <w:rsid w:val="00FB646B"/>
    <w:rsid w:val="00FB711D"/>
    <w:rsid w:val="00FB7352"/>
    <w:rsid w:val="00FC474D"/>
    <w:rsid w:val="00FC5D2B"/>
    <w:rsid w:val="00FC7763"/>
    <w:rsid w:val="00FC7E84"/>
    <w:rsid w:val="00FD020C"/>
    <w:rsid w:val="00FD0542"/>
    <w:rsid w:val="00FD3698"/>
    <w:rsid w:val="00FE74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93A6"/>
  <w15:chartTrackingRefBased/>
  <w15:docId w15:val="{93D70364-22F6-40D6-BAD9-A7E9E8FA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350"/>
    <w:pPr>
      <w:spacing w:after="200" w:line="276" w:lineRule="auto"/>
    </w:pPr>
    <w:rPr>
      <w:rFonts w:ascii="Times New Roman" w:hAnsi="Times New Roman" w:cs="Times New Roman"/>
      <w:lang w:eastAsia="en-AU"/>
    </w:rPr>
  </w:style>
  <w:style w:type="paragraph" w:styleId="Heading1">
    <w:name w:val="heading 1"/>
    <w:aliases w:val="Part Heading"/>
    <w:basedOn w:val="Normal"/>
    <w:next w:val="Normal"/>
    <w:link w:val="Heading1Char"/>
    <w:uiPriority w:val="9"/>
    <w:qFormat/>
    <w:rsid w:val="00956F9E"/>
    <w:pPr>
      <w:spacing w:after="160" w:line="240" w:lineRule="auto"/>
      <w:ind w:right="91"/>
      <w:outlineLvl w:val="0"/>
    </w:pPr>
    <w:rPr>
      <w:rFonts w:eastAsia="Times New Roman"/>
      <w:b/>
      <w:sz w:val="24"/>
      <w:szCs w:val="24"/>
    </w:rPr>
  </w:style>
  <w:style w:type="paragraph" w:styleId="Heading2">
    <w:name w:val="heading 2"/>
    <w:aliases w:val="Div Heading"/>
    <w:basedOn w:val="Heading3"/>
    <w:next w:val="Normal"/>
    <w:link w:val="Heading2Char"/>
    <w:uiPriority w:val="9"/>
    <w:unhideWhenUsed/>
    <w:qFormat/>
    <w:rsid w:val="00956F9E"/>
    <w:pPr>
      <w:outlineLvl w:val="1"/>
    </w:pPr>
  </w:style>
  <w:style w:type="paragraph" w:styleId="Heading3">
    <w:name w:val="heading 3"/>
    <w:aliases w:val="Sub Div Heading"/>
    <w:basedOn w:val="Normal"/>
    <w:next w:val="Normal"/>
    <w:link w:val="Heading3Char"/>
    <w:uiPriority w:val="9"/>
    <w:unhideWhenUsed/>
    <w:qFormat/>
    <w:rsid w:val="00A86753"/>
    <w:pPr>
      <w:spacing w:before="120" w:after="120" w:line="240" w:lineRule="auto"/>
      <w:jc w:val="both"/>
      <w:outlineLvl w:val="2"/>
    </w:pPr>
    <w:rPr>
      <w:b/>
      <w:sz w:val="24"/>
      <w:szCs w:val="24"/>
    </w:rPr>
  </w:style>
  <w:style w:type="paragraph" w:styleId="Heading4">
    <w:name w:val="heading 4"/>
    <w:aliases w:val="Section Heading"/>
    <w:basedOn w:val="Normal"/>
    <w:next w:val="Normal"/>
    <w:link w:val="Heading4Char"/>
    <w:uiPriority w:val="9"/>
    <w:unhideWhenUsed/>
    <w:qFormat/>
    <w:rsid w:val="00956F9E"/>
    <w:pPr>
      <w:spacing w:after="160" w:line="240" w:lineRule="auto"/>
      <w:ind w:right="91"/>
      <w:outlineLvl w:val="3"/>
    </w:pPr>
    <w:rPr>
      <w:rFonts w:eastAsia="Times New Roman"/>
      <w:b/>
      <w:bCs/>
      <w:sz w:val="24"/>
      <w:szCs w:val="24"/>
    </w:rPr>
  </w:style>
  <w:style w:type="paragraph" w:styleId="Heading5">
    <w:name w:val="heading 5"/>
    <w:aliases w:val="Subdivision"/>
    <w:basedOn w:val="Heading2"/>
    <w:next w:val="Normal"/>
    <w:link w:val="Heading5Char"/>
    <w:uiPriority w:val="9"/>
    <w:unhideWhenUsed/>
    <w:rsid w:val="00A86753"/>
    <w:pPr>
      <w:spacing w:before="240" w:after="200" w:line="276" w:lineRule="auto"/>
      <w:ind w:right="91"/>
      <w:jc w:val="left"/>
      <w:outlineLvl w:val="4"/>
    </w:pPr>
    <w:rPr>
      <w:rFonts w:eastAsia="Times New Roman"/>
      <w:sz w:val="22"/>
      <w:szCs w:val="22"/>
    </w:rPr>
  </w:style>
  <w:style w:type="paragraph" w:styleId="Heading6">
    <w:name w:val="heading 6"/>
    <w:basedOn w:val="Normal"/>
    <w:next w:val="Normal"/>
    <w:link w:val="Heading6Char"/>
    <w:uiPriority w:val="9"/>
    <w:semiHidden/>
    <w:unhideWhenUsed/>
    <w:qFormat/>
    <w:rsid w:val="00A86753"/>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rsid w:val="00A86753"/>
    <w:pPr>
      <w:keepNext/>
      <w:keepLines/>
      <w:spacing w:before="40" w:after="0"/>
      <w:outlineLvl w:val="6"/>
    </w:pPr>
    <w:rPr>
      <w:rFonts w:ascii="Calibri Light" w:eastAsia="Times New Roman" w:hAnsi="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iv Heading Char"/>
    <w:basedOn w:val="DefaultParagraphFont"/>
    <w:link w:val="Heading2"/>
    <w:uiPriority w:val="9"/>
    <w:rsid w:val="00956F9E"/>
    <w:rPr>
      <w:rFonts w:ascii="Times New Roman" w:hAnsi="Times New Roman"/>
      <w:b/>
      <w:sz w:val="24"/>
      <w:szCs w:val="24"/>
      <w:lang w:eastAsia="en-AU"/>
    </w:rPr>
  </w:style>
  <w:style w:type="character" w:customStyle="1" w:styleId="Heading3Char">
    <w:name w:val="Heading 3 Char"/>
    <w:aliases w:val="Sub Div Heading Char"/>
    <w:basedOn w:val="DefaultParagraphFont"/>
    <w:link w:val="Heading3"/>
    <w:uiPriority w:val="9"/>
    <w:rsid w:val="00A86753"/>
    <w:rPr>
      <w:rFonts w:ascii="Times New Roman" w:hAnsi="Times New Roman"/>
      <w:b/>
      <w:sz w:val="24"/>
      <w:szCs w:val="24"/>
    </w:rPr>
  </w:style>
  <w:style w:type="paragraph" w:styleId="ListParagraph">
    <w:name w:val="List Paragraph"/>
    <w:basedOn w:val="Normal"/>
    <w:uiPriority w:val="34"/>
    <w:qFormat/>
    <w:rsid w:val="008D4B4B"/>
    <w:pPr>
      <w:numPr>
        <w:numId w:val="43"/>
      </w:numPr>
    </w:pPr>
    <w:rPr>
      <w:rFonts w:eastAsia="Calibri"/>
    </w:rPr>
  </w:style>
  <w:style w:type="paragraph" w:styleId="Header">
    <w:name w:val="header"/>
    <w:basedOn w:val="Normal"/>
    <w:link w:val="HeaderChar"/>
    <w:unhideWhenUsed/>
    <w:rsid w:val="00A86753"/>
    <w:pPr>
      <w:tabs>
        <w:tab w:val="center" w:pos="4513"/>
        <w:tab w:val="right" w:pos="9026"/>
      </w:tabs>
    </w:pPr>
    <w:rPr>
      <w:rFonts w:ascii="Calibri" w:eastAsia="Calibri" w:hAnsi="Calibri"/>
    </w:rPr>
  </w:style>
  <w:style w:type="character" w:customStyle="1" w:styleId="HeaderChar">
    <w:name w:val="Header Char"/>
    <w:basedOn w:val="DefaultParagraphFont"/>
    <w:link w:val="Header"/>
    <w:uiPriority w:val="99"/>
    <w:rsid w:val="00A86753"/>
    <w:rPr>
      <w:rFonts w:ascii="Calibri" w:eastAsia="Calibri" w:hAnsi="Calibri" w:cs="Times New Roman"/>
    </w:rPr>
  </w:style>
  <w:style w:type="character" w:styleId="Hyperlink">
    <w:name w:val="Hyperlink"/>
    <w:basedOn w:val="DefaultParagraphFont"/>
    <w:uiPriority w:val="99"/>
    <w:unhideWhenUsed/>
    <w:rsid w:val="00A86753"/>
    <w:rPr>
      <w:color w:val="0563C1" w:themeColor="hyperlink"/>
      <w:u w:val="single"/>
    </w:rPr>
  </w:style>
  <w:style w:type="character" w:styleId="CommentReference">
    <w:name w:val="annotation reference"/>
    <w:basedOn w:val="DefaultParagraphFont"/>
    <w:uiPriority w:val="99"/>
    <w:semiHidden/>
    <w:unhideWhenUsed/>
    <w:rsid w:val="00A86753"/>
    <w:rPr>
      <w:sz w:val="16"/>
      <w:szCs w:val="16"/>
    </w:rPr>
  </w:style>
  <w:style w:type="paragraph" w:styleId="CommentText">
    <w:name w:val="annotation text"/>
    <w:basedOn w:val="Normal"/>
    <w:link w:val="CommentTextChar"/>
    <w:uiPriority w:val="99"/>
    <w:unhideWhenUsed/>
    <w:rsid w:val="00A86753"/>
    <w:pPr>
      <w:spacing w:line="240" w:lineRule="auto"/>
    </w:pPr>
    <w:rPr>
      <w:sz w:val="20"/>
      <w:szCs w:val="20"/>
    </w:rPr>
  </w:style>
  <w:style w:type="character" w:customStyle="1" w:styleId="CommentTextChar">
    <w:name w:val="Comment Text Char"/>
    <w:basedOn w:val="DefaultParagraphFont"/>
    <w:link w:val="CommentText"/>
    <w:uiPriority w:val="99"/>
    <w:rsid w:val="00A86753"/>
    <w:rPr>
      <w:sz w:val="20"/>
      <w:szCs w:val="20"/>
    </w:rPr>
  </w:style>
  <w:style w:type="paragraph" w:styleId="BalloonText">
    <w:name w:val="Balloon Text"/>
    <w:basedOn w:val="Normal"/>
    <w:link w:val="BalloonTextChar"/>
    <w:uiPriority w:val="99"/>
    <w:semiHidden/>
    <w:unhideWhenUsed/>
    <w:rsid w:val="00A867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753"/>
    <w:rPr>
      <w:rFonts w:ascii="Segoe UI" w:hAnsi="Segoe UI" w:cs="Segoe UI"/>
      <w:sz w:val="18"/>
      <w:szCs w:val="18"/>
    </w:rPr>
  </w:style>
  <w:style w:type="character" w:customStyle="1" w:styleId="Heading1Char">
    <w:name w:val="Heading 1 Char"/>
    <w:aliases w:val="Part Heading Char"/>
    <w:basedOn w:val="DefaultParagraphFont"/>
    <w:link w:val="Heading1"/>
    <w:uiPriority w:val="9"/>
    <w:rsid w:val="00956F9E"/>
    <w:rPr>
      <w:rFonts w:ascii="Times New Roman" w:eastAsia="Times New Roman" w:hAnsi="Times New Roman" w:cs="Times New Roman"/>
      <w:b/>
      <w:sz w:val="24"/>
      <w:szCs w:val="24"/>
      <w:lang w:eastAsia="en-AU"/>
    </w:rPr>
  </w:style>
  <w:style w:type="character" w:customStyle="1" w:styleId="Heading4Char">
    <w:name w:val="Heading 4 Char"/>
    <w:aliases w:val="Section Heading Char"/>
    <w:basedOn w:val="DefaultParagraphFont"/>
    <w:link w:val="Heading4"/>
    <w:uiPriority w:val="9"/>
    <w:rsid w:val="00956F9E"/>
    <w:rPr>
      <w:rFonts w:ascii="Times New Roman" w:eastAsia="Times New Roman" w:hAnsi="Times New Roman" w:cs="Times New Roman"/>
      <w:b/>
      <w:bCs/>
      <w:sz w:val="24"/>
      <w:szCs w:val="24"/>
      <w:lang w:eastAsia="en-AU"/>
    </w:rPr>
  </w:style>
  <w:style w:type="character" w:customStyle="1" w:styleId="Heading5Char">
    <w:name w:val="Heading 5 Char"/>
    <w:aliases w:val="Subdivision Char"/>
    <w:basedOn w:val="DefaultParagraphFont"/>
    <w:link w:val="Heading5"/>
    <w:uiPriority w:val="9"/>
    <w:rsid w:val="00A86753"/>
    <w:rPr>
      <w:rFonts w:ascii="Times New Roman" w:eastAsia="Times New Roman" w:hAnsi="Times New Roman" w:cs="Times New Roman"/>
      <w:b/>
      <w:lang w:eastAsia="en-AU"/>
    </w:rPr>
  </w:style>
  <w:style w:type="paragraph" w:customStyle="1" w:styleId="Heading61">
    <w:name w:val="Heading 61"/>
    <w:basedOn w:val="Normal"/>
    <w:next w:val="Normal"/>
    <w:uiPriority w:val="9"/>
    <w:unhideWhenUsed/>
    <w:qFormat/>
    <w:rsid w:val="00A86753"/>
    <w:pPr>
      <w:keepNext/>
      <w:keepLines/>
      <w:spacing w:before="40" w:after="0"/>
      <w:outlineLvl w:val="5"/>
    </w:pPr>
    <w:rPr>
      <w:rFonts w:ascii="Calibri Light" w:eastAsia="Times New Roman" w:hAnsi="Calibri Light"/>
      <w:color w:val="1F4D78"/>
    </w:rPr>
  </w:style>
  <w:style w:type="paragraph" w:customStyle="1" w:styleId="Heading71">
    <w:name w:val="Heading 71"/>
    <w:basedOn w:val="Normal"/>
    <w:next w:val="Normal"/>
    <w:uiPriority w:val="9"/>
    <w:unhideWhenUsed/>
    <w:qFormat/>
    <w:rsid w:val="00A86753"/>
    <w:pPr>
      <w:keepNext/>
      <w:keepLines/>
      <w:spacing w:before="40" w:after="0"/>
      <w:outlineLvl w:val="6"/>
    </w:pPr>
    <w:rPr>
      <w:rFonts w:ascii="Calibri Light" w:eastAsia="Times New Roman" w:hAnsi="Calibri Light"/>
      <w:i/>
      <w:iCs/>
      <w:color w:val="1F4D78"/>
    </w:rPr>
  </w:style>
  <w:style w:type="numbering" w:customStyle="1" w:styleId="NoList1">
    <w:name w:val="No List1"/>
    <w:next w:val="NoList"/>
    <w:uiPriority w:val="99"/>
    <w:semiHidden/>
    <w:unhideWhenUsed/>
    <w:rsid w:val="00A86753"/>
  </w:style>
  <w:style w:type="character" w:customStyle="1" w:styleId="Heading6Char">
    <w:name w:val="Heading 6 Char"/>
    <w:basedOn w:val="DefaultParagraphFont"/>
    <w:link w:val="Heading6"/>
    <w:uiPriority w:val="9"/>
    <w:rsid w:val="00A86753"/>
    <w:rPr>
      <w:rFonts w:ascii="Calibri Light" w:eastAsia="Times New Roman" w:hAnsi="Calibri Light" w:cs="Times New Roman"/>
      <w:color w:val="1F4D78"/>
      <w:lang w:val="en-AU"/>
    </w:rPr>
  </w:style>
  <w:style w:type="character" w:customStyle="1" w:styleId="Heading7Char">
    <w:name w:val="Heading 7 Char"/>
    <w:basedOn w:val="DefaultParagraphFont"/>
    <w:link w:val="Heading7"/>
    <w:uiPriority w:val="9"/>
    <w:rsid w:val="00A86753"/>
    <w:rPr>
      <w:rFonts w:ascii="Calibri Light" w:eastAsia="Times New Roman" w:hAnsi="Calibri Light" w:cs="Times New Roman"/>
      <w:i/>
      <w:iCs/>
      <w:color w:val="1F4D78"/>
      <w:lang w:val="en-AU"/>
    </w:rPr>
  </w:style>
  <w:style w:type="paragraph" w:customStyle="1" w:styleId="CommentSubject1">
    <w:name w:val="Comment Subject1"/>
    <w:basedOn w:val="CommentText"/>
    <w:next w:val="CommentText"/>
    <w:uiPriority w:val="99"/>
    <w:semiHidden/>
    <w:unhideWhenUsed/>
    <w:rsid w:val="00A86753"/>
    <w:pPr>
      <w:spacing w:after="120"/>
    </w:pPr>
    <w:rPr>
      <w:b/>
      <w:bCs/>
      <w:color w:val="262626"/>
    </w:rPr>
  </w:style>
  <w:style w:type="character" w:customStyle="1" w:styleId="CommentSubjectChar">
    <w:name w:val="Comment Subject Char"/>
    <w:basedOn w:val="CommentTextChar"/>
    <w:link w:val="CommentSubject"/>
    <w:uiPriority w:val="99"/>
    <w:semiHidden/>
    <w:rsid w:val="00A86753"/>
    <w:rPr>
      <w:b/>
      <w:bCs/>
      <w:color w:val="262626"/>
      <w:sz w:val="20"/>
      <w:szCs w:val="20"/>
      <w:lang w:val="en-AU"/>
    </w:rPr>
  </w:style>
  <w:style w:type="paragraph" w:styleId="NormalWeb">
    <w:name w:val="Normal (Web)"/>
    <w:basedOn w:val="Normal"/>
    <w:uiPriority w:val="99"/>
    <w:unhideWhenUsed/>
    <w:rsid w:val="00A86753"/>
    <w:pPr>
      <w:spacing w:before="100" w:beforeAutospacing="1" w:after="100" w:afterAutospacing="1" w:line="240" w:lineRule="auto"/>
    </w:pPr>
    <w:rPr>
      <w:rFonts w:eastAsia="Times New Roman"/>
      <w:sz w:val="24"/>
      <w:szCs w:val="24"/>
    </w:rPr>
  </w:style>
  <w:style w:type="paragraph" w:customStyle="1" w:styleId="Definition">
    <w:name w:val="Definition"/>
    <w:aliases w:val="dd"/>
    <w:basedOn w:val="Normal"/>
    <w:link w:val="DefinitionChar"/>
    <w:rsid w:val="00A86753"/>
    <w:pPr>
      <w:spacing w:before="180" w:after="0" w:line="240" w:lineRule="auto"/>
      <w:ind w:left="1134"/>
    </w:pPr>
    <w:rPr>
      <w:rFonts w:eastAsia="Times New Roman"/>
      <w:szCs w:val="20"/>
    </w:rPr>
  </w:style>
  <w:style w:type="character" w:customStyle="1" w:styleId="DefinitionChar">
    <w:name w:val="Definition Char"/>
    <w:aliases w:val="dd Char"/>
    <w:basedOn w:val="DefaultParagraphFont"/>
    <w:link w:val="Definition"/>
    <w:locked/>
    <w:rsid w:val="00A86753"/>
    <w:rPr>
      <w:rFonts w:ascii="Times New Roman" w:eastAsia="Times New Roman" w:hAnsi="Times New Roman" w:cs="Times New Roman"/>
      <w:szCs w:val="20"/>
      <w:lang w:eastAsia="en-AU"/>
    </w:rPr>
  </w:style>
  <w:style w:type="paragraph" w:customStyle="1" w:styleId="Revision1">
    <w:name w:val="Revision1"/>
    <w:next w:val="Revision"/>
    <w:hidden/>
    <w:uiPriority w:val="99"/>
    <w:semiHidden/>
    <w:rsid w:val="00A86753"/>
    <w:pPr>
      <w:spacing w:after="0" w:line="240" w:lineRule="auto"/>
    </w:pPr>
  </w:style>
  <w:style w:type="paragraph" w:customStyle="1" w:styleId="FootnoteText1">
    <w:name w:val="Footnote Text1"/>
    <w:basedOn w:val="Normal"/>
    <w:next w:val="FootnoteText"/>
    <w:link w:val="FootnoteTextChar"/>
    <w:uiPriority w:val="99"/>
    <w:semiHidden/>
    <w:unhideWhenUsed/>
    <w:rsid w:val="00A86753"/>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A86753"/>
    <w:rPr>
      <w:rFonts w:ascii="Times New Roman" w:hAnsi="Times New Roman" w:cs="Times New Roman"/>
      <w:sz w:val="20"/>
      <w:szCs w:val="20"/>
      <w:lang w:val="en-AU"/>
    </w:rPr>
  </w:style>
  <w:style w:type="character" w:styleId="FootnoteReference">
    <w:name w:val="footnote reference"/>
    <w:basedOn w:val="DefaultParagraphFont"/>
    <w:uiPriority w:val="99"/>
    <w:semiHidden/>
    <w:unhideWhenUsed/>
    <w:rsid w:val="00A86753"/>
    <w:rPr>
      <w:vertAlign w:val="superscript"/>
    </w:rPr>
  </w:style>
  <w:style w:type="character" w:customStyle="1" w:styleId="UnresolvedMention1">
    <w:name w:val="Unresolved Mention1"/>
    <w:basedOn w:val="DefaultParagraphFont"/>
    <w:uiPriority w:val="99"/>
    <w:semiHidden/>
    <w:unhideWhenUsed/>
    <w:rsid w:val="00A86753"/>
    <w:rPr>
      <w:color w:val="605E5C"/>
      <w:shd w:val="clear" w:color="auto" w:fill="E1DFDD"/>
    </w:rPr>
  </w:style>
  <w:style w:type="character" w:customStyle="1" w:styleId="FollowedHyperlink1">
    <w:name w:val="FollowedHyperlink1"/>
    <w:basedOn w:val="DefaultParagraphFont"/>
    <w:uiPriority w:val="99"/>
    <w:semiHidden/>
    <w:unhideWhenUsed/>
    <w:rsid w:val="00A86753"/>
    <w:rPr>
      <w:color w:val="954F72"/>
      <w:u w:val="single"/>
    </w:rPr>
  </w:style>
  <w:style w:type="table" w:customStyle="1" w:styleId="TableGrid1">
    <w:name w:val="Table Grid1"/>
    <w:basedOn w:val="TableNormal"/>
    <w:next w:val="TableGrid"/>
    <w:uiPriority w:val="59"/>
    <w:rsid w:val="00A8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
    <w:basedOn w:val="Normal"/>
    <w:rsid w:val="00A86753"/>
    <w:pPr>
      <w:spacing w:before="100" w:beforeAutospacing="1" w:after="100" w:afterAutospacing="1" w:line="240" w:lineRule="auto"/>
    </w:pPr>
    <w:rPr>
      <w:rFonts w:eastAsia="Times New Roman"/>
      <w:sz w:val="24"/>
      <w:szCs w:val="24"/>
    </w:rPr>
  </w:style>
  <w:style w:type="paragraph" w:customStyle="1" w:styleId="paragraph">
    <w:name w:val="paragraph"/>
    <w:aliases w:val="a"/>
    <w:basedOn w:val="Normal"/>
    <w:link w:val="paragraphChar"/>
    <w:rsid w:val="00A86753"/>
    <w:pPr>
      <w:spacing w:before="100" w:beforeAutospacing="1" w:after="100" w:afterAutospacing="1" w:line="240" w:lineRule="auto"/>
    </w:pPr>
    <w:rPr>
      <w:rFonts w:eastAsia="Times New Roman"/>
      <w:sz w:val="24"/>
      <w:szCs w:val="24"/>
    </w:rPr>
  </w:style>
  <w:style w:type="paragraph" w:customStyle="1" w:styleId="paragraphsub">
    <w:name w:val="paragraphsub"/>
    <w:basedOn w:val="Normal"/>
    <w:rsid w:val="00A86753"/>
    <w:pPr>
      <w:spacing w:before="100" w:beforeAutospacing="1" w:after="100" w:afterAutospacing="1" w:line="240" w:lineRule="auto"/>
    </w:pPr>
    <w:rPr>
      <w:rFonts w:eastAsia="Times New Roman"/>
      <w:sz w:val="24"/>
      <w:szCs w:val="24"/>
    </w:rPr>
  </w:style>
  <w:style w:type="character" w:customStyle="1" w:styleId="notetextChar">
    <w:name w:val="note(text) Char"/>
    <w:aliases w:val="n Char"/>
    <w:basedOn w:val="DefaultParagraphFont"/>
    <w:link w:val="notetext"/>
    <w:locked/>
    <w:rsid w:val="00A86753"/>
    <w:rPr>
      <w:rFonts w:ascii="Times New Roman" w:eastAsia="Times New Roman" w:hAnsi="Times New Roman" w:cs="Times New Roman"/>
      <w:sz w:val="18"/>
      <w:lang w:eastAsia="en-AU"/>
    </w:rPr>
  </w:style>
  <w:style w:type="paragraph" w:customStyle="1" w:styleId="notetext">
    <w:name w:val="note(text)"/>
    <w:aliases w:val="n"/>
    <w:basedOn w:val="Normal"/>
    <w:link w:val="notetextChar"/>
    <w:rsid w:val="00A86753"/>
    <w:pPr>
      <w:spacing w:before="122" w:after="0" w:line="240" w:lineRule="auto"/>
      <w:ind w:left="1985" w:hanging="851"/>
    </w:pPr>
    <w:rPr>
      <w:rFonts w:eastAsia="Times New Roman"/>
      <w:sz w:val="18"/>
    </w:rPr>
  </w:style>
  <w:style w:type="paragraph" w:customStyle="1" w:styleId="acthead5">
    <w:name w:val="acthead5"/>
    <w:basedOn w:val="Normal"/>
    <w:rsid w:val="00A86753"/>
    <w:pPr>
      <w:spacing w:before="100" w:beforeAutospacing="1" w:after="100" w:afterAutospacing="1" w:line="240" w:lineRule="auto"/>
    </w:pPr>
    <w:rPr>
      <w:rFonts w:eastAsia="Times New Roman"/>
      <w:sz w:val="24"/>
      <w:szCs w:val="24"/>
    </w:rPr>
  </w:style>
  <w:style w:type="character" w:customStyle="1" w:styleId="charsectno">
    <w:name w:val="charsectno"/>
    <w:basedOn w:val="DefaultParagraphFont"/>
    <w:rsid w:val="00A86753"/>
  </w:style>
  <w:style w:type="paragraph" w:customStyle="1" w:styleId="subsection">
    <w:name w:val="subsection"/>
    <w:aliases w:val="ss"/>
    <w:basedOn w:val="Normal"/>
    <w:link w:val="subsectionChar"/>
    <w:rsid w:val="00A86753"/>
    <w:pPr>
      <w:spacing w:before="100" w:beforeAutospacing="1" w:after="100" w:afterAutospacing="1" w:line="240" w:lineRule="auto"/>
    </w:pPr>
    <w:rPr>
      <w:rFonts w:eastAsia="Times New Roman"/>
      <w:sz w:val="24"/>
      <w:szCs w:val="24"/>
    </w:rPr>
  </w:style>
  <w:style w:type="paragraph" w:customStyle="1" w:styleId="ActHead1">
    <w:name w:val="ActHead 1"/>
    <w:aliases w:val="c"/>
    <w:basedOn w:val="Normal"/>
    <w:next w:val="Normal"/>
    <w:qFormat/>
    <w:rsid w:val="00A86753"/>
    <w:pPr>
      <w:keepNext/>
      <w:keepLines/>
      <w:spacing w:after="0" w:line="240" w:lineRule="auto"/>
      <w:ind w:left="1134" w:hanging="1134"/>
      <w:outlineLvl w:val="0"/>
    </w:pPr>
    <w:rPr>
      <w:rFonts w:eastAsia="Times New Roman"/>
      <w:b/>
      <w:kern w:val="28"/>
      <w:sz w:val="36"/>
      <w:szCs w:val="20"/>
    </w:rPr>
  </w:style>
  <w:style w:type="character" w:customStyle="1" w:styleId="CharChapNo">
    <w:name w:val="CharChapNo"/>
    <w:basedOn w:val="DefaultParagraphFont"/>
    <w:uiPriority w:val="1"/>
    <w:qFormat/>
    <w:rsid w:val="00A86753"/>
  </w:style>
  <w:style w:type="character" w:customStyle="1" w:styleId="CharChapText">
    <w:name w:val="CharChapText"/>
    <w:basedOn w:val="DefaultParagraphFont"/>
    <w:uiPriority w:val="1"/>
    <w:qFormat/>
    <w:rsid w:val="00A86753"/>
  </w:style>
  <w:style w:type="character" w:customStyle="1" w:styleId="CharDivNo">
    <w:name w:val="CharDivNo"/>
    <w:basedOn w:val="DefaultParagraphFont"/>
    <w:uiPriority w:val="1"/>
    <w:qFormat/>
    <w:rsid w:val="00A86753"/>
  </w:style>
  <w:style w:type="character" w:customStyle="1" w:styleId="CharDivText">
    <w:name w:val="CharDivText"/>
    <w:basedOn w:val="DefaultParagraphFont"/>
    <w:uiPriority w:val="1"/>
    <w:qFormat/>
    <w:rsid w:val="00A86753"/>
  </w:style>
  <w:style w:type="character" w:customStyle="1" w:styleId="CharPartNo">
    <w:name w:val="CharPartNo"/>
    <w:basedOn w:val="DefaultParagraphFont"/>
    <w:uiPriority w:val="1"/>
    <w:qFormat/>
    <w:rsid w:val="00A86753"/>
  </w:style>
  <w:style w:type="character" w:customStyle="1" w:styleId="CharPartText">
    <w:name w:val="CharPartText"/>
    <w:basedOn w:val="DefaultParagraphFont"/>
    <w:uiPriority w:val="1"/>
    <w:qFormat/>
    <w:rsid w:val="00A86753"/>
  </w:style>
  <w:style w:type="paragraph" w:customStyle="1" w:styleId="Item">
    <w:name w:val="Item"/>
    <w:aliases w:val="i"/>
    <w:basedOn w:val="Normal"/>
    <w:next w:val="ItemHead"/>
    <w:rsid w:val="00A86753"/>
    <w:pPr>
      <w:keepLines/>
      <w:spacing w:before="80" w:after="0" w:line="240" w:lineRule="auto"/>
      <w:ind w:left="709"/>
    </w:pPr>
    <w:rPr>
      <w:rFonts w:eastAsia="Times New Roman"/>
      <w:szCs w:val="20"/>
    </w:rPr>
  </w:style>
  <w:style w:type="paragraph" w:customStyle="1" w:styleId="ItemHead">
    <w:name w:val="ItemHead"/>
    <w:aliases w:val="ih"/>
    <w:basedOn w:val="Normal"/>
    <w:next w:val="Item"/>
    <w:rsid w:val="00A86753"/>
    <w:pPr>
      <w:keepNext/>
      <w:keepLines/>
      <w:spacing w:before="220" w:after="0" w:line="240" w:lineRule="auto"/>
      <w:ind w:left="709" w:hanging="709"/>
    </w:pPr>
    <w:rPr>
      <w:rFonts w:ascii="Arial" w:eastAsia="Times New Roman" w:hAnsi="Arial"/>
      <w:b/>
      <w:kern w:val="28"/>
      <w:sz w:val="24"/>
      <w:szCs w:val="20"/>
    </w:rPr>
  </w:style>
  <w:style w:type="paragraph" w:customStyle="1" w:styleId="notemargin">
    <w:name w:val="note(margin)"/>
    <w:aliases w:val="nm"/>
    <w:basedOn w:val="Normal"/>
    <w:rsid w:val="00A86753"/>
    <w:pPr>
      <w:tabs>
        <w:tab w:val="left" w:pos="709"/>
      </w:tabs>
      <w:spacing w:before="122" w:after="0" w:line="198" w:lineRule="exact"/>
      <w:ind w:left="709" w:hanging="709"/>
    </w:pPr>
    <w:rPr>
      <w:rFonts w:eastAsia="Times New Roman"/>
      <w:sz w:val="18"/>
      <w:szCs w:val="20"/>
    </w:rPr>
  </w:style>
  <w:style w:type="paragraph" w:customStyle="1" w:styleId="subsection2">
    <w:name w:val="subsection2"/>
    <w:aliases w:val="ss2"/>
    <w:basedOn w:val="Normal"/>
    <w:next w:val="subsection"/>
    <w:rsid w:val="00A86753"/>
    <w:pPr>
      <w:spacing w:before="40" w:after="0" w:line="240" w:lineRule="auto"/>
      <w:ind w:left="1134"/>
    </w:pPr>
    <w:rPr>
      <w:rFonts w:eastAsia="Times New Roman"/>
      <w:szCs w:val="20"/>
    </w:rPr>
  </w:style>
  <w:style w:type="character" w:customStyle="1" w:styleId="subsectionChar">
    <w:name w:val="subsection Char"/>
    <w:aliases w:val="ss Char"/>
    <w:basedOn w:val="DefaultParagraphFont"/>
    <w:link w:val="subsection"/>
    <w:locked/>
    <w:rsid w:val="00A86753"/>
    <w:rPr>
      <w:rFonts w:ascii="Times New Roman" w:eastAsia="Times New Roman" w:hAnsi="Times New Roman" w:cs="Times New Roman"/>
      <w:sz w:val="24"/>
      <w:szCs w:val="24"/>
      <w:lang w:eastAsia="en-AU"/>
    </w:rPr>
  </w:style>
  <w:style w:type="character" w:customStyle="1" w:styleId="paragraphChar">
    <w:name w:val="paragraph Char"/>
    <w:aliases w:val="a Char"/>
    <w:basedOn w:val="DefaultParagraphFont"/>
    <w:link w:val="paragraph"/>
    <w:rsid w:val="00A86753"/>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rsid w:val="00A86753"/>
  </w:style>
  <w:style w:type="paragraph" w:customStyle="1" w:styleId="Footer1">
    <w:name w:val="Footer1"/>
    <w:basedOn w:val="Normal"/>
    <w:next w:val="Footer"/>
    <w:uiPriority w:val="99"/>
    <w:unhideWhenUsed/>
    <w:rsid w:val="00A86753"/>
    <w:pPr>
      <w:tabs>
        <w:tab w:val="center" w:pos="4680"/>
        <w:tab w:val="right" w:pos="9360"/>
      </w:tabs>
      <w:spacing w:after="0" w:line="240" w:lineRule="auto"/>
    </w:pPr>
    <w:rPr>
      <w:lang w:val="en-GB"/>
    </w:rPr>
  </w:style>
  <w:style w:type="character" w:customStyle="1" w:styleId="FooterChar1">
    <w:name w:val="Footer Char1"/>
    <w:basedOn w:val="DefaultParagraphFont"/>
    <w:uiPriority w:val="99"/>
    <w:semiHidden/>
    <w:rsid w:val="00A86753"/>
    <w:rPr>
      <w:color w:val="262626"/>
      <w:sz w:val="20"/>
      <w:szCs w:val="20"/>
      <w:lang w:val="en-AU"/>
    </w:rPr>
  </w:style>
  <w:style w:type="paragraph" w:customStyle="1" w:styleId="paragraphsub0">
    <w:name w:val="paragraph(sub)"/>
    <w:aliases w:val="aa"/>
    <w:basedOn w:val="Normal"/>
    <w:rsid w:val="00A86753"/>
    <w:pPr>
      <w:tabs>
        <w:tab w:val="right" w:pos="1985"/>
      </w:tabs>
      <w:spacing w:before="40" w:after="0" w:line="240" w:lineRule="auto"/>
      <w:ind w:left="2098" w:hanging="2098"/>
    </w:pPr>
    <w:rPr>
      <w:rFonts w:eastAsia="Times New Roman"/>
      <w:szCs w:val="20"/>
    </w:rPr>
  </w:style>
  <w:style w:type="paragraph" w:customStyle="1" w:styleId="notetext0">
    <w:name w:val="notetext"/>
    <w:basedOn w:val="Normal"/>
    <w:rsid w:val="00A86753"/>
    <w:pPr>
      <w:spacing w:before="100" w:beforeAutospacing="1" w:after="100" w:afterAutospacing="1" w:line="240" w:lineRule="auto"/>
    </w:pPr>
    <w:rPr>
      <w:rFonts w:eastAsia="Times New Roman"/>
      <w:sz w:val="24"/>
      <w:szCs w:val="24"/>
    </w:rPr>
  </w:style>
  <w:style w:type="paragraph" w:customStyle="1" w:styleId="ShortT">
    <w:name w:val="ShortT"/>
    <w:basedOn w:val="Normal"/>
    <w:next w:val="Normal"/>
    <w:qFormat/>
    <w:rsid w:val="00A86753"/>
    <w:pPr>
      <w:spacing w:after="0" w:line="240" w:lineRule="auto"/>
    </w:pPr>
    <w:rPr>
      <w:rFonts w:eastAsia="Times New Roman"/>
      <w:b/>
      <w:sz w:val="40"/>
      <w:szCs w:val="20"/>
    </w:rPr>
  </w:style>
  <w:style w:type="character" w:customStyle="1" w:styleId="Heading6Char1">
    <w:name w:val="Heading 6 Char1"/>
    <w:basedOn w:val="DefaultParagraphFont"/>
    <w:uiPriority w:val="9"/>
    <w:semiHidden/>
    <w:rsid w:val="00A86753"/>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A86753"/>
    <w:rPr>
      <w:rFonts w:asciiTheme="majorHAnsi" w:eastAsiaTheme="majorEastAsia" w:hAnsiTheme="majorHAnsi" w:cstheme="majorBidi"/>
      <w:i/>
      <w:iCs/>
      <w:color w:val="1F3763" w:themeColor="accent1" w:themeShade="7F"/>
    </w:rPr>
  </w:style>
  <w:style w:type="paragraph" w:styleId="CommentSubject">
    <w:name w:val="annotation subject"/>
    <w:basedOn w:val="CommentText"/>
    <w:next w:val="CommentText"/>
    <w:link w:val="CommentSubjectChar"/>
    <w:uiPriority w:val="99"/>
    <w:semiHidden/>
    <w:unhideWhenUsed/>
    <w:rsid w:val="00A86753"/>
    <w:rPr>
      <w:b/>
      <w:bCs/>
      <w:color w:val="262626"/>
    </w:rPr>
  </w:style>
  <w:style w:type="character" w:customStyle="1" w:styleId="CommentSubjectChar1">
    <w:name w:val="Comment Subject Char1"/>
    <w:basedOn w:val="CommentTextChar"/>
    <w:uiPriority w:val="99"/>
    <w:semiHidden/>
    <w:rsid w:val="00A86753"/>
    <w:rPr>
      <w:b/>
      <w:bCs/>
      <w:sz w:val="20"/>
      <w:szCs w:val="20"/>
    </w:rPr>
  </w:style>
  <w:style w:type="paragraph" w:styleId="Revision">
    <w:name w:val="Revision"/>
    <w:hidden/>
    <w:uiPriority w:val="99"/>
    <w:semiHidden/>
    <w:rsid w:val="00A86753"/>
    <w:pPr>
      <w:spacing w:after="0" w:line="240" w:lineRule="auto"/>
    </w:pPr>
  </w:style>
  <w:style w:type="paragraph" w:styleId="FootnoteText">
    <w:name w:val="footnote text"/>
    <w:basedOn w:val="Normal"/>
    <w:link w:val="FootnoteTextChar1"/>
    <w:uiPriority w:val="99"/>
    <w:semiHidden/>
    <w:unhideWhenUsed/>
    <w:rsid w:val="00A8675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A86753"/>
    <w:rPr>
      <w:sz w:val="20"/>
      <w:szCs w:val="20"/>
    </w:rPr>
  </w:style>
  <w:style w:type="character" w:styleId="FollowedHyperlink">
    <w:name w:val="FollowedHyperlink"/>
    <w:basedOn w:val="DefaultParagraphFont"/>
    <w:uiPriority w:val="99"/>
    <w:semiHidden/>
    <w:unhideWhenUsed/>
    <w:rsid w:val="00A86753"/>
    <w:rPr>
      <w:color w:val="954F72" w:themeColor="followedHyperlink"/>
      <w:u w:val="single"/>
    </w:rPr>
  </w:style>
  <w:style w:type="table" w:styleId="TableGrid">
    <w:name w:val="Table Grid"/>
    <w:basedOn w:val="TableNormal"/>
    <w:uiPriority w:val="39"/>
    <w:rsid w:val="00A8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A86753"/>
    <w:pPr>
      <w:tabs>
        <w:tab w:val="center" w:pos="4513"/>
        <w:tab w:val="right" w:pos="9026"/>
      </w:tabs>
      <w:spacing w:after="0" w:line="240" w:lineRule="auto"/>
    </w:pPr>
  </w:style>
  <w:style w:type="character" w:customStyle="1" w:styleId="FooterChar2">
    <w:name w:val="Footer Char2"/>
    <w:basedOn w:val="DefaultParagraphFont"/>
    <w:uiPriority w:val="99"/>
    <w:semiHidden/>
    <w:rsid w:val="00A86753"/>
  </w:style>
  <w:style w:type="character" w:customStyle="1" w:styleId="OPCCharBase">
    <w:name w:val="OPCCharBase"/>
    <w:uiPriority w:val="1"/>
    <w:qFormat/>
    <w:rsid w:val="00D40077"/>
  </w:style>
  <w:style w:type="paragraph" w:customStyle="1" w:styleId="OPCParaBase">
    <w:name w:val="OPCParaBase"/>
    <w:qFormat/>
    <w:rsid w:val="00D40077"/>
    <w:pPr>
      <w:spacing w:after="0" w:line="260" w:lineRule="atLeast"/>
    </w:pPr>
    <w:rPr>
      <w:rFonts w:ascii="Times New Roman" w:eastAsia="Times New Roman" w:hAnsi="Times New Roman" w:cs="Times New Roman"/>
      <w:szCs w:val="20"/>
      <w:lang w:eastAsia="en-AU"/>
    </w:rPr>
  </w:style>
  <w:style w:type="paragraph" w:customStyle="1" w:styleId="ActHead2">
    <w:name w:val="ActHead 2"/>
    <w:aliases w:val="p"/>
    <w:basedOn w:val="OPCParaBase"/>
    <w:next w:val="ActHead3"/>
    <w:qFormat/>
    <w:rsid w:val="00D4007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4007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0"/>
    <w:qFormat/>
    <w:rsid w:val="00D40077"/>
    <w:pPr>
      <w:keepNext/>
      <w:keepLines/>
      <w:spacing w:before="220" w:line="240" w:lineRule="auto"/>
      <w:ind w:left="1134" w:hanging="1134"/>
      <w:outlineLvl w:val="3"/>
    </w:pPr>
    <w:rPr>
      <w:b/>
      <w:kern w:val="28"/>
      <w:sz w:val="26"/>
    </w:rPr>
  </w:style>
  <w:style w:type="paragraph" w:customStyle="1" w:styleId="ActHead50">
    <w:name w:val="ActHead 5"/>
    <w:aliases w:val="s"/>
    <w:basedOn w:val="OPCParaBase"/>
    <w:next w:val="subsection"/>
    <w:link w:val="ActHead5Char"/>
    <w:qFormat/>
    <w:rsid w:val="00D4007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4007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40077"/>
    <w:pPr>
      <w:keepNext/>
      <w:keepLines/>
      <w:spacing w:before="280" w:line="240" w:lineRule="auto"/>
      <w:ind w:left="1134" w:hanging="1134"/>
      <w:outlineLvl w:val="6"/>
    </w:pPr>
    <w:rPr>
      <w:rFonts w:ascii="Arial" w:hAnsi="Arial"/>
      <w:b/>
      <w:kern w:val="28"/>
      <w:sz w:val="28"/>
    </w:rPr>
  </w:style>
  <w:style w:type="paragraph" w:customStyle="1" w:styleId="Title3">
    <w:name w:val="Title3"/>
    <w:basedOn w:val="Normal"/>
    <w:next w:val="ItemHead"/>
    <w:qFormat/>
    <w:rsid w:val="00956F9E"/>
    <w:pPr>
      <w:spacing w:after="160" w:line="240" w:lineRule="auto"/>
      <w:ind w:right="91"/>
      <w:outlineLvl w:val="0"/>
    </w:pPr>
    <w:rPr>
      <w:rFonts w:eastAsia="Times New Roman"/>
      <w:b/>
      <w:sz w:val="24"/>
      <w:szCs w:val="24"/>
      <w:u w:val="single"/>
    </w:rPr>
  </w:style>
  <w:style w:type="paragraph" w:customStyle="1" w:styleId="Title1">
    <w:name w:val="Title1"/>
    <w:basedOn w:val="Normal"/>
    <w:next w:val="ItemHead"/>
    <w:qFormat/>
    <w:rsid w:val="00956F9E"/>
    <w:pPr>
      <w:spacing w:after="160" w:line="240" w:lineRule="auto"/>
      <w:jc w:val="center"/>
      <w:outlineLvl w:val="0"/>
    </w:pPr>
    <w:rPr>
      <w:rFonts w:eastAsia="Times New Roman"/>
      <w:b/>
      <w:bCs/>
      <w:caps/>
      <w:kern w:val="32"/>
      <w:sz w:val="24"/>
      <w:szCs w:val="24"/>
      <w:u w:val="single"/>
    </w:rPr>
  </w:style>
  <w:style w:type="paragraph" w:customStyle="1" w:styleId="Title2">
    <w:name w:val="Title2"/>
    <w:basedOn w:val="Normal"/>
    <w:next w:val="Normal"/>
    <w:qFormat/>
    <w:rsid w:val="00956F9E"/>
    <w:pPr>
      <w:spacing w:after="160" w:line="240" w:lineRule="auto"/>
      <w:outlineLvl w:val="1"/>
    </w:pPr>
    <w:rPr>
      <w:rFonts w:eastAsia="Calibri"/>
      <w:b/>
      <w:bCs/>
      <w:caps/>
      <w:sz w:val="24"/>
      <w:szCs w:val="24"/>
    </w:rPr>
  </w:style>
  <w:style w:type="paragraph" w:customStyle="1" w:styleId="Blocks">
    <w:name w:val="Blocks"/>
    <w:aliases w:val="bb"/>
    <w:basedOn w:val="OPCParaBase"/>
    <w:qFormat/>
    <w:rsid w:val="00D40077"/>
    <w:pPr>
      <w:spacing w:line="240" w:lineRule="auto"/>
    </w:pPr>
    <w:rPr>
      <w:sz w:val="24"/>
    </w:rPr>
  </w:style>
  <w:style w:type="paragraph" w:customStyle="1" w:styleId="BoxText">
    <w:name w:val="BoxText"/>
    <w:aliases w:val="bt"/>
    <w:basedOn w:val="OPCParaBase"/>
    <w:rsid w:val="00D4007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40077"/>
    <w:rPr>
      <w:b/>
    </w:rPr>
  </w:style>
  <w:style w:type="paragraph" w:customStyle="1" w:styleId="BoxHeadItalic">
    <w:name w:val="BoxHeadItalic"/>
    <w:aliases w:val="bhi"/>
    <w:basedOn w:val="BoxText"/>
    <w:next w:val="Normal"/>
    <w:qFormat/>
    <w:rsid w:val="00D40077"/>
    <w:rPr>
      <w:i/>
    </w:rPr>
  </w:style>
  <w:style w:type="paragraph" w:customStyle="1" w:styleId="BoxList">
    <w:name w:val="BoxList"/>
    <w:aliases w:val="bl"/>
    <w:basedOn w:val="BoxText"/>
    <w:qFormat/>
    <w:rsid w:val="00D40077"/>
    <w:pPr>
      <w:ind w:left="1559" w:hanging="425"/>
    </w:pPr>
  </w:style>
  <w:style w:type="paragraph" w:customStyle="1" w:styleId="BoxNote">
    <w:name w:val="BoxNote"/>
    <w:aliases w:val="bn"/>
    <w:basedOn w:val="BoxText"/>
    <w:qFormat/>
    <w:rsid w:val="00D40077"/>
    <w:pPr>
      <w:tabs>
        <w:tab w:val="left" w:pos="1985"/>
      </w:tabs>
      <w:spacing w:before="122" w:line="198" w:lineRule="exact"/>
      <w:ind w:left="2948" w:hanging="1814"/>
    </w:pPr>
    <w:rPr>
      <w:sz w:val="18"/>
    </w:rPr>
  </w:style>
  <w:style w:type="paragraph" w:customStyle="1" w:styleId="BoxPara">
    <w:name w:val="BoxPara"/>
    <w:aliases w:val="bp"/>
    <w:basedOn w:val="BoxText"/>
    <w:qFormat/>
    <w:rsid w:val="00D40077"/>
    <w:pPr>
      <w:tabs>
        <w:tab w:val="right" w:pos="2268"/>
      </w:tabs>
      <w:ind w:left="2552" w:hanging="1418"/>
    </w:pPr>
  </w:style>
  <w:style w:type="paragraph" w:customStyle="1" w:styleId="BoxStep">
    <w:name w:val="BoxStep"/>
    <w:aliases w:val="bs"/>
    <w:basedOn w:val="BoxText"/>
    <w:qFormat/>
    <w:rsid w:val="00D40077"/>
    <w:pPr>
      <w:ind w:left="1985" w:hanging="851"/>
    </w:pPr>
  </w:style>
  <w:style w:type="character" w:customStyle="1" w:styleId="CharAmPartNo">
    <w:name w:val="CharAmPartNo"/>
    <w:basedOn w:val="OPCCharBase"/>
    <w:uiPriority w:val="1"/>
    <w:qFormat/>
    <w:rsid w:val="00D40077"/>
  </w:style>
  <w:style w:type="character" w:customStyle="1" w:styleId="CharAmPartText">
    <w:name w:val="CharAmPartText"/>
    <w:basedOn w:val="OPCCharBase"/>
    <w:uiPriority w:val="1"/>
    <w:qFormat/>
    <w:rsid w:val="00D40077"/>
  </w:style>
  <w:style w:type="character" w:customStyle="1" w:styleId="CharAmSchNo">
    <w:name w:val="CharAmSchNo"/>
    <w:basedOn w:val="OPCCharBase"/>
    <w:qFormat/>
    <w:rsid w:val="00D40077"/>
  </w:style>
  <w:style w:type="character" w:customStyle="1" w:styleId="CharAmSchText">
    <w:name w:val="CharAmSchText"/>
    <w:basedOn w:val="OPCCharBase"/>
    <w:uiPriority w:val="1"/>
    <w:qFormat/>
    <w:rsid w:val="00D40077"/>
  </w:style>
  <w:style w:type="character" w:customStyle="1" w:styleId="CharBoldItalic">
    <w:name w:val="CharBoldItalic"/>
    <w:basedOn w:val="OPCCharBase"/>
    <w:uiPriority w:val="1"/>
    <w:qFormat/>
    <w:rsid w:val="00D40077"/>
    <w:rPr>
      <w:b/>
      <w:i/>
    </w:rPr>
  </w:style>
  <w:style w:type="character" w:customStyle="1" w:styleId="CharItalic">
    <w:name w:val="CharItalic"/>
    <w:basedOn w:val="OPCCharBase"/>
    <w:uiPriority w:val="1"/>
    <w:qFormat/>
    <w:rsid w:val="00D40077"/>
    <w:rPr>
      <w:i/>
    </w:rPr>
  </w:style>
  <w:style w:type="character" w:customStyle="1" w:styleId="CharSectno0">
    <w:name w:val="CharSectno"/>
    <w:basedOn w:val="OPCCharBase"/>
    <w:qFormat/>
    <w:rsid w:val="00D40077"/>
  </w:style>
  <w:style w:type="character" w:customStyle="1" w:styleId="CharSubdNo">
    <w:name w:val="CharSubdNo"/>
    <w:basedOn w:val="OPCCharBase"/>
    <w:uiPriority w:val="1"/>
    <w:qFormat/>
    <w:rsid w:val="00D40077"/>
  </w:style>
  <w:style w:type="character" w:customStyle="1" w:styleId="CharSubdText">
    <w:name w:val="CharSubdText"/>
    <w:basedOn w:val="OPCCharBase"/>
    <w:uiPriority w:val="1"/>
    <w:qFormat/>
    <w:rsid w:val="00D40077"/>
  </w:style>
  <w:style w:type="paragraph" w:customStyle="1" w:styleId="CTA--">
    <w:name w:val="CTA --"/>
    <w:basedOn w:val="OPCParaBase"/>
    <w:next w:val="Normal"/>
    <w:rsid w:val="00D40077"/>
    <w:pPr>
      <w:spacing w:before="60" w:line="240" w:lineRule="atLeast"/>
      <w:ind w:left="142" w:hanging="142"/>
    </w:pPr>
    <w:rPr>
      <w:sz w:val="20"/>
    </w:rPr>
  </w:style>
  <w:style w:type="paragraph" w:customStyle="1" w:styleId="CTA-">
    <w:name w:val="CTA -"/>
    <w:basedOn w:val="OPCParaBase"/>
    <w:rsid w:val="00D40077"/>
    <w:pPr>
      <w:spacing w:before="60" w:line="240" w:lineRule="atLeast"/>
      <w:ind w:left="85" w:hanging="85"/>
    </w:pPr>
    <w:rPr>
      <w:sz w:val="20"/>
    </w:rPr>
  </w:style>
  <w:style w:type="paragraph" w:customStyle="1" w:styleId="CTA---">
    <w:name w:val="CTA ---"/>
    <w:basedOn w:val="OPCParaBase"/>
    <w:next w:val="Normal"/>
    <w:rsid w:val="00D40077"/>
    <w:pPr>
      <w:spacing w:before="60" w:line="240" w:lineRule="atLeast"/>
      <w:ind w:left="198" w:hanging="198"/>
    </w:pPr>
    <w:rPr>
      <w:sz w:val="20"/>
    </w:rPr>
  </w:style>
  <w:style w:type="paragraph" w:customStyle="1" w:styleId="CTA----">
    <w:name w:val="CTA ----"/>
    <w:basedOn w:val="OPCParaBase"/>
    <w:next w:val="Normal"/>
    <w:rsid w:val="00D40077"/>
    <w:pPr>
      <w:spacing w:before="60" w:line="240" w:lineRule="atLeast"/>
      <w:ind w:left="255" w:hanging="255"/>
    </w:pPr>
    <w:rPr>
      <w:sz w:val="20"/>
    </w:rPr>
  </w:style>
  <w:style w:type="paragraph" w:customStyle="1" w:styleId="CTA1a">
    <w:name w:val="CTA 1(a)"/>
    <w:basedOn w:val="OPCParaBase"/>
    <w:rsid w:val="00D40077"/>
    <w:pPr>
      <w:tabs>
        <w:tab w:val="right" w:pos="414"/>
      </w:tabs>
      <w:spacing w:before="40" w:line="240" w:lineRule="atLeast"/>
      <w:ind w:left="675" w:hanging="675"/>
    </w:pPr>
    <w:rPr>
      <w:sz w:val="20"/>
    </w:rPr>
  </w:style>
  <w:style w:type="paragraph" w:customStyle="1" w:styleId="CTA1ai">
    <w:name w:val="CTA 1(a)(i)"/>
    <w:basedOn w:val="OPCParaBase"/>
    <w:rsid w:val="00D40077"/>
    <w:pPr>
      <w:tabs>
        <w:tab w:val="right" w:pos="1004"/>
      </w:tabs>
      <w:spacing w:before="40" w:line="240" w:lineRule="atLeast"/>
      <w:ind w:left="1253" w:hanging="1253"/>
    </w:pPr>
    <w:rPr>
      <w:sz w:val="20"/>
    </w:rPr>
  </w:style>
  <w:style w:type="paragraph" w:customStyle="1" w:styleId="CTA2a">
    <w:name w:val="CTA 2(a)"/>
    <w:basedOn w:val="OPCParaBase"/>
    <w:rsid w:val="00D40077"/>
    <w:pPr>
      <w:tabs>
        <w:tab w:val="right" w:pos="482"/>
      </w:tabs>
      <w:spacing w:before="40" w:line="240" w:lineRule="atLeast"/>
      <w:ind w:left="748" w:hanging="748"/>
    </w:pPr>
    <w:rPr>
      <w:sz w:val="20"/>
    </w:rPr>
  </w:style>
  <w:style w:type="paragraph" w:customStyle="1" w:styleId="CTA2ai">
    <w:name w:val="CTA 2(a)(i)"/>
    <w:basedOn w:val="OPCParaBase"/>
    <w:rsid w:val="00D40077"/>
    <w:pPr>
      <w:tabs>
        <w:tab w:val="right" w:pos="1089"/>
      </w:tabs>
      <w:spacing w:before="40" w:line="240" w:lineRule="atLeast"/>
      <w:ind w:left="1327" w:hanging="1327"/>
    </w:pPr>
    <w:rPr>
      <w:sz w:val="20"/>
    </w:rPr>
  </w:style>
  <w:style w:type="paragraph" w:customStyle="1" w:styleId="CTA3a">
    <w:name w:val="CTA 3(a)"/>
    <w:basedOn w:val="OPCParaBase"/>
    <w:rsid w:val="00D40077"/>
    <w:pPr>
      <w:tabs>
        <w:tab w:val="right" w:pos="556"/>
      </w:tabs>
      <w:spacing w:before="40" w:line="240" w:lineRule="atLeast"/>
      <w:ind w:left="805" w:hanging="805"/>
    </w:pPr>
    <w:rPr>
      <w:sz w:val="20"/>
    </w:rPr>
  </w:style>
  <w:style w:type="paragraph" w:customStyle="1" w:styleId="CTA3ai">
    <w:name w:val="CTA 3(a)(i)"/>
    <w:basedOn w:val="OPCParaBase"/>
    <w:rsid w:val="00D40077"/>
    <w:pPr>
      <w:tabs>
        <w:tab w:val="right" w:pos="1140"/>
      </w:tabs>
      <w:spacing w:before="40" w:line="240" w:lineRule="atLeast"/>
      <w:ind w:left="1361" w:hanging="1361"/>
    </w:pPr>
    <w:rPr>
      <w:sz w:val="20"/>
    </w:rPr>
  </w:style>
  <w:style w:type="paragraph" w:customStyle="1" w:styleId="CTA4a">
    <w:name w:val="CTA 4(a)"/>
    <w:basedOn w:val="OPCParaBase"/>
    <w:rsid w:val="00D40077"/>
    <w:pPr>
      <w:tabs>
        <w:tab w:val="right" w:pos="624"/>
      </w:tabs>
      <w:spacing w:before="40" w:line="240" w:lineRule="atLeast"/>
      <w:ind w:left="873" w:hanging="873"/>
    </w:pPr>
    <w:rPr>
      <w:sz w:val="20"/>
    </w:rPr>
  </w:style>
  <w:style w:type="paragraph" w:customStyle="1" w:styleId="CTA4ai">
    <w:name w:val="CTA 4(a)(i)"/>
    <w:basedOn w:val="OPCParaBase"/>
    <w:rsid w:val="00D40077"/>
    <w:pPr>
      <w:tabs>
        <w:tab w:val="right" w:pos="1213"/>
      </w:tabs>
      <w:spacing w:before="40" w:line="240" w:lineRule="atLeast"/>
      <w:ind w:left="1452" w:hanging="1452"/>
    </w:pPr>
    <w:rPr>
      <w:sz w:val="20"/>
    </w:rPr>
  </w:style>
  <w:style w:type="paragraph" w:customStyle="1" w:styleId="CTACAPS">
    <w:name w:val="CTA CAPS"/>
    <w:basedOn w:val="OPCParaBase"/>
    <w:rsid w:val="00D40077"/>
    <w:pPr>
      <w:spacing w:before="60" w:line="240" w:lineRule="atLeast"/>
    </w:pPr>
    <w:rPr>
      <w:sz w:val="20"/>
    </w:rPr>
  </w:style>
  <w:style w:type="paragraph" w:customStyle="1" w:styleId="CTAright">
    <w:name w:val="CTA right"/>
    <w:basedOn w:val="OPCParaBase"/>
    <w:rsid w:val="00D40077"/>
    <w:pPr>
      <w:spacing w:before="60" w:line="240" w:lineRule="auto"/>
      <w:jc w:val="right"/>
    </w:pPr>
    <w:rPr>
      <w:sz w:val="20"/>
    </w:rPr>
  </w:style>
  <w:style w:type="paragraph" w:customStyle="1" w:styleId="ETAsubitem">
    <w:name w:val="ETA(subitem)"/>
    <w:basedOn w:val="OPCParaBase"/>
    <w:rsid w:val="00D40077"/>
    <w:pPr>
      <w:tabs>
        <w:tab w:val="right" w:pos="340"/>
      </w:tabs>
      <w:spacing w:before="60" w:line="240" w:lineRule="auto"/>
      <w:ind w:left="454" w:hanging="454"/>
    </w:pPr>
    <w:rPr>
      <w:sz w:val="20"/>
    </w:rPr>
  </w:style>
  <w:style w:type="paragraph" w:customStyle="1" w:styleId="ETApara">
    <w:name w:val="ETA(para)"/>
    <w:basedOn w:val="OPCParaBase"/>
    <w:rsid w:val="00D40077"/>
    <w:pPr>
      <w:tabs>
        <w:tab w:val="right" w:pos="754"/>
      </w:tabs>
      <w:spacing w:before="60" w:line="240" w:lineRule="auto"/>
      <w:ind w:left="828" w:hanging="828"/>
    </w:pPr>
    <w:rPr>
      <w:sz w:val="20"/>
    </w:rPr>
  </w:style>
  <w:style w:type="paragraph" w:customStyle="1" w:styleId="ETAsubpara">
    <w:name w:val="ETA(subpara)"/>
    <w:basedOn w:val="OPCParaBase"/>
    <w:rsid w:val="00D40077"/>
    <w:pPr>
      <w:tabs>
        <w:tab w:val="right" w:pos="1083"/>
      </w:tabs>
      <w:spacing w:before="60" w:line="240" w:lineRule="auto"/>
      <w:ind w:left="1191" w:hanging="1191"/>
    </w:pPr>
    <w:rPr>
      <w:sz w:val="20"/>
    </w:rPr>
  </w:style>
  <w:style w:type="paragraph" w:customStyle="1" w:styleId="ETAsub-subpara">
    <w:name w:val="ETA(sub-subpara)"/>
    <w:basedOn w:val="OPCParaBase"/>
    <w:rsid w:val="00D40077"/>
    <w:pPr>
      <w:tabs>
        <w:tab w:val="right" w:pos="1412"/>
      </w:tabs>
      <w:spacing w:before="60" w:line="240" w:lineRule="auto"/>
      <w:ind w:left="1525" w:hanging="1525"/>
    </w:pPr>
    <w:rPr>
      <w:sz w:val="20"/>
    </w:rPr>
  </w:style>
  <w:style w:type="paragraph" w:customStyle="1" w:styleId="Formula">
    <w:name w:val="Formula"/>
    <w:basedOn w:val="OPCParaBase"/>
    <w:rsid w:val="00D40077"/>
    <w:pPr>
      <w:spacing w:line="240" w:lineRule="auto"/>
      <w:ind w:left="1134"/>
    </w:pPr>
    <w:rPr>
      <w:sz w:val="20"/>
    </w:rPr>
  </w:style>
  <w:style w:type="paragraph" w:customStyle="1" w:styleId="House">
    <w:name w:val="House"/>
    <w:basedOn w:val="OPCParaBase"/>
    <w:rsid w:val="00D40077"/>
    <w:pPr>
      <w:spacing w:line="240" w:lineRule="auto"/>
    </w:pPr>
    <w:rPr>
      <w:sz w:val="28"/>
    </w:rPr>
  </w:style>
  <w:style w:type="paragraph" w:customStyle="1" w:styleId="LongT">
    <w:name w:val="LongT"/>
    <w:basedOn w:val="OPCParaBase"/>
    <w:rsid w:val="00D40077"/>
    <w:pPr>
      <w:spacing w:line="240" w:lineRule="auto"/>
    </w:pPr>
    <w:rPr>
      <w:b/>
      <w:sz w:val="32"/>
    </w:rPr>
  </w:style>
  <w:style w:type="paragraph" w:customStyle="1" w:styleId="notedraft">
    <w:name w:val="note(draft)"/>
    <w:aliases w:val="nd"/>
    <w:basedOn w:val="OPCParaBase"/>
    <w:rsid w:val="00D40077"/>
    <w:pPr>
      <w:spacing w:before="240" w:line="240" w:lineRule="auto"/>
      <w:ind w:left="284" w:hanging="284"/>
    </w:pPr>
    <w:rPr>
      <w:i/>
      <w:sz w:val="24"/>
    </w:rPr>
  </w:style>
  <w:style w:type="paragraph" w:customStyle="1" w:styleId="notepara">
    <w:name w:val="note(para)"/>
    <w:aliases w:val="na"/>
    <w:basedOn w:val="OPCParaBase"/>
    <w:rsid w:val="00D40077"/>
    <w:pPr>
      <w:spacing w:before="40" w:line="198" w:lineRule="exact"/>
      <w:ind w:left="2354" w:hanging="369"/>
    </w:pPr>
    <w:rPr>
      <w:sz w:val="18"/>
    </w:rPr>
  </w:style>
  <w:style w:type="paragraph" w:customStyle="1" w:styleId="noteParlAmend">
    <w:name w:val="note(ParlAmend)"/>
    <w:aliases w:val="npp"/>
    <w:basedOn w:val="OPCParaBase"/>
    <w:next w:val="ParlAmend"/>
    <w:rsid w:val="00D40077"/>
    <w:pPr>
      <w:spacing w:line="240" w:lineRule="auto"/>
      <w:jc w:val="right"/>
    </w:pPr>
    <w:rPr>
      <w:rFonts w:ascii="Arial" w:hAnsi="Arial"/>
      <w:b/>
      <w:i/>
    </w:rPr>
  </w:style>
  <w:style w:type="paragraph" w:customStyle="1" w:styleId="Page1">
    <w:name w:val="Page1"/>
    <w:basedOn w:val="OPCParaBase"/>
    <w:rsid w:val="00D40077"/>
    <w:pPr>
      <w:spacing w:before="5600" w:line="240" w:lineRule="auto"/>
    </w:pPr>
    <w:rPr>
      <w:b/>
      <w:sz w:val="32"/>
    </w:rPr>
  </w:style>
  <w:style w:type="paragraph" w:customStyle="1" w:styleId="PageBreak">
    <w:name w:val="PageBreak"/>
    <w:aliases w:val="pb"/>
    <w:basedOn w:val="OPCParaBase"/>
    <w:rsid w:val="00D40077"/>
    <w:pPr>
      <w:spacing w:line="240" w:lineRule="auto"/>
    </w:pPr>
    <w:rPr>
      <w:sz w:val="10"/>
    </w:rPr>
  </w:style>
  <w:style w:type="paragraph" w:customStyle="1" w:styleId="paragraphsub-sub">
    <w:name w:val="paragraph(sub-sub)"/>
    <w:aliases w:val="aaa"/>
    <w:basedOn w:val="OPCParaBase"/>
    <w:rsid w:val="00D40077"/>
    <w:pPr>
      <w:tabs>
        <w:tab w:val="right" w:pos="2722"/>
      </w:tabs>
      <w:spacing w:before="40" w:line="240" w:lineRule="auto"/>
      <w:ind w:left="2835" w:hanging="2835"/>
    </w:pPr>
  </w:style>
  <w:style w:type="paragraph" w:customStyle="1" w:styleId="ParlAmend">
    <w:name w:val="ParlAmend"/>
    <w:aliases w:val="pp"/>
    <w:basedOn w:val="OPCParaBase"/>
    <w:rsid w:val="00D40077"/>
    <w:pPr>
      <w:spacing w:before="240" w:line="240" w:lineRule="atLeast"/>
      <w:ind w:hanging="567"/>
    </w:pPr>
    <w:rPr>
      <w:sz w:val="24"/>
    </w:rPr>
  </w:style>
  <w:style w:type="paragraph" w:customStyle="1" w:styleId="Penalty">
    <w:name w:val="Penalty"/>
    <w:basedOn w:val="OPCParaBase"/>
    <w:rsid w:val="00D40077"/>
    <w:pPr>
      <w:tabs>
        <w:tab w:val="left" w:pos="2977"/>
      </w:tabs>
      <w:spacing w:before="180" w:line="240" w:lineRule="auto"/>
      <w:ind w:left="1985" w:hanging="851"/>
    </w:pPr>
  </w:style>
  <w:style w:type="paragraph" w:customStyle="1" w:styleId="Portfolio">
    <w:name w:val="Portfolio"/>
    <w:basedOn w:val="OPCParaBase"/>
    <w:rsid w:val="00D40077"/>
    <w:pPr>
      <w:spacing w:line="240" w:lineRule="auto"/>
    </w:pPr>
    <w:rPr>
      <w:i/>
      <w:sz w:val="20"/>
    </w:rPr>
  </w:style>
  <w:style w:type="paragraph" w:customStyle="1" w:styleId="Preamble">
    <w:name w:val="Preamble"/>
    <w:basedOn w:val="OPCParaBase"/>
    <w:next w:val="Normal"/>
    <w:rsid w:val="00D4007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40077"/>
    <w:pPr>
      <w:spacing w:line="240" w:lineRule="auto"/>
    </w:pPr>
    <w:rPr>
      <w:i/>
      <w:sz w:val="20"/>
    </w:rPr>
  </w:style>
  <w:style w:type="paragraph" w:customStyle="1" w:styleId="Session">
    <w:name w:val="Session"/>
    <w:basedOn w:val="OPCParaBase"/>
    <w:rsid w:val="00D40077"/>
    <w:pPr>
      <w:spacing w:line="240" w:lineRule="auto"/>
    </w:pPr>
    <w:rPr>
      <w:sz w:val="28"/>
    </w:rPr>
  </w:style>
  <w:style w:type="paragraph" w:customStyle="1" w:styleId="Sponsor">
    <w:name w:val="Sponsor"/>
    <w:basedOn w:val="OPCParaBase"/>
    <w:rsid w:val="00D40077"/>
    <w:pPr>
      <w:spacing w:line="240" w:lineRule="auto"/>
    </w:pPr>
    <w:rPr>
      <w:i/>
    </w:rPr>
  </w:style>
  <w:style w:type="paragraph" w:customStyle="1" w:styleId="Subitem">
    <w:name w:val="Subitem"/>
    <w:aliases w:val="iss"/>
    <w:basedOn w:val="OPCParaBase"/>
    <w:rsid w:val="00D40077"/>
    <w:pPr>
      <w:spacing w:before="180" w:line="240" w:lineRule="auto"/>
      <w:ind w:left="709" w:hanging="709"/>
    </w:pPr>
  </w:style>
  <w:style w:type="paragraph" w:customStyle="1" w:styleId="SubitemHead">
    <w:name w:val="SubitemHead"/>
    <w:aliases w:val="issh"/>
    <w:basedOn w:val="OPCParaBase"/>
    <w:rsid w:val="00D40077"/>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D40077"/>
    <w:pPr>
      <w:keepNext/>
      <w:keepLines/>
      <w:spacing w:before="240" w:line="240" w:lineRule="auto"/>
      <w:ind w:left="1134"/>
    </w:pPr>
    <w:rPr>
      <w:i/>
    </w:rPr>
  </w:style>
  <w:style w:type="paragraph" w:customStyle="1" w:styleId="Tablea">
    <w:name w:val="Table(a)"/>
    <w:aliases w:val="ta"/>
    <w:basedOn w:val="OPCParaBase"/>
    <w:rsid w:val="00D40077"/>
    <w:pPr>
      <w:spacing w:before="60" w:line="240" w:lineRule="auto"/>
      <w:ind w:left="284" w:hanging="284"/>
    </w:pPr>
    <w:rPr>
      <w:sz w:val="20"/>
    </w:rPr>
  </w:style>
  <w:style w:type="paragraph" w:customStyle="1" w:styleId="TableAA">
    <w:name w:val="Table(AA)"/>
    <w:aliases w:val="taaa"/>
    <w:basedOn w:val="OPCParaBase"/>
    <w:rsid w:val="00D4007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4007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40077"/>
    <w:pPr>
      <w:spacing w:before="60" w:line="240" w:lineRule="atLeast"/>
    </w:pPr>
    <w:rPr>
      <w:sz w:val="20"/>
    </w:rPr>
  </w:style>
  <w:style w:type="paragraph" w:customStyle="1" w:styleId="TLPBoxTextnote">
    <w:name w:val="TLPBoxText(note"/>
    <w:aliases w:val="right)"/>
    <w:basedOn w:val="OPCParaBase"/>
    <w:rsid w:val="00D400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40077"/>
    <w:pPr>
      <w:numPr>
        <w:numId w:val="35"/>
      </w:numPr>
      <w:tabs>
        <w:tab w:val="clear" w:pos="2517"/>
      </w:tabs>
      <w:spacing w:before="60" w:line="198" w:lineRule="exact"/>
      <w:ind w:left="2625"/>
    </w:pPr>
    <w:rPr>
      <w:sz w:val="18"/>
    </w:rPr>
  </w:style>
  <w:style w:type="paragraph" w:customStyle="1" w:styleId="TLPnoteright">
    <w:name w:val="TLPnote(right)"/>
    <w:aliases w:val="nr"/>
    <w:basedOn w:val="OPCParaBase"/>
    <w:rsid w:val="00D40077"/>
    <w:pPr>
      <w:spacing w:before="122" w:line="198" w:lineRule="exact"/>
      <w:ind w:left="1985" w:hanging="851"/>
      <w:jc w:val="right"/>
    </w:pPr>
    <w:rPr>
      <w:sz w:val="18"/>
    </w:rPr>
  </w:style>
  <w:style w:type="paragraph" w:customStyle="1" w:styleId="TLPTableBullet">
    <w:name w:val="TLPTableBullet"/>
    <w:aliases w:val="ttb"/>
    <w:basedOn w:val="OPCParaBase"/>
    <w:rsid w:val="00D40077"/>
    <w:pPr>
      <w:spacing w:line="240" w:lineRule="exact"/>
      <w:ind w:left="284" w:hanging="284"/>
    </w:pPr>
    <w:rPr>
      <w:sz w:val="20"/>
    </w:rPr>
  </w:style>
  <w:style w:type="paragraph" w:styleId="TOC1">
    <w:name w:val="toc 1"/>
    <w:basedOn w:val="OPCParaBase"/>
    <w:next w:val="Normal"/>
    <w:uiPriority w:val="39"/>
    <w:unhideWhenUsed/>
    <w:rsid w:val="00D40077"/>
    <w:pPr>
      <w:spacing w:line="240" w:lineRule="auto"/>
    </w:pPr>
    <w:rPr>
      <w:sz w:val="24"/>
    </w:rPr>
  </w:style>
  <w:style w:type="paragraph" w:styleId="TOC2">
    <w:name w:val="toc 2"/>
    <w:basedOn w:val="OPCParaBase"/>
    <w:next w:val="Normal"/>
    <w:uiPriority w:val="39"/>
    <w:unhideWhenUsed/>
    <w:rsid w:val="00D40077"/>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D40077"/>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D40077"/>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D40077"/>
    <w:pPr>
      <w:spacing w:line="240" w:lineRule="auto"/>
      <w:ind w:left="958"/>
    </w:pPr>
    <w:rPr>
      <w:sz w:val="24"/>
    </w:rPr>
  </w:style>
  <w:style w:type="paragraph" w:styleId="TOC6">
    <w:name w:val="toc 6"/>
    <w:basedOn w:val="OPCParaBase"/>
    <w:next w:val="Normal"/>
    <w:uiPriority w:val="39"/>
    <w:semiHidden/>
    <w:unhideWhenUsed/>
    <w:rsid w:val="00D40077"/>
    <w:pPr>
      <w:spacing w:line="240" w:lineRule="auto"/>
      <w:ind w:left="1202"/>
    </w:pPr>
    <w:rPr>
      <w:sz w:val="24"/>
    </w:rPr>
  </w:style>
  <w:style w:type="paragraph" w:styleId="TOC7">
    <w:name w:val="toc 7"/>
    <w:basedOn w:val="OPCParaBase"/>
    <w:next w:val="Normal"/>
    <w:uiPriority w:val="39"/>
    <w:semiHidden/>
    <w:unhideWhenUsed/>
    <w:rsid w:val="00D40077"/>
    <w:pPr>
      <w:spacing w:line="240" w:lineRule="auto"/>
      <w:ind w:left="1440"/>
    </w:pPr>
    <w:rPr>
      <w:sz w:val="24"/>
    </w:rPr>
  </w:style>
  <w:style w:type="paragraph" w:styleId="TOC8">
    <w:name w:val="toc 8"/>
    <w:basedOn w:val="OPCParaBase"/>
    <w:next w:val="Normal"/>
    <w:uiPriority w:val="39"/>
    <w:semiHidden/>
    <w:unhideWhenUsed/>
    <w:rsid w:val="00D40077"/>
    <w:pPr>
      <w:spacing w:line="240" w:lineRule="auto"/>
      <w:ind w:left="1678"/>
    </w:pPr>
    <w:rPr>
      <w:sz w:val="24"/>
    </w:rPr>
  </w:style>
  <w:style w:type="paragraph" w:styleId="TOC9">
    <w:name w:val="toc 9"/>
    <w:basedOn w:val="OPCParaBase"/>
    <w:next w:val="Normal"/>
    <w:uiPriority w:val="39"/>
    <w:unhideWhenUsed/>
    <w:rsid w:val="00D40077"/>
    <w:pPr>
      <w:spacing w:line="240" w:lineRule="auto"/>
      <w:ind w:left="1922"/>
    </w:pPr>
    <w:rPr>
      <w:sz w:val="24"/>
    </w:rPr>
  </w:style>
  <w:style w:type="paragraph" w:customStyle="1" w:styleId="TofSectsGroupHeading">
    <w:name w:val="TofSects(GroupHeading)"/>
    <w:basedOn w:val="OPCParaBase"/>
    <w:next w:val="TofSectsSection"/>
    <w:rsid w:val="00D40077"/>
    <w:pPr>
      <w:keepLines/>
      <w:spacing w:before="240" w:after="120" w:line="240" w:lineRule="auto"/>
      <w:ind w:left="794"/>
    </w:pPr>
    <w:rPr>
      <w:b/>
      <w:kern w:val="28"/>
      <w:sz w:val="20"/>
    </w:rPr>
  </w:style>
  <w:style w:type="paragraph" w:customStyle="1" w:styleId="TofSectsHeading">
    <w:name w:val="TofSects(Heading)"/>
    <w:basedOn w:val="OPCParaBase"/>
    <w:rsid w:val="00D40077"/>
    <w:pPr>
      <w:spacing w:before="240" w:after="120" w:line="240" w:lineRule="auto"/>
    </w:pPr>
    <w:rPr>
      <w:b/>
      <w:sz w:val="24"/>
    </w:rPr>
  </w:style>
  <w:style w:type="paragraph" w:customStyle="1" w:styleId="TofSectsSection">
    <w:name w:val="TofSects(Section)"/>
    <w:basedOn w:val="OPCParaBase"/>
    <w:rsid w:val="00D40077"/>
    <w:pPr>
      <w:keepLines/>
      <w:spacing w:before="40" w:line="240" w:lineRule="auto"/>
      <w:ind w:left="1588" w:hanging="794"/>
    </w:pPr>
    <w:rPr>
      <w:kern w:val="28"/>
      <w:sz w:val="18"/>
    </w:rPr>
  </w:style>
  <w:style w:type="paragraph" w:customStyle="1" w:styleId="TofSectsSubdiv">
    <w:name w:val="TofSects(Subdiv)"/>
    <w:basedOn w:val="OPCParaBase"/>
    <w:rsid w:val="00D40077"/>
    <w:pPr>
      <w:keepLines/>
      <w:spacing w:before="80" w:line="240" w:lineRule="auto"/>
      <w:ind w:left="1588" w:hanging="794"/>
    </w:pPr>
    <w:rPr>
      <w:kern w:val="28"/>
    </w:rPr>
  </w:style>
  <w:style w:type="paragraph" w:customStyle="1" w:styleId="WRStyle">
    <w:name w:val="WR Style"/>
    <w:aliases w:val="WR"/>
    <w:basedOn w:val="OPCParaBase"/>
    <w:rsid w:val="00D40077"/>
    <w:pPr>
      <w:spacing w:before="240" w:line="240" w:lineRule="auto"/>
      <w:ind w:left="284" w:hanging="284"/>
    </w:pPr>
    <w:rPr>
      <w:b/>
      <w:i/>
      <w:kern w:val="28"/>
      <w:sz w:val="24"/>
    </w:rPr>
  </w:style>
  <w:style w:type="paragraph" w:customStyle="1" w:styleId="Body">
    <w:name w:val="Body"/>
    <w:aliases w:val="b"/>
    <w:basedOn w:val="OPCParaBase"/>
    <w:rsid w:val="00D40077"/>
    <w:pPr>
      <w:spacing w:before="240" w:line="240" w:lineRule="auto"/>
    </w:pPr>
    <w:rPr>
      <w:sz w:val="24"/>
    </w:rPr>
  </w:style>
  <w:style w:type="paragraph" w:customStyle="1" w:styleId="BodyNum">
    <w:name w:val="BodyNum"/>
    <w:aliases w:val="b1"/>
    <w:basedOn w:val="OPCParaBase"/>
    <w:rsid w:val="00D40077"/>
    <w:pPr>
      <w:numPr>
        <w:numId w:val="37"/>
      </w:numPr>
      <w:spacing w:before="240" w:line="240" w:lineRule="auto"/>
    </w:pPr>
    <w:rPr>
      <w:sz w:val="24"/>
    </w:rPr>
  </w:style>
  <w:style w:type="paragraph" w:customStyle="1" w:styleId="BodyPara">
    <w:name w:val="BodyPara"/>
    <w:aliases w:val="ba"/>
    <w:basedOn w:val="OPCParaBase"/>
    <w:rsid w:val="00D40077"/>
    <w:pPr>
      <w:numPr>
        <w:ilvl w:val="1"/>
        <w:numId w:val="37"/>
      </w:numPr>
      <w:spacing w:before="240" w:line="240" w:lineRule="auto"/>
    </w:pPr>
    <w:rPr>
      <w:sz w:val="24"/>
    </w:rPr>
  </w:style>
  <w:style w:type="paragraph" w:customStyle="1" w:styleId="BodyParaBullet">
    <w:name w:val="BodyParaBullet"/>
    <w:aliases w:val="bpb"/>
    <w:basedOn w:val="OPCParaBase"/>
    <w:rsid w:val="00D40077"/>
    <w:pPr>
      <w:numPr>
        <w:ilvl w:val="2"/>
        <w:numId w:val="37"/>
      </w:numPr>
      <w:tabs>
        <w:tab w:val="left" w:pos="2160"/>
      </w:tabs>
      <w:spacing w:before="240" w:line="240" w:lineRule="auto"/>
    </w:pPr>
    <w:rPr>
      <w:sz w:val="24"/>
    </w:rPr>
  </w:style>
  <w:style w:type="paragraph" w:customStyle="1" w:styleId="BodySubPara">
    <w:name w:val="BodySubPara"/>
    <w:aliases w:val="bi"/>
    <w:basedOn w:val="OPCParaBase"/>
    <w:rsid w:val="00D40077"/>
    <w:pPr>
      <w:numPr>
        <w:ilvl w:val="3"/>
        <w:numId w:val="37"/>
      </w:numPr>
      <w:spacing w:before="240" w:line="240" w:lineRule="auto"/>
    </w:pPr>
    <w:rPr>
      <w:sz w:val="24"/>
    </w:rPr>
  </w:style>
  <w:style w:type="numbering" w:customStyle="1" w:styleId="OPCBodyList">
    <w:name w:val="OPCBodyList"/>
    <w:uiPriority w:val="99"/>
    <w:rsid w:val="00D40077"/>
    <w:pPr>
      <w:numPr>
        <w:numId w:val="37"/>
      </w:numPr>
    </w:pPr>
  </w:style>
  <w:style w:type="paragraph" w:customStyle="1" w:styleId="Head1">
    <w:name w:val="Head 1"/>
    <w:aliases w:val="1"/>
    <w:basedOn w:val="OPCParaBase"/>
    <w:next w:val="BodyNum"/>
    <w:rsid w:val="00D40077"/>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D40077"/>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D40077"/>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D40077"/>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40077"/>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D40077"/>
    <w:pPr>
      <w:spacing w:before="122" w:line="198" w:lineRule="exact"/>
      <w:ind w:left="2353" w:hanging="709"/>
    </w:pPr>
    <w:rPr>
      <w:sz w:val="18"/>
    </w:rPr>
  </w:style>
  <w:style w:type="character" w:styleId="PageNumber">
    <w:name w:val="page number"/>
    <w:basedOn w:val="DefaultParagraphFont"/>
    <w:rsid w:val="00D40077"/>
  </w:style>
  <w:style w:type="paragraph" w:customStyle="1" w:styleId="MessShortTitle">
    <w:name w:val="MessShortTitle"/>
    <w:basedOn w:val="Head2"/>
    <w:rsid w:val="00D40077"/>
  </w:style>
  <w:style w:type="paragraph" w:customStyle="1" w:styleId="FreeForm">
    <w:name w:val="FreeForm"/>
    <w:rsid w:val="00D40077"/>
    <w:pPr>
      <w:spacing w:after="0" w:line="240" w:lineRule="auto"/>
    </w:pPr>
    <w:rPr>
      <w:rFonts w:ascii="Arial" w:hAnsi="Arial"/>
      <w:szCs w:val="20"/>
    </w:rPr>
  </w:style>
  <w:style w:type="paragraph" w:customStyle="1" w:styleId="SOTextNote">
    <w:name w:val="SO TextNote"/>
    <w:aliases w:val="sont"/>
    <w:basedOn w:val="Normal"/>
    <w:qFormat/>
    <w:rsid w:val="00D40077"/>
    <w:pPr>
      <w:pBdr>
        <w:top w:val="single" w:sz="6" w:space="5" w:color="auto"/>
        <w:left w:val="single" w:sz="6" w:space="5" w:color="auto"/>
        <w:bottom w:val="single" w:sz="6" w:space="5" w:color="auto"/>
        <w:right w:val="single" w:sz="6" w:space="5" w:color="auto"/>
      </w:pBdr>
      <w:spacing w:before="122" w:after="0" w:line="198" w:lineRule="exact"/>
      <w:ind w:left="1843" w:hanging="709"/>
    </w:pPr>
    <w:rPr>
      <w:sz w:val="18"/>
      <w:szCs w:val="20"/>
    </w:rPr>
  </w:style>
  <w:style w:type="paragraph" w:customStyle="1" w:styleId="SOPara">
    <w:name w:val="SO Para"/>
    <w:aliases w:val="soa"/>
    <w:basedOn w:val="Normal"/>
    <w:link w:val="SOParaChar"/>
    <w:qFormat/>
    <w:rsid w:val="00D40077"/>
    <w:pPr>
      <w:pBdr>
        <w:top w:val="single" w:sz="6" w:space="5" w:color="auto"/>
        <w:left w:val="single" w:sz="6" w:space="5" w:color="auto"/>
        <w:bottom w:val="single" w:sz="6" w:space="5" w:color="auto"/>
        <w:right w:val="single" w:sz="6" w:space="5" w:color="auto"/>
      </w:pBdr>
      <w:tabs>
        <w:tab w:val="right" w:pos="1786"/>
      </w:tabs>
      <w:spacing w:before="40" w:after="0" w:line="240" w:lineRule="auto"/>
      <w:ind w:left="2070" w:hanging="936"/>
    </w:pPr>
    <w:rPr>
      <w:szCs w:val="20"/>
    </w:rPr>
  </w:style>
  <w:style w:type="character" w:customStyle="1" w:styleId="SOParaChar">
    <w:name w:val="SO Para Char"/>
    <w:aliases w:val="soa Char"/>
    <w:basedOn w:val="DefaultParagraphFont"/>
    <w:link w:val="SOPara"/>
    <w:rsid w:val="00D40077"/>
    <w:rPr>
      <w:rFonts w:ascii="Times New Roman" w:hAnsi="Times New Roman"/>
      <w:szCs w:val="20"/>
    </w:rPr>
  </w:style>
  <w:style w:type="paragraph" w:customStyle="1" w:styleId="SOHeadItalic">
    <w:name w:val="SO HeadItalic"/>
    <w:aliases w:val="sohi"/>
    <w:basedOn w:val="Normal"/>
    <w:next w:val="Normal"/>
    <w:link w:val="SOHeadItalicChar"/>
    <w:qFormat/>
    <w:rsid w:val="00D40077"/>
    <w:pPr>
      <w:pBdr>
        <w:top w:val="single" w:sz="6" w:space="5" w:color="auto"/>
        <w:left w:val="single" w:sz="6" w:space="5" w:color="auto"/>
        <w:bottom w:val="single" w:sz="6" w:space="5" w:color="auto"/>
        <w:right w:val="single" w:sz="6" w:space="5" w:color="auto"/>
      </w:pBdr>
      <w:spacing w:before="240" w:after="0" w:line="240" w:lineRule="auto"/>
      <w:ind w:left="1134"/>
    </w:pPr>
    <w:rPr>
      <w:i/>
      <w:szCs w:val="20"/>
    </w:rPr>
  </w:style>
  <w:style w:type="character" w:customStyle="1" w:styleId="SOHeadItalicChar">
    <w:name w:val="SO HeadItalic Char"/>
    <w:aliases w:val="sohi Char"/>
    <w:basedOn w:val="DefaultParagraphFont"/>
    <w:link w:val="SOHeadItalic"/>
    <w:rsid w:val="00D40077"/>
    <w:rPr>
      <w:rFonts w:ascii="Times New Roman" w:hAnsi="Times New Roman"/>
      <w:i/>
      <w:szCs w:val="20"/>
    </w:rPr>
  </w:style>
  <w:style w:type="paragraph" w:customStyle="1" w:styleId="SOHeadBold">
    <w:name w:val="SO HeadBold"/>
    <w:aliases w:val="sohb"/>
    <w:basedOn w:val="Normal"/>
    <w:next w:val="Normal"/>
    <w:link w:val="SOHeadBoldChar"/>
    <w:qFormat/>
    <w:rsid w:val="00D40077"/>
    <w:pPr>
      <w:pBdr>
        <w:top w:val="single" w:sz="6" w:space="5" w:color="auto"/>
        <w:left w:val="single" w:sz="6" w:space="5" w:color="auto"/>
        <w:bottom w:val="single" w:sz="6" w:space="5" w:color="auto"/>
        <w:right w:val="single" w:sz="6" w:space="5" w:color="auto"/>
      </w:pBdr>
      <w:spacing w:before="240" w:after="0" w:line="240" w:lineRule="auto"/>
      <w:ind w:left="1134"/>
    </w:pPr>
    <w:rPr>
      <w:b/>
      <w:szCs w:val="20"/>
    </w:rPr>
  </w:style>
  <w:style w:type="character" w:customStyle="1" w:styleId="SOHeadBoldChar">
    <w:name w:val="SO HeadBold Char"/>
    <w:aliases w:val="sohb Char"/>
    <w:basedOn w:val="DefaultParagraphFont"/>
    <w:link w:val="SOHeadBold"/>
    <w:rsid w:val="00D40077"/>
    <w:rPr>
      <w:rFonts w:ascii="Times New Roman" w:hAnsi="Times New Roman"/>
      <w:b/>
      <w:szCs w:val="20"/>
    </w:rPr>
  </w:style>
  <w:style w:type="paragraph" w:customStyle="1" w:styleId="SOBulletNote">
    <w:name w:val="SO BulletNote"/>
    <w:aliases w:val="sonb"/>
    <w:basedOn w:val="SOTextNote"/>
    <w:link w:val="SOBulletNoteChar"/>
    <w:qFormat/>
    <w:rsid w:val="00D40077"/>
    <w:pPr>
      <w:tabs>
        <w:tab w:val="left" w:pos="1560"/>
      </w:tabs>
      <w:ind w:left="2268" w:hanging="1134"/>
    </w:pPr>
  </w:style>
  <w:style w:type="character" w:customStyle="1" w:styleId="SOBulletNoteChar">
    <w:name w:val="SO BulletNote Char"/>
    <w:aliases w:val="sonb Char"/>
    <w:basedOn w:val="DefaultParagraphFont"/>
    <w:link w:val="SOBulletNote"/>
    <w:rsid w:val="00D40077"/>
    <w:rPr>
      <w:rFonts w:ascii="Times New Roman" w:hAnsi="Times New Roman"/>
      <w:sz w:val="18"/>
      <w:szCs w:val="20"/>
    </w:rPr>
  </w:style>
  <w:style w:type="paragraph" w:customStyle="1" w:styleId="SOBullet">
    <w:name w:val="SO Bullet"/>
    <w:aliases w:val="sotb"/>
    <w:basedOn w:val="Normal"/>
    <w:link w:val="SOBulletChar"/>
    <w:qFormat/>
    <w:rsid w:val="00D40077"/>
    <w:pPr>
      <w:pBdr>
        <w:top w:val="single" w:sz="6" w:space="5" w:color="auto"/>
        <w:left w:val="single" w:sz="6" w:space="5" w:color="auto"/>
        <w:bottom w:val="single" w:sz="6" w:space="5" w:color="auto"/>
        <w:right w:val="single" w:sz="6" w:space="5" w:color="auto"/>
      </w:pBdr>
      <w:spacing w:before="240" w:after="0" w:line="240" w:lineRule="auto"/>
      <w:ind w:left="1134"/>
    </w:pPr>
    <w:rPr>
      <w:szCs w:val="20"/>
    </w:rPr>
  </w:style>
  <w:style w:type="character" w:customStyle="1" w:styleId="SOBulletChar">
    <w:name w:val="SO Bullet Char"/>
    <w:aliases w:val="sotb Char"/>
    <w:basedOn w:val="DefaultParagraphFont"/>
    <w:link w:val="SOBullet"/>
    <w:rsid w:val="00D40077"/>
    <w:rPr>
      <w:rFonts w:ascii="Times New Roman" w:hAnsi="Times New Roman"/>
      <w:szCs w:val="20"/>
    </w:rPr>
  </w:style>
  <w:style w:type="paragraph" w:customStyle="1" w:styleId="TableHeading">
    <w:name w:val="TableHeading"/>
    <w:aliases w:val="th"/>
    <w:basedOn w:val="OPCParaBase"/>
    <w:next w:val="Tabletext"/>
    <w:rsid w:val="00D40077"/>
    <w:pPr>
      <w:keepNext/>
      <w:spacing w:before="60" w:line="240" w:lineRule="atLeast"/>
    </w:pPr>
    <w:rPr>
      <w:b/>
      <w:sz w:val="20"/>
    </w:rPr>
  </w:style>
  <w:style w:type="paragraph" w:customStyle="1" w:styleId="SubPartCASA">
    <w:name w:val="SubPart(CASA)"/>
    <w:aliases w:val="csp"/>
    <w:basedOn w:val="OPCParaBase"/>
    <w:next w:val="ActHead3"/>
    <w:rsid w:val="00D40077"/>
    <w:pPr>
      <w:keepNext/>
      <w:keepLines/>
      <w:spacing w:before="280"/>
      <w:ind w:left="1134" w:hanging="1134"/>
      <w:outlineLvl w:val="1"/>
    </w:pPr>
    <w:rPr>
      <w:b/>
      <w:kern w:val="28"/>
      <w:sz w:val="32"/>
    </w:rPr>
  </w:style>
  <w:style w:type="paragraph" w:customStyle="1" w:styleId="SundryBoxBullet">
    <w:name w:val="SundryBoxBullet"/>
    <w:aliases w:val="sbb"/>
    <w:basedOn w:val="Normal"/>
    <w:rsid w:val="00D40077"/>
    <w:pPr>
      <w:pBdr>
        <w:top w:val="single" w:sz="6" w:space="5" w:color="auto"/>
        <w:left w:val="single" w:sz="6" w:space="5" w:color="auto"/>
        <w:bottom w:val="single" w:sz="6" w:space="5" w:color="auto"/>
        <w:right w:val="single" w:sz="6" w:space="5" w:color="auto"/>
      </w:pBdr>
      <w:spacing w:before="240" w:after="0" w:line="240" w:lineRule="auto"/>
      <w:ind w:left="425" w:hanging="425"/>
    </w:pPr>
    <w:rPr>
      <w:sz w:val="24"/>
      <w:szCs w:val="24"/>
    </w:rPr>
  </w:style>
  <w:style w:type="paragraph" w:customStyle="1" w:styleId="SundryBoxHeadBold">
    <w:name w:val="SundryBoxHeadBold"/>
    <w:aliases w:val="sbhb"/>
    <w:basedOn w:val="Normal"/>
    <w:rsid w:val="00D40077"/>
    <w:pPr>
      <w:pBdr>
        <w:top w:val="single" w:sz="6" w:space="5" w:color="auto"/>
        <w:left w:val="single" w:sz="6" w:space="5" w:color="auto"/>
        <w:bottom w:val="single" w:sz="6" w:space="5" w:color="auto"/>
        <w:right w:val="single" w:sz="6" w:space="5" w:color="auto"/>
      </w:pBdr>
      <w:spacing w:before="240" w:after="0" w:line="240" w:lineRule="auto"/>
    </w:pPr>
    <w:rPr>
      <w:rFonts w:eastAsia="Times New Roman"/>
      <w:b/>
      <w:sz w:val="24"/>
      <w:szCs w:val="24"/>
    </w:rPr>
  </w:style>
  <w:style w:type="character" w:customStyle="1" w:styleId="charparttext0">
    <w:name w:val="charparttext"/>
    <w:basedOn w:val="DefaultParagraphFont"/>
    <w:rsid w:val="00D40077"/>
  </w:style>
  <w:style w:type="paragraph" w:customStyle="1" w:styleId="Numberedparagraph">
    <w:name w:val="Numbered paragraph"/>
    <w:basedOn w:val="Normal"/>
    <w:rsid w:val="00982C1B"/>
    <w:pPr>
      <w:numPr>
        <w:numId w:val="38"/>
      </w:numPr>
      <w:spacing w:before="180" w:after="0" w:line="240" w:lineRule="auto"/>
      <w:ind w:left="0" w:firstLine="0"/>
    </w:pPr>
    <w:rPr>
      <w:rFonts w:eastAsia="Calibri"/>
      <w:bCs/>
      <w:szCs w:val="20"/>
    </w:rPr>
  </w:style>
  <w:style w:type="character" w:customStyle="1" w:styleId="ActHead5Char">
    <w:name w:val="ActHead 5 Char"/>
    <w:aliases w:val="s Char"/>
    <w:link w:val="ActHead50"/>
    <w:rsid w:val="00B834C5"/>
    <w:rPr>
      <w:rFonts w:ascii="Times New Roman" w:eastAsia="Times New Roman" w:hAnsi="Times New Roman" w:cs="Times New Roman"/>
      <w:b/>
      <w:kern w:val="28"/>
      <w:sz w:val="24"/>
      <w:szCs w:val="20"/>
      <w:lang w:eastAsia="en-AU"/>
    </w:rPr>
  </w:style>
  <w:style w:type="paragraph" w:customStyle="1" w:styleId="Scheduletitle">
    <w:name w:val="Schedule title"/>
    <w:basedOn w:val="Normal"/>
    <w:next w:val="Normal"/>
    <w:rsid w:val="00804350"/>
    <w:pPr>
      <w:keepNext/>
      <w:keepLines/>
      <w:pageBreakBefore/>
      <w:spacing w:before="480" w:after="0" w:line="240" w:lineRule="auto"/>
      <w:ind w:left="2410" w:hanging="2410"/>
    </w:pPr>
    <w:rPr>
      <w:rFonts w:ascii="Arial" w:eastAsia="Times New Roman" w:hAnsi="Arial"/>
      <w:b/>
      <w:sz w:val="32"/>
      <w:szCs w:val="24"/>
      <w:lang w:eastAsia="en-US"/>
    </w:rPr>
  </w:style>
  <w:style w:type="character" w:customStyle="1" w:styleId="CharSchPTNo">
    <w:name w:val="CharSchPTNo"/>
    <w:basedOn w:val="DefaultParagraphFont"/>
    <w:rsid w:val="00804350"/>
  </w:style>
  <w:style w:type="character" w:customStyle="1" w:styleId="CharSchPTText">
    <w:name w:val="CharSchPTText"/>
    <w:basedOn w:val="DefaultParagraphFont"/>
    <w:rsid w:val="00804350"/>
  </w:style>
  <w:style w:type="paragraph" w:customStyle="1" w:styleId="Schedulepart">
    <w:name w:val="Schedule part"/>
    <w:basedOn w:val="Normal"/>
    <w:rsid w:val="00804350"/>
    <w:pPr>
      <w:keepNext/>
      <w:keepLines/>
      <w:spacing w:before="360" w:after="0" w:line="240" w:lineRule="auto"/>
      <w:ind w:left="1559" w:hanging="1559"/>
    </w:pPr>
    <w:rPr>
      <w:rFonts w:ascii="Arial" w:eastAsia="Times New Roman" w:hAnsi="Arial"/>
      <w:b/>
      <w:sz w:val="28"/>
      <w:szCs w:val="24"/>
      <w:lang w:eastAsia="en-US"/>
    </w:rPr>
  </w:style>
  <w:style w:type="character" w:styleId="UnresolvedMention">
    <w:name w:val="Unresolved Mention"/>
    <w:basedOn w:val="DefaultParagraphFont"/>
    <w:uiPriority w:val="99"/>
    <w:semiHidden/>
    <w:unhideWhenUsed/>
    <w:rsid w:val="00B06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9131">
      <w:bodyDiv w:val="1"/>
      <w:marLeft w:val="0"/>
      <w:marRight w:val="0"/>
      <w:marTop w:val="0"/>
      <w:marBottom w:val="0"/>
      <w:divBdr>
        <w:top w:val="none" w:sz="0" w:space="0" w:color="auto"/>
        <w:left w:val="none" w:sz="0" w:space="0" w:color="auto"/>
        <w:bottom w:val="none" w:sz="0" w:space="0" w:color="auto"/>
        <w:right w:val="none" w:sz="0" w:space="0" w:color="auto"/>
      </w:divBdr>
    </w:div>
    <w:div w:id="465121596">
      <w:bodyDiv w:val="1"/>
      <w:marLeft w:val="0"/>
      <w:marRight w:val="0"/>
      <w:marTop w:val="0"/>
      <w:marBottom w:val="0"/>
      <w:divBdr>
        <w:top w:val="none" w:sz="0" w:space="0" w:color="auto"/>
        <w:left w:val="none" w:sz="0" w:space="0" w:color="auto"/>
        <w:bottom w:val="none" w:sz="0" w:space="0" w:color="auto"/>
        <w:right w:val="none" w:sz="0" w:space="0" w:color="auto"/>
      </w:divBdr>
    </w:div>
    <w:div w:id="930704045">
      <w:bodyDiv w:val="1"/>
      <w:marLeft w:val="0"/>
      <w:marRight w:val="0"/>
      <w:marTop w:val="0"/>
      <w:marBottom w:val="0"/>
      <w:divBdr>
        <w:top w:val="none" w:sz="0" w:space="0" w:color="auto"/>
        <w:left w:val="none" w:sz="0" w:space="0" w:color="auto"/>
        <w:bottom w:val="none" w:sz="0" w:space="0" w:color="auto"/>
        <w:right w:val="none" w:sz="0" w:space="0" w:color="auto"/>
      </w:divBdr>
    </w:div>
    <w:div w:id="1059936757">
      <w:bodyDiv w:val="1"/>
      <w:marLeft w:val="0"/>
      <w:marRight w:val="0"/>
      <w:marTop w:val="0"/>
      <w:marBottom w:val="0"/>
      <w:divBdr>
        <w:top w:val="none" w:sz="0" w:space="0" w:color="auto"/>
        <w:left w:val="none" w:sz="0" w:space="0" w:color="auto"/>
        <w:bottom w:val="none" w:sz="0" w:space="0" w:color="auto"/>
        <w:right w:val="none" w:sz="0" w:space="0" w:color="auto"/>
      </w:divBdr>
    </w:div>
    <w:div w:id="1102382845">
      <w:bodyDiv w:val="1"/>
      <w:marLeft w:val="0"/>
      <w:marRight w:val="0"/>
      <w:marTop w:val="0"/>
      <w:marBottom w:val="0"/>
      <w:divBdr>
        <w:top w:val="none" w:sz="0" w:space="0" w:color="auto"/>
        <w:left w:val="none" w:sz="0" w:space="0" w:color="auto"/>
        <w:bottom w:val="none" w:sz="0" w:space="0" w:color="auto"/>
        <w:right w:val="none" w:sz="0" w:space="0" w:color="auto"/>
      </w:divBdr>
    </w:div>
    <w:div w:id="1103300481">
      <w:bodyDiv w:val="1"/>
      <w:marLeft w:val="0"/>
      <w:marRight w:val="0"/>
      <w:marTop w:val="0"/>
      <w:marBottom w:val="0"/>
      <w:divBdr>
        <w:top w:val="none" w:sz="0" w:space="0" w:color="auto"/>
        <w:left w:val="none" w:sz="0" w:space="0" w:color="auto"/>
        <w:bottom w:val="none" w:sz="0" w:space="0" w:color="auto"/>
        <w:right w:val="none" w:sz="0" w:space="0" w:color="auto"/>
      </w:divBdr>
    </w:div>
    <w:div w:id="1169708209">
      <w:bodyDiv w:val="1"/>
      <w:marLeft w:val="0"/>
      <w:marRight w:val="0"/>
      <w:marTop w:val="0"/>
      <w:marBottom w:val="0"/>
      <w:divBdr>
        <w:top w:val="none" w:sz="0" w:space="0" w:color="auto"/>
        <w:left w:val="none" w:sz="0" w:space="0" w:color="auto"/>
        <w:bottom w:val="none" w:sz="0" w:space="0" w:color="auto"/>
        <w:right w:val="none" w:sz="0" w:space="0" w:color="auto"/>
      </w:divBdr>
    </w:div>
    <w:div w:id="14306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36636D2-D39B-4DAA-AC18-7398579019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1A77A786C09904692780851E7B60735" ma:contentTypeVersion="" ma:contentTypeDescription="PDMS Document Site Content Type" ma:contentTypeScope="" ma:versionID="985658096b9de113b51d32985cdd06e3">
  <xsd:schema xmlns:xsd="http://www.w3.org/2001/XMLSchema" xmlns:xs="http://www.w3.org/2001/XMLSchema" xmlns:p="http://schemas.microsoft.com/office/2006/metadata/properties" xmlns:ns2="736636D2-D39B-4DAA-AC18-7398579019B4" targetNamespace="http://schemas.microsoft.com/office/2006/metadata/properties" ma:root="true" ma:fieldsID="c2d4f3ab0ab12b87e940536d6e4fe668" ns2:_="">
    <xsd:import namespace="736636D2-D39B-4DAA-AC18-7398579019B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636D2-D39B-4DAA-AC18-7398579019B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4E264-0918-41A1-AF7A-6E852E4733CE}">
  <ds:schemaRefs>
    <ds:schemaRef ds:uri="http://schemas.microsoft.com/sharepoint/v3/contenttype/forms"/>
  </ds:schemaRefs>
</ds:datastoreItem>
</file>

<file path=customXml/itemProps2.xml><?xml version="1.0" encoding="utf-8"?>
<ds:datastoreItem xmlns:ds="http://schemas.openxmlformats.org/officeDocument/2006/customXml" ds:itemID="{E70AAA0B-6A2E-495D-8EBB-7E1D9A9B9915}">
  <ds:schemaRefs>
    <ds:schemaRef ds:uri="http://schemas.microsoft.com/office/2006/metadata/properties"/>
    <ds:schemaRef ds:uri="http://schemas.microsoft.com/office/infopath/2007/PartnerControls"/>
    <ds:schemaRef ds:uri="736636D2-D39B-4DAA-AC18-7398579019B4"/>
  </ds:schemaRefs>
</ds:datastoreItem>
</file>

<file path=customXml/itemProps3.xml><?xml version="1.0" encoding="utf-8"?>
<ds:datastoreItem xmlns:ds="http://schemas.openxmlformats.org/officeDocument/2006/customXml" ds:itemID="{E0230FDD-58D7-42C1-B762-26B7E2C2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636D2-D39B-4DAA-AC18-739857901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096E5-0CBC-46A6-9734-EB6CB529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5663</Words>
  <Characters>32283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37871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Blumfield, Chloe</dc:creator>
  <cp:keywords/>
  <dc:description/>
  <cp:lastModifiedBy>Blumfield, Chloe</cp:lastModifiedBy>
  <cp:revision>2</cp:revision>
  <dcterms:created xsi:type="dcterms:W3CDTF">2025-03-04T22:14:00Z</dcterms:created>
  <dcterms:modified xsi:type="dcterms:W3CDTF">2025-03-04T22:14:00Z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0x010100266966F133664895A6EE3632470D45F50051A77A786C09904692780851E7B60735</vt:lpwstr>
  </property>
</Properties>
</file>