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DAF4" w14:textId="73E0CEF0" w:rsidR="00E27943" w:rsidRPr="00625284" w:rsidRDefault="00E27943" w:rsidP="00E27943">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204FB8E1" w14:textId="77777777" w:rsidR="00E27943" w:rsidRPr="009D127F" w:rsidRDefault="00E27943" w:rsidP="00E27943">
      <w:pPr>
        <w:jc w:val="center"/>
        <w:rPr>
          <w:bCs/>
          <w:sz w:val="22"/>
          <w:szCs w:val="22"/>
        </w:rPr>
      </w:pPr>
    </w:p>
    <w:p w14:paraId="2D745B58" w14:textId="77777777" w:rsidR="00E27943" w:rsidRPr="00855E30" w:rsidRDefault="00E27943" w:rsidP="00E27943">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63E0FD02" w14:textId="77777777" w:rsidR="00E27943" w:rsidRPr="009D127F" w:rsidRDefault="00E27943" w:rsidP="00E27943">
      <w:pPr>
        <w:jc w:val="center"/>
        <w:rPr>
          <w:sz w:val="22"/>
          <w:szCs w:val="22"/>
        </w:rPr>
      </w:pPr>
    </w:p>
    <w:p w14:paraId="7B48D567" w14:textId="3B3D5B0C" w:rsidR="00BF3004" w:rsidRPr="000820DB" w:rsidRDefault="00B6534A" w:rsidP="00DB6069">
      <w:pPr>
        <w:jc w:val="center"/>
        <w:rPr>
          <w:i/>
          <w:sz w:val="22"/>
          <w:szCs w:val="22"/>
        </w:rPr>
      </w:pPr>
      <w:r w:rsidRPr="00B6534A">
        <w:rPr>
          <w:i/>
          <w:sz w:val="22"/>
          <w:szCs w:val="22"/>
        </w:rPr>
        <w:t>Therapeutic Goods (Reportable Medicines)</w:t>
      </w:r>
      <w:r w:rsidR="009D127F">
        <w:rPr>
          <w:i/>
          <w:sz w:val="22"/>
          <w:szCs w:val="22"/>
        </w:rPr>
        <w:t xml:space="preserve"> </w:t>
      </w:r>
      <w:r w:rsidRPr="00B6534A">
        <w:rPr>
          <w:i/>
          <w:sz w:val="22"/>
          <w:szCs w:val="22"/>
        </w:rPr>
        <w:t>Determination 2025</w:t>
      </w:r>
    </w:p>
    <w:p w14:paraId="2E4764F7" w14:textId="77777777" w:rsidR="00E27943" w:rsidRPr="009D127F" w:rsidRDefault="00E27943" w:rsidP="00E27943">
      <w:pPr>
        <w:jc w:val="center"/>
        <w:rPr>
          <w:bCs/>
          <w:sz w:val="22"/>
          <w:szCs w:val="22"/>
        </w:rPr>
      </w:pPr>
    </w:p>
    <w:p w14:paraId="03F9346C" w14:textId="1580B450" w:rsidR="00E27943" w:rsidRPr="00E46894" w:rsidRDefault="00E27943" w:rsidP="00E27943">
      <w:pPr>
        <w:autoSpaceDE w:val="0"/>
        <w:autoSpaceDN w:val="0"/>
        <w:adjustRightInd w:val="0"/>
        <w:contextualSpacing/>
        <w:rPr>
          <w:sz w:val="22"/>
          <w:szCs w:val="22"/>
        </w:rPr>
      </w:pPr>
      <w:bookmarkStart w:id="0" w:name="_Hlk147933680"/>
      <w:bookmarkStart w:id="1" w:name="_Hlk190849486"/>
      <w:bookmarkStart w:id="2" w:name="_Hlk164676076"/>
      <w:r w:rsidRPr="00E46894">
        <w:rPr>
          <w:sz w:val="22"/>
          <w:szCs w:val="22"/>
        </w:rPr>
        <w:t xml:space="preserve">The </w:t>
      </w:r>
      <w:r w:rsidRPr="00E46894">
        <w:rPr>
          <w:i/>
          <w:sz w:val="22"/>
          <w:szCs w:val="22"/>
        </w:rPr>
        <w:t>Therapeutic Goods</w:t>
      </w:r>
      <w:r w:rsidR="00DC1C23">
        <w:rPr>
          <w:i/>
          <w:sz w:val="22"/>
          <w:szCs w:val="22"/>
        </w:rPr>
        <w:t xml:space="preserve"> </w:t>
      </w:r>
      <w:r w:rsidRPr="00E46894">
        <w:rPr>
          <w:i/>
          <w:sz w:val="22"/>
          <w:szCs w:val="22"/>
        </w:rPr>
        <w:t>Act</w:t>
      </w:r>
      <w:r w:rsidR="00216D65">
        <w:rPr>
          <w:i/>
          <w:sz w:val="22"/>
          <w:szCs w:val="22"/>
        </w:rPr>
        <w:t> </w:t>
      </w:r>
      <w:r w:rsidRPr="00E46894">
        <w:rPr>
          <w:i/>
          <w:sz w:val="22"/>
          <w:szCs w:val="22"/>
        </w:rPr>
        <w:t>1989</w:t>
      </w:r>
      <w:r w:rsidR="00DD4D76">
        <w:rPr>
          <w:sz w:val="22"/>
          <w:szCs w:val="22"/>
        </w:rPr>
        <w:t xml:space="preserve"> </w:t>
      </w:r>
      <w:r w:rsidRPr="00E46894">
        <w:rPr>
          <w:sz w:val="22"/>
          <w:szCs w:val="22"/>
        </w:rPr>
        <w:t>(“the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w:t>
      </w:r>
      <w:r>
        <w:rPr>
          <w:sz w:val="22"/>
          <w:szCs w:val="22"/>
        </w:rPr>
        <w:t>e</w:t>
      </w:r>
      <w:r w:rsidR="0012094D">
        <w:rPr>
          <w:sz w:val="22"/>
          <w:szCs w:val="22"/>
        </w:rPr>
        <w:t>.</w:t>
      </w:r>
    </w:p>
    <w:bookmarkEnd w:id="0"/>
    <w:p w14:paraId="0A5CBACD" w14:textId="77777777" w:rsidR="00E27943" w:rsidRDefault="00E27943" w:rsidP="00E27943">
      <w:pPr>
        <w:autoSpaceDE w:val="0"/>
        <w:autoSpaceDN w:val="0"/>
        <w:adjustRightInd w:val="0"/>
        <w:rPr>
          <w:rFonts w:ascii="Times New Roman" w:hAnsi="Times New Roman"/>
          <w:sz w:val="22"/>
          <w:szCs w:val="22"/>
        </w:rPr>
      </w:pPr>
    </w:p>
    <w:p w14:paraId="545D610B" w14:textId="67318045" w:rsidR="00C94E2E" w:rsidRDefault="00D73352" w:rsidP="00E27943">
      <w:pPr>
        <w:autoSpaceDE w:val="0"/>
        <w:autoSpaceDN w:val="0"/>
        <w:adjustRightInd w:val="0"/>
        <w:rPr>
          <w:sz w:val="22"/>
          <w:szCs w:val="22"/>
        </w:rPr>
      </w:pPr>
      <w:r>
        <w:rPr>
          <w:sz w:val="22"/>
          <w:szCs w:val="22"/>
        </w:rPr>
        <w:t>The</w:t>
      </w:r>
      <w:r w:rsidR="00F146EE">
        <w:rPr>
          <w:sz w:val="22"/>
          <w:szCs w:val="22"/>
        </w:rPr>
        <w:t xml:space="preserve"> Act provides a framework for the mandatory reporting of shortages or discontinuations of certain medicines that are reportable medicines. Under section 30EH(1) of the Act, r</w:t>
      </w:r>
      <w:r w:rsidR="00F146EE">
        <w:rPr>
          <w:rFonts w:ascii="Times New Roman" w:hAnsi="Times New Roman"/>
          <w:sz w:val="22"/>
          <w:szCs w:val="22"/>
        </w:rPr>
        <w:t>eportable medicines are registered medicines that either contain one or more Schedule 4 (Prescription Only Medicine) or Schedule 8 (Controlled Drug) substances, or are determined in an instrument made under subsection</w:t>
      </w:r>
      <w:r w:rsidR="009A3C0B">
        <w:rPr>
          <w:rFonts w:ascii="Times New Roman" w:hAnsi="Times New Roman"/>
          <w:sz w:val="22"/>
          <w:szCs w:val="22"/>
        </w:rPr>
        <w:t> </w:t>
      </w:r>
      <w:r w:rsidR="00F146EE">
        <w:rPr>
          <w:rFonts w:ascii="Times New Roman" w:hAnsi="Times New Roman"/>
          <w:sz w:val="22"/>
          <w:szCs w:val="22"/>
        </w:rPr>
        <w:t>30EH(2) of the Act.</w:t>
      </w:r>
      <w:r w:rsidR="009A3C0B">
        <w:rPr>
          <w:sz w:val="22"/>
          <w:szCs w:val="22"/>
        </w:rPr>
        <w:t xml:space="preserve"> </w:t>
      </w:r>
      <w:r w:rsidR="00414021" w:rsidRPr="0012094D">
        <w:rPr>
          <w:sz w:val="22"/>
          <w:szCs w:val="22"/>
        </w:rPr>
        <w:t>Subsection</w:t>
      </w:r>
      <w:r w:rsidR="00216D65" w:rsidRPr="0012094D">
        <w:rPr>
          <w:sz w:val="22"/>
          <w:szCs w:val="22"/>
        </w:rPr>
        <w:t> </w:t>
      </w:r>
      <w:r w:rsidR="00414021" w:rsidRPr="0012094D">
        <w:rPr>
          <w:sz w:val="22"/>
          <w:szCs w:val="22"/>
        </w:rPr>
        <w:t>30EH(2) of the Act provides that the Minister may, by legislative instrument, determine medicine</w:t>
      </w:r>
      <w:r w:rsidR="00F35268">
        <w:rPr>
          <w:sz w:val="22"/>
          <w:szCs w:val="22"/>
        </w:rPr>
        <w:t>s</w:t>
      </w:r>
      <w:r w:rsidR="00600B34">
        <w:rPr>
          <w:sz w:val="22"/>
          <w:szCs w:val="22"/>
        </w:rPr>
        <w:t>,</w:t>
      </w:r>
      <w:r w:rsidR="00414021" w:rsidRPr="0012094D">
        <w:rPr>
          <w:sz w:val="22"/>
          <w:szCs w:val="22"/>
        </w:rPr>
        <w:t xml:space="preserve"> for the purposes of subparagraph</w:t>
      </w:r>
      <w:r w:rsidR="00216D65" w:rsidRPr="0012094D">
        <w:rPr>
          <w:sz w:val="22"/>
          <w:szCs w:val="22"/>
        </w:rPr>
        <w:t> </w:t>
      </w:r>
      <w:r w:rsidR="00414021" w:rsidRPr="0012094D">
        <w:rPr>
          <w:sz w:val="22"/>
          <w:szCs w:val="22"/>
        </w:rPr>
        <w:t>30EH(1)(b)(ii)</w:t>
      </w:r>
      <w:r w:rsidR="00600B34">
        <w:rPr>
          <w:sz w:val="22"/>
          <w:szCs w:val="22"/>
        </w:rPr>
        <w:t>,</w:t>
      </w:r>
      <w:r w:rsidR="009A3C0B">
        <w:rPr>
          <w:sz w:val="22"/>
          <w:szCs w:val="22"/>
        </w:rPr>
        <w:t xml:space="preserve"> with the effect that such medicines are </w:t>
      </w:r>
      <w:r w:rsidR="00414021" w:rsidRPr="0012094D">
        <w:rPr>
          <w:sz w:val="22"/>
          <w:szCs w:val="22"/>
        </w:rPr>
        <w:t>reportable medicine</w:t>
      </w:r>
      <w:r w:rsidR="00F146EE">
        <w:rPr>
          <w:sz w:val="22"/>
          <w:szCs w:val="22"/>
        </w:rPr>
        <w:t>s</w:t>
      </w:r>
      <w:r w:rsidR="009A3C0B">
        <w:rPr>
          <w:sz w:val="22"/>
          <w:szCs w:val="22"/>
        </w:rPr>
        <w:t xml:space="preserve">. </w:t>
      </w:r>
    </w:p>
    <w:p w14:paraId="45975C04" w14:textId="77777777" w:rsidR="00C94E2E" w:rsidRDefault="00C94E2E" w:rsidP="00E27943">
      <w:pPr>
        <w:autoSpaceDE w:val="0"/>
        <w:autoSpaceDN w:val="0"/>
        <w:adjustRightInd w:val="0"/>
        <w:rPr>
          <w:sz w:val="22"/>
          <w:szCs w:val="22"/>
        </w:rPr>
      </w:pPr>
    </w:p>
    <w:p w14:paraId="48D77CEA" w14:textId="3FE94936" w:rsidR="00E27943" w:rsidRDefault="00C94E2E" w:rsidP="00E27943">
      <w:pPr>
        <w:autoSpaceDE w:val="0"/>
        <w:autoSpaceDN w:val="0"/>
        <w:adjustRightInd w:val="0"/>
        <w:rPr>
          <w:sz w:val="22"/>
          <w:szCs w:val="22"/>
        </w:rPr>
      </w:pPr>
      <w:r>
        <w:rPr>
          <w:sz w:val="22"/>
          <w:szCs w:val="22"/>
        </w:rPr>
        <w:t xml:space="preserve">The </w:t>
      </w:r>
      <w:r w:rsidR="00F146EE" w:rsidRPr="00414021">
        <w:rPr>
          <w:i/>
          <w:iCs/>
          <w:sz w:val="22"/>
          <w:szCs w:val="22"/>
        </w:rPr>
        <w:t>Therapeutic Goods (Reportable Medicines)</w:t>
      </w:r>
      <w:r w:rsidR="009D127F">
        <w:rPr>
          <w:i/>
          <w:iCs/>
          <w:sz w:val="22"/>
          <w:szCs w:val="22"/>
        </w:rPr>
        <w:t xml:space="preserve"> Determination 2025 </w:t>
      </w:r>
      <w:r w:rsidR="009D127F">
        <w:rPr>
          <w:sz w:val="22"/>
          <w:szCs w:val="22"/>
        </w:rPr>
        <w:t xml:space="preserve">(“the Determination”) </w:t>
      </w:r>
      <w:r w:rsidR="00414021" w:rsidRPr="00414021">
        <w:rPr>
          <w:sz w:val="22"/>
          <w:szCs w:val="22"/>
        </w:rPr>
        <w:t>is</w:t>
      </w:r>
      <w:r w:rsidR="00414021">
        <w:rPr>
          <w:sz w:val="22"/>
          <w:szCs w:val="22"/>
        </w:rPr>
        <w:t xml:space="preserve"> </w:t>
      </w:r>
      <w:r w:rsidR="00414021" w:rsidRPr="00414021">
        <w:rPr>
          <w:sz w:val="22"/>
          <w:szCs w:val="22"/>
        </w:rPr>
        <w:t>made under subsection</w:t>
      </w:r>
      <w:r w:rsidR="0012310E">
        <w:rPr>
          <w:sz w:val="22"/>
          <w:szCs w:val="22"/>
        </w:rPr>
        <w:t> </w:t>
      </w:r>
      <w:r w:rsidR="00414021" w:rsidRPr="00414021">
        <w:rPr>
          <w:sz w:val="22"/>
          <w:szCs w:val="22"/>
        </w:rPr>
        <w:t>30EH(2) of the</w:t>
      </w:r>
      <w:r w:rsidR="003820AF">
        <w:rPr>
          <w:sz w:val="22"/>
          <w:szCs w:val="22"/>
        </w:rPr>
        <w:t> </w:t>
      </w:r>
      <w:r w:rsidR="00414021" w:rsidRPr="00414021">
        <w:rPr>
          <w:sz w:val="22"/>
          <w:szCs w:val="22"/>
        </w:rPr>
        <w:t xml:space="preserve">Act. The purpose of the Determination is to </w:t>
      </w:r>
      <w:r w:rsidR="00510BB6">
        <w:rPr>
          <w:sz w:val="22"/>
          <w:szCs w:val="22"/>
        </w:rPr>
        <w:t>determine</w:t>
      </w:r>
      <w:r w:rsidR="00414021" w:rsidRPr="00414021">
        <w:rPr>
          <w:sz w:val="22"/>
          <w:szCs w:val="22"/>
        </w:rPr>
        <w:t xml:space="preserve"> medicines that </w:t>
      </w:r>
      <w:r w:rsidR="00902CF4">
        <w:rPr>
          <w:sz w:val="22"/>
          <w:szCs w:val="22"/>
        </w:rPr>
        <w:t xml:space="preserve">are </w:t>
      </w:r>
      <w:r w:rsidR="009A3C0B">
        <w:rPr>
          <w:sz w:val="22"/>
          <w:szCs w:val="22"/>
        </w:rPr>
        <w:t xml:space="preserve">registered goods to be </w:t>
      </w:r>
      <w:r w:rsidR="00902CF4">
        <w:rPr>
          <w:sz w:val="22"/>
          <w:szCs w:val="22"/>
        </w:rPr>
        <w:t>reportable medicines</w:t>
      </w:r>
      <w:r w:rsidR="00510BB6">
        <w:rPr>
          <w:sz w:val="22"/>
          <w:szCs w:val="22"/>
        </w:rPr>
        <w:t xml:space="preserve"> </w:t>
      </w:r>
      <w:r w:rsidR="00600B34">
        <w:rPr>
          <w:sz w:val="22"/>
          <w:szCs w:val="22"/>
        </w:rPr>
        <w:t>(</w:t>
      </w:r>
      <w:r w:rsidR="00510BB6" w:rsidRPr="00414021">
        <w:rPr>
          <w:sz w:val="22"/>
          <w:szCs w:val="22"/>
        </w:rPr>
        <w:t>for the purposes of subparagraph</w:t>
      </w:r>
      <w:r w:rsidR="00510BB6">
        <w:rPr>
          <w:sz w:val="22"/>
          <w:szCs w:val="22"/>
        </w:rPr>
        <w:t> </w:t>
      </w:r>
      <w:r w:rsidR="00510BB6" w:rsidRPr="00414021">
        <w:rPr>
          <w:sz w:val="22"/>
          <w:szCs w:val="22"/>
        </w:rPr>
        <w:t>30EH(1)(b)(ii) of the Act</w:t>
      </w:r>
      <w:r w:rsidR="00600B34">
        <w:rPr>
          <w:sz w:val="22"/>
          <w:szCs w:val="22"/>
        </w:rPr>
        <w:t>)</w:t>
      </w:r>
      <w:r w:rsidR="00902CF4">
        <w:rPr>
          <w:sz w:val="22"/>
          <w:szCs w:val="22"/>
        </w:rPr>
        <w:t xml:space="preserve">. Such medicines </w:t>
      </w:r>
      <w:r w:rsidR="00414021" w:rsidRPr="00414021">
        <w:rPr>
          <w:sz w:val="22"/>
          <w:szCs w:val="22"/>
        </w:rPr>
        <w:t>must comply with the mandatory reporting requirements relating to medicine shortages and discontinuations under sections</w:t>
      </w:r>
      <w:r w:rsidR="003820AF">
        <w:rPr>
          <w:sz w:val="22"/>
          <w:szCs w:val="22"/>
        </w:rPr>
        <w:t> </w:t>
      </w:r>
      <w:r w:rsidR="00414021" w:rsidRPr="00414021">
        <w:rPr>
          <w:sz w:val="22"/>
          <w:szCs w:val="22"/>
        </w:rPr>
        <w:t>30EF</w:t>
      </w:r>
      <w:r w:rsidR="009A3C0B">
        <w:rPr>
          <w:sz w:val="22"/>
          <w:szCs w:val="22"/>
        </w:rPr>
        <w:t>, 30EFA</w:t>
      </w:r>
      <w:r w:rsidR="00414021" w:rsidRPr="00414021">
        <w:rPr>
          <w:sz w:val="22"/>
          <w:szCs w:val="22"/>
        </w:rPr>
        <w:t xml:space="preserve"> and 30EG of the Act</w:t>
      </w:r>
      <w:r w:rsidR="00E27943" w:rsidRPr="00414021">
        <w:rPr>
          <w:sz w:val="22"/>
          <w:szCs w:val="22"/>
        </w:rPr>
        <w:t>.</w:t>
      </w:r>
    </w:p>
    <w:p w14:paraId="0DDFFF9E" w14:textId="77777777" w:rsidR="00E27943" w:rsidRDefault="00E27943" w:rsidP="00E27943">
      <w:pPr>
        <w:autoSpaceDE w:val="0"/>
        <w:autoSpaceDN w:val="0"/>
        <w:adjustRightInd w:val="0"/>
        <w:rPr>
          <w:sz w:val="22"/>
          <w:szCs w:val="22"/>
        </w:rPr>
      </w:pPr>
    </w:p>
    <w:p w14:paraId="655E055F" w14:textId="796E693B" w:rsidR="00E27943" w:rsidRPr="00C94E2E" w:rsidRDefault="00414021" w:rsidP="00E27943">
      <w:pPr>
        <w:autoSpaceDE w:val="0"/>
        <w:autoSpaceDN w:val="0"/>
        <w:adjustRightInd w:val="0"/>
        <w:rPr>
          <w:sz w:val="22"/>
          <w:szCs w:val="22"/>
        </w:rPr>
      </w:pPr>
      <w:r w:rsidRPr="00414021">
        <w:rPr>
          <w:sz w:val="22"/>
          <w:szCs w:val="22"/>
        </w:rPr>
        <w:t>The</w:t>
      </w:r>
      <w:r w:rsidR="009D127F">
        <w:rPr>
          <w:sz w:val="22"/>
          <w:szCs w:val="22"/>
        </w:rPr>
        <w:t xml:space="preserve"> Determination repeals and replaces the </w:t>
      </w:r>
      <w:r w:rsidRPr="00414021">
        <w:rPr>
          <w:i/>
          <w:iCs/>
          <w:sz w:val="22"/>
          <w:szCs w:val="22"/>
        </w:rPr>
        <w:t xml:space="preserve">Therapeutic Goods (Reportable </w:t>
      </w:r>
      <w:r w:rsidRPr="00C94E2E">
        <w:rPr>
          <w:i/>
          <w:iCs/>
          <w:sz w:val="22"/>
          <w:szCs w:val="22"/>
        </w:rPr>
        <w:t>Medicines) Determination</w:t>
      </w:r>
      <w:r w:rsidR="0012310E" w:rsidRPr="00C94E2E">
        <w:rPr>
          <w:i/>
          <w:iCs/>
          <w:sz w:val="22"/>
          <w:szCs w:val="22"/>
        </w:rPr>
        <w:t> </w:t>
      </w:r>
      <w:r w:rsidRPr="00C94E2E">
        <w:rPr>
          <w:i/>
          <w:iCs/>
          <w:sz w:val="22"/>
          <w:szCs w:val="22"/>
        </w:rPr>
        <w:t>20</w:t>
      </w:r>
      <w:r w:rsidR="009D127F">
        <w:rPr>
          <w:i/>
          <w:iCs/>
          <w:sz w:val="22"/>
          <w:szCs w:val="22"/>
        </w:rPr>
        <w:t>18</w:t>
      </w:r>
      <w:r w:rsidR="009D127F">
        <w:rPr>
          <w:sz w:val="22"/>
          <w:szCs w:val="22"/>
        </w:rPr>
        <w:t xml:space="preserve"> (“the </w:t>
      </w:r>
      <w:r w:rsidR="009A3C0B">
        <w:rPr>
          <w:sz w:val="22"/>
          <w:szCs w:val="22"/>
        </w:rPr>
        <w:t>former</w:t>
      </w:r>
      <w:r w:rsidR="009D127F">
        <w:rPr>
          <w:sz w:val="22"/>
          <w:szCs w:val="22"/>
        </w:rPr>
        <w:t xml:space="preserve"> Determination”).</w:t>
      </w:r>
      <w:r w:rsidR="009A3C0B">
        <w:rPr>
          <w:sz w:val="22"/>
          <w:szCs w:val="22"/>
        </w:rPr>
        <w:t xml:space="preserve"> The Determination includes the same medicines that were determined under the former Determination, and also determines a number of additional medicines to be reportable medicines.</w:t>
      </w:r>
      <w:bookmarkEnd w:id="1"/>
    </w:p>
    <w:p w14:paraId="6300F775" w14:textId="77777777" w:rsidR="00E27943" w:rsidRPr="00C94E2E" w:rsidRDefault="00E27943" w:rsidP="00E27943">
      <w:pPr>
        <w:autoSpaceDE w:val="0"/>
        <w:autoSpaceDN w:val="0"/>
        <w:adjustRightInd w:val="0"/>
        <w:rPr>
          <w:rFonts w:ascii="Times New Roman" w:hAnsi="Times New Roman"/>
          <w:sz w:val="22"/>
          <w:szCs w:val="22"/>
        </w:rPr>
      </w:pPr>
    </w:p>
    <w:p w14:paraId="37223D90" w14:textId="77777777" w:rsidR="00E27943" w:rsidRDefault="00E27943" w:rsidP="00E27943">
      <w:pPr>
        <w:autoSpaceDE w:val="0"/>
        <w:autoSpaceDN w:val="0"/>
        <w:adjustRightInd w:val="0"/>
        <w:rPr>
          <w:rFonts w:ascii="Times New Roman" w:hAnsi="Times New Roman"/>
          <w:b/>
          <w:bCs/>
          <w:sz w:val="22"/>
          <w:szCs w:val="22"/>
        </w:rPr>
      </w:pPr>
      <w:r w:rsidRPr="00C94E2E">
        <w:rPr>
          <w:rFonts w:ascii="Times New Roman" w:hAnsi="Times New Roman"/>
          <w:b/>
          <w:bCs/>
          <w:sz w:val="22"/>
          <w:szCs w:val="22"/>
        </w:rPr>
        <w:t>Background</w:t>
      </w:r>
    </w:p>
    <w:p w14:paraId="37A09308" w14:textId="77777777" w:rsidR="00E27943" w:rsidRDefault="00E27943" w:rsidP="00E27943">
      <w:pPr>
        <w:autoSpaceDE w:val="0"/>
        <w:autoSpaceDN w:val="0"/>
        <w:adjustRightInd w:val="0"/>
        <w:rPr>
          <w:rFonts w:ascii="Times New Roman" w:hAnsi="Times New Roman"/>
          <w:sz w:val="22"/>
          <w:szCs w:val="22"/>
        </w:rPr>
      </w:pPr>
    </w:p>
    <w:p w14:paraId="0CC6DAB4" w14:textId="1664DD88" w:rsidR="00A50907" w:rsidRDefault="00C94E2E" w:rsidP="0012310E">
      <w:pPr>
        <w:autoSpaceDE w:val="0"/>
        <w:autoSpaceDN w:val="0"/>
        <w:adjustRightInd w:val="0"/>
        <w:rPr>
          <w:rFonts w:ascii="Times New Roman" w:hAnsi="Times New Roman"/>
          <w:sz w:val="22"/>
          <w:szCs w:val="22"/>
        </w:rPr>
      </w:pPr>
      <w:bookmarkStart w:id="3" w:name="_Hlk191547756"/>
      <w:r>
        <w:rPr>
          <w:rFonts w:ascii="Times New Roman" w:hAnsi="Times New Roman"/>
          <w:sz w:val="22"/>
          <w:szCs w:val="22"/>
        </w:rPr>
        <w:t>Medicine shortages can occur for various reason</w:t>
      </w:r>
      <w:r w:rsidR="00902CF4">
        <w:rPr>
          <w:rFonts w:ascii="Times New Roman" w:hAnsi="Times New Roman"/>
          <w:sz w:val="22"/>
          <w:szCs w:val="22"/>
        </w:rPr>
        <w:t>s</w:t>
      </w:r>
      <w:r w:rsidR="00A50907">
        <w:rPr>
          <w:rFonts w:ascii="Times New Roman" w:hAnsi="Times New Roman"/>
          <w:sz w:val="22"/>
          <w:szCs w:val="22"/>
        </w:rPr>
        <w:t xml:space="preserve">, </w:t>
      </w:r>
      <w:r w:rsidR="00A50907">
        <w:rPr>
          <w:color w:val="000000"/>
          <w:sz w:val="22"/>
          <w:szCs w:val="22"/>
        </w:rPr>
        <w:t>ranging from shortages of raw materials to national disasters, logistical difficulties, or unexpected increases in demand</w:t>
      </w:r>
      <w:r w:rsidR="00902CF4">
        <w:rPr>
          <w:rFonts w:ascii="Times New Roman" w:hAnsi="Times New Roman"/>
          <w:sz w:val="22"/>
          <w:szCs w:val="22"/>
        </w:rPr>
        <w:t xml:space="preserve">. Unfortunately, some </w:t>
      </w:r>
      <w:r>
        <w:rPr>
          <w:rFonts w:ascii="Times New Roman" w:hAnsi="Times New Roman"/>
          <w:sz w:val="22"/>
          <w:szCs w:val="22"/>
        </w:rPr>
        <w:t xml:space="preserve">are </w:t>
      </w:r>
      <w:r w:rsidR="00902CF4">
        <w:rPr>
          <w:rFonts w:ascii="Times New Roman" w:hAnsi="Times New Roman"/>
          <w:sz w:val="22"/>
          <w:szCs w:val="22"/>
        </w:rPr>
        <w:t>un</w:t>
      </w:r>
      <w:r>
        <w:rPr>
          <w:rFonts w:ascii="Times New Roman" w:hAnsi="Times New Roman"/>
          <w:sz w:val="22"/>
          <w:szCs w:val="22"/>
        </w:rPr>
        <w:t xml:space="preserve">avoidable and can cause significant impact. </w:t>
      </w:r>
      <w:r w:rsidR="00A50907">
        <w:rPr>
          <w:rFonts w:ascii="Times New Roman" w:hAnsi="Times New Roman"/>
          <w:sz w:val="22"/>
          <w:szCs w:val="22"/>
        </w:rPr>
        <w:t>If there are no alternative medicines available</w:t>
      </w:r>
      <w:r w:rsidR="008468D5">
        <w:rPr>
          <w:rFonts w:ascii="Times New Roman" w:hAnsi="Times New Roman"/>
          <w:sz w:val="22"/>
          <w:szCs w:val="22"/>
        </w:rPr>
        <w:t xml:space="preserve"> (such as generic versions of a medicine)</w:t>
      </w:r>
      <w:r w:rsidR="00A50907">
        <w:rPr>
          <w:rFonts w:ascii="Times New Roman" w:hAnsi="Times New Roman"/>
          <w:sz w:val="22"/>
          <w:szCs w:val="22"/>
        </w:rPr>
        <w:t>, patients may be unable to obtain the medicine</w:t>
      </w:r>
      <w:r w:rsidR="008468D5">
        <w:rPr>
          <w:rFonts w:ascii="Times New Roman" w:hAnsi="Times New Roman"/>
          <w:sz w:val="22"/>
          <w:szCs w:val="22"/>
        </w:rPr>
        <w:t xml:space="preserve"> they need or are prescribed</w:t>
      </w:r>
      <w:r w:rsidR="00A50907">
        <w:rPr>
          <w:rFonts w:ascii="Times New Roman" w:hAnsi="Times New Roman"/>
          <w:sz w:val="22"/>
          <w:szCs w:val="22"/>
        </w:rPr>
        <w:t xml:space="preserve">. </w:t>
      </w:r>
      <w:r w:rsidR="00A50907">
        <w:rPr>
          <w:color w:val="000000"/>
          <w:sz w:val="22"/>
          <w:szCs w:val="22"/>
        </w:rPr>
        <w:t>This impedes timely availability of medicines and risks interruption to treatment, which can impact patient health and cause anxiety and stress for patients.</w:t>
      </w:r>
    </w:p>
    <w:p w14:paraId="164E3CB0" w14:textId="77777777" w:rsidR="00A50907" w:rsidRDefault="00A50907" w:rsidP="0012310E">
      <w:pPr>
        <w:autoSpaceDE w:val="0"/>
        <w:autoSpaceDN w:val="0"/>
        <w:adjustRightInd w:val="0"/>
        <w:rPr>
          <w:rFonts w:ascii="Times New Roman" w:hAnsi="Times New Roman"/>
          <w:sz w:val="22"/>
          <w:szCs w:val="22"/>
        </w:rPr>
      </w:pPr>
    </w:p>
    <w:p w14:paraId="556ADC01" w14:textId="25C6CD1C" w:rsidR="00C94E2E" w:rsidRDefault="00A50907" w:rsidP="0012310E">
      <w:pPr>
        <w:autoSpaceDE w:val="0"/>
        <w:autoSpaceDN w:val="0"/>
        <w:adjustRightInd w:val="0"/>
        <w:rPr>
          <w:rFonts w:ascii="Times New Roman" w:hAnsi="Times New Roman"/>
          <w:sz w:val="22"/>
          <w:szCs w:val="22"/>
        </w:rPr>
      </w:pPr>
      <w:r>
        <w:rPr>
          <w:rFonts w:ascii="Times New Roman" w:hAnsi="Times New Roman"/>
          <w:sz w:val="22"/>
          <w:szCs w:val="22"/>
        </w:rPr>
        <w:t xml:space="preserve">In 2019, a mandatory medicine shortages </w:t>
      </w:r>
      <w:r w:rsidR="0082257D">
        <w:rPr>
          <w:rFonts w:ascii="Times New Roman" w:hAnsi="Times New Roman"/>
          <w:sz w:val="22"/>
          <w:szCs w:val="22"/>
        </w:rPr>
        <w:t xml:space="preserve">and discontinuations </w:t>
      </w:r>
      <w:r>
        <w:rPr>
          <w:rFonts w:ascii="Times New Roman" w:hAnsi="Times New Roman"/>
          <w:sz w:val="22"/>
          <w:szCs w:val="22"/>
        </w:rPr>
        <w:t>reporting scheme</w:t>
      </w:r>
      <w:r w:rsidR="00E64C5E">
        <w:rPr>
          <w:rFonts w:ascii="Times New Roman" w:hAnsi="Times New Roman"/>
          <w:sz w:val="22"/>
          <w:szCs w:val="22"/>
        </w:rPr>
        <w:t xml:space="preserve"> (“mandatory reporting scheme”)</w:t>
      </w:r>
      <w:r>
        <w:rPr>
          <w:rFonts w:ascii="Times New Roman" w:hAnsi="Times New Roman"/>
          <w:sz w:val="22"/>
          <w:szCs w:val="22"/>
        </w:rPr>
        <w:t xml:space="preserve"> commenced, which replaced an early voluntary notification scheme. </w:t>
      </w:r>
      <w:r w:rsidR="0085683A">
        <w:rPr>
          <w:rFonts w:ascii="Times New Roman" w:hAnsi="Times New Roman"/>
          <w:sz w:val="22"/>
          <w:szCs w:val="22"/>
        </w:rPr>
        <w:t xml:space="preserve">The </w:t>
      </w:r>
      <w:r w:rsidR="00600B34">
        <w:rPr>
          <w:rFonts w:ascii="Times New Roman" w:hAnsi="Times New Roman"/>
          <w:sz w:val="22"/>
          <w:szCs w:val="22"/>
        </w:rPr>
        <w:t xml:space="preserve">mandatory reporting </w:t>
      </w:r>
      <w:r w:rsidR="0085683A">
        <w:rPr>
          <w:rFonts w:ascii="Times New Roman" w:hAnsi="Times New Roman"/>
          <w:sz w:val="22"/>
          <w:szCs w:val="22"/>
        </w:rPr>
        <w:t xml:space="preserve">scheme involved the mandatory reporting of all shortages </w:t>
      </w:r>
      <w:r w:rsidR="007E7C1B">
        <w:rPr>
          <w:rFonts w:ascii="Times New Roman" w:hAnsi="Times New Roman"/>
          <w:sz w:val="22"/>
          <w:szCs w:val="22"/>
        </w:rPr>
        <w:t xml:space="preserve">and discontinuations </w:t>
      </w:r>
      <w:r w:rsidR="0085683A">
        <w:rPr>
          <w:rFonts w:ascii="Times New Roman" w:hAnsi="Times New Roman"/>
          <w:sz w:val="22"/>
          <w:szCs w:val="22"/>
        </w:rPr>
        <w:t xml:space="preserve">of certain medicines, </w:t>
      </w:r>
      <w:r w:rsidR="008468D5">
        <w:rPr>
          <w:rFonts w:ascii="Times New Roman" w:hAnsi="Times New Roman"/>
          <w:sz w:val="22"/>
          <w:szCs w:val="22"/>
        </w:rPr>
        <w:t xml:space="preserve">the </w:t>
      </w:r>
      <w:r w:rsidR="0085683A">
        <w:rPr>
          <w:rFonts w:ascii="Times New Roman" w:hAnsi="Times New Roman"/>
          <w:sz w:val="22"/>
          <w:szCs w:val="22"/>
        </w:rPr>
        <w:t xml:space="preserve">publication of </w:t>
      </w:r>
      <w:r w:rsidR="008468D5">
        <w:rPr>
          <w:rFonts w:ascii="Times New Roman" w:hAnsi="Times New Roman"/>
          <w:sz w:val="22"/>
          <w:szCs w:val="22"/>
        </w:rPr>
        <w:t xml:space="preserve">information about </w:t>
      </w:r>
      <w:r w:rsidR="0085683A">
        <w:rPr>
          <w:rFonts w:ascii="Times New Roman" w:hAnsi="Times New Roman"/>
          <w:sz w:val="22"/>
          <w:szCs w:val="22"/>
        </w:rPr>
        <w:t>those shortages</w:t>
      </w:r>
      <w:r w:rsidR="007E7C1B">
        <w:rPr>
          <w:rFonts w:ascii="Times New Roman" w:hAnsi="Times New Roman"/>
          <w:sz w:val="22"/>
          <w:szCs w:val="22"/>
        </w:rPr>
        <w:t xml:space="preserve"> or discontinuations</w:t>
      </w:r>
      <w:r w:rsidR="0085683A">
        <w:rPr>
          <w:rFonts w:ascii="Times New Roman" w:hAnsi="Times New Roman"/>
          <w:sz w:val="22"/>
          <w:szCs w:val="22"/>
        </w:rPr>
        <w:t xml:space="preserve">, and </w:t>
      </w:r>
      <w:r w:rsidR="00600B34">
        <w:rPr>
          <w:rFonts w:ascii="Times New Roman" w:hAnsi="Times New Roman"/>
          <w:sz w:val="22"/>
          <w:szCs w:val="22"/>
        </w:rPr>
        <w:t xml:space="preserve">greater </w:t>
      </w:r>
      <w:r w:rsidR="0085683A">
        <w:rPr>
          <w:rFonts w:ascii="Times New Roman" w:hAnsi="Times New Roman"/>
          <w:sz w:val="22"/>
          <w:szCs w:val="22"/>
        </w:rPr>
        <w:t>transparen</w:t>
      </w:r>
      <w:r w:rsidR="00FD7436">
        <w:rPr>
          <w:rFonts w:ascii="Times New Roman" w:hAnsi="Times New Roman"/>
          <w:sz w:val="22"/>
          <w:szCs w:val="22"/>
        </w:rPr>
        <w:t>cy</w:t>
      </w:r>
      <w:r w:rsidR="0085683A">
        <w:rPr>
          <w:rFonts w:ascii="Times New Roman" w:hAnsi="Times New Roman"/>
          <w:sz w:val="22"/>
          <w:szCs w:val="22"/>
        </w:rPr>
        <w:t xml:space="preserve"> </w:t>
      </w:r>
      <w:r w:rsidR="00600B34">
        <w:rPr>
          <w:rFonts w:ascii="Times New Roman" w:hAnsi="Times New Roman"/>
          <w:sz w:val="22"/>
          <w:szCs w:val="22"/>
        </w:rPr>
        <w:t>regarding</w:t>
      </w:r>
      <w:r w:rsidR="00E64C5E">
        <w:rPr>
          <w:rFonts w:ascii="Times New Roman" w:hAnsi="Times New Roman"/>
          <w:sz w:val="22"/>
          <w:szCs w:val="22"/>
        </w:rPr>
        <w:t xml:space="preserve"> the mitigation actions that could be taken by the TGA. </w:t>
      </w:r>
      <w:r w:rsidR="00C94E2E">
        <w:rPr>
          <w:rFonts w:ascii="Times New Roman" w:hAnsi="Times New Roman"/>
          <w:sz w:val="22"/>
          <w:szCs w:val="22"/>
        </w:rPr>
        <w:t>Through the mandatory reporting scheme, the TGA receives and publishes reports of shortages and discontinuations of prescription and certain over-the-counter medicines.</w:t>
      </w:r>
      <w:r w:rsidR="00902CF4">
        <w:rPr>
          <w:rFonts w:ascii="Times New Roman" w:hAnsi="Times New Roman"/>
          <w:sz w:val="22"/>
          <w:szCs w:val="22"/>
        </w:rPr>
        <w:t xml:space="preserve"> The TGA works closely with </w:t>
      </w:r>
      <w:r w:rsidR="008468D5">
        <w:rPr>
          <w:rFonts w:ascii="Times New Roman" w:hAnsi="Times New Roman"/>
          <w:sz w:val="22"/>
          <w:szCs w:val="22"/>
        </w:rPr>
        <w:t xml:space="preserve">sponsors and other </w:t>
      </w:r>
      <w:r w:rsidR="00902CF4">
        <w:rPr>
          <w:rFonts w:ascii="Times New Roman" w:hAnsi="Times New Roman"/>
          <w:sz w:val="22"/>
          <w:szCs w:val="22"/>
        </w:rPr>
        <w:t>stakeholders to respond to shortages and limit their impacts.</w:t>
      </w:r>
    </w:p>
    <w:p w14:paraId="60E06A94" w14:textId="77777777" w:rsidR="00C94E2E" w:rsidRDefault="00C94E2E" w:rsidP="0012310E">
      <w:pPr>
        <w:autoSpaceDE w:val="0"/>
        <w:autoSpaceDN w:val="0"/>
        <w:adjustRightInd w:val="0"/>
        <w:rPr>
          <w:rFonts w:ascii="Times New Roman" w:hAnsi="Times New Roman"/>
          <w:sz w:val="22"/>
          <w:szCs w:val="22"/>
        </w:rPr>
      </w:pPr>
    </w:p>
    <w:p w14:paraId="73EA0D81" w14:textId="471B95C2" w:rsidR="00F53BA1" w:rsidRDefault="00F53BA1" w:rsidP="0012310E">
      <w:pPr>
        <w:autoSpaceDE w:val="0"/>
        <w:autoSpaceDN w:val="0"/>
        <w:adjustRightInd w:val="0"/>
        <w:rPr>
          <w:rFonts w:ascii="Times New Roman" w:hAnsi="Times New Roman"/>
          <w:sz w:val="22"/>
          <w:szCs w:val="22"/>
        </w:rPr>
      </w:pPr>
      <w:r>
        <w:rPr>
          <w:rFonts w:ascii="Times New Roman" w:hAnsi="Times New Roman"/>
          <w:sz w:val="22"/>
          <w:szCs w:val="22"/>
        </w:rPr>
        <w:t xml:space="preserve">Section 30EF of the Act requires notification to the Secretary of any shortage of a reportable medicine, section 30EFA requires notification to the Secretary of a change to the period of a shortage or resolution of a shortage, and section 30EG requires notification to the Secretary of a decision to discontinue the supply of a reportable medicine in Australia. </w:t>
      </w:r>
    </w:p>
    <w:p w14:paraId="76865FA1" w14:textId="77777777" w:rsidR="00F53BA1" w:rsidRDefault="00F53BA1" w:rsidP="0012310E">
      <w:pPr>
        <w:autoSpaceDE w:val="0"/>
        <w:autoSpaceDN w:val="0"/>
        <w:adjustRightInd w:val="0"/>
        <w:rPr>
          <w:rFonts w:ascii="Times New Roman" w:hAnsi="Times New Roman"/>
          <w:sz w:val="22"/>
          <w:szCs w:val="22"/>
        </w:rPr>
      </w:pPr>
    </w:p>
    <w:p w14:paraId="4AEE982B" w14:textId="3625D8AA" w:rsidR="00F53BA1" w:rsidRDefault="00F53BA1" w:rsidP="00F53BA1">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These requirements apply to </w:t>
      </w:r>
      <w:r w:rsidRPr="00E24762">
        <w:rPr>
          <w:rFonts w:ascii="Times New Roman" w:hAnsi="Times New Roman"/>
          <w:i/>
          <w:iCs/>
          <w:sz w:val="22"/>
          <w:szCs w:val="22"/>
        </w:rPr>
        <w:t>reportable medicines</w:t>
      </w:r>
      <w:r w:rsidR="008468D5">
        <w:rPr>
          <w:rFonts w:ascii="Times New Roman" w:hAnsi="Times New Roman"/>
          <w:sz w:val="22"/>
          <w:szCs w:val="22"/>
        </w:rPr>
        <w:t>,</w:t>
      </w:r>
      <w:r>
        <w:rPr>
          <w:rFonts w:ascii="Times New Roman" w:hAnsi="Times New Roman"/>
          <w:sz w:val="22"/>
          <w:szCs w:val="22"/>
        </w:rPr>
        <w:t xml:space="preserve"> which </w:t>
      </w:r>
      <w:r w:rsidR="008468D5">
        <w:rPr>
          <w:rFonts w:ascii="Times New Roman" w:hAnsi="Times New Roman"/>
          <w:sz w:val="22"/>
          <w:szCs w:val="22"/>
        </w:rPr>
        <w:t xml:space="preserve">is </w:t>
      </w:r>
      <w:r>
        <w:rPr>
          <w:rFonts w:ascii="Times New Roman" w:hAnsi="Times New Roman"/>
          <w:sz w:val="22"/>
          <w:szCs w:val="22"/>
        </w:rPr>
        <w:t>defined in section 30EH of the Act. Reportable medicines are registered goods (i.e., goods registered in the Australian Register of Therapeutic Goods</w:t>
      </w:r>
      <w:r w:rsidR="008468D5">
        <w:rPr>
          <w:rFonts w:ascii="Times New Roman" w:hAnsi="Times New Roman"/>
          <w:sz w:val="22"/>
          <w:szCs w:val="22"/>
        </w:rPr>
        <w:t xml:space="preserve"> (“the Register”)</w:t>
      </w:r>
      <w:r>
        <w:rPr>
          <w:rFonts w:ascii="Times New Roman" w:hAnsi="Times New Roman"/>
          <w:sz w:val="22"/>
          <w:szCs w:val="22"/>
        </w:rPr>
        <w:t>) that are a medicine that either:</w:t>
      </w:r>
    </w:p>
    <w:p w14:paraId="23D916B0" w14:textId="10B65CA4" w:rsidR="00F53BA1" w:rsidRDefault="00F53BA1" w:rsidP="00F53BA1">
      <w:pPr>
        <w:pStyle w:val="ListParagraph"/>
        <w:numPr>
          <w:ilvl w:val="0"/>
          <w:numId w:val="4"/>
        </w:numPr>
        <w:autoSpaceDE w:val="0"/>
        <w:autoSpaceDN w:val="0"/>
        <w:adjustRightInd w:val="0"/>
        <w:rPr>
          <w:rFonts w:ascii="Times New Roman" w:hAnsi="Times New Roman"/>
          <w:sz w:val="22"/>
          <w:szCs w:val="22"/>
        </w:rPr>
      </w:pPr>
      <w:r>
        <w:rPr>
          <w:rFonts w:ascii="Times New Roman" w:hAnsi="Times New Roman"/>
          <w:sz w:val="22"/>
          <w:szCs w:val="22"/>
        </w:rPr>
        <w:t>contains a substance included in Schedule 4 or 8 to the current Poisons Standard; or</w:t>
      </w:r>
    </w:p>
    <w:p w14:paraId="4B00C0E4" w14:textId="320ACA84" w:rsidR="00F53BA1" w:rsidRPr="009D127F" w:rsidRDefault="00F53BA1" w:rsidP="009D127F">
      <w:pPr>
        <w:pStyle w:val="ListParagraph"/>
        <w:numPr>
          <w:ilvl w:val="0"/>
          <w:numId w:val="4"/>
        </w:numPr>
        <w:autoSpaceDE w:val="0"/>
        <w:autoSpaceDN w:val="0"/>
        <w:adjustRightInd w:val="0"/>
        <w:rPr>
          <w:rFonts w:ascii="Times New Roman" w:hAnsi="Times New Roman"/>
          <w:sz w:val="22"/>
          <w:szCs w:val="22"/>
        </w:rPr>
      </w:pPr>
      <w:r>
        <w:rPr>
          <w:rFonts w:ascii="Times New Roman" w:hAnsi="Times New Roman"/>
          <w:sz w:val="22"/>
          <w:szCs w:val="22"/>
        </w:rPr>
        <w:t>is determined in an instrument under section 30EH(2).</w:t>
      </w:r>
    </w:p>
    <w:p w14:paraId="782CDEB6" w14:textId="77777777" w:rsidR="009D127F" w:rsidRDefault="009D127F" w:rsidP="0012310E">
      <w:pPr>
        <w:autoSpaceDE w:val="0"/>
        <w:autoSpaceDN w:val="0"/>
        <w:adjustRightInd w:val="0"/>
        <w:rPr>
          <w:rFonts w:ascii="Times New Roman" w:hAnsi="Times New Roman"/>
          <w:sz w:val="22"/>
          <w:szCs w:val="22"/>
        </w:rPr>
      </w:pPr>
    </w:p>
    <w:p w14:paraId="7FA2DEE6" w14:textId="1B0EB68B" w:rsidR="00F53BA1" w:rsidRDefault="00F53BA1" w:rsidP="0012310E">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9D127F">
        <w:rPr>
          <w:rFonts w:ascii="Times New Roman" w:hAnsi="Times New Roman"/>
          <w:sz w:val="22"/>
          <w:szCs w:val="22"/>
        </w:rPr>
        <w:t>Determination</w:t>
      </w:r>
      <w:r>
        <w:rPr>
          <w:rFonts w:ascii="Times New Roman" w:hAnsi="Times New Roman"/>
          <w:sz w:val="22"/>
          <w:szCs w:val="22"/>
        </w:rPr>
        <w:t xml:space="preserve"> </w:t>
      </w:r>
      <w:r w:rsidR="009D127F">
        <w:rPr>
          <w:rFonts w:ascii="Times New Roman" w:hAnsi="Times New Roman"/>
          <w:sz w:val="22"/>
          <w:szCs w:val="22"/>
        </w:rPr>
        <w:t>i</w:t>
      </w:r>
      <w:r>
        <w:rPr>
          <w:rFonts w:ascii="Times New Roman" w:hAnsi="Times New Roman"/>
          <w:sz w:val="22"/>
          <w:szCs w:val="22"/>
        </w:rPr>
        <w:t>s made under subsection 30EH(2) for the purpose of determin</w:t>
      </w:r>
      <w:r w:rsidR="00F52557">
        <w:rPr>
          <w:rFonts w:ascii="Times New Roman" w:hAnsi="Times New Roman"/>
          <w:sz w:val="22"/>
          <w:szCs w:val="22"/>
        </w:rPr>
        <w:t>ing</w:t>
      </w:r>
      <w:r>
        <w:rPr>
          <w:rFonts w:ascii="Times New Roman" w:hAnsi="Times New Roman"/>
          <w:sz w:val="22"/>
          <w:szCs w:val="22"/>
        </w:rPr>
        <w:t xml:space="preserve"> medicines that are reportable medicines.</w:t>
      </w:r>
    </w:p>
    <w:p w14:paraId="36398F8F" w14:textId="77777777" w:rsidR="0085683A" w:rsidRDefault="0085683A" w:rsidP="0012310E">
      <w:pPr>
        <w:autoSpaceDE w:val="0"/>
        <w:autoSpaceDN w:val="0"/>
        <w:adjustRightInd w:val="0"/>
        <w:rPr>
          <w:rFonts w:ascii="Times New Roman" w:hAnsi="Times New Roman"/>
          <w:sz w:val="22"/>
          <w:szCs w:val="22"/>
        </w:rPr>
      </w:pPr>
    </w:p>
    <w:p w14:paraId="04856DF0" w14:textId="56B77041" w:rsidR="00C94E2E" w:rsidRDefault="0012310E" w:rsidP="00E37E46">
      <w:pPr>
        <w:autoSpaceDE w:val="0"/>
        <w:autoSpaceDN w:val="0"/>
        <w:adjustRightInd w:val="0"/>
        <w:rPr>
          <w:rFonts w:ascii="Times New Roman" w:hAnsi="Times New Roman"/>
          <w:sz w:val="22"/>
          <w:szCs w:val="22"/>
        </w:rPr>
      </w:pPr>
      <w:r w:rsidRPr="0012310E">
        <w:rPr>
          <w:rFonts w:ascii="Times New Roman" w:hAnsi="Times New Roman"/>
          <w:sz w:val="22"/>
          <w:szCs w:val="22"/>
        </w:rPr>
        <w:t>The effect of the inclusion of a medicine in the Determination is that the requirements of the mandatory reporting scheme principally set out in sections</w:t>
      </w:r>
      <w:r>
        <w:rPr>
          <w:rFonts w:ascii="Times New Roman" w:hAnsi="Times New Roman"/>
          <w:sz w:val="22"/>
          <w:szCs w:val="22"/>
        </w:rPr>
        <w:t> </w:t>
      </w:r>
      <w:r w:rsidRPr="0012310E">
        <w:rPr>
          <w:rFonts w:ascii="Times New Roman" w:hAnsi="Times New Roman"/>
          <w:sz w:val="22"/>
          <w:szCs w:val="22"/>
        </w:rPr>
        <w:t>30EF</w:t>
      </w:r>
      <w:r w:rsidR="00600ADD">
        <w:rPr>
          <w:rFonts w:ascii="Times New Roman" w:hAnsi="Times New Roman"/>
          <w:sz w:val="22"/>
          <w:szCs w:val="22"/>
        </w:rPr>
        <w:t>, 30EFA</w:t>
      </w:r>
      <w:r w:rsidRPr="0012310E">
        <w:rPr>
          <w:rFonts w:ascii="Times New Roman" w:hAnsi="Times New Roman"/>
          <w:sz w:val="22"/>
          <w:szCs w:val="22"/>
        </w:rPr>
        <w:t xml:space="preserve"> and 30EG of the Act will apply to </w:t>
      </w:r>
      <w:r w:rsidR="00600ADD">
        <w:rPr>
          <w:rFonts w:ascii="Times New Roman" w:hAnsi="Times New Roman"/>
          <w:sz w:val="22"/>
          <w:szCs w:val="22"/>
        </w:rPr>
        <w:t xml:space="preserve">the </w:t>
      </w:r>
      <w:r w:rsidR="008468D5">
        <w:rPr>
          <w:rFonts w:ascii="Times New Roman" w:hAnsi="Times New Roman"/>
          <w:sz w:val="22"/>
          <w:szCs w:val="22"/>
        </w:rPr>
        <w:t>person in relation to whom the goods are included in the Register</w:t>
      </w:r>
      <w:r w:rsidR="00600ADD">
        <w:rPr>
          <w:rFonts w:ascii="Times New Roman" w:hAnsi="Times New Roman"/>
          <w:sz w:val="22"/>
          <w:szCs w:val="22"/>
        </w:rPr>
        <w:t>. Medicines included in the Determination</w:t>
      </w:r>
      <w:r w:rsidRPr="0012310E">
        <w:rPr>
          <w:rFonts w:ascii="Times New Roman" w:hAnsi="Times New Roman"/>
          <w:sz w:val="22"/>
          <w:szCs w:val="22"/>
        </w:rPr>
        <w:t xml:space="preserve"> are particularly important for the health of patients who need to take </w:t>
      </w:r>
      <w:r w:rsidR="00600ADD">
        <w:rPr>
          <w:rFonts w:ascii="Times New Roman" w:hAnsi="Times New Roman"/>
          <w:sz w:val="22"/>
          <w:szCs w:val="22"/>
        </w:rPr>
        <w:t>the medicines</w:t>
      </w:r>
      <w:r w:rsidRPr="0012310E">
        <w:rPr>
          <w:rFonts w:ascii="Times New Roman" w:hAnsi="Times New Roman"/>
          <w:sz w:val="22"/>
          <w:szCs w:val="22"/>
        </w:rPr>
        <w:t xml:space="preserve">, and are </w:t>
      </w:r>
      <w:r w:rsidR="00600ADD">
        <w:rPr>
          <w:rFonts w:ascii="Times New Roman" w:hAnsi="Times New Roman"/>
          <w:sz w:val="22"/>
          <w:szCs w:val="22"/>
        </w:rPr>
        <w:t xml:space="preserve">therefore </w:t>
      </w:r>
      <w:r w:rsidRPr="0012310E">
        <w:rPr>
          <w:rFonts w:ascii="Times New Roman" w:hAnsi="Times New Roman"/>
          <w:sz w:val="22"/>
          <w:szCs w:val="22"/>
        </w:rPr>
        <w:t xml:space="preserve">medicines for which it would be in the </w:t>
      </w:r>
      <w:bookmarkStart w:id="4" w:name="_Hlk191300778"/>
      <w:r w:rsidRPr="0012310E">
        <w:rPr>
          <w:rFonts w:ascii="Times New Roman" w:hAnsi="Times New Roman"/>
          <w:sz w:val="22"/>
          <w:szCs w:val="22"/>
        </w:rPr>
        <w:t xml:space="preserve">interests of public health for </w:t>
      </w:r>
      <w:r w:rsidR="00600ADD">
        <w:rPr>
          <w:rFonts w:ascii="Times New Roman" w:hAnsi="Times New Roman"/>
          <w:sz w:val="22"/>
          <w:szCs w:val="22"/>
        </w:rPr>
        <w:t>the</w:t>
      </w:r>
      <w:r w:rsidRPr="0012310E">
        <w:rPr>
          <w:rFonts w:ascii="Times New Roman" w:hAnsi="Times New Roman"/>
          <w:sz w:val="22"/>
          <w:szCs w:val="22"/>
        </w:rPr>
        <w:t xml:space="preserve"> mandatory reporting </w:t>
      </w:r>
      <w:r w:rsidR="00600ADD">
        <w:rPr>
          <w:rFonts w:ascii="Times New Roman" w:hAnsi="Times New Roman"/>
          <w:sz w:val="22"/>
          <w:szCs w:val="22"/>
        </w:rPr>
        <w:t>requirements to apply</w:t>
      </w:r>
      <w:bookmarkEnd w:id="4"/>
      <w:r w:rsidR="000D5A8B">
        <w:rPr>
          <w:rFonts w:ascii="Times New Roman" w:hAnsi="Times New Roman"/>
          <w:sz w:val="22"/>
          <w:szCs w:val="22"/>
        </w:rPr>
        <w:t>.</w:t>
      </w:r>
      <w:bookmarkStart w:id="5" w:name="_Hlk101862842"/>
      <w:bookmarkStart w:id="6" w:name="_Hlk101947375"/>
      <w:r w:rsidR="00B45732">
        <w:rPr>
          <w:rFonts w:ascii="Times New Roman" w:hAnsi="Times New Roman"/>
          <w:sz w:val="22"/>
          <w:szCs w:val="22"/>
        </w:rPr>
        <w:t xml:space="preserve"> The reporting of such shortages and discontinuations supports timely action by the TGA, as well as other stakeholders, to address the shortage</w:t>
      </w:r>
      <w:r w:rsidR="008468D5">
        <w:rPr>
          <w:rFonts w:ascii="Times New Roman" w:hAnsi="Times New Roman"/>
          <w:sz w:val="22"/>
          <w:szCs w:val="22"/>
        </w:rPr>
        <w:t xml:space="preserve"> or discontinuation</w:t>
      </w:r>
      <w:r w:rsidR="00B45732">
        <w:rPr>
          <w:rFonts w:ascii="Times New Roman" w:hAnsi="Times New Roman"/>
          <w:sz w:val="22"/>
          <w:szCs w:val="22"/>
        </w:rPr>
        <w:t xml:space="preserve"> and attempt to minimise the detrimental impact a shortage or discontinuation may have on patients</w:t>
      </w:r>
      <w:r w:rsidR="008A5CCF">
        <w:rPr>
          <w:rFonts w:ascii="Times New Roman" w:hAnsi="Times New Roman"/>
          <w:sz w:val="22"/>
          <w:szCs w:val="22"/>
        </w:rPr>
        <w:t xml:space="preserve"> in Australia</w:t>
      </w:r>
      <w:r w:rsidR="00B45732">
        <w:rPr>
          <w:rFonts w:ascii="Times New Roman" w:hAnsi="Times New Roman"/>
          <w:sz w:val="22"/>
          <w:szCs w:val="22"/>
        </w:rPr>
        <w:t xml:space="preserve">. </w:t>
      </w:r>
    </w:p>
    <w:p w14:paraId="108B9F3A" w14:textId="77777777" w:rsidR="006F0506" w:rsidRDefault="006F0506" w:rsidP="00E37E46">
      <w:pPr>
        <w:autoSpaceDE w:val="0"/>
        <w:autoSpaceDN w:val="0"/>
        <w:adjustRightInd w:val="0"/>
        <w:rPr>
          <w:rFonts w:ascii="Times New Roman" w:hAnsi="Times New Roman"/>
          <w:sz w:val="22"/>
          <w:szCs w:val="22"/>
        </w:rPr>
      </w:pPr>
    </w:p>
    <w:p w14:paraId="6813CBC5" w14:textId="21F82BCE" w:rsidR="00564B97" w:rsidRPr="000D5A8B" w:rsidRDefault="006F0506" w:rsidP="00E27943">
      <w:pPr>
        <w:autoSpaceDE w:val="0"/>
        <w:autoSpaceDN w:val="0"/>
        <w:adjustRightInd w:val="0"/>
        <w:rPr>
          <w:rFonts w:ascii="Times New Roman" w:hAnsi="Times New Roman"/>
          <w:sz w:val="22"/>
          <w:szCs w:val="22"/>
        </w:rPr>
      </w:pPr>
      <w:r>
        <w:rPr>
          <w:rFonts w:ascii="Times New Roman" w:hAnsi="Times New Roman"/>
          <w:sz w:val="22"/>
          <w:szCs w:val="22"/>
        </w:rPr>
        <w:t xml:space="preserve">The TGA </w:t>
      </w:r>
      <w:r w:rsidR="00B45732">
        <w:rPr>
          <w:rFonts w:ascii="Times New Roman" w:hAnsi="Times New Roman"/>
          <w:sz w:val="22"/>
          <w:szCs w:val="22"/>
        </w:rPr>
        <w:t>continues to rely on voluntary reporting of shortages by sponsors of medicines that are not reportable medicines. However, the voluntary approach has not been effective</w:t>
      </w:r>
      <w:r w:rsidR="0082257D">
        <w:rPr>
          <w:rFonts w:ascii="Times New Roman" w:hAnsi="Times New Roman"/>
          <w:sz w:val="22"/>
          <w:szCs w:val="22"/>
        </w:rPr>
        <w:t xml:space="preserve"> in all situations</w:t>
      </w:r>
      <w:r w:rsidR="00B45732">
        <w:rPr>
          <w:rFonts w:ascii="Times New Roman" w:hAnsi="Times New Roman"/>
          <w:sz w:val="22"/>
          <w:szCs w:val="22"/>
        </w:rPr>
        <w:t xml:space="preserve">. </w:t>
      </w:r>
      <w:r>
        <w:rPr>
          <w:rFonts w:ascii="Times New Roman" w:hAnsi="Times New Roman"/>
          <w:sz w:val="22"/>
          <w:szCs w:val="22"/>
        </w:rPr>
        <w:t xml:space="preserve">Shortages of </w:t>
      </w:r>
      <w:r w:rsidR="008468D5">
        <w:rPr>
          <w:rFonts w:ascii="Times New Roman" w:hAnsi="Times New Roman"/>
          <w:sz w:val="22"/>
          <w:szCs w:val="22"/>
        </w:rPr>
        <w:t xml:space="preserve">medicines that are not </w:t>
      </w:r>
      <w:r>
        <w:rPr>
          <w:rFonts w:ascii="Times New Roman" w:hAnsi="Times New Roman"/>
          <w:sz w:val="22"/>
          <w:szCs w:val="22"/>
        </w:rPr>
        <w:t>reportable medicines that have impacted the Australian community include</w:t>
      </w:r>
      <w:r w:rsidR="00B45732">
        <w:rPr>
          <w:rFonts w:ascii="Times New Roman" w:hAnsi="Times New Roman"/>
          <w:sz w:val="22"/>
          <w:szCs w:val="22"/>
        </w:rPr>
        <w:t xml:space="preserve">, for example, </w:t>
      </w:r>
      <w:r>
        <w:rPr>
          <w:rFonts w:ascii="Times New Roman" w:hAnsi="Times New Roman"/>
          <w:sz w:val="22"/>
          <w:szCs w:val="22"/>
        </w:rPr>
        <w:t xml:space="preserve">certain non-prescription medicines listed on the Pharmaceutical Benefits Scheme (“PBS”) (e.g. permethrin cream, </w:t>
      </w:r>
      <w:r w:rsidR="00B45732">
        <w:rPr>
          <w:rFonts w:ascii="Times New Roman" w:hAnsi="Times New Roman"/>
          <w:sz w:val="22"/>
          <w:szCs w:val="22"/>
        </w:rPr>
        <w:t xml:space="preserve">which is </w:t>
      </w:r>
      <w:r>
        <w:rPr>
          <w:rFonts w:ascii="Times New Roman" w:hAnsi="Times New Roman"/>
          <w:sz w:val="22"/>
          <w:szCs w:val="22"/>
        </w:rPr>
        <w:t>a topical scabies treatment)</w:t>
      </w:r>
      <w:r w:rsidR="00B45732">
        <w:rPr>
          <w:rFonts w:ascii="Times New Roman" w:hAnsi="Times New Roman"/>
          <w:sz w:val="22"/>
          <w:szCs w:val="22"/>
        </w:rPr>
        <w:t>.</w:t>
      </w:r>
    </w:p>
    <w:bookmarkEnd w:id="3"/>
    <w:p w14:paraId="00FCF528" w14:textId="77777777" w:rsidR="00E24762" w:rsidRDefault="00E24762" w:rsidP="006F0506">
      <w:pPr>
        <w:keepNext/>
        <w:autoSpaceDE w:val="0"/>
        <w:autoSpaceDN w:val="0"/>
        <w:adjustRightInd w:val="0"/>
        <w:rPr>
          <w:b/>
          <w:bCs/>
          <w:sz w:val="22"/>
          <w:szCs w:val="22"/>
        </w:rPr>
      </w:pPr>
    </w:p>
    <w:p w14:paraId="61922841" w14:textId="3DEB2526" w:rsidR="00E27943" w:rsidRDefault="00E27943" w:rsidP="006F0506">
      <w:pPr>
        <w:keepNext/>
        <w:autoSpaceDE w:val="0"/>
        <w:autoSpaceDN w:val="0"/>
        <w:adjustRightInd w:val="0"/>
        <w:rPr>
          <w:b/>
          <w:bCs/>
          <w:sz w:val="22"/>
          <w:szCs w:val="22"/>
        </w:rPr>
      </w:pPr>
      <w:r w:rsidRPr="00D4487A">
        <w:rPr>
          <w:b/>
          <w:bCs/>
          <w:sz w:val="22"/>
          <w:szCs w:val="22"/>
        </w:rPr>
        <w:t>Purpose</w:t>
      </w:r>
    </w:p>
    <w:p w14:paraId="3F1F328F" w14:textId="77777777" w:rsidR="00E27943" w:rsidRDefault="00E27943" w:rsidP="006F0506">
      <w:pPr>
        <w:keepNext/>
        <w:autoSpaceDE w:val="0"/>
        <w:autoSpaceDN w:val="0"/>
        <w:adjustRightInd w:val="0"/>
        <w:rPr>
          <w:b/>
          <w:bCs/>
          <w:sz w:val="22"/>
          <w:szCs w:val="22"/>
        </w:rPr>
      </w:pPr>
    </w:p>
    <w:p w14:paraId="332EE30E" w14:textId="632B9F84" w:rsidR="00B45732" w:rsidRDefault="00B45732" w:rsidP="009D127F">
      <w:pPr>
        <w:keepNext/>
        <w:autoSpaceDE w:val="0"/>
        <w:autoSpaceDN w:val="0"/>
        <w:adjustRightInd w:val="0"/>
        <w:rPr>
          <w:sz w:val="22"/>
          <w:szCs w:val="22"/>
        </w:rPr>
      </w:pPr>
      <w:r>
        <w:rPr>
          <w:sz w:val="22"/>
          <w:szCs w:val="22"/>
        </w:rPr>
        <w:t xml:space="preserve">The purpose of the </w:t>
      </w:r>
      <w:r w:rsidR="009D127F">
        <w:rPr>
          <w:sz w:val="22"/>
          <w:szCs w:val="22"/>
        </w:rPr>
        <w:t>Determination</w:t>
      </w:r>
      <w:r>
        <w:rPr>
          <w:sz w:val="22"/>
          <w:szCs w:val="22"/>
        </w:rPr>
        <w:t xml:space="preserve"> is to </w:t>
      </w:r>
      <w:r w:rsidR="009D127F">
        <w:rPr>
          <w:sz w:val="22"/>
          <w:szCs w:val="22"/>
        </w:rPr>
        <w:t xml:space="preserve">determine medicines, </w:t>
      </w:r>
      <w:r>
        <w:rPr>
          <w:sz w:val="22"/>
          <w:szCs w:val="22"/>
        </w:rPr>
        <w:t xml:space="preserve">with the effect that those medicines </w:t>
      </w:r>
      <w:r w:rsidR="00600B34">
        <w:rPr>
          <w:sz w:val="22"/>
          <w:szCs w:val="22"/>
        </w:rPr>
        <w:t xml:space="preserve">are </w:t>
      </w:r>
      <w:r>
        <w:rPr>
          <w:sz w:val="22"/>
          <w:szCs w:val="22"/>
        </w:rPr>
        <w:t xml:space="preserve">reportable medicines and will be subject to the mandatory reporting scheme. </w:t>
      </w:r>
    </w:p>
    <w:p w14:paraId="782AEFBE" w14:textId="77777777" w:rsidR="00B45732" w:rsidRDefault="00B45732" w:rsidP="006F0506">
      <w:pPr>
        <w:keepNext/>
        <w:autoSpaceDE w:val="0"/>
        <w:autoSpaceDN w:val="0"/>
        <w:adjustRightInd w:val="0"/>
        <w:rPr>
          <w:sz w:val="22"/>
          <w:szCs w:val="22"/>
        </w:rPr>
      </w:pPr>
    </w:p>
    <w:p w14:paraId="7DAF5AE4" w14:textId="1796308E" w:rsidR="006D0D76" w:rsidRDefault="00B2440D" w:rsidP="006F0506">
      <w:pPr>
        <w:keepNext/>
        <w:autoSpaceDE w:val="0"/>
        <w:autoSpaceDN w:val="0"/>
        <w:adjustRightInd w:val="0"/>
        <w:rPr>
          <w:sz w:val="22"/>
          <w:szCs w:val="22"/>
        </w:rPr>
      </w:pPr>
      <w:r>
        <w:rPr>
          <w:sz w:val="22"/>
          <w:szCs w:val="22"/>
        </w:rPr>
        <w:t>Section 5 of the Determination provides that the medicines set out in Schedule 1</w:t>
      </w:r>
      <w:r w:rsidR="00A462B0">
        <w:rPr>
          <w:sz w:val="22"/>
          <w:szCs w:val="22"/>
        </w:rPr>
        <w:t xml:space="preserve"> </w:t>
      </w:r>
      <w:r w:rsidR="00B45732">
        <w:rPr>
          <w:sz w:val="22"/>
          <w:szCs w:val="22"/>
        </w:rPr>
        <w:t xml:space="preserve">to </w:t>
      </w:r>
      <w:r w:rsidR="00A462B0">
        <w:rPr>
          <w:sz w:val="22"/>
          <w:szCs w:val="22"/>
        </w:rPr>
        <w:t>the Determination</w:t>
      </w:r>
      <w:r>
        <w:rPr>
          <w:sz w:val="22"/>
          <w:szCs w:val="22"/>
        </w:rPr>
        <w:t xml:space="preserve"> are determined to be reportable medicines </w:t>
      </w:r>
      <w:r w:rsidR="00600B34">
        <w:rPr>
          <w:sz w:val="22"/>
          <w:szCs w:val="22"/>
        </w:rPr>
        <w:t xml:space="preserve">for </w:t>
      </w:r>
      <w:r w:rsidRPr="00467A8C">
        <w:rPr>
          <w:sz w:val="22"/>
          <w:szCs w:val="22"/>
        </w:rPr>
        <w:t>the purposes of subparagraph</w:t>
      </w:r>
      <w:r>
        <w:rPr>
          <w:sz w:val="22"/>
          <w:szCs w:val="22"/>
        </w:rPr>
        <w:t> </w:t>
      </w:r>
      <w:r w:rsidRPr="00467A8C">
        <w:rPr>
          <w:sz w:val="22"/>
          <w:szCs w:val="22"/>
        </w:rPr>
        <w:t>30EH(1)(b)(ii) of the Act.</w:t>
      </w:r>
    </w:p>
    <w:p w14:paraId="671C8A2F" w14:textId="77777777" w:rsidR="0035125A" w:rsidRDefault="0035125A" w:rsidP="00E27943">
      <w:pPr>
        <w:autoSpaceDE w:val="0"/>
        <w:autoSpaceDN w:val="0"/>
        <w:adjustRightInd w:val="0"/>
        <w:rPr>
          <w:sz w:val="22"/>
          <w:szCs w:val="22"/>
        </w:rPr>
      </w:pPr>
    </w:p>
    <w:p w14:paraId="0764B3AE" w14:textId="1B93647F" w:rsidR="009D127F" w:rsidRDefault="0035125A" w:rsidP="0035125A">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8468D5">
        <w:rPr>
          <w:rFonts w:ascii="Times New Roman" w:hAnsi="Times New Roman"/>
          <w:sz w:val="22"/>
          <w:szCs w:val="22"/>
        </w:rPr>
        <w:t>former</w:t>
      </w:r>
      <w:r w:rsidR="009D127F">
        <w:rPr>
          <w:rFonts w:ascii="Times New Roman" w:hAnsi="Times New Roman"/>
          <w:sz w:val="22"/>
          <w:szCs w:val="22"/>
        </w:rPr>
        <w:t xml:space="preserve"> </w:t>
      </w:r>
      <w:r>
        <w:rPr>
          <w:rFonts w:ascii="Times New Roman" w:hAnsi="Times New Roman"/>
          <w:sz w:val="22"/>
          <w:szCs w:val="22"/>
        </w:rPr>
        <w:t>Determination prescribe</w:t>
      </w:r>
      <w:r w:rsidR="009D127F">
        <w:rPr>
          <w:rFonts w:ascii="Times New Roman" w:hAnsi="Times New Roman"/>
          <w:sz w:val="22"/>
          <w:szCs w:val="22"/>
        </w:rPr>
        <w:t>d</w:t>
      </w:r>
      <w:r w:rsidR="008468D5">
        <w:rPr>
          <w:rFonts w:ascii="Times New Roman" w:hAnsi="Times New Roman"/>
          <w:sz w:val="22"/>
          <w:szCs w:val="22"/>
        </w:rPr>
        <w:t xml:space="preserve"> a number of</w:t>
      </w:r>
      <w:r>
        <w:rPr>
          <w:rFonts w:ascii="Times New Roman" w:hAnsi="Times New Roman"/>
          <w:sz w:val="22"/>
          <w:szCs w:val="22"/>
        </w:rPr>
        <w:t xml:space="preserve"> non-prescription</w:t>
      </w:r>
      <w:r w:rsidR="00B45732">
        <w:rPr>
          <w:rFonts w:ascii="Times New Roman" w:hAnsi="Times New Roman"/>
          <w:sz w:val="22"/>
          <w:szCs w:val="22"/>
        </w:rPr>
        <w:t>,</w:t>
      </w:r>
      <w:r>
        <w:rPr>
          <w:rFonts w:ascii="Times New Roman" w:hAnsi="Times New Roman"/>
          <w:sz w:val="22"/>
          <w:szCs w:val="22"/>
        </w:rPr>
        <w:t xml:space="preserve"> registered medicines</w:t>
      </w:r>
      <w:r w:rsidR="00B45732">
        <w:rPr>
          <w:rFonts w:ascii="Times New Roman" w:hAnsi="Times New Roman"/>
          <w:sz w:val="22"/>
          <w:szCs w:val="22"/>
        </w:rPr>
        <w:t xml:space="preserve">, which </w:t>
      </w:r>
      <w:r w:rsidR="009D127F">
        <w:rPr>
          <w:rFonts w:ascii="Times New Roman" w:hAnsi="Times New Roman"/>
          <w:sz w:val="22"/>
          <w:szCs w:val="22"/>
        </w:rPr>
        <w:t>we</w:t>
      </w:r>
      <w:r w:rsidR="00B45732">
        <w:rPr>
          <w:rFonts w:ascii="Times New Roman" w:hAnsi="Times New Roman"/>
          <w:sz w:val="22"/>
          <w:szCs w:val="22"/>
        </w:rPr>
        <w:t>re</w:t>
      </w:r>
      <w:r>
        <w:rPr>
          <w:rFonts w:ascii="Times New Roman" w:hAnsi="Times New Roman"/>
          <w:sz w:val="22"/>
          <w:szCs w:val="22"/>
        </w:rPr>
        <w:t xml:space="preserve"> considered critical to the health of </w:t>
      </w:r>
      <w:r w:rsidR="0082257D">
        <w:rPr>
          <w:rFonts w:ascii="Times New Roman" w:hAnsi="Times New Roman"/>
          <w:sz w:val="22"/>
          <w:szCs w:val="22"/>
        </w:rPr>
        <w:t xml:space="preserve">patients in </w:t>
      </w:r>
      <w:r>
        <w:rPr>
          <w:rFonts w:ascii="Times New Roman" w:hAnsi="Times New Roman"/>
          <w:sz w:val="22"/>
          <w:szCs w:val="22"/>
        </w:rPr>
        <w:t>Australia</w:t>
      </w:r>
      <w:r w:rsidR="00B45732">
        <w:rPr>
          <w:rFonts w:ascii="Times New Roman" w:hAnsi="Times New Roman"/>
          <w:sz w:val="22"/>
          <w:szCs w:val="22"/>
        </w:rPr>
        <w:t>,</w:t>
      </w:r>
      <w:r w:rsidR="006F0506">
        <w:rPr>
          <w:rFonts w:ascii="Times New Roman" w:hAnsi="Times New Roman"/>
          <w:sz w:val="22"/>
          <w:szCs w:val="22"/>
        </w:rPr>
        <w:t xml:space="preserve"> as reportable medicines</w:t>
      </w:r>
      <w:r>
        <w:rPr>
          <w:rFonts w:ascii="Times New Roman" w:hAnsi="Times New Roman"/>
          <w:sz w:val="22"/>
          <w:szCs w:val="22"/>
        </w:rPr>
        <w:t xml:space="preserve">. The Determination </w:t>
      </w:r>
      <w:r w:rsidR="009D127F">
        <w:rPr>
          <w:rFonts w:ascii="Times New Roman" w:hAnsi="Times New Roman"/>
          <w:sz w:val="22"/>
          <w:szCs w:val="22"/>
        </w:rPr>
        <w:t xml:space="preserve">continues to provide that </w:t>
      </w:r>
      <w:r w:rsidR="008468D5">
        <w:rPr>
          <w:rFonts w:ascii="Times New Roman" w:hAnsi="Times New Roman"/>
          <w:sz w:val="22"/>
          <w:szCs w:val="22"/>
        </w:rPr>
        <w:t xml:space="preserve">those </w:t>
      </w:r>
      <w:r w:rsidR="009D127F">
        <w:rPr>
          <w:rFonts w:ascii="Times New Roman" w:hAnsi="Times New Roman"/>
          <w:sz w:val="22"/>
          <w:szCs w:val="22"/>
        </w:rPr>
        <w:t xml:space="preserve">medicines included in the </w:t>
      </w:r>
      <w:r w:rsidR="009A3C0B">
        <w:rPr>
          <w:rFonts w:ascii="Times New Roman" w:hAnsi="Times New Roman"/>
          <w:sz w:val="22"/>
          <w:szCs w:val="22"/>
        </w:rPr>
        <w:t>former</w:t>
      </w:r>
      <w:r w:rsidR="009D127F">
        <w:rPr>
          <w:rFonts w:ascii="Times New Roman" w:hAnsi="Times New Roman"/>
          <w:sz w:val="22"/>
          <w:szCs w:val="22"/>
        </w:rPr>
        <w:t xml:space="preserve"> Determination</w:t>
      </w:r>
      <w:r w:rsidR="00C0333B">
        <w:rPr>
          <w:rFonts w:ascii="Times New Roman" w:hAnsi="Times New Roman"/>
          <w:sz w:val="22"/>
          <w:szCs w:val="22"/>
        </w:rPr>
        <w:t xml:space="preserve"> are reportable medicines</w:t>
      </w:r>
      <w:r w:rsidR="008468D5">
        <w:rPr>
          <w:rFonts w:ascii="Times New Roman" w:hAnsi="Times New Roman"/>
          <w:sz w:val="22"/>
          <w:szCs w:val="22"/>
        </w:rPr>
        <w:t>.</w:t>
      </w:r>
    </w:p>
    <w:p w14:paraId="73239CFF" w14:textId="77777777" w:rsidR="009D127F" w:rsidRDefault="009D127F" w:rsidP="0035125A">
      <w:pPr>
        <w:autoSpaceDE w:val="0"/>
        <w:autoSpaceDN w:val="0"/>
        <w:adjustRightInd w:val="0"/>
        <w:rPr>
          <w:rFonts w:ascii="Times New Roman" w:hAnsi="Times New Roman"/>
          <w:sz w:val="22"/>
          <w:szCs w:val="22"/>
        </w:rPr>
      </w:pPr>
    </w:p>
    <w:p w14:paraId="3D1A025F" w14:textId="008311F0" w:rsidR="00DC3B6F" w:rsidRDefault="00C0333B" w:rsidP="0035125A">
      <w:pPr>
        <w:autoSpaceDE w:val="0"/>
        <w:autoSpaceDN w:val="0"/>
        <w:adjustRightInd w:val="0"/>
        <w:rPr>
          <w:sz w:val="22"/>
          <w:szCs w:val="22"/>
        </w:rPr>
      </w:pPr>
      <w:r>
        <w:rPr>
          <w:rFonts w:ascii="Times New Roman" w:hAnsi="Times New Roman"/>
          <w:sz w:val="22"/>
          <w:szCs w:val="22"/>
        </w:rPr>
        <w:t xml:space="preserve">The Determination also </w:t>
      </w:r>
      <w:r w:rsidR="008468D5">
        <w:rPr>
          <w:rFonts w:ascii="Times New Roman" w:hAnsi="Times New Roman"/>
          <w:sz w:val="22"/>
          <w:szCs w:val="22"/>
        </w:rPr>
        <w:t>determines</w:t>
      </w:r>
      <w:r>
        <w:rPr>
          <w:rFonts w:ascii="Times New Roman" w:hAnsi="Times New Roman"/>
          <w:sz w:val="22"/>
          <w:szCs w:val="22"/>
        </w:rPr>
        <w:t xml:space="preserve"> </w:t>
      </w:r>
      <w:r w:rsidR="009D127F">
        <w:rPr>
          <w:rFonts w:ascii="Times New Roman" w:hAnsi="Times New Roman"/>
          <w:sz w:val="22"/>
          <w:szCs w:val="22"/>
        </w:rPr>
        <w:t>additional</w:t>
      </w:r>
      <w:r w:rsidR="008468D5">
        <w:rPr>
          <w:rFonts w:ascii="Times New Roman" w:hAnsi="Times New Roman"/>
          <w:sz w:val="22"/>
          <w:szCs w:val="22"/>
        </w:rPr>
        <w:t xml:space="preserve"> medicines as </w:t>
      </w:r>
      <w:r>
        <w:rPr>
          <w:rFonts w:ascii="Times New Roman" w:hAnsi="Times New Roman"/>
          <w:sz w:val="22"/>
          <w:szCs w:val="22"/>
        </w:rPr>
        <w:t>reportable</w:t>
      </w:r>
      <w:r w:rsidR="009D127F">
        <w:rPr>
          <w:rFonts w:ascii="Times New Roman" w:hAnsi="Times New Roman"/>
          <w:sz w:val="22"/>
          <w:szCs w:val="22"/>
        </w:rPr>
        <w:t xml:space="preserve"> medicines</w:t>
      </w:r>
      <w:r w:rsidR="00D56638">
        <w:rPr>
          <w:rFonts w:ascii="Times New Roman" w:hAnsi="Times New Roman"/>
          <w:sz w:val="22"/>
          <w:szCs w:val="22"/>
        </w:rPr>
        <w:t>. These are also medicines</w:t>
      </w:r>
      <w:r w:rsidR="0035125A">
        <w:rPr>
          <w:rFonts w:ascii="Times New Roman" w:hAnsi="Times New Roman"/>
          <w:sz w:val="22"/>
          <w:szCs w:val="22"/>
        </w:rPr>
        <w:t xml:space="preserve"> </w:t>
      </w:r>
      <w:r>
        <w:rPr>
          <w:rFonts w:ascii="Times New Roman" w:hAnsi="Times New Roman"/>
          <w:sz w:val="22"/>
          <w:szCs w:val="22"/>
        </w:rPr>
        <w:t xml:space="preserve">that are </w:t>
      </w:r>
      <w:r w:rsidR="0035125A">
        <w:rPr>
          <w:rFonts w:ascii="Times New Roman" w:hAnsi="Times New Roman"/>
          <w:sz w:val="22"/>
          <w:szCs w:val="22"/>
        </w:rPr>
        <w:t>critical for the health of patients who need them</w:t>
      </w:r>
      <w:r>
        <w:rPr>
          <w:rFonts w:ascii="Times New Roman" w:hAnsi="Times New Roman"/>
          <w:sz w:val="22"/>
          <w:szCs w:val="22"/>
        </w:rPr>
        <w:t xml:space="preserve"> </w:t>
      </w:r>
      <w:r w:rsidR="0035125A">
        <w:rPr>
          <w:rFonts w:ascii="Times New Roman" w:hAnsi="Times New Roman"/>
          <w:sz w:val="22"/>
          <w:szCs w:val="22"/>
        </w:rPr>
        <w:t xml:space="preserve">and </w:t>
      </w:r>
      <w:r w:rsidR="00D56638">
        <w:rPr>
          <w:rFonts w:ascii="Times New Roman" w:hAnsi="Times New Roman"/>
          <w:sz w:val="22"/>
          <w:szCs w:val="22"/>
        </w:rPr>
        <w:t>there would be</w:t>
      </w:r>
      <w:r w:rsidR="0035125A">
        <w:rPr>
          <w:rFonts w:ascii="Times New Roman" w:hAnsi="Times New Roman"/>
          <w:sz w:val="22"/>
          <w:szCs w:val="22"/>
        </w:rPr>
        <w:t xml:space="preserve"> a high risk to </w:t>
      </w:r>
      <w:r w:rsidR="00B45732">
        <w:rPr>
          <w:rFonts w:ascii="Times New Roman" w:hAnsi="Times New Roman"/>
          <w:sz w:val="22"/>
          <w:szCs w:val="22"/>
        </w:rPr>
        <w:t xml:space="preserve">patient </w:t>
      </w:r>
      <w:r w:rsidR="0035125A">
        <w:rPr>
          <w:rFonts w:ascii="Times New Roman" w:hAnsi="Times New Roman"/>
          <w:sz w:val="22"/>
          <w:szCs w:val="22"/>
        </w:rPr>
        <w:t xml:space="preserve">care if a shortage or discontinuation was to occur. </w:t>
      </w:r>
      <w:r w:rsidR="0035125A" w:rsidRPr="00E12421">
        <w:rPr>
          <w:sz w:val="22"/>
          <w:szCs w:val="22"/>
        </w:rPr>
        <w:t>The</w:t>
      </w:r>
      <w:r w:rsidR="006F0506">
        <w:rPr>
          <w:sz w:val="22"/>
          <w:szCs w:val="22"/>
        </w:rPr>
        <w:t>se</w:t>
      </w:r>
      <w:r w:rsidR="0035125A" w:rsidRPr="00E12421">
        <w:rPr>
          <w:sz w:val="22"/>
          <w:szCs w:val="22"/>
        </w:rPr>
        <w:t xml:space="preserve"> medicines were identified from the TGA’s analysis of PBS medicines, the Medicines Watch List, previous shortages, and approvals of overseas alternative medicines where the registered medicines were unavailable or in short supply</w:t>
      </w:r>
      <w:r w:rsidR="00D56638">
        <w:rPr>
          <w:sz w:val="22"/>
          <w:szCs w:val="22"/>
        </w:rPr>
        <w:t xml:space="preserve"> in Australia</w:t>
      </w:r>
      <w:r w:rsidR="0035125A" w:rsidRPr="00E12421">
        <w:rPr>
          <w:sz w:val="22"/>
          <w:szCs w:val="22"/>
        </w:rPr>
        <w:t>.</w:t>
      </w:r>
    </w:p>
    <w:p w14:paraId="2B768E84" w14:textId="77777777" w:rsidR="00DC3B6F" w:rsidRDefault="00DC3B6F" w:rsidP="0035125A">
      <w:pPr>
        <w:autoSpaceDE w:val="0"/>
        <w:autoSpaceDN w:val="0"/>
        <w:adjustRightInd w:val="0"/>
        <w:rPr>
          <w:sz w:val="22"/>
          <w:szCs w:val="22"/>
        </w:rPr>
      </w:pPr>
    </w:p>
    <w:p w14:paraId="52A855D3" w14:textId="068A0807" w:rsidR="00DC3B6F" w:rsidRDefault="00DC3B6F" w:rsidP="0035125A">
      <w:pPr>
        <w:autoSpaceDE w:val="0"/>
        <w:autoSpaceDN w:val="0"/>
        <w:adjustRightInd w:val="0"/>
        <w:rPr>
          <w:sz w:val="22"/>
          <w:szCs w:val="22"/>
        </w:rPr>
      </w:pPr>
      <w:r>
        <w:rPr>
          <w:sz w:val="22"/>
          <w:szCs w:val="22"/>
        </w:rPr>
        <w:t>The new medicines specified in the Determination include, for example:</w:t>
      </w:r>
    </w:p>
    <w:p w14:paraId="4387C112" w14:textId="28859EE3" w:rsidR="00DC3B6F" w:rsidRPr="00522196" w:rsidRDefault="00DC3B6F" w:rsidP="00DC3B6F">
      <w:pPr>
        <w:pStyle w:val="ListParagraph"/>
        <w:numPr>
          <w:ilvl w:val="0"/>
          <w:numId w:val="9"/>
        </w:numPr>
        <w:rPr>
          <w:rFonts w:ascii="Times New Roman" w:hAnsi="Times New Roman"/>
          <w:sz w:val="22"/>
          <w:szCs w:val="22"/>
        </w:rPr>
      </w:pPr>
      <w:r w:rsidRPr="00522196">
        <w:rPr>
          <w:rFonts w:ascii="Times New Roman" w:hAnsi="Times New Roman"/>
          <w:sz w:val="22"/>
          <w:szCs w:val="22"/>
        </w:rPr>
        <w:t xml:space="preserve">medicines that contain </w:t>
      </w:r>
      <w:r>
        <w:rPr>
          <w:rFonts w:ascii="Times New Roman" w:hAnsi="Times New Roman"/>
          <w:sz w:val="22"/>
          <w:szCs w:val="22"/>
        </w:rPr>
        <w:t xml:space="preserve">one of </w:t>
      </w:r>
      <w:r w:rsidRPr="00522196">
        <w:rPr>
          <w:rFonts w:ascii="Times New Roman" w:hAnsi="Times New Roman"/>
          <w:sz w:val="22"/>
          <w:szCs w:val="22"/>
        </w:rPr>
        <w:t>cyproheptadine, pancreatic extract</w:t>
      </w:r>
      <w:r>
        <w:rPr>
          <w:rFonts w:ascii="Times New Roman" w:hAnsi="Times New Roman"/>
          <w:sz w:val="22"/>
          <w:szCs w:val="22"/>
        </w:rPr>
        <w:t xml:space="preserve"> or</w:t>
      </w:r>
      <w:r w:rsidRPr="00522196">
        <w:rPr>
          <w:rFonts w:ascii="Times New Roman" w:hAnsi="Times New Roman"/>
          <w:sz w:val="22"/>
          <w:szCs w:val="22"/>
        </w:rPr>
        <w:t xml:space="preserve"> theophylline</w:t>
      </w:r>
      <w:r>
        <w:rPr>
          <w:rFonts w:ascii="Times New Roman" w:hAnsi="Times New Roman"/>
          <w:sz w:val="22"/>
          <w:szCs w:val="22"/>
        </w:rPr>
        <w:t>;</w:t>
      </w:r>
    </w:p>
    <w:p w14:paraId="5953D3B0" w14:textId="77777777" w:rsidR="00DC3B6F" w:rsidRPr="00522196" w:rsidRDefault="00DC3B6F" w:rsidP="00DC3B6F">
      <w:pPr>
        <w:pStyle w:val="ListParagraph"/>
        <w:numPr>
          <w:ilvl w:val="0"/>
          <w:numId w:val="9"/>
        </w:numPr>
        <w:rPr>
          <w:rFonts w:ascii="Times New Roman" w:hAnsi="Times New Roman"/>
          <w:sz w:val="22"/>
          <w:szCs w:val="22"/>
        </w:rPr>
      </w:pPr>
      <w:r w:rsidRPr="00522196">
        <w:rPr>
          <w:rFonts w:ascii="Times New Roman" w:hAnsi="Times New Roman"/>
          <w:sz w:val="22"/>
          <w:szCs w:val="22"/>
        </w:rPr>
        <w:t>medicines that are</w:t>
      </w:r>
      <w:r>
        <w:rPr>
          <w:rFonts w:ascii="Times New Roman" w:hAnsi="Times New Roman"/>
          <w:sz w:val="22"/>
          <w:szCs w:val="22"/>
        </w:rPr>
        <w:t xml:space="preserve"> in the dosage form of an</w:t>
      </w:r>
      <w:r w:rsidRPr="00522196">
        <w:rPr>
          <w:rFonts w:ascii="Times New Roman" w:hAnsi="Times New Roman"/>
          <w:sz w:val="22"/>
          <w:szCs w:val="22"/>
        </w:rPr>
        <w:t xml:space="preserve"> injection that contain </w:t>
      </w:r>
      <w:r>
        <w:rPr>
          <w:rFonts w:ascii="Times New Roman" w:hAnsi="Times New Roman"/>
          <w:sz w:val="22"/>
          <w:szCs w:val="22"/>
        </w:rPr>
        <w:t xml:space="preserve">either </w:t>
      </w:r>
      <w:proofErr w:type="spellStart"/>
      <w:r>
        <w:rPr>
          <w:rFonts w:ascii="Times New Roman" w:hAnsi="Times New Roman"/>
          <w:sz w:val="22"/>
          <w:szCs w:val="22"/>
        </w:rPr>
        <w:t>phytomenadione</w:t>
      </w:r>
      <w:proofErr w:type="spellEnd"/>
      <w:r>
        <w:rPr>
          <w:rFonts w:ascii="Times New Roman" w:hAnsi="Times New Roman"/>
          <w:sz w:val="22"/>
          <w:szCs w:val="22"/>
        </w:rPr>
        <w:t xml:space="preserve">, </w:t>
      </w:r>
      <w:r w:rsidRPr="00522196">
        <w:rPr>
          <w:rFonts w:ascii="Times New Roman" w:hAnsi="Times New Roman"/>
          <w:sz w:val="22"/>
          <w:szCs w:val="22"/>
        </w:rPr>
        <w:t>sodium bicarbonate or thiamine as the only active ingredient;</w:t>
      </w:r>
    </w:p>
    <w:p w14:paraId="7FECE079" w14:textId="77777777" w:rsidR="00DC3B6F" w:rsidRPr="00522196" w:rsidRDefault="00DC3B6F" w:rsidP="00DC3B6F">
      <w:pPr>
        <w:pStyle w:val="ListParagraph"/>
        <w:numPr>
          <w:ilvl w:val="0"/>
          <w:numId w:val="9"/>
        </w:numPr>
        <w:rPr>
          <w:rFonts w:ascii="Times New Roman" w:hAnsi="Times New Roman"/>
          <w:sz w:val="22"/>
          <w:szCs w:val="22"/>
        </w:rPr>
      </w:pPr>
      <w:r w:rsidRPr="00522196">
        <w:rPr>
          <w:rFonts w:ascii="Times New Roman" w:hAnsi="Times New Roman"/>
          <w:sz w:val="22"/>
          <w:szCs w:val="22"/>
        </w:rPr>
        <w:t xml:space="preserve">medicines for intravenous phosphate supplementation that </w:t>
      </w:r>
      <w:r>
        <w:rPr>
          <w:rFonts w:ascii="Times New Roman" w:hAnsi="Times New Roman"/>
          <w:sz w:val="22"/>
          <w:szCs w:val="22"/>
        </w:rPr>
        <w:t xml:space="preserve">are in the dosage form of an injection or an infusion, and that </w:t>
      </w:r>
      <w:r w:rsidRPr="00522196">
        <w:rPr>
          <w:rFonts w:ascii="Times New Roman" w:hAnsi="Times New Roman"/>
          <w:sz w:val="22"/>
          <w:szCs w:val="22"/>
        </w:rPr>
        <w:t xml:space="preserve">contain </w:t>
      </w:r>
      <w:r>
        <w:rPr>
          <w:rFonts w:ascii="Times New Roman" w:hAnsi="Times New Roman"/>
          <w:sz w:val="22"/>
          <w:szCs w:val="22"/>
        </w:rPr>
        <w:t xml:space="preserve">one of </w:t>
      </w:r>
      <w:r w:rsidRPr="00522196">
        <w:rPr>
          <w:rFonts w:ascii="Times New Roman" w:hAnsi="Times New Roman"/>
          <w:sz w:val="22"/>
          <w:szCs w:val="22"/>
        </w:rPr>
        <w:t>dibasic potassium phosphate, dibasic sodium phosphate</w:t>
      </w:r>
      <w:r>
        <w:rPr>
          <w:rFonts w:ascii="Times New Roman" w:hAnsi="Times New Roman"/>
          <w:sz w:val="22"/>
          <w:szCs w:val="22"/>
        </w:rPr>
        <w:t>,</w:t>
      </w:r>
      <w:r w:rsidRPr="00522196">
        <w:rPr>
          <w:rFonts w:ascii="Times New Roman" w:hAnsi="Times New Roman"/>
          <w:sz w:val="22"/>
          <w:szCs w:val="22"/>
        </w:rPr>
        <w:t xml:space="preserve"> monobasic potassium phosphate</w:t>
      </w:r>
      <w:r>
        <w:rPr>
          <w:rFonts w:ascii="Times New Roman" w:hAnsi="Times New Roman"/>
          <w:sz w:val="22"/>
          <w:szCs w:val="22"/>
        </w:rPr>
        <w:t xml:space="preserve"> or monobasic sodium phosphate</w:t>
      </w:r>
      <w:r w:rsidRPr="00522196">
        <w:rPr>
          <w:rFonts w:ascii="Times New Roman" w:hAnsi="Times New Roman"/>
          <w:sz w:val="22"/>
          <w:szCs w:val="22"/>
        </w:rPr>
        <w:t xml:space="preserve"> as an active ingredient;</w:t>
      </w:r>
    </w:p>
    <w:p w14:paraId="50F9A16A" w14:textId="77777777" w:rsidR="0064311B" w:rsidRDefault="00DC3B6F" w:rsidP="00E508E0">
      <w:pPr>
        <w:pStyle w:val="ListParagraph"/>
        <w:numPr>
          <w:ilvl w:val="0"/>
          <w:numId w:val="9"/>
        </w:numPr>
        <w:autoSpaceDE w:val="0"/>
        <w:autoSpaceDN w:val="0"/>
        <w:adjustRightInd w:val="0"/>
        <w:rPr>
          <w:rFonts w:ascii="Times New Roman" w:hAnsi="Times New Roman"/>
          <w:sz w:val="22"/>
          <w:szCs w:val="22"/>
        </w:rPr>
      </w:pPr>
      <w:r w:rsidRPr="0064311B">
        <w:rPr>
          <w:rFonts w:ascii="Times New Roman" w:hAnsi="Times New Roman"/>
          <w:sz w:val="22"/>
          <w:szCs w:val="22"/>
        </w:rPr>
        <w:lastRenderedPageBreak/>
        <w:t>medicines for the treatment of poisonings or drug overdosage by oral ingestion that contain activated charcoal as an active ingredient; and</w:t>
      </w:r>
    </w:p>
    <w:p w14:paraId="1DA235E4" w14:textId="31061252" w:rsidR="00016EC4" w:rsidRPr="0064311B" w:rsidRDefault="00DC3B6F" w:rsidP="00E508E0">
      <w:pPr>
        <w:pStyle w:val="ListParagraph"/>
        <w:numPr>
          <w:ilvl w:val="0"/>
          <w:numId w:val="9"/>
        </w:numPr>
        <w:autoSpaceDE w:val="0"/>
        <w:autoSpaceDN w:val="0"/>
        <w:adjustRightInd w:val="0"/>
        <w:rPr>
          <w:rFonts w:ascii="Times New Roman" w:hAnsi="Times New Roman"/>
          <w:sz w:val="22"/>
          <w:szCs w:val="22"/>
        </w:rPr>
      </w:pPr>
      <w:r w:rsidRPr="0064311B">
        <w:rPr>
          <w:rFonts w:ascii="Times New Roman" w:hAnsi="Times New Roman"/>
          <w:sz w:val="22"/>
          <w:szCs w:val="22"/>
        </w:rPr>
        <w:t>medicines for the treatment of scabies that contain either benzyl benzoate or permethrin as an active ingredient.</w:t>
      </w:r>
    </w:p>
    <w:p w14:paraId="414595F7" w14:textId="77777777" w:rsidR="00016EC4" w:rsidRDefault="00016EC4" w:rsidP="0035125A">
      <w:pPr>
        <w:autoSpaceDE w:val="0"/>
        <w:autoSpaceDN w:val="0"/>
        <w:adjustRightInd w:val="0"/>
        <w:rPr>
          <w:sz w:val="22"/>
          <w:szCs w:val="22"/>
        </w:rPr>
      </w:pPr>
    </w:p>
    <w:p w14:paraId="12EB3B7F" w14:textId="586ABD4E" w:rsidR="00FC47FA" w:rsidRDefault="0035125A" w:rsidP="0035125A">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6F0506">
        <w:rPr>
          <w:rFonts w:ascii="Times New Roman" w:hAnsi="Times New Roman"/>
          <w:sz w:val="22"/>
          <w:szCs w:val="22"/>
        </w:rPr>
        <w:t>inclusion</w:t>
      </w:r>
      <w:r>
        <w:rPr>
          <w:rFonts w:ascii="Times New Roman" w:hAnsi="Times New Roman"/>
          <w:sz w:val="22"/>
          <w:szCs w:val="22"/>
        </w:rPr>
        <w:t xml:space="preserve"> of these medicines </w:t>
      </w:r>
      <w:r w:rsidR="006F0506">
        <w:rPr>
          <w:rFonts w:ascii="Times New Roman" w:hAnsi="Times New Roman"/>
          <w:sz w:val="22"/>
          <w:szCs w:val="22"/>
        </w:rPr>
        <w:t xml:space="preserve">as reportable medicines </w:t>
      </w:r>
      <w:r w:rsidRPr="00F56219">
        <w:rPr>
          <w:rFonts w:ascii="Times New Roman" w:hAnsi="Times New Roman"/>
          <w:sz w:val="22"/>
          <w:szCs w:val="22"/>
        </w:rPr>
        <w:t xml:space="preserve">will enable the TGA to better </w:t>
      </w:r>
      <w:r w:rsidR="00C761BB">
        <w:rPr>
          <w:rFonts w:ascii="Times New Roman" w:hAnsi="Times New Roman"/>
          <w:sz w:val="22"/>
          <w:szCs w:val="22"/>
        </w:rPr>
        <w:t xml:space="preserve">monitor and </w:t>
      </w:r>
      <w:r w:rsidRPr="00F56219">
        <w:rPr>
          <w:rFonts w:ascii="Times New Roman" w:hAnsi="Times New Roman"/>
          <w:sz w:val="22"/>
          <w:szCs w:val="22"/>
        </w:rPr>
        <w:t>alert the Australian public to a shortage or permanent discontinuation</w:t>
      </w:r>
      <w:r w:rsidR="006F0506">
        <w:rPr>
          <w:rFonts w:ascii="Times New Roman" w:hAnsi="Times New Roman"/>
          <w:sz w:val="22"/>
          <w:szCs w:val="22"/>
        </w:rPr>
        <w:t>. It will also enable the TGA</w:t>
      </w:r>
      <w:r w:rsidR="00FC47FA">
        <w:rPr>
          <w:rFonts w:ascii="Times New Roman" w:hAnsi="Times New Roman"/>
          <w:sz w:val="22"/>
          <w:szCs w:val="22"/>
        </w:rPr>
        <w:t xml:space="preserve">, in consultation with sponsors, to take steps to mitigate the impacts of a shortage or discontinuation, and to better </w:t>
      </w:r>
      <w:r w:rsidRPr="00F56219">
        <w:rPr>
          <w:rFonts w:ascii="Times New Roman" w:hAnsi="Times New Roman"/>
          <w:sz w:val="22"/>
          <w:szCs w:val="22"/>
        </w:rPr>
        <w:t xml:space="preserve">inform health practitioners </w:t>
      </w:r>
      <w:r w:rsidR="008B1FE2">
        <w:rPr>
          <w:rFonts w:ascii="Times New Roman" w:hAnsi="Times New Roman"/>
          <w:sz w:val="22"/>
          <w:szCs w:val="22"/>
        </w:rPr>
        <w:t>and</w:t>
      </w:r>
      <w:r w:rsidRPr="00F56219">
        <w:rPr>
          <w:rFonts w:ascii="Times New Roman" w:hAnsi="Times New Roman"/>
          <w:sz w:val="22"/>
          <w:szCs w:val="22"/>
        </w:rPr>
        <w:t xml:space="preserve"> </w:t>
      </w:r>
      <w:r w:rsidR="008B1FE2">
        <w:rPr>
          <w:rFonts w:ascii="Times New Roman" w:hAnsi="Times New Roman"/>
          <w:sz w:val="22"/>
          <w:szCs w:val="22"/>
        </w:rPr>
        <w:t>consumers</w:t>
      </w:r>
      <w:r w:rsidR="008B1FE2" w:rsidRPr="00F56219">
        <w:rPr>
          <w:rFonts w:ascii="Times New Roman" w:hAnsi="Times New Roman"/>
          <w:sz w:val="22"/>
          <w:szCs w:val="22"/>
        </w:rPr>
        <w:t xml:space="preserve"> </w:t>
      </w:r>
      <w:r w:rsidRPr="00F56219">
        <w:rPr>
          <w:rFonts w:ascii="Times New Roman" w:hAnsi="Times New Roman"/>
          <w:sz w:val="22"/>
          <w:szCs w:val="22"/>
        </w:rPr>
        <w:t xml:space="preserve">to minimise the impact of these events on </w:t>
      </w:r>
      <w:r w:rsidR="006F0506">
        <w:rPr>
          <w:rFonts w:ascii="Times New Roman" w:hAnsi="Times New Roman"/>
          <w:sz w:val="22"/>
          <w:szCs w:val="22"/>
        </w:rPr>
        <w:t>patient</w:t>
      </w:r>
      <w:r w:rsidRPr="00F56219">
        <w:rPr>
          <w:rFonts w:ascii="Times New Roman" w:hAnsi="Times New Roman"/>
          <w:sz w:val="22"/>
          <w:szCs w:val="22"/>
        </w:rPr>
        <w:t xml:space="preserve"> health.</w:t>
      </w:r>
    </w:p>
    <w:p w14:paraId="7B556491" w14:textId="77777777" w:rsidR="00116C8D" w:rsidRDefault="00116C8D" w:rsidP="00E27943">
      <w:pPr>
        <w:autoSpaceDE w:val="0"/>
        <w:autoSpaceDN w:val="0"/>
        <w:adjustRightInd w:val="0"/>
        <w:rPr>
          <w:sz w:val="22"/>
          <w:szCs w:val="22"/>
        </w:rPr>
      </w:pPr>
    </w:p>
    <w:p w14:paraId="047EAB65" w14:textId="77777777" w:rsidR="00A02387" w:rsidRPr="00A02387" w:rsidRDefault="00A02387" w:rsidP="0064311B">
      <w:pPr>
        <w:keepNext/>
        <w:keepLines/>
        <w:autoSpaceDE w:val="0"/>
        <w:autoSpaceDN w:val="0"/>
        <w:adjustRightInd w:val="0"/>
        <w:rPr>
          <w:b/>
          <w:bCs/>
          <w:sz w:val="22"/>
          <w:szCs w:val="22"/>
        </w:rPr>
      </w:pPr>
      <w:bookmarkStart w:id="7" w:name="_Hlk191290138"/>
      <w:r w:rsidRPr="00A02387">
        <w:rPr>
          <w:b/>
          <w:bCs/>
          <w:sz w:val="22"/>
          <w:szCs w:val="22"/>
        </w:rPr>
        <w:t xml:space="preserve">Statutory </w:t>
      </w:r>
      <w:r>
        <w:rPr>
          <w:b/>
          <w:bCs/>
          <w:sz w:val="22"/>
          <w:szCs w:val="22"/>
        </w:rPr>
        <w:t>requirements</w:t>
      </w:r>
    </w:p>
    <w:p w14:paraId="0A820192" w14:textId="77777777" w:rsidR="00A02387" w:rsidRDefault="00A02387" w:rsidP="0064311B">
      <w:pPr>
        <w:keepNext/>
        <w:keepLines/>
        <w:autoSpaceDE w:val="0"/>
        <w:autoSpaceDN w:val="0"/>
        <w:adjustRightInd w:val="0"/>
        <w:rPr>
          <w:sz w:val="22"/>
          <w:szCs w:val="22"/>
        </w:rPr>
      </w:pPr>
    </w:p>
    <w:p w14:paraId="3882FEE4" w14:textId="1685BDDC" w:rsidR="00A02387" w:rsidRDefault="00A02387" w:rsidP="0064311B">
      <w:pPr>
        <w:keepNext/>
        <w:keepLines/>
        <w:autoSpaceDE w:val="0"/>
        <w:autoSpaceDN w:val="0"/>
        <w:adjustRightInd w:val="0"/>
        <w:rPr>
          <w:sz w:val="22"/>
          <w:szCs w:val="22"/>
        </w:rPr>
      </w:pPr>
      <w:r>
        <w:rPr>
          <w:sz w:val="22"/>
          <w:szCs w:val="22"/>
        </w:rPr>
        <w:t xml:space="preserve">Subsection 30EH(3) provides that the Minister must not determine a medicine unless the Minister is satisfied that either the medicine is critical to the health of patients in Australia, or the notification to the Secretary of any shortage of the medicine, </w:t>
      </w:r>
      <w:r w:rsidR="00A84457">
        <w:rPr>
          <w:sz w:val="22"/>
          <w:szCs w:val="22"/>
        </w:rPr>
        <w:t xml:space="preserve">or </w:t>
      </w:r>
      <w:r>
        <w:rPr>
          <w:sz w:val="22"/>
          <w:szCs w:val="22"/>
        </w:rPr>
        <w:t>of any decision to permanently discontinue the supply of the medicine, in Australia would be in the interests of public health, or both.</w:t>
      </w:r>
    </w:p>
    <w:p w14:paraId="14793F8B" w14:textId="77777777" w:rsidR="00A02387" w:rsidRDefault="00A02387" w:rsidP="00A02387">
      <w:pPr>
        <w:autoSpaceDE w:val="0"/>
        <w:autoSpaceDN w:val="0"/>
        <w:adjustRightInd w:val="0"/>
        <w:rPr>
          <w:sz w:val="22"/>
          <w:szCs w:val="22"/>
        </w:rPr>
      </w:pPr>
    </w:p>
    <w:p w14:paraId="09EE6F50" w14:textId="0D5DA592" w:rsidR="00A02387" w:rsidRDefault="009A083E" w:rsidP="00A02387">
      <w:pPr>
        <w:autoSpaceDE w:val="0"/>
        <w:autoSpaceDN w:val="0"/>
        <w:adjustRightInd w:val="0"/>
        <w:rPr>
          <w:sz w:val="22"/>
          <w:szCs w:val="22"/>
        </w:rPr>
      </w:pPr>
      <w:r>
        <w:rPr>
          <w:sz w:val="22"/>
          <w:szCs w:val="22"/>
        </w:rPr>
        <w:t xml:space="preserve">Many of the </w:t>
      </w:r>
      <w:r w:rsidR="00C12A5A">
        <w:rPr>
          <w:sz w:val="22"/>
          <w:szCs w:val="22"/>
        </w:rPr>
        <w:t>new medicines being added to the Determination are critical to the health of patients</w:t>
      </w:r>
      <w:r w:rsidR="00C37886">
        <w:rPr>
          <w:sz w:val="22"/>
          <w:szCs w:val="22"/>
        </w:rPr>
        <w:t>,</w:t>
      </w:r>
      <w:r w:rsidR="00C12A5A">
        <w:rPr>
          <w:sz w:val="22"/>
          <w:szCs w:val="22"/>
        </w:rPr>
        <w:t xml:space="preserve"> </w:t>
      </w:r>
      <w:r w:rsidR="00C37886">
        <w:rPr>
          <w:sz w:val="22"/>
          <w:szCs w:val="22"/>
        </w:rPr>
        <w:t xml:space="preserve">including </w:t>
      </w:r>
      <w:r>
        <w:rPr>
          <w:sz w:val="22"/>
          <w:szCs w:val="22"/>
        </w:rPr>
        <w:t>lifesaving treatments</w:t>
      </w:r>
      <w:r w:rsidR="00C12A5A">
        <w:rPr>
          <w:sz w:val="22"/>
          <w:szCs w:val="22"/>
        </w:rPr>
        <w:t xml:space="preserve"> for conditions such as poisonings</w:t>
      </w:r>
      <w:r>
        <w:rPr>
          <w:sz w:val="22"/>
          <w:szCs w:val="22"/>
        </w:rPr>
        <w:t>,</w:t>
      </w:r>
      <w:r w:rsidR="00C12A5A">
        <w:rPr>
          <w:sz w:val="22"/>
          <w:szCs w:val="22"/>
        </w:rPr>
        <w:t xml:space="preserve"> drug overdose, </w:t>
      </w:r>
      <w:r>
        <w:rPr>
          <w:sz w:val="22"/>
          <w:szCs w:val="22"/>
        </w:rPr>
        <w:t xml:space="preserve">cardiac arrest </w:t>
      </w:r>
      <w:r w:rsidR="00C12A5A">
        <w:rPr>
          <w:sz w:val="22"/>
          <w:szCs w:val="22"/>
        </w:rPr>
        <w:t xml:space="preserve">and </w:t>
      </w:r>
      <w:r>
        <w:rPr>
          <w:sz w:val="22"/>
          <w:szCs w:val="22"/>
        </w:rPr>
        <w:t>severe</w:t>
      </w:r>
      <w:r w:rsidR="00C12A5A">
        <w:rPr>
          <w:sz w:val="22"/>
          <w:szCs w:val="22"/>
        </w:rPr>
        <w:t xml:space="preserve"> electrolyte </w:t>
      </w:r>
      <w:r>
        <w:rPr>
          <w:sz w:val="22"/>
          <w:szCs w:val="22"/>
        </w:rPr>
        <w:t>disturbances</w:t>
      </w:r>
      <w:r w:rsidR="00C12A5A">
        <w:rPr>
          <w:sz w:val="22"/>
          <w:szCs w:val="22"/>
        </w:rPr>
        <w:t xml:space="preserve">. </w:t>
      </w:r>
      <w:r w:rsidR="006E445F">
        <w:rPr>
          <w:sz w:val="22"/>
          <w:szCs w:val="22"/>
        </w:rPr>
        <w:t xml:space="preserve">Other medicines being added to the Determination, like barium </w:t>
      </w:r>
      <w:proofErr w:type="spellStart"/>
      <w:r w:rsidR="006E445F">
        <w:rPr>
          <w:sz w:val="22"/>
          <w:szCs w:val="22"/>
        </w:rPr>
        <w:t>sulfate</w:t>
      </w:r>
      <w:proofErr w:type="spellEnd"/>
      <w:r w:rsidR="006E445F">
        <w:rPr>
          <w:sz w:val="22"/>
          <w:szCs w:val="22"/>
        </w:rPr>
        <w:t xml:space="preserve"> and sodium chloride 0.9% injections or infusions, are considered critical to the timely provision of health care in Australia.</w:t>
      </w:r>
      <w:r w:rsidR="008F643D">
        <w:rPr>
          <w:sz w:val="22"/>
          <w:szCs w:val="22"/>
        </w:rPr>
        <w:t xml:space="preserve"> </w:t>
      </w:r>
      <w:r w:rsidR="000E7C73">
        <w:rPr>
          <w:sz w:val="22"/>
          <w:szCs w:val="22"/>
        </w:rPr>
        <w:t>N</w:t>
      </w:r>
      <w:r w:rsidR="00C12A5A">
        <w:rPr>
          <w:sz w:val="22"/>
          <w:szCs w:val="22"/>
        </w:rPr>
        <w:t>otification of a shortage or discontinuation</w:t>
      </w:r>
      <w:r w:rsidR="000E7C73">
        <w:rPr>
          <w:sz w:val="22"/>
          <w:szCs w:val="22"/>
        </w:rPr>
        <w:t xml:space="preserve"> of these medicines, as well as certain non-prescription medicines listed on the PBS,</w:t>
      </w:r>
      <w:r w:rsidR="00C12A5A">
        <w:rPr>
          <w:sz w:val="22"/>
          <w:szCs w:val="22"/>
        </w:rPr>
        <w:t xml:space="preserve"> </w:t>
      </w:r>
      <w:r w:rsidR="00953368">
        <w:rPr>
          <w:sz w:val="22"/>
          <w:szCs w:val="22"/>
        </w:rPr>
        <w:t>is</w:t>
      </w:r>
      <w:r w:rsidR="00C12A5A">
        <w:rPr>
          <w:sz w:val="22"/>
          <w:szCs w:val="22"/>
        </w:rPr>
        <w:t xml:space="preserve"> in the interests of public health, so </w:t>
      </w:r>
      <w:r w:rsidR="00E64C5E">
        <w:rPr>
          <w:sz w:val="22"/>
          <w:szCs w:val="22"/>
        </w:rPr>
        <w:t xml:space="preserve">that </w:t>
      </w:r>
      <w:r w:rsidR="00C12A5A">
        <w:rPr>
          <w:sz w:val="22"/>
          <w:szCs w:val="22"/>
        </w:rPr>
        <w:t>timely action may be taken to minimise the impact on patients.</w:t>
      </w:r>
      <w:r w:rsidR="008F643D">
        <w:rPr>
          <w:sz w:val="22"/>
          <w:szCs w:val="22"/>
        </w:rPr>
        <w:t xml:space="preserve"> </w:t>
      </w:r>
      <w:r w:rsidR="00D82E3B">
        <w:rPr>
          <w:sz w:val="22"/>
          <w:szCs w:val="22"/>
        </w:rPr>
        <w:t xml:space="preserve">Many of these medicines have limited suitable therapeutic alternatives, which further contributes to the need for </w:t>
      </w:r>
      <w:r w:rsidR="00D82E3B" w:rsidRPr="0012310E">
        <w:rPr>
          <w:rFonts w:ascii="Times New Roman" w:hAnsi="Times New Roman"/>
          <w:sz w:val="22"/>
          <w:szCs w:val="22"/>
        </w:rPr>
        <w:t xml:space="preserve">mandatory reporting </w:t>
      </w:r>
      <w:r w:rsidR="00D82E3B">
        <w:rPr>
          <w:rFonts w:ascii="Times New Roman" w:hAnsi="Times New Roman"/>
          <w:sz w:val="22"/>
          <w:szCs w:val="22"/>
        </w:rPr>
        <w:t>requirements to apply in the interests of public health.</w:t>
      </w:r>
      <w:r w:rsidR="005506C9">
        <w:rPr>
          <w:sz w:val="22"/>
          <w:szCs w:val="22"/>
        </w:rPr>
        <w:br/>
      </w:r>
    </w:p>
    <w:p w14:paraId="1B30F7C7" w14:textId="5CA57BD9" w:rsidR="00A02387" w:rsidRDefault="00A02387" w:rsidP="00A02387">
      <w:pPr>
        <w:autoSpaceDE w:val="0"/>
        <w:autoSpaceDN w:val="0"/>
        <w:adjustRightInd w:val="0"/>
        <w:rPr>
          <w:sz w:val="22"/>
          <w:szCs w:val="22"/>
        </w:rPr>
      </w:pPr>
      <w:r>
        <w:rPr>
          <w:sz w:val="22"/>
          <w:szCs w:val="22"/>
        </w:rPr>
        <w:t>The rule-maker is therefore satisfied that all the new medicines to be determined in the Determination as reportable medicines are critical to the health of patients in Australia, or a notification of a shortage or discontinuation in Australia would be in the interests of public health.</w:t>
      </w:r>
    </w:p>
    <w:bookmarkEnd w:id="7"/>
    <w:p w14:paraId="623C1448" w14:textId="77777777" w:rsidR="00A02387" w:rsidRDefault="00A02387" w:rsidP="00E27943">
      <w:pPr>
        <w:autoSpaceDE w:val="0"/>
        <w:autoSpaceDN w:val="0"/>
        <w:adjustRightInd w:val="0"/>
        <w:rPr>
          <w:sz w:val="22"/>
          <w:szCs w:val="22"/>
        </w:rPr>
      </w:pPr>
    </w:p>
    <w:bookmarkEnd w:id="2"/>
    <w:bookmarkEnd w:id="5"/>
    <w:bookmarkEnd w:id="6"/>
    <w:p w14:paraId="6B5CB622" w14:textId="5D163C2C" w:rsidR="00E27943" w:rsidRDefault="00E27943" w:rsidP="001D6726">
      <w:pPr>
        <w:keepNext/>
        <w:keepLines/>
        <w:rPr>
          <w:rFonts w:ascii="Times New Roman" w:hAnsi="Times New Roman"/>
          <w:b/>
          <w:sz w:val="22"/>
          <w:szCs w:val="22"/>
        </w:rPr>
      </w:pPr>
      <w:r w:rsidRPr="00E548FE">
        <w:rPr>
          <w:rFonts w:ascii="Times New Roman" w:hAnsi="Times New Roman"/>
          <w:b/>
          <w:sz w:val="22"/>
          <w:szCs w:val="22"/>
        </w:rPr>
        <w:t>Consultation</w:t>
      </w:r>
    </w:p>
    <w:p w14:paraId="1D050850" w14:textId="77777777" w:rsidR="001E1FFB" w:rsidRPr="00E548FE" w:rsidRDefault="001E1FFB" w:rsidP="001D6726">
      <w:pPr>
        <w:keepNext/>
        <w:keepLines/>
        <w:rPr>
          <w:rFonts w:ascii="Times New Roman" w:hAnsi="Times New Roman"/>
          <w:sz w:val="22"/>
          <w:szCs w:val="22"/>
        </w:rPr>
      </w:pPr>
    </w:p>
    <w:p w14:paraId="480AA81F" w14:textId="6420DCCD" w:rsidR="006415A3" w:rsidRPr="00BA62B6" w:rsidRDefault="00EF420E" w:rsidP="006415A3">
      <w:pPr>
        <w:rPr>
          <w:sz w:val="22"/>
          <w:szCs w:val="18"/>
        </w:rPr>
      </w:pPr>
      <w:r>
        <w:rPr>
          <w:rFonts w:ascii="Times New Roman" w:hAnsi="Times New Roman"/>
          <w:sz w:val="22"/>
          <w:szCs w:val="22"/>
        </w:rPr>
        <w:t xml:space="preserve">Between </w:t>
      </w:r>
      <w:r w:rsidR="006415A3" w:rsidRPr="00BA62B6">
        <w:rPr>
          <w:sz w:val="22"/>
          <w:szCs w:val="18"/>
        </w:rPr>
        <w:t>11 November 2024 and 13 January 2025</w:t>
      </w:r>
      <w:r>
        <w:rPr>
          <w:rFonts w:ascii="Times New Roman" w:hAnsi="Times New Roman"/>
          <w:sz w:val="22"/>
          <w:szCs w:val="22"/>
        </w:rPr>
        <w:t xml:space="preserve">, the TGA </w:t>
      </w:r>
      <w:r w:rsidR="00477969">
        <w:rPr>
          <w:rFonts w:ascii="Times New Roman" w:hAnsi="Times New Roman"/>
          <w:sz w:val="22"/>
          <w:szCs w:val="22"/>
        </w:rPr>
        <w:t xml:space="preserve">published a consultation paper and </w:t>
      </w:r>
      <w:r>
        <w:rPr>
          <w:rFonts w:ascii="Times New Roman" w:hAnsi="Times New Roman"/>
          <w:sz w:val="22"/>
          <w:szCs w:val="22"/>
        </w:rPr>
        <w:t>conducted a consultation</w:t>
      </w:r>
      <w:r w:rsidR="00DC3B6F">
        <w:rPr>
          <w:rFonts w:ascii="Times New Roman" w:hAnsi="Times New Roman"/>
          <w:sz w:val="22"/>
          <w:szCs w:val="22"/>
        </w:rPr>
        <w:t>,</w:t>
      </w:r>
      <w:r>
        <w:rPr>
          <w:rFonts w:ascii="Times New Roman" w:hAnsi="Times New Roman"/>
          <w:sz w:val="22"/>
          <w:szCs w:val="22"/>
        </w:rPr>
        <w:t xml:space="preserve"> including </w:t>
      </w:r>
      <w:r w:rsidR="00533893">
        <w:rPr>
          <w:rFonts w:ascii="Times New Roman" w:hAnsi="Times New Roman"/>
          <w:sz w:val="22"/>
          <w:szCs w:val="22"/>
        </w:rPr>
        <w:t xml:space="preserve">in relation to </w:t>
      </w:r>
      <w:r w:rsidR="00477969">
        <w:rPr>
          <w:rFonts w:ascii="Times New Roman" w:hAnsi="Times New Roman"/>
          <w:sz w:val="22"/>
          <w:szCs w:val="22"/>
        </w:rPr>
        <w:t xml:space="preserve">the proposal to add </w:t>
      </w:r>
      <w:r w:rsidR="00227E5B" w:rsidRPr="00227E5B">
        <w:rPr>
          <w:rFonts w:ascii="Times New Roman" w:hAnsi="Times New Roman"/>
          <w:sz w:val="22"/>
          <w:szCs w:val="22"/>
        </w:rPr>
        <w:t>more critical</w:t>
      </w:r>
      <w:r w:rsidR="00C739C5">
        <w:rPr>
          <w:rFonts w:ascii="Times New Roman" w:hAnsi="Times New Roman"/>
          <w:sz w:val="22"/>
          <w:szCs w:val="22"/>
        </w:rPr>
        <w:t>,</w:t>
      </w:r>
      <w:r w:rsidR="00227E5B" w:rsidRPr="00227E5B">
        <w:rPr>
          <w:rFonts w:ascii="Times New Roman" w:hAnsi="Times New Roman"/>
          <w:sz w:val="22"/>
          <w:szCs w:val="22"/>
        </w:rPr>
        <w:t xml:space="preserve"> non-prescription medicines to the list of reportable medicines</w:t>
      </w:r>
      <w:r w:rsidR="00477969">
        <w:rPr>
          <w:rFonts w:ascii="Times New Roman" w:hAnsi="Times New Roman"/>
          <w:sz w:val="22"/>
          <w:szCs w:val="22"/>
        </w:rPr>
        <w:t xml:space="preserve">. </w:t>
      </w:r>
      <w:r w:rsidR="006415A3" w:rsidRPr="00BA62B6">
        <w:rPr>
          <w:sz w:val="22"/>
          <w:szCs w:val="18"/>
        </w:rPr>
        <w:t xml:space="preserve">The TGA invited 109 key stakeholders to participate in the consultation, including </w:t>
      </w:r>
      <w:r w:rsidR="002A483B">
        <w:rPr>
          <w:sz w:val="22"/>
          <w:szCs w:val="18"/>
        </w:rPr>
        <w:t>all</w:t>
      </w:r>
      <w:r w:rsidR="006415A3" w:rsidRPr="00BA62B6">
        <w:rPr>
          <w:sz w:val="22"/>
          <w:szCs w:val="18"/>
        </w:rPr>
        <w:t xml:space="preserve"> </w:t>
      </w:r>
      <w:r w:rsidR="00C4478C">
        <w:rPr>
          <w:sz w:val="22"/>
          <w:szCs w:val="18"/>
        </w:rPr>
        <w:t xml:space="preserve">current </w:t>
      </w:r>
      <w:r w:rsidR="006415A3" w:rsidRPr="00BA62B6">
        <w:rPr>
          <w:sz w:val="22"/>
          <w:szCs w:val="18"/>
        </w:rPr>
        <w:t xml:space="preserve">sponsors </w:t>
      </w:r>
      <w:r w:rsidR="00C4478C">
        <w:rPr>
          <w:sz w:val="22"/>
          <w:szCs w:val="18"/>
        </w:rPr>
        <w:t xml:space="preserve">of medicines </w:t>
      </w:r>
      <w:r w:rsidR="006415A3" w:rsidRPr="00BA62B6">
        <w:rPr>
          <w:sz w:val="22"/>
          <w:szCs w:val="18"/>
        </w:rPr>
        <w:t xml:space="preserve">directly impacted by the proposal. </w:t>
      </w:r>
    </w:p>
    <w:p w14:paraId="7A4210F0" w14:textId="5BE08EF8" w:rsidR="00EF420E" w:rsidRDefault="00EF420E" w:rsidP="00EF420E">
      <w:pPr>
        <w:rPr>
          <w:rFonts w:ascii="Times New Roman" w:hAnsi="Times New Roman"/>
          <w:sz w:val="22"/>
          <w:szCs w:val="22"/>
        </w:rPr>
      </w:pPr>
    </w:p>
    <w:p w14:paraId="5D0EB10E" w14:textId="50DD977B" w:rsidR="006415A3" w:rsidRPr="00BA62B6" w:rsidRDefault="006415A3" w:rsidP="006415A3">
      <w:pPr>
        <w:rPr>
          <w:sz w:val="22"/>
          <w:szCs w:val="18"/>
        </w:rPr>
      </w:pPr>
      <w:r w:rsidRPr="00BA62B6">
        <w:rPr>
          <w:sz w:val="22"/>
          <w:szCs w:val="18"/>
        </w:rPr>
        <w:t>The TGA received 39 submissions to the consultation, including from</w:t>
      </w:r>
      <w:r w:rsidR="00E64C5E">
        <w:rPr>
          <w:sz w:val="22"/>
          <w:szCs w:val="18"/>
        </w:rPr>
        <w:t xml:space="preserve"> the</w:t>
      </w:r>
      <w:r w:rsidRPr="00BA62B6">
        <w:rPr>
          <w:sz w:val="22"/>
          <w:szCs w:val="18"/>
        </w:rPr>
        <w:t xml:space="preserve"> pharmaceutical industry, government, health professional</w:t>
      </w:r>
      <w:r w:rsidR="00E64C5E">
        <w:rPr>
          <w:sz w:val="22"/>
          <w:szCs w:val="18"/>
        </w:rPr>
        <w:t>s</w:t>
      </w:r>
      <w:r w:rsidRPr="00BA62B6">
        <w:rPr>
          <w:sz w:val="22"/>
          <w:szCs w:val="18"/>
        </w:rPr>
        <w:t xml:space="preserve"> and consumer organisations. </w:t>
      </w:r>
      <w:r w:rsidR="002A483B">
        <w:rPr>
          <w:sz w:val="22"/>
          <w:szCs w:val="18"/>
        </w:rPr>
        <w:t>There was extensive support for the TGA</w:t>
      </w:r>
      <w:r w:rsidRPr="00BA62B6">
        <w:rPr>
          <w:sz w:val="22"/>
          <w:szCs w:val="18"/>
        </w:rPr>
        <w:t xml:space="preserve">’s proposal to add </w:t>
      </w:r>
      <w:r w:rsidR="002A483B">
        <w:rPr>
          <w:sz w:val="22"/>
          <w:szCs w:val="18"/>
        </w:rPr>
        <w:t>the identified non-prescription</w:t>
      </w:r>
      <w:r w:rsidRPr="00BA62B6">
        <w:rPr>
          <w:sz w:val="22"/>
          <w:szCs w:val="18"/>
        </w:rPr>
        <w:t xml:space="preserve"> medicines to the Determination.</w:t>
      </w:r>
    </w:p>
    <w:p w14:paraId="4D3F6D93" w14:textId="77777777" w:rsidR="006415A3" w:rsidRPr="00BA62B6" w:rsidRDefault="006415A3" w:rsidP="006415A3">
      <w:pPr>
        <w:rPr>
          <w:sz w:val="22"/>
          <w:szCs w:val="18"/>
        </w:rPr>
      </w:pPr>
    </w:p>
    <w:p w14:paraId="1AE8C22C" w14:textId="376A8AD8" w:rsidR="00594E9E" w:rsidRPr="00594E9E" w:rsidRDefault="006415A3" w:rsidP="00594E9E">
      <w:pPr>
        <w:rPr>
          <w:rFonts w:ascii="Times New Roman" w:hAnsi="Times New Roman"/>
          <w:sz w:val="22"/>
          <w:szCs w:val="22"/>
        </w:rPr>
      </w:pPr>
      <w:r w:rsidRPr="00BA62B6">
        <w:rPr>
          <w:sz w:val="22"/>
          <w:szCs w:val="18"/>
        </w:rPr>
        <w:t xml:space="preserve">Several respondents suggested that additional medicines be added to the Determination. Following consultation with </w:t>
      </w:r>
      <w:r w:rsidR="00C739C5">
        <w:rPr>
          <w:sz w:val="22"/>
          <w:szCs w:val="18"/>
        </w:rPr>
        <w:t>potentially</w:t>
      </w:r>
      <w:r w:rsidR="00C4478C">
        <w:rPr>
          <w:sz w:val="22"/>
          <w:szCs w:val="18"/>
        </w:rPr>
        <w:t xml:space="preserve"> </w:t>
      </w:r>
      <w:r w:rsidRPr="00BA62B6">
        <w:rPr>
          <w:sz w:val="22"/>
          <w:szCs w:val="18"/>
        </w:rPr>
        <w:t xml:space="preserve">affected </w:t>
      </w:r>
      <w:r w:rsidR="00C4478C">
        <w:rPr>
          <w:sz w:val="22"/>
          <w:szCs w:val="18"/>
        </w:rPr>
        <w:t>sponsors</w:t>
      </w:r>
      <w:r w:rsidRPr="00BA62B6">
        <w:rPr>
          <w:sz w:val="22"/>
          <w:szCs w:val="18"/>
        </w:rPr>
        <w:t xml:space="preserve">, one </w:t>
      </w:r>
      <w:r w:rsidR="00C4478C">
        <w:rPr>
          <w:sz w:val="22"/>
          <w:szCs w:val="18"/>
        </w:rPr>
        <w:t>extra</w:t>
      </w:r>
      <w:r w:rsidRPr="00BA62B6">
        <w:rPr>
          <w:sz w:val="22"/>
          <w:szCs w:val="18"/>
        </w:rPr>
        <w:t xml:space="preserve"> non-prescription medicine, benzyl benzoate</w:t>
      </w:r>
      <w:r w:rsidR="002A483B">
        <w:rPr>
          <w:sz w:val="22"/>
          <w:szCs w:val="18"/>
        </w:rPr>
        <w:t xml:space="preserve"> for the treatment of scabies</w:t>
      </w:r>
      <w:r w:rsidRPr="00BA62B6">
        <w:rPr>
          <w:sz w:val="22"/>
          <w:szCs w:val="18"/>
        </w:rPr>
        <w:t xml:space="preserve">, </w:t>
      </w:r>
      <w:r w:rsidR="009A59AC">
        <w:rPr>
          <w:rFonts w:ascii="Times New Roman" w:hAnsi="Times New Roman"/>
          <w:sz w:val="22"/>
          <w:szCs w:val="22"/>
        </w:rPr>
        <w:t>was added</w:t>
      </w:r>
      <w:r w:rsidR="009A59AC" w:rsidRPr="00227E5B">
        <w:rPr>
          <w:rFonts w:ascii="Times New Roman" w:hAnsi="Times New Roman"/>
          <w:sz w:val="22"/>
          <w:szCs w:val="22"/>
        </w:rPr>
        <w:t xml:space="preserve"> to the </w:t>
      </w:r>
      <w:r w:rsidR="002A483B">
        <w:rPr>
          <w:rFonts w:ascii="Times New Roman" w:hAnsi="Times New Roman"/>
          <w:sz w:val="22"/>
          <w:szCs w:val="22"/>
        </w:rPr>
        <w:t>Determination</w:t>
      </w:r>
      <w:r w:rsidR="009A59AC">
        <w:rPr>
          <w:rFonts w:ascii="Times New Roman" w:hAnsi="Times New Roman"/>
          <w:sz w:val="22"/>
          <w:szCs w:val="22"/>
        </w:rPr>
        <w:t>.</w:t>
      </w:r>
    </w:p>
    <w:p w14:paraId="22E72DA7" w14:textId="2EA48999" w:rsidR="00EF420E" w:rsidRPr="00E548FE" w:rsidRDefault="00EF420E" w:rsidP="00EF420E">
      <w:pPr>
        <w:rPr>
          <w:rFonts w:ascii="Times New Roman" w:hAnsi="Times New Roman"/>
          <w:sz w:val="22"/>
          <w:szCs w:val="22"/>
        </w:rPr>
      </w:pPr>
    </w:p>
    <w:p w14:paraId="19D2ED9C" w14:textId="67A293BB" w:rsidR="00EF420E" w:rsidRPr="007C6AAF" w:rsidRDefault="00EF420E" w:rsidP="00EF420E">
      <w:pPr>
        <w:rPr>
          <w:rFonts w:ascii="Times New Roman" w:hAnsi="Times New Roman"/>
          <w:color w:val="000000"/>
          <w:sz w:val="22"/>
          <w:szCs w:val="22"/>
          <w:shd w:val="clear" w:color="auto" w:fill="FFFFFF"/>
        </w:rPr>
      </w:pPr>
      <w:r w:rsidRPr="00DB6069">
        <w:rPr>
          <w:rFonts w:ascii="Times New Roman" w:hAnsi="Times New Roman"/>
          <w:sz w:val="22"/>
          <w:szCs w:val="22"/>
        </w:rPr>
        <w:t xml:space="preserve">The Office of Impact Analysis has been consulted and advised that </w:t>
      </w:r>
      <w:r w:rsidR="000D2B58">
        <w:rPr>
          <w:rFonts w:ascii="Times New Roman" w:hAnsi="Times New Roman"/>
          <w:sz w:val="22"/>
          <w:szCs w:val="22"/>
        </w:rPr>
        <w:t>detailed</w:t>
      </w:r>
      <w:r w:rsidRPr="00DB6069">
        <w:rPr>
          <w:rFonts w:ascii="Times New Roman" w:hAnsi="Times New Roman"/>
          <w:sz w:val="22"/>
          <w:szCs w:val="22"/>
        </w:rPr>
        <w:t xml:space="preserve"> analysis is not required </w:t>
      </w:r>
      <w:r w:rsidR="000D2B58">
        <w:rPr>
          <w:rFonts w:ascii="Times New Roman" w:hAnsi="Times New Roman"/>
          <w:sz w:val="22"/>
          <w:szCs w:val="22"/>
        </w:rPr>
        <w:t>under the Australian Government’s Policy Impact Analysis Framework</w:t>
      </w:r>
      <w:r w:rsidRPr="00DB6069">
        <w:rPr>
          <w:rFonts w:ascii="Times New Roman" w:hAnsi="Times New Roman"/>
          <w:sz w:val="22"/>
          <w:szCs w:val="22"/>
        </w:rPr>
        <w:t xml:space="preserve"> </w:t>
      </w:r>
      <w:r w:rsidRPr="007D26B4">
        <w:rPr>
          <w:rFonts w:ascii="Times New Roman" w:hAnsi="Times New Roman"/>
          <w:sz w:val="22"/>
          <w:szCs w:val="22"/>
        </w:rPr>
        <w:t>(</w:t>
      </w:r>
      <w:r w:rsidR="00AF3692" w:rsidRPr="00AF3692">
        <w:rPr>
          <w:rFonts w:ascii="Times New Roman" w:hAnsi="Times New Roman"/>
          <w:sz w:val="22"/>
          <w:szCs w:val="22"/>
        </w:rPr>
        <w:t>OIA24-08740</w:t>
      </w:r>
      <w:r w:rsidRPr="007D26B4">
        <w:rPr>
          <w:rFonts w:ascii="Times New Roman" w:hAnsi="Times New Roman"/>
          <w:sz w:val="22"/>
          <w:szCs w:val="22"/>
        </w:rPr>
        <w:t>).</w:t>
      </w:r>
    </w:p>
    <w:p w14:paraId="168A24D6" w14:textId="77777777" w:rsidR="00E27943" w:rsidRDefault="00E27943" w:rsidP="00E27943">
      <w:pPr>
        <w:rPr>
          <w:rFonts w:ascii="Times New Roman" w:hAnsi="Times New Roman"/>
          <w:sz w:val="22"/>
          <w:szCs w:val="22"/>
        </w:rPr>
      </w:pPr>
    </w:p>
    <w:p w14:paraId="4CB3EDAC" w14:textId="77777777" w:rsidR="00E27943" w:rsidRPr="00E46894" w:rsidRDefault="00E27943" w:rsidP="00E27943">
      <w:pPr>
        <w:keepNext/>
        <w:autoSpaceDE w:val="0"/>
        <w:autoSpaceDN w:val="0"/>
        <w:adjustRightInd w:val="0"/>
        <w:contextualSpacing/>
        <w:rPr>
          <w:b/>
          <w:sz w:val="22"/>
          <w:szCs w:val="22"/>
        </w:rPr>
      </w:pPr>
      <w:r w:rsidRPr="00E46894">
        <w:rPr>
          <w:b/>
          <w:sz w:val="22"/>
          <w:szCs w:val="22"/>
        </w:rPr>
        <w:t>Other details</w:t>
      </w:r>
    </w:p>
    <w:p w14:paraId="2DB1C7B6" w14:textId="77777777" w:rsidR="00E27943" w:rsidRPr="00E46894" w:rsidRDefault="00E27943" w:rsidP="00E27943">
      <w:pPr>
        <w:keepNext/>
        <w:contextualSpacing/>
        <w:rPr>
          <w:sz w:val="22"/>
          <w:szCs w:val="22"/>
        </w:rPr>
      </w:pPr>
    </w:p>
    <w:p w14:paraId="18475DFF" w14:textId="524B68F6" w:rsidR="00E27943" w:rsidRPr="00E46894" w:rsidRDefault="00E27943" w:rsidP="00E27943">
      <w:pPr>
        <w:keepNext/>
        <w:contextualSpacing/>
        <w:rPr>
          <w:sz w:val="22"/>
          <w:szCs w:val="22"/>
        </w:rPr>
      </w:pPr>
      <w:r w:rsidRPr="00E46894">
        <w:rPr>
          <w:sz w:val="22"/>
          <w:szCs w:val="22"/>
        </w:rPr>
        <w:t xml:space="preserve">Details of the </w:t>
      </w:r>
      <w:r w:rsidR="008B27A7">
        <w:rPr>
          <w:sz w:val="22"/>
          <w:szCs w:val="22"/>
        </w:rPr>
        <w:t>Determination</w:t>
      </w:r>
      <w:r w:rsidRPr="00E46894">
        <w:rPr>
          <w:sz w:val="22"/>
          <w:szCs w:val="22"/>
        </w:rPr>
        <w:t xml:space="preserve"> are set out in </w:t>
      </w:r>
      <w:r w:rsidRPr="00E46894">
        <w:rPr>
          <w:b/>
          <w:sz w:val="22"/>
          <w:szCs w:val="22"/>
        </w:rPr>
        <w:t>Attachment A</w:t>
      </w:r>
      <w:r w:rsidRPr="00E46894">
        <w:rPr>
          <w:sz w:val="22"/>
          <w:szCs w:val="22"/>
        </w:rPr>
        <w:t>.</w:t>
      </w:r>
    </w:p>
    <w:p w14:paraId="04EDC10E" w14:textId="77777777" w:rsidR="00E27943" w:rsidRPr="00CF219B" w:rsidRDefault="00E27943" w:rsidP="00E27943">
      <w:pPr>
        <w:rPr>
          <w:rFonts w:ascii="Times New Roman" w:hAnsi="Times New Roman"/>
          <w:sz w:val="22"/>
          <w:szCs w:val="22"/>
        </w:rPr>
      </w:pPr>
    </w:p>
    <w:p w14:paraId="3013D927" w14:textId="3C1A4D94" w:rsidR="00E27943" w:rsidRPr="00CF219B" w:rsidRDefault="00E27943" w:rsidP="00E27943">
      <w:pPr>
        <w:rPr>
          <w:rFonts w:ascii="Times New Roman" w:hAnsi="Times New Roman"/>
          <w:sz w:val="22"/>
          <w:szCs w:val="22"/>
        </w:rPr>
      </w:pPr>
      <w:r w:rsidRPr="00CF219B">
        <w:rPr>
          <w:rFonts w:ascii="Times New Roman" w:hAnsi="Times New Roman"/>
          <w:sz w:val="22"/>
          <w:szCs w:val="22"/>
        </w:rPr>
        <w:lastRenderedPageBreak/>
        <w:t xml:space="preserve">The </w:t>
      </w:r>
      <w:r w:rsidR="008C2D2F">
        <w:rPr>
          <w:rFonts w:ascii="Times New Roman" w:hAnsi="Times New Roman"/>
          <w:sz w:val="22"/>
          <w:szCs w:val="22"/>
        </w:rPr>
        <w:t>Determination</w:t>
      </w:r>
      <w:r>
        <w:rPr>
          <w:rFonts w:ascii="Times New Roman" w:hAnsi="Times New Roman"/>
          <w:sz w:val="22"/>
          <w:szCs w:val="22"/>
        </w:rPr>
        <w:t xml:space="preserve"> is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047E8750" w14:textId="77777777" w:rsidR="00E27943" w:rsidRPr="00CF219B" w:rsidRDefault="00E27943" w:rsidP="00E27943">
      <w:pPr>
        <w:rPr>
          <w:rFonts w:ascii="Times New Roman" w:hAnsi="Times New Roman"/>
          <w:sz w:val="22"/>
          <w:szCs w:val="22"/>
        </w:rPr>
      </w:pPr>
    </w:p>
    <w:p w14:paraId="0519A8E3" w14:textId="03AEBB55"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The </w:t>
      </w:r>
      <w:r w:rsidR="00947232">
        <w:rPr>
          <w:rFonts w:ascii="Times New Roman" w:hAnsi="Times New Roman"/>
          <w:sz w:val="22"/>
          <w:szCs w:val="22"/>
        </w:rPr>
        <w:t>Determination</w:t>
      </w:r>
      <w:r>
        <w:rPr>
          <w:rFonts w:ascii="Times New Roman" w:hAnsi="Times New Roman"/>
          <w:sz w:val="22"/>
          <w:szCs w:val="22"/>
        </w:rPr>
        <w:t xml:space="preserve"> is a </w:t>
      </w:r>
      <w:r w:rsidRPr="00CF219B">
        <w:rPr>
          <w:rFonts w:ascii="Times New Roman" w:hAnsi="Times New Roman"/>
          <w:sz w:val="22"/>
          <w:szCs w:val="22"/>
        </w:rPr>
        <w:t xml:space="preserve">disallowable </w:t>
      </w:r>
      <w:r>
        <w:rPr>
          <w:rFonts w:ascii="Times New Roman" w:hAnsi="Times New Roman"/>
          <w:sz w:val="22"/>
          <w:szCs w:val="22"/>
        </w:rPr>
        <w:t xml:space="preserve">legislative instrument </w:t>
      </w:r>
      <w:r w:rsidRPr="00CF219B">
        <w:rPr>
          <w:rFonts w:ascii="Times New Roman" w:hAnsi="Times New Roman"/>
          <w:sz w:val="22"/>
          <w:szCs w:val="22"/>
        </w:rPr>
        <w:t xml:space="preserve">for the purposes of the </w:t>
      </w:r>
      <w:r w:rsidRPr="00CF219B">
        <w:rPr>
          <w:rFonts w:ascii="Times New Roman" w:hAnsi="Times New Roman"/>
          <w:i/>
          <w:sz w:val="22"/>
          <w:szCs w:val="22"/>
        </w:rPr>
        <w:t>Legislation Act</w:t>
      </w:r>
      <w:r>
        <w:rPr>
          <w:rFonts w:ascii="Times New Roman" w:hAnsi="Times New Roman"/>
          <w:i/>
          <w:sz w:val="22"/>
          <w:szCs w:val="22"/>
        </w:rPr>
        <w:t> </w:t>
      </w:r>
      <w:r w:rsidRPr="00CF219B">
        <w:rPr>
          <w:rFonts w:ascii="Times New Roman" w:hAnsi="Times New Roman"/>
          <w:i/>
          <w:sz w:val="22"/>
          <w:szCs w:val="22"/>
        </w:rPr>
        <w:t>2003</w:t>
      </w:r>
      <w:r>
        <w:rPr>
          <w:rFonts w:ascii="Times New Roman" w:hAnsi="Times New Roman"/>
          <w:iCs/>
          <w:sz w:val="22"/>
          <w:szCs w:val="22"/>
        </w:rPr>
        <w:t>,</w:t>
      </w:r>
      <w:r w:rsidRPr="00CF219B">
        <w:rPr>
          <w:rFonts w:ascii="Times New Roman" w:hAnsi="Times New Roman"/>
          <w:i/>
          <w:sz w:val="22"/>
          <w:szCs w:val="22"/>
        </w:rPr>
        <w:t xml:space="preserve"> </w:t>
      </w:r>
      <w:r w:rsidRPr="00CF219B">
        <w:rPr>
          <w:rFonts w:ascii="Times New Roman" w:hAnsi="Times New Roman"/>
          <w:sz w:val="22"/>
          <w:szCs w:val="22"/>
        </w:rPr>
        <w:t>and commence</w:t>
      </w:r>
      <w:r>
        <w:rPr>
          <w:rFonts w:ascii="Times New Roman" w:hAnsi="Times New Roman"/>
          <w:sz w:val="22"/>
          <w:szCs w:val="22"/>
        </w:rPr>
        <w:t>s</w:t>
      </w:r>
      <w:r w:rsidRPr="00CF219B">
        <w:rPr>
          <w:rFonts w:ascii="Times New Roman" w:hAnsi="Times New Roman"/>
          <w:sz w:val="22"/>
          <w:szCs w:val="22"/>
        </w:rPr>
        <w:t xml:space="preserve"> on the day </w:t>
      </w:r>
      <w:r>
        <w:rPr>
          <w:rFonts w:ascii="Times New Roman" w:hAnsi="Times New Roman"/>
          <w:sz w:val="22"/>
          <w:szCs w:val="22"/>
        </w:rPr>
        <w:t xml:space="preserve">after registration </w:t>
      </w:r>
      <w:r w:rsidRPr="00CF219B">
        <w:rPr>
          <w:rFonts w:ascii="Times New Roman" w:hAnsi="Times New Roman"/>
          <w:sz w:val="22"/>
          <w:szCs w:val="22"/>
        </w:rPr>
        <w:t>on the Federal Register of Legislation.</w:t>
      </w:r>
    </w:p>
    <w:p w14:paraId="4470AF02" w14:textId="77777777" w:rsidR="00E27943" w:rsidRPr="00CF219B" w:rsidRDefault="00E27943" w:rsidP="00E27943">
      <w:pPr>
        <w:rPr>
          <w:rFonts w:ascii="Times New Roman" w:hAnsi="Times New Roman"/>
          <w:sz w:val="22"/>
          <w:szCs w:val="22"/>
        </w:rPr>
      </w:pPr>
      <w:r w:rsidRPr="00CF219B">
        <w:rPr>
          <w:rFonts w:ascii="Times New Roman" w:hAnsi="Times New Roman"/>
          <w:b/>
          <w:bCs/>
          <w:sz w:val="22"/>
          <w:szCs w:val="22"/>
        </w:rPr>
        <w:br w:type="page"/>
      </w:r>
    </w:p>
    <w:p w14:paraId="31F6AF74" w14:textId="77777777" w:rsidR="00E27943" w:rsidRPr="00CF219B" w:rsidRDefault="00E27943" w:rsidP="00E27943">
      <w:pPr>
        <w:jc w:val="right"/>
        <w:rPr>
          <w:rFonts w:ascii="Times New Roman" w:hAnsi="Times New Roman"/>
          <w:b/>
          <w:bCs/>
          <w:sz w:val="22"/>
          <w:szCs w:val="22"/>
        </w:rPr>
      </w:pPr>
      <w:r w:rsidRPr="00CF219B">
        <w:rPr>
          <w:rFonts w:ascii="Times New Roman" w:hAnsi="Times New Roman"/>
          <w:b/>
          <w:bCs/>
          <w:sz w:val="22"/>
          <w:szCs w:val="22"/>
        </w:rPr>
        <w:t>Attachment A</w:t>
      </w:r>
    </w:p>
    <w:p w14:paraId="5FB5B2CE" w14:textId="77777777" w:rsidR="00E27943" w:rsidRPr="00CF219B" w:rsidRDefault="00E27943" w:rsidP="00E27943">
      <w:pPr>
        <w:rPr>
          <w:rFonts w:ascii="Times New Roman" w:hAnsi="Times New Roman"/>
          <w:b/>
          <w:bCs/>
          <w:sz w:val="22"/>
          <w:szCs w:val="22"/>
        </w:rPr>
      </w:pPr>
    </w:p>
    <w:p w14:paraId="5899757B" w14:textId="6BD2D22C" w:rsidR="00E27943" w:rsidRPr="00D52BA5" w:rsidRDefault="00E27943" w:rsidP="00E27943">
      <w:pPr>
        <w:rPr>
          <w:b/>
          <w:bCs/>
          <w:i/>
          <w:sz w:val="22"/>
          <w:szCs w:val="22"/>
        </w:rPr>
      </w:pPr>
      <w:r w:rsidRPr="00D52BA5">
        <w:rPr>
          <w:rFonts w:ascii="Times New Roman" w:hAnsi="Times New Roman"/>
          <w:b/>
          <w:bCs/>
          <w:sz w:val="22"/>
          <w:szCs w:val="22"/>
        </w:rPr>
        <w:t xml:space="preserve">Details of the </w:t>
      </w:r>
      <w:r w:rsidR="001A2595" w:rsidRPr="001A2595">
        <w:rPr>
          <w:rFonts w:ascii="Times New Roman" w:hAnsi="Times New Roman"/>
          <w:b/>
          <w:bCs/>
          <w:i/>
          <w:iCs/>
          <w:sz w:val="22"/>
          <w:szCs w:val="22"/>
        </w:rPr>
        <w:t>Therapeutic Goods (Reportable Medicines) Determination 2025</w:t>
      </w:r>
    </w:p>
    <w:p w14:paraId="123CD810" w14:textId="77777777" w:rsidR="00E27943" w:rsidRDefault="00E27943" w:rsidP="00E27943">
      <w:pPr>
        <w:rPr>
          <w:rFonts w:ascii="Times New Roman" w:hAnsi="Times New Roman"/>
          <w:b/>
          <w:bCs/>
          <w:i/>
          <w:sz w:val="22"/>
          <w:szCs w:val="22"/>
        </w:rPr>
      </w:pPr>
    </w:p>
    <w:p w14:paraId="43399243"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1 – Name</w:t>
      </w:r>
    </w:p>
    <w:p w14:paraId="12ACF3E0" w14:textId="77777777" w:rsidR="00E27943" w:rsidRPr="00CF219B" w:rsidRDefault="00E27943" w:rsidP="00E27943">
      <w:pPr>
        <w:rPr>
          <w:rFonts w:ascii="Times New Roman" w:hAnsi="Times New Roman"/>
          <w:b/>
          <w:bCs/>
          <w:sz w:val="22"/>
          <w:szCs w:val="22"/>
        </w:rPr>
      </w:pPr>
    </w:p>
    <w:p w14:paraId="1014A28F" w14:textId="540DC265" w:rsidR="00E27943" w:rsidRPr="00D52BA5" w:rsidRDefault="00E27943" w:rsidP="00E27943">
      <w:pPr>
        <w:rPr>
          <w:iCs/>
          <w:sz w:val="22"/>
          <w:szCs w:val="22"/>
        </w:rPr>
      </w:pPr>
      <w:r w:rsidRPr="008F04FE">
        <w:rPr>
          <w:rFonts w:ascii="Times New Roman" w:hAnsi="Times New Roman"/>
          <w:sz w:val="22"/>
          <w:szCs w:val="22"/>
        </w:rPr>
        <w:t xml:space="preserve">This section </w:t>
      </w:r>
      <w:r w:rsidRPr="008C09C6">
        <w:rPr>
          <w:rFonts w:ascii="Times New Roman" w:hAnsi="Times New Roman"/>
          <w:sz w:val="22"/>
          <w:szCs w:val="22"/>
        </w:rPr>
        <w:t xml:space="preserve">provides that the name of the instrument is the </w:t>
      </w:r>
      <w:r w:rsidR="00F6680B" w:rsidRPr="00F6680B">
        <w:rPr>
          <w:rFonts w:ascii="Times New Roman" w:hAnsi="Times New Roman"/>
          <w:i/>
          <w:iCs/>
          <w:sz w:val="22"/>
          <w:szCs w:val="22"/>
        </w:rPr>
        <w:t>Therapeutic Goods (Reportable Medicines) Determination</w:t>
      </w:r>
      <w:r w:rsidR="00C0333B">
        <w:rPr>
          <w:rFonts w:ascii="Times New Roman" w:hAnsi="Times New Roman"/>
          <w:i/>
          <w:iCs/>
          <w:sz w:val="22"/>
          <w:szCs w:val="22"/>
        </w:rPr>
        <w:t> </w:t>
      </w:r>
      <w:r w:rsidR="00F6680B" w:rsidRPr="00F6680B">
        <w:rPr>
          <w:rFonts w:ascii="Times New Roman" w:hAnsi="Times New Roman"/>
          <w:i/>
          <w:iCs/>
          <w:sz w:val="22"/>
          <w:szCs w:val="22"/>
        </w:rPr>
        <w:t xml:space="preserve">2025 </w:t>
      </w:r>
      <w:r>
        <w:rPr>
          <w:iCs/>
          <w:sz w:val="22"/>
          <w:szCs w:val="22"/>
        </w:rPr>
        <w:t xml:space="preserve">(“the </w:t>
      </w:r>
      <w:r w:rsidR="00F6680B">
        <w:rPr>
          <w:iCs/>
          <w:sz w:val="22"/>
          <w:szCs w:val="22"/>
        </w:rPr>
        <w:t>Determination</w:t>
      </w:r>
      <w:r>
        <w:rPr>
          <w:iCs/>
          <w:sz w:val="22"/>
          <w:szCs w:val="22"/>
        </w:rPr>
        <w:t>”).</w:t>
      </w:r>
    </w:p>
    <w:p w14:paraId="02ACF4AF" w14:textId="77777777" w:rsidR="00E27943" w:rsidRPr="008F04FE" w:rsidRDefault="00E27943" w:rsidP="00E27943">
      <w:pPr>
        <w:rPr>
          <w:rFonts w:ascii="Times New Roman" w:hAnsi="Times New Roman"/>
          <w:bCs/>
          <w:sz w:val="22"/>
          <w:szCs w:val="22"/>
        </w:rPr>
      </w:pPr>
    </w:p>
    <w:p w14:paraId="4033A1E9"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2 – Commencement</w:t>
      </w:r>
    </w:p>
    <w:p w14:paraId="17D7344D" w14:textId="77777777" w:rsidR="00E27943" w:rsidRPr="00CF219B" w:rsidRDefault="00E27943" w:rsidP="00E27943">
      <w:pPr>
        <w:rPr>
          <w:rFonts w:ascii="Times New Roman" w:hAnsi="Times New Roman"/>
          <w:bCs/>
          <w:sz w:val="22"/>
          <w:szCs w:val="22"/>
        </w:rPr>
      </w:pPr>
    </w:p>
    <w:p w14:paraId="35FE317C" w14:textId="7B17A59A" w:rsidR="00E27943" w:rsidRPr="00CF219B" w:rsidRDefault="00E27943" w:rsidP="00E27943">
      <w:pPr>
        <w:rPr>
          <w:rFonts w:ascii="Times New Roman" w:hAnsi="Times New Roman"/>
          <w:bCs/>
          <w:sz w:val="22"/>
          <w:szCs w:val="22"/>
        </w:rPr>
      </w:pPr>
      <w:r w:rsidRPr="00CF219B">
        <w:rPr>
          <w:rFonts w:ascii="Times New Roman" w:hAnsi="Times New Roman"/>
          <w:bCs/>
          <w:sz w:val="22"/>
          <w:szCs w:val="22"/>
        </w:rPr>
        <w:t>This section provides that the</w:t>
      </w:r>
      <w:r>
        <w:rPr>
          <w:rFonts w:ascii="Times New Roman" w:hAnsi="Times New Roman"/>
          <w:bCs/>
          <w:sz w:val="22"/>
          <w:szCs w:val="22"/>
        </w:rPr>
        <w:t xml:space="preserve"> </w:t>
      </w:r>
      <w:r w:rsidR="00F6680B">
        <w:rPr>
          <w:rFonts w:ascii="Times New Roman" w:hAnsi="Times New Roman"/>
          <w:bCs/>
          <w:sz w:val="22"/>
          <w:szCs w:val="22"/>
        </w:rPr>
        <w:t>Determination</w:t>
      </w:r>
      <w:r>
        <w:rPr>
          <w:rFonts w:ascii="Times New Roman" w:hAnsi="Times New Roman"/>
          <w:bCs/>
          <w:sz w:val="22"/>
          <w:szCs w:val="22"/>
        </w:rPr>
        <w:t xml:space="preserve"> </w:t>
      </w:r>
      <w:r w:rsidRPr="00CF219B">
        <w:rPr>
          <w:rFonts w:ascii="Times New Roman" w:hAnsi="Times New Roman"/>
          <w:bCs/>
          <w:sz w:val="22"/>
          <w:szCs w:val="22"/>
        </w:rPr>
        <w:t>commence</w:t>
      </w:r>
      <w:r>
        <w:rPr>
          <w:rFonts w:ascii="Times New Roman" w:hAnsi="Times New Roman"/>
          <w:bCs/>
          <w:sz w:val="22"/>
          <w:szCs w:val="22"/>
        </w:rPr>
        <w:t>s on</w:t>
      </w:r>
      <w:r w:rsidR="0035125A">
        <w:rPr>
          <w:rFonts w:ascii="Times New Roman" w:hAnsi="Times New Roman"/>
          <w:bCs/>
          <w:sz w:val="22"/>
          <w:szCs w:val="22"/>
        </w:rPr>
        <w:t xml:space="preserve"> the day after it is registered on the Federal Register of Legislation.</w:t>
      </w:r>
    </w:p>
    <w:p w14:paraId="73BD2EC5" w14:textId="77777777" w:rsidR="00E27943" w:rsidRPr="00CF219B" w:rsidRDefault="00E27943" w:rsidP="00E27943">
      <w:pPr>
        <w:rPr>
          <w:rFonts w:ascii="Times New Roman" w:hAnsi="Times New Roman"/>
          <w:bCs/>
          <w:sz w:val="22"/>
          <w:szCs w:val="22"/>
        </w:rPr>
      </w:pPr>
    </w:p>
    <w:p w14:paraId="3BB83BC5"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3 – Authority</w:t>
      </w:r>
    </w:p>
    <w:p w14:paraId="25D9C651" w14:textId="77777777" w:rsidR="00E27943" w:rsidRPr="00CF219B" w:rsidRDefault="00E27943" w:rsidP="00E27943">
      <w:pPr>
        <w:rPr>
          <w:rFonts w:ascii="Times New Roman" w:hAnsi="Times New Roman"/>
          <w:b/>
          <w:bCs/>
          <w:sz w:val="22"/>
          <w:szCs w:val="22"/>
        </w:rPr>
      </w:pPr>
    </w:p>
    <w:p w14:paraId="0C7995F5" w14:textId="630A4A4B" w:rsidR="00DB6069" w:rsidRPr="00210363" w:rsidRDefault="00E27943" w:rsidP="00E27943">
      <w:pPr>
        <w:rPr>
          <w:rFonts w:ascii="Times New Roman" w:hAnsi="Times New Roman"/>
          <w:bCs/>
          <w:sz w:val="22"/>
          <w:szCs w:val="22"/>
        </w:rPr>
      </w:pPr>
      <w:r w:rsidRPr="002B6C76">
        <w:rPr>
          <w:rFonts w:ascii="Times New Roman" w:hAnsi="Times New Roman"/>
          <w:bCs/>
          <w:sz w:val="22"/>
          <w:szCs w:val="22"/>
        </w:rPr>
        <w:t xml:space="preserve">This section provides that the legislative authority for making the </w:t>
      </w:r>
      <w:r w:rsidR="00F6680B">
        <w:rPr>
          <w:rFonts w:ascii="Times New Roman" w:hAnsi="Times New Roman"/>
          <w:bCs/>
          <w:sz w:val="22"/>
          <w:szCs w:val="22"/>
        </w:rPr>
        <w:t>Determination</w:t>
      </w:r>
      <w:r w:rsidRPr="002B6C76">
        <w:rPr>
          <w:rFonts w:ascii="Times New Roman" w:hAnsi="Times New Roman"/>
          <w:bCs/>
          <w:sz w:val="22"/>
          <w:szCs w:val="22"/>
        </w:rPr>
        <w:t xml:space="preserve"> is </w:t>
      </w:r>
      <w:r w:rsidR="00210363" w:rsidRPr="00210363">
        <w:rPr>
          <w:rFonts w:ascii="Times New Roman" w:hAnsi="Times New Roman"/>
          <w:bCs/>
          <w:sz w:val="22"/>
          <w:szCs w:val="22"/>
        </w:rPr>
        <w:t>subsection</w:t>
      </w:r>
      <w:r w:rsidR="00C739C5">
        <w:rPr>
          <w:rFonts w:ascii="Times New Roman" w:hAnsi="Times New Roman"/>
          <w:bCs/>
          <w:sz w:val="22"/>
          <w:szCs w:val="22"/>
        </w:rPr>
        <w:t> </w:t>
      </w:r>
      <w:r w:rsidR="00210363" w:rsidRPr="00210363">
        <w:rPr>
          <w:rFonts w:ascii="Times New Roman" w:hAnsi="Times New Roman"/>
          <w:bCs/>
          <w:sz w:val="22"/>
          <w:szCs w:val="22"/>
        </w:rPr>
        <w:t xml:space="preserve">30EH(2) of the </w:t>
      </w:r>
      <w:r w:rsidR="00210363" w:rsidRPr="00210363">
        <w:rPr>
          <w:rFonts w:ascii="Times New Roman" w:hAnsi="Times New Roman"/>
          <w:bCs/>
          <w:i/>
          <w:iCs/>
          <w:sz w:val="22"/>
          <w:szCs w:val="22"/>
        </w:rPr>
        <w:t xml:space="preserve">Therapeutic Goods Act 1989 </w:t>
      </w:r>
      <w:r w:rsidR="0035125A">
        <w:rPr>
          <w:rFonts w:ascii="Times New Roman" w:hAnsi="Times New Roman"/>
          <w:bCs/>
          <w:sz w:val="22"/>
          <w:szCs w:val="22"/>
        </w:rPr>
        <w:t>(“</w:t>
      </w:r>
      <w:r w:rsidR="00210363" w:rsidRPr="00817B51">
        <w:rPr>
          <w:rFonts w:ascii="Times New Roman" w:hAnsi="Times New Roman"/>
          <w:bCs/>
          <w:sz w:val="22"/>
          <w:szCs w:val="22"/>
        </w:rPr>
        <w:t>the Act</w:t>
      </w:r>
      <w:r w:rsidR="0035125A">
        <w:rPr>
          <w:rFonts w:ascii="Times New Roman" w:hAnsi="Times New Roman"/>
          <w:bCs/>
          <w:sz w:val="22"/>
          <w:szCs w:val="22"/>
        </w:rPr>
        <w:t>”)</w:t>
      </w:r>
      <w:r w:rsidR="00210363">
        <w:rPr>
          <w:rFonts w:ascii="Times New Roman" w:hAnsi="Times New Roman"/>
          <w:bCs/>
          <w:sz w:val="22"/>
          <w:szCs w:val="22"/>
        </w:rPr>
        <w:t>.</w:t>
      </w:r>
    </w:p>
    <w:p w14:paraId="41022AE7" w14:textId="77777777" w:rsidR="00DB6069" w:rsidRDefault="00DB6069" w:rsidP="00E27943">
      <w:pPr>
        <w:rPr>
          <w:rFonts w:ascii="Times New Roman" w:hAnsi="Times New Roman"/>
          <w:bCs/>
          <w:i/>
          <w:iCs/>
          <w:sz w:val="22"/>
          <w:szCs w:val="22"/>
        </w:rPr>
      </w:pPr>
    </w:p>
    <w:p w14:paraId="552DEA80" w14:textId="2876E98A" w:rsidR="00C0333B" w:rsidRDefault="00E27943" w:rsidP="00E27943">
      <w:pPr>
        <w:rPr>
          <w:rFonts w:ascii="Times New Roman" w:hAnsi="Times New Roman"/>
          <w:b/>
          <w:bCs/>
          <w:sz w:val="22"/>
          <w:szCs w:val="22"/>
        </w:rPr>
      </w:pPr>
      <w:r>
        <w:rPr>
          <w:rFonts w:ascii="Times New Roman" w:hAnsi="Times New Roman"/>
          <w:b/>
          <w:bCs/>
          <w:sz w:val="22"/>
          <w:szCs w:val="22"/>
        </w:rPr>
        <w:t xml:space="preserve">Section 4 – </w:t>
      </w:r>
      <w:r w:rsidR="00C0333B">
        <w:rPr>
          <w:rFonts w:ascii="Times New Roman" w:hAnsi="Times New Roman"/>
          <w:b/>
          <w:bCs/>
          <w:sz w:val="22"/>
          <w:szCs w:val="22"/>
        </w:rPr>
        <w:t>Definitions</w:t>
      </w:r>
    </w:p>
    <w:p w14:paraId="0D7BBC87" w14:textId="77777777" w:rsidR="00C0333B" w:rsidRDefault="00C0333B" w:rsidP="00E27943">
      <w:pPr>
        <w:rPr>
          <w:rFonts w:ascii="Times New Roman" w:hAnsi="Times New Roman"/>
          <w:b/>
          <w:bCs/>
          <w:sz w:val="22"/>
          <w:szCs w:val="22"/>
        </w:rPr>
      </w:pPr>
    </w:p>
    <w:p w14:paraId="438A6761" w14:textId="33DF34A7" w:rsidR="00C0333B" w:rsidRDefault="00C0333B" w:rsidP="00E27943">
      <w:pPr>
        <w:rPr>
          <w:rFonts w:ascii="Times New Roman" w:hAnsi="Times New Roman"/>
          <w:sz w:val="22"/>
          <w:szCs w:val="22"/>
        </w:rPr>
      </w:pPr>
      <w:r>
        <w:rPr>
          <w:rFonts w:ascii="Times New Roman" w:hAnsi="Times New Roman"/>
          <w:sz w:val="22"/>
          <w:szCs w:val="22"/>
        </w:rPr>
        <w:t xml:space="preserve">This section provides that the term “Act” used in the Determination is defined as meaning the </w:t>
      </w:r>
      <w:r>
        <w:rPr>
          <w:rFonts w:ascii="Times New Roman" w:hAnsi="Times New Roman"/>
          <w:i/>
          <w:iCs/>
          <w:sz w:val="22"/>
          <w:szCs w:val="22"/>
        </w:rPr>
        <w:t xml:space="preserve">Therapeutic Goods Act 1989. </w:t>
      </w:r>
      <w:r>
        <w:rPr>
          <w:rFonts w:ascii="Times New Roman" w:hAnsi="Times New Roman"/>
          <w:sz w:val="22"/>
          <w:szCs w:val="22"/>
        </w:rPr>
        <w:t>This section also notes that some expressions used in the Determination, including “active ingredient”, “current Poisons Standard”, “medicine”, “registered goods” and “reportable medicine” have the same meaning as in the Act.</w:t>
      </w:r>
    </w:p>
    <w:p w14:paraId="2DEA2D24" w14:textId="77777777" w:rsidR="00C0333B" w:rsidRPr="00E24762" w:rsidRDefault="00C0333B" w:rsidP="00E27943">
      <w:pPr>
        <w:rPr>
          <w:rFonts w:ascii="Times New Roman" w:hAnsi="Times New Roman"/>
          <w:sz w:val="22"/>
          <w:szCs w:val="22"/>
        </w:rPr>
      </w:pPr>
    </w:p>
    <w:p w14:paraId="2E99CB6C" w14:textId="5EF5EE00" w:rsidR="00E27943" w:rsidRPr="00CF219B" w:rsidRDefault="00C0333B" w:rsidP="00E27943">
      <w:pPr>
        <w:rPr>
          <w:rFonts w:ascii="Times New Roman" w:hAnsi="Times New Roman"/>
          <w:b/>
          <w:bCs/>
          <w:sz w:val="22"/>
          <w:szCs w:val="22"/>
        </w:rPr>
      </w:pPr>
      <w:r>
        <w:rPr>
          <w:rFonts w:ascii="Times New Roman" w:hAnsi="Times New Roman"/>
          <w:b/>
          <w:bCs/>
          <w:sz w:val="22"/>
          <w:szCs w:val="22"/>
        </w:rPr>
        <w:t>Section 5 – Reportable medicine</w:t>
      </w:r>
      <w:r w:rsidR="00FB487B">
        <w:rPr>
          <w:rFonts w:ascii="Times New Roman" w:hAnsi="Times New Roman"/>
          <w:b/>
          <w:bCs/>
          <w:sz w:val="22"/>
          <w:szCs w:val="22"/>
        </w:rPr>
        <w:t>s</w:t>
      </w:r>
    </w:p>
    <w:p w14:paraId="5D1DB856" w14:textId="77777777" w:rsidR="00E27943" w:rsidRPr="00BE7572" w:rsidRDefault="00E27943" w:rsidP="00E27943">
      <w:pPr>
        <w:rPr>
          <w:rFonts w:ascii="Times New Roman" w:hAnsi="Times New Roman"/>
          <w:bCs/>
          <w:sz w:val="22"/>
          <w:szCs w:val="22"/>
        </w:rPr>
      </w:pPr>
    </w:p>
    <w:p w14:paraId="1DD78752" w14:textId="7170AD49" w:rsidR="00C0333B" w:rsidRDefault="00E27943" w:rsidP="00E27943">
      <w:pPr>
        <w:rPr>
          <w:rFonts w:ascii="Times New Roman" w:hAnsi="Times New Roman"/>
          <w:bCs/>
          <w:sz w:val="22"/>
          <w:szCs w:val="22"/>
        </w:rPr>
      </w:pPr>
      <w:r>
        <w:rPr>
          <w:rFonts w:ascii="Times New Roman" w:hAnsi="Times New Roman"/>
          <w:bCs/>
          <w:sz w:val="22"/>
          <w:szCs w:val="22"/>
        </w:rPr>
        <w:t>This section</w:t>
      </w:r>
      <w:r w:rsidR="00C0333B">
        <w:rPr>
          <w:rFonts w:ascii="Times New Roman" w:hAnsi="Times New Roman"/>
          <w:bCs/>
          <w:sz w:val="22"/>
          <w:szCs w:val="22"/>
        </w:rPr>
        <w:t xml:space="preserve"> provides that the medicines set out in Schedule 1, being medicines that are registered goods, are determined to be reportable medicines for the purposes of subparagraph 30EH(1)(b)(ii) of the Act.</w:t>
      </w:r>
    </w:p>
    <w:p w14:paraId="118180DF" w14:textId="77777777" w:rsidR="00C0333B" w:rsidRDefault="00C0333B" w:rsidP="00E27943">
      <w:pPr>
        <w:rPr>
          <w:rFonts w:ascii="Times New Roman" w:hAnsi="Times New Roman"/>
          <w:bCs/>
          <w:sz w:val="22"/>
          <w:szCs w:val="22"/>
        </w:rPr>
      </w:pPr>
    </w:p>
    <w:p w14:paraId="040127E3" w14:textId="1BA09F4B" w:rsidR="00C0333B" w:rsidRPr="00E24762" w:rsidRDefault="00C0333B" w:rsidP="00E27943">
      <w:pPr>
        <w:rPr>
          <w:rFonts w:ascii="Times New Roman" w:hAnsi="Times New Roman"/>
          <w:b/>
          <w:sz w:val="22"/>
          <w:szCs w:val="22"/>
        </w:rPr>
      </w:pPr>
      <w:r>
        <w:rPr>
          <w:rFonts w:ascii="Times New Roman" w:hAnsi="Times New Roman"/>
          <w:b/>
          <w:sz w:val="22"/>
          <w:szCs w:val="22"/>
        </w:rPr>
        <w:t xml:space="preserve">Section 6 – Repeals </w:t>
      </w:r>
    </w:p>
    <w:p w14:paraId="462A2D67" w14:textId="392D53EC" w:rsidR="00C0333B" w:rsidRDefault="00C0333B" w:rsidP="00E27943">
      <w:pPr>
        <w:rPr>
          <w:rFonts w:ascii="Times New Roman" w:hAnsi="Times New Roman"/>
          <w:bCs/>
          <w:sz w:val="22"/>
          <w:szCs w:val="22"/>
        </w:rPr>
      </w:pPr>
    </w:p>
    <w:p w14:paraId="08257EC3" w14:textId="26DEF0BF" w:rsidR="00C0333B" w:rsidRPr="00522196" w:rsidRDefault="00C0333B" w:rsidP="00E27943">
      <w:pPr>
        <w:rPr>
          <w:rFonts w:ascii="Times New Roman" w:hAnsi="Times New Roman"/>
          <w:bCs/>
          <w:sz w:val="22"/>
          <w:szCs w:val="22"/>
        </w:rPr>
      </w:pPr>
      <w:r>
        <w:rPr>
          <w:rFonts w:ascii="Times New Roman" w:hAnsi="Times New Roman"/>
          <w:bCs/>
          <w:sz w:val="22"/>
          <w:szCs w:val="22"/>
        </w:rPr>
        <w:t xml:space="preserve">This section provides that </w:t>
      </w:r>
      <w:r w:rsidR="00522196">
        <w:rPr>
          <w:rFonts w:ascii="Times New Roman" w:hAnsi="Times New Roman"/>
          <w:bCs/>
          <w:sz w:val="22"/>
          <w:szCs w:val="22"/>
        </w:rPr>
        <w:t>each</w:t>
      </w:r>
      <w:r>
        <w:rPr>
          <w:rFonts w:ascii="Times New Roman" w:hAnsi="Times New Roman"/>
          <w:bCs/>
          <w:sz w:val="22"/>
          <w:szCs w:val="22"/>
        </w:rPr>
        <w:t xml:space="preserve"> instrument set out in Schedule 2</w:t>
      </w:r>
      <w:r w:rsidR="00522196">
        <w:rPr>
          <w:rFonts w:ascii="Times New Roman" w:hAnsi="Times New Roman"/>
          <w:bCs/>
          <w:sz w:val="22"/>
          <w:szCs w:val="22"/>
        </w:rPr>
        <w:t xml:space="preserve">, being the </w:t>
      </w:r>
      <w:r w:rsidR="00522196">
        <w:rPr>
          <w:rFonts w:ascii="Times New Roman" w:hAnsi="Times New Roman"/>
          <w:bCs/>
          <w:i/>
          <w:iCs/>
          <w:sz w:val="22"/>
          <w:szCs w:val="22"/>
        </w:rPr>
        <w:t xml:space="preserve">Therapeutic Goods (Reportable Medicines) Determination 2018, </w:t>
      </w:r>
      <w:r w:rsidR="00522196">
        <w:rPr>
          <w:rFonts w:ascii="Times New Roman" w:hAnsi="Times New Roman"/>
          <w:bCs/>
          <w:sz w:val="22"/>
          <w:szCs w:val="22"/>
        </w:rPr>
        <w:t>is repealed as set out in that Schedule.</w:t>
      </w:r>
    </w:p>
    <w:p w14:paraId="00435802" w14:textId="77777777" w:rsidR="00C0333B" w:rsidRDefault="00C0333B" w:rsidP="00E27943">
      <w:pPr>
        <w:rPr>
          <w:rFonts w:ascii="Times New Roman" w:hAnsi="Times New Roman"/>
          <w:bCs/>
          <w:sz w:val="22"/>
          <w:szCs w:val="22"/>
        </w:rPr>
      </w:pPr>
    </w:p>
    <w:p w14:paraId="03203165" w14:textId="24DEE385" w:rsidR="00E27943" w:rsidRPr="00CF219B" w:rsidRDefault="00E27943" w:rsidP="00E27943">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 xml:space="preserve">1 – </w:t>
      </w:r>
      <w:r w:rsidR="00522196">
        <w:rPr>
          <w:rFonts w:ascii="Times New Roman" w:hAnsi="Times New Roman"/>
          <w:b/>
          <w:bCs/>
          <w:sz w:val="22"/>
          <w:szCs w:val="22"/>
        </w:rPr>
        <w:t>Reportable Medicines</w:t>
      </w:r>
    </w:p>
    <w:p w14:paraId="05139FB9" w14:textId="77777777" w:rsidR="00E27943" w:rsidRPr="00CF219B" w:rsidRDefault="00E27943" w:rsidP="00E27943">
      <w:pPr>
        <w:keepNext/>
        <w:rPr>
          <w:rFonts w:ascii="Times New Roman" w:hAnsi="Times New Roman"/>
          <w:b/>
          <w:bCs/>
          <w:sz w:val="22"/>
          <w:szCs w:val="22"/>
        </w:rPr>
      </w:pPr>
    </w:p>
    <w:p w14:paraId="51447A98" w14:textId="1CD10587" w:rsidR="00522196" w:rsidRDefault="00E27943" w:rsidP="00E24762">
      <w:pPr>
        <w:rPr>
          <w:rFonts w:ascii="Times New Roman" w:hAnsi="Times New Roman"/>
          <w:sz w:val="22"/>
          <w:szCs w:val="22"/>
        </w:rPr>
      </w:pPr>
      <w:r>
        <w:rPr>
          <w:sz w:val="22"/>
          <w:szCs w:val="22"/>
        </w:rPr>
        <w:t xml:space="preserve">This Schedule </w:t>
      </w:r>
      <w:r w:rsidR="003556E4">
        <w:rPr>
          <w:rFonts w:ascii="Times New Roman" w:hAnsi="Times New Roman"/>
          <w:sz w:val="22"/>
          <w:szCs w:val="22"/>
        </w:rPr>
        <w:t>lists the</w:t>
      </w:r>
      <w:r w:rsidR="00522196">
        <w:rPr>
          <w:rFonts w:ascii="Times New Roman" w:hAnsi="Times New Roman"/>
          <w:sz w:val="22"/>
          <w:szCs w:val="22"/>
        </w:rPr>
        <w:t xml:space="preserve"> following </w:t>
      </w:r>
      <w:r w:rsidR="003556E4">
        <w:rPr>
          <w:rFonts w:ascii="Times New Roman" w:hAnsi="Times New Roman"/>
          <w:sz w:val="22"/>
          <w:szCs w:val="22"/>
        </w:rPr>
        <w:t>reportable medicines for the purposes of section 5 of the</w:t>
      </w:r>
      <w:r w:rsidR="00522196">
        <w:rPr>
          <w:rFonts w:ascii="Times New Roman" w:hAnsi="Times New Roman"/>
          <w:sz w:val="22"/>
          <w:szCs w:val="22"/>
        </w:rPr>
        <w:t> </w:t>
      </w:r>
      <w:r w:rsidR="003556E4">
        <w:rPr>
          <w:rFonts w:ascii="Times New Roman" w:hAnsi="Times New Roman"/>
          <w:sz w:val="22"/>
          <w:szCs w:val="22"/>
        </w:rPr>
        <w:t>Determination</w:t>
      </w:r>
      <w:r w:rsidR="00522196">
        <w:rPr>
          <w:rFonts w:ascii="Times New Roman" w:hAnsi="Times New Roman"/>
          <w:sz w:val="22"/>
          <w:szCs w:val="22"/>
        </w:rPr>
        <w:t>:</w:t>
      </w:r>
    </w:p>
    <w:p w14:paraId="0981EEBA" w14:textId="77777777" w:rsidR="00C0333B" w:rsidRDefault="00C0333B" w:rsidP="00E27943">
      <w:pPr>
        <w:keepNext/>
        <w:contextualSpacing/>
        <w:rPr>
          <w:rFonts w:ascii="Times New Roman" w:hAnsi="Times New Roman"/>
          <w:sz w:val="22"/>
          <w:szCs w:val="22"/>
        </w:rPr>
      </w:pPr>
    </w:p>
    <w:p w14:paraId="35DFB8AD" w14:textId="04E00700" w:rsidR="00CE5E96" w:rsidRPr="00522196" w:rsidRDefault="00CE5E96" w:rsidP="00CE5E96">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 xml:space="preserve">medicines that contain </w:t>
      </w:r>
      <w:r>
        <w:rPr>
          <w:rFonts w:ascii="Times New Roman" w:hAnsi="Times New Roman"/>
          <w:sz w:val="22"/>
          <w:szCs w:val="22"/>
        </w:rPr>
        <w:t xml:space="preserve">one of </w:t>
      </w:r>
      <w:r w:rsidRPr="00522196">
        <w:rPr>
          <w:rFonts w:ascii="Times New Roman" w:hAnsi="Times New Roman"/>
          <w:sz w:val="22"/>
          <w:szCs w:val="22"/>
        </w:rPr>
        <w:t xml:space="preserve">cyproheptadine, </w:t>
      </w:r>
      <w:r>
        <w:rPr>
          <w:rFonts w:ascii="Times New Roman" w:hAnsi="Times New Roman"/>
          <w:sz w:val="22"/>
          <w:szCs w:val="22"/>
        </w:rPr>
        <w:t xml:space="preserve">levonorgestrel, </w:t>
      </w:r>
      <w:r w:rsidRPr="00522196">
        <w:rPr>
          <w:rFonts w:ascii="Times New Roman" w:hAnsi="Times New Roman"/>
          <w:sz w:val="22"/>
          <w:szCs w:val="22"/>
        </w:rPr>
        <w:t>pancreatic extract, theophylline</w:t>
      </w:r>
      <w:r>
        <w:rPr>
          <w:rFonts w:ascii="Times New Roman" w:hAnsi="Times New Roman"/>
          <w:sz w:val="22"/>
          <w:szCs w:val="22"/>
        </w:rPr>
        <w:t xml:space="preserve"> or ulipristal</w:t>
      </w:r>
      <w:r w:rsidR="00DC3B6F">
        <w:rPr>
          <w:rFonts w:ascii="Times New Roman" w:hAnsi="Times New Roman"/>
          <w:sz w:val="22"/>
          <w:szCs w:val="22"/>
        </w:rPr>
        <w:t>;</w:t>
      </w:r>
    </w:p>
    <w:p w14:paraId="48FDF14A" w14:textId="711C8771" w:rsidR="00CE5E96" w:rsidRDefault="00CE5E96" w:rsidP="00CE5E96">
      <w:pPr>
        <w:pStyle w:val="ListParagraph"/>
        <w:numPr>
          <w:ilvl w:val="0"/>
          <w:numId w:val="5"/>
        </w:numPr>
        <w:ind w:hanging="357"/>
        <w:rPr>
          <w:rFonts w:ascii="Times New Roman" w:hAnsi="Times New Roman"/>
          <w:sz w:val="22"/>
          <w:szCs w:val="22"/>
        </w:rPr>
      </w:pPr>
      <w:r>
        <w:rPr>
          <w:rFonts w:ascii="Times New Roman" w:hAnsi="Times New Roman"/>
          <w:sz w:val="22"/>
          <w:szCs w:val="22"/>
        </w:rPr>
        <w:t>medicines that contain one of the following</w:t>
      </w:r>
      <w:r w:rsidR="000D47E7">
        <w:rPr>
          <w:rFonts w:ascii="Times New Roman" w:hAnsi="Times New Roman"/>
          <w:sz w:val="22"/>
          <w:szCs w:val="22"/>
        </w:rPr>
        <w:t xml:space="preserve"> substances,</w:t>
      </w:r>
      <w:r>
        <w:rPr>
          <w:rFonts w:ascii="Times New Roman" w:hAnsi="Times New Roman"/>
          <w:sz w:val="22"/>
          <w:szCs w:val="22"/>
        </w:rPr>
        <w:t xml:space="preserve"> </w:t>
      </w:r>
      <w:r w:rsidR="000D47E7">
        <w:rPr>
          <w:rFonts w:ascii="Times New Roman" w:hAnsi="Times New Roman"/>
          <w:sz w:val="22"/>
          <w:szCs w:val="22"/>
        </w:rPr>
        <w:t xml:space="preserve">subject to </w:t>
      </w:r>
      <w:r w:rsidR="00C739C5">
        <w:rPr>
          <w:rFonts w:ascii="Times New Roman" w:hAnsi="Times New Roman"/>
          <w:sz w:val="22"/>
          <w:szCs w:val="22"/>
        </w:rPr>
        <w:t xml:space="preserve">particular </w:t>
      </w:r>
      <w:r w:rsidR="000D47E7">
        <w:rPr>
          <w:rFonts w:ascii="Times New Roman" w:hAnsi="Times New Roman"/>
          <w:sz w:val="22"/>
          <w:szCs w:val="22"/>
        </w:rPr>
        <w:t xml:space="preserve">specifications as to dosage form, route of administration, </w:t>
      </w:r>
      <w:r w:rsidR="00C739C5">
        <w:rPr>
          <w:rFonts w:ascii="Times New Roman" w:hAnsi="Times New Roman"/>
          <w:sz w:val="22"/>
          <w:szCs w:val="22"/>
        </w:rPr>
        <w:t>or ingredients</w:t>
      </w:r>
      <w:r w:rsidR="000D47E7">
        <w:rPr>
          <w:rFonts w:ascii="Times New Roman" w:hAnsi="Times New Roman"/>
          <w:sz w:val="22"/>
          <w:szCs w:val="22"/>
        </w:rPr>
        <w:t xml:space="preserve"> </w:t>
      </w:r>
      <w:r>
        <w:rPr>
          <w:rFonts w:ascii="Times New Roman" w:hAnsi="Times New Roman"/>
          <w:sz w:val="22"/>
          <w:szCs w:val="22"/>
        </w:rPr>
        <w:t>:</w:t>
      </w:r>
    </w:p>
    <w:p w14:paraId="18E9BDF8"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 xml:space="preserve">barium </w:t>
      </w:r>
      <w:proofErr w:type="spellStart"/>
      <w:r>
        <w:rPr>
          <w:rFonts w:ascii="Times New Roman" w:hAnsi="Times New Roman"/>
          <w:sz w:val="22"/>
          <w:szCs w:val="22"/>
        </w:rPr>
        <w:t>sulfate</w:t>
      </w:r>
      <w:proofErr w:type="spellEnd"/>
      <w:r>
        <w:rPr>
          <w:rFonts w:ascii="Times New Roman" w:hAnsi="Times New Roman"/>
          <w:sz w:val="22"/>
          <w:szCs w:val="22"/>
        </w:rPr>
        <w:t>;</w:t>
      </w:r>
    </w:p>
    <w:p w14:paraId="5A2994A8"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calcium gluconate;</w:t>
      </w:r>
    </w:p>
    <w:p w14:paraId="0838C867"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folinic acid;</w:t>
      </w:r>
    </w:p>
    <w:p w14:paraId="056CC2F5"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glucagon;</w:t>
      </w:r>
    </w:p>
    <w:p w14:paraId="387FD293"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glyceryl trinitrate;</w:t>
      </w:r>
    </w:p>
    <w:p w14:paraId="1ABE1344"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hydroxocobalamin;</w:t>
      </w:r>
    </w:p>
    <w:p w14:paraId="08F5E495"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isosorbide dinitrate;</w:t>
      </w:r>
    </w:p>
    <w:p w14:paraId="5C4EE98A" w14:textId="37DB9A09"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 xml:space="preserve">magnesium </w:t>
      </w:r>
      <w:proofErr w:type="spellStart"/>
      <w:r>
        <w:rPr>
          <w:rFonts w:ascii="Times New Roman" w:hAnsi="Times New Roman"/>
          <w:sz w:val="22"/>
          <w:szCs w:val="22"/>
        </w:rPr>
        <w:t>sulfate</w:t>
      </w:r>
      <w:proofErr w:type="spellEnd"/>
      <w:r>
        <w:rPr>
          <w:rFonts w:ascii="Times New Roman" w:hAnsi="Times New Roman"/>
          <w:sz w:val="22"/>
          <w:szCs w:val="22"/>
        </w:rPr>
        <w:t>;</w:t>
      </w:r>
    </w:p>
    <w:p w14:paraId="5A6242ED"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mannitol;</w:t>
      </w:r>
    </w:p>
    <w:p w14:paraId="06AE583D"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monobasic sodium phosphate;</w:t>
      </w:r>
    </w:p>
    <w:p w14:paraId="697BE357" w14:textId="77777777" w:rsidR="00CE5E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naloxone;</w:t>
      </w:r>
    </w:p>
    <w:p w14:paraId="7449B419" w14:textId="77777777" w:rsidR="00CE5E96" w:rsidRPr="005506C9" w:rsidRDefault="00CE5E96" w:rsidP="005506C9">
      <w:pPr>
        <w:pStyle w:val="ListParagraph"/>
        <w:numPr>
          <w:ilvl w:val="1"/>
          <w:numId w:val="5"/>
        </w:numPr>
        <w:ind w:hanging="357"/>
        <w:rPr>
          <w:rFonts w:ascii="Times New Roman" w:hAnsi="Times New Roman"/>
          <w:sz w:val="22"/>
          <w:szCs w:val="22"/>
        </w:rPr>
      </w:pPr>
      <w:r w:rsidRPr="005506C9">
        <w:rPr>
          <w:rFonts w:ascii="Times New Roman" w:hAnsi="Times New Roman"/>
          <w:sz w:val="22"/>
          <w:szCs w:val="22"/>
        </w:rPr>
        <w:t>salbutamol;</w:t>
      </w:r>
    </w:p>
    <w:p w14:paraId="4A8F071C" w14:textId="77777777" w:rsidR="00CE5E96" w:rsidRPr="00522196" w:rsidRDefault="00CE5E96" w:rsidP="00CE5E96">
      <w:pPr>
        <w:pStyle w:val="ListParagraph"/>
        <w:numPr>
          <w:ilvl w:val="1"/>
          <w:numId w:val="5"/>
        </w:numPr>
        <w:ind w:hanging="357"/>
        <w:rPr>
          <w:rFonts w:ascii="Times New Roman" w:hAnsi="Times New Roman"/>
          <w:sz w:val="22"/>
          <w:szCs w:val="22"/>
        </w:rPr>
      </w:pPr>
      <w:r>
        <w:rPr>
          <w:rFonts w:ascii="Times New Roman" w:hAnsi="Times New Roman"/>
          <w:sz w:val="22"/>
          <w:szCs w:val="22"/>
        </w:rPr>
        <w:t>terbutaline;</w:t>
      </w:r>
    </w:p>
    <w:p w14:paraId="16637A05" w14:textId="77777777" w:rsidR="00CE5E96" w:rsidRDefault="00CE5E96" w:rsidP="00CE5E96">
      <w:pPr>
        <w:pStyle w:val="ListParagraph"/>
        <w:numPr>
          <w:ilvl w:val="0"/>
          <w:numId w:val="5"/>
        </w:numPr>
        <w:ind w:hanging="357"/>
        <w:rPr>
          <w:rFonts w:ascii="Times New Roman" w:hAnsi="Times New Roman"/>
          <w:sz w:val="22"/>
          <w:szCs w:val="22"/>
        </w:rPr>
      </w:pPr>
      <w:r>
        <w:rPr>
          <w:rFonts w:ascii="Times New Roman" w:hAnsi="Times New Roman"/>
          <w:sz w:val="22"/>
          <w:szCs w:val="22"/>
        </w:rPr>
        <w:t>medicines for the treatment of anaphylaxis or management of cardiac arrest, that contain adrenaline (epinephrine) as the only active ingredient;</w:t>
      </w:r>
    </w:p>
    <w:p w14:paraId="33C5F382" w14:textId="38401306" w:rsidR="00CE5E96" w:rsidRPr="00522196" w:rsidRDefault="00CE5E96" w:rsidP="00CE5E96">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medicines that are</w:t>
      </w:r>
      <w:r>
        <w:rPr>
          <w:rFonts w:ascii="Times New Roman" w:hAnsi="Times New Roman"/>
          <w:sz w:val="22"/>
          <w:szCs w:val="22"/>
        </w:rPr>
        <w:t xml:space="preserve"> in the dosage form of an</w:t>
      </w:r>
      <w:r w:rsidRPr="00522196">
        <w:rPr>
          <w:rFonts w:ascii="Times New Roman" w:hAnsi="Times New Roman"/>
          <w:sz w:val="22"/>
          <w:szCs w:val="22"/>
        </w:rPr>
        <w:t xml:space="preserve"> injection that contain </w:t>
      </w:r>
      <w:r>
        <w:rPr>
          <w:rFonts w:ascii="Times New Roman" w:hAnsi="Times New Roman"/>
          <w:sz w:val="22"/>
          <w:szCs w:val="22"/>
        </w:rPr>
        <w:t>either</w:t>
      </w:r>
      <w:r w:rsidR="005506C9">
        <w:rPr>
          <w:rFonts w:ascii="Times New Roman" w:hAnsi="Times New Roman"/>
          <w:sz w:val="22"/>
          <w:szCs w:val="22"/>
        </w:rPr>
        <w:t xml:space="preserve"> </w:t>
      </w:r>
      <w:proofErr w:type="spellStart"/>
      <w:r w:rsidR="005506C9">
        <w:rPr>
          <w:rFonts w:ascii="Times New Roman" w:hAnsi="Times New Roman"/>
          <w:sz w:val="22"/>
          <w:szCs w:val="22"/>
        </w:rPr>
        <w:t>phytomenadione</w:t>
      </w:r>
      <w:proofErr w:type="spellEnd"/>
      <w:r w:rsidR="005506C9">
        <w:rPr>
          <w:rFonts w:ascii="Times New Roman" w:hAnsi="Times New Roman"/>
          <w:sz w:val="22"/>
          <w:szCs w:val="22"/>
        </w:rPr>
        <w:t>,</w:t>
      </w:r>
      <w:r>
        <w:rPr>
          <w:rFonts w:ascii="Times New Roman" w:hAnsi="Times New Roman"/>
          <w:sz w:val="22"/>
          <w:szCs w:val="22"/>
        </w:rPr>
        <w:t xml:space="preserve"> </w:t>
      </w:r>
      <w:r w:rsidRPr="00522196">
        <w:rPr>
          <w:rFonts w:ascii="Times New Roman" w:hAnsi="Times New Roman"/>
          <w:sz w:val="22"/>
          <w:szCs w:val="22"/>
        </w:rPr>
        <w:t>sodium bicarbonate or thiamine as the only active ingredient;</w:t>
      </w:r>
    </w:p>
    <w:p w14:paraId="72EB3655" w14:textId="5FEE63E0" w:rsidR="00A069FD" w:rsidRPr="00522196" w:rsidRDefault="00A069FD" w:rsidP="00A069FD">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 xml:space="preserve">medicines for intravenous phosphate supplementation that </w:t>
      </w:r>
      <w:r>
        <w:rPr>
          <w:rFonts w:ascii="Times New Roman" w:hAnsi="Times New Roman"/>
          <w:sz w:val="22"/>
          <w:szCs w:val="22"/>
        </w:rPr>
        <w:t xml:space="preserve">are in the dosage form of an injection or an infusion, and that </w:t>
      </w:r>
      <w:r w:rsidRPr="00522196">
        <w:rPr>
          <w:rFonts w:ascii="Times New Roman" w:hAnsi="Times New Roman"/>
          <w:sz w:val="22"/>
          <w:szCs w:val="22"/>
        </w:rPr>
        <w:t xml:space="preserve">contain </w:t>
      </w:r>
      <w:r>
        <w:rPr>
          <w:rFonts w:ascii="Times New Roman" w:hAnsi="Times New Roman"/>
          <w:sz w:val="22"/>
          <w:szCs w:val="22"/>
        </w:rPr>
        <w:t xml:space="preserve">one of </w:t>
      </w:r>
      <w:r w:rsidRPr="00522196">
        <w:rPr>
          <w:rFonts w:ascii="Times New Roman" w:hAnsi="Times New Roman"/>
          <w:sz w:val="22"/>
          <w:szCs w:val="22"/>
        </w:rPr>
        <w:t>dibasic potassium phosphate, dibasic sodium phosphate</w:t>
      </w:r>
      <w:r>
        <w:rPr>
          <w:rFonts w:ascii="Times New Roman" w:hAnsi="Times New Roman"/>
          <w:sz w:val="22"/>
          <w:szCs w:val="22"/>
        </w:rPr>
        <w:t>,</w:t>
      </w:r>
      <w:r w:rsidRPr="00522196">
        <w:rPr>
          <w:rFonts w:ascii="Times New Roman" w:hAnsi="Times New Roman"/>
          <w:sz w:val="22"/>
          <w:szCs w:val="22"/>
        </w:rPr>
        <w:t xml:space="preserve"> monobasic potassium phosphate</w:t>
      </w:r>
      <w:r>
        <w:rPr>
          <w:rFonts w:ascii="Times New Roman" w:hAnsi="Times New Roman"/>
          <w:sz w:val="22"/>
          <w:szCs w:val="22"/>
        </w:rPr>
        <w:t xml:space="preserve"> or monobasic sodium phosphate</w:t>
      </w:r>
      <w:r w:rsidRPr="00522196">
        <w:rPr>
          <w:rFonts w:ascii="Times New Roman" w:hAnsi="Times New Roman"/>
          <w:sz w:val="22"/>
          <w:szCs w:val="22"/>
        </w:rPr>
        <w:t xml:space="preserve"> as an active ingredient;</w:t>
      </w:r>
    </w:p>
    <w:p w14:paraId="205D3A4B" w14:textId="06CEA52A" w:rsidR="00CE5E96" w:rsidRDefault="00A069FD" w:rsidP="00E24762">
      <w:pPr>
        <w:pStyle w:val="ListParagraph"/>
        <w:numPr>
          <w:ilvl w:val="0"/>
          <w:numId w:val="5"/>
        </w:numPr>
        <w:rPr>
          <w:rFonts w:ascii="Times New Roman" w:hAnsi="Times New Roman"/>
          <w:sz w:val="22"/>
          <w:szCs w:val="22"/>
        </w:rPr>
      </w:pPr>
      <w:r w:rsidRPr="00522196">
        <w:rPr>
          <w:rFonts w:ascii="Times New Roman" w:hAnsi="Times New Roman"/>
          <w:sz w:val="22"/>
          <w:szCs w:val="22"/>
        </w:rPr>
        <w:t>medicines that contain 0.9% sodium chloride as the only active ingredient</w:t>
      </w:r>
      <w:r>
        <w:rPr>
          <w:rFonts w:ascii="Times New Roman" w:hAnsi="Times New Roman"/>
          <w:sz w:val="22"/>
          <w:szCs w:val="22"/>
        </w:rPr>
        <w:t>, and are in the dosage form of an injection or an intravenous infusion</w:t>
      </w:r>
      <w:r w:rsidRPr="00522196">
        <w:rPr>
          <w:rFonts w:ascii="Times New Roman" w:hAnsi="Times New Roman"/>
          <w:sz w:val="22"/>
          <w:szCs w:val="22"/>
        </w:rPr>
        <w:t>;</w:t>
      </w:r>
    </w:p>
    <w:p w14:paraId="51FB4274" w14:textId="6589E123" w:rsidR="00A069FD" w:rsidRPr="00E24762" w:rsidRDefault="00A069FD" w:rsidP="00A069FD">
      <w:pPr>
        <w:pStyle w:val="ListParagraph"/>
        <w:numPr>
          <w:ilvl w:val="0"/>
          <w:numId w:val="5"/>
        </w:numPr>
        <w:rPr>
          <w:rFonts w:ascii="Times New Roman" w:hAnsi="Times New Roman"/>
          <w:sz w:val="22"/>
          <w:szCs w:val="22"/>
        </w:rPr>
      </w:pPr>
      <w:r w:rsidRPr="00E24762">
        <w:rPr>
          <w:rFonts w:ascii="Times New Roman" w:hAnsi="Times New Roman"/>
          <w:sz w:val="22"/>
          <w:szCs w:val="22"/>
        </w:rPr>
        <w:t xml:space="preserve">medicines for the treatment of poisonings that contain </w:t>
      </w:r>
      <w:r>
        <w:rPr>
          <w:rFonts w:ascii="Times New Roman" w:hAnsi="Times New Roman"/>
          <w:sz w:val="22"/>
          <w:szCs w:val="22"/>
        </w:rPr>
        <w:t xml:space="preserve"> </w:t>
      </w:r>
      <w:r w:rsidRPr="00E24762">
        <w:rPr>
          <w:rFonts w:ascii="Times New Roman" w:hAnsi="Times New Roman"/>
          <w:sz w:val="22"/>
          <w:szCs w:val="22"/>
        </w:rPr>
        <w:t>ethanol, sodium nitrite or sodium thiosulfate</w:t>
      </w:r>
      <w:r w:rsidR="00DC3B6F">
        <w:rPr>
          <w:rFonts w:ascii="Times New Roman" w:hAnsi="Times New Roman"/>
          <w:sz w:val="22"/>
          <w:szCs w:val="22"/>
        </w:rPr>
        <w:t xml:space="preserve"> as an active ingredient</w:t>
      </w:r>
      <w:r w:rsidRPr="00E24762">
        <w:rPr>
          <w:rFonts w:ascii="Times New Roman" w:hAnsi="Times New Roman"/>
          <w:sz w:val="22"/>
          <w:szCs w:val="22"/>
        </w:rPr>
        <w:t>;</w:t>
      </w:r>
    </w:p>
    <w:p w14:paraId="64D5740A" w14:textId="77777777" w:rsidR="00A069FD" w:rsidRPr="00522196" w:rsidRDefault="00A069FD" w:rsidP="00A069FD">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 xml:space="preserve">medicines for the treatment of poisonings </w:t>
      </w:r>
      <w:r>
        <w:rPr>
          <w:rFonts w:ascii="Times New Roman" w:hAnsi="Times New Roman"/>
          <w:sz w:val="22"/>
          <w:szCs w:val="22"/>
        </w:rPr>
        <w:t xml:space="preserve">or drug overdosage by oral ingestion </w:t>
      </w:r>
      <w:r w:rsidRPr="00522196">
        <w:rPr>
          <w:rFonts w:ascii="Times New Roman" w:hAnsi="Times New Roman"/>
          <w:sz w:val="22"/>
          <w:szCs w:val="22"/>
        </w:rPr>
        <w:t>that contain activated charcoal as an active ingredient;</w:t>
      </w:r>
    </w:p>
    <w:p w14:paraId="1CBEC9CB" w14:textId="758EF086" w:rsidR="00A069FD" w:rsidRPr="00522196" w:rsidRDefault="00A069FD" w:rsidP="00A069FD">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 xml:space="preserve">medicines for the treatment of scabies that contain </w:t>
      </w:r>
      <w:r>
        <w:rPr>
          <w:rFonts w:ascii="Times New Roman" w:hAnsi="Times New Roman"/>
          <w:sz w:val="22"/>
          <w:szCs w:val="22"/>
        </w:rPr>
        <w:t xml:space="preserve">either </w:t>
      </w:r>
      <w:r w:rsidRPr="00522196">
        <w:rPr>
          <w:rFonts w:ascii="Times New Roman" w:hAnsi="Times New Roman"/>
          <w:sz w:val="22"/>
          <w:szCs w:val="22"/>
        </w:rPr>
        <w:t xml:space="preserve">benzyl benzoate or permethrin as </w:t>
      </w:r>
      <w:r>
        <w:rPr>
          <w:rFonts w:ascii="Times New Roman" w:hAnsi="Times New Roman"/>
          <w:sz w:val="22"/>
          <w:szCs w:val="22"/>
        </w:rPr>
        <w:t>an</w:t>
      </w:r>
      <w:r w:rsidRPr="00522196">
        <w:rPr>
          <w:rFonts w:ascii="Times New Roman" w:hAnsi="Times New Roman"/>
          <w:sz w:val="22"/>
          <w:szCs w:val="22"/>
        </w:rPr>
        <w:t xml:space="preserve"> active ingredient;</w:t>
      </w:r>
      <w:r>
        <w:rPr>
          <w:rFonts w:ascii="Times New Roman" w:hAnsi="Times New Roman"/>
          <w:sz w:val="22"/>
          <w:szCs w:val="22"/>
        </w:rPr>
        <w:t xml:space="preserve"> and</w:t>
      </w:r>
    </w:p>
    <w:p w14:paraId="27E65112" w14:textId="70A65101" w:rsidR="00A069FD" w:rsidRPr="00522196" w:rsidRDefault="00A069FD" w:rsidP="00A069FD">
      <w:pPr>
        <w:pStyle w:val="ListParagraph"/>
        <w:numPr>
          <w:ilvl w:val="0"/>
          <w:numId w:val="5"/>
        </w:numPr>
        <w:ind w:hanging="357"/>
        <w:rPr>
          <w:rFonts w:ascii="Times New Roman" w:hAnsi="Times New Roman"/>
          <w:sz w:val="22"/>
          <w:szCs w:val="22"/>
        </w:rPr>
      </w:pPr>
      <w:r w:rsidRPr="00522196">
        <w:rPr>
          <w:rFonts w:ascii="Times New Roman" w:hAnsi="Times New Roman"/>
          <w:sz w:val="22"/>
          <w:szCs w:val="22"/>
        </w:rPr>
        <w:t>medicines for oral bicarbonate supplementation that contain sodium bicarbonate as an active ingredient</w:t>
      </w:r>
      <w:r>
        <w:rPr>
          <w:rFonts w:ascii="Times New Roman" w:hAnsi="Times New Roman"/>
          <w:sz w:val="22"/>
          <w:szCs w:val="22"/>
        </w:rPr>
        <w:t>.</w:t>
      </w:r>
    </w:p>
    <w:p w14:paraId="58996562" w14:textId="77777777" w:rsidR="00522196" w:rsidRDefault="00522196" w:rsidP="00522196">
      <w:pPr>
        <w:keepNext/>
        <w:rPr>
          <w:rFonts w:ascii="Times New Roman" w:hAnsi="Times New Roman"/>
          <w:sz w:val="22"/>
          <w:szCs w:val="22"/>
        </w:rPr>
      </w:pPr>
    </w:p>
    <w:p w14:paraId="293CF846" w14:textId="7F5C7FAD" w:rsidR="00522196" w:rsidRDefault="00522196" w:rsidP="00522196">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2 – Repeals</w:t>
      </w:r>
    </w:p>
    <w:p w14:paraId="467AC1D8" w14:textId="77777777" w:rsidR="00522196" w:rsidRDefault="00522196" w:rsidP="00522196">
      <w:pPr>
        <w:keepNext/>
        <w:rPr>
          <w:rFonts w:ascii="Times New Roman" w:hAnsi="Times New Roman"/>
          <w:b/>
          <w:bCs/>
          <w:sz w:val="22"/>
          <w:szCs w:val="22"/>
        </w:rPr>
      </w:pPr>
    </w:p>
    <w:p w14:paraId="02DABC00" w14:textId="1D7DD6B5" w:rsidR="00522196" w:rsidRPr="00E24762" w:rsidRDefault="00522196" w:rsidP="00522196">
      <w:pPr>
        <w:keepNext/>
        <w:rPr>
          <w:rFonts w:ascii="Times New Roman" w:hAnsi="Times New Roman"/>
          <w:sz w:val="22"/>
          <w:szCs w:val="22"/>
        </w:rPr>
      </w:pPr>
      <w:r>
        <w:rPr>
          <w:rFonts w:ascii="Times New Roman" w:hAnsi="Times New Roman"/>
          <w:sz w:val="22"/>
          <w:szCs w:val="22"/>
        </w:rPr>
        <w:t xml:space="preserve">This Schedule provides </w:t>
      </w:r>
      <w:r w:rsidR="00FB487B">
        <w:rPr>
          <w:rFonts w:ascii="Times New Roman" w:hAnsi="Times New Roman"/>
          <w:sz w:val="22"/>
          <w:szCs w:val="22"/>
        </w:rPr>
        <w:t xml:space="preserve">for the repeal of </w:t>
      </w:r>
      <w:r>
        <w:rPr>
          <w:rFonts w:ascii="Times New Roman" w:hAnsi="Times New Roman"/>
          <w:sz w:val="22"/>
          <w:szCs w:val="22"/>
        </w:rPr>
        <w:t xml:space="preserve">the whole of the </w:t>
      </w:r>
      <w:r>
        <w:rPr>
          <w:rFonts w:ascii="Times New Roman" w:hAnsi="Times New Roman"/>
          <w:i/>
          <w:iCs/>
          <w:sz w:val="22"/>
          <w:szCs w:val="22"/>
        </w:rPr>
        <w:t xml:space="preserve">Therapeutic Goods (Reportable Medicines) </w:t>
      </w:r>
      <w:r w:rsidRPr="00FB487B">
        <w:rPr>
          <w:rFonts w:ascii="Times New Roman" w:hAnsi="Times New Roman"/>
          <w:i/>
          <w:iCs/>
          <w:sz w:val="22"/>
          <w:szCs w:val="22"/>
        </w:rPr>
        <w:t>Determination</w:t>
      </w:r>
      <w:r w:rsidRPr="00E24762">
        <w:rPr>
          <w:rFonts w:ascii="Times New Roman" w:hAnsi="Times New Roman"/>
          <w:i/>
          <w:iCs/>
          <w:sz w:val="22"/>
          <w:szCs w:val="22"/>
        </w:rPr>
        <w:t> </w:t>
      </w:r>
      <w:r w:rsidRPr="00FB487B">
        <w:rPr>
          <w:rFonts w:ascii="Times New Roman" w:hAnsi="Times New Roman"/>
          <w:i/>
          <w:iCs/>
          <w:sz w:val="22"/>
          <w:szCs w:val="22"/>
        </w:rPr>
        <w:t>2018</w:t>
      </w:r>
      <w:r>
        <w:rPr>
          <w:rFonts w:ascii="Times New Roman" w:hAnsi="Times New Roman"/>
          <w:sz w:val="22"/>
          <w:szCs w:val="22"/>
        </w:rPr>
        <w:t>.</w:t>
      </w:r>
    </w:p>
    <w:p w14:paraId="4895A8B9" w14:textId="77777777" w:rsidR="00522196" w:rsidRPr="00E24762" w:rsidRDefault="00522196" w:rsidP="00E24762">
      <w:pPr>
        <w:keepNext/>
        <w:rPr>
          <w:rFonts w:ascii="Times New Roman" w:hAnsi="Times New Roman"/>
          <w:sz w:val="22"/>
          <w:szCs w:val="22"/>
        </w:rPr>
      </w:pPr>
    </w:p>
    <w:p w14:paraId="6506F897" w14:textId="77777777" w:rsidR="00E27943" w:rsidRDefault="00E27943">
      <w:pPr>
        <w:spacing w:after="160" w:line="259" w:lineRule="auto"/>
        <w:rPr>
          <w:rFonts w:ascii="Times New Roman" w:hAnsi="Times New Roman"/>
          <w:sz w:val="22"/>
          <w:szCs w:val="22"/>
        </w:rPr>
      </w:pPr>
      <w:r>
        <w:rPr>
          <w:rFonts w:ascii="Times New Roman" w:hAnsi="Times New Roman"/>
          <w:sz w:val="22"/>
          <w:szCs w:val="22"/>
        </w:rPr>
        <w:br w:type="page"/>
      </w:r>
    </w:p>
    <w:p w14:paraId="3DD0CC6F" w14:textId="70411DEB" w:rsidR="003556E4" w:rsidRPr="00CF219B" w:rsidRDefault="003556E4" w:rsidP="003556E4">
      <w:pPr>
        <w:jc w:val="right"/>
        <w:rPr>
          <w:rFonts w:ascii="Times New Roman" w:hAnsi="Times New Roman"/>
          <w:b/>
          <w:bCs/>
          <w:sz w:val="22"/>
          <w:szCs w:val="22"/>
        </w:rPr>
      </w:pPr>
      <w:r w:rsidRPr="00CF219B">
        <w:rPr>
          <w:rFonts w:ascii="Times New Roman" w:hAnsi="Times New Roman"/>
          <w:b/>
          <w:bCs/>
          <w:sz w:val="22"/>
          <w:szCs w:val="22"/>
        </w:rPr>
        <w:t xml:space="preserve">Attachment </w:t>
      </w:r>
      <w:r>
        <w:rPr>
          <w:rFonts w:ascii="Times New Roman" w:hAnsi="Times New Roman"/>
          <w:b/>
          <w:bCs/>
          <w:sz w:val="22"/>
          <w:szCs w:val="22"/>
        </w:rPr>
        <w:t>B</w:t>
      </w:r>
    </w:p>
    <w:p w14:paraId="577BB682" w14:textId="4B958074" w:rsidR="00E27943" w:rsidRPr="00855E30" w:rsidRDefault="00E27943" w:rsidP="00E27943">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40158A85" w14:textId="77777777" w:rsidR="00E27943" w:rsidRPr="00855E30" w:rsidRDefault="00E27943" w:rsidP="00E27943">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156FDC5F" w14:textId="77777777" w:rsidR="00E27943" w:rsidRPr="00855E30" w:rsidRDefault="00E27943" w:rsidP="00E27943">
      <w:pPr>
        <w:spacing w:before="60"/>
        <w:jc w:val="center"/>
        <w:rPr>
          <w:rFonts w:ascii="Times New Roman" w:hAnsi="Times New Roman"/>
          <w:b/>
          <w:i/>
          <w:sz w:val="22"/>
          <w:szCs w:val="22"/>
        </w:rPr>
      </w:pPr>
    </w:p>
    <w:p w14:paraId="7F65E9FF" w14:textId="3F9BAF23" w:rsidR="00E27943" w:rsidRPr="00D52BA5" w:rsidRDefault="00FA04C5" w:rsidP="00E27943">
      <w:pPr>
        <w:jc w:val="center"/>
        <w:rPr>
          <w:b/>
          <w:bCs/>
          <w:i/>
          <w:sz w:val="22"/>
          <w:szCs w:val="22"/>
        </w:rPr>
      </w:pPr>
      <w:r w:rsidRPr="00FA04C5">
        <w:rPr>
          <w:b/>
          <w:bCs/>
          <w:i/>
          <w:sz w:val="22"/>
          <w:szCs w:val="22"/>
        </w:rPr>
        <w:t>Therapeutic Goods (Reportable Medicines) Determination 2025</w:t>
      </w:r>
    </w:p>
    <w:p w14:paraId="03CED267" w14:textId="77777777" w:rsidR="00E27943" w:rsidRDefault="00E27943" w:rsidP="00E27943">
      <w:pPr>
        <w:rPr>
          <w:rFonts w:ascii="Times New Roman" w:hAnsi="Times New Roman"/>
          <w:sz w:val="22"/>
          <w:szCs w:val="22"/>
        </w:rPr>
      </w:pPr>
    </w:p>
    <w:p w14:paraId="306A6926" w14:textId="263F5E53" w:rsidR="00E27943" w:rsidRPr="00CF219B" w:rsidRDefault="00E27943" w:rsidP="00E27943">
      <w:pPr>
        <w:rPr>
          <w:rFonts w:ascii="Times New Roman" w:hAnsi="Times New Roman"/>
          <w:sz w:val="22"/>
          <w:szCs w:val="22"/>
        </w:rPr>
      </w:pPr>
      <w:r w:rsidRPr="00CF219B">
        <w:rPr>
          <w:rFonts w:ascii="Times New Roman" w:hAnsi="Times New Roman"/>
          <w:sz w:val="22"/>
          <w:szCs w:val="22"/>
        </w:rPr>
        <w:t>This disal</w:t>
      </w:r>
      <w:r w:rsidR="00F549B0">
        <w:rPr>
          <w:rFonts w:ascii="Times New Roman" w:hAnsi="Times New Roman"/>
          <w:sz w:val="22"/>
          <w:szCs w:val="22"/>
        </w:rPr>
        <w:t>lowable</w:t>
      </w:r>
      <w:r w:rsidRPr="00CF219B">
        <w:rPr>
          <w:rFonts w:ascii="Times New Roman" w:hAnsi="Times New Roman"/>
          <w:sz w:val="22"/>
          <w:szCs w:val="22"/>
        </w:rPr>
        <w:t xml:space="preserv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7D50A553" w14:textId="77777777" w:rsidR="00E27943" w:rsidRPr="00CF219B" w:rsidRDefault="00E27943" w:rsidP="00E27943">
      <w:pPr>
        <w:rPr>
          <w:rFonts w:ascii="Times New Roman" w:hAnsi="Times New Roman"/>
          <w:sz w:val="22"/>
          <w:szCs w:val="22"/>
        </w:rPr>
      </w:pPr>
    </w:p>
    <w:p w14:paraId="19E36F25" w14:textId="77777777" w:rsidR="00E27943" w:rsidRPr="00253825" w:rsidRDefault="00E27943" w:rsidP="00E27943">
      <w:pPr>
        <w:rPr>
          <w:rFonts w:ascii="Times New Roman" w:hAnsi="Times New Roman"/>
          <w:b/>
          <w:sz w:val="22"/>
          <w:szCs w:val="22"/>
        </w:rPr>
      </w:pPr>
      <w:r w:rsidRPr="00253825">
        <w:rPr>
          <w:rFonts w:ascii="Times New Roman" w:hAnsi="Times New Roman"/>
          <w:b/>
          <w:sz w:val="22"/>
          <w:szCs w:val="22"/>
        </w:rPr>
        <w:t>Overview of legislative instrument</w:t>
      </w:r>
    </w:p>
    <w:p w14:paraId="29E066DB" w14:textId="77777777" w:rsidR="00E27943" w:rsidRDefault="00E27943" w:rsidP="00E27943">
      <w:pPr>
        <w:keepNext/>
        <w:contextualSpacing/>
        <w:rPr>
          <w:rFonts w:ascii="Times New Roman" w:hAnsi="Times New Roman"/>
          <w:sz w:val="22"/>
          <w:szCs w:val="22"/>
        </w:rPr>
      </w:pPr>
    </w:p>
    <w:p w14:paraId="519927C6" w14:textId="7D397560" w:rsidR="005506C9" w:rsidRDefault="005506C9" w:rsidP="005506C9">
      <w:pPr>
        <w:autoSpaceDE w:val="0"/>
        <w:autoSpaceDN w:val="0"/>
        <w:adjustRightInd w:val="0"/>
        <w:rPr>
          <w:sz w:val="22"/>
          <w:szCs w:val="22"/>
        </w:rPr>
      </w:pPr>
      <w:r>
        <w:rPr>
          <w:sz w:val="22"/>
          <w:szCs w:val="22"/>
        </w:rPr>
        <w:t xml:space="preserve">The </w:t>
      </w:r>
      <w:r w:rsidR="00EF73EE">
        <w:rPr>
          <w:i/>
          <w:iCs/>
          <w:sz w:val="22"/>
          <w:szCs w:val="22"/>
        </w:rPr>
        <w:t xml:space="preserve">Therapeutic Goods Act 1989 </w:t>
      </w:r>
      <w:r w:rsidR="00EF73EE">
        <w:rPr>
          <w:sz w:val="22"/>
          <w:szCs w:val="22"/>
        </w:rPr>
        <w:t>(“the Act”)</w:t>
      </w:r>
      <w:r>
        <w:rPr>
          <w:sz w:val="22"/>
          <w:szCs w:val="22"/>
        </w:rPr>
        <w:t xml:space="preserve"> provides a framework for the mandatory reporting of shortages or discontinuations of certain medicines that are reportable medicines. Under section 30EH(1) of the Act, r</w:t>
      </w:r>
      <w:r>
        <w:rPr>
          <w:rFonts w:ascii="Times New Roman" w:hAnsi="Times New Roman"/>
          <w:sz w:val="22"/>
          <w:szCs w:val="22"/>
        </w:rPr>
        <w:t>eportable medicines are registered medicines that either contain one or more Schedule 4 (Prescription Only Medicine) or Schedule 8 (Controlled Drug) substances, or are determined in an instrument made under subsection 30EH(2) of the Act.</w:t>
      </w:r>
      <w:r>
        <w:rPr>
          <w:sz w:val="22"/>
          <w:szCs w:val="22"/>
        </w:rPr>
        <w:t xml:space="preserve"> </w:t>
      </w:r>
      <w:r w:rsidRPr="0012094D">
        <w:rPr>
          <w:sz w:val="22"/>
          <w:szCs w:val="22"/>
        </w:rPr>
        <w:t>Subsection 30EH(2) of the Act provides that the Minister may, by legislative instrument, determine medicine</w:t>
      </w:r>
      <w:r>
        <w:rPr>
          <w:sz w:val="22"/>
          <w:szCs w:val="22"/>
        </w:rPr>
        <w:t>s</w:t>
      </w:r>
      <w:r w:rsidRPr="0012094D">
        <w:rPr>
          <w:sz w:val="22"/>
          <w:szCs w:val="22"/>
        </w:rPr>
        <w:t xml:space="preserve"> for the purposes of subparagraph 30EH(1)(b)(ii)</w:t>
      </w:r>
      <w:r>
        <w:rPr>
          <w:sz w:val="22"/>
          <w:szCs w:val="22"/>
        </w:rPr>
        <w:t xml:space="preserve"> with the effect that such medicines are </w:t>
      </w:r>
      <w:r w:rsidRPr="0012094D">
        <w:rPr>
          <w:sz w:val="22"/>
          <w:szCs w:val="22"/>
        </w:rPr>
        <w:t>reportable medicine</w:t>
      </w:r>
      <w:r>
        <w:rPr>
          <w:sz w:val="22"/>
          <w:szCs w:val="22"/>
        </w:rPr>
        <w:t xml:space="preserve">s. </w:t>
      </w:r>
    </w:p>
    <w:p w14:paraId="7B97A90C" w14:textId="77777777" w:rsidR="005506C9" w:rsidRDefault="005506C9" w:rsidP="005506C9">
      <w:pPr>
        <w:autoSpaceDE w:val="0"/>
        <w:autoSpaceDN w:val="0"/>
        <w:adjustRightInd w:val="0"/>
        <w:rPr>
          <w:sz w:val="22"/>
          <w:szCs w:val="22"/>
        </w:rPr>
      </w:pPr>
    </w:p>
    <w:p w14:paraId="07AE65A0" w14:textId="77777777" w:rsidR="0019664D" w:rsidRDefault="0019664D" w:rsidP="0019664D">
      <w:pPr>
        <w:autoSpaceDE w:val="0"/>
        <w:autoSpaceDN w:val="0"/>
        <w:adjustRightInd w:val="0"/>
        <w:rPr>
          <w:sz w:val="22"/>
          <w:szCs w:val="22"/>
        </w:rPr>
      </w:pPr>
      <w:r>
        <w:rPr>
          <w:sz w:val="22"/>
          <w:szCs w:val="22"/>
        </w:rPr>
        <w:t xml:space="preserve">The </w:t>
      </w:r>
      <w:r w:rsidRPr="00414021">
        <w:rPr>
          <w:i/>
          <w:iCs/>
          <w:sz w:val="22"/>
          <w:szCs w:val="22"/>
        </w:rPr>
        <w:t>Therapeutic Goods (Reportable Medicines)</w:t>
      </w:r>
      <w:r>
        <w:rPr>
          <w:i/>
          <w:iCs/>
          <w:sz w:val="22"/>
          <w:szCs w:val="22"/>
        </w:rPr>
        <w:t xml:space="preserve"> Determination 2025 </w:t>
      </w:r>
      <w:r>
        <w:rPr>
          <w:sz w:val="22"/>
          <w:szCs w:val="22"/>
        </w:rPr>
        <w:t xml:space="preserve">(“the Determination”) </w:t>
      </w:r>
      <w:r w:rsidRPr="00414021">
        <w:rPr>
          <w:sz w:val="22"/>
          <w:szCs w:val="22"/>
        </w:rPr>
        <w:t>is</w:t>
      </w:r>
      <w:r>
        <w:rPr>
          <w:sz w:val="22"/>
          <w:szCs w:val="22"/>
        </w:rPr>
        <w:t xml:space="preserve"> </w:t>
      </w:r>
      <w:r w:rsidRPr="00414021">
        <w:rPr>
          <w:sz w:val="22"/>
          <w:szCs w:val="22"/>
        </w:rPr>
        <w:t>made under subsection</w:t>
      </w:r>
      <w:r>
        <w:rPr>
          <w:sz w:val="22"/>
          <w:szCs w:val="22"/>
        </w:rPr>
        <w:t> </w:t>
      </w:r>
      <w:r w:rsidRPr="00414021">
        <w:rPr>
          <w:sz w:val="22"/>
          <w:szCs w:val="22"/>
        </w:rPr>
        <w:t>30EH(2) of the</w:t>
      </w:r>
      <w:r>
        <w:rPr>
          <w:sz w:val="22"/>
          <w:szCs w:val="22"/>
        </w:rPr>
        <w:t> </w:t>
      </w:r>
      <w:r w:rsidRPr="00414021">
        <w:rPr>
          <w:sz w:val="22"/>
          <w:szCs w:val="22"/>
        </w:rPr>
        <w:t xml:space="preserve">Act. The purpose of the Determination is to </w:t>
      </w:r>
      <w:r>
        <w:rPr>
          <w:sz w:val="22"/>
          <w:szCs w:val="22"/>
        </w:rPr>
        <w:t>determine</w:t>
      </w:r>
      <w:r w:rsidRPr="00414021">
        <w:rPr>
          <w:sz w:val="22"/>
          <w:szCs w:val="22"/>
        </w:rPr>
        <w:t xml:space="preserve"> medicines that </w:t>
      </w:r>
      <w:r>
        <w:rPr>
          <w:sz w:val="22"/>
          <w:szCs w:val="22"/>
        </w:rPr>
        <w:t>are registered goods to be reportable medicines (</w:t>
      </w:r>
      <w:r w:rsidRPr="00414021">
        <w:rPr>
          <w:sz w:val="22"/>
          <w:szCs w:val="22"/>
        </w:rPr>
        <w:t>for the purposes of subparagraph</w:t>
      </w:r>
      <w:r>
        <w:rPr>
          <w:sz w:val="22"/>
          <w:szCs w:val="22"/>
        </w:rPr>
        <w:t> </w:t>
      </w:r>
      <w:r w:rsidRPr="00414021">
        <w:rPr>
          <w:sz w:val="22"/>
          <w:szCs w:val="22"/>
        </w:rPr>
        <w:t>30EH(1)(b)(ii) of the Act</w:t>
      </w:r>
      <w:r>
        <w:rPr>
          <w:sz w:val="22"/>
          <w:szCs w:val="22"/>
        </w:rPr>
        <w:t xml:space="preserve">). Such medicines </w:t>
      </w:r>
      <w:r w:rsidRPr="00414021">
        <w:rPr>
          <w:sz w:val="22"/>
          <w:szCs w:val="22"/>
        </w:rPr>
        <w:t>must comply with the mandatory reporting requirements relating to medicine shortages and discontinuations under sections</w:t>
      </w:r>
      <w:r>
        <w:rPr>
          <w:sz w:val="22"/>
          <w:szCs w:val="22"/>
        </w:rPr>
        <w:t> </w:t>
      </w:r>
      <w:r w:rsidRPr="00414021">
        <w:rPr>
          <w:sz w:val="22"/>
          <w:szCs w:val="22"/>
        </w:rPr>
        <w:t>30EF</w:t>
      </w:r>
      <w:r>
        <w:rPr>
          <w:sz w:val="22"/>
          <w:szCs w:val="22"/>
        </w:rPr>
        <w:t>, 30EFA</w:t>
      </w:r>
      <w:r w:rsidRPr="00414021">
        <w:rPr>
          <w:sz w:val="22"/>
          <w:szCs w:val="22"/>
        </w:rPr>
        <w:t xml:space="preserve"> and 30EG of the Act.</w:t>
      </w:r>
    </w:p>
    <w:p w14:paraId="487D4E8E" w14:textId="77777777" w:rsidR="0019664D" w:rsidRDefault="0019664D" w:rsidP="0019664D">
      <w:pPr>
        <w:autoSpaceDE w:val="0"/>
        <w:autoSpaceDN w:val="0"/>
        <w:adjustRightInd w:val="0"/>
        <w:rPr>
          <w:sz w:val="22"/>
          <w:szCs w:val="22"/>
        </w:rPr>
      </w:pPr>
    </w:p>
    <w:p w14:paraId="0A3B8B50" w14:textId="77777777" w:rsidR="0019664D" w:rsidRPr="00C94E2E" w:rsidRDefault="0019664D" w:rsidP="0019664D">
      <w:pPr>
        <w:autoSpaceDE w:val="0"/>
        <w:autoSpaceDN w:val="0"/>
        <w:adjustRightInd w:val="0"/>
        <w:rPr>
          <w:sz w:val="22"/>
          <w:szCs w:val="22"/>
        </w:rPr>
      </w:pPr>
      <w:r w:rsidRPr="00414021">
        <w:rPr>
          <w:sz w:val="22"/>
          <w:szCs w:val="22"/>
        </w:rPr>
        <w:t>The</w:t>
      </w:r>
      <w:r>
        <w:rPr>
          <w:sz w:val="22"/>
          <w:szCs w:val="22"/>
        </w:rPr>
        <w:t xml:space="preserve"> Determination repeals and replaces the </w:t>
      </w:r>
      <w:r w:rsidRPr="00414021">
        <w:rPr>
          <w:i/>
          <w:iCs/>
          <w:sz w:val="22"/>
          <w:szCs w:val="22"/>
        </w:rPr>
        <w:t xml:space="preserve">Therapeutic Goods (Reportable </w:t>
      </w:r>
      <w:r w:rsidRPr="00C94E2E">
        <w:rPr>
          <w:i/>
          <w:iCs/>
          <w:sz w:val="22"/>
          <w:szCs w:val="22"/>
        </w:rPr>
        <w:t>Medicines) Determination 20</w:t>
      </w:r>
      <w:r>
        <w:rPr>
          <w:i/>
          <w:iCs/>
          <w:sz w:val="22"/>
          <w:szCs w:val="22"/>
        </w:rPr>
        <w:t>18</w:t>
      </w:r>
      <w:r>
        <w:rPr>
          <w:sz w:val="22"/>
          <w:szCs w:val="22"/>
        </w:rPr>
        <w:t xml:space="preserve"> (“the former Determination”). The Determination includes the same medicines that were determined under the former Determination, and also determines a number of additional medicines to be reportable medicines.</w:t>
      </w:r>
    </w:p>
    <w:p w14:paraId="1BEA2F9D" w14:textId="77777777" w:rsidR="00817B51" w:rsidRPr="00E24762" w:rsidRDefault="00817B51" w:rsidP="00E27943">
      <w:pPr>
        <w:keepNext/>
        <w:contextualSpacing/>
        <w:rPr>
          <w:rFonts w:ascii="Times New Roman" w:hAnsi="Times New Roman"/>
          <w:sz w:val="22"/>
          <w:szCs w:val="22"/>
          <w:highlight w:val="yellow"/>
        </w:rPr>
      </w:pPr>
    </w:p>
    <w:p w14:paraId="1983151D" w14:textId="6FB6DE1E" w:rsidR="00E27943" w:rsidRPr="0064311B" w:rsidRDefault="00E27943" w:rsidP="00E27943">
      <w:pPr>
        <w:autoSpaceDE w:val="0"/>
        <w:autoSpaceDN w:val="0"/>
        <w:adjustRightInd w:val="0"/>
        <w:rPr>
          <w:rFonts w:ascii="Times New Roman" w:hAnsi="Times New Roman"/>
          <w:i/>
          <w:iCs/>
          <w:sz w:val="22"/>
          <w:szCs w:val="22"/>
        </w:rPr>
      </w:pPr>
      <w:r w:rsidRPr="0064311B">
        <w:rPr>
          <w:rFonts w:ascii="Times New Roman" w:hAnsi="Times New Roman"/>
          <w:i/>
          <w:iCs/>
          <w:sz w:val="22"/>
          <w:szCs w:val="22"/>
        </w:rPr>
        <w:t>Background</w:t>
      </w:r>
    </w:p>
    <w:p w14:paraId="629535A4" w14:textId="77777777" w:rsidR="00EF420E" w:rsidRPr="00E24762" w:rsidRDefault="00EF420E" w:rsidP="00E27943">
      <w:pPr>
        <w:autoSpaceDE w:val="0"/>
        <w:autoSpaceDN w:val="0"/>
        <w:adjustRightInd w:val="0"/>
        <w:rPr>
          <w:rFonts w:ascii="Times New Roman" w:hAnsi="Times New Roman"/>
          <w:b/>
          <w:bCs/>
          <w:sz w:val="22"/>
          <w:szCs w:val="22"/>
          <w:highlight w:val="yellow"/>
        </w:rPr>
      </w:pPr>
    </w:p>
    <w:p w14:paraId="432A3E0C" w14:textId="07AE4BB4"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 xml:space="preserve">Medicine shortages can occur for various reasons, </w:t>
      </w:r>
      <w:r>
        <w:rPr>
          <w:color w:val="000000"/>
          <w:sz w:val="22"/>
          <w:szCs w:val="22"/>
        </w:rPr>
        <w:t>ranging from shortages of raw materials to national disasters, logistical difficulties, or unexpected increases in demand</w:t>
      </w:r>
      <w:r>
        <w:rPr>
          <w:rFonts w:ascii="Times New Roman" w:hAnsi="Times New Roman"/>
          <w:sz w:val="22"/>
          <w:szCs w:val="22"/>
        </w:rPr>
        <w:t xml:space="preserve">. Unfortunately, some are unavoidable and can cause significant impact. If there are no alternative medicines available (such as generic versions of a medicine), patients may be unable to obtain the medicine they need or are prescribed. </w:t>
      </w:r>
      <w:r>
        <w:rPr>
          <w:color w:val="000000"/>
          <w:sz w:val="22"/>
          <w:szCs w:val="22"/>
        </w:rPr>
        <w:t>This impedes timely availability of medicines and risks interruption to treatment, which can impact patient health and cause anxiety and stress for patients.</w:t>
      </w:r>
    </w:p>
    <w:p w14:paraId="469B381D" w14:textId="77777777" w:rsidR="0019664D" w:rsidRDefault="0019664D" w:rsidP="0019664D">
      <w:pPr>
        <w:autoSpaceDE w:val="0"/>
        <w:autoSpaceDN w:val="0"/>
        <w:adjustRightInd w:val="0"/>
        <w:rPr>
          <w:rFonts w:ascii="Times New Roman" w:hAnsi="Times New Roman"/>
          <w:sz w:val="22"/>
          <w:szCs w:val="22"/>
        </w:rPr>
      </w:pPr>
    </w:p>
    <w:p w14:paraId="4BC47DA3" w14:textId="5C7F8FBF"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In 2019, a mandatory medicine shortages and discontinuations reporting scheme (“mandatory reporting scheme”) commenced, which replaced an early voluntary notification scheme. The mandatory reporting scheme involved the mandatory reporting of all shortages and discontinuations of certain medicines, the publication of information about those shortages or discontinuations, and greater transparency regarding the mitigation actions that could be taken by the TGA. Through the mandatory reporting scheme, the TGA receives and publishes reports of shortages and discontinuations of prescription and certain over-the-counter medicines. The TGA works closely with sponsors and other stakeholders to respond to shortages and limit their impacts.</w:t>
      </w:r>
    </w:p>
    <w:p w14:paraId="4C14AC88" w14:textId="77777777" w:rsidR="0019664D" w:rsidRDefault="0019664D" w:rsidP="0019664D">
      <w:pPr>
        <w:autoSpaceDE w:val="0"/>
        <w:autoSpaceDN w:val="0"/>
        <w:adjustRightInd w:val="0"/>
        <w:rPr>
          <w:rFonts w:ascii="Times New Roman" w:hAnsi="Times New Roman"/>
          <w:sz w:val="22"/>
          <w:szCs w:val="22"/>
        </w:rPr>
      </w:pPr>
    </w:p>
    <w:p w14:paraId="502BC0D6" w14:textId="77777777"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 xml:space="preserve">Section 30EF of the Act requires notification to the Secretary of any shortage of a reportable medicine, section 30EFA requires notification to the Secretary of a change to the period of a shortage or resolution of a shortage, and section 30EG requires notification to the Secretary of a decision to discontinue the supply of a reportable medicine in Australia. </w:t>
      </w:r>
    </w:p>
    <w:p w14:paraId="3991AD01" w14:textId="77777777" w:rsidR="0019664D" w:rsidRDefault="0019664D" w:rsidP="0019664D">
      <w:pPr>
        <w:autoSpaceDE w:val="0"/>
        <w:autoSpaceDN w:val="0"/>
        <w:adjustRightInd w:val="0"/>
        <w:rPr>
          <w:rFonts w:ascii="Times New Roman" w:hAnsi="Times New Roman"/>
          <w:sz w:val="22"/>
          <w:szCs w:val="22"/>
        </w:rPr>
      </w:pPr>
    </w:p>
    <w:p w14:paraId="24A6E258" w14:textId="77777777"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 xml:space="preserve">These requirements apply to </w:t>
      </w:r>
      <w:r w:rsidRPr="00E24762">
        <w:rPr>
          <w:rFonts w:ascii="Times New Roman" w:hAnsi="Times New Roman"/>
          <w:i/>
          <w:iCs/>
          <w:sz w:val="22"/>
          <w:szCs w:val="22"/>
        </w:rPr>
        <w:t>reportable medicines</w:t>
      </w:r>
      <w:r>
        <w:rPr>
          <w:rFonts w:ascii="Times New Roman" w:hAnsi="Times New Roman"/>
          <w:sz w:val="22"/>
          <w:szCs w:val="22"/>
        </w:rPr>
        <w:t>, which is defined in section 30EH of the Act. Reportable medicines are registered goods (i.e., goods registered in the Australian Register of Therapeutic Goods (“the Register”)) that are a medicine that either:</w:t>
      </w:r>
    </w:p>
    <w:p w14:paraId="314621C9" w14:textId="77777777" w:rsidR="0019664D" w:rsidRDefault="0019664D" w:rsidP="0019664D">
      <w:pPr>
        <w:pStyle w:val="ListParagraph"/>
        <w:numPr>
          <w:ilvl w:val="0"/>
          <w:numId w:val="10"/>
        </w:numPr>
        <w:autoSpaceDE w:val="0"/>
        <w:autoSpaceDN w:val="0"/>
        <w:adjustRightInd w:val="0"/>
        <w:rPr>
          <w:rFonts w:ascii="Times New Roman" w:hAnsi="Times New Roman"/>
          <w:sz w:val="22"/>
          <w:szCs w:val="22"/>
        </w:rPr>
      </w:pPr>
      <w:r>
        <w:rPr>
          <w:rFonts w:ascii="Times New Roman" w:hAnsi="Times New Roman"/>
          <w:sz w:val="22"/>
          <w:szCs w:val="22"/>
        </w:rPr>
        <w:t>contains a substance included in Schedule 4 or 8 to the current Poisons Standard; or</w:t>
      </w:r>
    </w:p>
    <w:p w14:paraId="6A8AF15C" w14:textId="77777777" w:rsidR="0019664D" w:rsidRPr="009D127F" w:rsidRDefault="0019664D" w:rsidP="0019664D">
      <w:pPr>
        <w:pStyle w:val="ListParagraph"/>
        <w:numPr>
          <w:ilvl w:val="0"/>
          <w:numId w:val="10"/>
        </w:numPr>
        <w:autoSpaceDE w:val="0"/>
        <w:autoSpaceDN w:val="0"/>
        <w:adjustRightInd w:val="0"/>
        <w:rPr>
          <w:rFonts w:ascii="Times New Roman" w:hAnsi="Times New Roman"/>
          <w:sz w:val="22"/>
          <w:szCs w:val="22"/>
        </w:rPr>
      </w:pPr>
      <w:r>
        <w:rPr>
          <w:rFonts w:ascii="Times New Roman" w:hAnsi="Times New Roman"/>
          <w:sz w:val="22"/>
          <w:szCs w:val="22"/>
        </w:rPr>
        <w:t>is determined in an instrument under section 30EH(2).</w:t>
      </w:r>
    </w:p>
    <w:p w14:paraId="6F5A525A" w14:textId="77777777" w:rsidR="0019664D" w:rsidRDefault="0019664D" w:rsidP="0019664D">
      <w:pPr>
        <w:autoSpaceDE w:val="0"/>
        <w:autoSpaceDN w:val="0"/>
        <w:adjustRightInd w:val="0"/>
        <w:rPr>
          <w:rFonts w:ascii="Times New Roman" w:hAnsi="Times New Roman"/>
          <w:sz w:val="22"/>
          <w:szCs w:val="22"/>
        </w:rPr>
      </w:pPr>
    </w:p>
    <w:p w14:paraId="7716312A" w14:textId="77777777"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The Determination is made under subsection 30EH(2) for the purpose of determining medicines that are reportable medicines.</w:t>
      </w:r>
    </w:p>
    <w:p w14:paraId="29691CCF" w14:textId="77777777" w:rsidR="0019664D" w:rsidRDefault="0019664D" w:rsidP="0019664D">
      <w:pPr>
        <w:autoSpaceDE w:val="0"/>
        <w:autoSpaceDN w:val="0"/>
        <w:adjustRightInd w:val="0"/>
        <w:rPr>
          <w:rFonts w:ascii="Times New Roman" w:hAnsi="Times New Roman"/>
          <w:sz w:val="22"/>
          <w:szCs w:val="22"/>
        </w:rPr>
      </w:pPr>
    </w:p>
    <w:p w14:paraId="4082F11D" w14:textId="24BA75AB" w:rsidR="0019664D" w:rsidRDefault="0019664D" w:rsidP="0019664D">
      <w:pPr>
        <w:autoSpaceDE w:val="0"/>
        <w:autoSpaceDN w:val="0"/>
        <w:adjustRightInd w:val="0"/>
        <w:rPr>
          <w:rFonts w:ascii="Times New Roman" w:hAnsi="Times New Roman"/>
          <w:sz w:val="22"/>
          <w:szCs w:val="22"/>
        </w:rPr>
      </w:pPr>
      <w:r w:rsidRPr="0012310E">
        <w:rPr>
          <w:rFonts w:ascii="Times New Roman" w:hAnsi="Times New Roman"/>
          <w:sz w:val="22"/>
          <w:szCs w:val="22"/>
        </w:rPr>
        <w:t>The effect of the inclusion of a medicine in the Determination is that the requirements of the mandatory reporting scheme principally set out in sections</w:t>
      </w:r>
      <w:r>
        <w:rPr>
          <w:rFonts w:ascii="Times New Roman" w:hAnsi="Times New Roman"/>
          <w:sz w:val="22"/>
          <w:szCs w:val="22"/>
        </w:rPr>
        <w:t> </w:t>
      </w:r>
      <w:r w:rsidRPr="0012310E">
        <w:rPr>
          <w:rFonts w:ascii="Times New Roman" w:hAnsi="Times New Roman"/>
          <w:sz w:val="22"/>
          <w:szCs w:val="22"/>
        </w:rPr>
        <w:t>30EF</w:t>
      </w:r>
      <w:r>
        <w:rPr>
          <w:rFonts w:ascii="Times New Roman" w:hAnsi="Times New Roman"/>
          <w:sz w:val="22"/>
          <w:szCs w:val="22"/>
        </w:rPr>
        <w:t>, 30EFA</w:t>
      </w:r>
      <w:r w:rsidRPr="0012310E">
        <w:rPr>
          <w:rFonts w:ascii="Times New Roman" w:hAnsi="Times New Roman"/>
          <w:sz w:val="22"/>
          <w:szCs w:val="22"/>
        </w:rPr>
        <w:t xml:space="preserve"> and 30EG of the Act will apply to </w:t>
      </w:r>
      <w:r>
        <w:rPr>
          <w:rFonts w:ascii="Times New Roman" w:hAnsi="Times New Roman"/>
          <w:sz w:val="22"/>
          <w:szCs w:val="22"/>
        </w:rPr>
        <w:t>the person in relation to whom the goods are included in the Register. Medicines included in the Determination</w:t>
      </w:r>
      <w:r w:rsidRPr="0012310E">
        <w:rPr>
          <w:rFonts w:ascii="Times New Roman" w:hAnsi="Times New Roman"/>
          <w:sz w:val="22"/>
          <w:szCs w:val="22"/>
        </w:rPr>
        <w:t xml:space="preserve"> are particularly important for the health of patients who need to take </w:t>
      </w:r>
      <w:r>
        <w:rPr>
          <w:rFonts w:ascii="Times New Roman" w:hAnsi="Times New Roman"/>
          <w:sz w:val="22"/>
          <w:szCs w:val="22"/>
        </w:rPr>
        <w:t>the medicines</w:t>
      </w:r>
      <w:r w:rsidRPr="0012310E">
        <w:rPr>
          <w:rFonts w:ascii="Times New Roman" w:hAnsi="Times New Roman"/>
          <w:sz w:val="22"/>
          <w:szCs w:val="22"/>
        </w:rPr>
        <w:t xml:space="preserve">, and are </w:t>
      </w:r>
      <w:r>
        <w:rPr>
          <w:rFonts w:ascii="Times New Roman" w:hAnsi="Times New Roman"/>
          <w:sz w:val="22"/>
          <w:szCs w:val="22"/>
        </w:rPr>
        <w:t xml:space="preserve">therefore </w:t>
      </w:r>
      <w:r w:rsidRPr="0012310E">
        <w:rPr>
          <w:rFonts w:ascii="Times New Roman" w:hAnsi="Times New Roman"/>
          <w:sz w:val="22"/>
          <w:szCs w:val="22"/>
        </w:rPr>
        <w:t xml:space="preserve">medicines for which it would be in the interests of public health for </w:t>
      </w:r>
      <w:r>
        <w:rPr>
          <w:rFonts w:ascii="Times New Roman" w:hAnsi="Times New Roman"/>
          <w:sz w:val="22"/>
          <w:szCs w:val="22"/>
        </w:rPr>
        <w:t>the</w:t>
      </w:r>
      <w:r w:rsidRPr="0012310E">
        <w:rPr>
          <w:rFonts w:ascii="Times New Roman" w:hAnsi="Times New Roman"/>
          <w:sz w:val="22"/>
          <w:szCs w:val="22"/>
        </w:rPr>
        <w:t xml:space="preserve"> mandatory reporting </w:t>
      </w:r>
      <w:r>
        <w:rPr>
          <w:rFonts w:ascii="Times New Roman" w:hAnsi="Times New Roman"/>
          <w:sz w:val="22"/>
          <w:szCs w:val="22"/>
        </w:rPr>
        <w:t xml:space="preserve">requirements to apply. The reporting of such shortages and discontinuations supports timely action by the TGA, as well as other stakeholders, to address the shortage or discontinuation and attempt to minimise the detrimental impact a shortage or discontinuation may have on patients in Australia. </w:t>
      </w:r>
    </w:p>
    <w:p w14:paraId="7A68BD0C" w14:textId="77777777" w:rsidR="0019664D" w:rsidRDefault="0019664D" w:rsidP="0019664D">
      <w:pPr>
        <w:autoSpaceDE w:val="0"/>
        <w:autoSpaceDN w:val="0"/>
        <w:adjustRightInd w:val="0"/>
        <w:rPr>
          <w:rFonts w:ascii="Times New Roman" w:hAnsi="Times New Roman"/>
          <w:sz w:val="22"/>
          <w:szCs w:val="22"/>
        </w:rPr>
      </w:pPr>
    </w:p>
    <w:p w14:paraId="1F297B8F" w14:textId="77777777" w:rsidR="0019664D" w:rsidRPr="000D5A8B"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The TGA continues to rely on voluntary reporting of shortages by sponsors of medicines that are not reportable medicines. However, the voluntary approach has not been effective in all situations. Shortages of medicines that are not reportable medicines that have impacted the Australian community include, for example, certain non-prescription medicines listed on the Pharmaceutical Benefits Scheme (“PBS”) (e.g. permethrin cream, which is a topical scabies treatment).</w:t>
      </w:r>
    </w:p>
    <w:p w14:paraId="79D6F494" w14:textId="77777777" w:rsidR="00E76174" w:rsidRPr="00E24762" w:rsidRDefault="00E76174" w:rsidP="00E76174">
      <w:pPr>
        <w:autoSpaceDE w:val="0"/>
        <w:autoSpaceDN w:val="0"/>
        <w:adjustRightInd w:val="0"/>
        <w:rPr>
          <w:rFonts w:ascii="Times New Roman" w:hAnsi="Times New Roman"/>
          <w:sz w:val="22"/>
          <w:szCs w:val="22"/>
        </w:rPr>
      </w:pPr>
    </w:p>
    <w:p w14:paraId="4F94AB14" w14:textId="0ED76F56" w:rsidR="00E27943" w:rsidRPr="00E24762" w:rsidRDefault="00E27943" w:rsidP="00E76174">
      <w:pPr>
        <w:autoSpaceDE w:val="0"/>
        <w:autoSpaceDN w:val="0"/>
        <w:adjustRightInd w:val="0"/>
        <w:rPr>
          <w:i/>
          <w:iCs/>
          <w:sz w:val="22"/>
          <w:szCs w:val="22"/>
        </w:rPr>
      </w:pPr>
      <w:r w:rsidRPr="00E24762">
        <w:rPr>
          <w:i/>
          <w:iCs/>
          <w:sz w:val="22"/>
          <w:szCs w:val="22"/>
        </w:rPr>
        <w:t>Purpose</w:t>
      </w:r>
    </w:p>
    <w:p w14:paraId="1574049F" w14:textId="77777777" w:rsidR="00E27943" w:rsidRPr="00E24762" w:rsidRDefault="00E27943" w:rsidP="00E27943">
      <w:pPr>
        <w:autoSpaceDE w:val="0"/>
        <w:autoSpaceDN w:val="0"/>
        <w:adjustRightInd w:val="0"/>
        <w:rPr>
          <w:b/>
          <w:bCs/>
          <w:sz w:val="22"/>
          <w:szCs w:val="22"/>
        </w:rPr>
      </w:pPr>
    </w:p>
    <w:p w14:paraId="3F568D13" w14:textId="760876A2" w:rsidR="0019664D" w:rsidRDefault="0019664D" w:rsidP="0019664D">
      <w:pPr>
        <w:keepNext/>
        <w:autoSpaceDE w:val="0"/>
        <w:autoSpaceDN w:val="0"/>
        <w:adjustRightInd w:val="0"/>
        <w:rPr>
          <w:sz w:val="22"/>
          <w:szCs w:val="22"/>
        </w:rPr>
      </w:pPr>
      <w:r>
        <w:rPr>
          <w:sz w:val="22"/>
          <w:szCs w:val="22"/>
        </w:rPr>
        <w:t xml:space="preserve">The purpose of the Determination is to determine medicines, with the effect that those medicines are reportable medicines and will be subject to the mandatory reporting scheme. </w:t>
      </w:r>
    </w:p>
    <w:p w14:paraId="766EDD5A" w14:textId="77777777" w:rsidR="0019664D" w:rsidRDefault="0019664D" w:rsidP="0019664D">
      <w:pPr>
        <w:keepNext/>
        <w:autoSpaceDE w:val="0"/>
        <w:autoSpaceDN w:val="0"/>
        <w:adjustRightInd w:val="0"/>
        <w:rPr>
          <w:sz w:val="22"/>
          <w:szCs w:val="22"/>
        </w:rPr>
      </w:pPr>
    </w:p>
    <w:p w14:paraId="162EC287" w14:textId="77777777" w:rsidR="0019664D" w:rsidRDefault="0019664D" w:rsidP="0019664D">
      <w:pPr>
        <w:keepNext/>
        <w:autoSpaceDE w:val="0"/>
        <w:autoSpaceDN w:val="0"/>
        <w:adjustRightInd w:val="0"/>
        <w:rPr>
          <w:sz w:val="22"/>
          <w:szCs w:val="22"/>
        </w:rPr>
      </w:pPr>
      <w:r>
        <w:rPr>
          <w:sz w:val="22"/>
          <w:szCs w:val="22"/>
        </w:rPr>
        <w:t xml:space="preserve">Section 5 of the Determination provides that the medicines set out in Schedule 1 to the Determination are determined to be reportable medicines for </w:t>
      </w:r>
      <w:r w:rsidRPr="00467A8C">
        <w:rPr>
          <w:sz w:val="22"/>
          <w:szCs w:val="22"/>
        </w:rPr>
        <w:t>the purposes of subparagraph</w:t>
      </w:r>
      <w:r>
        <w:rPr>
          <w:sz w:val="22"/>
          <w:szCs w:val="22"/>
        </w:rPr>
        <w:t> </w:t>
      </w:r>
      <w:r w:rsidRPr="00467A8C">
        <w:rPr>
          <w:sz w:val="22"/>
          <w:szCs w:val="22"/>
        </w:rPr>
        <w:t>30EH(1)(b)(ii) of the Act.</w:t>
      </w:r>
    </w:p>
    <w:p w14:paraId="1AE98033" w14:textId="77777777" w:rsidR="0019664D" w:rsidRDefault="0019664D" w:rsidP="0019664D">
      <w:pPr>
        <w:autoSpaceDE w:val="0"/>
        <w:autoSpaceDN w:val="0"/>
        <w:adjustRightInd w:val="0"/>
        <w:rPr>
          <w:sz w:val="22"/>
          <w:szCs w:val="22"/>
        </w:rPr>
      </w:pPr>
    </w:p>
    <w:p w14:paraId="0AE7DF20" w14:textId="3DBC2248"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The former Determination prescribed a number of non-prescription, registered medicines, which were considered critical to the health of patients in Australia, as reportable medicines. The Determination continues to provide that those medicines included in the former Determination are reportable medicines.</w:t>
      </w:r>
    </w:p>
    <w:p w14:paraId="7C6783BF" w14:textId="77777777" w:rsidR="0019664D" w:rsidRDefault="0019664D" w:rsidP="0019664D">
      <w:pPr>
        <w:autoSpaceDE w:val="0"/>
        <w:autoSpaceDN w:val="0"/>
        <w:adjustRightInd w:val="0"/>
        <w:rPr>
          <w:rFonts w:ascii="Times New Roman" w:hAnsi="Times New Roman"/>
          <w:sz w:val="22"/>
          <w:szCs w:val="22"/>
        </w:rPr>
      </w:pPr>
    </w:p>
    <w:p w14:paraId="2A362E46" w14:textId="757C00B1" w:rsidR="0019664D" w:rsidRDefault="0019664D" w:rsidP="0019664D">
      <w:pPr>
        <w:autoSpaceDE w:val="0"/>
        <w:autoSpaceDN w:val="0"/>
        <w:adjustRightInd w:val="0"/>
        <w:rPr>
          <w:sz w:val="22"/>
          <w:szCs w:val="22"/>
        </w:rPr>
      </w:pPr>
      <w:r>
        <w:rPr>
          <w:rFonts w:ascii="Times New Roman" w:hAnsi="Times New Roman"/>
          <w:sz w:val="22"/>
          <w:szCs w:val="22"/>
        </w:rPr>
        <w:t xml:space="preserve">The Determination also determines additional medicines as reportable medicines. These are also medicines that are critical for the health of patients who need them and there would be a high risk to patient care if a shortage or discontinuation was to occur. </w:t>
      </w:r>
      <w:r w:rsidRPr="00E12421">
        <w:rPr>
          <w:sz w:val="22"/>
          <w:szCs w:val="22"/>
        </w:rPr>
        <w:t>The</w:t>
      </w:r>
      <w:r>
        <w:rPr>
          <w:sz w:val="22"/>
          <w:szCs w:val="22"/>
        </w:rPr>
        <w:t>se</w:t>
      </w:r>
      <w:r w:rsidRPr="00E12421">
        <w:rPr>
          <w:sz w:val="22"/>
          <w:szCs w:val="22"/>
        </w:rPr>
        <w:t xml:space="preserve"> medicines were identified from the TGA’s analysis of PBS medicines, the Medicines Watch List, previous shortages, and approvals of overseas alternative medicines where the registered medicines were unavailable or in short supply</w:t>
      </w:r>
      <w:r>
        <w:rPr>
          <w:sz w:val="22"/>
          <w:szCs w:val="22"/>
        </w:rPr>
        <w:t xml:space="preserve"> in Australia</w:t>
      </w:r>
      <w:r w:rsidRPr="00E12421">
        <w:rPr>
          <w:sz w:val="22"/>
          <w:szCs w:val="22"/>
        </w:rPr>
        <w:t>.</w:t>
      </w:r>
    </w:p>
    <w:p w14:paraId="7B99FEE1" w14:textId="77777777" w:rsidR="0019664D" w:rsidRDefault="0019664D" w:rsidP="0019664D">
      <w:pPr>
        <w:autoSpaceDE w:val="0"/>
        <w:autoSpaceDN w:val="0"/>
        <w:adjustRightInd w:val="0"/>
        <w:rPr>
          <w:sz w:val="22"/>
          <w:szCs w:val="22"/>
        </w:rPr>
      </w:pPr>
    </w:p>
    <w:p w14:paraId="5DD3FA91" w14:textId="77777777" w:rsidR="0019664D" w:rsidRDefault="0019664D" w:rsidP="0019664D">
      <w:pPr>
        <w:autoSpaceDE w:val="0"/>
        <w:autoSpaceDN w:val="0"/>
        <w:adjustRightInd w:val="0"/>
        <w:rPr>
          <w:sz w:val="22"/>
          <w:szCs w:val="22"/>
        </w:rPr>
      </w:pPr>
      <w:r>
        <w:rPr>
          <w:sz w:val="22"/>
          <w:szCs w:val="22"/>
        </w:rPr>
        <w:t>The new medicines specified in the Determination include, for example:</w:t>
      </w:r>
    </w:p>
    <w:p w14:paraId="28407E32" w14:textId="77777777" w:rsidR="0019664D" w:rsidRPr="00522196" w:rsidRDefault="0019664D" w:rsidP="0019664D">
      <w:pPr>
        <w:pStyle w:val="ListParagraph"/>
        <w:numPr>
          <w:ilvl w:val="0"/>
          <w:numId w:val="9"/>
        </w:numPr>
        <w:rPr>
          <w:rFonts w:ascii="Times New Roman" w:hAnsi="Times New Roman"/>
          <w:sz w:val="22"/>
          <w:szCs w:val="22"/>
        </w:rPr>
      </w:pPr>
      <w:r w:rsidRPr="00522196">
        <w:rPr>
          <w:rFonts w:ascii="Times New Roman" w:hAnsi="Times New Roman"/>
          <w:sz w:val="22"/>
          <w:szCs w:val="22"/>
        </w:rPr>
        <w:t xml:space="preserve">medicines that contain </w:t>
      </w:r>
      <w:r>
        <w:rPr>
          <w:rFonts w:ascii="Times New Roman" w:hAnsi="Times New Roman"/>
          <w:sz w:val="22"/>
          <w:szCs w:val="22"/>
        </w:rPr>
        <w:t xml:space="preserve">one of </w:t>
      </w:r>
      <w:r w:rsidRPr="00522196">
        <w:rPr>
          <w:rFonts w:ascii="Times New Roman" w:hAnsi="Times New Roman"/>
          <w:sz w:val="22"/>
          <w:szCs w:val="22"/>
        </w:rPr>
        <w:t>cyproheptadine, pancreatic extract</w:t>
      </w:r>
      <w:r>
        <w:rPr>
          <w:rFonts w:ascii="Times New Roman" w:hAnsi="Times New Roman"/>
          <w:sz w:val="22"/>
          <w:szCs w:val="22"/>
        </w:rPr>
        <w:t xml:space="preserve"> or</w:t>
      </w:r>
      <w:r w:rsidRPr="00522196">
        <w:rPr>
          <w:rFonts w:ascii="Times New Roman" w:hAnsi="Times New Roman"/>
          <w:sz w:val="22"/>
          <w:szCs w:val="22"/>
        </w:rPr>
        <w:t xml:space="preserve"> theophylline</w:t>
      </w:r>
      <w:r>
        <w:rPr>
          <w:rFonts w:ascii="Times New Roman" w:hAnsi="Times New Roman"/>
          <w:sz w:val="22"/>
          <w:szCs w:val="22"/>
        </w:rPr>
        <w:t>;</w:t>
      </w:r>
    </w:p>
    <w:p w14:paraId="4D35FEC2" w14:textId="77777777" w:rsidR="0019664D" w:rsidRPr="00522196" w:rsidRDefault="0019664D" w:rsidP="0019664D">
      <w:pPr>
        <w:pStyle w:val="ListParagraph"/>
        <w:numPr>
          <w:ilvl w:val="0"/>
          <w:numId w:val="9"/>
        </w:numPr>
        <w:rPr>
          <w:rFonts w:ascii="Times New Roman" w:hAnsi="Times New Roman"/>
          <w:sz w:val="22"/>
          <w:szCs w:val="22"/>
        </w:rPr>
      </w:pPr>
      <w:r w:rsidRPr="00522196">
        <w:rPr>
          <w:rFonts w:ascii="Times New Roman" w:hAnsi="Times New Roman"/>
          <w:sz w:val="22"/>
          <w:szCs w:val="22"/>
        </w:rPr>
        <w:t>medicines that are</w:t>
      </w:r>
      <w:r>
        <w:rPr>
          <w:rFonts w:ascii="Times New Roman" w:hAnsi="Times New Roman"/>
          <w:sz w:val="22"/>
          <w:szCs w:val="22"/>
        </w:rPr>
        <w:t xml:space="preserve"> in the dosage form of an</w:t>
      </w:r>
      <w:r w:rsidRPr="00522196">
        <w:rPr>
          <w:rFonts w:ascii="Times New Roman" w:hAnsi="Times New Roman"/>
          <w:sz w:val="22"/>
          <w:szCs w:val="22"/>
        </w:rPr>
        <w:t xml:space="preserve"> injection that contain </w:t>
      </w:r>
      <w:r>
        <w:rPr>
          <w:rFonts w:ascii="Times New Roman" w:hAnsi="Times New Roman"/>
          <w:sz w:val="22"/>
          <w:szCs w:val="22"/>
        </w:rPr>
        <w:t xml:space="preserve">either </w:t>
      </w:r>
      <w:proofErr w:type="spellStart"/>
      <w:r>
        <w:rPr>
          <w:rFonts w:ascii="Times New Roman" w:hAnsi="Times New Roman"/>
          <w:sz w:val="22"/>
          <w:szCs w:val="22"/>
        </w:rPr>
        <w:t>phytomenadione</w:t>
      </w:r>
      <w:proofErr w:type="spellEnd"/>
      <w:r>
        <w:rPr>
          <w:rFonts w:ascii="Times New Roman" w:hAnsi="Times New Roman"/>
          <w:sz w:val="22"/>
          <w:szCs w:val="22"/>
        </w:rPr>
        <w:t xml:space="preserve">, </w:t>
      </w:r>
      <w:r w:rsidRPr="00522196">
        <w:rPr>
          <w:rFonts w:ascii="Times New Roman" w:hAnsi="Times New Roman"/>
          <w:sz w:val="22"/>
          <w:szCs w:val="22"/>
        </w:rPr>
        <w:t>sodium bicarbonate or thiamine as the only active ingredient;</w:t>
      </w:r>
    </w:p>
    <w:p w14:paraId="2B7B33F7" w14:textId="77777777" w:rsidR="0019664D" w:rsidRPr="00522196" w:rsidRDefault="0019664D" w:rsidP="0019664D">
      <w:pPr>
        <w:pStyle w:val="ListParagraph"/>
        <w:numPr>
          <w:ilvl w:val="0"/>
          <w:numId w:val="9"/>
        </w:numPr>
        <w:rPr>
          <w:rFonts w:ascii="Times New Roman" w:hAnsi="Times New Roman"/>
          <w:sz w:val="22"/>
          <w:szCs w:val="22"/>
        </w:rPr>
      </w:pPr>
      <w:r w:rsidRPr="00522196">
        <w:rPr>
          <w:rFonts w:ascii="Times New Roman" w:hAnsi="Times New Roman"/>
          <w:sz w:val="22"/>
          <w:szCs w:val="22"/>
        </w:rPr>
        <w:t xml:space="preserve">medicines for intravenous phosphate supplementation that </w:t>
      </w:r>
      <w:r>
        <w:rPr>
          <w:rFonts w:ascii="Times New Roman" w:hAnsi="Times New Roman"/>
          <w:sz w:val="22"/>
          <w:szCs w:val="22"/>
        </w:rPr>
        <w:t xml:space="preserve">are in the dosage form of an injection or an infusion, and that </w:t>
      </w:r>
      <w:r w:rsidRPr="00522196">
        <w:rPr>
          <w:rFonts w:ascii="Times New Roman" w:hAnsi="Times New Roman"/>
          <w:sz w:val="22"/>
          <w:szCs w:val="22"/>
        </w:rPr>
        <w:t xml:space="preserve">contain </w:t>
      </w:r>
      <w:r>
        <w:rPr>
          <w:rFonts w:ascii="Times New Roman" w:hAnsi="Times New Roman"/>
          <w:sz w:val="22"/>
          <w:szCs w:val="22"/>
        </w:rPr>
        <w:t xml:space="preserve">one of </w:t>
      </w:r>
      <w:r w:rsidRPr="00522196">
        <w:rPr>
          <w:rFonts w:ascii="Times New Roman" w:hAnsi="Times New Roman"/>
          <w:sz w:val="22"/>
          <w:szCs w:val="22"/>
        </w:rPr>
        <w:t>dibasic potassium phosphate, dibasic sodium phosphate</w:t>
      </w:r>
      <w:r>
        <w:rPr>
          <w:rFonts w:ascii="Times New Roman" w:hAnsi="Times New Roman"/>
          <w:sz w:val="22"/>
          <w:szCs w:val="22"/>
        </w:rPr>
        <w:t>,</w:t>
      </w:r>
      <w:r w:rsidRPr="00522196">
        <w:rPr>
          <w:rFonts w:ascii="Times New Roman" w:hAnsi="Times New Roman"/>
          <w:sz w:val="22"/>
          <w:szCs w:val="22"/>
        </w:rPr>
        <w:t xml:space="preserve"> monobasic potassium phosphate</w:t>
      </w:r>
      <w:r>
        <w:rPr>
          <w:rFonts w:ascii="Times New Roman" w:hAnsi="Times New Roman"/>
          <w:sz w:val="22"/>
          <w:szCs w:val="22"/>
        </w:rPr>
        <w:t xml:space="preserve"> or monobasic sodium phosphate</w:t>
      </w:r>
      <w:r w:rsidRPr="00522196">
        <w:rPr>
          <w:rFonts w:ascii="Times New Roman" w:hAnsi="Times New Roman"/>
          <w:sz w:val="22"/>
          <w:szCs w:val="22"/>
        </w:rPr>
        <w:t xml:space="preserve"> as an active ingredient;</w:t>
      </w:r>
    </w:p>
    <w:p w14:paraId="04632883" w14:textId="77777777" w:rsidR="00515C8F" w:rsidRDefault="0019664D" w:rsidP="005C1CAA">
      <w:pPr>
        <w:pStyle w:val="ListParagraph"/>
        <w:numPr>
          <w:ilvl w:val="0"/>
          <w:numId w:val="9"/>
        </w:numPr>
        <w:autoSpaceDE w:val="0"/>
        <w:autoSpaceDN w:val="0"/>
        <w:adjustRightInd w:val="0"/>
        <w:rPr>
          <w:rFonts w:ascii="Times New Roman" w:hAnsi="Times New Roman"/>
          <w:sz w:val="22"/>
          <w:szCs w:val="22"/>
        </w:rPr>
      </w:pPr>
      <w:r w:rsidRPr="00515C8F">
        <w:rPr>
          <w:rFonts w:ascii="Times New Roman" w:hAnsi="Times New Roman"/>
          <w:sz w:val="22"/>
          <w:szCs w:val="22"/>
        </w:rPr>
        <w:t>medicines for the treatment of poisonings or drug overdosage by oral ingestion that contain activated charcoal as an active ingredient; and</w:t>
      </w:r>
    </w:p>
    <w:p w14:paraId="0730F512" w14:textId="34177EAB" w:rsidR="0019664D" w:rsidRPr="00515C8F" w:rsidRDefault="0019664D" w:rsidP="005C1CAA">
      <w:pPr>
        <w:pStyle w:val="ListParagraph"/>
        <w:numPr>
          <w:ilvl w:val="0"/>
          <w:numId w:val="9"/>
        </w:numPr>
        <w:autoSpaceDE w:val="0"/>
        <w:autoSpaceDN w:val="0"/>
        <w:adjustRightInd w:val="0"/>
        <w:rPr>
          <w:rFonts w:ascii="Times New Roman" w:hAnsi="Times New Roman"/>
          <w:sz w:val="22"/>
          <w:szCs w:val="22"/>
        </w:rPr>
      </w:pPr>
      <w:r w:rsidRPr="00515C8F">
        <w:rPr>
          <w:rFonts w:ascii="Times New Roman" w:hAnsi="Times New Roman"/>
          <w:sz w:val="22"/>
          <w:szCs w:val="22"/>
        </w:rPr>
        <w:t>medicines for the treatment of scabies that contain either benzyl benzoate or permethrin as an active ingredient.</w:t>
      </w:r>
    </w:p>
    <w:p w14:paraId="4D997BF2" w14:textId="77777777" w:rsidR="0019664D" w:rsidRDefault="0019664D" w:rsidP="0019664D">
      <w:pPr>
        <w:autoSpaceDE w:val="0"/>
        <w:autoSpaceDN w:val="0"/>
        <w:adjustRightInd w:val="0"/>
        <w:rPr>
          <w:sz w:val="22"/>
          <w:szCs w:val="22"/>
        </w:rPr>
      </w:pPr>
    </w:p>
    <w:p w14:paraId="1434C603" w14:textId="4B217B34" w:rsidR="0019664D" w:rsidRDefault="0019664D" w:rsidP="0019664D">
      <w:pPr>
        <w:autoSpaceDE w:val="0"/>
        <w:autoSpaceDN w:val="0"/>
        <w:adjustRightInd w:val="0"/>
        <w:rPr>
          <w:rFonts w:ascii="Times New Roman" w:hAnsi="Times New Roman"/>
          <w:sz w:val="22"/>
          <w:szCs w:val="22"/>
        </w:rPr>
      </w:pPr>
      <w:r>
        <w:rPr>
          <w:rFonts w:ascii="Times New Roman" w:hAnsi="Times New Roman"/>
          <w:sz w:val="22"/>
          <w:szCs w:val="22"/>
        </w:rPr>
        <w:t xml:space="preserve">The inclusion of these medicines as reportable medicines </w:t>
      </w:r>
      <w:r w:rsidRPr="00F56219">
        <w:rPr>
          <w:rFonts w:ascii="Times New Roman" w:hAnsi="Times New Roman"/>
          <w:sz w:val="22"/>
          <w:szCs w:val="22"/>
        </w:rPr>
        <w:t xml:space="preserve">will enable the TGA to better </w:t>
      </w:r>
      <w:r>
        <w:rPr>
          <w:rFonts w:ascii="Times New Roman" w:hAnsi="Times New Roman"/>
          <w:sz w:val="22"/>
          <w:szCs w:val="22"/>
        </w:rPr>
        <w:t xml:space="preserve">monitor and </w:t>
      </w:r>
      <w:r w:rsidRPr="00F56219">
        <w:rPr>
          <w:rFonts w:ascii="Times New Roman" w:hAnsi="Times New Roman"/>
          <w:sz w:val="22"/>
          <w:szCs w:val="22"/>
        </w:rPr>
        <w:t>alert the Australian public to a shortage or permanent discontinuation</w:t>
      </w:r>
      <w:r>
        <w:rPr>
          <w:rFonts w:ascii="Times New Roman" w:hAnsi="Times New Roman"/>
          <w:sz w:val="22"/>
          <w:szCs w:val="22"/>
        </w:rPr>
        <w:t xml:space="preserve">. It will also enable the TGA, in consultation with sponsors, to take steps to mitigate the impacts of a shortage or discontinuation, and to better </w:t>
      </w:r>
      <w:r w:rsidRPr="00F56219">
        <w:rPr>
          <w:rFonts w:ascii="Times New Roman" w:hAnsi="Times New Roman"/>
          <w:sz w:val="22"/>
          <w:szCs w:val="22"/>
        </w:rPr>
        <w:t xml:space="preserve">inform health practitioners </w:t>
      </w:r>
      <w:r>
        <w:rPr>
          <w:rFonts w:ascii="Times New Roman" w:hAnsi="Times New Roman"/>
          <w:sz w:val="22"/>
          <w:szCs w:val="22"/>
        </w:rPr>
        <w:t>and</w:t>
      </w:r>
      <w:r w:rsidRPr="00F56219">
        <w:rPr>
          <w:rFonts w:ascii="Times New Roman" w:hAnsi="Times New Roman"/>
          <w:sz w:val="22"/>
          <w:szCs w:val="22"/>
        </w:rPr>
        <w:t xml:space="preserve"> </w:t>
      </w:r>
      <w:r>
        <w:rPr>
          <w:rFonts w:ascii="Times New Roman" w:hAnsi="Times New Roman"/>
          <w:sz w:val="22"/>
          <w:szCs w:val="22"/>
        </w:rPr>
        <w:t>consumers</w:t>
      </w:r>
      <w:r w:rsidRPr="00F56219">
        <w:rPr>
          <w:rFonts w:ascii="Times New Roman" w:hAnsi="Times New Roman"/>
          <w:sz w:val="22"/>
          <w:szCs w:val="22"/>
        </w:rPr>
        <w:t xml:space="preserve"> to minimise the impact of these events on </w:t>
      </w:r>
      <w:r>
        <w:rPr>
          <w:rFonts w:ascii="Times New Roman" w:hAnsi="Times New Roman"/>
          <w:sz w:val="22"/>
          <w:szCs w:val="22"/>
        </w:rPr>
        <w:t>patient</w:t>
      </w:r>
      <w:r w:rsidRPr="00F56219">
        <w:rPr>
          <w:rFonts w:ascii="Times New Roman" w:hAnsi="Times New Roman"/>
          <w:sz w:val="22"/>
          <w:szCs w:val="22"/>
        </w:rPr>
        <w:t xml:space="preserve"> health.</w:t>
      </w:r>
    </w:p>
    <w:p w14:paraId="688D38FD" w14:textId="77777777" w:rsidR="00C3762C" w:rsidRDefault="00C3762C" w:rsidP="00E76174">
      <w:pPr>
        <w:autoSpaceDE w:val="0"/>
        <w:autoSpaceDN w:val="0"/>
        <w:adjustRightInd w:val="0"/>
        <w:rPr>
          <w:sz w:val="22"/>
          <w:szCs w:val="22"/>
        </w:rPr>
      </w:pPr>
    </w:p>
    <w:p w14:paraId="5AC9845C" w14:textId="77777777" w:rsidR="00C3762C" w:rsidRDefault="00C3762C" w:rsidP="0064311B">
      <w:pPr>
        <w:keepNext/>
        <w:keepLines/>
        <w:autoSpaceDE w:val="0"/>
        <w:autoSpaceDN w:val="0"/>
        <w:adjustRightInd w:val="0"/>
        <w:rPr>
          <w:b/>
          <w:bCs/>
          <w:sz w:val="22"/>
          <w:szCs w:val="22"/>
        </w:rPr>
      </w:pPr>
      <w:r w:rsidRPr="00C3762C">
        <w:rPr>
          <w:b/>
          <w:bCs/>
          <w:sz w:val="22"/>
          <w:szCs w:val="22"/>
        </w:rPr>
        <w:t>Human rights implications</w:t>
      </w:r>
    </w:p>
    <w:p w14:paraId="65769418" w14:textId="77777777" w:rsidR="00C3762C" w:rsidRPr="00C3762C" w:rsidRDefault="00C3762C" w:rsidP="0064311B">
      <w:pPr>
        <w:keepNext/>
        <w:keepLines/>
        <w:autoSpaceDE w:val="0"/>
        <w:autoSpaceDN w:val="0"/>
        <w:adjustRightInd w:val="0"/>
        <w:rPr>
          <w:b/>
          <w:bCs/>
          <w:sz w:val="22"/>
          <w:szCs w:val="22"/>
        </w:rPr>
      </w:pPr>
    </w:p>
    <w:p w14:paraId="0DB52BB9" w14:textId="03F154FB" w:rsidR="00101D92" w:rsidRPr="00101D92" w:rsidRDefault="00101D92" w:rsidP="0064311B">
      <w:pPr>
        <w:keepNext/>
        <w:keepLines/>
        <w:autoSpaceDE w:val="0"/>
        <w:autoSpaceDN w:val="0"/>
        <w:adjustRightInd w:val="0"/>
        <w:rPr>
          <w:sz w:val="22"/>
          <w:szCs w:val="22"/>
        </w:rPr>
      </w:pPr>
      <w:r w:rsidRPr="00101D92">
        <w:rPr>
          <w:sz w:val="22"/>
          <w:szCs w:val="22"/>
        </w:rPr>
        <w:t xml:space="preserve">The Determination takes positive steps to promote the right to health in </w:t>
      </w:r>
      <w:r w:rsidR="005A4ADE">
        <w:rPr>
          <w:sz w:val="22"/>
          <w:szCs w:val="22"/>
        </w:rPr>
        <w:t>A</w:t>
      </w:r>
      <w:r w:rsidRPr="00101D92">
        <w:rPr>
          <w:sz w:val="22"/>
          <w:szCs w:val="22"/>
        </w:rPr>
        <w:t>rticle</w:t>
      </w:r>
      <w:r w:rsidR="00253825">
        <w:rPr>
          <w:sz w:val="22"/>
          <w:szCs w:val="22"/>
        </w:rPr>
        <w:t> </w:t>
      </w:r>
      <w:r w:rsidRPr="00101D92">
        <w:rPr>
          <w:sz w:val="22"/>
          <w:szCs w:val="22"/>
        </w:rPr>
        <w:t xml:space="preserve">12 of the </w:t>
      </w:r>
    </w:p>
    <w:p w14:paraId="7A5AFDE5" w14:textId="5E052598" w:rsidR="00101D92" w:rsidRPr="00101D92" w:rsidRDefault="00101D92" w:rsidP="0064311B">
      <w:pPr>
        <w:keepNext/>
        <w:keepLines/>
        <w:autoSpaceDE w:val="0"/>
        <w:autoSpaceDN w:val="0"/>
        <w:adjustRightInd w:val="0"/>
        <w:rPr>
          <w:sz w:val="22"/>
          <w:szCs w:val="22"/>
        </w:rPr>
      </w:pPr>
      <w:r w:rsidRPr="00101D92">
        <w:rPr>
          <w:sz w:val="22"/>
          <w:szCs w:val="22"/>
        </w:rPr>
        <w:t>International Covenant on Economic, Social and Cultural Rights (</w:t>
      </w:r>
      <w:r w:rsidR="00BD17B7">
        <w:rPr>
          <w:sz w:val="22"/>
          <w:szCs w:val="22"/>
        </w:rPr>
        <w:t>“</w:t>
      </w:r>
      <w:r w:rsidRPr="00101D92">
        <w:rPr>
          <w:sz w:val="22"/>
          <w:szCs w:val="22"/>
        </w:rPr>
        <w:t>the ICESCR</w:t>
      </w:r>
      <w:r w:rsidR="00BD17B7">
        <w:rPr>
          <w:sz w:val="22"/>
          <w:szCs w:val="22"/>
        </w:rPr>
        <w:t>”</w:t>
      </w:r>
      <w:r w:rsidRPr="00101D92">
        <w:rPr>
          <w:sz w:val="22"/>
          <w:szCs w:val="22"/>
        </w:rPr>
        <w:t xml:space="preserve">). This right is </w:t>
      </w:r>
    </w:p>
    <w:p w14:paraId="0FCB220C" w14:textId="77777777" w:rsidR="00101D92" w:rsidRPr="00101D92" w:rsidRDefault="00101D92" w:rsidP="0064311B">
      <w:pPr>
        <w:keepNext/>
        <w:keepLines/>
        <w:autoSpaceDE w:val="0"/>
        <w:autoSpaceDN w:val="0"/>
        <w:adjustRightInd w:val="0"/>
        <w:rPr>
          <w:sz w:val="22"/>
          <w:szCs w:val="22"/>
        </w:rPr>
      </w:pPr>
      <w:r w:rsidRPr="00101D92">
        <w:rPr>
          <w:sz w:val="22"/>
          <w:szCs w:val="22"/>
        </w:rPr>
        <w:t xml:space="preserve">understood as the right of everyone to enjoy the highest attainable standard of physical and </w:t>
      </w:r>
    </w:p>
    <w:p w14:paraId="7EE5D08A" w14:textId="77777777" w:rsidR="00101D92" w:rsidRPr="00101D92" w:rsidRDefault="00101D92" w:rsidP="0064311B">
      <w:pPr>
        <w:keepNext/>
        <w:keepLines/>
        <w:autoSpaceDE w:val="0"/>
        <w:autoSpaceDN w:val="0"/>
        <w:adjustRightInd w:val="0"/>
        <w:rPr>
          <w:sz w:val="22"/>
          <w:szCs w:val="22"/>
        </w:rPr>
      </w:pPr>
      <w:r w:rsidRPr="00101D92">
        <w:rPr>
          <w:sz w:val="22"/>
          <w:szCs w:val="22"/>
        </w:rPr>
        <w:t xml:space="preserve">mental health, and includes an obligation to take reasonable measures within available </w:t>
      </w:r>
    </w:p>
    <w:p w14:paraId="24FC00C6" w14:textId="77777777" w:rsidR="003556E4" w:rsidRDefault="00101D92" w:rsidP="0064311B">
      <w:pPr>
        <w:keepNext/>
        <w:keepLines/>
        <w:autoSpaceDE w:val="0"/>
        <w:autoSpaceDN w:val="0"/>
        <w:adjustRightInd w:val="0"/>
        <w:rPr>
          <w:sz w:val="22"/>
          <w:szCs w:val="22"/>
        </w:rPr>
      </w:pPr>
      <w:r w:rsidRPr="00101D92">
        <w:rPr>
          <w:sz w:val="22"/>
          <w:szCs w:val="22"/>
        </w:rPr>
        <w:t xml:space="preserve">resources to progressively secure broader enjoyment of the right. </w:t>
      </w:r>
    </w:p>
    <w:p w14:paraId="30A7024D" w14:textId="77777777" w:rsidR="003556E4" w:rsidRDefault="003556E4" w:rsidP="00101D92">
      <w:pPr>
        <w:autoSpaceDE w:val="0"/>
        <w:autoSpaceDN w:val="0"/>
        <w:adjustRightInd w:val="0"/>
        <w:rPr>
          <w:sz w:val="22"/>
          <w:szCs w:val="22"/>
        </w:rPr>
      </w:pPr>
    </w:p>
    <w:p w14:paraId="5D4A9360" w14:textId="09CB6FE5" w:rsidR="00101D92" w:rsidRPr="00101D92" w:rsidRDefault="00101D92" w:rsidP="00101D92">
      <w:pPr>
        <w:autoSpaceDE w:val="0"/>
        <w:autoSpaceDN w:val="0"/>
        <w:adjustRightInd w:val="0"/>
        <w:rPr>
          <w:sz w:val="22"/>
          <w:szCs w:val="22"/>
        </w:rPr>
      </w:pPr>
      <w:r w:rsidRPr="00101D92">
        <w:rPr>
          <w:sz w:val="22"/>
          <w:szCs w:val="22"/>
        </w:rPr>
        <w:t xml:space="preserve">In </w:t>
      </w:r>
      <w:r w:rsidRPr="00101D92">
        <w:rPr>
          <w:i/>
          <w:iCs/>
          <w:sz w:val="22"/>
          <w:szCs w:val="22"/>
        </w:rPr>
        <w:t>General Comment No. 14: The Right to the Highest Attainable Standard of Health (Art. 12)</w:t>
      </w:r>
      <w:r w:rsidR="003556E4">
        <w:rPr>
          <w:sz w:val="22"/>
          <w:szCs w:val="22"/>
        </w:rPr>
        <w:t> </w:t>
      </w:r>
      <w:r w:rsidRPr="00101D92">
        <w:rPr>
          <w:sz w:val="22"/>
          <w:szCs w:val="22"/>
        </w:rPr>
        <w:t xml:space="preserve">(2000), the United Nations Committee on Economic, Social and Cultural Rights states that health is a </w:t>
      </w:r>
    </w:p>
    <w:p w14:paraId="1DD179CB" w14:textId="0B3E4830" w:rsidR="00101D92" w:rsidRDefault="00BD17B7" w:rsidP="00101D92">
      <w:pPr>
        <w:autoSpaceDE w:val="0"/>
        <w:autoSpaceDN w:val="0"/>
        <w:adjustRightInd w:val="0"/>
        <w:rPr>
          <w:sz w:val="22"/>
          <w:szCs w:val="22"/>
        </w:rPr>
      </w:pPr>
      <w:r>
        <w:rPr>
          <w:sz w:val="22"/>
          <w:szCs w:val="22"/>
        </w:rPr>
        <w:t>“</w:t>
      </w:r>
      <w:r w:rsidR="00101D92" w:rsidRPr="00101D92">
        <w:rPr>
          <w:sz w:val="22"/>
          <w:szCs w:val="22"/>
        </w:rPr>
        <w:t>fundamental human right indispensable for the exercise of other human rights</w:t>
      </w:r>
      <w:r>
        <w:rPr>
          <w:sz w:val="22"/>
          <w:szCs w:val="22"/>
        </w:rPr>
        <w:t>”</w:t>
      </w:r>
      <w:r w:rsidR="00101D92" w:rsidRPr="00101D92">
        <w:rPr>
          <w:sz w:val="22"/>
          <w:szCs w:val="22"/>
        </w:rPr>
        <w:t>, and that the right to health is not to be understood as the right to be healthy, but includes the right to a system of health protection which provides equal opportunity for people to enjoy the highest attainable level of health.</w:t>
      </w:r>
    </w:p>
    <w:p w14:paraId="7FF127B9" w14:textId="77777777" w:rsidR="00101D92" w:rsidRPr="00101D92" w:rsidRDefault="00101D92" w:rsidP="00101D92">
      <w:pPr>
        <w:autoSpaceDE w:val="0"/>
        <w:autoSpaceDN w:val="0"/>
        <w:adjustRightInd w:val="0"/>
        <w:rPr>
          <w:sz w:val="22"/>
          <w:szCs w:val="22"/>
        </w:rPr>
      </w:pPr>
    </w:p>
    <w:p w14:paraId="2273704A" w14:textId="6795038C" w:rsidR="00C3762C" w:rsidRDefault="003556E4" w:rsidP="00101D92">
      <w:pPr>
        <w:autoSpaceDE w:val="0"/>
        <w:autoSpaceDN w:val="0"/>
        <w:adjustRightInd w:val="0"/>
        <w:rPr>
          <w:sz w:val="22"/>
          <w:szCs w:val="22"/>
        </w:rPr>
      </w:pPr>
      <w:r>
        <w:rPr>
          <w:sz w:val="22"/>
          <w:szCs w:val="22"/>
        </w:rPr>
        <w:t xml:space="preserve">The Determination </w:t>
      </w:r>
      <w:r w:rsidR="00C04130">
        <w:rPr>
          <w:sz w:val="22"/>
          <w:szCs w:val="22"/>
        </w:rPr>
        <w:t xml:space="preserve">promotes </w:t>
      </w:r>
      <w:r>
        <w:rPr>
          <w:sz w:val="22"/>
          <w:szCs w:val="22"/>
        </w:rPr>
        <w:t>the right to health by requiring sponsors to notify the TGA of a shortage or discontinuation of</w:t>
      </w:r>
      <w:r w:rsidR="00C04130">
        <w:rPr>
          <w:sz w:val="22"/>
          <w:szCs w:val="22"/>
        </w:rPr>
        <w:t xml:space="preserve"> </w:t>
      </w:r>
      <w:r w:rsidR="00DE0721">
        <w:rPr>
          <w:sz w:val="22"/>
          <w:szCs w:val="22"/>
        </w:rPr>
        <w:t xml:space="preserve">registered medicines that are </w:t>
      </w:r>
      <w:r w:rsidR="00DD4D76">
        <w:rPr>
          <w:sz w:val="22"/>
          <w:szCs w:val="22"/>
        </w:rPr>
        <w:t xml:space="preserve">reportable medicines. These medicines are critical for the health of patients who need them and pose a high risk to care if a shortage or discontinuation was to occur. </w:t>
      </w:r>
      <w:r w:rsidR="00564B97">
        <w:rPr>
          <w:sz w:val="22"/>
          <w:szCs w:val="22"/>
        </w:rPr>
        <w:t xml:space="preserve">By retaining some medicines within, and introducing </w:t>
      </w:r>
      <w:r w:rsidR="00101D92">
        <w:rPr>
          <w:sz w:val="22"/>
          <w:szCs w:val="22"/>
        </w:rPr>
        <w:t>additional</w:t>
      </w:r>
      <w:r w:rsidR="00101D92" w:rsidRPr="00101D92">
        <w:rPr>
          <w:sz w:val="22"/>
          <w:szCs w:val="22"/>
        </w:rPr>
        <w:t xml:space="preserve"> medicines </w:t>
      </w:r>
      <w:r w:rsidR="00564B97">
        <w:rPr>
          <w:sz w:val="22"/>
          <w:szCs w:val="22"/>
        </w:rPr>
        <w:t xml:space="preserve">to, </w:t>
      </w:r>
      <w:r w:rsidR="00101D92" w:rsidRPr="00101D92">
        <w:rPr>
          <w:sz w:val="22"/>
          <w:szCs w:val="22"/>
        </w:rPr>
        <w:t>the mandatory reporting scheme</w:t>
      </w:r>
      <w:r w:rsidR="001E7980">
        <w:rPr>
          <w:sz w:val="22"/>
          <w:szCs w:val="22"/>
        </w:rPr>
        <w:t xml:space="preserve">, </w:t>
      </w:r>
      <w:r w:rsidR="00564B97">
        <w:rPr>
          <w:sz w:val="22"/>
          <w:szCs w:val="22"/>
        </w:rPr>
        <w:t>the Determination</w:t>
      </w:r>
      <w:r w:rsidR="00101D92" w:rsidRPr="00101D92">
        <w:rPr>
          <w:sz w:val="22"/>
          <w:szCs w:val="22"/>
        </w:rPr>
        <w:t xml:space="preserve"> will enable patients and health practitioners to be better informed, and informed earlier, about shortages that affect them</w:t>
      </w:r>
      <w:r w:rsidR="001E7980">
        <w:rPr>
          <w:sz w:val="22"/>
          <w:szCs w:val="22"/>
        </w:rPr>
        <w:t>. It will also</w:t>
      </w:r>
      <w:r w:rsidR="00DD4D76">
        <w:rPr>
          <w:sz w:val="22"/>
          <w:szCs w:val="22"/>
        </w:rPr>
        <w:t xml:space="preserve"> plac</w:t>
      </w:r>
      <w:r w:rsidR="001E7980">
        <w:rPr>
          <w:sz w:val="22"/>
          <w:szCs w:val="22"/>
        </w:rPr>
        <w:t>e</w:t>
      </w:r>
      <w:r w:rsidR="00DD4D76">
        <w:rPr>
          <w:sz w:val="22"/>
          <w:szCs w:val="22"/>
        </w:rPr>
        <w:t xml:space="preserve"> the TGA</w:t>
      </w:r>
      <w:r w:rsidR="001E7980">
        <w:rPr>
          <w:sz w:val="22"/>
          <w:szCs w:val="22"/>
        </w:rPr>
        <w:t>, other stakeholders, health practitioners and patients</w:t>
      </w:r>
      <w:r w:rsidR="00DD4D76">
        <w:rPr>
          <w:sz w:val="22"/>
          <w:szCs w:val="22"/>
        </w:rPr>
        <w:t xml:space="preserve"> in a better position </w:t>
      </w:r>
      <w:r w:rsidR="00101D92" w:rsidRPr="00101D92">
        <w:rPr>
          <w:sz w:val="22"/>
          <w:szCs w:val="22"/>
        </w:rPr>
        <w:t xml:space="preserve">to take steps to </w:t>
      </w:r>
      <w:r w:rsidR="000D2B58">
        <w:rPr>
          <w:sz w:val="22"/>
          <w:szCs w:val="22"/>
        </w:rPr>
        <w:t>mitigate</w:t>
      </w:r>
      <w:r w:rsidR="000D2B58" w:rsidRPr="00101D92">
        <w:rPr>
          <w:sz w:val="22"/>
          <w:szCs w:val="22"/>
        </w:rPr>
        <w:t xml:space="preserve"> </w:t>
      </w:r>
      <w:r w:rsidR="00101D92" w:rsidRPr="00101D92">
        <w:rPr>
          <w:sz w:val="22"/>
          <w:szCs w:val="22"/>
        </w:rPr>
        <w:t>the impact of a shortage or discontinuation on patient health.</w:t>
      </w:r>
    </w:p>
    <w:p w14:paraId="19895FD7" w14:textId="77777777" w:rsidR="00C3762C" w:rsidRPr="00C3762C" w:rsidRDefault="00C3762C" w:rsidP="00C3762C">
      <w:pPr>
        <w:autoSpaceDE w:val="0"/>
        <w:autoSpaceDN w:val="0"/>
        <w:adjustRightInd w:val="0"/>
        <w:rPr>
          <w:sz w:val="22"/>
          <w:szCs w:val="22"/>
        </w:rPr>
      </w:pPr>
    </w:p>
    <w:p w14:paraId="1C164052" w14:textId="78D21DA1" w:rsidR="00C3762C" w:rsidRPr="00C3762C" w:rsidRDefault="00C3762C" w:rsidP="00C3762C">
      <w:pPr>
        <w:autoSpaceDE w:val="0"/>
        <w:autoSpaceDN w:val="0"/>
        <w:adjustRightInd w:val="0"/>
        <w:rPr>
          <w:b/>
          <w:bCs/>
          <w:sz w:val="22"/>
          <w:szCs w:val="22"/>
        </w:rPr>
      </w:pPr>
      <w:r w:rsidRPr="00C3762C">
        <w:rPr>
          <w:b/>
          <w:bCs/>
          <w:sz w:val="22"/>
          <w:szCs w:val="22"/>
        </w:rPr>
        <w:t>Conclusion</w:t>
      </w:r>
    </w:p>
    <w:p w14:paraId="01D77558" w14:textId="77777777" w:rsidR="00C3762C" w:rsidRPr="00C3762C" w:rsidRDefault="00C3762C" w:rsidP="00C3762C">
      <w:pPr>
        <w:autoSpaceDE w:val="0"/>
        <w:autoSpaceDN w:val="0"/>
        <w:adjustRightInd w:val="0"/>
        <w:rPr>
          <w:sz w:val="22"/>
          <w:szCs w:val="22"/>
        </w:rPr>
      </w:pPr>
    </w:p>
    <w:p w14:paraId="27358161" w14:textId="2473EAB2" w:rsidR="00C3762C" w:rsidRPr="00C3762C" w:rsidRDefault="00C3762C" w:rsidP="00D9476B">
      <w:pPr>
        <w:autoSpaceDE w:val="0"/>
        <w:autoSpaceDN w:val="0"/>
        <w:adjustRightInd w:val="0"/>
        <w:rPr>
          <w:sz w:val="22"/>
          <w:szCs w:val="22"/>
        </w:rPr>
      </w:pPr>
      <w:r w:rsidRPr="00C3762C">
        <w:rPr>
          <w:sz w:val="22"/>
          <w:szCs w:val="22"/>
        </w:rPr>
        <w:t>The Determination i</w:t>
      </w:r>
      <w:r w:rsidR="00D9476B">
        <w:t xml:space="preserve">s </w:t>
      </w:r>
      <w:r w:rsidR="00D9476B" w:rsidRPr="00D9476B">
        <w:rPr>
          <w:sz w:val="22"/>
          <w:szCs w:val="22"/>
        </w:rPr>
        <w:t xml:space="preserve">compatible with human rights because it promotes the right to health in </w:t>
      </w:r>
      <w:r w:rsidR="005A4ADE">
        <w:rPr>
          <w:sz w:val="22"/>
          <w:szCs w:val="22"/>
        </w:rPr>
        <w:t>A</w:t>
      </w:r>
      <w:r w:rsidR="00D9476B" w:rsidRPr="00D9476B">
        <w:rPr>
          <w:sz w:val="22"/>
          <w:szCs w:val="22"/>
        </w:rPr>
        <w:t>rticle</w:t>
      </w:r>
      <w:r w:rsidR="00BD17B7">
        <w:rPr>
          <w:sz w:val="22"/>
          <w:szCs w:val="22"/>
        </w:rPr>
        <w:t> </w:t>
      </w:r>
      <w:r w:rsidR="00D9476B" w:rsidRPr="00D9476B">
        <w:rPr>
          <w:sz w:val="22"/>
          <w:szCs w:val="22"/>
        </w:rPr>
        <w:t>12 of the ICESCR as outlined above, and otherwise does not raise any human rights issues.</w:t>
      </w:r>
    </w:p>
    <w:sectPr w:rsidR="00C3762C" w:rsidRPr="00C37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D7588"/>
    <w:multiLevelType w:val="hybridMultilevel"/>
    <w:tmpl w:val="4C70FA5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B132D6"/>
    <w:multiLevelType w:val="hybridMultilevel"/>
    <w:tmpl w:val="EA5A212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725818"/>
    <w:multiLevelType w:val="hybridMultilevel"/>
    <w:tmpl w:val="ADC048EA"/>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214B3E"/>
    <w:multiLevelType w:val="hybridMultilevel"/>
    <w:tmpl w:val="4C70FA5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218C2"/>
    <w:multiLevelType w:val="hybridMultilevel"/>
    <w:tmpl w:val="3F46EAE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06369F"/>
    <w:multiLevelType w:val="hybridMultilevel"/>
    <w:tmpl w:val="B27237A8"/>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57DC2"/>
    <w:multiLevelType w:val="hybridMultilevel"/>
    <w:tmpl w:val="4C70FA5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1A022E"/>
    <w:multiLevelType w:val="hybridMultilevel"/>
    <w:tmpl w:val="4C70FA5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052B75"/>
    <w:multiLevelType w:val="hybridMultilevel"/>
    <w:tmpl w:val="4C70FA54"/>
    <w:lvl w:ilvl="0" w:tplc="3238188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AC3BA8"/>
    <w:multiLevelType w:val="hybridMultilevel"/>
    <w:tmpl w:val="CBE82E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394489">
    <w:abstractNumId w:val="1"/>
  </w:num>
  <w:num w:numId="2" w16cid:durableId="1963148601">
    <w:abstractNumId w:val="2"/>
  </w:num>
  <w:num w:numId="3" w16cid:durableId="1554192981">
    <w:abstractNumId w:val="9"/>
  </w:num>
  <w:num w:numId="4" w16cid:durableId="2073692297">
    <w:abstractNumId w:val="8"/>
  </w:num>
  <w:num w:numId="5" w16cid:durableId="657000136">
    <w:abstractNumId w:val="5"/>
  </w:num>
  <w:num w:numId="6" w16cid:durableId="1018772984">
    <w:abstractNumId w:val="0"/>
  </w:num>
  <w:num w:numId="7" w16cid:durableId="1325350919">
    <w:abstractNumId w:val="7"/>
  </w:num>
  <w:num w:numId="8" w16cid:durableId="1074937126">
    <w:abstractNumId w:val="6"/>
  </w:num>
  <w:num w:numId="9" w16cid:durableId="309134283">
    <w:abstractNumId w:val="4"/>
  </w:num>
  <w:num w:numId="10" w16cid:durableId="1066413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43"/>
    <w:rsid w:val="00016EC4"/>
    <w:rsid w:val="00022BE3"/>
    <w:rsid w:val="00023349"/>
    <w:rsid w:val="00026049"/>
    <w:rsid w:val="00032604"/>
    <w:rsid w:val="00037A60"/>
    <w:rsid w:val="00037C70"/>
    <w:rsid w:val="0006291F"/>
    <w:rsid w:val="000638B8"/>
    <w:rsid w:val="00063926"/>
    <w:rsid w:val="0009252B"/>
    <w:rsid w:val="00094741"/>
    <w:rsid w:val="000A50A7"/>
    <w:rsid w:val="000B0ADF"/>
    <w:rsid w:val="000B1E2D"/>
    <w:rsid w:val="000D2B58"/>
    <w:rsid w:val="000D47E7"/>
    <w:rsid w:val="000D5A8B"/>
    <w:rsid w:val="000E4A83"/>
    <w:rsid w:val="000E704A"/>
    <w:rsid w:val="000E7C73"/>
    <w:rsid w:val="000F2661"/>
    <w:rsid w:val="000F2ECB"/>
    <w:rsid w:val="000F3446"/>
    <w:rsid w:val="000F35DB"/>
    <w:rsid w:val="00101D92"/>
    <w:rsid w:val="00116C8D"/>
    <w:rsid w:val="0012094D"/>
    <w:rsid w:val="0012310E"/>
    <w:rsid w:val="0012701F"/>
    <w:rsid w:val="00143268"/>
    <w:rsid w:val="00153372"/>
    <w:rsid w:val="0017317A"/>
    <w:rsid w:val="00177663"/>
    <w:rsid w:val="0019664D"/>
    <w:rsid w:val="00197E5B"/>
    <w:rsid w:val="001A2595"/>
    <w:rsid w:val="001C56F0"/>
    <w:rsid w:val="001C65EF"/>
    <w:rsid w:val="001C6AB2"/>
    <w:rsid w:val="001D6726"/>
    <w:rsid w:val="001E0161"/>
    <w:rsid w:val="001E1FFB"/>
    <w:rsid w:val="001E256B"/>
    <w:rsid w:val="001E7980"/>
    <w:rsid w:val="001F16A5"/>
    <w:rsid w:val="001F4116"/>
    <w:rsid w:val="001F460B"/>
    <w:rsid w:val="00207D5A"/>
    <w:rsid w:val="00210363"/>
    <w:rsid w:val="00211860"/>
    <w:rsid w:val="00211EDE"/>
    <w:rsid w:val="00213E11"/>
    <w:rsid w:val="00216D65"/>
    <w:rsid w:val="00225F37"/>
    <w:rsid w:val="00227105"/>
    <w:rsid w:val="00227E5B"/>
    <w:rsid w:val="00231BE2"/>
    <w:rsid w:val="00245FFD"/>
    <w:rsid w:val="00253825"/>
    <w:rsid w:val="00256AEA"/>
    <w:rsid w:val="002629ED"/>
    <w:rsid w:val="00271B69"/>
    <w:rsid w:val="00280050"/>
    <w:rsid w:val="00280D33"/>
    <w:rsid w:val="00292EA8"/>
    <w:rsid w:val="002974D9"/>
    <w:rsid w:val="002A43CA"/>
    <w:rsid w:val="002A483B"/>
    <w:rsid w:val="002C71DC"/>
    <w:rsid w:val="002E3C0F"/>
    <w:rsid w:val="002E5DB8"/>
    <w:rsid w:val="002F33A9"/>
    <w:rsid w:val="002F4B8F"/>
    <w:rsid w:val="00315427"/>
    <w:rsid w:val="003164A5"/>
    <w:rsid w:val="00333DFF"/>
    <w:rsid w:val="00335EC7"/>
    <w:rsid w:val="00347DEF"/>
    <w:rsid w:val="0035125A"/>
    <w:rsid w:val="003556E4"/>
    <w:rsid w:val="003633AD"/>
    <w:rsid w:val="003820AF"/>
    <w:rsid w:val="0038266A"/>
    <w:rsid w:val="003860D4"/>
    <w:rsid w:val="0038789B"/>
    <w:rsid w:val="003937C4"/>
    <w:rsid w:val="003977CF"/>
    <w:rsid w:val="003A68FE"/>
    <w:rsid w:val="003B12F0"/>
    <w:rsid w:val="003B472C"/>
    <w:rsid w:val="003C0837"/>
    <w:rsid w:val="003C6B86"/>
    <w:rsid w:val="003D52EA"/>
    <w:rsid w:val="003D5D7D"/>
    <w:rsid w:val="003D6847"/>
    <w:rsid w:val="003E5518"/>
    <w:rsid w:val="0040097B"/>
    <w:rsid w:val="00403E1F"/>
    <w:rsid w:val="0040545E"/>
    <w:rsid w:val="00414021"/>
    <w:rsid w:val="00422B94"/>
    <w:rsid w:val="0043376D"/>
    <w:rsid w:val="0044163C"/>
    <w:rsid w:val="00441F42"/>
    <w:rsid w:val="00442AC8"/>
    <w:rsid w:val="00443695"/>
    <w:rsid w:val="00445520"/>
    <w:rsid w:val="00467A8C"/>
    <w:rsid w:val="00477395"/>
    <w:rsid w:val="00477969"/>
    <w:rsid w:val="00482453"/>
    <w:rsid w:val="00483D3E"/>
    <w:rsid w:val="00487430"/>
    <w:rsid w:val="004A79AA"/>
    <w:rsid w:val="004B07D3"/>
    <w:rsid w:val="004E1D42"/>
    <w:rsid w:val="004E3B91"/>
    <w:rsid w:val="004E7609"/>
    <w:rsid w:val="004F2DAA"/>
    <w:rsid w:val="004F57A5"/>
    <w:rsid w:val="00502BC5"/>
    <w:rsid w:val="00510BB6"/>
    <w:rsid w:val="00515C8F"/>
    <w:rsid w:val="00522196"/>
    <w:rsid w:val="00533893"/>
    <w:rsid w:val="00534DA6"/>
    <w:rsid w:val="00535368"/>
    <w:rsid w:val="005456C4"/>
    <w:rsid w:val="005506C9"/>
    <w:rsid w:val="00564B97"/>
    <w:rsid w:val="005652B3"/>
    <w:rsid w:val="00570FCF"/>
    <w:rsid w:val="005727D6"/>
    <w:rsid w:val="00572B40"/>
    <w:rsid w:val="005828FD"/>
    <w:rsid w:val="00594E9E"/>
    <w:rsid w:val="005A4ADE"/>
    <w:rsid w:val="005A5200"/>
    <w:rsid w:val="005D7D1F"/>
    <w:rsid w:val="005E236F"/>
    <w:rsid w:val="005E48FD"/>
    <w:rsid w:val="005F6CB0"/>
    <w:rsid w:val="00600ADD"/>
    <w:rsid w:val="00600B34"/>
    <w:rsid w:val="00602210"/>
    <w:rsid w:val="00610E05"/>
    <w:rsid w:val="00620A28"/>
    <w:rsid w:val="00620A7E"/>
    <w:rsid w:val="0062264C"/>
    <w:rsid w:val="00625E9E"/>
    <w:rsid w:val="006267B4"/>
    <w:rsid w:val="00630F7C"/>
    <w:rsid w:val="00633307"/>
    <w:rsid w:val="006415A3"/>
    <w:rsid w:val="0064311B"/>
    <w:rsid w:val="006461CB"/>
    <w:rsid w:val="00652BA1"/>
    <w:rsid w:val="0066031B"/>
    <w:rsid w:val="00664B53"/>
    <w:rsid w:val="006927F5"/>
    <w:rsid w:val="006939D0"/>
    <w:rsid w:val="00696089"/>
    <w:rsid w:val="006969AC"/>
    <w:rsid w:val="00696D2F"/>
    <w:rsid w:val="006A4D43"/>
    <w:rsid w:val="006B363A"/>
    <w:rsid w:val="006B3F20"/>
    <w:rsid w:val="006C5300"/>
    <w:rsid w:val="006C5BA8"/>
    <w:rsid w:val="006D0D76"/>
    <w:rsid w:val="006D3A60"/>
    <w:rsid w:val="006D5BD7"/>
    <w:rsid w:val="006E0080"/>
    <w:rsid w:val="006E445F"/>
    <w:rsid w:val="006F0506"/>
    <w:rsid w:val="006F369F"/>
    <w:rsid w:val="00703DF7"/>
    <w:rsid w:val="00715304"/>
    <w:rsid w:val="007158FE"/>
    <w:rsid w:val="0072065D"/>
    <w:rsid w:val="0072515A"/>
    <w:rsid w:val="007354B2"/>
    <w:rsid w:val="007354FE"/>
    <w:rsid w:val="0073659C"/>
    <w:rsid w:val="007414D8"/>
    <w:rsid w:val="00746122"/>
    <w:rsid w:val="007675A8"/>
    <w:rsid w:val="00767A86"/>
    <w:rsid w:val="00767D28"/>
    <w:rsid w:val="00777655"/>
    <w:rsid w:val="0079380E"/>
    <w:rsid w:val="007967D8"/>
    <w:rsid w:val="007C12A2"/>
    <w:rsid w:val="007C4624"/>
    <w:rsid w:val="007C509B"/>
    <w:rsid w:val="007D26B4"/>
    <w:rsid w:val="007E26BE"/>
    <w:rsid w:val="007E7C1B"/>
    <w:rsid w:val="007F4FEE"/>
    <w:rsid w:val="00803443"/>
    <w:rsid w:val="008112B1"/>
    <w:rsid w:val="00814CA4"/>
    <w:rsid w:val="00815C6B"/>
    <w:rsid w:val="0081766B"/>
    <w:rsid w:val="00817B51"/>
    <w:rsid w:val="0082257D"/>
    <w:rsid w:val="008228BF"/>
    <w:rsid w:val="00822BBE"/>
    <w:rsid w:val="00836757"/>
    <w:rsid w:val="00843F1A"/>
    <w:rsid w:val="008468D5"/>
    <w:rsid w:val="0085126A"/>
    <w:rsid w:val="0085172F"/>
    <w:rsid w:val="0085683A"/>
    <w:rsid w:val="00861C99"/>
    <w:rsid w:val="00867C3F"/>
    <w:rsid w:val="00890EB8"/>
    <w:rsid w:val="008A5CCF"/>
    <w:rsid w:val="008A768C"/>
    <w:rsid w:val="008B1FE2"/>
    <w:rsid w:val="008B27A7"/>
    <w:rsid w:val="008C2D2F"/>
    <w:rsid w:val="008E687E"/>
    <w:rsid w:val="008E7CC9"/>
    <w:rsid w:val="008F0D1B"/>
    <w:rsid w:val="008F643D"/>
    <w:rsid w:val="00902CF4"/>
    <w:rsid w:val="009068D6"/>
    <w:rsid w:val="00916346"/>
    <w:rsid w:val="00923677"/>
    <w:rsid w:val="0092570B"/>
    <w:rsid w:val="009360DF"/>
    <w:rsid w:val="00947232"/>
    <w:rsid w:val="0094752D"/>
    <w:rsid w:val="00953368"/>
    <w:rsid w:val="0096105F"/>
    <w:rsid w:val="00965C70"/>
    <w:rsid w:val="00971D9C"/>
    <w:rsid w:val="0098096E"/>
    <w:rsid w:val="009A083E"/>
    <w:rsid w:val="009A3C0B"/>
    <w:rsid w:val="009A59AC"/>
    <w:rsid w:val="009A5EDD"/>
    <w:rsid w:val="009B0496"/>
    <w:rsid w:val="009C16E5"/>
    <w:rsid w:val="009C5870"/>
    <w:rsid w:val="009D0046"/>
    <w:rsid w:val="009D127F"/>
    <w:rsid w:val="009D12BC"/>
    <w:rsid w:val="009F096F"/>
    <w:rsid w:val="009F2D4B"/>
    <w:rsid w:val="009F34DB"/>
    <w:rsid w:val="00A02387"/>
    <w:rsid w:val="00A0479C"/>
    <w:rsid w:val="00A069FD"/>
    <w:rsid w:val="00A06F1B"/>
    <w:rsid w:val="00A13FAA"/>
    <w:rsid w:val="00A33565"/>
    <w:rsid w:val="00A36F8F"/>
    <w:rsid w:val="00A41B79"/>
    <w:rsid w:val="00A43E28"/>
    <w:rsid w:val="00A46263"/>
    <w:rsid w:val="00A462B0"/>
    <w:rsid w:val="00A50907"/>
    <w:rsid w:val="00A52921"/>
    <w:rsid w:val="00A53B4B"/>
    <w:rsid w:val="00A71524"/>
    <w:rsid w:val="00A84457"/>
    <w:rsid w:val="00A90060"/>
    <w:rsid w:val="00AA2735"/>
    <w:rsid w:val="00AB358E"/>
    <w:rsid w:val="00AB6966"/>
    <w:rsid w:val="00AC3590"/>
    <w:rsid w:val="00AC36E7"/>
    <w:rsid w:val="00AC6375"/>
    <w:rsid w:val="00AC7751"/>
    <w:rsid w:val="00AE3BD5"/>
    <w:rsid w:val="00AE5392"/>
    <w:rsid w:val="00AF1B30"/>
    <w:rsid w:val="00AF286A"/>
    <w:rsid w:val="00AF3692"/>
    <w:rsid w:val="00B034A9"/>
    <w:rsid w:val="00B13574"/>
    <w:rsid w:val="00B2440D"/>
    <w:rsid w:val="00B24FC9"/>
    <w:rsid w:val="00B4106C"/>
    <w:rsid w:val="00B45732"/>
    <w:rsid w:val="00B548BB"/>
    <w:rsid w:val="00B54B4E"/>
    <w:rsid w:val="00B64CDF"/>
    <w:rsid w:val="00B6534A"/>
    <w:rsid w:val="00B766E6"/>
    <w:rsid w:val="00B90920"/>
    <w:rsid w:val="00B93D28"/>
    <w:rsid w:val="00BA62B6"/>
    <w:rsid w:val="00BB1369"/>
    <w:rsid w:val="00BB4E01"/>
    <w:rsid w:val="00BC67DD"/>
    <w:rsid w:val="00BD17B7"/>
    <w:rsid w:val="00BD3837"/>
    <w:rsid w:val="00BD4869"/>
    <w:rsid w:val="00BD6216"/>
    <w:rsid w:val="00BE0921"/>
    <w:rsid w:val="00BE3F81"/>
    <w:rsid w:val="00BE775B"/>
    <w:rsid w:val="00BF3004"/>
    <w:rsid w:val="00BF7633"/>
    <w:rsid w:val="00C0333B"/>
    <w:rsid w:val="00C04130"/>
    <w:rsid w:val="00C041B7"/>
    <w:rsid w:val="00C044B6"/>
    <w:rsid w:val="00C12A5A"/>
    <w:rsid w:val="00C1366F"/>
    <w:rsid w:val="00C14237"/>
    <w:rsid w:val="00C15542"/>
    <w:rsid w:val="00C21810"/>
    <w:rsid w:val="00C25A36"/>
    <w:rsid w:val="00C37305"/>
    <w:rsid w:val="00C3762C"/>
    <w:rsid w:val="00C37886"/>
    <w:rsid w:val="00C41426"/>
    <w:rsid w:val="00C43CC1"/>
    <w:rsid w:val="00C4478C"/>
    <w:rsid w:val="00C46254"/>
    <w:rsid w:val="00C56791"/>
    <w:rsid w:val="00C5772B"/>
    <w:rsid w:val="00C739C5"/>
    <w:rsid w:val="00C74E85"/>
    <w:rsid w:val="00C761BB"/>
    <w:rsid w:val="00C767DE"/>
    <w:rsid w:val="00C928F9"/>
    <w:rsid w:val="00C94E2E"/>
    <w:rsid w:val="00C95DFE"/>
    <w:rsid w:val="00CA39B4"/>
    <w:rsid w:val="00CA6838"/>
    <w:rsid w:val="00CA7931"/>
    <w:rsid w:val="00CB7B41"/>
    <w:rsid w:val="00CD1277"/>
    <w:rsid w:val="00CD3B43"/>
    <w:rsid w:val="00CE4CAF"/>
    <w:rsid w:val="00CE5E96"/>
    <w:rsid w:val="00CF3095"/>
    <w:rsid w:val="00D03703"/>
    <w:rsid w:val="00D04A87"/>
    <w:rsid w:val="00D24E02"/>
    <w:rsid w:val="00D2673C"/>
    <w:rsid w:val="00D3635B"/>
    <w:rsid w:val="00D5098C"/>
    <w:rsid w:val="00D52B07"/>
    <w:rsid w:val="00D56638"/>
    <w:rsid w:val="00D57B46"/>
    <w:rsid w:val="00D73352"/>
    <w:rsid w:val="00D7400F"/>
    <w:rsid w:val="00D82E3B"/>
    <w:rsid w:val="00D91B9C"/>
    <w:rsid w:val="00D94436"/>
    <w:rsid w:val="00D9476B"/>
    <w:rsid w:val="00DA4303"/>
    <w:rsid w:val="00DB6069"/>
    <w:rsid w:val="00DB6FCF"/>
    <w:rsid w:val="00DC092C"/>
    <w:rsid w:val="00DC1271"/>
    <w:rsid w:val="00DC1C23"/>
    <w:rsid w:val="00DC3B6F"/>
    <w:rsid w:val="00DD032C"/>
    <w:rsid w:val="00DD4D76"/>
    <w:rsid w:val="00DE0721"/>
    <w:rsid w:val="00DE60AC"/>
    <w:rsid w:val="00DE7D7D"/>
    <w:rsid w:val="00DF110B"/>
    <w:rsid w:val="00DF79D5"/>
    <w:rsid w:val="00E116E5"/>
    <w:rsid w:val="00E12421"/>
    <w:rsid w:val="00E16EFF"/>
    <w:rsid w:val="00E21F0F"/>
    <w:rsid w:val="00E24762"/>
    <w:rsid w:val="00E27943"/>
    <w:rsid w:val="00E37E46"/>
    <w:rsid w:val="00E42AB2"/>
    <w:rsid w:val="00E47F0F"/>
    <w:rsid w:val="00E60AE2"/>
    <w:rsid w:val="00E64C5E"/>
    <w:rsid w:val="00E65DF7"/>
    <w:rsid w:val="00E6729D"/>
    <w:rsid w:val="00E71703"/>
    <w:rsid w:val="00E73FA3"/>
    <w:rsid w:val="00E76174"/>
    <w:rsid w:val="00E76CBC"/>
    <w:rsid w:val="00E83A50"/>
    <w:rsid w:val="00E858CE"/>
    <w:rsid w:val="00EA285E"/>
    <w:rsid w:val="00EA2A95"/>
    <w:rsid w:val="00EC6C11"/>
    <w:rsid w:val="00EF420E"/>
    <w:rsid w:val="00EF73EE"/>
    <w:rsid w:val="00F00102"/>
    <w:rsid w:val="00F146EE"/>
    <w:rsid w:val="00F14D6C"/>
    <w:rsid w:val="00F35268"/>
    <w:rsid w:val="00F407FD"/>
    <w:rsid w:val="00F52557"/>
    <w:rsid w:val="00F539B8"/>
    <w:rsid w:val="00F53BA1"/>
    <w:rsid w:val="00F549B0"/>
    <w:rsid w:val="00F56219"/>
    <w:rsid w:val="00F6680B"/>
    <w:rsid w:val="00F678FC"/>
    <w:rsid w:val="00F7211A"/>
    <w:rsid w:val="00F80828"/>
    <w:rsid w:val="00F837E5"/>
    <w:rsid w:val="00F8454D"/>
    <w:rsid w:val="00F87D96"/>
    <w:rsid w:val="00FA04C5"/>
    <w:rsid w:val="00FB0045"/>
    <w:rsid w:val="00FB487B"/>
    <w:rsid w:val="00FC47FA"/>
    <w:rsid w:val="00FD5012"/>
    <w:rsid w:val="00FD7436"/>
    <w:rsid w:val="00FF5686"/>
    <w:rsid w:val="00FF5B1F"/>
    <w:rsid w:val="00FF7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10E1"/>
  <w15:chartTrackingRefBased/>
  <w15:docId w15:val="{FEB9CD59-8602-4C66-A496-56FCFDE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5D"/>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uiPriority w:val="9"/>
    <w:qFormat/>
    <w:rsid w:val="00E279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279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279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279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794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279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9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9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9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279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2794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2794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2794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279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9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9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9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9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943"/>
    <w:pPr>
      <w:spacing w:before="160"/>
      <w:jc w:val="center"/>
    </w:pPr>
    <w:rPr>
      <w:i/>
      <w:iCs/>
      <w:color w:val="404040" w:themeColor="text1" w:themeTint="BF"/>
    </w:rPr>
  </w:style>
  <w:style w:type="character" w:customStyle="1" w:styleId="QuoteChar">
    <w:name w:val="Quote Char"/>
    <w:basedOn w:val="DefaultParagraphFont"/>
    <w:link w:val="Quote"/>
    <w:uiPriority w:val="29"/>
    <w:rsid w:val="00E27943"/>
    <w:rPr>
      <w:i/>
      <w:iCs/>
      <w:color w:val="404040" w:themeColor="text1" w:themeTint="BF"/>
    </w:rPr>
  </w:style>
  <w:style w:type="paragraph" w:styleId="ListParagraph">
    <w:name w:val="List Paragraph"/>
    <w:basedOn w:val="Normal"/>
    <w:uiPriority w:val="34"/>
    <w:qFormat/>
    <w:rsid w:val="00E27943"/>
    <w:pPr>
      <w:ind w:left="720"/>
      <w:contextualSpacing/>
    </w:pPr>
  </w:style>
  <w:style w:type="character" w:styleId="IntenseEmphasis">
    <w:name w:val="Intense Emphasis"/>
    <w:basedOn w:val="DefaultParagraphFont"/>
    <w:uiPriority w:val="21"/>
    <w:qFormat/>
    <w:rsid w:val="00E27943"/>
    <w:rPr>
      <w:i/>
      <w:iCs/>
      <w:color w:val="2E74B5" w:themeColor="accent1" w:themeShade="BF"/>
    </w:rPr>
  </w:style>
  <w:style w:type="paragraph" w:styleId="IntenseQuote">
    <w:name w:val="Intense Quote"/>
    <w:basedOn w:val="Normal"/>
    <w:next w:val="Normal"/>
    <w:link w:val="IntenseQuoteChar"/>
    <w:uiPriority w:val="30"/>
    <w:qFormat/>
    <w:rsid w:val="00E279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27943"/>
    <w:rPr>
      <w:i/>
      <w:iCs/>
      <w:color w:val="2E74B5" w:themeColor="accent1" w:themeShade="BF"/>
    </w:rPr>
  </w:style>
  <w:style w:type="character" w:styleId="IntenseReference">
    <w:name w:val="Intense Reference"/>
    <w:basedOn w:val="DefaultParagraphFont"/>
    <w:uiPriority w:val="32"/>
    <w:qFormat/>
    <w:rsid w:val="00E27943"/>
    <w:rPr>
      <w:b/>
      <w:bCs/>
      <w:smallCaps/>
      <w:color w:val="2E74B5" w:themeColor="accent1" w:themeShade="BF"/>
      <w:spacing w:val="5"/>
    </w:rPr>
  </w:style>
  <w:style w:type="character" w:styleId="CommentReference">
    <w:name w:val="annotation reference"/>
    <w:basedOn w:val="DefaultParagraphFont"/>
    <w:uiPriority w:val="99"/>
    <w:semiHidden/>
    <w:unhideWhenUsed/>
    <w:rsid w:val="00E27943"/>
    <w:rPr>
      <w:sz w:val="16"/>
      <w:szCs w:val="16"/>
    </w:rPr>
  </w:style>
  <w:style w:type="paragraph" w:styleId="CommentText">
    <w:name w:val="annotation text"/>
    <w:basedOn w:val="Normal"/>
    <w:link w:val="CommentTextChar"/>
    <w:uiPriority w:val="99"/>
    <w:unhideWhenUsed/>
    <w:rsid w:val="00E27943"/>
    <w:rPr>
      <w:sz w:val="20"/>
    </w:rPr>
  </w:style>
  <w:style w:type="character" w:customStyle="1" w:styleId="CommentTextChar">
    <w:name w:val="Comment Text Char"/>
    <w:basedOn w:val="DefaultParagraphFont"/>
    <w:link w:val="CommentText"/>
    <w:uiPriority w:val="99"/>
    <w:rsid w:val="00E27943"/>
    <w:rPr>
      <w:rFonts w:ascii="Tms Rmn" w:eastAsia="Times New Roman" w:hAnsi="Tms Rmn"/>
      <w:sz w:val="20"/>
      <w:szCs w:val="20"/>
      <w:lang w:eastAsia="en-AU"/>
    </w:rPr>
  </w:style>
  <w:style w:type="paragraph" w:styleId="Revision">
    <w:name w:val="Revision"/>
    <w:hidden/>
    <w:uiPriority w:val="99"/>
    <w:semiHidden/>
    <w:rsid w:val="00DE60AC"/>
    <w:pPr>
      <w:spacing w:after="0" w:line="240" w:lineRule="auto"/>
    </w:pPr>
    <w:rPr>
      <w:rFonts w:ascii="Tms Rmn" w:eastAsia="Times New Roman" w:hAnsi="Tms Rmn"/>
      <w:szCs w:val="20"/>
      <w:lang w:eastAsia="en-AU"/>
    </w:rPr>
  </w:style>
  <w:style w:type="paragraph" w:styleId="CommentSubject">
    <w:name w:val="annotation subject"/>
    <w:basedOn w:val="CommentText"/>
    <w:next w:val="CommentText"/>
    <w:link w:val="CommentSubjectChar"/>
    <w:uiPriority w:val="99"/>
    <w:semiHidden/>
    <w:unhideWhenUsed/>
    <w:rsid w:val="007675A8"/>
    <w:rPr>
      <w:b/>
      <w:bCs/>
    </w:rPr>
  </w:style>
  <w:style w:type="character" w:customStyle="1" w:styleId="CommentSubjectChar">
    <w:name w:val="Comment Subject Char"/>
    <w:basedOn w:val="CommentTextChar"/>
    <w:link w:val="CommentSubject"/>
    <w:uiPriority w:val="99"/>
    <w:semiHidden/>
    <w:rsid w:val="007675A8"/>
    <w:rPr>
      <w:rFonts w:ascii="Tms Rmn" w:eastAsia="Times New Roman" w:hAnsi="Tms Rmn"/>
      <w:b/>
      <w:bCs/>
      <w:sz w:val="20"/>
      <w:szCs w:val="20"/>
      <w:lang w:eastAsia="en-AU"/>
    </w:rPr>
  </w:style>
  <w:style w:type="character" w:styleId="Hyperlink">
    <w:name w:val="Hyperlink"/>
    <w:basedOn w:val="DefaultParagraphFont"/>
    <w:uiPriority w:val="99"/>
    <w:unhideWhenUsed/>
    <w:rsid w:val="00FF5B1F"/>
    <w:rPr>
      <w:color w:val="0563C1" w:themeColor="hyperlink"/>
      <w:u w:val="single"/>
    </w:rPr>
  </w:style>
  <w:style w:type="character" w:styleId="UnresolvedMention">
    <w:name w:val="Unresolved Mention"/>
    <w:basedOn w:val="DefaultParagraphFont"/>
    <w:uiPriority w:val="99"/>
    <w:semiHidden/>
    <w:unhideWhenUsed/>
    <w:rsid w:val="00FF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448">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
    <w:div w:id="8241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FED2-0277-4BC0-A979-C48D8690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2025-03-05T03:10:00Z</dcterms:created>
  <dcterms:modified xsi:type="dcterms:W3CDTF">2025-03-05T03:10:00Z</dcterms:modified>
</cp:coreProperties>
</file>