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3A4B7" w14:textId="77777777" w:rsidR="00623F19" w:rsidRPr="001424AC" w:rsidRDefault="00623F19" w:rsidP="00623F19">
      <w:pPr>
        <w:pStyle w:val="Title"/>
      </w:pPr>
      <w:r w:rsidRPr="001424AC">
        <w:t>EXPLANATORY STATEMENT</w:t>
      </w:r>
    </w:p>
    <w:p w14:paraId="46F2E675" w14:textId="0037D4A4" w:rsidR="00623F19" w:rsidRPr="001424AC" w:rsidRDefault="00623F19" w:rsidP="00623F19">
      <w:pPr>
        <w:pStyle w:val="Title"/>
      </w:pPr>
      <w:r w:rsidRPr="001424AC">
        <w:t xml:space="preserve">INSTRUMENT NUMBER PB </w:t>
      </w:r>
      <w:r w:rsidR="00B00513" w:rsidRPr="001424AC">
        <w:t>23</w:t>
      </w:r>
      <w:r w:rsidRPr="001424AC">
        <w:t xml:space="preserve"> of 202</w:t>
      </w:r>
      <w:r w:rsidR="00B00513" w:rsidRPr="001424AC">
        <w:t>5</w:t>
      </w:r>
    </w:p>
    <w:p w14:paraId="6F7FF882" w14:textId="77777777" w:rsidR="00623F19" w:rsidRPr="001424AC" w:rsidRDefault="00623F19" w:rsidP="00623F19">
      <w:pPr>
        <w:pStyle w:val="Title"/>
        <w:rPr>
          <w:i/>
        </w:rPr>
      </w:pPr>
      <w:r w:rsidRPr="001424AC">
        <w:rPr>
          <w:i/>
        </w:rPr>
        <w:t>NATIONAL HEALTH ACT 1953</w:t>
      </w:r>
    </w:p>
    <w:p w14:paraId="1B6D838C" w14:textId="36CFA4C3" w:rsidR="00623F19" w:rsidRPr="001424AC" w:rsidRDefault="00623F19" w:rsidP="00623F19">
      <w:pPr>
        <w:pStyle w:val="Title"/>
        <w:rPr>
          <w:i/>
        </w:rPr>
      </w:pPr>
      <w:r w:rsidRPr="001424AC">
        <w:rPr>
          <w:i/>
        </w:rPr>
        <w:t xml:space="preserve">National Health (Weighted average disclosed price – </w:t>
      </w:r>
      <w:r w:rsidR="00B00513" w:rsidRPr="001424AC">
        <w:rPr>
          <w:i/>
        </w:rPr>
        <w:t>April 2025</w:t>
      </w:r>
      <w:r w:rsidR="006D0100" w:rsidRPr="001424AC">
        <w:rPr>
          <w:i/>
        </w:rPr>
        <w:t xml:space="preserve"> </w:t>
      </w:r>
      <w:r w:rsidRPr="001424AC">
        <w:rPr>
          <w:i/>
        </w:rPr>
        <w:t xml:space="preserve">reduction day) Amendment Determination </w:t>
      </w:r>
      <w:r w:rsidR="006D0100" w:rsidRPr="001424AC">
        <w:rPr>
          <w:i/>
        </w:rPr>
        <w:t>202</w:t>
      </w:r>
      <w:r w:rsidR="00B00513" w:rsidRPr="001424AC">
        <w:rPr>
          <w:i/>
        </w:rPr>
        <w:t>5</w:t>
      </w:r>
      <w:r w:rsidR="006D0100" w:rsidRPr="001424AC">
        <w:rPr>
          <w:i/>
        </w:rPr>
        <w:t xml:space="preserve"> </w:t>
      </w:r>
    </w:p>
    <w:p w14:paraId="535C5020" w14:textId="77777777" w:rsidR="00623F19" w:rsidRPr="001424AC" w:rsidRDefault="00623F19" w:rsidP="00623F19">
      <w:pPr>
        <w:pStyle w:val="Heading1"/>
      </w:pPr>
      <w:r w:rsidRPr="001424AC">
        <w:t>Authority</w:t>
      </w:r>
    </w:p>
    <w:p w14:paraId="177AB34B" w14:textId="2D98647B" w:rsidR="00623F19" w:rsidRPr="001424AC" w:rsidRDefault="00623F19" w:rsidP="00623F19">
      <w:pPr>
        <w:spacing w:after="120"/>
      </w:pPr>
      <w:r w:rsidRPr="001424AC">
        <w:t>This legislative instrument is made pursuant to subsection 99</w:t>
      </w:r>
      <w:proofErr w:type="gramStart"/>
      <w:r w:rsidRPr="001424AC">
        <w:t>ADB(</w:t>
      </w:r>
      <w:proofErr w:type="gramEnd"/>
      <w:r w:rsidRPr="001424AC">
        <w:t xml:space="preserve">4) of the </w:t>
      </w:r>
      <w:r w:rsidRPr="001424AC">
        <w:rPr>
          <w:i/>
        </w:rPr>
        <w:t>National Health Act 1953</w:t>
      </w:r>
      <w:r w:rsidRPr="001424AC">
        <w:t xml:space="preserve"> (the Act), which provides that the Minister may, by legislative instrument, determine the weighted average disclosed price (WADP) of a brand of a pharmaceutical item (listed brand) in accordance with the </w:t>
      </w:r>
      <w:r w:rsidRPr="001424AC">
        <w:rPr>
          <w:i/>
        </w:rPr>
        <w:t>National Health (Pharmaceutical Benefits) Regulations 2017</w:t>
      </w:r>
      <w:r w:rsidRPr="001424AC">
        <w:t xml:space="preserve"> (the Regulations).</w:t>
      </w:r>
    </w:p>
    <w:p w14:paraId="593D0BA7" w14:textId="77777777" w:rsidR="00623F19" w:rsidRPr="001424AC" w:rsidRDefault="00623F19" w:rsidP="00623F19">
      <w:pPr>
        <w:spacing w:before="120" w:after="120"/>
      </w:pPr>
      <w:r w:rsidRPr="001424AC">
        <w:t>Subsection 99</w:t>
      </w:r>
      <w:proofErr w:type="gramStart"/>
      <w:r w:rsidRPr="001424AC">
        <w:t>ADB(</w:t>
      </w:r>
      <w:proofErr w:type="gramEnd"/>
      <w:r w:rsidRPr="001424AC">
        <w:t xml:space="preserve">7) of the Act further provides that a subsection 99ADB(4) determination for a listed brand may include the adjusted approved ex-manufacturer price (AAEMP) for the listed brand. </w:t>
      </w:r>
    </w:p>
    <w:p w14:paraId="15F4E37B" w14:textId="77777777" w:rsidR="00623F19" w:rsidRPr="001424AC" w:rsidRDefault="00623F19" w:rsidP="00623F19">
      <w:pPr>
        <w:spacing w:before="120" w:after="120"/>
      </w:pPr>
      <w:r w:rsidRPr="001424AC">
        <w:t xml:space="preserve">Subsection 33(3) of the </w:t>
      </w:r>
      <w:r w:rsidRPr="001424AC">
        <w:rPr>
          <w:i/>
        </w:rPr>
        <w:t>Acts Interpretation Act 1901</w:t>
      </w:r>
      <w:r w:rsidRPr="001424AC">
        <w:t xml:space="preserve"> is relied upon to vary or revoke the determination made under subsection 99</w:t>
      </w:r>
      <w:proofErr w:type="gramStart"/>
      <w:r w:rsidRPr="001424AC">
        <w:t>ADB(</w:t>
      </w:r>
      <w:proofErr w:type="gramEnd"/>
      <w:r w:rsidRPr="001424AC">
        <w:t xml:space="preserve">4) for the medicines affected by this legislative instrument. </w:t>
      </w:r>
    </w:p>
    <w:p w14:paraId="6EC7A90B" w14:textId="77777777" w:rsidR="00623F19" w:rsidRPr="001424AC" w:rsidRDefault="00623F19" w:rsidP="00623F19">
      <w:pPr>
        <w:pStyle w:val="Heading1"/>
      </w:pPr>
      <w:r w:rsidRPr="001424AC">
        <w:t>Purpose</w:t>
      </w:r>
    </w:p>
    <w:p w14:paraId="7CACF025" w14:textId="69169DCE" w:rsidR="00623F19" w:rsidRPr="001424AC" w:rsidRDefault="00623F19" w:rsidP="00623F19">
      <w:pPr>
        <w:spacing w:before="120" w:after="120"/>
      </w:pPr>
      <w:r w:rsidRPr="001424AC">
        <w:rPr>
          <w:szCs w:val="24"/>
        </w:rPr>
        <w:t xml:space="preserve">This legislative instrument </w:t>
      </w:r>
      <w:r w:rsidRPr="001424AC">
        <w:t xml:space="preserve">amends the </w:t>
      </w:r>
      <w:r w:rsidRPr="001424AC">
        <w:rPr>
          <w:i/>
        </w:rPr>
        <w:t xml:space="preserve">National Health (Weighted average disclosed price – </w:t>
      </w:r>
      <w:r w:rsidR="008C5169" w:rsidRPr="001424AC">
        <w:rPr>
          <w:i/>
        </w:rPr>
        <w:t>April 2025</w:t>
      </w:r>
      <w:r w:rsidR="006D0100" w:rsidRPr="001424AC">
        <w:rPr>
          <w:i/>
        </w:rPr>
        <w:t xml:space="preserve"> </w:t>
      </w:r>
      <w:r w:rsidRPr="001424AC">
        <w:rPr>
          <w:i/>
        </w:rPr>
        <w:t xml:space="preserve">reduction day) Determination </w:t>
      </w:r>
      <w:r w:rsidR="006D0100" w:rsidRPr="001424AC">
        <w:rPr>
          <w:i/>
        </w:rPr>
        <w:t xml:space="preserve">2024 </w:t>
      </w:r>
      <w:r w:rsidRPr="001424AC">
        <w:t xml:space="preserve">(PB </w:t>
      </w:r>
      <w:r w:rsidR="008C5169" w:rsidRPr="001424AC">
        <w:t>146</w:t>
      </w:r>
      <w:r w:rsidR="006D0100" w:rsidRPr="001424AC">
        <w:t xml:space="preserve"> </w:t>
      </w:r>
      <w:r w:rsidRPr="001424AC">
        <w:t xml:space="preserve">of </w:t>
      </w:r>
      <w:r w:rsidR="006D0100" w:rsidRPr="001424AC">
        <w:t>2024</w:t>
      </w:r>
      <w:r w:rsidRPr="001424AC">
        <w:t>) (the Principal Instrument) by:</w:t>
      </w:r>
    </w:p>
    <w:p w14:paraId="310295FC" w14:textId="77777777" w:rsidR="00550D73" w:rsidRPr="001424AC" w:rsidRDefault="00550D73" w:rsidP="00550D73">
      <w:pPr>
        <w:pStyle w:val="ListParagraph"/>
        <w:numPr>
          <w:ilvl w:val="0"/>
          <w:numId w:val="1"/>
        </w:numPr>
        <w:spacing w:before="120" w:after="120"/>
      </w:pPr>
      <w:r w:rsidRPr="001424AC">
        <w:t>updating in Schedule 1 the form name for brands of pharmaceutical items containing:</w:t>
      </w:r>
    </w:p>
    <w:p w14:paraId="4B40C2CE" w14:textId="77777777" w:rsidR="00550D73" w:rsidRPr="001424AC" w:rsidRDefault="00550D73" w:rsidP="00550D73">
      <w:pPr>
        <w:pStyle w:val="ListParagraph"/>
        <w:numPr>
          <w:ilvl w:val="2"/>
          <w:numId w:val="1"/>
        </w:numPr>
        <w:spacing w:before="120" w:after="120"/>
      </w:pPr>
      <w:r w:rsidRPr="001424AC">
        <w:t xml:space="preserve">esomeprazole, tablet (enteric coated) 20 mg (as magnesium), </w:t>
      </w:r>
      <w:proofErr w:type="gramStart"/>
      <w:r w:rsidRPr="001424AC">
        <w:t>oral;</w:t>
      </w:r>
      <w:proofErr w:type="gramEnd"/>
    </w:p>
    <w:p w14:paraId="39582199" w14:textId="77777777" w:rsidR="00EE35B1" w:rsidRPr="001424AC" w:rsidRDefault="00550D73" w:rsidP="00EE35B1">
      <w:pPr>
        <w:pStyle w:val="ListParagraph"/>
        <w:numPr>
          <w:ilvl w:val="2"/>
          <w:numId w:val="1"/>
        </w:numPr>
        <w:spacing w:before="120" w:after="120"/>
      </w:pPr>
      <w:r w:rsidRPr="001424AC">
        <w:t xml:space="preserve">esomeprazole, tablet (enteric coated) 40 mg (as magnesium), </w:t>
      </w:r>
      <w:proofErr w:type="gramStart"/>
      <w:r w:rsidRPr="001424AC">
        <w:t>oral;</w:t>
      </w:r>
      <w:proofErr w:type="gramEnd"/>
    </w:p>
    <w:p w14:paraId="050DC4F3" w14:textId="77777777" w:rsidR="00EE35B1" w:rsidRPr="001424AC" w:rsidRDefault="00EE35B1" w:rsidP="00EE35B1">
      <w:pPr>
        <w:pStyle w:val="ListParagraph"/>
        <w:numPr>
          <w:ilvl w:val="2"/>
          <w:numId w:val="1"/>
        </w:numPr>
        <w:spacing w:before="120" w:after="120"/>
      </w:pPr>
      <w:r w:rsidRPr="001424AC">
        <w:t xml:space="preserve">varenicline, box containing 11 tablets 0.5 mg and 42 tablets 1 mg, </w:t>
      </w:r>
      <w:proofErr w:type="gramStart"/>
      <w:r w:rsidRPr="001424AC">
        <w:t>oral;</w:t>
      </w:r>
      <w:proofErr w:type="gramEnd"/>
    </w:p>
    <w:p w14:paraId="16A41D3E" w14:textId="60309EC4" w:rsidR="00550D73" w:rsidRPr="001424AC" w:rsidRDefault="00EE35B1" w:rsidP="00EE35B1">
      <w:pPr>
        <w:pStyle w:val="ListParagraph"/>
        <w:numPr>
          <w:ilvl w:val="2"/>
          <w:numId w:val="1"/>
        </w:numPr>
        <w:spacing w:before="120" w:after="120"/>
      </w:pPr>
      <w:r w:rsidRPr="001424AC">
        <w:t>varenicline, tablet 1 mg, oral.</w:t>
      </w:r>
    </w:p>
    <w:p w14:paraId="448FDEF5" w14:textId="46B67D73" w:rsidR="00195A47" w:rsidRPr="001424AC" w:rsidRDefault="00623F19" w:rsidP="00623F19">
      <w:pPr>
        <w:pStyle w:val="ListParagraph"/>
        <w:numPr>
          <w:ilvl w:val="0"/>
          <w:numId w:val="1"/>
        </w:numPr>
        <w:spacing w:before="120" w:after="120"/>
      </w:pPr>
      <w:r w:rsidRPr="001424AC">
        <w:t>removing from Schedule 1 and inserting in Schedule 2 WADPs for brands of pharmaceutical items containing</w:t>
      </w:r>
      <w:r w:rsidR="00195A47" w:rsidRPr="001424AC">
        <w:t>:</w:t>
      </w:r>
    </w:p>
    <w:p w14:paraId="6D003769" w14:textId="5FACC7B9" w:rsidR="00657571" w:rsidRPr="001424AC" w:rsidRDefault="00657571" w:rsidP="00657571">
      <w:pPr>
        <w:pStyle w:val="ListParagraph"/>
        <w:numPr>
          <w:ilvl w:val="2"/>
          <w:numId w:val="1"/>
        </w:numPr>
        <w:spacing w:before="120" w:after="120"/>
      </w:pPr>
      <w:r w:rsidRPr="001424AC">
        <w:t xml:space="preserve">atomoxetine, capsule 10 mg (as hydrochloride), </w:t>
      </w:r>
      <w:proofErr w:type="gramStart"/>
      <w:r w:rsidRPr="001424AC">
        <w:t>oral;</w:t>
      </w:r>
      <w:proofErr w:type="gramEnd"/>
    </w:p>
    <w:p w14:paraId="3C5AB639" w14:textId="0276E3E5" w:rsidR="00657571" w:rsidRPr="001424AC" w:rsidRDefault="00657571" w:rsidP="00657571">
      <w:pPr>
        <w:pStyle w:val="ListParagraph"/>
        <w:numPr>
          <w:ilvl w:val="2"/>
          <w:numId w:val="1"/>
        </w:numPr>
        <w:spacing w:before="120" w:after="120"/>
      </w:pPr>
      <w:r w:rsidRPr="001424AC">
        <w:t xml:space="preserve">atomoxetine, capsule 100 mg (as hydrochloride), </w:t>
      </w:r>
      <w:proofErr w:type="gramStart"/>
      <w:r w:rsidRPr="001424AC">
        <w:t>oral;</w:t>
      </w:r>
      <w:proofErr w:type="gramEnd"/>
    </w:p>
    <w:p w14:paraId="7F0D84F1" w14:textId="261179F2" w:rsidR="00657571" w:rsidRPr="001424AC" w:rsidRDefault="00657571" w:rsidP="00657571">
      <w:pPr>
        <w:pStyle w:val="ListParagraph"/>
        <w:numPr>
          <w:ilvl w:val="2"/>
          <w:numId w:val="1"/>
        </w:numPr>
        <w:spacing w:before="120" w:after="120"/>
      </w:pPr>
      <w:r w:rsidRPr="001424AC">
        <w:t xml:space="preserve">atomoxetine, capsule 18 mg (as hydrochloride), </w:t>
      </w:r>
      <w:proofErr w:type="gramStart"/>
      <w:r w:rsidRPr="001424AC">
        <w:t>oral;</w:t>
      </w:r>
      <w:proofErr w:type="gramEnd"/>
    </w:p>
    <w:p w14:paraId="44B20265" w14:textId="078003C6" w:rsidR="00657571" w:rsidRPr="001424AC" w:rsidRDefault="00657571" w:rsidP="00657571">
      <w:pPr>
        <w:pStyle w:val="ListParagraph"/>
        <w:numPr>
          <w:ilvl w:val="2"/>
          <w:numId w:val="1"/>
        </w:numPr>
        <w:spacing w:before="120" w:after="120"/>
      </w:pPr>
      <w:r w:rsidRPr="001424AC">
        <w:t xml:space="preserve">atomoxetine, capsule 25 mg (as hydrochloride), </w:t>
      </w:r>
      <w:proofErr w:type="gramStart"/>
      <w:r w:rsidRPr="001424AC">
        <w:t>oral;</w:t>
      </w:r>
      <w:proofErr w:type="gramEnd"/>
    </w:p>
    <w:p w14:paraId="7C12A572" w14:textId="551D78A7" w:rsidR="00657571" w:rsidRPr="001424AC" w:rsidRDefault="00657571" w:rsidP="00657571">
      <w:pPr>
        <w:pStyle w:val="ListParagraph"/>
        <w:numPr>
          <w:ilvl w:val="2"/>
          <w:numId w:val="1"/>
        </w:numPr>
        <w:spacing w:before="120" w:after="120"/>
      </w:pPr>
      <w:r w:rsidRPr="001424AC">
        <w:t xml:space="preserve">atomoxetine, capsule 40 mg (as hydrochloride), </w:t>
      </w:r>
      <w:proofErr w:type="gramStart"/>
      <w:r w:rsidRPr="001424AC">
        <w:t>oral;</w:t>
      </w:r>
      <w:proofErr w:type="gramEnd"/>
    </w:p>
    <w:p w14:paraId="7261EE90" w14:textId="66AA8192" w:rsidR="00657571" w:rsidRPr="001424AC" w:rsidRDefault="00657571" w:rsidP="00657571">
      <w:pPr>
        <w:pStyle w:val="ListParagraph"/>
        <w:numPr>
          <w:ilvl w:val="2"/>
          <w:numId w:val="1"/>
        </w:numPr>
        <w:spacing w:before="120" w:after="120"/>
      </w:pPr>
      <w:r w:rsidRPr="001424AC">
        <w:t xml:space="preserve">atomoxetine, capsule 60 mg (as hydrochloride), </w:t>
      </w:r>
      <w:proofErr w:type="gramStart"/>
      <w:r w:rsidRPr="001424AC">
        <w:t>oral;</w:t>
      </w:r>
      <w:proofErr w:type="gramEnd"/>
    </w:p>
    <w:p w14:paraId="3209F6BC" w14:textId="3639B540" w:rsidR="00657571" w:rsidRPr="001424AC" w:rsidRDefault="00657571" w:rsidP="00657571">
      <w:pPr>
        <w:pStyle w:val="ListParagraph"/>
        <w:numPr>
          <w:ilvl w:val="2"/>
          <w:numId w:val="1"/>
        </w:numPr>
        <w:spacing w:before="120" w:after="120"/>
      </w:pPr>
      <w:r w:rsidRPr="001424AC">
        <w:t xml:space="preserve">atomoxetine, capsule 80 mg (as hydrochloride), </w:t>
      </w:r>
      <w:proofErr w:type="gramStart"/>
      <w:r w:rsidRPr="001424AC">
        <w:t>oral;</w:t>
      </w:r>
      <w:proofErr w:type="gramEnd"/>
    </w:p>
    <w:p w14:paraId="5AA35B0B" w14:textId="6A1C2F86" w:rsidR="00BD708F" w:rsidRPr="001424AC" w:rsidRDefault="00BD708F" w:rsidP="00BD708F">
      <w:pPr>
        <w:pStyle w:val="ListParagraph"/>
        <w:numPr>
          <w:ilvl w:val="2"/>
          <w:numId w:val="1"/>
        </w:numPr>
        <w:spacing w:before="120" w:after="120"/>
      </w:pPr>
      <w:r w:rsidRPr="001424AC">
        <w:t xml:space="preserve">buprenorphine, </w:t>
      </w:r>
      <w:r w:rsidR="00F27CAA" w:rsidRPr="001424AC">
        <w:t>t</w:t>
      </w:r>
      <w:r w:rsidRPr="001424AC">
        <w:t xml:space="preserve">ransdermal patch 10 mg, </w:t>
      </w:r>
      <w:proofErr w:type="gramStart"/>
      <w:r w:rsidRPr="001424AC">
        <w:t>transdermal;</w:t>
      </w:r>
      <w:proofErr w:type="gramEnd"/>
    </w:p>
    <w:p w14:paraId="47E8AE88" w14:textId="0BCB9FA3" w:rsidR="00BD708F" w:rsidRPr="001424AC" w:rsidRDefault="00BD708F" w:rsidP="00BD708F">
      <w:pPr>
        <w:pStyle w:val="ListParagraph"/>
        <w:numPr>
          <w:ilvl w:val="2"/>
          <w:numId w:val="1"/>
        </w:numPr>
        <w:spacing w:before="120" w:after="120"/>
      </w:pPr>
      <w:r w:rsidRPr="001424AC">
        <w:t xml:space="preserve">buprenorphine, </w:t>
      </w:r>
      <w:r w:rsidR="00F27CAA" w:rsidRPr="001424AC">
        <w:t>t</w:t>
      </w:r>
      <w:r w:rsidRPr="001424AC">
        <w:t xml:space="preserve">ransdermal patch 15 mg, </w:t>
      </w:r>
      <w:proofErr w:type="gramStart"/>
      <w:r w:rsidRPr="001424AC">
        <w:t>transdermal;</w:t>
      </w:r>
      <w:proofErr w:type="gramEnd"/>
    </w:p>
    <w:p w14:paraId="447C62B6" w14:textId="305F493A" w:rsidR="00BD708F" w:rsidRPr="001424AC" w:rsidRDefault="00BD708F" w:rsidP="00BD708F">
      <w:pPr>
        <w:pStyle w:val="ListParagraph"/>
        <w:numPr>
          <w:ilvl w:val="2"/>
          <w:numId w:val="1"/>
        </w:numPr>
        <w:spacing w:before="120" w:after="120"/>
      </w:pPr>
      <w:r w:rsidRPr="001424AC">
        <w:t xml:space="preserve">buprenorphine, </w:t>
      </w:r>
      <w:r w:rsidR="00F27CAA" w:rsidRPr="001424AC">
        <w:t>t</w:t>
      </w:r>
      <w:r w:rsidRPr="001424AC">
        <w:t xml:space="preserve">ransdermal patch 20 mg, </w:t>
      </w:r>
      <w:proofErr w:type="gramStart"/>
      <w:r w:rsidRPr="001424AC">
        <w:t>transdermal;</w:t>
      </w:r>
      <w:proofErr w:type="gramEnd"/>
    </w:p>
    <w:p w14:paraId="72E3A8A5" w14:textId="6E065CE5" w:rsidR="00BD708F" w:rsidRPr="001424AC" w:rsidRDefault="00BD708F" w:rsidP="00BD708F">
      <w:pPr>
        <w:pStyle w:val="ListParagraph"/>
        <w:numPr>
          <w:ilvl w:val="2"/>
          <w:numId w:val="1"/>
        </w:numPr>
        <w:spacing w:before="120" w:after="120"/>
      </w:pPr>
      <w:r w:rsidRPr="001424AC">
        <w:t xml:space="preserve">buprenorphine, </w:t>
      </w:r>
      <w:r w:rsidR="00F27CAA" w:rsidRPr="001424AC">
        <w:t>t</w:t>
      </w:r>
      <w:r w:rsidRPr="001424AC">
        <w:t xml:space="preserve">ransdermal patch 25 mg, </w:t>
      </w:r>
      <w:proofErr w:type="gramStart"/>
      <w:r w:rsidRPr="001424AC">
        <w:t>transdermal;</w:t>
      </w:r>
      <w:proofErr w:type="gramEnd"/>
    </w:p>
    <w:p w14:paraId="22C9BB8D" w14:textId="3606ADDD" w:rsidR="00BD708F" w:rsidRPr="001424AC" w:rsidRDefault="00BD708F" w:rsidP="00BD708F">
      <w:pPr>
        <w:pStyle w:val="ListParagraph"/>
        <w:numPr>
          <w:ilvl w:val="2"/>
          <w:numId w:val="1"/>
        </w:numPr>
        <w:spacing w:before="120" w:after="120"/>
      </w:pPr>
      <w:r w:rsidRPr="001424AC">
        <w:t xml:space="preserve">buprenorphine, </w:t>
      </w:r>
      <w:r w:rsidR="00F27CAA" w:rsidRPr="001424AC">
        <w:t>t</w:t>
      </w:r>
      <w:r w:rsidRPr="001424AC">
        <w:t xml:space="preserve">ransdermal patch 30 mg, </w:t>
      </w:r>
      <w:proofErr w:type="gramStart"/>
      <w:r w:rsidRPr="001424AC">
        <w:t>transdermal;</w:t>
      </w:r>
      <w:proofErr w:type="gramEnd"/>
    </w:p>
    <w:p w14:paraId="302CE292" w14:textId="355B5A89" w:rsidR="00BD708F" w:rsidRPr="001424AC" w:rsidRDefault="00BD708F" w:rsidP="00BD708F">
      <w:pPr>
        <w:pStyle w:val="ListParagraph"/>
        <w:numPr>
          <w:ilvl w:val="2"/>
          <w:numId w:val="1"/>
        </w:numPr>
        <w:spacing w:before="120" w:after="120"/>
      </w:pPr>
      <w:r w:rsidRPr="001424AC">
        <w:lastRenderedPageBreak/>
        <w:t xml:space="preserve">buprenorphine, </w:t>
      </w:r>
      <w:r w:rsidR="00F27CAA" w:rsidRPr="001424AC">
        <w:t>t</w:t>
      </w:r>
      <w:r w:rsidRPr="001424AC">
        <w:t xml:space="preserve">ransdermal patch 40 mg, </w:t>
      </w:r>
      <w:proofErr w:type="gramStart"/>
      <w:r w:rsidRPr="001424AC">
        <w:t>transdermal;</w:t>
      </w:r>
      <w:proofErr w:type="gramEnd"/>
    </w:p>
    <w:p w14:paraId="3054FEFB" w14:textId="67297597" w:rsidR="00B87889" w:rsidRPr="001424AC" w:rsidRDefault="00BD708F" w:rsidP="00BD708F">
      <w:pPr>
        <w:pStyle w:val="ListParagraph"/>
        <w:numPr>
          <w:ilvl w:val="2"/>
          <w:numId w:val="1"/>
        </w:numPr>
        <w:spacing w:before="120" w:after="120"/>
      </w:pPr>
      <w:r w:rsidRPr="001424AC">
        <w:t xml:space="preserve">buprenorphine, </w:t>
      </w:r>
      <w:r w:rsidR="00F27CAA" w:rsidRPr="001424AC">
        <w:t>t</w:t>
      </w:r>
      <w:r w:rsidRPr="001424AC">
        <w:t xml:space="preserve">ransdermal patch 5 mg, </w:t>
      </w:r>
      <w:proofErr w:type="gramStart"/>
      <w:r w:rsidR="00D8118F" w:rsidRPr="001424AC">
        <w:t>t</w:t>
      </w:r>
      <w:r w:rsidRPr="001424AC">
        <w:t>ransdermal</w:t>
      </w:r>
      <w:r w:rsidR="00D8118F" w:rsidRPr="001424AC">
        <w:t>;</w:t>
      </w:r>
      <w:proofErr w:type="gramEnd"/>
    </w:p>
    <w:p w14:paraId="434B5DD8" w14:textId="5EEB31B6" w:rsidR="00657571" w:rsidRPr="001424AC" w:rsidRDefault="00657571" w:rsidP="00657571">
      <w:pPr>
        <w:pStyle w:val="ListParagraph"/>
        <w:numPr>
          <w:ilvl w:val="2"/>
          <w:numId w:val="1"/>
        </w:numPr>
        <w:spacing w:before="120" w:after="120"/>
      </w:pPr>
      <w:r w:rsidRPr="001424AC">
        <w:t xml:space="preserve">bisacodyl, tablet 5 mg, </w:t>
      </w:r>
      <w:proofErr w:type="gramStart"/>
      <w:r w:rsidRPr="001424AC">
        <w:t>oral;</w:t>
      </w:r>
      <w:proofErr w:type="gramEnd"/>
    </w:p>
    <w:p w14:paraId="3D5BEF40" w14:textId="7FDF0EAC" w:rsidR="00657571" w:rsidRPr="001424AC" w:rsidRDefault="00657571" w:rsidP="00657571">
      <w:pPr>
        <w:pStyle w:val="ListParagraph"/>
        <w:numPr>
          <w:ilvl w:val="2"/>
          <w:numId w:val="1"/>
        </w:numPr>
        <w:spacing w:before="120" w:after="120"/>
      </w:pPr>
      <w:r w:rsidRPr="001424AC">
        <w:t xml:space="preserve">cyclophosphamide, powder for injection 1 g (anhydrous), </w:t>
      </w:r>
      <w:proofErr w:type="gramStart"/>
      <w:r w:rsidRPr="001424AC">
        <w:t>injection;</w:t>
      </w:r>
      <w:proofErr w:type="gramEnd"/>
    </w:p>
    <w:p w14:paraId="0AF6448B" w14:textId="2B42CA7B" w:rsidR="00657571" w:rsidRPr="001424AC" w:rsidRDefault="00657571" w:rsidP="00657571">
      <w:pPr>
        <w:pStyle w:val="ListParagraph"/>
        <w:numPr>
          <w:ilvl w:val="2"/>
          <w:numId w:val="1"/>
        </w:numPr>
        <w:spacing w:before="120" w:after="120"/>
      </w:pPr>
      <w:r w:rsidRPr="001424AC">
        <w:t xml:space="preserve">erythromycin, capsule 250 mg (containing enteric coated pellets), </w:t>
      </w:r>
      <w:proofErr w:type="gramStart"/>
      <w:r w:rsidRPr="001424AC">
        <w:t>oral;</w:t>
      </w:r>
      <w:proofErr w:type="gramEnd"/>
    </w:p>
    <w:p w14:paraId="24B03741" w14:textId="3C5E9D09" w:rsidR="00657571" w:rsidRPr="001424AC" w:rsidRDefault="00657571" w:rsidP="00657571">
      <w:pPr>
        <w:pStyle w:val="ListParagraph"/>
        <w:numPr>
          <w:ilvl w:val="2"/>
          <w:numId w:val="1"/>
        </w:numPr>
        <w:spacing w:before="120" w:after="120"/>
      </w:pPr>
      <w:r w:rsidRPr="001424AC">
        <w:t xml:space="preserve">ezetimibe and rosuvastatin, pack containing 30 tablets ezetimibe 10 mg and 30 tablets rosuvastatin 10 mg (as calcium), </w:t>
      </w:r>
      <w:proofErr w:type="gramStart"/>
      <w:r w:rsidRPr="001424AC">
        <w:t>oral;</w:t>
      </w:r>
      <w:proofErr w:type="gramEnd"/>
    </w:p>
    <w:p w14:paraId="17447947" w14:textId="14BB3FA2" w:rsidR="00657571" w:rsidRPr="001424AC" w:rsidRDefault="00657571" w:rsidP="00657571">
      <w:pPr>
        <w:pStyle w:val="ListParagraph"/>
        <w:numPr>
          <w:ilvl w:val="2"/>
          <w:numId w:val="1"/>
        </w:numPr>
        <w:spacing w:before="120" w:after="120"/>
      </w:pPr>
      <w:r w:rsidRPr="001424AC">
        <w:t xml:space="preserve">ezetimibe and rosuvastatin, pack containing 30 tablets ezetimibe 10 mg and 30 tablets rosuvastatin 20 mg (as calcium), </w:t>
      </w:r>
      <w:proofErr w:type="gramStart"/>
      <w:r w:rsidRPr="001424AC">
        <w:t>oral;</w:t>
      </w:r>
      <w:proofErr w:type="gramEnd"/>
    </w:p>
    <w:p w14:paraId="38ED6944" w14:textId="6E84E9C3" w:rsidR="00657571" w:rsidRPr="001424AC" w:rsidRDefault="00657571" w:rsidP="00657571">
      <w:pPr>
        <w:pStyle w:val="ListParagraph"/>
        <w:numPr>
          <w:ilvl w:val="2"/>
          <w:numId w:val="1"/>
        </w:numPr>
        <w:spacing w:before="120" w:after="120"/>
      </w:pPr>
      <w:r w:rsidRPr="001424AC">
        <w:t xml:space="preserve">ezetimibe and rosuvastatin, pack containing 30 tablets ezetimibe 10 mg and 30 tablets rosuvastatin 40 mg (as calcium), </w:t>
      </w:r>
      <w:proofErr w:type="gramStart"/>
      <w:r w:rsidRPr="001424AC">
        <w:t>oral;</w:t>
      </w:r>
      <w:proofErr w:type="gramEnd"/>
    </w:p>
    <w:p w14:paraId="06EC32B1" w14:textId="7C08DBB7" w:rsidR="00657571" w:rsidRPr="001424AC" w:rsidRDefault="00657571" w:rsidP="00657571">
      <w:pPr>
        <w:pStyle w:val="ListParagraph"/>
        <w:numPr>
          <w:ilvl w:val="2"/>
          <w:numId w:val="1"/>
        </w:numPr>
        <w:spacing w:before="120" w:after="120"/>
      </w:pPr>
      <w:r w:rsidRPr="001424AC">
        <w:t xml:space="preserve">fluticasone propionate with salmeterol, powder for oral inhalation in breath actuated device containing fluticasone propionate 250 micrograms with salmeterol 50 micrograms (as xinafoate) per dose, 60 doses, inhalation by </w:t>
      </w:r>
      <w:proofErr w:type="gramStart"/>
      <w:r w:rsidRPr="001424AC">
        <w:t>mouth;</w:t>
      </w:r>
      <w:proofErr w:type="gramEnd"/>
    </w:p>
    <w:p w14:paraId="2E6173BD" w14:textId="12BBEAE7" w:rsidR="00657571" w:rsidRPr="001424AC" w:rsidRDefault="00657571" w:rsidP="00657571">
      <w:pPr>
        <w:pStyle w:val="ListParagraph"/>
        <w:numPr>
          <w:ilvl w:val="2"/>
          <w:numId w:val="1"/>
        </w:numPr>
        <w:spacing w:before="120" w:after="120"/>
      </w:pPr>
      <w:r w:rsidRPr="001424AC">
        <w:t xml:space="preserve">fluticasone propionate with salmeterol, pressurised inhalation containing fluticasone propionate 125 micrograms with salmeterol 25 micrograms (as xinafoate) per dose, 120 doses (CFC-free formulation), inhalation by </w:t>
      </w:r>
      <w:proofErr w:type="gramStart"/>
      <w:r w:rsidRPr="001424AC">
        <w:t>mouth;</w:t>
      </w:r>
      <w:proofErr w:type="gramEnd"/>
    </w:p>
    <w:p w14:paraId="7D668C29" w14:textId="77777777" w:rsidR="003E3AAB" w:rsidRPr="001424AC" w:rsidRDefault="003E3AAB" w:rsidP="003E3AAB">
      <w:pPr>
        <w:pStyle w:val="ListParagraph"/>
        <w:numPr>
          <w:ilvl w:val="2"/>
          <w:numId w:val="1"/>
        </w:numPr>
        <w:spacing w:before="120" w:after="120"/>
      </w:pPr>
      <w:r w:rsidRPr="001424AC">
        <w:t xml:space="preserve">hydromorphone, injection containing hydromorphone hydrochloride 10 mg in 1 ml, </w:t>
      </w:r>
      <w:proofErr w:type="gramStart"/>
      <w:r w:rsidRPr="001424AC">
        <w:t>injection;</w:t>
      </w:r>
      <w:proofErr w:type="gramEnd"/>
    </w:p>
    <w:p w14:paraId="4AB0D84B" w14:textId="5ADB4DAB" w:rsidR="003E3AAB" w:rsidRPr="001424AC" w:rsidRDefault="003E3AAB" w:rsidP="003E3AAB">
      <w:pPr>
        <w:pStyle w:val="ListParagraph"/>
        <w:numPr>
          <w:ilvl w:val="2"/>
          <w:numId w:val="1"/>
        </w:numPr>
        <w:spacing w:before="120" w:after="120"/>
      </w:pPr>
      <w:r w:rsidRPr="001424AC">
        <w:t>hydromorphone, injection containing hydromorphone hydrochloride 2 mg in 1 ml, injection.</w:t>
      </w:r>
    </w:p>
    <w:p w14:paraId="238B61D4" w14:textId="08088A5D" w:rsidR="00657571" w:rsidRPr="001424AC" w:rsidRDefault="00657571" w:rsidP="00657571">
      <w:pPr>
        <w:pStyle w:val="ListParagraph"/>
        <w:numPr>
          <w:ilvl w:val="2"/>
          <w:numId w:val="1"/>
        </w:numPr>
        <w:spacing w:before="120" w:after="120"/>
      </w:pPr>
      <w:r w:rsidRPr="001424AC">
        <w:t xml:space="preserve">hydromorphone, tablet containing hydromorphone hydrochloride 2 mg, </w:t>
      </w:r>
      <w:proofErr w:type="gramStart"/>
      <w:r w:rsidRPr="001424AC">
        <w:t>oral;</w:t>
      </w:r>
      <w:proofErr w:type="gramEnd"/>
    </w:p>
    <w:p w14:paraId="3534C680" w14:textId="184C392F" w:rsidR="00657571" w:rsidRPr="001424AC" w:rsidRDefault="00657571" w:rsidP="00657571">
      <w:pPr>
        <w:pStyle w:val="ListParagraph"/>
        <w:numPr>
          <w:ilvl w:val="2"/>
          <w:numId w:val="1"/>
        </w:numPr>
        <w:spacing w:before="120" w:after="120"/>
      </w:pPr>
      <w:r w:rsidRPr="001424AC">
        <w:t xml:space="preserve">hydromorphone, tablet containing hydromorphone hydrochloride 4 mg, </w:t>
      </w:r>
      <w:proofErr w:type="gramStart"/>
      <w:r w:rsidRPr="001424AC">
        <w:t>oral;</w:t>
      </w:r>
      <w:proofErr w:type="gramEnd"/>
    </w:p>
    <w:p w14:paraId="44AFF717" w14:textId="3F3A8A1B" w:rsidR="00657571" w:rsidRPr="001424AC" w:rsidRDefault="00657571" w:rsidP="00657571">
      <w:pPr>
        <w:pStyle w:val="ListParagraph"/>
        <w:numPr>
          <w:ilvl w:val="2"/>
          <w:numId w:val="1"/>
        </w:numPr>
        <w:spacing w:before="120" w:after="120"/>
      </w:pPr>
      <w:r w:rsidRPr="001424AC">
        <w:t xml:space="preserve">hydromorphone, tablet containing hydromorphone hydrochloride 8 mg, </w:t>
      </w:r>
      <w:proofErr w:type="gramStart"/>
      <w:r w:rsidRPr="001424AC">
        <w:t>oral;</w:t>
      </w:r>
      <w:proofErr w:type="gramEnd"/>
    </w:p>
    <w:p w14:paraId="0B1B967A" w14:textId="3D2A5C38" w:rsidR="00FF4478" w:rsidRPr="001424AC" w:rsidRDefault="00FF4478" w:rsidP="00657571">
      <w:pPr>
        <w:pStyle w:val="ListParagraph"/>
        <w:numPr>
          <w:ilvl w:val="2"/>
          <w:numId w:val="1"/>
        </w:numPr>
        <w:spacing w:before="120" w:after="120"/>
      </w:pPr>
      <w:r w:rsidRPr="001424AC">
        <w:t xml:space="preserve">infliximab, solution for injection 120 mg in 1 mL pre-filled pen, </w:t>
      </w:r>
      <w:proofErr w:type="gramStart"/>
      <w:r w:rsidRPr="001424AC">
        <w:t>injection;</w:t>
      </w:r>
      <w:proofErr w:type="gramEnd"/>
    </w:p>
    <w:p w14:paraId="2DA6F7FC" w14:textId="43D0F2F8" w:rsidR="00657571" w:rsidRPr="001424AC" w:rsidRDefault="00657571" w:rsidP="00657571">
      <w:pPr>
        <w:pStyle w:val="ListParagraph"/>
        <w:numPr>
          <w:ilvl w:val="2"/>
          <w:numId w:val="1"/>
        </w:numPr>
        <w:spacing w:before="120" w:after="120"/>
      </w:pPr>
      <w:r w:rsidRPr="001424AC">
        <w:t xml:space="preserve">latanoprost with timolol, eye drops 50 micrograms latanoprost with timolol 5 mg (as maleate) per ml, 2.5 ml, application to the </w:t>
      </w:r>
      <w:proofErr w:type="gramStart"/>
      <w:r w:rsidRPr="001424AC">
        <w:t>eye;</w:t>
      </w:r>
      <w:proofErr w:type="gramEnd"/>
    </w:p>
    <w:p w14:paraId="79845516" w14:textId="4205E0AC" w:rsidR="00657571" w:rsidRPr="001424AC" w:rsidRDefault="00657571" w:rsidP="00657571">
      <w:pPr>
        <w:pStyle w:val="ListParagraph"/>
        <w:numPr>
          <w:ilvl w:val="2"/>
          <w:numId w:val="1"/>
        </w:numPr>
        <w:spacing w:before="120" w:after="120"/>
      </w:pPr>
      <w:r w:rsidRPr="001424AC">
        <w:t xml:space="preserve">metoclopramide, injection containing 10 mg metoclopramide hydrochloride (as monohydrate) in 2 ml, </w:t>
      </w:r>
      <w:proofErr w:type="gramStart"/>
      <w:r w:rsidRPr="001424AC">
        <w:t>injection;</w:t>
      </w:r>
      <w:proofErr w:type="gramEnd"/>
    </w:p>
    <w:p w14:paraId="64C12553" w14:textId="7688F262" w:rsidR="00657571" w:rsidRPr="001424AC" w:rsidRDefault="00657571" w:rsidP="00657571">
      <w:pPr>
        <w:pStyle w:val="ListParagraph"/>
        <w:numPr>
          <w:ilvl w:val="2"/>
          <w:numId w:val="1"/>
        </w:numPr>
        <w:spacing w:before="120" w:after="120"/>
      </w:pPr>
      <w:r w:rsidRPr="001424AC">
        <w:t xml:space="preserve">morphine, injection containing morphine </w:t>
      </w:r>
      <w:proofErr w:type="spellStart"/>
      <w:r w:rsidRPr="001424AC">
        <w:t>sulfate</w:t>
      </w:r>
      <w:proofErr w:type="spellEnd"/>
      <w:r w:rsidRPr="001424AC">
        <w:t xml:space="preserve"> pentahydrate 10 mg in 1 ml, </w:t>
      </w:r>
      <w:proofErr w:type="gramStart"/>
      <w:r w:rsidRPr="001424AC">
        <w:t>injection;</w:t>
      </w:r>
      <w:proofErr w:type="gramEnd"/>
    </w:p>
    <w:p w14:paraId="60C1D690" w14:textId="7EC799E0" w:rsidR="00657571" w:rsidRPr="001424AC" w:rsidRDefault="00657571" w:rsidP="00657571">
      <w:pPr>
        <w:pStyle w:val="ListParagraph"/>
        <w:numPr>
          <w:ilvl w:val="2"/>
          <w:numId w:val="1"/>
        </w:numPr>
        <w:spacing w:before="120" w:after="120"/>
      </w:pPr>
      <w:r w:rsidRPr="001424AC">
        <w:t xml:space="preserve">norethisterone with </w:t>
      </w:r>
      <w:proofErr w:type="spellStart"/>
      <w:r w:rsidRPr="001424AC">
        <w:t>ethinylestradiol</w:t>
      </w:r>
      <w:proofErr w:type="spellEnd"/>
      <w:r w:rsidRPr="001424AC">
        <w:t xml:space="preserve">, pack containing 21 tablets 1 mg-35 micrograms and 7 inert tablets, </w:t>
      </w:r>
      <w:proofErr w:type="gramStart"/>
      <w:r w:rsidRPr="001424AC">
        <w:t>oral;</w:t>
      </w:r>
      <w:proofErr w:type="gramEnd"/>
    </w:p>
    <w:p w14:paraId="0751445B" w14:textId="4A672561" w:rsidR="00657571" w:rsidRPr="001424AC" w:rsidRDefault="00657571" w:rsidP="00657571">
      <w:pPr>
        <w:pStyle w:val="ListParagraph"/>
        <w:numPr>
          <w:ilvl w:val="2"/>
          <w:numId w:val="1"/>
        </w:numPr>
        <w:spacing w:before="120" w:after="120"/>
      </w:pPr>
      <w:r w:rsidRPr="001424AC">
        <w:t xml:space="preserve">norethisterone with </w:t>
      </w:r>
      <w:proofErr w:type="spellStart"/>
      <w:r w:rsidRPr="001424AC">
        <w:t>ethinylestradiol</w:t>
      </w:r>
      <w:proofErr w:type="spellEnd"/>
      <w:r w:rsidRPr="001424AC">
        <w:t xml:space="preserve">, pack containing 21 tablets 500 micrograms-35 micrograms and 7 inert tablets, </w:t>
      </w:r>
      <w:proofErr w:type="gramStart"/>
      <w:r w:rsidRPr="001424AC">
        <w:t>oral;</w:t>
      </w:r>
      <w:proofErr w:type="gramEnd"/>
    </w:p>
    <w:p w14:paraId="4A54E9DE" w14:textId="2C26AC45" w:rsidR="000E08BF" w:rsidRPr="001424AC" w:rsidRDefault="000E08BF" w:rsidP="00657571">
      <w:pPr>
        <w:pStyle w:val="ListParagraph"/>
        <w:numPr>
          <w:ilvl w:val="2"/>
          <w:numId w:val="1"/>
        </w:numPr>
        <w:spacing w:before="120" w:after="120"/>
      </w:pPr>
      <w:r w:rsidRPr="001424AC">
        <w:t xml:space="preserve">palonosetron, injection 250 micrograms (as hydrochloride) in 5 ml, </w:t>
      </w:r>
      <w:proofErr w:type="gramStart"/>
      <w:r w:rsidRPr="001424AC">
        <w:t>injection;</w:t>
      </w:r>
      <w:proofErr w:type="gramEnd"/>
    </w:p>
    <w:p w14:paraId="53B81C11" w14:textId="7211CF94" w:rsidR="00657571" w:rsidRPr="001424AC" w:rsidRDefault="00657571" w:rsidP="00657571">
      <w:pPr>
        <w:pStyle w:val="ListParagraph"/>
        <w:numPr>
          <w:ilvl w:val="2"/>
          <w:numId w:val="1"/>
        </w:numPr>
        <w:spacing w:before="120" w:after="120"/>
      </w:pPr>
      <w:proofErr w:type="spellStart"/>
      <w:r w:rsidRPr="001424AC">
        <w:t>riluzole</w:t>
      </w:r>
      <w:proofErr w:type="spellEnd"/>
      <w:r w:rsidRPr="001424AC">
        <w:t xml:space="preserve">, oral suspension 50 mg per 10 ml, 300 ml, </w:t>
      </w:r>
      <w:proofErr w:type="gramStart"/>
      <w:r w:rsidRPr="001424AC">
        <w:t>oral;</w:t>
      </w:r>
      <w:proofErr w:type="gramEnd"/>
    </w:p>
    <w:p w14:paraId="0AF757A2" w14:textId="77777777" w:rsidR="00657571" w:rsidRPr="001424AC" w:rsidRDefault="00657571" w:rsidP="00657571">
      <w:pPr>
        <w:pStyle w:val="ListParagraph"/>
        <w:numPr>
          <w:ilvl w:val="2"/>
          <w:numId w:val="1"/>
        </w:numPr>
        <w:spacing w:before="120" w:after="120"/>
      </w:pPr>
      <w:r w:rsidRPr="001424AC">
        <w:t xml:space="preserve">tenofovir, tablet containing tenofovir disoproxil fumarate 300 mg, </w:t>
      </w:r>
      <w:proofErr w:type="gramStart"/>
      <w:r w:rsidRPr="001424AC">
        <w:t>oral;</w:t>
      </w:r>
      <w:proofErr w:type="gramEnd"/>
    </w:p>
    <w:p w14:paraId="71C91B2A" w14:textId="41CD6169" w:rsidR="003B3517" w:rsidRPr="001424AC" w:rsidRDefault="003B3517" w:rsidP="00657571">
      <w:pPr>
        <w:pStyle w:val="ListParagraph"/>
        <w:numPr>
          <w:ilvl w:val="2"/>
          <w:numId w:val="1"/>
        </w:numPr>
        <w:spacing w:before="120" w:after="120"/>
      </w:pPr>
      <w:r w:rsidRPr="001424AC">
        <w:t>trastuzumab, powder for I.V. infusion 150 mg, injection</w:t>
      </w:r>
    </w:p>
    <w:p w14:paraId="196B4665" w14:textId="107ED8C2" w:rsidR="003B3517" w:rsidRPr="001424AC" w:rsidRDefault="00657571" w:rsidP="003B3517">
      <w:pPr>
        <w:pStyle w:val="ListParagraph"/>
        <w:numPr>
          <w:ilvl w:val="2"/>
          <w:numId w:val="1"/>
        </w:numPr>
        <w:spacing w:before="120" w:after="120"/>
      </w:pPr>
      <w:r w:rsidRPr="001424AC">
        <w:t>trastuzumab, powder for I.V. infusion 440 mg with diluent, injection.</w:t>
      </w:r>
    </w:p>
    <w:p w14:paraId="1B42C9E1" w14:textId="77777777" w:rsidR="00550D73" w:rsidRPr="001424AC" w:rsidRDefault="00550D73" w:rsidP="00550D73">
      <w:pPr>
        <w:pStyle w:val="ListParagraph"/>
        <w:numPr>
          <w:ilvl w:val="0"/>
          <w:numId w:val="1"/>
        </w:numPr>
        <w:spacing w:before="120" w:after="120"/>
      </w:pPr>
      <w:r w:rsidRPr="001424AC">
        <w:t>inserting into Schedule 2 WADPs for brands of pharmaceutical items containing:</w:t>
      </w:r>
    </w:p>
    <w:p w14:paraId="6C478604" w14:textId="77777777" w:rsidR="00550D73" w:rsidRPr="001424AC" w:rsidRDefault="00550D73" w:rsidP="00550D73">
      <w:pPr>
        <w:pStyle w:val="ListParagraph"/>
        <w:numPr>
          <w:ilvl w:val="2"/>
          <w:numId w:val="1"/>
        </w:numPr>
        <w:spacing w:before="120" w:after="120"/>
      </w:pPr>
      <w:r w:rsidRPr="001424AC">
        <w:t xml:space="preserve">acarbose, tablet 100 mg (S19A), </w:t>
      </w:r>
      <w:proofErr w:type="gramStart"/>
      <w:r w:rsidRPr="001424AC">
        <w:t>oral;</w:t>
      </w:r>
      <w:proofErr w:type="gramEnd"/>
    </w:p>
    <w:p w14:paraId="0EED3A06" w14:textId="77777777" w:rsidR="00550D73" w:rsidRPr="001424AC" w:rsidRDefault="00550D73" w:rsidP="00550D73">
      <w:pPr>
        <w:pStyle w:val="ListParagraph"/>
        <w:numPr>
          <w:ilvl w:val="2"/>
          <w:numId w:val="1"/>
        </w:numPr>
        <w:spacing w:before="120" w:after="120"/>
      </w:pPr>
      <w:r w:rsidRPr="001424AC">
        <w:t xml:space="preserve">acarbose, tablet 50 mg (S19A), </w:t>
      </w:r>
      <w:proofErr w:type="gramStart"/>
      <w:r w:rsidRPr="001424AC">
        <w:t>oral;</w:t>
      </w:r>
      <w:proofErr w:type="gramEnd"/>
    </w:p>
    <w:p w14:paraId="3DD7A151" w14:textId="77777777" w:rsidR="00550D73" w:rsidRPr="001424AC" w:rsidRDefault="00550D73" w:rsidP="00550D73">
      <w:pPr>
        <w:pStyle w:val="ListParagraph"/>
        <w:numPr>
          <w:ilvl w:val="2"/>
          <w:numId w:val="1"/>
        </w:numPr>
        <w:spacing w:before="120" w:after="120"/>
      </w:pPr>
      <w:proofErr w:type="spellStart"/>
      <w:r w:rsidRPr="001424AC">
        <w:t>estradiol</w:t>
      </w:r>
      <w:proofErr w:type="spellEnd"/>
      <w:r w:rsidRPr="001424AC">
        <w:t xml:space="preserve">, transdermal gel (pump pack) 750 micrograms (as hemihydrate) per 1.25 g dose, 64 doses, </w:t>
      </w:r>
      <w:proofErr w:type="gramStart"/>
      <w:r w:rsidRPr="001424AC">
        <w:t>transdermal;</w:t>
      </w:r>
      <w:proofErr w:type="gramEnd"/>
    </w:p>
    <w:p w14:paraId="14546F8E" w14:textId="77777777" w:rsidR="00550D73" w:rsidRPr="001424AC" w:rsidRDefault="00550D73" w:rsidP="00550D73">
      <w:pPr>
        <w:pStyle w:val="ListParagraph"/>
        <w:numPr>
          <w:ilvl w:val="2"/>
          <w:numId w:val="1"/>
        </w:numPr>
        <w:spacing w:before="120" w:after="120"/>
      </w:pPr>
      <w:proofErr w:type="spellStart"/>
      <w:r w:rsidRPr="001424AC">
        <w:t>estradiol</w:t>
      </w:r>
      <w:proofErr w:type="spellEnd"/>
      <w:r w:rsidRPr="001424AC">
        <w:t xml:space="preserve">, transdermal gel 500 micrograms in 0.5 g sachet, 28, </w:t>
      </w:r>
      <w:proofErr w:type="gramStart"/>
      <w:r w:rsidRPr="001424AC">
        <w:t>transdermal;</w:t>
      </w:r>
      <w:proofErr w:type="gramEnd"/>
    </w:p>
    <w:p w14:paraId="064846DF" w14:textId="77777777" w:rsidR="00550D73" w:rsidRPr="001424AC" w:rsidRDefault="00550D73" w:rsidP="00550D73">
      <w:pPr>
        <w:pStyle w:val="ListParagraph"/>
        <w:numPr>
          <w:ilvl w:val="2"/>
          <w:numId w:val="1"/>
        </w:numPr>
        <w:spacing w:before="120" w:after="120"/>
      </w:pPr>
      <w:proofErr w:type="spellStart"/>
      <w:r w:rsidRPr="001424AC">
        <w:t>estradiol</w:t>
      </w:r>
      <w:proofErr w:type="spellEnd"/>
      <w:r w:rsidRPr="001424AC">
        <w:t xml:space="preserve">, transdermal patches 1.17 mg, 24 (S19A), </w:t>
      </w:r>
      <w:proofErr w:type="gramStart"/>
      <w:r w:rsidRPr="001424AC">
        <w:t>transdermal;</w:t>
      </w:r>
      <w:proofErr w:type="gramEnd"/>
    </w:p>
    <w:p w14:paraId="1DD399E7" w14:textId="77777777" w:rsidR="00550D73" w:rsidRPr="001424AC" w:rsidRDefault="00550D73" w:rsidP="00550D73">
      <w:pPr>
        <w:pStyle w:val="ListParagraph"/>
        <w:numPr>
          <w:ilvl w:val="2"/>
          <w:numId w:val="1"/>
        </w:numPr>
        <w:spacing w:before="120" w:after="120"/>
      </w:pPr>
      <w:proofErr w:type="spellStart"/>
      <w:r w:rsidRPr="001424AC">
        <w:t>estradiol</w:t>
      </w:r>
      <w:proofErr w:type="spellEnd"/>
      <w:r w:rsidRPr="001424AC">
        <w:t xml:space="preserve">, transdermal patches 1.56 mg, 24 (S19A), </w:t>
      </w:r>
      <w:proofErr w:type="gramStart"/>
      <w:r w:rsidRPr="001424AC">
        <w:t>transdermal;</w:t>
      </w:r>
      <w:proofErr w:type="gramEnd"/>
    </w:p>
    <w:p w14:paraId="59C3F1EE" w14:textId="77777777" w:rsidR="00550D73" w:rsidRPr="001424AC" w:rsidRDefault="00550D73" w:rsidP="00550D73">
      <w:pPr>
        <w:pStyle w:val="ListParagraph"/>
        <w:numPr>
          <w:ilvl w:val="2"/>
          <w:numId w:val="1"/>
        </w:numPr>
        <w:spacing w:before="120" w:after="120"/>
      </w:pPr>
      <w:proofErr w:type="spellStart"/>
      <w:r w:rsidRPr="001424AC">
        <w:lastRenderedPageBreak/>
        <w:t>estradiol</w:t>
      </w:r>
      <w:proofErr w:type="spellEnd"/>
      <w:r w:rsidRPr="001424AC">
        <w:t xml:space="preserve">, transdermal patches 1.56 mg, 24 (Sandoz) (S19A), </w:t>
      </w:r>
      <w:proofErr w:type="gramStart"/>
      <w:r w:rsidRPr="001424AC">
        <w:t>transdermal;</w:t>
      </w:r>
      <w:proofErr w:type="gramEnd"/>
    </w:p>
    <w:p w14:paraId="4D252E72" w14:textId="77777777" w:rsidR="00550D73" w:rsidRPr="001424AC" w:rsidRDefault="00550D73" w:rsidP="00550D73">
      <w:pPr>
        <w:pStyle w:val="ListParagraph"/>
        <w:numPr>
          <w:ilvl w:val="2"/>
          <w:numId w:val="1"/>
        </w:numPr>
        <w:spacing w:before="120" w:after="120"/>
      </w:pPr>
      <w:proofErr w:type="spellStart"/>
      <w:r w:rsidRPr="001424AC">
        <w:t>estradiol</w:t>
      </w:r>
      <w:proofErr w:type="spellEnd"/>
      <w:r w:rsidRPr="001424AC">
        <w:t xml:space="preserve">, transdermal patches 390 micrograms, 24 (S19A), </w:t>
      </w:r>
      <w:proofErr w:type="gramStart"/>
      <w:r w:rsidRPr="001424AC">
        <w:t>transdermal;</w:t>
      </w:r>
      <w:proofErr w:type="gramEnd"/>
    </w:p>
    <w:p w14:paraId="2673B657" w14:textId="77777777" w:rsidR="00550D73" w:rsidRPr="001424AC" w:rsidRDefault="00550D73" w:rsidP="00550D73">
      <w:pPr>
        <w:pStyle w:val="ListParagraph"/>
        <w:numPr>
          <w:ilvl w:val="2"/>
          <w:numId w:val="1"/>
        </w:numPr>
        <w:spacing w:before="120" w:after="120"/>
      </w:pPr>
      <w:proofErr w:type="spellStart"/>
      <w:r w:rsidRPr="001424AC">
        <w:t>estradiol</w:t>
      </w:r>
      <w:proofErr w:type="spellEnd"/>
      <w:r w:rsidRPr="001424AC">
        <w:t xml:space="preserve">, transdermal patches 585 micrograms, 24 (S19A), </w:t>
      </w:r>
      <w:proofErr w:type="gramStart"/>
      <w:r w:rsidRPr="001424AC">
        <w:t>transdermal;</w:t>
      </w:r>
      <w:proofErr w:type="gramEnd"/>
    </w:p>
    <w:p w14:paraId="4026E2CD" w14:textId="77777777" w:rsidR="00550D73" w:rsidRPr="001424AC" w:rsidRDefault="00550D73" w:rsidP="00550D73">
      <w:pPr>
        <w:pStyle w:val="ListParagraph"/>
        <w:numPr>
          <w:ilvl w:val="2"/>
          <w:numId w:val="1"/>
        </w:numPr>
        <w:spacing w:before="120" w:after="120"/>
      </w:pPr>
      <w:proofErr w:type="spellStart"/>
      <w:r w:rsidRPr="001424AC">
        <w:t>estradiol</w:t>
      </w:r>
      <w:proofErr w:type="spellEnd"/>
      <w:r w:rsidRPr="001424AC">
        <w:t xml:space="preserve">, transdermal patches 780 micrograms, 24 (S19A), </w:t>
      </w:r>
      <w:proofErr w:type="gramStart"/>
      <w:r w:rsidRPr="001424AC">
        <w:t>transdermal;</w:t>
      </w:r>
      <w:proofErr w:type="gramEnd"/>
    </w:p>
    <w:p w14:paraId="2ED798FB" w14:textId="77777777" w:rsidR="00550D73" w:rsidRPr="001424AC" w:rsidRDefault="00550D73" w:rsidP="00550D73">
      <w:pPr>
        <w:pStyle w:val="ListParagraph"/>
        <w:numPr>
          <w:ilvl w:val="2"/>
          <w:numId w:val="1"/>
        </w:numPr>
        <w:spacing w:before="120" w:after="120"/>
      </w:pPr>
      <w:r w:rsidRPr="001424AC">
        <w:t xml:space="preserve">ezetimibe, tablet 10 mg (S19A), </w:t>
      </w:r>
      <w:proofErr w:type="gramStart"/>
      <w:r w:rsidRPr="001424AC">
        <w:t>oral;</w:t>
      </w:r>
      <w:proofErr w:type="gramEnd"/>
    </w:p>
    <w:p w14:paraId="2014AC1A" w14:textId="77777777" w:rsidR="00550D73" w:rsidRPr="001424AC" w:rsidRDefault="00550D73" w:rsidP="00550D73">
      <w:pPr>
        <w:pStyle w:val="ListParagraph"/>
        <w:numPr>
          <w:ilvl w:val="2"/>
          <w:numId w:val="1"/>
        </w:numPr>
        <w:spacing w:before="120" w:after="120"/>
      </w:pPr>
      <w:r w:rsidRPr="001424AC">
        <w:t xml:space="preserve">lenalidomide, capsule 20 mg, </w:t>
      </w:r>
      <w:proofErr w:type="gramStart"/>
      <w:r w:rsidRPr="001424AC">
        <w:t>oral;</w:t>
      </w:r>
      <w:proofErr w:type="gramEnd"/>
    </w:p>
    <w:p w14:paraId="541B2FE5" w14:textId="77777777" w:rsidR="00550D73" w:rsidRPr="001424AC" w:rsidRDefault="00550D73" w:rsidP="00550D73">
      <w:pPr>
        <w:pStyle w:val="ListParagraph"/>
        <w:numPr>
          <w:ilvl w:val="2"/>
          <w:numId w:val="1"/>
        </w:numPr>
        <w:spacing w:before="120" w:after="120"/>
      </w:pPr>
      <w:r w:rsidRPr="001424AC">
        <w:t xml:space="preserve">morphine, tablet containing morphine </w:t>
      </w:r>
      <w:proofErr w:type="spellStart"/>
      <w:r w:rsidRPr="001424AC">
        <w:t>sulfate</w:t>
      </w:r>
      <w:proofErr w:type="spellEnd"/>
      <w:r w:rsidRPr="001424AC">
        <w:t xml:space="preserve"> pentahydrate 30 mg, </w:t>
      </w:r>
      <w:proofErr w:type="gramStart"/>
      <w:r w:rsidRPr="001424AC">
        <w:t>oral;</w:t>
      </w:r>
      <w:proofErr w:type="gramEnd"/>
    </w:p>
    <w:p w14:paraId="320944DA" w14:textId="77777777" w:rsidR="00550D73" w:rsidRPr="001424AC" w:rsidRDefault="00550D73" w:rsidP="00550D73">
      <w:pPr>
        <w:pStyle w:val="ListParagraph"/>
        <w:numPr>
          <w:ilvl w:val="2"/>
          <w:numId w:val="1"/>
        </w:numPr>
        <w:spacing w:before="120" w:after="120"/>
      </w:pPr>
      <w:r w:rsidRPr="001424AC">
        <w:t xml:space="preserve">risperidone, I.M. injection (modified release), set containing 1 pre-filled syringe powder for injection 100 mg and 1 pre-filled syringe diluent 490 microlitres, </w:t>
      </w:r>
      <w:proofErr w:type="gramStart"/>
      <w:r w:rsidRPr="001424AC">
        <w:t>injection;</w:t>
      </w:r>
      <w:proofErr w:type="gramEnd"/>
    </w:p>
    <w:p w14:paraId="28A31ED0" w14:textId="77777777" w:rsidR="00550D73" w:rsidRPr="001424AC" w:rsidRDefault="00550D73" w:rsidP="00550D73">
      <w:pPr>
        <w:pStyle w:val="ListParagraph"/>
        <w:numPr>
          <w:ilvl w:val="2"/>
          <w:numId w:val="1"/>
        </w:numPr>
        <w:spacing w:before="120" w:after="120"/>
      </w:pPr>
      <w:r w:rsidRPr="001424AC">
        <w:t xml:space="preserve">risperidone, I.M. injection (modified release), set containing 1 pre-filled syringe powder for injection 75 mg and 1 pre-filled syringe diluent 383 microlitres, </w:t>
      </w:r>
      <w:proofErr w:type="gramStart"/>
      <w:r w:rsidRPr="001424AC">
        <w:t>injection;</w:t>
      </w:r>
      <w:proofErr w:type="gramEnd"/>
    </w:p>
    <w:p w14:paraId="14E1CD35" w14:textId="77777777" w:rsidR="00550D73" w:rsidRPr="001424AC" w:rsidRDefault="00550D73" w:rsidP="00550D73">
      <w:pPr>
        <w:pStyle w:val="ListParagraph"/>
        <w:numPr>
          <w:ilvl w:val="2"/>
          <w:numId w:val="1"/>
        </w:numPr>
        <w:spacing w:before="120" w:after="120"/>
      </w:pPr>
      <w:r w:rsidRPr="001424AC">
        <w:t xml:space="preserve">tenofovir with emtricitabine, tablet containing tenofovir disoproxil fumarate 300 mg with emtricitabine 200 mg (S19A), </w:t>
      </w:r>
      <w:proofErr w:type="gramStart"/>
      <w:r w:rsidRPr="001424AC">
        <w:t>oral;</w:t>
      </w:r>
      <w:proofErr w:type="gramEnd"/>
    </w:p>
    <w:p w14:paraId="358A3436" w14:textId="77777777" w:rsidR="00550D73" w:rsidRPr="001424AC" w:rsidRDefault="00550D73" w:rsidP="00550D73">
      <w:pPr>
        <w:pStyle w:val="ListParagraph"/>
        <w:numPr>
          <w:ilvl w:val="2"/>
          <w:numId w:val="1"/>
        </w:numPr>
        <w:spacing w:before="120" w:after="120"/>
      </w:pPr>
      <w:r w:rsidRPr="001424AC">
        <w:t>timolol, eye drops (</w:t>
      </w:r>
      <w:proofErr w:type="spellStart"/>
      <w:r w:rsidRPr="001424AC">
        <w:t>gellan</w:t>
      </w:r>
      <w:proofErr w:type="spellEnd"/>
      <w:r w:rsidRPr="001424AC">
        <w:t xml:space="preserve"> gum solution) 5 mg (as maleate) per ml, 2.5 ml - (</w:t>
      </w:r>
      <w:proofErr w:type="spellStart"/>
      <w:r w:rsidRPr="001424AC">
        <w:t>Timoptol</w:t>
      </w:r>
      <w:proofErr w:type="spellEnd"/>
      <w:r w:rsidRPr="001424AC">
        <w:t xml:space="preserve">-LA) (S19A), application to the </w:t>
      </w:r>
      <w:proofErr w:type="gramStart"/>
      <w:r w:rsidRPr="001424AC">
        <w:t>eye;</w:t>
      </w:r>
      <w:proofErr w:type="gramEnd"/>
    </w:p>
    <w:p w14:paraId="1201B9D0" w14:textId="77777777" w:rsidR="00550D73" w:rsidRPr="001424AC" w:rsidRDefault="00550D73" w:rsidP="00550D73">
      <w:pPr>
        <w:pStyle w:val="ListParagraph"/>
        <w:numPr>
          <w:ilvl w:val="2"/>
          <w:numId w:val="1"/>
        </w:numPr>
        <w:spacing w:before="120" w:after="120"/>
      </w:pPr>
      <w:r w:rsidRPr="001424AC">
        <w:t xml:space="preserve">timolol, eye drops 5 mg (as maleate) per ml, 5 ml (S19A), application to the </w:t>
      </w:r>
      <w:proofErr w:type="gramStart"/>
      <w:r w:rsidRPr="001424AC">
        <w:t>eye;</w:t>
      </w:r>
      <w:proofErr w:type="gramEnd"/>
    </w:p>
    <w:p w14:paraId="1847F305" w14:textId="7839A40B" w:rsidR="00550D73" w:rsidRPr="001424AC" w:rsidRDefault="00550D73" w:rsidP="00550D73">
      <w:pPr>
        <w:pStyle w:val="ListParagraph"/>
        <w:numPr>
          <w:ilvl w:val="2"/>
          <w:numId w:val="1"/>
        </w:numPr>
        <w:spacing w:before="120" w:after="160" w:line="259" w:lineRule="auto"/>
      </w:pPr>
      <w:r w:rsidRPr="001424AC">
        <w:t>ursodeoxycholic acid, capsule 500 mg, oral.</w:t>
      </w:r>
    </w:p>
    <w:p w14:paraId="4B49E60D" w14:textId="0CF9FF50" w:rsidR="00623F19" w:rsidRPr="001424AC" w:rsidRDefault="00623F19" w:rsidP="00195A47">
      <w:pPr>
        <w:keepNext/>
        <w:keepLines/>
        <w:spacing w:before="120" w:after="120"/>
        <w:ind w:left="3"/>
        <w:rPr>
          <w:szCs w:val="24"/>
        </w:rPr>
      </w:pPr>
      <w:r w:rsidRPr="001424AC">
        <w:t xml:space="preserve">The Principal Instrument was made pursuant to </w:t>
      </w:r>
      <w:r w:rsidRPr="001424AC">
        <w:rPr>
          <w:szCs w:val="24"/>
        </w:rPr>
        <w:t>subsection 99</w:t>
      </w:r>
      <w:proofErr w:type="gramStart"/>
      <w:r w:rsidRPr="001424AC">
        <w:rPr>
          <w:szCs w:val="24"/>
        </w:rPr>
        <w:t>ADB(</w:t>
      </w:r>
      <w:proofErr w:type="gramEnd"/>
      <w:r w:rsidRPr="001424AC">
        <w:rPr>
          <w:szCs w:val="24"/>
        </w:rPr>
        <w:t xml:space="preserve">4) and paragraph 99ADH(1)(aa) of the Act for brands of pharmaceutical items with a data collection period ending </w:t>
      </w:r>
      <w:r w:rsidR="008C5169" w:rsidRPr="001424AC">
        <w:rPr>
          <w:szCs w:val="24"/>
        </w:rPr>
        <w:t>30</w:t>
      </w:r>
      <w:r w:rsidRPr="001424AC">
        <w:rPr>
          <w:szCs w:val="24"/>
        </w:rPr>
        <w:t xml:space="preserve"> </w:t>
      </w:r>
      <w:r w:rsidR="008C5169" w:rsidRPr="001424AC">
        <w:rPr>
          <w:szCs w:val="24"/>
        </w:rPr>
        <w:t xml:space="preserve">September </w:t>
      </w:r>
      <w:r w:rsidRPr="001424AC">
        <w:rPr>
          <w:szCs w:val="24"/>
        </w:rPr>
        <w:t>202</w:t>
      </w:r>
      <w:r w:rsidR="00173788" w:rsidRPr="001424AC">
        <w:rPr>
          <w:szCs w:val="24"/>
        </w:rPr>
        <w:t>4</w:t>
      </w:r>
      <w:r w:rsidRPr="001424AC">
        <w:rPr>
          <w:szCs w:val="24"/>
        </w:rPr>
        <w:t xml:space="preserve"> (202</w:t>
      </w:r>
      <w:r w:rsidR="008C5169" w:rsidRPr="001424AC">
        <w:rPr>
          <w:szCs w:val="24"/>
        </w:rPr>
        <w:t>5</w:t>
      </w:r>
      <w:r w:rsidRPr="001424AC">
        <w:rPr>
          <w:szCs w:val="24"/>
        </w:rPr>
        <w:t xml:space="preserve"> </w:t>
      </w:r>
      <w:r w:rsidR="008C5169" w:rsidRPr="001424AC">
        <w:rPr>
          <w:szCs w:val="24"/>
        </w:rPr>
        <w:t xml:space="preserve">April </w:t>
      </w:r>
      <w:r w:rsidRPr="001424AC">
        <w:rPr>
          <w:szCs w:val="24"/>
        </w:rPr>
        <w:t>cycle).</w:t>
      </w:r>
    </w:p>
    <w:p w14:paraId="6D0B4E6C" w14:textId="77777777" w:rsidR="00623F19" w:rsidRPr="001424AC" w:rsidRDefault="00623F19" w:rsidP="00623F19">
      <w:pPr>
        <w:pStyle w:val="Heading1"/>
        <w:rPr>
          <w:i/>
        </w:rPr>
      </w:pPr>
      <w:r w:rsidRPr="001424AC">
        <w:t>Amendments</w:t>
      </w:r>
    </w:p>
    <w:p w14:paraId="65CC6CEF" w14:textId="77777777" w:rsidR="00623F19" w:rsidRPr="001424AC" w:rsidRDefault="00623F19" w:rsidP="00623F19">
      <w:pPr>
        <w:pStyle w:val="Head2"/>
      </w:pPr>
      <w:r w:rsidRPr="001424AC">
        <w:t>Revision of WADP determinations for brands of pharmaceutical items</w:t>
      </w:r>
    </w:p>
    <w:p w14:paraId="6E7BF5A5" w14:textId="1F0DB299" w:rsidR="00623F19" w:rsidRPr="001424AC" w:rsidRDefault="00623F19" w:rsidP="00623F19">
      <w:pPr>
        <w:spacing w:after="120"/>
      </w:pPr>
      <w:r w:rsidRPr="001424AC">
        <w:t xml:space="preserve">Amendments to the Principal Instrument are being made following consideration of matters raised by Responsible Persons. These Amendments concern the determinations made in the Principal Instrument for brands of pharmaceutical items containing </w:t>
      </w:r>
      <w:r w:rsidR="00550D73" w:rsidRPr="001424AC">
        <w:t>atomoxetine, bisacodyl,</w:t>
      </w:r>
      <w:r w:rsidR="00233C2E" w:rsidRPr="001424AC">
        <w:t xml:space="preserve"> buprenorphine, </w:t>
      </w:r>
      <w:r w:rsidR="00550D73" w:rsidRPr="001424AC">
        <w:t>cyclophosphamide, erythromycin, ezetimibe and rosuvastatin,</w:t>
      </w:r>
      <w:r w:rsidR="00981248" w:rsidRPr="001424AC">
        <w:t xml:space="preserve"> </w:t>
      </w:r>
      <w:r w:rsidR="00E66FB6" w:rsidRPr="001424AC">
        <w:t>fentanyl</w:t>
      </w:r>
      <w:r w:rsidR="00981248" w:rsidRPr="001424AC">
        <w:t>,</w:t>
      </w:r>
      <w:r w:rsidR="00550D73" w:rsidRPr="001424AC">
        <w:t xml:space="preserve"> fluticasone propionate with salmeterol, hydromorphone, </w:t>
      </w:r>
      <w:r w:rsidR="00FF4478" w:rsidRPr="001424AC">
        <w:t xml:space="preserve">infliximab, </w:t>
      </w:r>
      <w:r w:rsidR="006B7866" w:rsidRPr="001424AC">
        <w:t xml:space="preserve">imatinib, </w:t>
      </w:r>
      <w:r w:rsidR="00550D73" w:rsidRPr="001424AC">
        <w:t xml:space="preserve">latanoprost with timolol, metoclopramide, morphine, norethisterone with </w:t>
      </w:r>
      <w:proofErr w:type="spellStart"/>
      <w:r w:rsidR="00550D73" w:rsidRPr="001424AC">
        <w:t>ethinylestradiol</w:t>
      </w:r>
      <w:proofErr w:type="spellEnd"/>
      <w:r w:rsidR="00550D73" w:rsidRPr="001424AC">
        <w:t>,</w:t>
      </w:r>
      <w:r w:rsidR="000E08BF" w:rsidRPr="001424AC">
        <w:t xml:space="preserve"> palonosetron,</w:t>
      </w:r>
      <w:r w:rsidR="00550D73" w:rsidRPr="001424AC">
        <w:t xml:space="preserve"> </w:t>
      </w:r>
      <w:proofErr w:type="spellStart"/>
      <w:r w:rsidR="00550D73" w:rsidRPr="001424AC">
        <w:t>riluzole</w:t>
      </w:r>
      <w:proofErr w:type="spellEnd"/>
      <w:r w:rsidR="00550D73" w:rsidRPr="001424AC">
        <w:t>, tenofovir</w:t>
      </w:r>
      <w:r w:rsidR="003826F1" w:rsidRPr="001424AC">
        <w:t xml:space="preserve"> </w:t>
      </w:r>
      <w:r w:rsidR="00550D73" w:rsidRPr="001424AC">
        <w:t>and trastuzumab</w:t>
      </w:r>
      <w:r w:rsidRPr="001424AC">
        <w:t>, which will no longer take price disclosure reduction</w:t>
      </w:r>
      <w:r w:rsidR="00195A47" w:rsidRPr="001424AC">
        <w:t>s</w:t>
      </w:r>
      <w:r w:rsidRPr="001424AC">
        <w:t xml:space="preserve"> on 1 </w:t>
      </w:r>
      <w:r w:rsidR="008C5169" w:rsidRPr="001424AC">
        <w:t>April 2025</w:t>
      </w:r>
      <w:r w:rsidRPr="001424AC">
        <w:t>.</w:t>
      </w:r>
    </w:p>
    <w:p w14:paraId="2040E4A3" w14:textId="41106408" w:rsidR="00623F19" w:rsidRPr="001424AC" w:rsidRDefault="00623F19" w:rsidP="002F4799">
      <w:pPr>
        <w:rPr>
          <w:i/>
          <w:iCs/>
        </w:rPr>
      </w:pPr>
      <w:r w:rsidRPr="001424AC">
        <w:t>A review of determinations in response to matters raised by Responsible Persons revealed that</w:t>
      </w:r>
      <w:r w:rsidRPr="001424AC">
        <w:rPr>
          <w:lang w:eastAsia="en-US"/>
        </w:rPr>
        <w:t xml:space="preserve"> Responsible Person</w:t>
      </w:r>
      <w:r w:rsidR="00BD09F8" w:rsidRPr="001424AC">
        <w:rPr>
          <w:lang w:eastAsia="en-US"/>
        </w:rPr>
        <w:t>s</w:t>
      </w:r>
      <w:r w:rsidRPr="001424AC">
        <w:rPr>
          <w:lang w:eastAsia="en-US"/>
        </w:rPr>
        <w:t xml:space="preserve"> for brand</w:t>
      </w:r>
      <w:r w:rsidR="00BD09F8" w:rsidRPr="001424AC">
        <w:rPr>
          <w:lang w:eastAsia="en-US"/>
        </w:rPr>
        <w:t>s</w:t>
      </w:r>
      <w:r w:rsidRPr="001424AC">
        <w:rPr>
          <w:lang w:eastAsia="en-US"/>
        </w:rPr>
        <w:t xml:space="preserve"> of</w:t>
      </w:r>
      <w:r w:rsidR="00BD09F8" w:rsidRPr="001424AC">
        <w:rPr>
          <w:lang w:eastAsia="en-US"/>
        </w:rPr>
        <w:t xml:space="preserve"> pharmaceutical items containing</w:t>
      </w:r>
      <w:r w:rsidRPr="001424AC">
        <w:rPr>
          <w:lang w:eastAsia="en-US"/>
        </w:rPr>
        <w:t xml:space="preserve"> </w:t>
      </w:r>
      <w:r w:rsidR="008C5169" w:rsidRPr="001424AC">
        <w:rPr>
          <w:lang w:eastAsia="en-US"/>
        </w:rPr>
        <w:t>fluticasone propionate with salmeterol and hydromorphone</w:t>
      </w:r>
      <w:r w:rsidRPr="001424AC">
        <w:rPr>
          <w:lang w:eastAsia="en-US"/>
        </w:rPr>
        <w:t xml:space="preserve"> had submitted incorrect data. Corrected data was resubmitted. New calculations for the WADPs set out in this amending determination were completed in accordance with the Act and </w:t>
      </w:r>
      <w:proofErr w:type="gramStart"/>
      <w:r w:rsidRPr="001424AC">
        <w:rPr>
          <w:lang w:eastAsia="en-US"/>
        </w:rPr>
        <w:t xml:space="preserve">Regulations, </w:t>
      </w:r>
      <w:r w:rsidR="000C1F55" w:rsidRPr="001424AC">
        <w:rPr>
          <w:lang w:eastAsia="en-US"/>
        </w:rPr>
        <w:t>and</w:t>
      </w:r>
      <w:proofErr w:type="gramEnd"/>
      <w:r w:rsidR="000C1F55" w:rsidRPr="001424AC">
        <w:rPr>
          <w:lang w:eastAsia="en-US"/>
        </w:rPr>
        <w:t xml:space="preserve"> </w:t>
      </w:r>
      <w:r w:rsidRPr="001424AC">
        <w:rPr>
          <w:lang w:eastAsia="en-US"/>
        </w:rPr>
        <w:t xml:space="preserve">moving </w:t>
      </w:r>
      <w:r w:rsidR="008C5169" w:rsidRPr="001424AC">
        <w:rPr>
          <w:lang w:eastAsia="en-US"/>
        </w:rPr>
        <w:t xml:space="preserve">fluticasone propionate </w:t>
      </w:r>
      <w:r w:rsidR="000D5AD2" w:rsidRPr="001424AC">
        <w:rPr>
          <w:lang w:eastAsia="en-US"/>
        </w:rPr>
        <w:t>with salmeterol</w:t>
      </w:r>
      <w:r w:rsidR="000C1F55" w:rsidRPr="001424AC">
        <w:rPr>
          <w:lang w:eastAsia="en-US"/>
        </w:rPr>
        <w:t xml:space="preserve"> and hydromorphone</w:t>
      </w:r>
      <w:r w:rsidRPr="001424AC">
        <w:rPr>
          <w:lang w:eastAsia="en-US"/>
        </w:rPr>
        <w:t xml:space="preserve"> from Schedule 1 to Schedule 2</w:t>
      </w:r>
      <w:r w:rsidRPr="001424AC">
        <w:t>.</w:t>
      </w:r>
      <w:r w:rsidR="002F4799" w:rsidRPr="001424AC">
        <w:t xml:space="preserve"> </w:t>
      </w:r>
      <w:r w:rsidR="00A22EFC" w:rsidRPr="001424AC">
        <w:t>For consistency with the policy intent of Section 82 of the Regulations, where price disclosure reductions do not apply in certain circumstances where there is little discounting and low sales volumes for brands of a pharmaceutical item</w:t>
      </w:r>
      <w:r w:rsidR="002F4799" w:rsidRPr="001424AC">
        <w:t xml:space="preserve">, determinations made in the Principal Instrument for brands of pharmaceutical items containing </w:t>
      </w:r>
      <w:r w:rsidR="008D37A4" w:rsidRPr="001424AC">
        <w:t>fentanyl</w:t>
      </w:r>
      <w:r w:rsidR="002F4799" w:rsidRPr="001424AC">
        <w:t xml:space="preserve">, </w:t>
      </w:r>
      <w:r w:rsidR="008D37A4" w:rsidRPr="001424AC">
        <w:t>hydromorphone</w:t>
      </w:r>
      <w:r w:rsidR="002F4799" w:rsidRPr="001424AC">
        <w:t xml:space="preserve"> and </w:t>
      </w:r>
      <w:r w:rsidR="008D37A4" w:rsidRPr="001424AC">
        <w:t>imatinib</w:t>
      </w:r>
      <w:r w:rsidR="002F4799" w:rsidRPr="001424AC">
        <w:t xml:space="preserve"> will also be amended,</w:t>
      </w:r>
      <w:r w:rsidR="000D5AD2" w:rsidRPr="001424AC">
        <w:t xml:space="preserve"> and</w:t>
      </w:r>
      <w:r w:rsidR="002F4799" w:rsidRPr="001424AC">
        <w:t xml:space="preserve"> the affected brands will no longer take price disclosure reductions on 1 </w:t>
      </w:r>
      <w:r w:rsidR="000D5AD2" w:rsidRPr="001424AC">
        <w:t xml:space="preserve">April 2025 </w:t>
      </w:r>
      <w:r w:rsidR="002F4799" w:rsidRPr="001424AC">
        <w:t>consistent with the policy intent of the price disclosure requirements in the Regulations</w:t>
      </w:r>
      <w:r w:rsidR="002F4799" w:rsidRPr="001424AC">
        <w:rPr>
          <w:i/>
          <w:iCs/>
        </w:rPr>
        <w:t>.</w:t>
      </w:r>
    </w:p>
    <w:p w14:paraId="18962D0E" w14:textId="77777777" w:rsidR="002F4799" w:rsidRPr="001424AC" w:rsidRDefault="002F4799" w:rsidP="00023941"/>
    <w:p w14:paraId="748FF536" w14:textId="77777777" w:rsidR="00623F19" w:rsidRPr="001424AC" w:rsidRDefault="00623F19" w:rsidP="00623F19">
      <w:pPr>
        <w:pStyle w:val="Head2"/>
      </w:pPr>
      <w:r w:rsidRPr="001424AC">
        <w:lastRenderedPageBreak/>
        <w:t>Insertion of WADP determinations for new brands of new pharmaceutical items</w:t>
      </w:r>
    </w:p>
    <w:p w14:paraId="51BF1B11" w14:textId="1A787060" w:rsidR="00623F19" w:rsidRPr="001424AC" w:rsidRDefault="00623F19" w:rsidP="00623F19">
      <w:pPr>
        <w:tabs>
          <w:tab w:val="left" w:pos="709"/>
        </w:tabs>
      </w:pPr>
      <w:r w:rsidRPr="001424AC">
        <w:t xml:space="preserve">WADPs need to be determined for brands of new pharmaceutical items listing on the F2 formulary between 1 </w:t>
      </w:r>
      <w:r w:rsidR="00195A47" w:rsidRPr="001424AC">
        <w:t xml:space="preserve">April </w:t>
      </w:r>
      <w:r w:rsidR="00955CC9" w:rsidRPr="001424AC">
        <w:t xml:space="preserve">2024 </w:t>
      </w:r>
      <w:r w:rsidRPr="001424AC">
        <w:t xml:space="preserve">and 30 </w:t>
      </w:r>
      <w:r w:rsidR="00255C09" w:rsidRPr="001424AC">
        <w:t>September</w:t>
      </w:r>
      <w:r w:rsidRPr="001424AC">
        <w:t xml:space="preserve"> </w:t>
      </w:r>
      <w:r w:rsidR="00955CC9" w:rsidRPr="001424AC">
        <w:t xml:space="preserve">2024 </w:t>
      </w:r>
      <w:r w:rsidRPr="001424AC">
        <w:t xml:space="preserve">and where the drug is currently subject to price disclosure requirements. </w:t>
      </w:r>
    </w:p>
    <w:p w14:paraId="2B7E3E28" w14:textId="77777777" w:rsidR="00623F19" w:rsidRPr="001424AC" w:rsidRDefault="00623F19" w:rsidP="00623F19">
      <w:pPr>
        <w:tabs>
          <w:tab w:val="left" w:pos="709"/>
        </w:tabs>
      </w:pPr>
    </w:p>
    <w:p w14:paraId="25235C59" w14:textId="2985DCF4" w:rsidR="00623F19" w:rsidRPr="001424AC" w:rsidRDefault="00623F19" w:rsidP="00623F19">
      <w:pPr>
        <w:spacing w:after="120"/>
      </w:pPr>
      <w:r w:rsidRPr="001424AC">
        <w:t xml:space="preserve">There are </w:t>
      </w:r>
      <w:r w:rsidR="00A42E4C" w:rsidRPr="001424AC">
        <w:t>18</w:t>
      </w:r>
      <w:r w:rsidR="00A770BE" w:rsidRPr="001424AC">
        <w:t xml:space="preserve"> </w:t>
      </w:r>
      <w:r w:rsidRPr="001424AC">
        <w:t xml:space="preserve">new pharmaceutical items </w:t>
      </w:r>
      <w:r w:rsidR="00A42E4C" w:rsidRPr="001424AC">
        <w:t xml:space="preserve">which have been listed after 30 September and before the reduction day of 1 April 2025 </w:t>
      </w:r>
      <w:r w:rsidRPr="001424AC">
        <w:t>that are included in this legislative instrument.</w:t>
      </w:r>
      <w:r w:rsidR="00195A47" w:rsidRPr="001424AC">
        <w:t xml:space="preserve"> These new pharmaceutical items have been inserted into Schedule 2.</w:t>
      </w:r>
    </w:p>
    <w:p w14:paraId="589A97AD" w14:textId="77777777" w:rsidR="00623F19" w:rsidRPr="001424AC" w:rsidRDefault="00623F19" w:rsidP="00623F19">
      <w:pPr>
        <w:pStyle w:val="Heading1"/>
      </w:pPr>
      <w:r w:rsidRPr="001424AC">
        <w:t>Consultation</w:t>
      </w:r>
    </w:p>
    <w:p w14:paraId="4BC5053B" w14:textId="647F7721" w:rsidR="00E2757A" w:rsidRPr="001424AC" w:rsidRDefault="00623F19" w:rsidP="00623F19">
      <w:pPr>
        <w:spacing w:after="120"/>
        <w:rPr>
          <w:szCs w:val="24"/>
        </w:rPr>
      </w:pPr>
      <w:r w:rsidRPr="001424AC">
        <w:rPr>
          <w:szCs w:val="24"/>
        </w:rPr>
        <w:t>This instrument affects Responsible Persons for all brands of the drug and manner of administration</w:t>
      </w:r>
      <w:r w:rsidR="00195A47" w:rsidRPr="001424AC">
        <w:rPr>
          <w:szCs w:val="24"/>
        </w:rPr>
        <w:t xml:space="preserve"> </w:t>
      </w:r>
      <w:r w:rsidR="00290B88" w:rsidRPr="001424AC">
        <w:rPr>
          <w:szCs w:val="24"/>
        </w:rPr>
        <w:t xml:space="preserve">atomoxetine, bisacodyl, </w:t>
      </w:r>
      <w:r w:rsidR="00717E09" w:rsidRPr="001424AC">
        <w:rPr>
          <w:szCs w:val="24"/>
        </w:rPr>
        <w:t xml:space="preserve">buprenorphine, </w:t>
      </w:r>
      <w:r w:rsidR="00290B88" w:rsidRPr="001424AC">
        <w:rPr>
          <w:szCs w:val="24"/>
        </w:rPr>
        <w:t xml:space="preserve">cyclophosphamide, erythromycin, ezetimibe and rosuvastatin, </w:t>
      </w:r>
      <w:r w:rsidR="00291F12" w:rsidRPr="001424AC">
        <w:rPr>
          <w:szCs w:val="24"/>
        </w:rPr>
        <w:t xml:space="preserve">fentanyl, </w:t>
      </w:r>
      <w:r w:rsidR="00290B88" w:rsidRPr="001424AC">
        <w:rPr>
          <w:szCs w:val="24"/>
        </w:rPr>
        <w:t xml:space="preserve">fluticasone propionate with salmeterol, hydromorphone, </w:t>
      </w:r>
      <w:r w:rsidR="00291F12" w:rsidRPr="001424AC">
        <w:rPr>
          <w:szCs w:val="24"/>
        </w:rPr>
        <w:t>imatinib,</w:t>
      </w:r>
      <w:r w:rsidR="0049137B" w:rsidRPr="001424AC">
        <w:rPr>
          <w:szCs w:val="24"/>
        </w:rPr>
        <w:t xml:space="preserve"> infliximab,</w:t>
      </w:r>
      <w:r w:rsidR="00291F12" w:rsidRPr="001424AC">
        <w:rPr>
          <w:szCs w:val="24"/>
        </w:rPr>
        <w:t xml:space="preserve"> </w:t>
      </w:r>
      <w:r w:rsidR="00290B88" w:rsidRPr="001424AC">
        <w:rPr>
          <w:szCs w:val="24"/>
        </w:rPr>
        <w:t xml:space="preserve">latanoprost with timolol, metoclopramide, morphine, norethisterone with </w:t>
      </w:r>
      <w:proofErr w:type="spellStart"/>
      <w:r w:rsidR="00290B88" w:rsidRPr="001424AC">
        <w:rPr>
          <w:szCs w:val="24"/>
        </w:rPr>
        <w:t>ethinylestradiol</w:t>
      </w:r>
      <w:proofErr w:type="spellEnd"/>
      <w:r w:rsidR="00290B88" w:rsidRPr="001424AC">
        <w:rPr>
          <w:szCs w:val="24"/>
        </w:rPr>
        <w:t xml:space="preserve">, </w:t>
      </w:r>
      <w:r w:rsidR="000E08BF" w:rsidRPr="001424AC">
        <w:rPr>
          <w:szCs w:val="24"/>
        </w:rPr>
        <w:t xml:space="preserve">palonosetron, </w:t>
      </w:r>
      <w:proofErr w:type="spellStart"/>
      <w:r w:rsidR="00290B88" w:rsidRPr="001424AC">
        <w:rPr>
          <w:szCs w:val="24"/>
        </w:rPr>
        <w:t>riluzole</w:t>
      </w:r>
      <w:proofErr w:type="spellEnd"/>
      <w:r w:rsidR="00290B88" w:rsidRPr="001424AC">
        <w:rPr>
          <w:szCs w:val="24"/>
        </w:rPr>
        <w:t>, tenofovir, and trastuzumab.</w:t>
      </w:r>
    </w:p>
    <w:p w14:paraId="14D8D5FC" w14:textId="1351A1A9" w:rsidR="00623F19" w:rsidRPr="001424AC" w:rsidRDefault="00623F19" w:rsidP="00623F19">
      <w:pPr>
        <w:spacing w:after="120"/>
        <w:rPr>
          <w:szCs w:val="24"/>
        </w:rPr>
      </w:pPr>
      <w:r w:rsidRPr="001424AC">
        <w:rPr>
          <w:szCs w:val="24"/>
        </w:rPr>
        <w:t xml:space="preserve">A review of all determinations made in the Principal Instrument was conducted in accordance with the Price Disclosure Dispute Resolution Administrative Process, which provided Responsible Persons the opportunity to identify to the Department of Health and Aged Care any perceived issues with WADP determinations in the Principal Instrument. The Department conducted investigations to ensure the reductions were calculated correctly and that the reductions do not increase the risk of shortages in supply or unmet patient need. The reduction for </w:t>
      </w:r>
      <w:r w:rsidR="00290B88" w:rsidRPr="001424AC">
        <w:rPr>
          <w:szCs w:val="24"/>
        </w:rPr>
        <w:t>two</w:t>
      </w:r>
      <w:r w:rsidRPr="001424AC">
        <w:rPr>
          <w:szCs w:val="24"/>
        </w:rPr>
        <w:t xml:space="preserve"> pharmaceutical item</w:t>
      </w:r>
      <w:r w:rsidR="00290B88" w:rsidRPr="001424AC">
        <w:rPr>
          <w:szCs w:val="24"/>
        </w:rPr>
        <w:t>s</w:t>
      </w:r>
      <w:r w:rsidRPr="001424AC">
        <w:rPr>
          <w:szCs w:val="24"/>
        </w:rPr>
        <w:t xml:space="preserve"> will change. </w:t>
      </w:r>
    </w:p>
    <w:p w14:paraId="5D95DC4B" w14:textId="73D1D52D" w:rsidR="00623F19" w:rsidRPr="001424AC" w:rsidRDefault="00290B88" w:rsidP="00623F19">
      <w:pPr>
        <w:spacing w:after="120"/>
        <w:rPr>
          <w:szCs w:val="24"/>
        </w:rPr>
      </w:pPr>
      <w:r w:rsidRPr="001424AC">
        <w:rPr>
          <w:szCs w:val="24"/>
        </w:rPr>
        <w:t xml:space="preserve">Consultation with medical officers employed by the Department </w:t>
      </w:r>
      <w:r w:rsidR="00623F19" w:rsidRPr="001424AC">
        <w:rPr>
          <w:szCs w:val="24"/>
        </w:rPr>
        <w:t>was undertaken</w:t>
      </w:r>
      <w:r w:rsidR="00591F93" w:rsidRPr="001424AC">
        <w:rPr>
          <w:szCs w:val="24"/>
        </w:rPr>
        <w:t xml:space="preserve"> for some of the disputed drugs.</w:t>
      </w:r>
      <w:r w:rsidR="00623F19" w:rsidRPr="001424AC">
        <w:rPr>
          <w:szCs w:val="24"/>
        </w:rPr>
        <w:t xml:space="preserve"> </w:t>
      </w:r>
      <w:r w:rsidR="00591F93" w:rsidRPr="001424AC">
        <w:rPr>
          <w:szCs w:val="24"/>
        </w:rPr>
        <w:t>C</w:t>
      </w:r>
      <w:r w:rsidR="00623F19" w:rsidRPr="001424AC">
        <w:rPr>
          <w:szCs w:val="24"/>
        </w:rPr>
        <w:t xml:space="preserve">onsultation with affected Responsible Persons </w:t>
      </w:r>
      <w:r w:rsidR="00591F93" w:rsidRPr="001424AC">
        <w:rPr>
          <w:szCs w:val="24"/>
        </w:rPr>
        <w:t xml:space="preserve">also </w:t>
      </w:r>
      <w:r w:rsidR="00623F19" w:rsidRPr="001424AC">
        <w:rPr>
          <w:szCs w:val="24"/>
        </w:rPr>
        <w:t>drew on the knowledge of persons with relevant expertise.</w:t>
      </w:r>
    </w:p>
    <w:p w14:paraId="7A32B4C0" w14:textId="59D60C52" w:rsidR="00560A56" w:rsidRPr="001424AC" w:rsidRDefault="00560A56" w:rsidP="006D443B">
      <w:pPr>
        <w:spacing w:after="120"/>
        <w:rPr>
          <w:szCs w:val="24"/>
        </w:rPr>
      </w:pPr>
      <w:r w:rsidRPr="001424AC">
        <w:rPr>
          <w:szCs w:val="24"/>
        </w:rPr>
        <w:t xml:space="preserve">To the extent that this instrument affects Responsible Persons for brands </w:t>
      </w:r>
      <w:r w:rsidR="00D623DF" w:rsidRPr="001424AC">
        <w:rPr>
          <w:szCs w:val="24"/>
        </w:rPr>
        <w:t xml:space="preserve">of the </w:t>
      </w:r>
      <w:r w:rsidR="00591F93" w:rsidRPr="001424AC">
        <w:rPr>
          <w:szCs w:val="24"/>
        </w:rPr>
        <w:t xml:space="preserve">drugs atomoxetine, bisacodyl, </w:t>
      </w:r>
      <w:r w:rsidR="007D0A3F" w:rsidRPr="001424AC">
        <w:rPr>
          <w:szCs w:val="24"/>
        </w:rPr>
        <w:t xml:space="preserve">buprenorphine, </w:t>
      </w:r>
      <w:r w:rsidR="00591F93" w:rsidRPr="001424AC">
        <w:rPr>
          <w:szCs w:val="24"/>
        </w:rPr>
        <w:t>cyclophosphamide, erythromycin, ezetimibe and rosuvastatin,</w:t>
      </w:r>
      <w:r w:rsidR="007278D0" w:rsidRPr="001424AC">
        <w:rPr>
          <w:szCs w:val="24"/>
        </w:rPr>
        <w:t xml:space="preserve"> fentanyl,</w:t>
      </w:r>
      <w:r w:rsidR="00591F93" w:rsidRPr="001424AC">
        <w:rPr>
          <w:szCs w:val="24"/>
        </w:rPr>
        <w:t xml:space="preserve"> fluticasone propionate with salmeterol, hydromorphone, </w:t>
      </w:r>
      <w:r w:rsidR="007278D0" w:rsidRPr="001424AC">
        <w:rPr>
          <w:szCs w:val="24"/>
        </w:rPr>
        <w:t>imatinib,</w:t>
      </w:r>
      <w:r w:rsidR="00BB081E" w:rsidRPr="001424AC">
        <w:rPr>
          <w:szCs w:val="24"/>
        </w:rPr>
        <w:t xml:space="preserve"> infliximab,</w:t>
      </w:r>
      <w:r w:rsidR="007278D0" w:rsidRPr="001424AC">
        <w:rPr>
          <w:szCs w:val="24"/>
        </w:rPr>
        <w:t xml:space="preserve"> </w:t>
      </w:r>
      <w:r w:rsidR="00591F93" w:rsidRPr="001424AC">
        <w:rPr>
          <w:szCs w:val="24"/>
        </w:rPr>
        <w:t xml:space="preserve">latanoprost with timolol, metoclopramide, morphine, norethisterone with </w:t>
      </w:r>
      <w:proofErr w:type="spellStart"/>
      <w:r w:rsidR="00591F93" w:rsidRPr="001424AC">
        <w:rPr>
          <w:szCs w:val="24"/>
        </w:rPr>
        <w:t>ethinylestradiol</w:t>
      </w:r>
      <w:proofErr w:type="spellEnd"/>
      <w:r w:rsidR="00591F93" w:rsidRPr="001424AC">
        <w:rPr>
          <w:szCs w:val="24"/>
        </w:rPr>
        <w:t xml:space="preserve">, </w:t>
      </w:r>
      <w:r w:rsidR="000E08BF" w:rsidRPr="001424AC">
        <w:rPr>
          <w:szCs w:val="24"/>
        </w:rPr>
        <w:t xml:space="preserve">palonosetron, </w:t>
      </w:r>
      <w:proofErr w:type="spellStart"/>
      <w:r w:rsidR="00591F93" w:rsidRPr="001424AC">
        <w:rPr>
          <w:szCs w:val="24"/>
        </w:rPr>
        <w:t>riluzole</w:t>
      </w:r>
      <w:proofErr w:type="spellEnd"/>
      <w:r w:rsidR="00591F93" w:rsidRPr="001424AC">
        <w:rPr>
          <w:szCs w:val="24"/>
        </w:rPr>
        <w:t>, tenofovir, and trastuzumab</w:t>
      </w:r>
      <w:r w:rsidR="00690F3F" w:rsidRPr="001424AC">
        <w:rPr>
          <w:szCs w:val="24"/>
        </w:rPr>
        <w:t xml:space="preserve">, </w:t>
      </w:r>
      <w:r w:rsidR="0002184F" w:rsidRPr="001424AC">
        <w:rPr>
          <w:szCs w:val="24"/>
        </w:rPr>
        <w:t xml:space="preserve">it was considered that no consultation was necessary as the effect of the amendments is that </w:t>
      </w:r>
      <w:r w:rsidR="007E32FF" w:rsidRPr="001424AC">
        <w:rPr>
          <w:szCs w:val="24"/>
        </w:rPr>
        <w:t>a price reduction will not occur for those brands.</w:t>
      </w:r>
      <w:r w:rsidR="006D443B" w:rsidRPr="001424AC">
        <w:rPr>
          <w:szCs w:val="24"/>
        </w:rPr>
        <w:t xml:space="preserve"> The changed outcome for those brands </w:t>
      </w:r>
      <w:r w:rsidR="00AE0CA1" w:rsidRPr="001424AC">
        <w:rPr>
          <w:szCs w:val="24"/>
        </w:rPr>
        <w:t>should</w:t>
      </w:r>
      <w:r w:rsidR="006D443B" w:rsidRPr="001424AC">
        <w:rPr>
          <w:szCs w:val="24"/>
        </w:rPr>
        <w:t xml:space="preserve"> not increase the risk of shortages in supply or unmet patient need.</w:t>
      </w:r>
    </w:p>
    <w:p w14:paraId="491F2B5A" w14:textId="294B484F" w:rsidR="00623F19" w:rsidRPr="001424AC" w:rsidRDefault="00623F19" w:rsidP="00623F19">
      <w:pPr>
        <w:spacing w:after="120"/>
        <w:rPr>
          <w:b/>
          <w:szCs w:val="24"/>
        </w:rPr>
      </w:pPr>
      <w:r w:rsidRPr="001424AC">
        <w:rPr>
          <w:szCs w:val="24"/>
        </w:rPr>
        <w:t xml:space="preserve">This instrument commences on the day after registration. This instrument is a legislative instrument for the purposes of the </w:t>
      </w:r>
      <w:r w:rsidRPr="001424AC">
        <w:rPr>
          <w:i/>
          <w:szCs w:val="24"/>
        </w:rPr>
        <w:t>Legislation Act 2003.</w:t>
      </w:r>
    </w:p>
    <w:p w14:paraId="4BCEFF46" w14:textId="77777777" w:rsidR="00623F19" w:rsidRPr="001424AC" w:rsidRDefault="00623F19" w:rsidP="00623F19">
      <w:pPr>
        <w:spacing w:after="120"/>
        <w:rPr>
          <w:i/>
        </w:rPr>
      </w:pPr>
      <w:r w:rsidRPr="001424AC">
        <w:rPr>
          <w:i/>
        </w:rPr>
        <w:br w:type="page"/>
      </w:r>
    </w:p>
    <w:p w14:paraId="5F2409A1" w14:textId="77777777" w:rsidR="00623F19" w:rsidRPr="001424AC" w:rsidRDefault="00623F19" w:rsidP="00623F19">
      <w:pPr>
        <w:pStyle w:val="Heading1"/>
        <w:jc w:val="center"/>
      </w:pPr>
      <w:r w:rsidRPr="001424AC">
        <w:lastRenderedPageBreak/>
        <w:t>Statement of Compatibility with Human Rights</w:t>
      </w:r>
    </w:p>
    <w:p w14:paraId="0492403B" w14:textId="77777777" w:rsidR="00623F19" w:rsidRPr="001424AC" w:rsidRDefault="00623F19" w:rsidP="00623F19">
      <w:pPr>
        <w:spacing w:before="60" w:after="60"/>
        <w:jc w:val="center"/>
        <w:rPr>
          <w:szCs w:val="24"/>
        </w:rPr>
      </w:pPr>
      <w:r w:rsidRPr="001424AC">
        <w:rPr>
          <w:i/>
          <w:szCs w:val="24"/>
        </w:rPr>
        <w:t>Prepared in accordance with Part 3 of the Human Rights (Parliamentary Scrutiny) Act 2011</w:t>
      </w:r>
    </w:p>
    <w:p w14:paraId="79B6C9A2" w14:textId="45CED381" w:rsidR="00623F19" w:rsidRPr="001424AC" w:rsidRDefault="00623F19" w:rsidP="00623F19">
      <w:pPr>
        <w:spacing w:before="60" w:after="120"/>
        <w:jc w:val="center"/>
        <w:rPr>
          <w:b/>
          <w:i/>
          <w:szCs w:val="24"/>
        </w:rPr>
      </w:pPr>
      <w:r w:rsidRPr="001424AC">
        <w:rPr>
          <w:b/>
          <w:i/>
          <w:szCs w:val="24"/>
        </w:rPr>
        <w:t xml:space="preserve">National Health (Weighted average disclosed price – </w:t>
      </w:r>
      <w:r w:rsidR="000D5AD2" w:rsidRPr="001424AC">
        <w:rPr>
          <w:b/>
          <w:i/>
          <w:szCs w:val="24"/>
        </w:rPr>
        <w:t xml:space="preserve">April 2025 </w:t>
      </w:r>
      <w:r w:rsidRPr="001424AC">
        <w:rPr>
          <w:b/>
          <w:i/>
          <w:szCs w:val="24"/>
        </w:rPr>
        <w:t xml:space="preserve">reduction day) Amendment Determination </w:t>
      </w:r>
      <w:r w:rsidR="001652A9" w:rsidRPr="001424AC">
        <w:rPr>
          <w:b/>
          <w:i/>
          <w:szCs w:val="24"/>
        </w:rPr>
        <w:t>202</w:t>
      </w:r>
      <w:r w:rsidR="000D5AD2" w:rsidRPr="001424AC">
        <w:rPr>
          <w:b/>
          <w:i/>
          <w:szCs w:val="24"/>
        </w:rPr>
        <w:t>5</w:t>
      </w:r>
    </w:p>
    <w:p w14:paraId="74624083" w14:textId="77777777" w:rsidR="00623F19" w:rsidRPr="001424AC" w:rsidRDefault="00623F19" w:rsidP="00623F19">
      <w:pPr>
        <w:spacing w:before="60" w:after="120"/>
        <w:jc w:val="center"/>
        <w:rPr>
          <w:szCs w:val="24"/>
        </w:rPr>
      </w:pPr>
      <w:r w:rsidRPr="001424AC">
        <w:rPr>
          <w:szCs w:val="24"/>
        </w:rPr>
        <w:t xml:space="preserve">This Legislative Instrument is compatible with the human rights and freedoms recognised or declared in the international instruments listed in section 3 of the </w:t>
      </w:r>
      <w:r w:rsidRPr="001424AC">
        <w:rPr>
          <w:i/>
          <w:szCs w:val="24"/>
        </w:rPr>
        <w:t>Human Rights (Parliamentary Scrutiny) Act 2011</w:t>
      </w:r>
      <w:r w:rsidRPr="001424AC">
        <w:rPr>
          <w:szCs w:val="24"/>
        </w:rPr>
        <w:t>.</w:t>
      </w:r>
    </w:p>
    <w:p w14:paraId="7851DABF" w14:textId="77777777" w:rsidR="00623F19" w:rsidRPr="001424AC" w:rsidRDefault="00623F19" w:rsidP="00623F19">
      <w:pPr>
        <w:pStyle w:val="Heading1"/>
      </w:pPr>
      <w:r w:rsidRPr="001424AC">
        <w:t>Overview of the Legislative Instrument</w:t>
      </w:r>
    </w:p>
    <w:p w14:paraId="7741C6A5" w14:textId="2EE12CA9" w:rsidR="00623F19" w:rsidRPr="001424AC" w:rsidRDefault="00623F19" w:rsidP="00623F19">
      <w:pPr>
        <w:spacing w:before="60" w:after="120"/>
        <w:rPr>
          <w:szCs w:val="24"/>
        </w:rPr>
      </w:pPr>
      <w:r w:rsidRPr="001424AC">
        <w:rPr>
          <w:szCs w:val="24"/>
        </w:rPr>
        <w:t xml:space="preserve">This instrument amends the </w:t>
      </w:r>
      <w:r w:rsidRPr="001424AC">
        <w:rPr>
          <w:i/>
          <w:szCs w:val="24"/>
        </w:rPr>
        <w:t xml:space="preserve">National Health (Weighted average disclosed price – </w:t>
      </w:r>
      <w:r w:rsidR="000D5AD2" w:rsidRPr="001424AC">
        <w:rPr>
          <w:i/>
          <w:szCs w:val="24"/>
        </w:rPr>
        <w:t>April 2025</w:t>
      </w:r>
      <w:r w:rsidR="00163F4E" w:rsidRPr="001424AC">
        <w:rPr>
          <w:i/>
          <w:szCs w:val="24"/>
        </w:rPr>
        <w:t xml:space="preserve"> </w:t>
      </w:r>
      <w:r w:rsidRPr="001424AC">
        <w:rPr>
          <w:i/>
          <w:szCs w:val="24"/>
        </w:rPr>
        <w:t xml:space="preserve">reduction day) Determination </w:t>
      </w:r>
      <w:r w:rsidR="00163F4E" w:rsidRPr="001424AC">
        <w:rPr>
          <w:i/>
          <w:szCs w:val="24"/>
        </w:rPr>
        <w:t xml:space="preserve">2024 </w:t>
      </w:r>
      <w:r w:rsidRPr="001424AC">
        <w:rPr>
          <w:szCs w:val="24"/>
        </w:rPr>
        <w:t>(the Principal Instrument) to a) remove brands of pharmaceutical items which will no longer have a price reduction on reduction day from Schedule 1 and insert them in Schedule 2,</w:t>
      </w:r>
      <w:r w:rsidR="00195A47" w:rsidRPr="001424AC">
        <w:rPr>
          <w:szCs w:val="24"/>
        </w:rPr>
        <w:t xml:space="preserve"> b) update the WADP for brands of pharmaceutical items in Schedule 1,</w:t>
      </w:r>
      <w:r w:rsidRPr="001424AC">
        <w:rPr>
          <w:szCs w:val="24"/>
        </w:rPr>
        <w:t xml:space="preserve"> </w:t>
      </w:r>
      <w:r w:rsidR="00580E42" w:rsidRPr="001424AC">
        <w:rPr>
          <w:szCs w:val="24"/>
        </w:rPr>
        <w:t xml:space="preserve">and </w:t>
      </w:r>
      <w:r w:rsidR="00195A47" w:rsidRPr="001424AC">
        <w:rPr>
          <w:szCs w:val="24"/>
        </w:rPr>
        <w:t>c</w:t>
      </w:r>
      <w:r w:rsidRPr="001424AC">
        <w:rPr>
          <w:szCs w:val="24"/>
        </w:rPr>
        <w:t>) update WADPs for brands of pharmaceutical items in Schedule 2.</w:t>
      </w:r>
    </w:p>
    <w:p w14:paraId="316EB27C" w14:textId="77777777" w:rsidR="00623F19" w:rsidRPr="001424AC" w:rsidRDefault="00623F19" w:rsidP="00623F19">
      <w:pPr>
        <w:spacing w:before="60" w:after="120"/>
        <w:rPr>
          <w:szCs w:val="24"/>
        </w:rPr>
      </w:pPr>
      <w:r w:rsidRPr="001424AC">
        <w:rPr>
          <w:szCs w:val="24"/>
        </w:rPr>
        <w:t>Part VII of the Act is the legislative basis for the Pharmaceutical Benefits Scheme (PBS) by which the Commonwealth provides reliable, timely, and affordable access to a wide range of medicines for all Australians.</w:t>
      </w:r>
    </w:p>
    <w:p w14:paraId="7EC21356" w14:textId="4536FAD5" w:rsidR="00623F19" w:rsidRPr="001424AC" w:rsidRDefault="00623F19" w:rsidP="00623F19">
      <w:pPr>
        <w:spacing w:before="60" w:after="120"/>
        <w:rPr>
          <w:szCs w:val="24"/>
        </w:rPr>
      </w:pPr>
      <w:r w:rsidRPr="001424AC">
        <w:rPr>
          <w:szCs w:val="24"/>
        </w:rPr>
        <w:t xml:space="preserve">Price disclosure provides for the ‘approved ex-manufacturer price’ of a ‘brand of a pharmaceutical item’ to be reduced on a reduction day in certain specified circumstances. The reduction is based on sales revenue, incentives and volume data collected from responsible persons (drug companies) and occurs in accordance with the Act and the </w:t>
      </w:r>
      <w:r w:rsidRPr="001424AC">
        <w:rPr>
          <w:iCs/>
          <w:szCs w:val="24"/>
        </w:rPr>
        <w:t>Regulations</w:t>
      </w:r>
      <w:r w:rsidRPr="001424AC">
        <w:rPr>
          <w:szCs w:val="24"/>
        </w:rPr>
        <w:t>.</w:t>
      </w:r>
    </w:p>
    <w:p w14:paraId="766CD7B4" w14:textId="40B93F51" w:rsidR="00623F19" w:rsidRPr="001424AC" w:rsidRDefault="00623F19" w:rsidP="00623F19">
      <w:pPr>
        <w:spacing w:before="60" w:after="120"/>
        <w:rPr>
          <w:szCs w:val="24"/>
        </w:rPr>
      </w:pPr>
      <w:r w:rsidRPr="001424AC">
        <w:rPr>
          <w:szCs w:val="24"/>
        </w:rPr>
        <w:t xml:space="preserve">The amendments are made to provide for </w:t>
      </w:r>
      <w:r w:rsidR="00A22EFC" w:rsidRPr="001424AC">
        <w:rPr>
          <w:szCs w:val="24"/>
        </w:rPr>
        <w:t xml:space="preserve">appropriate </w:t>
      </w:r>
      <w:r w:rsidRPr="001424AC">
        <w:rPr>
          <w:szCs w:val="24"/>
        </w:rPr>
        <w:t>and effective reductions</w:t>
      </w:r>
      <w:r w:rsidR="00A22EFC" w:rsidRPr="001424AC">
        <w:rPr>
          <w:szCs w:val="24"/>
        </w:rPr>
        <w:t>, consistent with the intent of the price disclosure policies</w:t>
      </w:r>
      <w:r w:rsidRPr="001424AC">
        <w:rPr>
          <w:szCs w:val="24"/>
        </w:rPr>
        <w:t xml:space="preserve"> </w:t>
      </w:r>
      <w:r w:rsidR="00A22EFC" w:rsidRPr="001424AC">
        <w:rPr>
          <w:szCs w:val="24"/>
        </w:rPr>
        <w:t xml:space="preserve">for </w:t>
      </w:r>
      <w:r w:rsidRPr="001424AC">
        <w:rPr>
          <w:szCs w:val="24"/>
        </w:rPr>
        <w:t>prices for pharmaceutical benefits on 1</w:t>
      </w:r>
      <w:r w:rsidR="000D5AD2" w:rsidRPr="001424AC">
        <w:rPr>
          <w:szCs w:val="24"/>
        </w:rPr>
        <w:t xml:space="preserve"> April 2025 </w:t>
      </w:r>
      <w:r w:rsidRPr="001424AC">
        <w:rPr>
          <w:szCs w:val="24"/>
        </w:rPr>
        <w:t>under the statutory provisions for price disclosure.</w:t>
      </w:r>
    </w:p>
    <w:p w14:paraId="489C1232" w14:textId="77777777" w:rsidR="00623F19" w:rsidRPr="001424AC" w:rsidRDefault="00623F19" w:rsidP="00623F19">
      <w:pPr>
        <w:pStyle w:val="Heading1"/>
      </w:pPr>
      <w:r w:rsidRPr="001424AC">
        <w:t>Human rights implications</w:t>
      </w:r>
    </w:p>
    <w:p w14:paraId="2672E11B" w14:textId="77777777" w:rsidR="00623F19" w:rsidRPr="001424AC" w:rsidRDefault="00623F19" w:rsidP="00623F19">
      <w:pPr>
        <w:spacing w:before="120" w:after="120"/>
        <w:rPr>
          <w:szCs w:val="24"/>
        </w:rPr>
      </w:pPr>
      <w:r w:rsidRPr="001424AC">
        <w:rPr>
          <w:szCs w:val="24"/>
        </w:rPr>
        <w:t xml:space="preserve">This Determination engages Article 12 of the International Covenant on Economic, Social and Cultural Rights by assisting with the progressive realisation by all appropriate means of the right of everyone to the enjoyment of the highest attainable standard of physical and mental health. </w:t>
      </w:r>
    </w:p>
    <w:p w14:paraId="20329397" w14:textId="77777777" w:rsidR="00623F19" w:rsidRPr="001424AC" w:rsidRDefault="00623F19" w:rsidP="00623F19">
      <w:pPr>
        <w:spacing w:before="120" w:after="120"/>
        <w:rPr>
          <w:szCs w:val="24"/>
        </w:rPr>
      </w:pPr>
      <w:r w:rsidRPr="001424AC">
        <w:rPr>
          <w:szCs w:val="24"/>
        </w:rPr>
        <w:t>The PBS is a benefit scheme that assists providing subsidised access to medicines for people. This is a positive and supportive step towards attaining the highest standard of health for all Australians. The price disclosure program progressively reduces the price of some PBS medicines, which are subject to competition, ensuring better value for money from these medicines. These reductions may also result in patients accessing these medicines at lower prices.</w:t>
      </w:r>
    </w:p>
    <w:p w14:paraId="4F54C5F8" w14:textId="302F6D09" w:rsidR="00623F19" w:rsidRPr="001424AC" w:rsidRDefault="00623F19" w:rsidP="00606BCF">
      <w:pPr>
        <w:pStyle w:val="Heading1"/>
        <w:tabs>
          <w:tab w:val="left" w:pos="4985"/>
        </w:tabs>
        <w:rPr>
          <w:b w:val="0"/>
          <w:bCs/>
        </w:rPr>
      </w:pPr>
      <w:r w:rsidRPr="001424AC">
        <w:t>Conclusion</w:t>
      </w:r>
      <w:r w:rsidR="00606BCF" w:rsidRPr="001424AC">
        <w:tab/>
      </w:r>
    </w:p>
    <w:p w14:paraId="023BAB31" w14:textId="77777777" w:rsidR="00623F19" w:rsidRPr="001424AC" w:rsidRDefault="00623F19" w:rsidP="00623F19">
      <w:pPr>
        <w:autoSpaceDE w:val="0"/>
        <w:autoSpaceDN w:val="0"/>
        <w:adjustRightInd w:val="0"/>
        <w:spacing w:before="60" w:after="120"/>
        <w:rPr>
          <w:szCs w:val="24"/>
        </w:rPr>
      </w:pPr>
      <w:r w:rsidRPr="001424AC">
        <w:rPr>
          <w:szCs w:val="24"/>
        </w:rPr>
        <w:t>This Determination is compatible with human rights because it advances the protection of human rights.</w:t>
      </w:r>
    </w:p>
    <w:p w14:paraId="46232016" w14:textId="4530CB57" w:rsidR="00623F19" w:rsidRPr="001424AC" w:rsidRDefault="00565C62" w:rsidP="00623F19">
      <w:pPr>
        <w:rPr>
          <w:b/>
          <w:szCs w:val="24"/>
        </w:rPr>
      </w:pPr>
      <w:r w:rsidRPr="001424AC">
        <w:rPr>
          <w:b/>
          <w:szCs w:val="24"/>
        </w:rPr>
        <w:t>Rebecca Richardson</w:t>
      </w:r>
    </w:p>
    <w:p w14:paraId="4C92C90E" w14:textId="7BF59268" w:rsidR="00623F19" w:rsidRPr="001424AC" w:rsidRDefault="00623F19" w:rsidP="00623F19">
      <w:pPr>
        <w:rPr>
          <w:b/>
          <w:szCs w:val="24"/>
        </w:rPr>
      </w:pPr>
      <w:r w:rsidRPr="001424AC">
        <w:rPr>
          <w:b/>
          <w:szCs w:val="24"/>
        </w:rPr>
        <w:t>Assistant Secretary</w:t>
      </w:r>
    </w:p>
    <w:p w14:paraId="40D0BDC8" w14:textId="6C7FCEC3" w:rsidR="00565C62" w:rsidRPr="001424AC" w:rsidRDefault="00565C62" w:rsidP="00623F19">
      <w:pPr>
        <w:rPr>
          <w:b/>
          <w:szCs w:val="24"/>
        </w:rPr>
      </w:pPr>
      <w:r w:rsidRPr="001424AC">
        <w:rPr>
          <w:b/>
          <w:szCs w:val="24"/>
        </w:rPr>
        <w:t>Pricing and PBS Policy Branch</w:t>
      </w:r>
    </w:p>
    <w:p w14:paraId="3637FF7E" w14:textId="77777777" w:rsidR="00623F19" w:rsidRPr="001424AC" w:rsidRDefault="00623F19" w:rsidP="00623F19">
      <w:pPr>
        <w:rPr>
          <w:b/>
          <w:bCs/>
          <w:color w:val="000000"/>
          <w:szCs w:val="24"/>
        </w:rPr>
      </w:pPr>
      <w:r w:rsidRPr="001424AC">
        <w:rPr>
          <w:b/>
          <w:bCs/>
          <w:color w:val="000000"/>
          <w:szCs w:val="24"/>
        </w:rPr>
        <w:t>Technology Assessment and Access Division</w:t>
      </w:r>
    </w:p>
    <w:p w14:paraId="3303F101" w14:textId="3F0D622B" w:rsidR="00467179" w:rsidRPr="00195A47" w:rsidRDefault="00623F19" w:rsidP="00195A47">
      <w:pPr>
        <w:shd w:val="clear" w:color="auto" w:fill="FFFFFF"/>
        <w:rPr>
          <w:i/>
        </w:rPr>
      </w:pPr>
      <w:r w:rsidRPr="001424AC">
        <w:rPr>
          <w:b/>
          <w:bCs/>
          <w:color w:val="000000"/>
          <w:szCs w:val="24"/>
        </w:rPr>
        <w:t>Department of Health and Aged Care</w:t>
      </w:r>
    </w:p>
    <w:sectPr w:rsidR="00467179" w:rsidRPr="00195A47" w:rsidSect="001C2567">
      <w:headerReference w:type="default" r:id="rId7"/>
      <w:footerReference w:type="even" r:id="rId8"/>
      <w:footerReference w:type="default" r:id="rId9"/>
      <w:footerReference w:type="first" r:id="rId10"/>
      <w:pgSz w:w="11906" w:h="16838" w:code="9"/>
      <w:pgMar w:top="1440" w:right="1440" w:bottom="1440" w:left="1440" w:header="720" w:footer="4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11628" w14:textId="77777777" w:rsidR="00C23BBE" w:rsidRDefault="00C23BBE">
      <w:r>
        <w:separator/>
      </w:r>
    </w:p>
  </w:endnote>
  <w:endnote w:type="continuationSeparator" w:id="0">
    <w:p w14:paraId="49C29990" w14:textId="77777777" w:rsidR="00C23BBE" w:rsidRDefault="00C2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CECF7" w14:textId="77777777" w:rsidR="00395478" w:rsidRDefault="00255C09" w:rsidP="00B724A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0B9DFE" w14:textId="77777777" w:rsidR="00395478" w:rsidRDefault="00395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9520E" w14:textId="77777777" w:rsidR="00395478" w:rsidRDefault="00395478" w:rsidP="00B724AB">
    <w:pPr>
      <w:pStyle w:val="Footer"/>
      <w:framePr w:wrap="around" w:vAnchor="text" w:hAnchor="margin" w:xAlign="center" w:y="1"/>
      <w:rPr>
        <w:rStyle w:val="PageNumber"/>
      </w:rPr>
    </w:pPr>
  </w:p>
  <w:p w14:paraId="664DC76A" w14:textId="77777777" w:rsidR="00395478" w:rsidRDefault="003954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DC4A5" w14:textId="77777777" w:rsidR="00395478" w:rsidRDefault="00255C09">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716F65" w14:textId="77777777" w:rsidR="00C23BBE" w:rsidRDefault="00C23BBE">
      <w:r>
        <w:separator/>
      </w:r>
    </w:p>
  </w:footnote>
  <w:footnote w:type="continuationSeparator" w:id="0">
    <w:p w14:paraId="1FE286AC" w14:textId="77777777" w:rsidR="00C23BBE" w:rsidRDefault="00C2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6AF5E9" w14:textId="77777777" w:rsidR="00395478" w:rsidRDefault="00255C09">
    <w:pPr>
      <w:pStyle w:val="Header"/>
      <w:jc w:val="center"/>
      <w:rPr>
        <w:noProof/>
      </w:rPr>
    </w:pPr>
    <w:r>
      <w:fldChar w:fldCharType="begin"/>
    </w:r>
    <w:r>
      <w:instrText xml:space="preserve"> PAGE   \* MERGEFORMAT </w:instrText>
    </w:r>
    <w:r>
      <w:fldChar w:fldCharType="separate"/>
    </w:r>
    <w:r>
      <w:rPr>
        <w:noProof/>
      </w:rPr>
      <w:t>2</w:t>
    </w:r>
    <w:r>
      <w:rPr>
        <w:noProof/>
      </w:rPr>
      <w:fldChar w:fldCharType="end"/>
    </w:r>
  </w:p>
  <w:p w14:paraId="6068DFB5" w14:textId="77777777" w:rsidR="00395478" w:rsidRDefault="003954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914DFA"/>
    <w:multiLevelType w:val="hybridMultilevel"/>
    <w:tmpl w:val="5DC6EE66"/>
    <w:lvl w:ilvl="0" w:tplc="C302BA14">
      <w:start w:val="1"/>
      <w:numFmt w:val="bullet"/>
      <w:lvlText w:val=""/>
      <w:lvlJc w:val="left"/>
      <w:pPr>
        <w:ind w:left="360" w:hanging="360"/>
      </w:pPr>
      <w:rPr>
        <w:rFonts w:ascii="Symbol" w:hAnsi="Symbol" w:hint="default"/>
        <w:color w:val="auto"/>
      </w:rPr>
    </w:lvl>
    <w:lvl w:ilvl="1" w:tplc="0C090001">
      <w:start w:val="1"/>
      <w:numFmt w:val="bullet"/>
      <w:lvlText w:val=""/>
      <w:lvlJc w:val="left"/>
      <w:pPr>
        <w:ind w:left="0" w:hanging="360"/>
      </w:pPr>
      <w:rPr>
        <w:rFonts w:ascii="Symbol" w:hAnsi="Symbol" w:hint="default"/>
      </w:rPr>
    </w:lvl>
    <w:lvl w:ilvl="2" w:tplc="0C090001">
      <w:start w:val="1"/>
      <w:numFmt w:val="bullet"/>
      <w:lvlText w:val=""/>
      <w:lvlJc w:val="left"/>
      <w:pPr>
        <w:ind w:left="785" w:hanging="360"/>
      </w:pPr>
      <w:rPr>
        <w:rFonts w:ascii="Symbol" w:hAnsi="Symbol" w:hint="default"/>
      </w:rPr>
    </w:lvl>
    <w:lvl w:ilvl="3" w:tplc="0C090003">
      <w:start w:val="1"/>
      <w:numFmt w:val="bullet"/>
      <w:lvlText w:val="o"/>
      <w:lvlJc w:val="left"/>
      <w:pPr>
        <w:ind w:left="1068" w:hanging="360"/>
      </w:pPr>
      <w:rPr>
        <w:rFonts w:ascii="Courier New" w:hAnsi="Courier New" w:cs="Courier New" w:hint="default"/>
      </w:rPr>
    </w:lvl>
    <w:lvl w:ilvl="4" w:tplc="0C090005">
      <w:start w:val="1"/>
      <w:numFmt w:val="bullet"/>
      <w:lvlText w:val=""/>
      <w:lvlJc w:val="left"/>
      <w:pPr>
        <w:ind w:left="1352" w:hanging="360"/>
      </w:pPr>
      <w:rPr>
        <w:rFonts w:ascii="Wingdings" w:hAnsi="Wingdings"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491294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F19"/>
    <w:rsid w:val="0002184F"/>
    <w:rsid w:val="00023941"/>
    <w:rsid w:val="000255BD"/>
    <w:rsid w:val="00047A5E"/>
    <w:rsid w:val="000C1F55"/>
    <w:rsid w:val="000D5AD2"/>
    <w:rsid w:val="000E08BF"/>
    <w:rsid w:val="001424AC"/>
    <w:rsid w:val="0016395A"/>
    <w:rsid w:val="00163F4E"/>
    <w:rsid w:val="001652A9"/>
    <w:rsid w:val="00173788"/>
    <w:rsid w:val="00190B15"/>
    <w:rsid w:val="00192590"/>
    <w:rsid w:val="00195A47"/>
    <w:rsid w:val="001B0536"/>
    <w:rsid w:val="001F7CD1"/>
    <w:rsid w:val="00205994"/>
    <w:rsid w:val="00221B0F"/>
    <w:rsid w:val="00233C2E"/>
    <w:rsid w:val="00243E97"/>
    <w:rsid w:val="00255C09"/>
    <w:rsid w:val="002703AE"/>
    <w:rsid w:val="00290B88"/>
    <w:rsid w:val="00290E23"/>
    <w:rsid w:val="00291F12"/>
    <w:rsid w:val="002960D9"/>
    <w:rsid w:val="002E6DA3"/>
    <w:rsid w:val="002F4799"/>
    <w:rsid w:val="00302097"/>
    <w:rsid w:val="0030741F"/>
    <w:rsid w:val="00307AE1"/>
    <w:rsid w:val="003339C5"/>
    <w:rsid w:val="00336441"/>
    <w:rsid w:val="00357020"/>
    <w:rsid w:val="00380F54"/>
    <w:rsid w:val="003826F1"/>
    <w:rsid w:val="00395478"/>
    <w:rsid w:val="0039656F"/>
    <w:rsid w:val="003B3517"/>
    <w:rsid w:val="003B4EAD"/>
    <w:rsid w:val="003E3AAB"/>
    <w:rsid w:val="003E7A3F"/>
    <w:rsid w:val="00450FA7"/>
    <w:rsid w:val="00462D9C"/>
    <w:rsid w:val="00467179"/>
    <w:rsid w:val="0049137B"/>
    <w:rsid w:val="004B2A71"/>
    <w:rsid w:val="004B57A3"/>
    <w:rsid w:val="004C2A20"/>
    <w:rsid w:val="004D138D"/>
    <w:rsid w:val="004D4A50"/>
    <w:rsid w:val="0052271A"/>
    <w:rsid w:val="005301F9"/>
    <w:rsid w:val="0053406D"/>
    <w:rsid w:val="00547E00"/>
    <w:rsid w:val="00550D73"/>
    <w:rsid w:val="00560A56"/>
    <w:rsid w:val="00565C62"/>
    <w:rsid w:val="005772CA"/>
    <w:rsid w:val="00580C39"/>
    <w:rsid w:val="00580E42"/>
    <w:rsid w:val="005872E8"/>
    <w:rsid w:val="00591F93"/>
    <w:rsid w:val="005B43AD"/>
    <w:rsid w:val="00603031"/>
    <w:rsid w:val="006059E7"/>
    <w:rsid w:val="00606BCF"/>
    <w:rsid w:val="00613D8A"/>
    <w:rsid w:val="00623F19"/>
    <w:rsid w:val="00635268"/>
    <w:rsid w:val="00657571"/>
    <w:rsid w:val="00671191"/>
    <w:rsid w:val="00690F3F"/>
    <w:rsid w:val="006A581B"/>
    <w:rsid w:val="006B4C56"/>
    <w:rsid w:val="006B7866"/>
    <w:rsid w:val="006D0100"/>
    <w:rsid w:val="006D443B"/>
    <w:rsid w:val="006F0D7E"/>
    <w:rsid w:val="006F624A"/>
    <w:rsid w:val="00705E34"/>
    <w:rsid w:val="00717E09"/>
    <w:rsid w:val="007251B4"/>
    <w:rsid w:val="007278D0"/>
    <w:rsid w:val="007340EB"/>
    <w:rsid w:val="00734922"/>
    <w:rsid w:val="00740B77"/>
    <w:rsid w:val="00786191"/>
    <w:rsid w:val="00791FB5"/>
    <w:rsid w:val="007D0A3F"/>
    <w:rsid w:val="007E32FF"/>
    <w:rsid w:val="007E3E4C"/>
    <w:rsid w:val="007E7CCC"/>
    <w:rsid w:val="0082274D"/>
    <w:rsid w:val="008623BF"/>
    <w:rsid w:val="0086445F"/>
    <w:rsid w:val="00865CBD"/>
    <w:rsid w:val="008B3681"/>
    <w:rsid w:val="008C5169"/>
    <w:rsid w:val="008D37A4"/>
    <w:rsid w:val="00900012"/>
    <w:rsid w:val="0091015B"/>
    <w:rsid w:val="009219AD"/>
    <w:rsid w:val="009440E0"/>
    <w:rsid w:val="00947B93"/>
    <w:rsid w:val="00955CC9"/>
    <w:rsid w:val="009671F2"/>
    <w:rsid w:val="00981248"/>
    <w:rsid w:val="00990771"/>
    <w:rsid w:val="009B7075"/>
    <w:rsid w:val="009D43AD"/>
    <w:rsid w:val="009D5BF9"/>
    <w:rsid w:val="00A004B1"/>
    <w:rsid w:val="00A03F09"/>
    <w:rsid w:val="00A22EFC"/>
    <w:rsid w:val="00A355FF"/>
    <w:rsid w:val="00A42E4C"/>
    <w:rsid w:val="00A67898"/>
    <w:rsid w:val="00A75123"/>
    <w:rsid w:val="00A770BE"/>
    <w:rsid w:val="00A83691"/>
    <w:rsid w:val="00A83E54"/>
    <w:rsid w:val="00A878E0"/>
    <w:rsid w:val="00A96B82"/>
    <w:rsid w:val="00AD36FB"/>
    <w:rsid w:val="00AE0CA1"/>
    <w:rsid w:val="00AF69C1"/>
    <w:rsid w:val="00B00513"/>
    <w:rsid w:val="00B87889"/>
    <w:rsid w:val="00BB081E"/>
    <w:rsid w:val="00BB7A14"/>
    <w:rsid w:val="00BD09F8"/>
    <w:rsid w:val="00BD4DE6"/>
    <w:rsid w:val="00BD708F"/>
    <w:rsid w:val="00BE5BAC"/>
    <w:rsid w:val="00C0714B"/>
    <w:rsid w:val="00C23BBE"/>
    <w:rsid w:val="00C365E0"/>
    <w:rsid w:val="00C51CFE"/>
    <w:rsid w:val="00C605E2"/>
    <w:rsid w:val="00C82EDD"/>
    <w:rsid w:val="00C92F00"/>
    <w:rsid w:val="00CC3C1C"/>
    <w:rsid w:val="00CC4435"/>
    <w:rsid w:val="00CF346D"/>
    <w:rsid w:val="00D07726"/>
    <w:rsid w:val="00D07FEC"/>
    <w:rsid w:val="00D2004E"/>
    <w:rsid w:val="00D209AE"/>
    <w:rsid w:val="00D623DF"/>
    <w:rsid w:val="00D8118F"/>
    <w:rsid w:val="00D82C22"/>
    <w:rsid w:val="00DC256A"/>
    <w:rsid w:val="00DD2BCE"/>
    <w:rsid w:val="00DE330D"/>
    <w:rsid w:val="00DF5EF6"/>
    <w:rsid w:val="00E27299"/>
    <w:rsid w:val="00E2757A"/>
    <w:rsid w:val="00E32B1B"/>
    <w:rsid w:val="00E53D0B"/>
    <w:rsid w:val="00E56DB1"/>
    <w:rsid w:val="00E66FB6"/>
    <w:rsid w:val="00E80A74"/>
    <w:rsid w:val="00E93B78"/>
    <w:rsid w:val="00EA1335"/>
    <w:rsid w:val="00EA462D"/>
    <w:rsid w:val="00EB3CB0"/>
    <w:rsid w:val="00ED35DE"/>
    <w:rsid w:val="00ED411B"/>
    <w:rsid w:val="00ED7C2C"/>
    <w:rsid w:val="00ED7C87"/>
    <w:rsid w:val="00EE35B1"/>
    <w:rsid w:val="00EE5737"/>
    <w:rsid w:val="00EF1199"/>
    <w:rsid w:val="00F00AD0"/>
    <w:rsid w:val="00F00AE8"/>
    <w:rsid w:val="00F27CAA"/>
    <w:rsid w:val="00F55EC7"/>
    <w:rsid w:val="00FA472B"/>
    <w:rsid w:val="00FB76B2"/>
    <w:rsid w:val="00FC7874"/>
    <w:rsid w:val="00FF447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27A4B"/>
  <w15:chartTrackingRefBased/>
  <w15:docId w15:val="{FED7E507-39AB-4531-8F6B-BFF85831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F19"/>
    <w:pPr>
      <w:spacing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qFormat/>
    <w:rsid w:val="00623F19"/>
    <w:pPr>
      <w:keepNext/>
      <w:keepLines/>
      <w:spacing w:before="300" w:after="120"/>
      <w:outlineLvl w:val="0"/>
    </w:pPr>
    <w:rPr>
      <w:rFonts w:eastAsiaTheme="majorEastAsia" w:cstheme="majorBidi"/>
      <w:b/>
      <w:sz w:val="26"/>
      <w:szCs w:val="32"/>
    </w:rPr>
  </w:style>
  <w:style w:type="paragraph" w:styleId="Heading2">
    <w:name w:val="heading 2"/>
    <w:basedOn w:val="Normal"/>
    <w:next w:val="Normal"/>
    <w:link w:val="Heading2Char"/>
    <w:uiPriority w:val="9"/>
    <w:semiHidden/>
    <w:unhideWhenUsed/>
    <w:qFormat/>
    <w:rsid w:val="00623F1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3F19"/>
    <w:rPr>
      <w:rFonts w:ascii="Times New Roman" w:eastAsiaTheme="majorEastAsia" w:hAnsi="Times New Roman" w:cstheme="majorBidi"/>
      <w:b/>
      <w:sz w:val="26"/>
      <w:szCs w:val="32"/>
      <w:lang w:eastAsia="en-AU"/>
    </w:rPr>
  </w:style>
  <w:style w:type="paragraph" w:styleId="Footer">
    <w:name w:val="footer"/>
    <w:basedOn w:val="Normal"/>
    <w:link w:val="FooterChar"/>
    <w:rsid w:val="00623F19"/>
    <w:pPr>
      <w:tabs>
        <w:tab w:val="center" w:pos="4153"/>
        <w:tab w:val="right" w:pos="8306"/>
      </w:tabs>
    </w:pPr>
  </w:style>
  <w:style w:type="character" w:customStyle="1" w:styleId="FooterChar">
    <w:name w:val="Footer Char"/>
    <w:basedOn w:val="DefaultParagraphFont"/>
    <w:link w:val="Footer"/>
    <w:rsid w:val="00623F19"/>
    <w:rPr>
      <w:rFonts w:ascii="Times New Roman" w:eastAsia="Times New Roman" w:hAnsi="Times New Roman" w:cs="Times New Roman"/>
      <w:sz w:val="24"/>
      <w:szCs w:val="20"/>
      <w:lang w:eastAsia="en-AU"/>
    </w:rPr>
  </w:style>
  <w:style w:type="character" w:styleId="PageNumber">
    <w:name w:val="page number"/>
    <w:basedOn w:val="DefaultParagraphFont"/>
    <w:rsid w:val="00623F19"/>
  </w:style>
  <w:style w:type="paragraph" w:styleId="Header">
    <w:name w:val="header"/>
    <w:basedOn w:val="Normal"/>
    <w:link w:val="HeaderChar"/>
    <w:uiPriority w:val="99"/>
    <w:rsid w:val="00623F19"/>
    <w:pPr>
      <w:tabs>
        <w:tab w:val="center" w:pos="4153"/>
        <w:tab w:val="right" w:pos="8306"/>
      </w:tabs>
    </w:pPr>
  </w:style>
  <w:style w:type="character" w:customStyle="1" w:styleId="HeaderChar">
    <w:name w:val="Header Char"/>
    <w:basedOn w:val="DefaultParagraphFont"/>
    <w:link w:val="Header"/>
    <w:uiPriority w:val="99"/>
    <w:rsid w:val="00623F19"/>
    <w:rPr>
      <w:rFonts w:ascii="Times New Roman" w:eastAsia="Times New Roman" w:hAnsi="Times New Roman" w:cs="Times New Roman"/>
      <w:sz w:val="24"/>
      <w:szCs w:val="20"/>
      <w:lang w:eastAsia="en-AU"/>
    </w:rPr>
  </w:style>
  <w:style w:type="paragraph" w:styleId="ListParagraph">
    <w:name w:val="List Paragraph"/>
    <w:aliases w:val="Bullet point,List Paragraph1,List Paragraph11,Recommendation,BulletPoints,Bullets,CV text,Dot pt,F5 List Paragraph,FooterText,L,List Paragraph111,List Paragraph2,Medium Grid 1 - Accent 21,NAST Quote,NFP GP Bulleted List,Numbered Paragraph"/>
    <w:basedOn w:val="Normal"/>
    <w:link w:val="ListParagraphChar"/>
    <w:uiPriority w:val="34"/>
    <w:qFormat/>
    <w:rsid w:val="00623F19"/>
    <w:pPr>
      <w:ind w:left="720"/>
      <w:contextualSpacing/>
    </w:pPr>
  </w:style>
  <w:style w:type="paragraph" w:styleId="Title">
    <w:name w:val="Title"/>
    <w:basedOn w:val="Normal"/>
    <w:link w:val="TitleChar"/>
    <w:uiPriority w:val="10"/>
    <w:qFormat/>
    <w:rsid w:val="00623F19"/>
    <w:pPr>
      <w:spacing w:before="100" w:beforeAutospacing="1" w:after="100" w:afterAutospacing="1"/>
      <w:jc w:val="center"/>
    </w:pPr>
    <w:rPr>
      <w:b/>
      <w:sz w:val="28"/>
      <w:szCs w:val="24"/>
    </w:rPr>
  </w:style>
  <w:style w:type="character" w:customStyle="1" w:styleId="TitleChar">
    <w:name w:val="Title Char"/>
    <w:basedOn w:val="DefaultParagraphFont"/>
    <w:link w:val="Title"/>
    <w:uiPriority w:val="10"/>
    <w:rsid w:val="00623F19"/>
    <w:rPr>
      <w:rFonts w:ascii="Times New Roman" w:eastAsia="Times New Roman" w:hAnsi="Times New Roman" w:cs="Times New Roman"/>
      <w:b/>
      <w:sz w:val="28"/>
      <w:szCs w:val="24"/>
      <w:lang w:eastAsia="en-AU"/>
    </w:rPr>
  </w:style>
  <w:style w:type="character" w:customStyle="1" w:styleId="ListParagraphChar">
    <w:name w:val="List Paragraph Char"/>
    <w:aliases w:val="Bullet point Char,List Paragraph1 Char,List Paragraph11 Char,Recommendation Char,BulletPoints Char,Bullets Char,CV text Char,Dot pt Char,F5 List Paragraph Char,FooterText Char,L Char,List Paragraph111 Char,List Paragraph2 Char"/>
    <w:link w:val="ListParagraph"/>
    <w:uiPriority w:val="34"/>
    <w:rsid w:val="00623F19"/>
    <w:rPr>
      <w:rFonts w:ascii="Times New Roman" w:eastAsia="Times New Roman" w:hAnsi="Times New Roman" w:cs="Times New Roman"/>
      <w:sz w:val="24"/>
      <w:szCs w:val="20"/>
      <w:lang w:eastAsia="en-AU"/>
    </w:rPr>
  </w:style>
  <w:style w:type="paragraph" w:customStyle="1" w:styleId="Head2">
    <w:name w:val="Head 2"/>
    <w:basedOn w:val="Heading2"/>
    <w:link w:val="Head2Char"/>
    <w:qFormat/>
    <w:rsid w:val="00623F19"/>
    <w:pPr>
      <w:spacing w:before="240" w:after="120"/>
    </w:pPr>
    <w:rPr>
      <w:i/>
    </w:rPr>
  </w:style>
  <w:style w:type="character" w:customStyle="1" w:styleId="Head2Char">
    <w:name w:val="Head 2 Char"/>
    <w:basedOn w:val="Heading2Char"/>
    <w:link w:val="Head2"/>
    <w:rsid w:val="00623F19"/>
    <w:rPr>
      <w:rFonts w:asciiTheme="majorHAnsi" w:eastAsiaTheme="majorEastAsia" w:hAnsiTheme="majorHAnsi" w:cstheme="majorBidi"/>
      <w:i/>
      <w:color w:val="2F5496" w:themeColor="accent1" w:themeShade="BF"/>
      <w:sz w:val="26"/>
      <w:szCs w:val="26"/>
      <w:lang w:eastAsia="en-AU"/>
    </w:rPr>
  </w:style>
  <w:style w:type="character" w:customStyle="1" w:styleId="Heading2Char">
    <w:name w:val="Heading 2 Char"/>
    <w:basedOn w:val="DefaultParagraphFont"/>
    <w:link w:val="Heading2"/>
    <w:uiPriority w:val="9"/>
    <w:semiHidden/>
    <w:rsid w:val="00623F19"/>
    <w:rPr>
      <w:rFonts w:asciiTheme="majorHAnsi" w:eastAsiaTheme="majorEastAsia" w:hAnsiTheme="majorHAnsi" w:cstheme="majorBidi"/>
      <w:color w:val="2F5496" w:themeColor="accent1" w:themeShade="BF"/>
      <w:sz w:val="26"/>
      <w:szCs w:val="26"/>
      <w:lang w:eastAsia="en-AU"/>
    </w:rPr>
  </w:style>
  <w:style w:type="character" w:styleId="CommentReference">
    <w:name w:val="annotation reference"/>
    <w:basedOn w:val="DefaultParagraphFont"/>
    <w:uiPriority w:val="99"/>
    <w:semiHidden/>
    <w:unhideWhenUsed/>
    <w:rsid w:val="00623F19"/>
    <w:rPr>
      <w:sz w:val="16"/>
      <w:szCs w:val="16"/>
    </w:rPr>
  </w:style>
  <w:style w:type="paragraph" w:styleId="CommentText">
    <w:name w:val="annotation text"/>
    <w:basedOn w:val="Normal"/>
    <w:link w:val="CommentTextChar"/>
    <w:uiPriority w:val="99"/>
    <w:unhideWhenUsed/>
    <w:rsid w:val="00623F19"/>
    <w:rPr>
      <w:sz w:val="20"/>
    </w:rPr>
  </w:style>
  <w:style w:type="character" w:customStyle="1" w:styleId="CommentTextChar">
    <w:name w:val="Comment Text Char"/>
    <w:basedOn w:val="DefaultParagraphFont"/>
    <w:link w:val="CommentText"/>
    <w:uiPriority w:val="99"/>
    <w:rsid w:val="00623F1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623F19"/>
    <w:rPr>
      <w:b/>
      <w:bCs/>
    </w:rPr>
  </w:style>
  <w:style w:type="character" w:customStyle="1" w:styleId="CommentSubjectChar">
    <w:name w:val="Comment Subject Char"/>
    <w:basedOn w:val="CommentTextChar"/>
    <w:link w:val="CommentSubject"/>
    <w:uiPriority w:val="99"/>
    <w:semiHidden/>
    <w:rsid w:val="00623F19"/>
    <w:rPr>
      <w:rFonts w:ascii="Times New Roman" w:eastAsia="Times New Roman" w:hAnsi="Times New Roman" w:cs="Times New Roman"/>
      <w:b/>
      <w:bCs/>
      <w:sz w:val="20"/>
      <w:szCs w:val="20"/>
      <w:lang w:eastAsia="en-AU"/>
    </w:rPr>
  </w:style>
  <w:style w:type="paragraph" w:styleId="Revision">
    <w:name w:val="Revision"/>
    <w:hidden/>
    <w:uiPriority w:val="99"/>
    <w:semiHidden/>
    <w:rsid w:val="00865CBD"/>
    <w:pPr>
      <w:spacing w:after="0" w:line="240" w:lineRule="auto"/>
    </w:pPr>
    <w:rPr>
      <w:rFonts w:ascii="Times New Roman" w:eastAsia="Times New Roman" w:hAnsi="Times New Roman" w:cs="Times New Roman"/>
      <w:sz w:val="24"/>
      <w:szCs w:val="20"/>
      <w:lang w:eastAsia="en-AU"/>
    </w:rPr>
  </w:style>
  <w:style w:type="character" w:styleId="Hyperlink">
    <w:name w:val="Hyperlink"/>
    <w:basedOn w:val="DefaultParagraphFont"/>
    <w:uiPriority w:val="99"/>
    <w:unhideWhenUsed/>
    <w:rsid w:val="003339C5"/>
    <w:rPr>
      <w:color w:val="0563C1" w:themeColor="hyperlink"/>
      <w:u w:val="single"/>
    </w:rPr>
  </w:style>
  <w:style w:type="character" w:styleId="UnresolvedMention">
    <w:name w:val="Unresolved Mention"/>
    <w:basedOn w:val="DefaultParagraphFont"/>
    <w:uiPriority w:val="99"/>
    <w:semiHidden/>
    <w:unhideWhenUsed/>
    <w:rsid w:val="003339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8787">
      <w:bodyDiv w:val="1"/>
      <w:marLeft w:val="0"/>
      <w:marRight w:val="0"/>
      <w:marTop w:val="0"/>
      <w:marBottom w:val="0"/>
      <w:divBdr>
        <w:top w:val="none" w:sz="0" w:space="0" w:color="auto"/>
        <w:left w:val="none" w:sz="0" w:space="0" w:color="auto"/>
        <w:bottom w:val="none" w:sz="0" w:space="0" w:color="auto"/>
        <w:right w:val="none" w:sz="0" w:space="0" w:color="auto"/>
      </w:divBdr>
    </w:div>
    <w:div w:id="503907511">
      <w:bodyDiv w:val="1"/>
      <w:marLeft w:val="0"/>
      <w:marRight w:val="0"/>
      <w:marTop w:val="0"/>
      <w:marBottom w:val="0"/>
      <w:divBdr>
        <w:top w:val="none" w:sz="0" w:space="0" w:color="auto"/>
        <w:left w:val="none" w:sz="0" w:space="0" w:color="auto"/>
        <w:bottom w:val="none" w:sz="0" w:space="0" w:color="auto"/>
        <w:right w:val="none" w:sz="0" w:space="0" w:color="auto"/>
      </w:divBdr>
    </w:div>
    <w:div w:id="825780115">
      <w:bodyDiv w:val="1"/>
      <w:marLeft w:val="0"/>
      <w:marRight w:val="0"/>
      <w:marTop w:val="0"/>
      <w:marBottom w:val="0"/>
      <w:divBdr>
        <w:top w:val="none" w:sz="0" w:space="0" w:color="auto"/>
        <w:left w:val="none" w:sz="0" w:space="0" w:color="auto"/>
        <w:bottom w:val="none" w:sz="0" w:space="0" w:color="auto"/>
        <w:right w:val="none" w:sz="0" w:space="0" w:color="auto"/>
      </w:divBdr>
    </w:div>
    <w:div w:id="1340691793">
      <w:bodyDiv w:val="1"/>
      <w:marLeft w:val="0"/>
      <w:marRight w:val="0"/>
      <w:marTop w:val="0"/>
      <w:marBottom w:val="0"/>
      <w:divBdr>
        <w:top w:val="none" w:sz="0" w:space="0" w:color="auto"/>
        <w:left w:val="none" w:sz="0" w:space="0" w:color="auto"/>
        <w:bottom w:val="none" w:sz="0" w:space="0" w:color="auto"/>
        <w:right w:val="none" w:sz="0" w:space="0" w:color="auto"/>
      </w:divBdr>
    </w:div>
    <w:div w:id="169071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5</Pages>
  <Words>2044</Words>
  <Characters>11655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 Kanchan</dc:creator>
  <cp:keywords/>
  <dc:description/>
  <cp:lastModifiedBy>Diana</cp:lastModifiedBy>
  <cp:revision>51</cp:revision>
  <dcterms:created xsi:type="dcterms:W3CDTF">2024-09-06T05:43:00Z</dcterms:created>
  <dcterms:modified xsi:type="dcterms:W3CDTF">2025-03-06T00:34:00Z</dcterms:modified>
</cp:coreProperties>
</file>