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Ind w:w="-108"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10A35891" w14:textId="77777777" w:rsidTr="00C04AA9">
        <w:tc>
          <w:tcPr>
            <w:tcW w:w="4661" w:type="dxa"/>
          </w:tcPr>
          <w:p w14:paraId="2E512A0F" w14:textId="77777777" w:rsidR="00090A6F" w:rsidRPr="0000292B" w:rsidRDefault="00364B30">
            <w:pPr>
              <w:pStyle w:val="CoverStandard"/>
            </w:pPr>
            <w:r>
              <w:t>AASB</w:t>
            </w:r>
            <w:r w:rsidR="00831497">
              <w:t xml:space="preserve"> Standard</w:t>
            </w:r>
          </w:p>
        </w:tc>
        <w:tc>
          <w:tcPr>
            <w:tcW w:w="4661" w:type="dxa"/>
          </w:tcPr>
          <w:p w14:paraId="7AC75990" w14:textId="556963FD" w:rsidR="00090A6F" w:rsidRPr="0000292B" w:rsidRDefault="00831497">
            <w:pPr>
              <w:pStyle w:val="CoverNumber"/>
            </w:pPr>
            <w:r>
              <w:t>AASB</w:t>
            </w:r>
            <w:r w:rsidR="00090A6F" w:rsidRPr="0000292B">
              <w:t xml:space="preserve"> </w:t>
            </w:r>
            <w:bookmarkStart w:id="0" w:name="DocNo"/>
            <w:r w:rsidR="0061106C">
              <w:rPr>
                <w:caps w:val="0"/>
              </w:rPr>
              <w:t>2025-</w:t>
            </w:r>
            <w:r w:rsidR="00D03A75">
              <w:rPr>
                <w:caps w:val="0"/>
              </w:rPr>
              <w:t>2</w:t>
            </w:r>
            <w:bookmarkEnd w:id="0"/>
          </w:p>
          <w:p w14:paraId="4CC3DA87" w14:textId="1BD07E45" w:rsidR="00090A6F" w:rsidRPr="0000292B" w:rsidRDefault="00D03A75">
            <w:pPr>
              <w:pStyle w:val="CoverDate"/>
            </w:pPr>
            <w:bookmarkStart w:id="1" w:name="DocDate"/>
            <w:r>
              <w:t>March</w:t>
            </w:r>
            <w:r w:rsidR="0028725D">
              <w:t xml:space="preserve"> 2025</w:t>
            </w:r>
            <w:bookmarkEnd w:id="1"/>
          </w:p>
        </w:tc>
      </w:tr>
    </w:tbl>
    <w:p w14:paraId="65897F40" w14:textId="7D931275" w:rsidR="00090A6F" w:rsidRPr="0000292B" w:rsidRDefault="0028725D" w:rsidP="00385183">
      <w:pPr>
        <w:pStyle w:val="CoverTitle"/>
        <w:jc w:val="left"/>
      </w:pPr>
      <w:bookmarkStart w:id="2" w:name="DocTitle"/>
      <w:r>
        <w:t>Amendments to Australian Accounting Standards – Classification and Measurement of Financial Instruments: Tier 2 Disclosures</w:t>
      </w:r>
      <w:bookmarkEnd w:id="2"/>
    </w:p>
    <w:p w14:paraId="66E3AC83" w14:textId="720B60C7" w:rsidR="00C5022C" w:rsidRPr="00C5022C" w:rsidRDefault="002B7803" w:rsidP="00C5022C">
      <w:pPr>
        <w:pStyle w:val="CoverSubtitle"/>
      </w:pPr>
      <w:r>
        <w:t>[</w:t>
      </w:r>
      <w:bookmarkStart w:id="3" w:name="AmendingNos"/>
      <w:r w:rsidR="0028725D">
        <w:t>AASB 1060</w:t>
      </w:r>
      <w:bookmarkEnd w:id="3"/>
      <w:r>
        <w:t>]</w:t>
      </w:r>
    </w:p>
    <w:p w14:paraId="475E1DDE" w14:textId="77777777" w:rsidR="00737714" w:rsidRPr="0000292B" w:rsidRDefault="00737714" w:rsidP="00737714"/>
    <w:p w14:paraId="00ACA64B" w14:textId="60B257A2" w:rsidR="00090A6F" w:rsidRPr="0000292B" w:rsidRDefault="006030E0" w:rsidP="00B63636">
      <w:pPr>
        <w:spacing w:before="7320"/>
        <w:sectPr w:rsidR="00090A6F" w:rsidRPr="0000292B" w:rsidSect="00982218">
          <w:pgSz w:w="11907" w:h="16840" w:code="9"/>
          <w:pgMar w:top="1418" w:right="1418" w:bottom="1418" w:left="1418" w:header="709" w:footer="709" w:gutter="0"/>
          <w:paperSrc w:first="15" w:other="15"/>
          <w:cols w:space="720"/>
          <w:titlePg/>
        </w:sectPr>
      </w:pPr>
      <w:r>
        <w:rPr>
          <w:noProof/>
          <w:lang w:eastAsia="en-AU"/>
        </w:rPr>
        <w:drawing>
          <wp:inline distT="0" distB="0" distL="0" distR="0" wp14:anchorId="34D8CF3F" wp14:editId="1E060C9C">
            <wp:extent cx="1677600" cy="1332000"/>
            <wp:effectExtent l="0" t="0" r="0" b="1905"/>
            <wp:docPr id="2129828317" name="Picture 2129828317"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7A743A26"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57E7B8C5" w14:textId="756036EC" w:rsidR="00737714" w:rsidRPr="0000292B" w:rsidRDefault="00737714" w:rsidP="00895809">
      <w:pPr>
        <w:spacing w:after="200"/>
      </w:pPr>
      <w:r w:rsidRPr="0000292B">
        <w:t xml:space="preserve">This </w:t>
      </w:r>
      <w:r w:rsidR="00C5022C">
        <w:t>Standard</w:t>
      </w:r>
      <w:r w:rsidRPr="0000292B">
        <w:t xml:space="preserve"> is available o</w:t>
      </w:r>
      <w:r w:rsidR="00923261">
        <w:t xml:space="preserve">n the AASB </w:t>
      </w:r>
      <w:r w:rsidR="00CC1A8C">
        <w:t xml:space="preserve">Digital Standards Portal </w:t>
      </w:r>
      <w:r w:rsidR="0031501C">
        <w:t>(</w:t>
      </w:r>
      <w:r w:rsidR="008D2E96">
        <w:t>standards</w:t>
      </w:r>
      <w:r w:rsidR="008D2E96" w:rsidRPr="00175677">
        <w:t>.aasb.gov.au</w:t>
      </w:r>
      <w:r w:rsidR="0031501C">
        <w:t>), which can</w:t>
      </w:r>
      <w:r w:rsidR="008D2E96">
        <w:t xml:space="preserve"> also be accessed from aasb.gov.au</w:t>
      </w:r>
      <w:r w:rsidRPr="0000292B">
        <w:t>.</w:t>
      </w:r>
    </w:p>
    <w:p w14:paraId="6FA83169" w14:textId="77777777" w:rsidR="00895809" w:rsidRPr="0000292B" w:rsidRDefault="00895809" w:rsidP="00895809">
      <w:r w:rsidRPr="0000292B">
        <w:t>Australian Accounting Standards Board</w:t>
      </w:r>
    </w:p>
    <w:p w14:paraId="227C6CCD" w14:textId="77777777" w:rsidR="00895809" w:rsidRPr="0000292B" w:rsidRDefault="00895809" w:rsidP="00895809">
      <w:r>
        <w:t>PO Box 204</w:t>
      </w:r>
    </w:p>
    <w:p w14:paraId="1A66BE6E" w14:textId="77777777" w:rsidR="00895809" w:rsidRPr="0000292B" w:rsidRDefault="00895809" w:rsidP="00895809">
      <w:r>
        <w:t>Collins Street West</w:t>
      </w:r>
    </w:p>
    <w:p w14:paraId="72A44026" w14:textId="77777777" w:rsidR="00895809" w:rsidRPr="0000292B" w:rsidRDefault="00895809" w:rsidP="00895809">
      <w:r>
        <w:t>Victoria   8007</w:t>
      </w:r>
    </w:p>
    <w:p w14:paraId="223DE8DE" w14:textId="77777777" w:rsidR="00895809" w:rsidRDefault="00895809" w:rsidP="00895809">
      <w:pPr>
        <w:pStyle w:val="CoverContact"/>
        <w:spacing w:after="200"/>
      </w:pPr>
      <w:r w:rsidRPr="0000292B">
        <w:t>AUSTRALIA</w:t>
      </w:r>
    </w:p>
    <w:p w14:paraId="3C1B5840" w14:textId="77777777" w:rsidR="00737714" w:rsidRDefault="00BF0190" w:rsidP="00B82F15">
      <w:pPr>
        <w:pStyle w:val="CoverContact"/>
      </w:pPr>
      <w:r>
        <w:t>Phone:</w:t>
      </w:r>
      <w:r>
        <w:tab/>
        <w:t>(03) 9617 7600</w:t>
      </w:r>
    </w:p>
    <w:p w14:paraId="001573A8" w14:textId="77777777" w:rsidR="00E96D45" w:rsidRDefault="00DB00CD" w:rsidP="00DB00CD">
      <w:pPr>
        <w:pStyle w:val="CoverContact"/>
      </w:pPr>
      <w:r>
        <w:t>E-mail:</w:t>
      </w:r>
      <w:r>
        <w:tab/>
      </w:r>
      <w:r w:rsidR="00BF0190">
        <w:t>standard</w:t>
      </w:r>
      <w:r>
        <w:t>@aasb.gov</w:t>
      </w:r>
      <w:r w:rsidRPr="00C5022C">
        <w:t>.au</w:t>
      </w:r>
    </w:p>
    <w:p w14:paraId="5202B6CB" w14:textId="77777777" w:rsidR="00E96D45" w:rsidRPr="00E96D45" w:rsidRDefault="00DB00CD" w:rsidP="00DB00CD">
      <w:pPr>
        <w:pStyle w:val="CoverContact"/>
        <w:spacing w:after="240"/>
      </w:pPr>
      <w:r>
        <w:t>Website:</w:t>
      </w:r>
      <w:r>
        <w:tab/>
        <w:t>www.aasb.gov.au</w:t>
      </w:r>
    </w:p>
    <w:p w14:paraId="4D2B5D84" w14:textId="77777777" w:rsidR="00090A6F" w:rsidRPr="0000292B" w:rsidRDefault="00090A6F" w:rsidP="00175677">
      <w:pPr>
        <w:pStyle w:val="Heading1"/>
        <w:spacing w:before="300"/>
      </w:pPr>
      <w:r w:rsidRPr="0000292B">
        <w:t xml:space="preserve">Other </w:t>
      </w:r>
      <w:r w:rsidR="005655CE" w:rsidRPr="0000292B">
        <w:t>enquiries</w:t>
      </w:r>
    </w:p>
    <w:p w14:paraId="13AF7B48"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4E1922F7" w14:textId="77777777" w:rsidR="00090A6F" w:rsidRPr="0000292B" w:rsidRDefault="00923261">
      <w:pPr>
        <w:pStyle w:val="CoverContact"/>
      </w:pPr>
      <w:r>
        <w:t>E-mail:</w:t>
      </w:r>
      <w:r>
        <w:tab/>
        <w:t>standard@aasb.gov</w:t>
      </w:r>
      <w:r w:rsidR="00090A6F" w:rsidRPr="0000292B">
        <w:t>.au</w:t>
      </w:r>
    </w:p>
    <w:p w14:paraId="355F4535" w14:textId="77777777" w:rsidR="00276BC5" w:rsidRDefault="00276BC5" w:rsidP="00175677">
      <w:pPr>
        <w:pStyle w:val="NoNumPlain1"/>
        <w:spacing w:before="5760" w:after="200"/>
      </w:pPr>
      <w:bookmarkStart w:id="4" w:name="CopyrightText"/>
      <w:r>
        <w:t>COPYRIGHT</w:t>
      </w:r>
    </w:p>
    <w:p w14:paraId="22EED62D" w14:textId="610D640A" w:rsidR="00276BC5" w:rsidRDefault="00276BC5" w:rsidP="00175677">
      <w:pPr>
        <w:pStyle w:val="NoNumPlain1"/>
        <w:spacing w:after="200"/>
      </w:pPr>
      <w:r>
        <w:t>© Com</w:t>
      </w:r>
      <w:bookmarkStart w:id="5" w:name="CopyrightDomestic"/>
      <w:bookmarkEnd w:id="5"/>
      <w:r>
        <w:t xml:space="preserve">monwealth of Australia </w:t>
      </w:r>
      <w:bookmarkStart w:id="6" w:name="Year"/>
      <w:r w:rsidR="0028725D">
        <w:t>2025</w:t>
      </w:r>
      <w:bookmarkEnd w:id="6"/>
    </w:p>
    <w:p w14:paraId="2AB70919" w14:textId="77777777" w:rsidR="00A61C7C" w:rsidRPr="00DE4E67" w:rsidRDefault="00A61C7C" w:rsidP="00175677">
      <w:pPr>
        <w:pStyle w:val="NoNumPlain1"/>
        <w:spacing w:after="200"/>
      </w:pPr>
      <w:r w:rsidRPr="00DE4E67">
        <w:t xml:space="preserve">This AASB Standard contains </w:t>
      </w:r>
      <w:r>
        <w:t>IFRS</w:t>
      </w:r>
      <w:r w:rsidRPr="00DE4E67">
        <w:t xml:space="preserve"> Foundation copyright material.  Reproduction within Australia in unaltered form (retaining this notice) is permitted for personal and non</w:t>
      </w:r>
      <w:r>
        <w:t>-</w:t>
      </w:r>
      <w:r w:rsidRPr="00DE4E67">
        <w:t xml:space="preserve">commercial use subject to the inclusion of an acknowledgment of the source.  Requests and enquiries concerning reproduction and rights for commercial purposes within Australia should be addressed to The </w:t>
      </w:r>
      <w:r>
        <w:t xml:space="preserve">Managing </w:t>
      </w:r>
      <w:r w:rsidRPr="00DE4E67">
        <w:t xml:space="preserve">Director, Australian Accounting Standards Board, </w:t>
      </w:r>
      <w:r>
        <w:t xml:space="preserve">PO Box </w:t>
      </w:r>
      <w:r w:rsidRPr="00DE4E67">
        <w:t>204, Collins Street West, Victoria 8007.</w:t>
      </w:r>
    </w:p>
    <w:p w14:paraId="3F9B409C" w14:textId="4AE4CC50" w:rsidR="00276BC5" w:rsidRPr="00DE4E67" w:rsidRDefault="00A61C7C" w:rsidP="00A61C7C">
      <w:pPr>
        <w:spacing w:after="200"/>
      </w:pPr>
      <w:r w:rsidRPr="00DE4E67">
        <w:t>All existing rights in this material are reserved outside Australia.</w:t>
      </w:r>
      <w:r>
        <w:t xml:space="preserve">  </w:t>
      </w:r>
      <w:r w:rsidRPr="00DE4E67">
        <w:t xml:space="preserve">Reproduction outside Australia in unaltered form (retaining this notice) is permitted for personal and non-commercial use only.  Further information and requests for authorisation to reproduce </w:t>
      </w:r>
      <w:r>
        <w:t xml:space="preserve">IFRS Foundation copyright material </w:t>
      </w:r>
      <w:r w:rsidRPr="00DE4E67">
        <w:t xml:space="preserve">for commercial purposes outside Australia should be addressed to the </w:t>
      </w:r>
      <w:r>
        <w:t>IFRS</w:t>
      </w:r>
      <w:r w:rsidRPr="00DE4E67">
        <w:t xml:space="preserve"> Foundation at www.</w:t>
      </w:r>
      <w:r>
        <w:t>ifrs</w:t>
      </w:r>
      <w:r w:rsidRPr="00DE4E67">
        <w:t>.org</w:t>
      </w:r>
      <w:r w:rsidR="00276BC5" w:rsidRPr="00DE4E67">
        <w:t>.</w:t>
      </w:r>
    </w:p>
    <w:bookmarkEnd w:id="4"/>
    <w:p w14:paraId="420A665B" w14:textId="45135369" w:rsidR="007455F0" w:rsidRPr="0000292B" w:rsidRDefault="006D4700" w:rsidP="006D4700">
      <w:r>
        <w:t xml:space="preserve">ISSN </w:t>
      </w:r>
      <w:bookmarkStart w:id="7" w:name="ISSN"/>
      <w:r w:rsidR="0028725D">
        <w:t>1036-4803</w:t>
      </w:r>
      <w:bookmarkEnd w:id="7"/>
    </w:p>
    <w:p w14:paraId="2405880D" w14:textId="77777777" w:rsidR="00090A6F" w:rsidRPr="0000292B" w:rsidRDefault="00090A6F">
      <w:pPr>
        <w:sectPr w:rsidR="00090A6F" w:rsidRPr="0000292B" w:rsidSect="00D74C6A">
          <w:headerReference w:type="default" r:id="rId12"/>
          <w:footerReference w:type="default" r:id="rId13"/>
          <w:pgSz w:w="11907" w:h="16840" w:code="9"/>
          <w:pgMar w:top="1418" w:right="1418" w:bottom="1418" w:left="1418" w:header="709" w:footer="709" w:gutter="0"/>
          <w:paperSrc w:first="7" w:other="7"/>
          <w:cols w:space="720"/>
        </w:sectPr>
      </w:pPr>
    </w:p>
    <w:p w14:paraId="0B67CF08" w14:textId="51235D40" w:rsidR="00CB43B9" w:rsidRPr="00CB43B9" w:rsidRDefault="00CB43B9" w:rsidP="00BF77FA">
      <w:pPr>
        <w:pStyle w:val="Heading1"/>
      </w:pPr>
      <w:r w:rsidRPr="00CB43B9">
        <w:lastRenderedPageBreak/>
        <w:t>Contents</w:t>
      </w:r>
    </w:p>
    <w:p w14:paraId="287E121E" w14:textId="77777777" w:rsidR="00CB43B9" w:rsidRPr="00CB43B9" w:rsidRDefault="00CB43B9" w:rsidP="00CB43B9">
      <w:pPr>
        <w:spacing w:before="400" w:after="200"/>
        <w:rPr>
          <w:caps/>
        </w:rPr>
      </w:pPr>
      <w:r w:rsidRPr="00CB43B9">
        <w:rPr>
          <w:caps/>
        </w:rPr>
        <w:t>Preface</w:t>
      </w:r>
    </w:p>
    <w:p w14:paraId="0789C2D2" w14:textId="5528198E" w:rsidR="00CB43B9" w:rsidRPr="00CB43B9" w:rsidRDefault="00CB43B9" w:rsidP="00CB43B9">
      <w:pPr>
        <w:rPr>
          <w:b/>
          <w:caps/>
        </w:rPr>
      </w:pPr>
      <w:r w:rsidRPr="00CB43B9">
        <w:rPr>
          <w:b/>
          <w:caps/>
        </w:rPr>
        <w:t>Accounting Standard</w:t>
      </w:r>
    </w:p>
    <w:p w14:paraId="4B03B56D" w14:textId="6E771EA0" w:rsidR="00CB43B9" w:rsidRPr="00CB43B9" w:rsidRDefault="00CB43B9" w:rsidP="00CB43B9">
      <w:pPr>
        <w:spacing w:after="200"/>
        <w:jc w:val="left"/>
        <w:rPr>
          <w:b/>
          <w:i/>
          <w:caps/>
        </w:rPr>
      </w:pPr>
      <w:r w:rsidRPr="00CB43B9">
        <w:rPr>
          <w:b/>
          <w:caps/>
        </w:rPr>
        <w:t>AASB 202</w:t>
      </w:r>
      <w:r w:rsidR="00A3390B">
        <w:rPr>
          <w:b/>
          <w:caps/>
        </w:rPr>
        <w:t>5</w:t>
      </w:r>
      <w:r w:rsidRPr="00CB43B9">
        <w:rPr>
          <w:b/>
          <w:caps/>
        </w:rPr>
        <w:t>-</w:t>
      </w:r>
      <w:r w:rsidR="00147841">
        <w:rPr>
          <w:b/>
          <w:caps/>
        </w:rPr>
        <w:t>2</w:t>
      </w:r>
      <w:r w:rsidRPr="00CB43B9">
        <w:rPr>
          <w:b/>
          <w:caps/>
        </w:rPr>
        <w:t xml:space="preserve"> </w:t>
      </w:r>
      <w:sdt>
        <w:sdtPr>
          <w:rPr>
            <w:b/>
            <w:caps/>
          </w:rPr>
          <w:id w:val="1177846716"/>
          <w:lock w:val="contentLocked"/>
          <w:placeholder>
            <w:docPart w:val="B63C3C48A8EE405EAC3C06629E6F5BE3"/>
          </w:placeholder>
          <w:group/>
        </w:sdtPr>
        <w:sdtEndPr>
          <w:rPr>
            <w:i/>
          </w:rPr>
        </w:sdtEndPr>
        <w:sdtContent>
          <w:r w:rsidRPr="00CB43B9">
            <w:rPr>
              <w:b/>
              <w:i/>
              <w:iCs/>
              <w:caps/>
            </w:rPr>
            <w:t>Amendments to Australian Accounting Standards</w:t>
          </w:r>
          <w:r w:rsidRPr="00CB43B9">
            <w:rPr>
              <w:b/>
              <w:caps/>
            </w:rPr>
            <w:t xml:space="preserve"> – </w:t>
          </w:r>
          <w:r w:rsidRPr="00CB43B9">
            <w:rPr>
              <w:b/>
              <w:i/>
              <w:iCs/>
              <w:caps/>
            </w:rPr>
            <w:t>Classification and Measurement of Financial Instruments: Tier 2 Disclosure</w:t>
          </w:r>
          <w:r w:rsidRPr="00CB43B9">
            <w:rPr>
              <w:b/>
              <w:i/>
              <w:caps/>
            </w:rPr>
            <w:t>s</w:t>
          </w:r>
        </w:sdtContent>
      </w:sdt>
    </w:p>
    <w:p w14:paraId="6853E6D8" w14:textId="77777777" w:rsidR="00CB43B9" w:rsidRPr="00CB43B9" w:rsidRDefault="00CB43B9" w:rsidP="00CB43B9">
      <w:pPr>
        <w:spacing w:after="60"/>
        <w:jc w:val="right"/>
        <w:rPr>
          <w:i/>
        </w:rPr>
      </w:pPr>
      <w:r w:rsidRPr="00CB43B9">
        <w:rPr>
          <w:i/>
        </w:rPr>
        <w:t>from paragraph</w:t>
      </w:r>
    </w:p>
    <w:p w14:paraId="75CBDAE9" w14:textId="77777777" w:rsidR="00CB43B9" w:rsidRPr="00CB43B9" w:rsidRDefault="00CB43B9" w:rsidP="00CB43B9">
      <w:pPr>
        <w:tabs>
          <w:tab w:val="right" w:pos="9072"/>
        </w:tabs>
        <w:spacing w:after="60"/>
        <w:ind w:left="170" w:hanging="170"/>
        <w:jc w:val="left"/>
        <w:rPr>
          <w:b/>
          <w:caps/>
        </w:rPr>
      </w:pPr>
      <w:r w:rsidRPr="00CB43B9">
        <w:rPr>
          <w:b/>
          <w:caps/>
        </w:rPr>
        <w:t>Objective</w:t>
      </w:r>
      <w:r w:rsidRPr="00CB43B9">
        <w:rPr>
          <w:b/>
          <w:caps/>
        </w:rPr>
        <w:tab/>
        <w:t>1</w:t>
      </w:r>
    </w:p>
    <w:p w14:paraId="289A12CF" w14:textId="77777777" w:rsidR="00CB43B9" w:rsidRPr="00CB43B9" w:rsidRDefault="00CB43B9" w:rsidP="00CB43B9">
      <w:pPr>
        <w:tabs>
          <w:tab w:val="right" w:pos="9072"/>
        </w:tabs>
        <w:spacing w:after="60"/>
        <w:ind w:left="170" w:hanging="170"/>
        <w:jc w:val="left"/>
        <w:rPr>
          <w:b/>
          <w:caps/>
        </w:rPr>
      </w:pPr>
      <w:r w:rsidRPr="00CB43B9">
        <w:rPr>
          <w:b/>
          <w:caps/>
        </w:rPr>
        <w:t>Application</w:t>
      </w:r>
      <w:r w:rsidRPr="00CB43B9">
        <w:rPr>
          <w:b/>
          <w:caps/>
        </w:rPr>
        <w:tab/>
        <w:t>3</w:t>
      </w:r>
    </w:p>
    <w:p w14:paraId="39D053E9" w14:textId="77777777" w:rsidR="00CB43B9" w:rsidRPr="00CB43B9" w:rsidRDefault="00CB43B9" w:rsidP="00CB43B9">
      <w:pPr>
        <w:tabs>
          <w:tab w:val="right" w:pos="9072"/>
        </w:tabs>
        <w:spacing w:after="60"/>
        <w:ind w:left="170" w:hanging="170"/>
        <w:jc w:val="left"/>
        <w:rPr>
          <w:b/>
          <w:caps/>
        </w:rPr>
      </w:pPr>
      <w:r w:rsidRPr="00CB43B9">
        <w:rPr>
          <w:b/>
          <w:caps/>
        </w:rPr>
        <w:t>Amendments to AASB 1060</w:t>
      </w:r>
      <w:r w:rsidRPr="00CB43B9">
        <w:rPr>
          <w:b/>
          <w:caps/>
        </w:rPr>
        <w:tab/>
        <w:t>5</w:t>
      </w:r>
    </w:p>
    <w:p w14:paraId="082FDAC7" w14:textId="77777777" w:rsidR="00CB43B9" w:rsidRPr="00CB43B9" w:rsidRDefault="00CB43B9" w:rsidP="00CB43B9">
      <w:pPr>
        <w:tabs>
          <w:tab w:val="right" w:pos="9072"/>
        </w:tabs>
        <w:spacing w:after="60"/>
        <w:ind w:left="170" w:hanging="170"/>
        <w:jc w:val="left"/>
        <w:rPr>
          <w:b/>
          <w:caps/>
        </w:rPr>
      </w:pPr>
      <w:r w:rsidRPr="00CB43B9">
        <w:rPr>
          <w:b/>
          <w:caps/>
        </w:rPr>
        <w:t>Commencement of the legislative instrument</w:t>
      </w:r>
      <w:r w:rsidRPr="00CB43B9">
        <w:rPr>
          <w:b/>
          <w:caps/>
        </w:rPr>
        <w:tab/>
        <w:t>7</w:t>
      </w:r>
    </w:p>
    <w:p w14:paraId="2EE8C28F" w14:textId="77777777" w:rsidR="00CB43B9" w:rsidRDefault="00CB43B9" w:rsidP="00CB43B9">
      <w:pPr>
        <w:tabs>
          <w:tab w:val="right" w:pos="9072"/>
        </w:tabs>
        <w:spacing w:after="60"/>
        <w:ind w:left="170" w:hanging="170"/>
        <w:jc w:val="left"/>
        <w:rPr>
          <w:b/>
          <w:caps/>
        </w:rPr>
      </w:pPr>
    </w:p>
    <w:p w14:paraId="1F524FCA" w14:textId="77777777" w:rsidR="00740165" w:rsidRPr="00CB43B9" w:rsidRDefault="00740165" w:rsidP="00CB43B9">
      <w:pPr>
        <w:tabs>
          <w:tab w:val="right" w:pos="9072"/>
        </w:tabs>
        <w:spacing w:after="60"/>
        <w:ind w:left="170" w:hanging="170"/>
        <w:jc w:val="left"/>
        <w:rPr>
          <w:b/>
          <w:caps/>
        </w:rPr>
      </w:pPr>
    </w:p>
    <w:p w14:paraId="327CBF9E" w14:textId="7E692F3A" w:rsidR="00CB43B9" w:rsidRPr="00CB43B9" w:rsidRDefault="00CB43B9" w:rsidP="00CB43B9">
      <w:pPr>
        <w:tabs>
          <w:tab w:val="right" w:pos="9072"/>
        </w:tabs>
        <w:spacing w:after="60"/>
        <w:jc w:val="left"/>
        <w:rPr>
          <w:b/>
          <w:caps/>
        </w:rPr>
      </w:pPr>
      <w:r w:rsidRPr="00CB43B9">
        <w:rPr>
          <w:b/>
          <w:caps/>
        </w:rPr>
        <w:t>BASIS FOR CONCLUSIONS</w:t>
      </w:r>
    </w:p>
    <w:p w14:paraId="76CFD7CD" w14:textId="77777777" w:rsidR="00CB43B9" w:rsidRDefault="00CB43B9" w:rsidP="00CB43B9"/>
    <w:p w14:paraId="3A1980A3" w14:textId="77777777" w:rsidR="00740165" w:rsidRPr="00CB43B9" w:rsidRDefault="00740165" w:rsidP="00CB43B9"/>
    <w:p w14:paraId="1E96D7A6" w14:textId="4FF59CFD" w:rsidR="00CB43B9" w:rsidRPr="00CB43B9" w:rsidRDefault="00CB43B9" w:rsidP="00CB43B9">
      <w:pPr>
        <w:pBdr>
          <w:top w:val="single" w:sz="4" w:space="1" w:color="auto"/>
          <w:left w:val="single" w:sz="4" w:space="4" w:color="auto"/>
          <w:bottom w:val="single" w:sz="4" w:space="1" w:color="auto"/>
          <w:right w:val="single" w:sz="4" w:space="4" w:color="auto"/>
        </w:pBdr>
        <w:spacing w:after="100"/>
      </w:pPr>
      <w:r w:rsidRPr="00CB43B9">
        <w:t xml:space="preserve">Australian Accounting Standard AASB </w:t>
      </w:r>
      <w:r w:rsidRPr="00CB43B9">
        <w:rPr>
          <w:iCs/>
        </w:rPr>
        <w:t>202</w:t>
      </w:r>
      <w:r w:rsidR="00A3390B">
        <w:rPr>
          <w:iCs/>
        </w:rPr>
        <w:t>5</w:t>
      </w:r>
      <w:r w:rsidRPr="00CB43B9">
        <w:rPr>
          <w:iCs/>
        </w:rPr>
        <w:t>-</w:t>
      </w:r>
      <w:r w:rsidR="001F6D24">
        <w:rPr>
          <w:iCs/>
        </w:rPr>
        <w:t>2</w:t>
      </w:r>
      <w:r w:rsidRPr="00CB43B9">
        <w:rPr>
          <w:iCs/>
        </w:rPr>
        <w:t xml:space="preserve"> </w:t>
      </w:r>
      <w:r w:rsidRPr="00CB43B9">
        <w:rPr>
          <w:i/>
          <w:iCs/>
        </w:rPr>
        <w:fldChar w:fldCharType="begin" w:fldLock="1"/>
      </w:r>
      <w:r w:rsidRPr="00CB43B9">
        <w:rPr>
          <w:i/>
          <w:iCs/>
        </w:rPr>
        <w:instrText xml:space="preserve"> REF \* charformat DocTitle </w:instrText>
      </w:r>
      <w:r w:rsidRPr="00CB43B9">
        <w:rPr>
          <w:i/>
          <w:iCs/>
        </w:rPr>
        <w:fldChar w:fldCharType="separate"/>
      </w:r>
      <w:r w:rsidRPr="00CB43B9">
        <w:rPr>
          <w:i/>
          <w:iCs/>
        </w:rPr>
        <w:t>Amendments to Australian Accounting Standards – Classification and Measurement of Financial Instruments: Tier 2 Disclosures</w:t>
      </w:r>
      <w:r w:rsidRPr="00CB43B9">
        <w:rPr>
          <w:i/>
          <w:iCs/>
        </w:rPr>
        <w:fldChar w:fldCharType="end"/>
      </w:r>
      <w:r w:rsidRPr="00CB43B9">
        <w:rPr>
          <w:i/>
          <w:iCs/>
        </w:rPr>
        <w:t xml:space="preserve"> </w:t>
      </w:r>
      <w:r w:rsidRPr="00CB43B9">
        <w:t>is set out in paragraphs 1–7. All the paragraphs have equal authority.</w:t>
      </w:r>
    </w:p>
    <w:p w14:paraId="1BDBBEAB" w14:textId="77777777" w:rsidR="00CB43B9" w:rsidRPr="00CB43B9" w:rsidRDefault="00CB43B9" w:rsidP="00CB43B9"/>
    <w:p w14:paraId="582E64E9" w14:textId="77777777" w:rsidR="00CB43B9" w:rsidRPr="00CB43B9" w:rsidRDefault="00CB43B9" w:rsidP="00CB43B9">
      <w:pPr>
        <w:sectPr w:rsidR="00CB43B9" w:rsidRPr="00CB43B9" w:rsidSect="00CB43B9">
          <w:footerReference w:type="default" r:id="rId14"/>
          <w:pgSz w:w="11907" w:h="16840" w:code="9"/>
          <w:pgMar w:top="1418" w:right="1418" w:bottom="1418" w:left="1418" w:header="709" w:footer="709" w:gutter="0"/>
          <w:paperSrc w:first="7" w:other="7"/>
          <w:cols w:space="720"/>
        </w:sectPr>
      </w:pPr>
    </w:p>
    <w:p w14:paraId="06E220BB" w14:textId="77777777" w:rsidR="00CB43B9" w:rsidRPr="00CB43B9" w:rsidRDefault="00CB43B9" w:rsidP="00CB43B9">
      <w:pPr>
        <w:keepNext/>
        <w:spacing w:before="400" w:after="200"/>
        <w:jc w:val="left"/>
        <w:outlineLvl w:val="0"/>
        <w:rPr>
          <w:rFonts w:ascii="Arial" w:hAnsi="Arial" w:cs="Arial"/>
          <w:b/>
          <w:bCs/>
          <w:sz w:val="26"/>
          <w:szCs w:val="32"/>
        </w:rPr>
      </w:pPr>
      <w:r w:rsidRPr="00CB43B9">
        <w:rPr>
          <w:rFonts w:ascii="Arial" w:hAnsi="Arial" w:cs="Arial"/>
          <w:b/>
          <w:bCs/>
          <w:sz w:val="26"/>
          <w:szCs w:val="32"/>
        </w:rPr>
        <w:lastRenderedPageBreak/>
        <w:t>Preface</w:t>
      </w:r>
    </w:p>
    <w:p w14:paraId="2C0E507F" w14:textId="086169F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Standards amended by AASB 202</w:t>
      </w:r>
      <w:r w:rsidR="003740EE">
        <w:rPr>
          <w:rFonts w:ascii="Arial" w:hAnsi="Arial" w:cs="Arial"/>
          <w:b/>
          <w:iCs/>
          <w:sz w:val="26"/>
          <w:szCs w:val="28"/>
        </w:rPr>
        <w:t>5</w:t>
      </w:r>
      <w:r w:rsidRPr="00CB43B9">
        <w:rPr>
          <w:rFonts w:ascii="Arial" w:hAnsi="Arial" w:cs="Arial"/>
          <w:b/>
          <w:iCs/>
          <w:sz w:val="26"/>
          <w:szCs w:val="28"/>
        </w:rPr>
        <w:t>-</w:t>
      </w:r>
      <w:r w:rsidR="001F6D24">
        <w:rPr>
          <w:rFonts w:ascii="Arial" w:hAnsi="Arial" w:cs="Arial"/>
          <w:b/>
          <w:iCs/>
          <w:sz w:val="26"/>
          <w:szCs w:val="28"/>
        </w:rPr>
        <w:t>2</w:t>
      </w:r>
    </w:p>
    <w:p w14:paraId="3C32D235" w14:textId="6A45C821" w:rsidR="00CB43B9" w:rsidRPr="00CB43B9" w:rsidRDefault="00CB43B9" w:rsidP="00CB43B9">
      <w:pPr>
        <w:spacing w:before="100" w:after="100"/>
      </w:pPr>
      <w:r w:rsidRPr="00CB43B9">
        <w:t xml:space="preserve">This Standard makes amendments to AASB 1060 </w:t>
      </w:r>
      <w:r w:rsidRPr="00CB43B9">
        <w:rPr>
          <w:i/>
          <w:iCs/>
        </w:rPr>
        <w:t>General Purpose Financial Statements – Simplified Disclosures for For-Profit and Not-for-Profit Tier 2 Entities</w:t>
      </w:r>
      <w:r w:rsidRPr="00CB43B9">
        <w:t xml:space="preserve"> (March 2020).</w:t>
      </w:r>
    </w:p>
    <w:p w14:paraId="04B70C55"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Main features of this Standard</w:t>
      </w:r>
    </w:p>
    <w:p w14:paraId="7D60BA85" w14:textId="77777777" w:rsidR="00CB43B9" w:rsidRPr="00CB43B9" w:rsidRDefault="00CB43B9" w:rsidP="00CB43B9">
      <w:pPr>
        <w:keepNext/>
        <w:spacing w:before="240" w:after="200"/>
        <w:ind w:left="782"/>
        <w:jc w:val="left"/>
        <w:outlineLvl w:val="1"/>
        <w:rPr>
          <w:rFonts w:ascii="Arial" w:hAnsi="Arial" w:cs="Arial"/>
          <w:b/>
          <w:iCs/>
          <w:sz w:val="26"/>
          <w:szCs w:val="28"/>
        </w:rPr>
      </w:pPr>
      <w:r w:rsidRPr="00CB43B9">
        <w:rPr>
          <w:rFonts w:ascii="Arial" w:hAnsi="Arial" w:cs="Arial"/>
          <w:b/>
          <w:iCs/>
          <w:sz w:val="26"/>
          <w:szCs w:val="28"/>
        </w:rPr>
        <w:t>Main requirements</w:t>
      </w:r>
    </w:p>
    <w:p w14:paraId="02E06F84" w14:textId="77777777" w:rsidR="00CB43B9" w:rsidRPr="00CB43B9" w:rsidRDefault="00CB43B9" w:rsidP="00CB43B9">
      <w:pPr>
        <w:spacing w:before="100" w:after="100"/>
      </w:pPr>
      <w:r w:rsidRPr="00CB43B9">
        <w:t xml:space="preserve">AASB 2024-2 </w:t>
      </w:r>
      <w:r w:rsidRPr="00CB43B9">
        <w:rPr>
          <w:i/>
          <w:iCs/>
        </w:rPr>
        <w:t>Amendments to Australian Accounting Standards – Classification and Measurement of Financial Instruments</w:t>
      </w:r>
      <w:r w:rsidRPr="00CB43B9">
        <w:t xml:space="preserve"> amended AASB 7 </w:t>
      </w:r>
      <w:r w:rsidRPr="00CB43B9">
        <w:rPr>
          <w:i/>
          <w:iCs/>
        </w:rPr>
        <w:t>Financial Instruments: Disclosures</w:t>
      </w:r>
      <w:r w:rsidRPr="00CB43B9">
        <w:t xml:space="preserve"> and AASB 9 </w:t>
      </w:r>
      <w:r w:rsidRPr="00CB43B9">
        <w:rPr>
          <w:i/>
          <w:iCs/>
        </w:rPr>
        <w:t>Financial Instruments</w:t>
      </w:r>
      <w:r w:rsidRPr="00CB43B9">
        <w:t xml:space="preserve"> in response to feedback from the 2022 Post-implementation Review of the classification and measurement requirements in AASB 9 and related requirements in AASB 7 and the subsequent 2023 Exposure Draft. AASB 2024-2 amended requirements related to: </w:t>
      </w:r>
    </w:p>
    <w:p w14:paraId="7722BD58" w14:textId="77777777" w:rsidR="00CB43B9" w:rsidRPr="00CB43B9" w:rsidRDefault="00CB43B9" w:rsidP="00CB43B9">
      <w:pPr>
        <w:numPr>
          <w:ilvl w:val="0"/>
          <w:numId w:val="17"/>
        </w:numPr>
        <w:spacing w:before="100" w:after="100"/>
        <w:ind w:left="782" w:hanging="782"/>
      </w:pPr>
      <w:r w:rsidRPr="00CB43B9">
        <w:t xml:space="preserve">settling financial liabilities using an electronic payment system; </w:t>
      </w:r>
    </w:p>
    <w:p w14:paraId="0AC6C120" w14:textId="77777777" w:rsidR="00CB43B9" w:rsidRPr="00CB43B9" w:rsidRDefault="00CB43B9" w:rsidP="00CB43B9">
      <w:pPr>
        <w:numPr>
          <w:ilvl w:val="0"/>
          <w:numId w:val="17"/>
        </w:numPr>
        <w:spacing w:before="100" w:after="100"/>
        <w:ind w:left="782" w:hanging="782"/>
      </w:pPr>
      <w:r w:rsidRPr="00CB43B9">
        <w:t>assessing contractual cash flow characteristics of financial assets with environmental, social and corporate governance (ESG) and similar features; and</w:t>
      </w:r>
    </w:p>
    <w:p w14:paraId="05EB9F40" w14:textId="77777777" w:rsidR="00CB43B9" w:rsidRPr="00CB43B9" w:rsidRDefault="00CB43B9" w:rsidP="00F010F9">
      <w:pPr>
        <w:numPr>
          <w:ilvl w:val="0"/>
          <w:numId w:val="17"/>
        </w:numPr>
        <w:spacing w:before="100" w:after="100"/>
        <w:ind w:left="782" w:hanging="782"/>
      </w:pPr>
      <w:r w:rsidRPr="00CB43B9">
        <w:t>disclosures about:</w:t>
      </w:r>
    </w:p>
    <w:p w14:paraId="3B491DB0" w14:textId="77777777" w:rsidR="00CB43B9" w:rsidRPr="00CB43B9" w:rsidRDefault="00CB43B9" w:rsidP="00CB43B9">
      <w:pPr>
        <w:numPr>
          <w:ilvl w:val="0"/>
          <w:numId w:val="20"/>
        </w:numPr>
        <w:spacing w:before="100" w:after="100"/>
        <w:ind w:left="1564" w:hanging="782"/>
      </w:pPr>
      <w:r w:rsidRPr="00CB43B9">
        <w:t>financial instruments with contingent features that do not relate directly to basic lending risks and costs; and</w:t>
      </w:r>
    </w:p>
    <w:p w14:paraId="7F04AEB1" w14:textId="77777777" w:rsidR="00CB43B9" w:rsidRPr="00CB43B9" w:rsidRDefault="00CB43B9" w:rsidP="00CB43B9">
      <w:pPr>
        <w:numPr>
          <w:ilvl w:val="0"/>
          <w:numId w:val="20"/>
        </w:numPr>
        <w:spacing w:before="100" w:after="100"/>
        <w:ind w:left="1564" w:hanging="782"/>
      </w:pPr>
      <w:r w:rsidRPr="00CB43B9">
        <w:t>investments in equity instruments designated at fair value through other comprehensive income.</w:t>
      </w:r>
    </w:p>
    <w:p w14:paraId="71AEC09F" w14:textId="09518836" w:rsidR="00CB43B9" w:rsidRPr="00CB43B9" w:rsidRDefault="00CB43B9" w:rsidP="00CB43B9">
      <w:pPr>
        <w:spacing w:before="100" w:after="100"/>
      </w:pPr>
      <w:r w:rsidRPr="00CB43B9">
        <w:t>This Standard amends AASB 1060 to require a Tier 2 entity to disclose information about financial instruments with contingent features that do not relate directly to basic lending risks and costs so that financial statement users can better understand the effect of contractual terms that could change the amount of contractual cash flows.</w:t>
      </w:r>
      <w:r w:rsidR="00DC60B0">
        <w:t xml:space="preserve"> </w:t>
      </w:r>
      <w:r w:rsidR="00F84C0C">
        <w:t xml:space="preserve">However, the </w:t>
      </w:r>
      <w:r w:rsidR="00DC60B0">
        <w:t xml:space="preserve">Standard does not add </w:t>
      </w:r>
      <w:r w:rsidR="00F84C0C">
        <w:t xml:space="preserve">further specific </w:t>
      </w:r>
      <w:r w:rsidR="00DC60B0">
        <w:t>disclosure requirements about investments in equity instruments</w:t>
      </w:r>
      <w:r w:rsidR="00F84C0C">
        <w:t xml:space="preserve"> </w:t>
      </w:r>
      <w:r w:rsidR="00F84C0C" w:rsidRPr="00CB43B9">
        <w:t>designated at fair value through other comprehensive income</w:t>
      </w:r>
      <w:r w:rsidR="00DC60B0">
        <w:t>.</w:t>
      </w:r>
    </w:p>
    <w:p w14:paraId="58208B92" w14:textId="4D9769DE" w:rsidR="00CB43B9" w:rsidRPr="00CB43B9" w:rsidRDefault="00CB43B9" w:rsidP="00CB43B9">
      <w:pPr>
        <w:spacing w:before="100" w:after="100"/>
      </w:pPr>
      <w:r w:rsidRPr="00CB43B9">
        <w:t>This</w:t>
      </w:r>
      <w:r w:rsidR="009F029A">
        <w:t xml:space="preserve"> </w:t>
      </w:r>
      <w:r w:rsidRPr="00CB43B9">
        <w:t>Standard also amends AASB 1060 to renumber the supplier finance arrangement disclosures (currently in paragraphs 119A‒119C) and relocate them and their related heading from the “Basic Financial Instruments” section of the Standard to the “Statement of Cash Flows” section.</w:t>
      </w:r>
    </w:p>
    <w:p w14:paraId="73974AF5" w14:textId="77777777" w:rsidR="00CB43B9" w:rsidRPr="00CB43B9" w:rsidRDefault="00CB43B9" w:rsidP="00CB43B9">
      <w:pPr>
        <w:keepNext/>
        <w:spacing w:before="240" w:after="200"/>
        <w:ind w:left="782"/>
        <w:jc w:val="left"/>
        <w:outlineLvl w:val="1"/>
        <w:rPr>
          <w:rFonts w:ascii="Arial" w:hAnsi="Arial" w:cs="Arial"/>
          <w:b/>
          <w:iCs/>
          <w:sz w:val="26"/>
          <w:szCs w:val="28"/>
        </w:rPr>
      </w:pPr>
      <w:r w:rsidRPr="00CB43B9">
        <w:rPr>
          <w:rFonts w:ascii="Arial" w:hAnsi="Arial" w:cs="Arial"/>
          <w:b/>
          <w:iCs/>
          <w:sz w:val="26"/>
          <w:szCs w:val="28"/>
        </w:rPr>
        <w:t>Application date</w:t>
      </w:r>
    </w:p>
    <w:p w14:paraId="0E23A0ED" w14:textId="066756ED" w:rsidR="00CB43B9" w:rsidRPr="00CB43B9" w:rsidRDefault="00CB43B9" w:rsidP="00CB43B9">
      <w:pPr>
        <w:spacing w:before="100" w:after="100"/>
      </w:pPr>
      <w:r w:rsidRPr="00CB43B9">
        <w:t xml:space="preserve">This Standard applies to annual periods </w:t>
      </w:r>
      <w:r w:rsidRPr="00CB43B9">
        <w:fldChar w:fldCharType="begin" w:fldLock="1"/>
      </w:r>
      <w:r w:rsidRPr="00CB43B9">
        <w:instrText xml:space="preserve"> REF ApplyText \* charformat</w:instrText>
      </w:r>
      <w:r w:rsidRPr="00CB43B9">
        <w:fldChar w:fldCharType="separate"/>
      </w:r>
      <w:r w:rsidRPr="00CB43B9">
        <w:t>beginning</w:t>
      </w:r>
      <w:r w:rsidRPr="00CB43B9">
        <w:fldChar w:fldCharType="end"/>
      </w:r>
      <w:r w:rsidRPr="00CB43B9">
        <w:t xml:space="preserve"> on or after </w:t>
      </w:r>
      <w:r w:rsidRPr="00CB43B9">
        <w:fldChar w:fldCharType="begin" w:fldLock="1"/>
      </w:r>
      <w:r w:rsidRPr="00CB43B9">
        <w:instrText xml:space="preserve"> REF ApplyDate \* charformat</w:instrText>
      </w:r>
      <w:r w:rsidRPr="00CB43B9">
        <w:fldChar w:fldCharType="separate"/>
      </w:r>
      <w:r w:rsidRPr="00CB43B9">
        <w:t>1 January 2026</w:t>
      </w:r>
      <w:r w:rsidRPr="00CB43B9">
        <w:fldChar w:fldCharType="end"/>
      </w:r>
      <w:r w:rsidRPr="00CB43B9">
        <w:t>, with earlier application permitted.</w:t>
      </w:r>
    </w:p>
    <w:p w14:paraId="07E16AC2" w14:textId="77777777" w:rsidR="00CB43B9" w:rsidRPr="00CB43B9" w:rsidRDefault="00CB43B9" w:rsidP="00CB43B9"/>
    <w:p w14:paraId="6DC952F7" w14:textId="77777777" w:rsidR="00CB43B9" w:rsidRPr="00CB43B9" w:rsidRDefault="00CB43B9" w:rsidP="00CB43B9">
      <w:pPr>
        <w:sectPr w:rsidR="00CB43B9" w:rsidRPr="00CB43B9" w:rsidSect="00CB43B9">
          <w:footerReference w:type="default" r:id="rId15"/>
          <w:pgSz w:w="11907" w:h="16840" w:code="9"/>
          <w:pgMar w:top="1418" w:right="1418" w:bottom="1418" w:left="1418" w:header="709" w:footer="709" w:gutter="0"/>
          <w:paperSrc w:first="7" w:other="7"/>
          <w:cols w:space="720"/>
        </w:sectPr>
      </w:pPr>
    </w:p>
    <w:p w14:paraId="5F80BA4D" w14:textId="33740D3F" w:rsidR="00CB43B9" w:rsidRPr="00CB43B9" w:rsidRDefault="00CB43B9" w:rsidP="00CB43B9">
      <w:pPr>
        <w:keepNext/>
        <w:spacing w:before="400" w:after="200"/>
        <w:jc w:val="left"/>
        <w:outlineLvl w:val="0"/>
        <w:rPr>
          <w:rFonts w:ascii="Arial" w:hAnsi="Arial" w:cs="Arial"/>
          <w:b/>
          <w:bCs/>
          <w:sz w:val="26"/>
          <w:szCs w:val="32"/>
        </w:rPr>
      </w:pPr>
      <w:r w:rsidRPr="00CB43B9">
        <w:rPr>
          <w:rFonts w:ascii="Arial" w:hAnsi="Arial" w:cs="Arial"/>
          <w:b/>
          <w:bCs/>
          <w:sz w:val="26"/>
          <w:szCs w:val="32"/>
        </w:rPr>
        <w:lastRenderedPageBreak/>
        <w:t>Accounting Standard AASB 202</w:t>
      </w:r>
      <w:r w:rsidR="00A3390B">
        <w:rPr>
          <w:rFonts w:ascii="Arial" w:hAnsi="Arial" w:cs="Arial"/>
          <w:b/>
          <w:bCs/>
          <w:sz w:val="26"/>
          <w:szCs w:val="32"/>
        </w:rPr>
        <w:t>5</w:t>
      </w:r>
      <w:r w:rsidRPr="00CB43B9">
        <w:rPr>
          <w:rFonts w:ascii="Arial" w:hAnsi="Arial" w:cs="Arial"/>
          <w:b/>
          <w:bCs/>
          <w:sz w:val="26"/>
          <w:szCs w:val="32"/>
        </w:rPr>
        <w:t>-</w:t>
      </w:r>
      <w:r w:rsidR="001F6D24">
        <w:rPr>
          <w:rFonts w:ascii="Arial" w:hAnsi="Arial" w:cs="Arial"/>
          <w:b/>
          <w:bCs/>
          <w:sz w:val="26"/>
          <w:szCs w:val="32"/>
        </w:rPr>
        <w:t>2</w:t>
      </w:r>
    </w:p>
    <w:p w14:paraId="6877FD74" w14:textId="059C0346" w:rsidR="00CB43B9" w:rsidRPr="00CB43B9" w:rsidRDefault="00CB43B9" w:rsidP="00CB43B9">
      <w:r w:rsidRPr="00CB43B9">
        <w:t>The Australian Accounting Standards Board makes Accounting Standard AASB</w:t>
      </w:r>
      <w:r w:rsidR="00F84C0C">
        <w:t xml:space="preserve"> </w:t>
      </w:r>
      <w:r w:rsidRPr="00CB43B9">
        <w:t>202</w:t>
      </w:r>
      <w:r w:rsidR="00A3390B">
        <w:t>5</w:t>
      </w:r>
      <w:r w:rsidRPr="00CB43B9">
        <w:t>-</w:t>
      </w:r>
      <w:r w:rsidR="001F6D24">
        <w:t>2</w:t>
      </w:r>
      <w:r w:rsidRPr="00CB43B9">
        <w:t xml:space="preserve"> </w:t>
      </w:r>
      <w:r w:rsidRPr="00CB43B9">
        <w:rPr>
          <w:i/>
          <w:iCs/>
        </w:rPr>
        <w:fldChar w:fldCharType="begin" w:fldLock="1"/>
      </w:r>
      <w:r w:rsidRPr="00CB43B9">
        <w:rPr>
          <w:i/>
          <w:iCs/>
        </w:rPr>
        <w:instrText xml:space="preserve"> REF DocTitle  \* charformat </w:instrText>
      </w:r>
      <w:r w:rsidRPr="00CB43B9">
        <w:rPr>
          <w:i/>
          <w:iCs/>
        </w:rPr>
        <w:fldChar w:fldCharType="separate"/>
      </w:r>
      <w:r w:rsidRPr="00CB43B9">
        <w:rPr>
          <w:i/>
          <w:iCs/>
        </w:rPr>
        <w:t>Amendments to Australian Accounting Standards – Classification and Measurement of Financial Instruments: Tier 2 Disclosures</w:t>
      </w:r>
      <w:r w:rsidRPr="00CB43B9">
        <w:rPr>
          <w:i/>
          <w:iCs/>
        </w:rPr>
        <w:fldChar w:fldCharType="end"/>
      </w:r>
      <w:r w:rsidRPr="00CB43B9">
        <w:t xml:space="preserve"> under section 334 of the </w:t>
      </w:r>
      <w:r w:rsidRPr="00CB43B9">
        <w:rPr>
          <w:i/>
          <w:iCs/>
        </w:rPr>
        <w:t>Corporations Act 2001</w:t>
      </w:r>
      <w:r w:rsidRPr="00CB43B9">
        <w:t>.</w:t>
      </w:r>
    </w:p>
    <w:p w14:paraId="5E43310B" w14:textId="77777777" w:rsidR="00CB43B9" w:rsidRPr="00CB43B9" w:rsidRDefault="00CB43B9" w:rsidP="00CB43B9"/>
    <w:p w14:paraId="52BD4E08" w14:textId="77777777" w:rsidR="00CB43B9" w:rsidRPr="00CB43B9" w:rsidRDefault="00CB43B9" w:rsidP="00CB43B9">
      <w:pPr>
        <w:jc w:val="right"/>
      </w:pPr>
      <w:r w:rsidRPr="00CB43B9">
        <w:t>Keith Kendall</w:t>
      </w:r>
    </w:p>
    <w:p w14:paraId="43677D58" w14:textId="406DF6AD" w:rsidR="00CB43B9" w:rsidRPr="00CB43B9" w:rsidRDefault="00CB43B9" w:rsidP="00CB43B9">
      <w:pPr>
        <w:tabs>
          <w:tab w:val="right" w:pos="9071"/>
        </w:tabs>
      </w:pPr>
      <w:r w:rsidRPr="00CB43B9">
        <w:t xml:space="preserve">Dated </w:t>
      </w:r>
      <w:r w:rsidR="004F31BD">
        <w:t>6 March 2025</w:t>
      </w:r>
      <w:r w:rsidRPr="00CB43B9">
        <w:tab/>
        <w:t>Chair – AASB</w:t>
      </w:r>
    </w:p>
    <w:p w14:paraId="74407D25" w14:textId="38F823DB" w:rsidR="00CB43B9" w:rsidRPr="00CB43B9" w:rsidRDefault="00CB43B9" w:rsidP="00CB43B9">
      <w:pPr>
        <w:keepNext/>
        <w:spacing w:before="400"/>
        <w:jc w:val="left"/>
        <w:outlineLvl w:val="0"/>
        <w:rPr>
          <w:rFonts w:ascii="Arial" w:hAnsi="Arial" w:cs="Arial"/>
          <w:b/>
          <w:bCs/>
          <w:sz w:val="26"/>
          <w:szCs w:val="32"/>
        </w:rPr>
      </w:pPr>
      <w:r w:rsidRPr="00CB43B9">
        <w:rPr>
          <w:rFonts w:ascii="Arial" w:hAnsi="Arial" w:cs="Arial"/>
          <w:b/>
          <w:bCs/>
          <w:sz w:val="26"/>
          <w:szCs w:val="32"/>
        </w:rPr>
        <w:t>Accounting Standard AASB 202</w:t>
      </w:r>
      <w:r w:rsidR="00A3390B">
        <w:rPr>
          <w:rFonts w:ascii="Arial" w:hAnsi="Arial" w:cs="Arial"/>
          <w:b/>
          <w:bCs/>
          <w:sz w:val="26"/>
          <w:szCs w:val="32"/>
        </w:rPr>
        <w:t>5</w:t>
      </w:r>
      <w:r w:rsidRPr="00CB43B9">
        <w:rPr>
          <w:rFonts w:ascii="Arial" w:hAnsi="Arial" w:cs="Arial"/>
          <w:b/>
          <w:bCs/>
          <w:sz w:val="26"/>
          <w:szCs w:val="32"/>
        </w:rPr>
        <w:t>-</w:t>
      </w:r>
      <w:r w:rsidR="001F6D24">
        <w:rPr>
          <w:rFonts w:ascii="Arial" w:hAnsi="Arial" w:cs="Arial"/>
          <w:b/>
          <w:bCs/>
          <w:sz w:val="26"/>
          <w:szCs w:val="32"/>
        </w:rPr>
        <w:t>2</w:t>
      </w:r>
    </w:p>
    <w:p w14:paraId="690DEF06" w14:textId="77777777" w:rsidR="00CB43B9" w:rsidRPr="00CB43B9" w:rsidRDefault="00CB43B9" w:rsidP="00CB43B9">
      <w:pPr>
        <w:keepNext/>
        <w:spacing w:after="200"/>
        <w:jc w:val="left"/>
        <w:outlineLvl w:val="0"/>
        <w:rPr>
          <w:rFonts w:ascii="Arial" w:hAnsi="Arial" w:cs="Arial"/>
          <w:b/>
          <w:bCs/>
          <w:i/>
          <w:sz w:val="26"/>
          <w:szCs w:val="32"/>
        </w:rPr>
      </w:pPr>
      <w:r w:rsidRPr="00CB43B9">
        <w:rPr>
          <w:rFonts w:ascii="Arial" w:hAnsi="Arial" w:cs="Arial"/>
          <w:b/>
          <w:bCs/>
          <w:i/>
          <w:sz w:val="26"/>
          <w:szCs w:val="32"/>
        </w:rPr>
        <w:fldChar w:fldCharType="begin" w:fldLock="1"/>
      </w:r>
      <w:r w:rsidRPr="00CB43B9">
        <w:rPr>
          <w:rFonts w:ascii="Arial" w:hAnsi="Arial" w:cs="Arial"/>
          <w:b/>
          <w:bCs/>
          <w:i/>
          <w:sz w:val="26"/>
          <w:szCs w:val="32"/>
        </w:rPr>
        <w:instrText xml:space="preserve"> REF DocTitle \* charformat</w:instrText>
      </w:r>
      <w:r w:rsidRPr="00CB43B9">
        <w:rPr>
          <w:rFonts w:ascii="Arial" w:hAnsi="Arial" w:cs="Arial"/>
          <w:b/>
          <w:bCs/>
          <w:i/>
          <w:sz w:val="26"/>
          <w:szCs w:val="32"/>
        </w:rPr>
        <w:fldChar w:fldCharType="separate"/>
      </w:r>
      <w:r w:rsidRPr="00CB43B9">
        <w:rPr>
          <w:rFonts w:ascii="Arial" w:hAnsi="Arial" w:cs="Arial"/>
          <w:b/>
          <w:bCs/>
          <w:i/>
          <w:sz w:val="26"/>
          <w:szCs w:val="32"/>
        </w:rPr>
        <w:t>Amendments to Australian Accounting Standards – Classification and Measurement of Financial Instruments: Tier 2 Disclosures</w:t>
      </w:r>
      <w:r w:rsidRPr="00CB43B9">
        <w:rPr>
          <w:rFonts w:ascii="Arial" w:hAnsi="Arial" w:cs="Arial"/>
          <w:b/>
          <w:bCs/>
          <w:i/>
          <w:sz w:val="26"/>
          <w:szCs w:val="32"/>
        </w:rPr>
        <w:fldChar w:fldCharType="end"/>
      </w:r>
    </w:p>
    <w:p w14:paraId="56979950"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Objective</w:t>
      </w:r>
    </w:p>
    <w:p w14:paraId="10E16DA1" w14:textId="77777777" w:rsidR="00CB43B9" w:rsidRPr="00CB43B9" w:rsidRDefault="00CB43B9" w:rsidP="00CB43B9">
      <w:pPr>
        <w:numPr>
          <w:ilvl w:val="0"/>
          <w:numId w:val="15"/>
        </w:numPr>
        <w:spacing w:before="100" w:after="100"/>
      </w:pPr>
      <w:r w:rsidRPr="00CB43B9">
        <w:t xml:space="preserve">This Standard amends AASB 1060 </w:t>
      </w:r>
      <w:r w:rsidRPr="00CB43B9">
        <w:rPr>
          <w:i/>
          <w:iCs/>
        </w:rPr>
        <w:t>General Purpose Financial Statements – Simplified Disclosures for For-Profit and Not-for-Profit Tier 2 Entities</w:t>
      </w:r>
      <w:r w:rsidRPr="00CB43B9">
        <w:t xml:space="preserve"> (March 2020) to require a Tier 2 entity to disclose information about financial instruments with contingent features that do not relate directly to basic lending risks and costs that enables users of financial statements to understand the effect that changes in contractual terms could have on the entity’s future cash flows.</w:t>
      </w:r>
    </w:p>
    <w:p w14:paraId="33376B9E" w14:textId="77777777" w:rsidR="00CB43B9" w:rsidRPr="00CB43B9" w:rsidRDefault="00CB43B9" w:rsidP="00CB43B9">
      <w:pPr>
        <w:numPr>
          <w:ilvl w:val="0"/>
          <w:numId w:val="15"/>
        </w:numPr>
        <w:spacing w:before="100" w:after="100"/>
      </w:pPr>
      <w:r w:rsidRPr="00CB43B9">
        <w:t xml:space="preserve">This amendment reflects the issuance of AASB 2024-2 </w:t>
      </w:r>
      <w:r w:rsidRPr="00CB43B9">
        <w:rPr>
          <w:i/>
          <w:iCs/>
        </w:rPr>
        <w:t>Amendments to Australian Accounting Standards – Classification and Measurement of Financial Instruments</w:t>
      </w:r>
      <w:r w:rsidRPr="00CB43B9">
        <w:t xml:space="preserve">, which amended AASB 7 </w:t>
      </w:r>
      <w:r w:rsidRPr="00CB43B9">
        <w:rPr>
          <w:i/>
          <w:iCs/>
        </w:rPr>
        <w:t>Financial Instruments: Disclosures</w:t>
      </w:r>
      <w:r w:rsidRPr="00CB43B9">
        <w:t xml:space="preserve"> (August 2015) and AASB 9 </w:t>
      </w:r>
      <w:r w:rsidRPr="00CB43B9">
        <w:rPr>
          <w:i/>
          <w:iCs/>
        </w:rPr>
        <w:t>Financial Instruments</w:t>
      </w:r>
      <w:r w:rsidRPr="00CB43B9">
        <w:t xml:space="preserve"> (December 2014), and extends some of the new disclosure requirements to Tier 2 entities.</w:t>
      </w:r>
    </w:p>
    <w:p w14:paraId="702853BA"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Application</w:t>
      </w:r>
    </w:p>
    <w:p w14:paraId="562103C6" w14:textId="77777777" w:rsidR="00CB43B9" w:rsidRPr="00CB43B9" w:rsidRDefault="00CB43B9" w:rsidP="00CB43B9">
      <w:pPr>
        <w:numPr>
          <w:ilvl w:val="0"/>
          <w:numId w:val="15"/>
        </w:numPr>
        <w:spacing w:before="100" w:after="100"/>
      </w:pPr>
      <w:r w:rsidRPr="00CB43B9">
        <w:t xml:space="preserve">The amendments set out in this Standard apply to entities and financial statements in accordance with the application of AASB 1060 set out in AASB 1057 </w:t>
      </w:r>
      <w:r w:rsidRPr="00CB43B9">
        <w:rPr>
          <w:i/>
        </w:rPr>
        <w:t>Application of Australian Accounting Standards</w:t>
      </w:r>
      <w:r w:rsidRPr="00CB43B9">
        <w:t>.</w:t>
      </w:r>
    </w:p>
    <w:p w14:paraId="4B9AB0D9" w14:textId="1CBBF262" w:rsidR="00CB43B9" w:rsidRPr="00CB43B9" w:rsidRDefault="00CB43B9" w:rsidP="00737AD4">
      <w:pPr>
        <w:numPr>
          <w:ilvl w:val="0"/>
          <w:numId w:val="15"/>
        </w:numPr>
        <w:spacing w:before="100" w:after="100"/>
      </w:pPr>
      <w:r w:rsidRPr="00CB43B9">
        <w:t>This Standard applies to annual periods beginning on or after 1 January 2026. Earlier application is permitted.</w:t>
      </w:r>
    </w:p>
    <w:p w14:paraId="087F6095"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Amendments to AASB 1060</w:t>
      </w:r>
    </w:p>
    <w:p w14:paraId="19A8EF40" w14:textId="77777777" w:rsidR="00CB43B9" w:rsidRPr="00CB43B9" w:rsidRDefault="00CB43B9" w:rsidP="00CB43B9">
      <w:pPr>
        <w:numPr>
          <w:ilvl w:val="0"/>
          <w:numId w:val="15"/>
        </w:numPr>
        <w:spacing w:before="100" w:after="100"/>
      </w:pPr>
      <w:r w:rsidRPr="00CB43B9">
        <w:t>Paragraphs 119A–119C under the ‘Supplier finance arrangements’ heading are renumbered as paragraphs 87A–87C respectively. The heading is also relocated with the renumbered paragraphs.</w:t>
      </w:r>
    </w:p>
    <w:p w14:paraId="00EF29CB" w14:textId="69CB44C8" w:rsidR="00CB43B9" w:rsidRPr="00CB43B9" w:rsidRDefault="00CC106D" w:rsidP="00CB43B9">
      <w:pPr>
        <w:numPr>
          <w:ilvl w:val="0"/>
          <w:numId w:val="15"/>
        </w:numPr>
        <w:spacing w:before="100" w:after="100"/>
      </w:pPr>
      <w:r>
        <w:t xml:space="preserve">New </w:t>
      </w:r>
      <w:r w:rsidRPr="00CB43B9">
        <w:t xml:space="preserve">paragraphs </w:t>
      </w:r>
      <w:r w:rsidR="00CB43B9" w:rsidRPr="00CB43B9">
        <w:t>119A–119C are added immediately after paragraph</w:t>
      </w:r>
      <w:r>
        <w:t xml:space="preserve"> 119:</w:t>
      </w:r>
    </w:p>
    <w:p w14:paraId="7223056B" w14:textId="77777777" w:rsidR="00CB43B9" w:rsidRPr="00CB43B9" w:rsidRDefault="00CB43B9" w:rsidP="00CB43B9">
      <w:pPr>
        <w:spacing w:before="100" w:after="100"/>
        <w:ind w:left="1564" w:hanging="782"/>
        <w:rPr>
          <w:bCs/>
        </w:rPr>
      </w:pPr>
      <w:r w:rsidRPr="00CB43B9">
        <w:rPr>
          <w:bCs/>
        </w:rPr>
        <w:t>119A</w:t>
      </w:r>
      <w:r w:rsidRPr="00CB43B9">
        <w:rPr>
          <w:bCs/>
        </w:rPr>
        <w:tab/>
        <w:t>An entity shall disclose the information required by paragraph 119B by class of financial assets measured at amortised cost or fair value through other comprehensive income and by class of financial liabilities measured at amortised cost. The entity shall consider how much detail to disclose, the appropriate level of aggregation or disaggregation, and whether users of financial statements need additional explanations to evaluate any quantitative information disclosed.</w:t>
      </w:r>
    </w:p>
    <w:p w14:paraId="4493CE50" w14:textId="77777777" w:rsidR="00CB43B9" w:rsidRPr="00CB43B9" w:rsidRDefault="00CB43B9" w:rsidP="00CB43B9">
      <w:pPr>
        <w:spacing w:before="100" w:after="100"/>
        <w:ind w:left="1564" w:hanging="782"/>
      </w:pPr>
      <w:r w:rsidRPr="00CB43B9">
        <w:rPr>
          <w:bCs/>
        </w:rPr>
        <w:t>119B</w:t>
      </w:r>
      <w:r w:rsidRPr="00CB43B9">
        <w:tab/>
        <w:t xml:space="preserve">To enable users of financial statements to understand the effect of contractual terms that could change the amount of contractual cash flows based on the occurrence (or non-occurrence) of a contingent event that does not relate directly to changes in basic lending risks and costs (such as the time value of money or credit risk), an entity shall disclose: </w:t>
      </w:r>
    </w:p>
    <w:p w14:paraId="755E9C6A" w14:textId="1E1B9F81" w:rsidR="00CB43B9" w:rsidRPr="00CB43B9" w:rsidRDefault="00CB43B9" w:rsidP="00CB43B9">
      <w:pPr>
        <w:spacing w:before="100" w:after="100"/>
        <w:ind w:left="2346" w:hanging="782"/>
      </w:pPr>
      <w:r w:rsidRPr="00CB43B9">
        <w:t>(a)</w:t>
      </w:r>
      <w:r w:rsidRPr="00CB43B9">
        <w:tab/>
        <w:t xml:space="preserve">a qualitative description of the nature of the contingent event; </w:t>
      </w:r>
    </w:p>
    <w:p w14:paraId="49A3880B" w14:textId="7086F5BA" w:rsidR="00CB43B9" w:rsidRPr="00CB43B9" w:rsidRDefault="00CB43B9" w:rsidP="00CB43B9">
      <w:pPr>
        <w:spacing w:before="100" w:after="100"/>
        <w:ind w:left="2346" w:hanging="782"/>
      </w:pPr>
      <w:r w:rsidRPr="00CB43B9">
        <w:t>(b)</w:t>
      </w:r>
      <w:r w:rsidRPr="00CB43B9">
        <w:tab/>
        <w:t xml:space="preserve">quantitative information about the possible changes to contractual cash flows that could result from those contractual terms (for example, the range of possible changes); and </w:t>
      </w:r>
    </w:p>
    <w:p w14:paraId="21A6D973" w14:textId="4A10FFF6" w:rsidR="00CB43B9" w:rsidRPr="00CB43B9" w:rsidRDefault="00CB43B9" w:rsidP="00CB43B9">
      <w:pPr>
        <w:spacing w:before="100" w:after="100"/>
        <w:ind w:left="2346" w:hanging="782"/>
      </w:pPr>
      <w:r w:rsidRPr="00CB43B9">
        <w:t>(c)</w:t>
      </w:r>
      <w:r w:rsidRPr="00CB43B9">
        <w:tab/>
        <w:t xml:space="preserve">the gross carrying amount of financial assets and the amortised cost of financial liabilities subject to those contractual terms. </w:t>
      </w:r>
    </w:p>
    <w:p w14:paraId="18F0E73F" w14:textId="77777777" w:rsidR="00CB43B9" w:rsidRPr="00CB43B9" w:rsidRDefault="00CB43B9" w:rsidP="00CB43B9">
      <w:pPr>
        <w:spacing w:before="100" w:after="100"/>
        <w:ind w:left="1564" w:hanging="782"/>
        <w:rPr>
          <w:lang w:val="en-US"/>
        </w:rPr>
      </w:pPr>
      <w:r w:rsidRPr="00CB43B9">
        <w:rPr>
          <w:bCs/>
        </w:rPr>
        <w:lastRenderedPageBreak/>
        <w:t>119C</w:t>
      </w:r>
      <w:r w:rsidRPr="00CB43B9">
        <w:tab/>
        <w:t>For example, an entity shall disclose the information required by paragraph 119B for a class of financial liabilities measured at amortised cost whose contractual cash flows change if the entity achieves a reduction in its carbon emissions.</w:t>
      </w:r>
    </w:p>
    <w:p w14:paraId="6CE426E3"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Commencement of the legislative instrument</w:t>
      </w:r>
    </w:p>
    <w:p w14:paraId="07B4CBDA" w14:textId="453EEA46" w:rsidR="00CB43B9" w:rsidRPr="00CB43B9" w:rsidRDefault="00CB43B9" w:rsidP="00737AD4">
      <w:pPr>
        <w:numPr>
          <w:ilvl w:val="0"/>
          <w:numId w:val="15"/>
        </w:numPr>
        <w:spacing w:before="100" w:after="100"/>
      </w:pPr>
      <w:r w:rsidRPr="00CB43B9">
        <w:t>For legal purposes, this legislative instrument commences on 31 December 2025.</w:t>
      </w:r>
    </w:p>
    <w:p w14:paraId="3DFD2790" w14:textId="77777777" w:rsidR="00CB43B9" w:rsidRPr="00CB43B9" w:rsidRDefault="00CB43B9" w:rsidP="00CB43B9"/>
    <w:p w14:paraId="33E39016" w14:textId="77777777" w:rsidR="00CB43B9" w:rsidRPr="00CB43B9" w:rsidRDefault="00CB43B9" w:rsidP="00CB43B9">
      <w:pPr>
        <w:sectPr w:rsidR="00CB43B9" w:rsidRPr="00CB43B9" w:rsidSect="00CB43B9">
          <w:footerReference w:type="default" r:id="rId16"/>
          <w:pgSz w:w="11907" w:h="16840" w:code="9"/>
          <w:pgMar w:top="1418" w:right="1418" w:bottom="1418" w:left="1418" w:header="709" w:footer="709" w:gutter="0"/>
          <w:paperSrc w:first="7" w:other="7"/>
          <w:cols w:space="720"/>
        </w:sectPr>
      </w:pPr>
    </w:p>
    <w:p w14:paraId="3C1B6E7D" w14:textId="77777777" w:rsidR="00CB43B9" w:rsidRPr="00CB43B9" w:rsidRDefault="00CB43B9" w:rsidP="00CB43B9">
      <w:pPr>
        <w:keepNext/>
        <w:spacing w:before="400" w:after="200"/>
        <w:jc w:val="left"/>
        <w:outlineLvl w:val="0"/>
        <w:rPr>
          <w:rFonts w:ascii="Arial" w:hAnsi="Arial"/>
          <w:b/>
          <w:sz w:val="26"/>
          <w:szCs w:val="28"/>
        </w:rPr>
      </w:pPr>
      <w:r w:rsidRPr="00CB43B9">
        <w:rPr>
          <w:rFonts w:ascii="Arial" w:hAnsi="Arial"/>
          <w:b/>
          <w:sz w:val="26"/>
          <w:szCs w:val="28"/>
        </w:rPr>
        <w:lastRenderedPageBreak/>
        <w:t>Basis for Conclusions</w:t>
      </w:r>
    </w:p>
    <w:p w14:paraId="036A8ABB" w14:textId="00628A18" w:rsidR="00CB43B9" w:rsidRPr="00CB43B9" w:rsidRDefault="00CB43B9" w:rsidP="00B14D3D">
      <w:pPr>
        <w:spacing w:after="200"/>
        <w:rPr>
          <w:i/>
          <w:iCs/>
        </w:rPr>
      </w:pPr>
      <w:r w:rsidRPr="00CB43B9">
        <w:rPr>
          <w:i/>
          <w:iCs/>
        </w:rPr>
        <w:t>This Basis for Conclusions accompanies, but is not part of, AASB 202</w:t>
      </w:r>
      <w:r w:rsidR="00A3390B">
        <w:rPr>
          <w:i/>
          <w:iCs/>
        </w:rPr>
        <w:t>5</w:t>
      </w:r>
      <w:r w:rsidRPr="00CB43B9">
        <w:rPr>
          <w:i/>
          <w:iCs/>
        </w:rPr>
        <w:t>-</w:t>
      </w:r>
      <w:r w:rsidR="00147841">
        <w:rPr>
          <w:i/>
          <w:iCs/>
        </w:rPr>
        <w:t>2</w:t>
      </w:r>
      <w:r w:rsidRPr="00CB43B9">
        <w:rPr>
          <w:i/>
          <w:iCs/>
        </w:rPr>
        <w:t xml:space="preserve"> </w:t>
      </w:r>
      <w:fldSimple w:instr=" REF DocTitle \* charformat  \* MERGEFORMAT " w:fldLock="1">
        <w:r w:rsidRPr="00CB43B9">
          <w:t>Amendments to Australian Accounting Standards – Classification and Measurement of Financial Instruments: Tier 2 Disclosures</w:t>
        </w:r>
      </w:fldSimple>
      <w:r w:rsidRPr="00CB43B9">
        <w:rPr>
          <w:i/>
          <w:iCs/>
        </w:rPr>
        <w:t>.</w:t>
      </w:r>
    </w:p>
    <w:p w14:paraId="2958C8D4"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Introduction</w:t>
      </w:r>
    </w:p>
    <w:p w14:paraId="4E1D3CE3" w14:textId="0664AAE2" w:rsidR="00CB43B9" w:rsidRPr="00CB43B9" w:rsidRDefault="00CB43B9" w:rsidP="00E047AC">
      <w:pPr>
        <w:pStyle w:val="NumBC1"/>
        <w:tabs>
          <w:tab w:val="clear" w:pos="624"/>
          <w:tab w:val="num" w:pos="908"/>
        </w:tabs>
        <w:ind w:left="782" w:hanging="782"/>
      </w:pPr>
      <w:r w:rsidRPr="00CB43B9">
        <w:t>This Basis for Conclusions summarises the Australian Accounting Standards Board’s considerations in reaching the conclusions in th</w:t>
      </w:r>
      <w:r w:rsidR="00C12223">
        <w:t>is Standard</w:t>
      </w:r>
      <w:r w:rsidRPr="00CB43B9">
        <w:t xml:space="preserve">. It sets out the reasons why the Board developed the </w:t>
      </w:r>
      <w:r w:rsidR="00D563CD">
        <w:t>Standard</w:t>
      </w:r>
      <w:r w:rsidRPr="00CB43B9">
        <w:t xml:space="preserve">, the approach taken to developing the </w:t>
      </w:r>
      <w:r w:rsidR="00D563CD">
        <w:t xml:space="preserve">Standard </w:t>
      </w:r>
      <w:r w:rsidRPr="00CB43B9">
        <w:t>and the bases for the key decisions made. In making decisions, individual Board members gave greater weight to some factors than to others.</w:t>
      </w:r>
    </w:p>
    <w:p w14:paraId="52B5C26E"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Background</w:t>
      </w:r>
    </w:p>
    <w:p w14:paraId="21F0DA5E" w14:textId="77777777" w:rsidR="00CB43B9" w:rsidRPr="00CB43B9" w:rsidRDefault="00CB43B9" w:rsidP="00CB43B9">
      <w:pPr>
        <w:keepNext/>
        <w:spacing w:before="100" w:after="200"/>
        <w:ind w:left="782"/>
        <w:jc w:val="left"/>
        <w:outlineLvl w:val="2"/>
        <w:rPr>
          <w:rFonts w:ascii="Arial" w:hAnsi="Arial" w:cs="Arial"/>
          <w:b/>
          <w:bCs/>
          <w:i/>
          <w:sz w:val="26"/>
          <w:szCs w:val="26"/>
        </w:rPr>
      </w:pPr>
      <w:r w:rsidRPr="00CB43B9">
        <w:rPr>
          <w:rFonts w:ascii="Arial" w:hAnsi="Arial" w:cs="Arial"/>
          <w:b/>
          <w:bCs/>
          <w:iCs/>
          <w:sz w:val="26"/>
          <w:szCs w:val="26"/>
        </w:rPr>
        <w:t>Tier</w:t>
      </w:r>
      <w:r w:rsidRPr="00CB43B9">
        <w:rPr>
          <w:rFonts w:ascii="Arial" w:hAnsi="Arial" w:cs="Arial"/>
          <w:b/>
          <w:bCs/>
          <w:i/>
          <w:sz w:val="26"/>
          <w:szCs w:val="26"/>
        </w:rPr>
        <w:t xml:space="preserve"> </w:t>
      </w:r>
      <w:r w:rsidRPr="00CB43B9">
        <w:rPr>
          <w:rFonts w:ascii="Arial" w:hAnsi="Arial" w:cs="Arial"/>
          <w:b/>
          <w:bCs/>
          <w:iCs/>
          <w:sz w:val="26"/>
          <w:szCs w:val="26"/>
        </w:rPr>
        <w:t>1 amendments</w:t>
      </w:r>
    </w:p>
    <w:p w14:paraId="37FF1F8F" w14:textId="4CD8EF55" w:rsidR="00D87E23" w:rsidRDefault="00D87E23" w:rsidP="00D4761E">
      <w:pPr>
        <w:pStyle w:val="NumBC1"/>
        <w:tabs>
          <w:tab w:val="clear" w:pos="624"/>
          <w:tab w:val="num" w:pos="908"/>
        </w:tabs>
        <w:ind w:left="782" w:hanging="782"/>
      </w:pPr>
      <w:r w:rsidRPr="00CB43B9">
        <w:t xml:space="preserve">In July 2024, the Board issued AASB 2024-2 </w:t>
      </w:r>
      <w:r w:rsidRPr="00CB43B9">
        <w:rPr>
          <w:i/>
          <w:iCs/>
        </w:rPr>
        <w:t>Amendments to Australian Accounting Standards – Classification and Measurement of Financial Instruments</w:t>
      </w:r>
      <w:r w:rsidRPr="00CB43B9">
        <w:t>. Th</w:t>
      </w:r>
      <w:r>
        <w:t>e</w:t>
      </w:r>
      <w:r w:rsidRPr="00CB43B9">
        <w:t xml:space="preserve"> Standard amends AASB 7 </w:t>
      </w:r>
      <w:r w:rsidRPr="00CB43B9">
        <w:rPr>
          <w:i/>
          <w:iCs/>
        </w:rPr>
        <w:t>Financial Instruments: Disclosures</w:t>
      </w:r>
      <w:r w:rsidRPr="00CB43B9">
        <w:t xml:space="preserve"> and AASB 9 </w:t>
      </w:r>
      <w:r w:rsidRPr="00CB43B9">
        <w:rPr>
          <w:i/>
          <w:iCs/>
        </w:rPr>
        <w:t>Financial Instruments</w:t>
      </w:r>
      <w:r w:rsidRPr="00CB43B9">
        <w:t xml:space="preserve"> in response to feedback from the 2022 Post-implementation Review of the classification and measurement requirements in AASB 9 and related requirements in AASB 7 and the subsequent 2023 Exposure Draft</w:t>
      </w:r>
      <w:r>
        <w:t xml:space="preserve"> ED </w:t>
      </w:r>
      <w:r w:rsidR="00D4761E">
        <w:t xml:space="preserve">324 </w:t>
      </w:r>
      <w:r w:rsidRPr="00DD5707">
        <w:rPr>
          <w:i/>
          <w:iCs/>
        </w:rPr>
        <w:t>Amendments to the Classification and Measurement of Financial Instruments</w:t>
      </w:r>
      <w:r w:rsidRPr="00CB43B9">
        <w:t>.</w:t>
      </w:r>
    </w:p>
    <w:p w14:paraId="2FF60AE9" w14:textId="2683C6DA" w:rsidR="00CB43B9" w:rsidRPr="00CB43B9" w:rsidRDefault="00CB43B9" w:rsidP="00175677">
      <w:pPr>
        <w:pStyle w:val="NumBC1"/>
        <w:tabs>
          <w:tab w:val="clear" w:pos="624"/>
          <w:tab w:val="num" w:pos="908"/>
        </w:tabs>
        <w:ind w:left="782" w:hanging="782"/>
      </w:pPr>
      <w:r w:rsidRPr="00CB43B9">
        <w:t xml:space="preserve">AASB 2024-2 amends requirements related to: </w:t>
      </w:r>
    </w:p>
    <w:p w14:paraId="0D0D606B" w14:textId="77777777" w:rsidR="00CB43B9" w:rsidRPr="00CB43B9" w:rsidRDefault="00CB43B9" w:rsidP="00CB43B9">
      <w:pPr>
        <w:numPr>
          <w:ilvl w:val="0"/>
          <w:numId w:val="18"/>
        </w:numPr>
        <w:spacing w:before="100" w:after="100"/>
        <w:ind w:left="1564" w:hanging="782"/>
      </w:pPr>
      <w:r w:rsidRPr="00CB43B9">
        <w:t>settling financial liabilities using an electronic payment system;</w:t>
      </w:r>
    </w:p>
    <w:p w14:paraId="55389F31" w14:textId="77777777" w:rsidR="00CB43B9" w:rsidRPr="00CB43B9" w:rsidRDefault="00CB43B9" w:rsidP="00CB43B9">
      <w:pPr>
        <w:numPr>
          <w:ilvl w:val="0"/>
          <w:numId w:val="18"/>
        </w:numPr>
        <w:spacing w:before="100" w:after="100"/>
        <w:ind w:left="1564" w:hanging="782"/>
      </w:pPr>
      <w:r w:rsidRPr="00CB43B9">
        <w:t>assessing contractual cash flow characteristics of financial assets with environmental, social and corporate governance (ESG) and similar features; and</w:t>
      </w:r>
    </w:p>
    <w:p w14:paraId="78400F16" w14:textId="77777777" w:rsidR="00CB43B9" w:rsidRPr="00CB43B9" w:rsidRDefault="00CB43B9" w:rsidP="00CB43B9">
      <w:pPr>
        <w:numPr>
          <w:ilvl w:val="0"/>
          <w:numId w:val="18"/>
        </w:numPr>
        <w:spacing w:before="100" w:after="100"/>
        <w:ind w:left="1564" w:hanging="782"/>
      </w:pPr>
      <w:r w:rsidRPr="00CB43B9">
        <w:t>disclosure about:</w:t>
      </w:r>
    </w:p>
    <w:p w14:paraId="4C8FBB99" w14:textId="77777777" w:rsidR="00CB43B9" w:rsidRPr="00CB43B9" w:rsidRDefault="00CB43B9" w:rsidP="00CB43B9">
      <w:pPr>
        <w:numPr>
          <w:ilvl w:val="1"/>
          <w:numId w:val="19"/>
        </w:numPr>
        <w:spacing w:before="100" w:after="100"/>
        <w:ind w:left="2347" w:hanging="782"/>
      </w:pPr>
      <w:r w:rsidRPr="00CB43B9">
        <w:t>financial instruments with contingent features that do not relate directly to basic lending risks and costs; and</w:t>
      </w:r>
    </w:p>
    <w:p w14:paraId="411CB91E" w14:textId="77777777" w:rsidR="00CB43B9" w:rsidRPr="00CB43B9" w:rsidRDefault="00CB43B9" w:rsidP="00CB43B9">
      <w:pPr>
        <w:numPr>
          <w:ilvl w:val="1"/>
          <w:numId w:val="19"/>
        </w:numPr>
        <w:spacing w:before="100" w:after="100"/>
        <w:ind w:left="2347" w:hanging="782"/>
      </w:pPr>
      <w:r w:rsidRPr="00CB43B9">
        <w:t>investments in equity instruments designated at fair value through other comprehensive income.</w:t>
      </w:r>
    </w:p>
    <w:p w14:paraId="05F69A41" w14:textId="39627FE6" w:rsidR="00CB43B9" w:rsidRDefault="00CB43B9">
      <w:pPr>
        <w:pStyle w:val="NumBC1"/>
        <w:tabs>
          <w:tab w:val="clear" w:pos="624"/>
          <w:tab w:val="num" w:pos="908"/>
        </w:tabs>
        <w:ind w:left="782" w:hanging="782"/>
      </w:pPr>
      <w:r w:rsidRPr="00CB43B9">
        <w:t xml:space="preserve">These amendments arose from the issuance of International Financial Reporting Standard </w:t>
      </w:r>
      <w:r w:rsidRPr="00CB43B9">
        <w:rPr>
          <w:i/>
          <w:iCs/>
        </w:rPr>
        <w:t>Amendments to the Classification and Measurement of Financial Instruments</w:t>
      </w:r>
      <w:r w:rsidRPr="00CB43B9">
        <w:t xml:space="preserve"> (Amendments to IFRS 9 </w:t>
      </w:r>
      <w:r w:rsidR="00021DDD" w:rsidRPr="00CB43B9">
        <w:rPr>
          <w:i/>
          <w:iCs/>
        </w:rPr>
        <w:t>Financial Instruments</w:t>
      </w:r>
      <w:r w:rsidR="00021DDD" w:rsidRPr="00CB43B9">
        <w:t xml:space="preserve"> </w:t>
      </w:r>
      <w:r w:rsidRPr="00CB43B9">
        <w:t>and IFRS 7</w:t>
      </w:r>
      <w:r w:rsidR="00021DDD" w:rsidRPr="00021DDD">
        <w:rPr>
          <w:i/>
          <w:iCs/>
        </w:rPr>
        <w:t xml:space="preserve"> </w:t>
      </w:r>
      <w:r w:rsidR="00021DDD" w:rsidRPr="00CB43B9">
        <w:rPr>
          <w:i/>
          <w:iCs/>
        </w:rPr>
        <w:t>Financial Instruments</w:t>
      </w:r>
      <w:r w:rsidR="001149E9" w:rsidRPr="00CB43B9">
        <w:rPr>
          <w:i/>
          <w:iCs/>
        </w:rPr>
        <w:t>: Disclosures</w:t>
      </w:r>
      <w:r w:rsidRPr="00CB43B9">
        <w:t>) by the International Accounting Standards Board in May 2024.</w:t>
      </w:r>
    </w:p>
    <w:p w14:paraId="481EAC5B" w14:textId="53D4E905" w:rsidR="00EB17E1" w:rsidRDefault="00EB17E1">
      <w:pPr>
        <w:pStyle w:val="NumBC1"/>
        <w:tabs>
          <w:tab w:val="clear" w:pos="624"/>
          <w:tab w:val="num" w:pos="908"/>
        </w:tabs>
        <w:ind w:left="782" w:hanging="782"/>
      </w:pPr>
      <w:r>
        <w:t xml:space="preserve">The amendments made by AASB 2024-2 introduced disclosure requirements for entities applying Tier 1 reporting requirements. Therefore, it was appropriate for the Board to consider whether similar amendments to the Tier 2 Standard AASB 1060 </w:t>
      </w:r>
      <w:r w:rsidRPr="00175677">
        <w:rPr>
          <w:i/>
          <w:iCs/>
        </w:rPr>
        <w:t>General Purpose Financial Statements – Simplified Disclosures for For-Profit and Not-for-Profit Tier 2 Entities</w:t>
      </w:r>
      <w:r>
        <w:t xml:space="preserve"> were requi</w:t>
      </w:r>
      <w:r w:rsidR="00DA5665">
        <w:t>red.</w:t>
      </w:r>
    </w:p>
    <w:p w14:paraId="608867BC" w14:textId="4707DFEA" w:rsidR="00CB43B9" w:rsidRPr="00CB43B9" w:rsidRDefault="00FA5077" w:rsidP="00CB43B9">
      <w:pPr>
        <w:keepNext/>
        <w:pBdr>
          <w:bottom w:val="single" w:sz="4" w:space="1" w:color="auto"/>
        </w:pBdr>
        <w:spacing w:before="400" w:after="200"/>
        <w:jc w:val="left"/>
        <w:outlineLvl w:val="1"/>
        <w:rPr>
          <w:rFonts w:ascii="Arial" w:hAnsi="Arial" w:cs="Arial"/>
          <w:b/>
          <w:iCs/>
          <w:sz w:val="26"/>
          <w:szCs w:val="28"/>
        </w:rPr>
      </w:pPr>
      <w:r w:rsidRPr="001149E9">
        <w:rPr>
          <w:rFonts w:ascii="Arial" w:hAnsi="Arial" w:cs="Arial"/>
          <w:b/>
          <w:iCs/>
          <w:sz w:val="26"/>
          <w:szCs w:val="28"/>
        </w:rPr>
        <w:t>Issue of Exposure Draft ED 3</w:t>
      </w:r>
      <w:r>
        <w:rPr>
          <w:rFonts w:ascii="Arial" w:hAnsi="Arial" w:cs="Arial"/>
          <w:b/>
          <w:iCs/>
          <w:sz w:val="26"/>
          <w:szCs w:val="28"/>
        </w:rPr>
        <w:t>32</w:t>
      </w:r>
    </w:p>
    <w:p w14:paraId="3ECAFC01" w14:textId="05D8D5FC" w:rsidR="00FA5077" w:rsidRPr="00EA06F7" w:rsidRDefault="004A545D">
      <w:pPr>
        <w:pStyle w:val="NumBC1"/>
        <w:tabs>
          <w:tab w:val="clear" w:pos="624"/>
          <w:tab w:val="num" w:pos="908"/>
        </w:tabs>
        <w:ind w:left="782" w:hanging="782"/>
      </w:pPr>
      <w:r w:rsidRPr="00EA06F7">
        <w:t xml:space="preserve">The Board’s proposals with respect to the amendments finalised in this Standard were exposed for public comment in </w:t>
      </w:r>
      <w:r w:rsidR="00A2387B">
        <w:t xml:space="preserve">August </w:t>
      </w:r>
      <w:r w:rsidRPr="00EA06F7">
        <w:t>202</w:t>
      </w:r>
      <w:r w:rsidR="00994213" w:rsidRPr="00EA06F7">
        <w:t>4</w:t>
      </w:r>
      <w:r w:rsidRPr="00EA06F7">
        <w:t xml:space="preserve"> through Exposure Draft ED 3</w:t>
      </w:r>
      <w:r w:rsidR="00994213" w:rsidRPr="00EA06F7">
        <w:t>32</w:t>
      </w:r>
      <w:r w:rsidRPr="00EA06F7">
        <w:t xml:space="preserve"> </w:t>
      </w:r>
      <w:r w:rsidR="00EA06F7" w:rsidRPr="00A2387B">
        <w:rPr>
          <w:i/>
          <w:iCs/>
          <w:szCs w:val="22"/>
        </w:rPr>
        <w:t>Classification and Measurement of Financial Instruments: Tier 2 Disclosures</w:t>
      </w:r>
      <w:r w:rsidRPr="00EA06F7">
        <w:t>.</w:t>
      </w:r>
    </w:p>
    <w:p w14:paraId="4CC0F529" w14:textId="60B886D1" w:rsidR="00FA5077" w:rsidRDefault="00C147B0">
      <w:pPr>
        <w:pStyle w:val="NumBC1"/>
        <w:tabs>
          <w:tab w:val="clear" w:pos="624"/>
          <w:tab w:val="num" w:pos="908"/>
        </w:tabs>
        <w:ind w:left="782" w:hanging="782"/>
      </w:pPr>
      <w:r>
        <w:t>The significant issues considered by the Board in developing ED 332 are addressed in the following section.</w:t>
      </w:r>
    </w:p>
    <w:p w14:paraId="2B65ADBC" w14:textId="600AAE73" w:rsidR="00FA5077" w:rsidRPr="00A2387B" w:rsidRDefault="00FA5077" w:rsidP="00175677">
      <w:pPr>
        <w:keepNext/>
        <w:spacing w:before="200" w:after="200"/>
        <w:ind w:left="782"/>
        <w:jc w:val="left"/>
        <w:outlineLvl w:val="2"/>
        <w:rPr>
          <w:b/>
          <w:bCs/>
          <w:sz w:val="26"/>
          <w:szCs w:val="26"/>
        </w:rPr>
      </w:pPr>
      <w:r w:rsidRPr="00A2387B">
        <w:rPr>
          <w:rFonts w:ascii="Arial" w:hAnsi="Arial" w:cs="Arial"/>
          <w:b/>
          <w:iCs/>
          <w:sz w:val="26"/>
          <w:szCs w:val="26"/>
        </w:rPr>
        <w:t>Relevance of the amendments to AASB 1060</w:t>
      </w:r>
    </w:p>
    <w:p w14:paraId="6C007302" w14:textId="6A95C836" w:rsidR="00CB43B9" w:rsidRPr="00CB43B9" w:rsidRDefault="00CB43B9" w:rsidP="00175677">
      <w:pPr>
        <w:pStyle w:val="NumBC1"/>
        <w:tabs>
          <w:tab w:val="clear" w:pos="624"/>
          <w:tab w:val="num" w:pos="908"/>
        </w:tabs>
        <w:ind w:left="782" w:hanging="782"/>
      </w:pPr>
      <w:r w:rsidRPr="00CB43B9">
        <w:t xml:space="preserve">The </w:t>
      </w:r>
      <w:r w:rsidRPr="00CB43B9">
        <w:rPr>
          <w:i/>
          <w:iCs/>
        </w:rPr>
        <w:t>AASB For-Profit Entity Standard-Setting Framework</w:t>
      </w:r>
      <w:r w:rsidRPr="00CB43B9">
        <w:t xml:space="preserve"> and the </w:t>
      </w:r>
      <w:r w:rsidRPr="00CB43B9">
        <w:rPr>
          <w:i/>
          <w:iCs/>
        </w:rPr>
        <w:t>AASB Not-</w:t>
      </w:r>
      <w:r w:rsidR="00A149AB">
        <w:rPr>
          <w:i/>
          <w:iCs/>
        </w:rPr>
        <w:t>for</w:t>
      </w:r>
      <w:r w:rsidRPr="00CB43B9">
        <w:rPr>
          <w:i/>
          <w:iCs/>
        </w:rPr>
        <w:t>-Profit Entity Standard-Setting Framework</w:t>
      </w:r>
      <w:r w:rsidRPr="00CB43B9">
        <w:t xml:space="preserve"> outline the approach adopted by the Board for considering whether to add to or amend disclosure requirements in AASB 1060 when the IASB makes amendments to full IFRS Standards.</w:t>
      </w:r>
    </w:p>
    <w:p w14:paraId="6848FA27" w14:textId="77777777" w:rsidR="00CB43B9" w:rsidRPr="00CB43B9" w:rsidRDefault="00CB43B9" w:rsidP="00175677">
      <w:pPr>
        <w:pStyle w:val="NumBC1"/>
        <w:tabs>
          <w:tab w:val="clear" w:pos="624"/>
          <w:tab w:val="num" w:pos="908"/>
        </w:tabs>
        <w:ind w:left="782" w:hanging="782"/>
      </w:pPr>
      <w:r w:rsidRPr="00CB43B9">
        <w:lastRenderedPageBreak/>
        <w:t xml:space="preserve">The standard-setting frameworks first consider whether the amendments introduce a significant recognition and measurement difference between full IFRS Standards and the </w:t>
      </w:r>
      <w:r w:rsidRPr="00CB43B9">
        <w:rPr>
          <w:i/>
          <w:iCs/>
        </w:rPr>
        <w:t>IFRS for SMEs</w:t>
      </w:r>
      <w:r w:rsidRPr="00CB43B9">
        <w:t xml:space="preserve"> Accounting Standard. If they do not, the standard-setting frameworks state that no further action is required unless:</w:t>
      </w:r>
    </w:p>
    <w:p w14:paraId="52B18FB2" w14:textId="77777777" w:rsidR="00CB43B9" w:rsidRPr="00CB43B9" w:rsidRDefault="00CB43B9" w:rsidP="00CB43B9">
      <w:pPr>
        <w:numPr>
          <w:ilvl w:val="1"/>
          <w:numId w:val="12"/>
        </w:numPr>
        <w:spacing w:before="100" w:after="100"/>
      </w:pPr>
      <w:r w:rsidRPr="00CB43B9">
        <w:t>the disclosures address a matter of public policy;</w:t>
      </w:r>
    </w:p>
    <w:p w14:paraId="00E27E3A" w14:textId="77777777" w:rsidR="00CB43B9" w:rsidRPr="00CB43B9" w:rsidRDefault="00CB43B9" w:rsidP="00CB43B9">
      <w:pPr>
        <w:numPr>
          <w:ilvl w:val="1"/>
          <w:numId w:val="12"/>
        </w:numPr>
        <w:spacing w:before="100" w:after="100"/>
      </w:pPr>
      <w:r w:rsidRPr="00CB43B9">
        <w:t xml:space="preserve">the disclosures are of particular relevance in the Australian environment; or </w:t>
      </w:r>
    </w:p>
    <w:p w14:paraId="0C113364" w14:textId="77777777" w:rsidR="00CB43B9" w:rsidRPr="00CB43B9" w:rsidRDefault="00CB43B9" w:rsidP="00CB43B9">
      <w:pPr>
        <w:numPr>
          <w:ilvl w:val="1"/>
          <w:numId w:val="12"/>
        </w:numPr>
        <w:spacing w:before="100" w:after="100"/>
      </w:pPr>
      <w:r w:rsidRPr="00CB43B9">
        <w:t>the amendments clarify or reduce existing disclosure requirements in full IFRS Standards.</w:t>
      </w:r>
    </w:p>
    <w:p w14:paraId="0AED3F47" w14:textId="77777777" w:rsidR="00CB43B9" w:rsidRPr="00CB43B9" w:rsidRDefault="00CB43B9" w:rsidP="00175677">
      <w:pPr>
        <w:pStyle w:val="NumBC1"/>
        <w:tabs>
          <w:tab w:val="clear" w:pos="624"/>
          <w:tab w:val="num" w:pos="908"/>
        </w:tabs>
        <w:ind w:left="782" w:hanging="782"/>
      </w:pPr>
      <w:r w:rsidRPr="00CB43B9">
        <w:t xml:space="preserve">The Board noted that the amendments to AASB 9 both clarify the application of existing recognition and measurement requirements and make narrow-scope changes to how some requirements are applied. However, the Board considered that the amendments did not significantly affect or introduce any new significant recognition and measurement differences between full IFRS Standards and the </w:t>
      </w:r>
      <w:r w:rsidRPr="00CB43B9">
        <w:rPr>
          <w:i/>
          <w:iCs/>
        </w:rPr>
        <w:t>IFRS for SMEs</w:t>
      </w:r>
      <w:r w:rsidRPr="00CB43B9">
        <w:t xml:space="preserve"> Accounting Standard.</w:t>
      </w:r>
    </w:p>
    <w:p w14:paraId="4AA12B65" w14:textId="77777777" w:rsidR="00CB43B9" w:rsidRPr="00CB43B9" w:rsidRDefault="00CB43B9" w:rsidP="00175677">
      <w:pPr>
        <w:pStyle w:val="NumBC1"/>
        <w:keepNext/>
        <w:tabs>
          <w:tab w:val="clear" w:pos="624"/>
          <w:tab w:val="num" w:pos="908"/>
        </w:tabs>
        <w:ind w:left="782" w:hanging="782"/>
      </w:pPr>
      <w:r w:rsidRPr="00CB43B9">
        <w:t>The Board also noted that the disclosure requirements were added to AASB 7 for several reasons:</w:t>
      </w:r>
    </w:p>
    <w:p w14:paraId="240AA469" w14:textId="77777777" w:rsidR="00CB43B9" w:rsidRPr="00CB43B9" w:rsidRDefault="00CB43B9" w:rsidP="00175677">
      <w:pPr>
        <w:numPr>
          <w:ilvl w:val="1"/>
          <w:numId w:val="43"/>
        </w:numPr>
        <w:spacing w:before="100" w:after="100"/>
      </w:pPr>
      <w:r w:rsidRPr="00CB43B9">
        <w:t>financial instruments with contingent features – because financial statement users said this information is important to their analysis and assessment of an entity’s future cash flows; and</w:t>
      </w:r>
    </w:p>
    <w:p w14:paraId="475222B7" w14:textId="290D2444" w:rsidR="00CB43B9" w:rsidRPr="00CB43B9" w:rsidRDefault="00CB43B9" w:rsidP="00891951">
      <w:pPr>
        <w:numPr>
          <w:ilvl w:val="1"/>
          <w:numId w:val="43"/>
        </w:numPr>
        <w:spacing w:before="100" w:after="100"/>
      </w:pPr>
      <w:r w:rsidRPr="00CB43B9">
        <w:t>equity instruments designated at fair value through other comprehensive income – to provide enhanced transparency about these equity instruments.</w:t>
      </w:r>
    </w:p>
    <w:p w14:paraId="350AA6C4" w14:textId="77777777" w:rsidR="00CB43B9" w:rsidRPr="00CB43B9" w:rsidRDefault="00CB43B9" w:rsidP="00752F57">
      <w:pPr>
        <w:spacing w:before="100" w:after="100"/>
        <w:ind w:left="782"/>
      </w:pPr>
      <w:r w:rsidRPr="00CB43B9">
        <w:t xml:space="preserve">The feedback from Australian users (predominantly representing Tier 1 entities) supported the need for these disclosures. </w:t>
      </w:r>
    </w:p>
    <w:p w14:paraId="74AC7056" w14:textId="1FA57651" w:rsidR="00CB43B9" w:rsidRPr="00CB43B9" w:rsidRDefault="00CB43B9" w:rsidP="00175677">
      <w:pPr>
        <w:pStyle w:val="NumBC1"/>
        <w:tabs>
          <w:tab w:val="clear" w:pos="624"/>
          <w:tab w:val="num" w:pos="908"/>
        </w:tabs>
        <w:ind w:left="782" w:hanging="782"/>
      </w:pPr>
      <w:r w:rsidRPr="00CB43B9">
        <w:t xml:space="preserve">Although the Board </w:t>
      </w:r>
      <w:r w:rsidR="00E76182">
        <w:t xml:space="preserve">had </w:t>
      </w:r>
      <w:r w:rsidRPr="00CB43B9">
        <w:t>not received any feedback on whether these disclosures are of similar importance to users of Tier 2 financial statements, the Board considered the principles it used when developing AASB 1060 and subsequently when considering whether to add to or amend the disclosure requirements. When developing and considering amendments to AASB 1060, the Board considers that information about short-term cash flows and obligations, commitments or contingencies, liquidity and solvency, measurement uncertainties, accounting policy choices and disaggregation of amounts presented in the financial statements would be particularly important to the users of Tier 2 financial statements.</w:t>
      </w:r>
    </w:p>
    <w:p w14:paraId="165E89DB" w14:textId="77777777" w:rsidR="00CB43B9" w:rsidRPr="00CB43B9" w:rsidRDefault="00CB43B9" w:rsidP="00175677">
      <w:pPr>
        <w:pStyle w:val="NumBC1"/>
        <w:keepNext/>
        <w:tabs>
          <w:tab w:val="clear" w:pos="624"/>
          <w:tab w:val="num" w:pos="908"/>
        </w:tabs>
        <w:ind w:left="782" w:hanging="782"/>
      </w:pPr>
      <w:r w:rsidRPr="00CB43B9">
        <w:t xml:space="preserve">The Board considered that additional information about: </w:t>
      </w:r>
    </w:p>
    <w:p w14:paraId="43DB5EB7" w14:textId="77777777" w:rsidR="00CB43B9" w:rsidRPr="00CB43B9" w:rsidRDefault="00CB43B9" w:rsidP="00891951">
      <w:pPr>
        <w:numPr>
          <w:ilvl w:val="1"/>
          <w:numId w:val="41"/>
        </w:numPr>
        <w:spacing w:before="100" w:after="100"/>
      </w:pPr>
      <w:r w:rsidRPr="00CB43B9">
        <w:t>financial instruments with contingent features would be useful to the users of Tier 2 financial statements because information about cash flows, such as the effect of contractual terms that could change the amount of contractual cash flows, is of particular importance to them; and</w:t>
      </w:r>
    </w:p>
    <w:p w14:paraId="51CD693F" w14:textId="01D15EAC" w:rsidR="00CB43B9" w:rsidRPr="00CB43B9" w:rsidRDefault="00CB43B9" w:rsidP="00891951">
      <w:pPr>
        <w:numPr>
          <w:ilvl w:val="1"/>
          <w:numId w:val="41"/>
        </w:numPr>
        <w:spacing w:before="100" w:after="100"/>
      </w:pPr>
      <w:r w:rsidRPr="00CB43B9">
        <w:t xml:space="preserve">investments in equity instruments designated at fair value through other comprehensive income is not required for Tier 2 entities. Although the new disclosures </w:t>
      </w:r>
      <w:r w:rsidR="00E76182">
        <w:t xml:space="preserve">will </w:t>
      </w:r>
      <w:r w:rsidRPr="00CB43B9">
        <w:t xml:space="preserve">provide enhanced transparency about these equity instruments in Tier 1 financial statements, the original disclosure requirements in paragraphs 11A and 11B of AASB 7 were simplified significantly for consistency with the </w:t>
      </w:r>
      <w:r w:rsidRPr="00CB43B9">
        <w:rPr>
          <w:i/>
          <w:iCs/>
        </w:rPr>
        <w:t>IFRS for SMEs</w:t>
      </w:r>
      <w:r w:rsidRPr="00CB43B9">
        <w:t xml:space="preserve"> Accounting Standard when AASB 1060 was developed, and therefore more detailed disclosures are not considered necessary for Tier 2 entities.</w:t>
      </w:r>
    </w:p>
    <w:p w14:paraId="504B7CC3" w14:textId="77777777" w:rsidR="00CB43B9" w:rsidRPr="00CB43B9" w:rsidRDefault="00CB43B9" w:rsidP="00175677">
      <w:pPr>
        <w:pStyle w:val="NumBC1"/>
        <w:keepNext/>
        <w:tabs>
          <w:tab w:val="clear" w:pos="624"/>
          <w:tab w:val="num" w:pos="908"/>
        </w:tabs>
        <w:ind w:left="782" w:hanging="782"/>
      </w:pPr>
      <w:r w:rsidRPr="00CB43B9">
        <w:t>Therefore, the Board decided to issue an Exposure Draft proposing:</w:t>
      </w:r>
    </w:p>
    <w:p w14:paraId="7AFE2DBC" w14:textId="77777777" w:rsidR="00CB43B9" w:rsidRPr="00CB43B9" w:rsidRDefault="00CB43B9" w:rsidP="00891951">
      <w:pPr>
        <w:numPr>
          <w:ilvl w:val="1"/>
          <w:numId w:val="42"/>
        </w:numPr>
        <w:spacing w:before="100" w:after="100"/>
      </w:pPr>
      <w:r w:rsidRPr="00CB43B9">
        <w:t>amendments to AASB 1060 to require a Tier 2 entity to disclose information about financial instruments with contingent features that do not relate directly to basic lending risks and other costs so that financial statement users can better understand the effect of contractual terms that could change the amount of contractual cash flows; and</w:t>
      </w:r>
    </w:p>
    <w:p w14:paraId="042D90E4" w14:textId="3DACE051" w:rsidR="00CB43B9" w:rsidRPr="00CB43B9" w:rsidRDefault="00CB43B9" w:rsidP="00891951">
      <w:pPr>
        <w:numPr>
          <w:ilvl w:val="1"/>
          <w:numId w:val="42"/>
        </w:numPr>
        <w:spacing w:before="100" w:after="100"/>
      </w:pPr>
      <w:r w:rsidRPr="00CB43B9">
        <w:t>no amendments to AASB 1060 for investments in equity instruments designated at fair value through other comprehensive income.</w:t>
      </w:r>
    </w:p>
    <w:p w14:paraId="5442E783" w14:textId="21D2F0C4" w:rsidR="00E76182" w:rsidRPr="00CB43B9" w:rsidRDefault="00E76182" w:rsidP="00E76182">
      <w:pPr>
        <w:keepNext/>
        <w:pBdr>
          <w:bottom w:val="single" w:sz="4" w:space="1" w:color="auto"/>
        </w:pBdr>
        <w:spacing w:before="400" w:after="200"/>
        <w:jc w:val="left"/>
        <w:outlineLvl w:val="1"/>
        <w:rPr>
          <w:rFonts w:ascii="Arial" w:hAnsi="Arial" w:cs="Arial"/>
          <w:b/>
          <w:iCs/>
          <w:sz w:val="26"/>
          <w:szCs w:val="28"/>
        </w:rPr>
      </w:pPr>
      <w:r>
        <w:rPr>
          <w:rFonts w:ascii="Arial" w:hAnsi="Arial" w:cs="Arial"/>
          <w:b/>
          <w:iCs/>
          <w:sz w:val="26"/>
          <w:szCs w:val="28"/>
        </w:rPr>
        <w:t>Finalisation of ED 332 proposals</w:t>
      </w:r>
    </w:p>
    <w:p w14:paraId="25B87FC2" w14:textId="3AC96E39" w:rsidR="00E76182" w:rsidRDefault="001856EA" w:rsidP="00E76182">
      <w:pPr>
        <w:pStyle w:val="NumBC1"/>
        <w:tabs>
          <w:tab w:val="clear" w:pos="624"/>
          <w:tab w:val="num" w:pos="908"/>
        </w:tabs>
        <w:ind w:left="782" w:hanging="782"/>
      </w:pPr>
      <w:r>
        <w:t xml:space="preserve">Following the consultation period and after considering the comments received, the Board decided to proceed with issuing this Standard, with </w:t>
      </w:r>
      <w:r w:rsidR="00352BAD">
        <w:t>no</w:t>
      </w:r>
      <w:r w:rsidR="000A7A7A">
        <w:t xml:space="preserve"> </w:t>
      </w:r>
      <w:r>
        <w:t xml:space="preserve">changes </w:t>
      </w:r>
      <w:r w:rsidR="00352BAD">
        <w:t xml:space="preserve">from </w:t>
      </w:r>
      <w:r>
        <w:t>the proposals in ED 332.</w:t>
      </w:r>
    </w:p>
    <w:p w14:paraId="2D54EFD1" w14:textId="5D6D4F12" w:rsidR="001856EA" w:rsidRPr="00CB43B9" w:rsidRDefault="001856EA" w:rsidP="00891951">
      <w:pPr>
        <w:keepNext/>
        <w:spacing w:before="200" w:after="200"/>
        <w:ind w:left="782"/>
        <w:jc w:val="left"/>
        <w:outlineLvl w:val="2"/>
        <w:rPr>
          <w:rFonts w:ascii="Arial" w:hAnsi="Arial" w:cs="Arial"/>
          <w:b/>
          <w:bCs/>
          <w:i/>
          <w:sz w:val="26"/>
          <w:szCs w:val="26"/>
        </w:rPr>
      </w:pPr>
      <w:r>
        <w:rPr>
          <w:rFonts w:ascii="Arial" w:hAnsi="Arial" w:cs="Arial"/>
          <w:b/>
          <w:bCs/>
          <w:iCs/>
          <w:sz w:val="26"/>
          <w:szCs w:val="26"/>
        </w:rPr>
        <w:t>Feedback from respond</w:t>
      </w:r>
      <w:r w:rsidRPr="00CB43B9">
        <w:rPr>
          <w:rFonts w:ascii="Arial" w:hAnsi="Arial" w:cs="Arial"/>
          <w:b/>
          <w:bCs/>
          <w:iCs/>
          <w:sz w:val="26"/>
          <w:szCs w:val="26"/>
        </w:rPr>
        <w:t>ents</w:t>
      </w:r>
      <w:r>
        <w:rPr>
          <w:rFonts w:ascii="Arial" w:hAnsi="Arial" w:cs="Arial"/>
          <w:b/>
          <w:bCs/>
          <w:iCs/>
          <w:sz w:val="26"/>
          <w:szCs w:val="26"/>
        </w:rPr>
        <w:t xml:space="preserve"> on ED 332</w:t>
      </w:r>
    </w:p>
    <w:p w14:paraId="34A93BCE" w14:textId="2D48E123" w:rsidR="00003749" w:rsidRDefault="00F604E8" w:rsidP="00BF77FA">
      <w:pPr>
        <w:pStyle w:val="NumBC1"/>
        <w:tabs>
          <w:tab w:val="clear" w:pos="624"/>
          <w:tab w:val="num" w:pos="908"/>
        </w:tabs>
        <w:ind w:left="782" w:hanging="782"/>
      </w:pPr>
      <w:r>
        <w:t>The Board received one formal comment letter on ED 332.</w:t>
      </w:r>
      <w:r w:rsidR="00C25F12" w:rsidRPr="00C25F12">
        <w:t xml:space="preserve"> </w:t>
      </w:r>
      <w:r w:rsidR="00AF118C">
        <w:t>The feedback received indicated that</w:t>
      </w:r>
      <w:r w:rsidR="001E7BE1">
        <w:t xml:space="preserve"> </w:t>
      </w:r>
      <w:r w:rsidR="00AF118C">
        <w:t>the stakeholder was supportive of the proposals.</w:t>
      </w:r>
    </w:p>
    <w:p w14:paraId="29A240A4" w14:textId="0654E1AA" w:rsidR="001A090F" w:rsidRPr="00891951" w:rsidRDefault="00152A4D" w:rsidP="00891951">
      <w:pPr>
        <w:pStyle w:val="NumBC1"/>
        <w:tabs>
          <w:tab w:val="clear" w:pos="624"/>
          <w:tab w:val="num" w:pos="908"/>
        </w:tabs>
        <w:ind w:left="782" w:hanging="782"/>
      </w:pPr>
      <w:r>
        <w:t>The stakeholder</w:t>
      </w:r>
      <w:r w:rsidR="001A090F" w:rsidRPr="00891951">
        <w:t xml:space="preserve"> </w:t>
      </w:r>
      <w:r w:rsidR="00E7602D">
        <w:t xml:space="preserve">also </w:t>
      </w:r>
      <w:r w:rsidR="00891951">
        <w:t xml:space="preserve">noted </w:t>
      </w:r>
      <w:r w:rsidR="001A090F" w:rsidRPr="00891951">
        <w:t xml:space="preserve">that the IASB </w:t>
      </w:r>
      <w:r w:rsidR="00891951">
        <w:t>had include</w:t>
      </w:r>
      <w:r w:rsidR="00146E60">
        <w:t>d</w:t>
      </w:r>
      <w:r w:rsidR="00891951">
        <w:t xml:space="preserve"> </w:t>
      </w:r>
      <w:r w:rsidR="00D23420" w:rsidRPr="005B1609">
        <w:t>disclosures related to financial instruments with contractual terms affecting cash flows</w:t>
      </w:r>
      <w:r w:rsidR="001A090F" w:rsidRPr="00891951">
        <w:t xml:space="preserve"> in IFRS 19 </w:t>
      </w:r>
      <w:r w:rsidR="0040001B" w:rsidRPr="00891951">
        <w:rPr>
          <w:i/>
          <w:iCs/>
          <w:szCs w:val="22"/>
        </w:rPr>
        <w:t>Subsidiaries without Public Accountability: Disclosures</w:t>
      </w:r>
      <w:r w:rsidR="0040001B" w:rsidRPr="0040001B">
        <w:t xml:space="preserve"> </w:t>
      </w:r>
      <w:r w:rsidR="001A090F" w:rsidRPr="00891951">
        <w:t xml:space="preserve">but </w:t>
      </w:r>
      <w:r w:rsidR="00891951">
        <w:t xml:space="preserve">had </w:t>
      </w:r>
      <w:r w:rsidR="001A090F" w:rsidRPr="00891951">
        <w:t xml:space="preserve">not yet </w:t>
      </w:r>
      <w:r w:rsidR="00891951">
        <w:t xml:space="preserve">considered the matter </w:t>
      </w:r>
      <w:r w:rsidR="001A090F" w:rsidRPr="00891951">
        <w:t xml:space="preserve">in </w:t>
      </w:r>
      <w:r w:rsidR="00891951">
        <w:t xml:space="preserve">relation to </w:t>
      </w:r>
      <w:r w:rsidR="001A090F" w:rsidRPr="00891951">
        <w:t xml:space="preserve">the </w:t>
      </w:r>
      <w:r w:rsidR="001A090F" w:rsidRPr="00891951">
        <w:rPr>
          <w:i/>
          <w:iCs/>
        </w:rPr>
        <w:t>IFRS for SMEs</w:t>
      </w:r>
      <w:r w:rsidR="001A090F" w:rsidRPr="00891951">
        <w:t xml:space="preserve"> Accounting Standard, possibly due to</w:t>
      </w:r>
      <w:r w:rsidR="007138B9">
        <w:t xml:space="preserve"> the </w:t>
      </w:r>
      <w:r w:rsidR="00812F13">
        <w:lastRenderedPageBreak/>
        <w:t xml:space="preserve">amendments to the IFRS Accounting Standards </w:t>
      </w:r>
      <w:r w:rsidR="007138B9">
        <w:t xml:space="preserve">being finalised after </w:t>
      </w:r>
      <w:r w:rsidR="00891951">
        <w:t xml:space="preserve">the </w:t>
      </w:r>
      <w:r w:rsidR="007138B9">
        <w:t xml:space="preserve">issuance of the </w:t>
      </w:r>
      <w:r w:rsidR="00891951">
        <w:t xml:space="preserve">IASB’s exposure draft for its update of the </w:t>
      </w:r>
      <w:r w:rsidR="00891951" w:rsidRPr="00891951">
        <w:rPr>
          <w:i/>
          <w:iCs/>
        </w:rPr>
        <w:t>IFRS for SMEs</w:t>
      </w:r>
      <w:r w:rsidR="00891951">
        <w:t xml:space="preserve"> Accounting Standard</w:t>
      </w:r>
      <w:r w:rsidR="001A090F" w:rsidRPr="00891951">
        <w:t xml:space="preserve">. The </w:t>
      </w:r>
      <w:r w:rsidR="00A5387D">
        <w:t>stakeholder</w:t>
      </w:r>
      <w:r w:rsidR="00A5387D" w:rsidRPr="00A5387D">
        <w:t xml:space="preserve"> </w:t>
      </w:r>
      <w:r w:rsidR="001A090F" w:rsidRPr="00891951">
        <w:t xml:space="preserve">recommended that if the IASB ultimately decides </w:t>
      </w:r>
      <w:r w:rsidR="007138B9">
        <w:t>not to include these</w:t>
      </w:r>
      <w:r w:rsidR="007138B9" w:rsidRPr="00891951">
        <w:t xml:space="preserve"> </w:t>
      </w:r>
      <w:r w:rsidR="001A090F" w:rsidRPr="00891951">
        <w:t xml:space="preserve">disclosures </w:t>
      </w:r>
      <w:r w:rsidR="007138B9">
        <w:t xml:space="preserve">in the </w:t>
      </w:r>
      <w:r w:rsidR="007138B9" w:rsidRPr="00175677">
        <w:rPr>
          <w:i/>
          <w:iCs/>
        </w:rPr>
        <w:t xml:space="preserve">IFRS for </w:t>
      </w:r>
      <w:r w:rsidR="001A090F" w:rsidRPr="00175677">
        <w:rPr>
          <w:i/>
          <w:iCs/>
        </w:rPr>
        <w:t>SMEs</w:t>
      </w:r>
      <w:r w:rsidR="007138B9">
        <w:t xml:space="preserve"> Accounting Standard</w:t>
      </w:r>
      <w:r w:rsidR="001A090F" w:rsidRPr="00891951">
        <w:t xml:space="preserve">, the </w:t>
      </w:r>
      <w:r w:rsidR="007138B9">
        <w:t xml:space="preserve">Board </w:t>
      </w:r>
      <w:r w:rsidR="001A090F" w:rsidRPr="00891951">
        <w:t xml:space="preserve">should remove </w:t>
      </w:r>
      <w:r w:rsidR="007138B9">
        <w:t xml:space="preserve">the disclosure </w:t>
      </w:r>
      <w:r w:rsidR="001A090F" w:rsidRPr="00891951">
        <w:t xml:space="preserve">requirements </w:t>
      </w:r>
      <w:r w:rsidR="007138B9">
        <w:t xml:space="preserve">added to AASB 1060 </w:t>
      </w:r>
      <w:r w:rsidR="001A090F" w:rsidRPr="00891951">
        <w:t>for consistency.</w:t>
      </w:r>
    </w:p>
    <w:p w14:paraId="6A92C243" w14:textId="4F383CD5" w:rsidR="00484668" w:rsidRDefault="00272301" w:rsidP="00BF77FA">
      <w:pPr>
        <w:pStyle w:val="NumBC1"/>
        <w:tabs>
          <w:tab w:val="clear" w:pos="624"/>
          <w:tab w:val="num" w:pos="908"/>
        </w:tabs>
        <w:ind w:left="782" w:hanging="782"/>
      </w:pPr>
      <w:r>
        <w:t>The Board considered this feedback</w:t>
      </w:r>
      <w:r w:rsidR="00484668">
        <w:t xml:space="preserve"> and decided to proceed with issuing this Standard, with no changes from the proposals in ED 332.</w:t>
      </w:r>
      <w:r>
        <w:t xml:space="preserve"> </w:t>
      </w:r>
      <w:r w:rsidR="007138B9">
        <w:t xml:space="preserve">The Board noted its intention to monitor future IASB decisions about financial instrument disclosures in the </w:t>
      </w:r>
      <w:r w:rsidR="007138B9">
        <w:rPr>
          <w:i/>
          <w:iCs/>
        </w:rPr>
        <w:t xml:space="preserve">IFRS for SMEs </w:t>
      </w:r>
      <w:r w:rsidR="007138B9">
        <w:t>Accounting Standard and consider whether further amendments are required to AASB 1060 at that time.</w:t>
      </w:r>
    </w:p>
    <w:p w14:paraId="631C3D96" w14:textId="77777777" w:rsidR="00CB43B9" w:rsidRPr="00CB43B9" w:rsidRDefault="00CB43B9" w:rsidP="00CB43B9">
      <w:pPr>
        <w:keepNext/>
        <w:pBdr>
          <w:bottom w:val="single" w:sz="4" w:space="1" w:color="auto"/>
        </w:pBdr>
        <w:spacing w:before="400" w:after="200"/>
        <w:jc w:val="left"/>
        <w:outlineLvl w:val="1"/>
        <w:rPr>
          <w:rFonts w:ascii="Arial" w:hAnsi="Arial" w:cs="Arial"/>
          <w:b/>
          <w:iCs/>
          <w:sz w:val="26"/>
          <w:szCs w:val="28"/>
        </w:rPr>
      </w:pPr>
      <w:r w:rsidRPr="00CB43B9">
        <w:rPr>
          <w:rFonts w:ascii="Arial" w:hAnsi="Arial" w:cs="Arial"/>
          <w:b/>
          <w:iCs/>
          <w:sz w:val="26"/>
          <w:szCs w:val="28"/>
        </w:rPr>
        <w:t>Effective date</w:t>
      </w:r>
    </w:p>
    <w:p w14:paraId="4D739DA0" w14:textId="5754091B" w:rsidR="00CB43B9" w:rsidRPr="00CB43B9" w:rsidRDefault="00CB43B9" w:rsidP="00E047AC">
      <w:pPr>
        <w:pStyle w:val="NumBC1"/>
        <w:tabs>
          <w:tab w:val="clear" w:pos="624"/>
          <w:tab w:val="num" w:pos="908"/>
        </w:tabs>
        <w:ind w:left="782" w:hanging="782"/>
      </w:pPr>
      <w:r w:rsidRPr="00CB43B9">
        <w:t xml:space="preserve">The Board </w:t>
      </w:r>
      <w:r w:rsidR="00DE6542">
        <w:t xml:space="preserve">decided </w:t>
      </w:r>
      <w:r w:rsidRPr="00CB43B9">
        <w:t>that the amendments should be made effective for annual periods beginning on or after 1 January 2026, with earlier application permitted</w:t>
      </w:r>
      <w:r w:rsidR="00FF79BA">
        <w:t>, as proposed in ED 332</w:t>
      </w:r>
      <w:r w:rsidRPr="00CB43B9">
        <w:t xml:space="preserve">. This </w:t>
      </w:r>
      <w:r w:rsidR="00DE6542">
        <w:t xml:space="preserve">is </w:t>
      </w:r>
      <w:r w:rsidRPr="00CB43B9">
        <w:t>the same effective date as for the amendments in AASB 2024-2.</w:t>
      </w:r>
    </w:p>
    <w:p w14:paraId="0483C60C" w14:textId="77777777" w:rsidR="009822EE" w:rsidRDefault="009822EE" w:rsidP="009822EE"/>
    <w:sectPr w:rsidR="009822EE" w:rsidSect="00D4761E">
      <w:footerReference w:type="default" r:id="rId17"/>
      <w:headerReference w:type="first" r:id="rId18"/>
      <w:footerReference w:type="first" r:id="rId19"/>
      <w:pgSz w:w="11907" w:h="16840" w:code="9"/>
      <w:pgMar w:top="1418" w:right="1418" w:bottom="1418" w:left="1418" w:header="709" w:footer="709" w:gutter="0"/>
      <w:paperSrc w:first="7" w:other="7"/>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AD0B" w14:textId="77777777" w:rsidR="00FF5E45" w:rsidRDefault="00FF5E45">
      <w:r>
        <w:separator/>
      </w:r>
    </w:p>
  </w:endnote>
  <w:endnote w:type="continuationSeparator" w:id="0">
    <w:p w14:paraId="059DD20D" w14:textId="77777777" w:rsidR="00FF5E45" w:rsidRDefault="00FF5E45">
      <w:r>
        <w:continuationSeparator/>
      </w:r>
    </w:p>
  </w:endnote>
  <w:endnote w:type="continuationNotice" w:id="1">
    <w:p w14:paraId="35C8342B" w14:textId="77777777" w:rsidR="00FF5E45" w:rsidRDefault="00FF5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8D079" w14:textId="7015E192" w:rsidR="00A96702" w:rsidRDefault="00A96702">
    <w:pPr>
      <w:pStyle w:val="Footer"/>
      <w:rPr>
        <w:b/>
      </w:rPr>
    </w:pPr>
    <w:r>
      <w:rPr>
        <w:b/>
      </w:rPr>
      <w:t xml:space="preserve">AASB </w:t>
    </w:r>
    <w:r>
      <w:rPr>
        <w:b/>
      </w:rPr>
      <w:fldChar w:fldCharType="begin"/>
    </w:r>
    <w:r>
      <w:rPr>
        <w:b/>
      </w:rPr>
      <w:instrText xml:space="preserve"> REF DocNo  \* charformat </w:instrText>
    </w:r>
    <w:r>
      <w:rPr>
        <w:b/>
      </w:rPr>
      <w:fldChar w:fldCharType="separate"/>
    </w:r>
    <w:r w:rsidR="00493F35" w:rsidRPr="00493F35">
      <w:rPr>
        <w:b/>
      </w:rPr>
      <w:t>2025-2</w:t>
    </w:r>
    <w:r>
      <w:rPr>
        <w:b/>
      </w:rPr>
      <w:fldChar w:fldCharType="end"/>
    </w:r>
    <w:r>
      <w:rPr>
        <w:b/>
      </w:rPr>
      <w:tab/>
    </w:r>
    <w:r>
      <w:fldChar w:fldCharType="begin"/>
    </w:r>
    <w:r>
      <w:instrText>PAGE</w:instrText>
    </w:r>
    <w:r>
      <w:fldChar w:fldCharType="separate"/>
    </w:r>
    <w:r w:rsidR="00BF0190">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FC7D" w14:textId="3ACB83E2" w:rsidR="00CB43B9" w:rsidRPr="002C605B" w:rsidRDefault="001D6E56" w:rsidP="001D6E56">
    <w:pPr>
      <w:pStyle w:val="Footer"/>
      <w:rPr>
        <w:b/>
      </w:rPr>
    </w:pPr>
    <w:r>
      <w:rPr>
        <w:b/>
      </w:rPr>
      <w:t xml:space="preserve">AASB </w:t>
    </w:r>
    <w:r>
      <w:rPr>
        <w:b/>
      </w:rPr>
      <w:fldChar w:fldCharType="begin"/>
    </w:r>
    <w:r>
      <w:rPr>
        <w:b/>
      </w:rPr>
      <w:instrText xml:space="preserve"> REF DocNo  \* charformat </w:instrText>
    </w:r>
    <w:r>
      <w:rPr>
        <w:b/>
      </w:rPr>
      <w:fldChar w:fldCharType="separate"/>
    </w:r>
    <w:r w:rsidR="00493F35" w:rsidRPr="00493F35">
      <w:rPr>
        <w:b/>
      </w:rPr>
      <w:t>2025-2</w:t>
    </w:r>
    <w:r>
      <w:rPr>
        <w:b/>
      </w:rPr>
      <w:fldChar w:fldCharType="end"/>
    </w:r>
    <w:r>
      <w:rPr>
        <w:b/>
      </w:rPr>
      <w:tab/>
    </w:r>
    <w:r>
      <w:fldChar w:fldCharType="begin"/>
    </w:r>
    <w:r>
      <w:instrText>PAGE</w:instrText>
    </w:r>
    <w:r>
      <w:fldChar w:fldCharType="separate"/>
    </w:r>
    <w:r>
      <w:t>2</w:t>
    </w:r>
    <w:r>
      <w:fldChar w:fldCharType="end"/>
    </w:r>
    <w:r>
      <w:tab/>
    </w:r>
    <w:r w:rsidR="004929EC" w:rsidRPr="004929EC">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6C21" w14:textId="0FED8F1A" w:rsidR="00CB43B9" w:rsidRPr="002C605B" w:rsidRDefault="002C605B" w:rsidP="002C605B">
    <w:pPr>
      <w:pStyle w:val="Footer"/>
      <w:rPr>
        <w:b/>
      </w:rPr>
    </w:pPr>
    <w:r>
      <w:rPr>
        <w:b/>
      </w:rPr>
      <w:t xml:space="preserve">AASB </w:t>
    </w:r>
    <w:r>
      <w:rPr>
        <w:b/>
      </w:rPr>
      <w:fldChar w:fldCharType="begin"/>
    </w:r>
    <w:r>
      <w:rPr>
        <w:b/>
      </w:rPr>
      <w:instrText xml:space="preserve"> REF DocNo  \* charformat </w:instrText>
    </w:r>
    <w:r>
      <w:rPr>
        <w:b/>
      </w:rPr>
      <w:fldChar w:fldCharType="separate"/>
    </w:r>
    <w:r w:rsidR="00493F35" w:rsidRPr="00493F35">
      <w:rPr>
        <w:b/>
      </w:rPr>
      <w:t>2025-2</w:t>
    </w:r>
    <w:r>
      <w:rPr>
        <w:b/>
      </w:rPr>
      <w:fldChar w:fldCharType="end"/>
    </w:r>
    <w:r>
      <w:rPr>
        <w:b/>
      </w:rPr>
      <w:tab/>
    </w:r>
    <w:r>
      <w:fldChar w:fldCharType="begin"/>
    </w:r>
    <w:r>
      <w:instrText>PAGE</w:instrText>
    </w:r>
    <w:r>
      <w:fldChar w:fldCharType="separate"/>
    </w:r>
    <w:r>
      <w:t>2</w:t>
    </w:r>
    <w:r>
      <w:fldChar w:fldCharType="end"/>
    </w:r>
    <w:r>
      <w:tab/>
    </w:r>
    <w:r w:rsidR="00A3646B" w:rsidRPr="00A3646B">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7D81F" w14:textId="5242AD38" w:rsidR="00CB43B9" w:rsidRPr="002C605B" w:rsidRDefault="002C605B" w:rsidP="002C605B">
    <w:pPr>
      <w:pStyle w:val="Footer"/>
      <w:rPr>
        <w:b/>
      </w:rPr>
    </w:pPr>
    <w:r>
      <w:rPr>
        <w:b/>
      </w:rPr>
      <w:t xml:space="preserve">AASB </w:t>
    </w:r>
    <w:r w:rsidR="0061106C">
      <w:rPr>
        <w:b/>
      </w:rPr>
      <w:fldChar w:fldCharType="begin"/>
    </w:r>
    <w:r w:rsidR="0061106C">
      <w:rPr>
        <w:b/>
      </w:rPr>
      <w:instrText xml:space="preserve"> REF \* charformat DocNo  \* MERGEFORMAT </w:instrText>
    </w:r>
    <w:r w:rsidR="0061106C">
      <w:rPr>
        <w:b/>
      </w:rPr>
      <w:fldChar w:fldCharType="separate"/>
    </w:r>
    <w:r w:rsidR="00493F35" w:rsidRPr="00493F35">
      <w:rPr>
        <w:b/>
      </w:rPr>
      <w:t>2025-2</w:t>
    </w:r>
    <w:r w:rsidR="0061106C">
      <w:rPr>
        <w:b/>
      </w:rPr>
      <w:fldChar w:fldCharType="end"/>
    </w:r>
    <w:r>
      <w:rPr>
        <w:b/>
      </w:rPr>
      <w:tab/>
    </w:r>
    <w:r>
      <w:fldChar w:fldCharType="begin"/>
    </w:r>
    <w:r>
      <w:instrText>PAGE</w:instrText>
    </w:r>
    <w:r>
      <w:fldChar w:fldCharType="separate"/>
    </w:r>
    <w:r>
      <w:t>2</w:t>
    </w:r>
    <w:r>
      <w:fldChar w:fldCharType="end"/>
    </w:r>
    <w:r>
      <w:tab/>
    </w:r>
    <w:r w:rsidR="00A3646B" w:rsidRPr="00A3646B">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F92A" w14:textId="247700AF" w:rsidR="00D34BDD" w:rsidRPr="002C605B" w:rsidRDefault="00A96702" w:rsidP="002C605B">
    <w:pPr>
      <w:pStyle w:val="Footer"/>
      <w:rPr>
        <w:b/>
      </w:rPr>
    </w:pPr>
    <w:r>
      <w:rPr>
        <w:b/>
      </w:rPr>
      <w:t xml:space="preserve">AASB </w:t>
    </w:r>
    <w:r>
      <w:rPr>
        <w:b/>
      </w:rPr>
      <w:fldChar w:fldCharType="begin"/>
    </w:r>
    <w:r>
      <w:rPr>
        <w:b/>
      </w:rPr>
      <w:instrText xml:space="preserve"> REF DocNo  \* charformat </w:instrText>
    </w:r>
    <w:r>
      <w:rPr>
        <w:b/>
      </w:rPr>
      <w:fldChar w:fldCharType="separate"/>
    </w:r>
    <w:r w:rsidR="00493F35" w:rsidRPr="00493F35">
      <w:rPr>
        <w:b/>
      </w:rPr>
      <w:t>2025-2</w:t>
    </w:r>
    <w:r>
      <w:rPr>
        <w:b/>
      </w:rPr>
      <w:fldChar w:fldCharType="end"/>
    </w:r>
    <w:r>
      <w:rPr>
        <w:b/>
      </w:rPr>
      <w:tab/>
    </w:r>
    <w:r>
      <w:fldChar w:fldCharType="begin"/>
    </w:r>
    <w:r>
      <w:instrText>PAGE</w:instrText>
    </w:r>
    <w:r>
      <w:fldChar w:fldCharType="separate"/>
    </w:r>
    <w:r w:rsidR="00BF0190">
      <w:rPr>
        <w:noProof/>
      </w:rPr>
      <w:t>5</w:t>
    </w:r>
    <w:r>
      <w:fldChar w:fldCharType="end"/>
    </w:r>
    <w:r>
      <w:tab/>
    </w:r>
    <w:r w:rsidR="00B13586" w:rsidRPr="00B13586">
      <w:rPr>
        <w:b/>
        <w:bCs/>
      </w:rPr>
      <w:t>BASIS FOR CONCLUSIONS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956A" w14:textId="67B3B4A6" w:rsidR="00A96702" w:rsidRDefault="004D2C70" w:rsidP="00175677">
    <w:pPr>
      <w:pStyle w:val="Footer"/>
    </w:pPr>
    <w:r>
      <w:rPr>
        <w:b/>
      </w:rPr>
      <w:t xml:space="preserve">AASB </w:t>
    </w:r>
    <w:r>
      <w:rPr>
        <w:b/>
      </w:rPr>
      <w:fldChar w:fldCharType="begin"/>
    </w:r>
    <w:r>
      <w:rPr>
        <w:b/>
      </w:rPr>
      <w:instrText xml:space="preserve"> REF DocNo  \* charformat </w:instrText>
    </w:r>
    <w:r>
      <w:rPr>
        <w:b/>
      </w:rPr>
      <w:fldChar w:fldCharType="separate"/>
    </w:r>
    <w:r w:rsidR="00493F35" w:rsidRPr="00493F35">
      <w:rPr>
        <w:b/>
      </w:rPr>
      <w:t>2025-2</w:t>
    </w:r>
    <w:r>
      <w:rPr>
        <w:b/>
      </w:rPr>
      <w:fldChar w:fldCharType="end"/>
    </w:r>
    <w:r>
      <w:rPr>
        <w:b/>
      </w:rPr>
      <w:tab/>
    </w:r>
    <w:r>
      <w:fldChar w:fldCharType="begin"/>
    </w:r>
    <w:r>
      <w:instrText>PAGE</w:instrText>
    </w:r>
    <w:r>
      <w:fldChar w:fldCharType="separate"/>
    </w:r>
    <w:r>
      <w:t>6</w:t>
    </w:r>
    <w:r>
      <w:fldChar w:fldCharType="end"/>
    </w:r>
    <w:r>
      <w:tab/>
    </w:r>
    <w:r w:rsidR="00B13586" w:rsidRPr="00B13586">
      <w:rPr>
        <w:b/>
        <w:bCs/>
      </w:rPr>
      <w:t>BASIS FOR CONCLUSIONS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8834" w14:textId="77777777" w:rsidR="00FF5E45" w:rsidRDefault="00FF5E45">
      <w:r>
        <w:separator/>
      </w:r>
    </w:p>
  </w:footnote>
  <w:footnote w:type="continuationSeparator" w:id="0">
    <w:p w14:paraId="0555F76F" w14:textId="77777777" w:rsidR="00FF5E45" w:rsidRDefault="00FF5E45">
      <w:r>
        <w:continuationSeparator/>
      </w:r>
    </w:p>
  </w:footnote>
  <w:footnote w:type="continuationNotice" w:id="1">
    <w:p w14:paraId="3ED2CB16" w14:textId="77777777" w:rsidR="00FF5E45" w:rsidRDefault="00FF5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1D8FC" w14:textId="6D281BDC" w:rsidR="00063560" w:rsidRPr="00F010F9" w:rsidRDefault="00063560" w:rsidP="00F010F9">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0A0B" w14:textId="77777777" w:rsidR="007F1F66" w:rsidRPr="00D76ABA" w:rsidRDefault="007F1F66" w:rsidP="007F1F66">
    <w:pPr>
      <w:pStyle w:val="Header"/>
      <w:rPr>
        <w:b/>
        <w:bCs/>
      </w:rPr>
    </w:pPr>
    <w:r w:rsidRPr="00D76ABA">
      <w:rPr>
        <w:b/>
        <w:bCs/>
        <w:color w:val="FF0000"/>
      </w:rPr>
      <w:t>Ballot Draft</w:t>
    </w:r>
    <w:r w:rsidRPr="00D76ABA">
      <w:rPr>
        <w:b/>
        <w:bCs/>
      </w:rPr>
      <w:t xml:space="preserve"> – </w:t>
    </w:r>
    <w:r w:rsidRPr="000B55A6">
      <w:rPr>
        <w:b/>
        <w:bCs/>
      </w:rPr>
      <w:t>Classification and Measurement of Financial Instruments</w:t>
    </w:r>
    <w:r w:rsidRPr="00D76ABA">
      <w:rPr>
        <w:b/>
        <w:bCs/>
      </w:rPr>
      <w:t xml:space="preserve">: Tier 2 Disclosures  </w:t>
    </w:r>
    <w:r w:rsidRPr="00D76ABA">
      <w:rPr>
        <w:b/>
        <w:bCs/>
      </w:rPr>
      <w:tab/>
      <w:t xml:space="preserve">Agenda </w:t>
    </w:r>
    <w:r w:rsidRPr="007F1F66">
      <w:rPr>
        <w:b/>
        <w:bCs/>
      </w:rPr>
      <w:t>pa</w:t>
    </w:r>
    <w:r w:rsidRPr="007D7AF8">
      <w:rPr>
        <w:b/>
        <w:bCs/>
      </w:rPr>
      <w:t>per 5.2</w:t>
    </w:r>
  </w:p>
  <w:p w14:paraId="15FE2FED" w14:textId="77777777" w:rsidR="007F1F66" w:rsidRPr="00D76ABA" w:rsidRDefault="007F1F66" w:rsidP="007F1F66">
    <w:pPr>
      <w:pStyle w:val="Header"/>
      <w:jc w:val="right"/>
      <w:rPr>
        <w:b/>
        <w:bCs/>
      </w:rPr>
    </w:pPr>
    <w:r w:rsidRPr="00D76ABA">
      <w:rPr>
        <w:b/>
        <w:bCs/>
      </w:rPr>
      <w:t>AASB Meeting March 202</w:t>
    </w:r>
    <w:r>
      <w:rPr>
        <w:b/>
        <w:bCs/>
      </w:rPr>
      <w:t>5</w:t>
    </w:r>
    <w:r w:rsidRPr="00D76ABA">
      <w:rPr>
        <w:b/>
        <w:bCs/>
      </w:rPr>
      <w:t xml:space="preserve"> (M2</w:t>
    </w:r>
    <w:r>
      <w:rPr>
        <w:b/>
        <w:bCs/>
      </w:rPr>
      <w:t>1</w:t>
    </w:r>
    <w:r w:rsidRPr="00D76ABA">
      <w:rPr>
        <w:b/>
        <w:bCs/>
      </w:rPr>
      <w:t>1)</w:t>
    </w:r>
  </w:p>
  <w:p w14:paraId="7782DD3B"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8D6147"/>
    <w:multiLevelType w:val="hybridMultilevel"/>
    <w:tmpl w:val="ED0ECEB6"/>
    <w:lvl w:ilvl="0" w:tplc="9684CD16">
      <w:start w:val="1"/>
      <w:numFmt w:val="lowerRoman"/>
      <w:lvlText w:val="(%1)"/>
      <w:lvlJc w:val="left"/>
      <w:pPr>
        <w:ind w:left="2289" w:hanging="360"/>
      </w:pPr>
      <w:rPr>
        <w:rFonts w:hint="default"/>
        <w:b w:val="0"/>
        <w:bCs w:val="0"/>
      </w:rPr>
    </w:lvl>
    <w:lvl w:ilvl="1" w:tplc="9684CD16">
      <w:start w:val="1"/>
      <w:numFmt w:val="lowerRoman"/>
      <w:lvlText w:val="(%2)"/>
      <w:lvlJc w:val="left"/>
      <w:pPr>
        <w:ind w:left="3009" w:hanging="360"/>
      </w:pPr>
      <w:rPr>
        <w:rFonts w:hint="default"/>
        <w:b w:val="0"/>
        <w:bCs w:val="0"/>
      </w:rPr>
    </w:lvl>
    <w:lvl w:ilvl="2" w:tplc="0C09001B" w:tentative="1">
      <w:start w:val="1"/>
      <w:numFmt w:val="lowerRoman"/>
      <w:lvlText w:val="%3."/>
      <w:lvlJc w:val="right"/>
      <w:pPr>
        <w:ind w:left="3729" w:hanging="180"/>
      </w:pPr>
    </w:lvl>
    <w:lvl w:ilvl="3" w:tplc="0C09000F" w:tentative="1">
      <w:start w:val="1"/>
      <w:numFmt w:val="decimal"/>
      <w:lvlText w:val="%4."/>
      <w:lvlJc w:val="left"/>
      <w:pPr>
        <w:ind w:left="4449" w:hanging="360"/>
      </w:pPr>
    </w:lvl>
    <w:lvl w:ilvl="4" w:tplc="0C090019" w:tentative="1">
      <w:start w:val="1"/>
      <w:numFmt w:val="lowerLetter"/>
      <w:lvlText w:val="%5."/>
      <w:lvlJc w:val="left"/>
      <w:pPr>
        <w:ind w:left="5169" w:hanging="360"/>
      </w:pPr>
    </w:lvl>
    <w:lvl w:ilvl="5" w:tplc="0C09001B" w:tentative="1">
      <w:start w:val="1"/>
      <w:numFmt w:val="lowerRoman"/>
      <w:lvlText w:val="%6."/>
      <w:lvlJc w:val="right"/>
      <w:pPr>
        <w:ind w:left="5889" w:hanging="180"/>
      </w:pPr>
    </w:lvl>
    <w:lvl w:ilvl="6" w:tplc="0C09000F" w:tentative="1">
      <w:start w:val="1"/>
      <w:numFmt w:val="decimal"/>
      <w:lvlText w:val="%7."/>
      <w:lvlJc w:val="left"/>
      <w:pPr>
        <w:ind w:left="6609" w:hanging="360"/>
      </w:pPr>
    </w:lvl>
    <w:lvl w:ilvl="7" w:tplc="0C090019" w:tentative="1">
      <w:start w:val="1"/>
      <w:numFmt w:val="lowerLetter"/>
      <w:lvlText w:val="%8."/>
      <w:lvlJc w:val="left"/>
      <w:pPr>
        <w:ind w:left="7329" w:hanging="360"/>
      </w:pPr>
    </w:lvl>
    <w:lvl w:ilvl="8" w:tplc="0C09001B" w:tentative="1">
      <w:start w:val="1"/>
      <w:numFmt w:val="lowerRoman"/>
      <w:lvlText w:val="%9."/>
      <w:lvlJc w:val="right"/>
      <w:pPr>
        <w:ind w:left="8049" w:hanging="180"/>
      </w:pPr>
    </w:lvl>
  </w:abstractNum>
  <w:abstractNum w:abstractNumId="2" w15:restartNumberingAfterBreak="0">
    <w:nsid w:val="03F92581"/>
    <w:multiLevelType w:val="multilevel"/>
    <w:tmpl w:val="AD5ABFF2"/>
    <w:numStyleLink w:val="AASBSubNumbers"/>
  </w:abstractNum>
  <w:abstractNum w:abstractNumId="3" w15:restartNumberingAfterBreak="0">
    <w:nsid w:val="11D01EC8"/>
    <w:multiLevelType w:val="multilevel"/>
    <w:tmpl w:val="FB128956"/>
    <w:styleLink w:val="BCNumbers"/>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4"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15:restartNumberingAfterBreak="0">
    <w:nsid w:val="1FEF44B1"/>
    <w:multiLevelType w:val="multilevel"/>
    <w:tmpl w:val="FB12895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6"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7" w15:restartNumberingAfterBreak="0">
    <w:nsid w:val="230C3B93"/>
    <w:multiLevelType w:val="singleLevel"/>
    <w:tmpl w:val="5532B6A0"/>
    <w:lvl w:ilvl="0">
      <w:start w:val="1"/>
      <w:numFmt w:val="lowerLetter"/>
      <w:lvlText w:val="(%1)"/>
      <w:lvlJc w:val="left"/>
      <w:pPr>
        <w:ind w:left="1142" w:hanging="360"/>
      </w:pPr>
      <w:rPr>
        <w:rFonts w:hint="default"/>
      </w:rPr>
    </w:lvl>
  </w:abstractNum>
  <w:abstractNum w:abstractNumId="8"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10" w15:restartNumberingAfterBreak="0">
    <w:nsid w:val="4B5A795A"/>
    <w:multiLevelType w:val="singleLevel"/>
    <w:tmpl w:val="5532B6A0"/>
    <w:lvl w:ilvl="0">
      <w:start w:val="1"/>
      <w:numFmt w:val="lowerLetter"/>
      <w:lvlText w:val="(%1)"/>
      <w:lvlJc w:val="left"/>
      <w:pPr>
        <w:ind w:left="1142" w:hanging="360"/>
      </w:pPr>
      <w:rPr>
        <w:rFonts w:hint="default"/>
      </w:rPr>
    </w:lvl>
  </w:abstractNum>
  <w:abstractNum w:abstractNumId="11" w15:restartNumberingAfterBreak="0">
    <w:nsid w:val="4C2278F7"/>
    <w:multiLevelType w:val="multilevel"/>
    <w:tmpl w:val="D8EA2116"/>
    <w:styleLink w:val="NumPlainParas"/>
    <w:lvl w:ilvl="0">
      <w:start w:val="1"/>
      <w:numFmt w:val="decimal"/>
      <w:lvlText w:val="%1"/>
      <w:lvlJc w:val="left"/>
      <w:pPr>
        <w:ind w:left="782" w:hanging="782"/>
      </w:pPr>
      <w:rPr>
        <w:rFonts w:hint="default"/>
      </w:rPr>
    </w:lvl>
    <w:lvl w:ilvl="1">
      <w:start w:val="1"/>
      <w:numFmt w:val="lowerLetter"/>
      <w:lvlText w:val="(%2)"/>
      <w:lvlJc w:val="left"/>
      <w:pPr>
        <w:ind w:left="1564" w:hanging="782"/>
      </w:pPr>
      <w:rPr>
        <w:rFonts w:hint="default"/>
      </w:rPr>
    </w:lvl>
    <w:lvl w:ilvl="2">
      <w:start w:val="1"/>
      <w:numFmt w:val="lowerRoman"/>
      <w:lvlText w:val="(%3)"/>
      <w:lvlJc w:val="left"/>
      <w:pPr>
        <w:ind w:left="2346" w:hanging="782"/>
      </w:pPr>
      <w:rPr>
        <w:rFonts w:hint="default"/>
      </w:rPr>
    </w:lvl>
    <w:lvl w:ilvl="3">
      <w:start w:val="1"/>
      <w:numFmt w:val="upperLetter"/>
      <w:lvlText w:val="(%4)"/>
      <w:lvlJc w:val="left"/>
      <w:pPr>
        <w:ind w:left="3128" w:hanging="782"/>
      </w:pPr>
      <w:rPr>
        <w:rFonts w:hint="default"/>
      </w:rPr>
    </w:lvl>
    <w:lvl w:ilvl="4">
      <w:start w:val="1"/>
      <w:numFmt w:val="lowerLetter"/>
      <w:lvlText w:val="(%5)"/>
      <w:lvlJc w:val="left"/>
      <w:pPr>
        <w:tabs>
          <w:tab w:val="num" w:pos="2651"/>
        </w:tabs>
        <w:ind w:left="3910" w:hanging="782"/>
      </w:pPr>
      <w:rPr>
        <w:rFonts w:hint="default"/>
      </w:rPr>
    </w:lvl>
    <w:lvl w:ilvl="5">
      <w:start w:val="1"/>
      <w:numFmt w:val="lowerRoman"/>
      <w:lvlText w:val="(%6)"/>
      <w:lvlJc w:val="left"/>
      <w:pPr>
        <w:tabs>
          <w:tab w:val="num" w:pos="3011"/>
        </w:tabs>
        <w:ind w:left="4692" w:hanging="782"/>
      </w:pPr>
      <w:rPr>
        <w:rFonts w:hint="default"/>
      </w:rPr>
    </w:lvl>
    <w:lvl w:ilvl="6">
      <w:start w:val="1"/>
      <w:numFmt w:val="decimal"/>
      <w:lvlText w:val="%7."/>
      <w:lvlJc w:val="left"/>
      <w:pPr>
        <w:tabs>
          <w:tab w:val="num" w:pos="3371"/>
        </w:tabs>
        <w:ind w:left="5474" w:hanging="782"/>
      </w:pPr>
      <w:rPr>
        <w:rFonts w:hint="default"/>
      </w:rPr>
    </w:lvl>
    <w:lvl w:ilvl="7">
      <w:start w:val="1"/>
      <w:numFmt w:val="lowerLetter"/>
      <w:lvlText w:val="%8."/>
      <w:lvlJc w:val="left"/>
      <w:pPr>
        <w:tabs>
          <w:tab w:val="num" w:pos="3731"/>
        </w:tabs>
        <w:ind w:left="6256" w:hanging="782"/>
      </w:pPr>
      <w:rPr>
        <w:rFonts w:hint="default"/>
      </w:rPr>
    </w:lvl>
    <w:lvl w:ilvl="8">
      <w:start w:val="1"/>
      <w:numFmt w:val="lowerRoman"/>
      <w:lvlText w:val="%9."/>
      <w:lvlJc w:val="left"/>
      <w:pPr>
        <w:tabs>
          <w:tab w:val="num" w:pos="4091"/>
        </w:tabs>
        <w:ind w:left="7038" w:hanging="782"/>
      </w:pPr>
      <w:rPr>
        <w:rFonts w:hint="default"/>
      </w:rPr>
    </w:lvl>
  </w:abstractNum>
  <w:abstractNum w:abstractNumId="12" w15:restartNumberingAfterBreak="0">
    <w:nsid w:val="53E12E8A"/>
    <w:multiLevelType w:val="hybridMultilevel"/>
    <w:tmpl w:val="3BBC1596"/>
    <w:lvl w:ilvl="0" w:tplc="FFFFFFFF">
      <w:start w:val="1"/>
      <w:numFmt w:val="lowerRoman"/>
      <w:lvlText w:val="(%1)"/>
      <w:lvlJc w:val="left"/>
      <w:pPr>
        <w:ind w:left="2289" w:hanging="360"/>
      </w:pPr>
      <w:rPr>
        <w:rFonts w:hint="default"/>
        <w:b w:val="0"/>
        <w:bCs w:val="0"/>
      </w:rPr>
    </w:lvl>
    <w:lvl w:ilvl="1" w:tplc="FFFFFFFF" w:tentative="1">
      <w:start w:val="1"/>
      <w:numFmt w:val="lowerLetter"/>
      <w:lvlText w:val="%2."/>
      <w:lvlJc w:val="left"/>
      <w:pPr>
        <w:ind w:left="3009" w:hanging="360"/>
      </w:pPr>
    </w:lvl>
    <w:lvl w:ilvl="2" w:tplc="FFFFFFFF" w:tentative="1">
      <w:start w:val="1"/>
      <w:numFmt w:val="lowerRoman"/>
      <w:lvlText w:val="%3."/>
      <w:lvlJc w:val="right"/>
      <w:pPr>
        <w:ind w:left="3729" w:hanging="180"/>
      </w:pPr>
    </w:lvl>
    <w:lvl w:ilvl="3" w:tplc="FFFFFFFF" w:tentative="1">
      <w:start w:val="1"/>
      <w:numFmt w:val="decimal"/>
      <w:lvlText w:val="%4."/>
      <w:lvlJc w:val="left"/>
      <w:pPr>
        <w:ind w:left="4449" w:hanging="360"/>
      </w:pPr>
    </w:lvl>
    <w:lvl w:ilvl="4" w:tplc="FFFFFFFF" w:tentative="1">
      <w:start w:val="1"/>
      <w:numFmt w:val="lowerLetter"/>
      <w:lvlText w:val="%5."/>
      <w:lvlJc w:val="left"/>
      <w:pPr>
        <w:ind w:left="5169" w:hanging="360"/>
      </w:pPr>
    </w:lvl>
    <w:lvl w:ilvl="5" w:tplc="FFFFFFFF" w:tentative="1">
      <w:start w:val="1"/>
      <w:numFmt w:val="lowerRoman"/>
      <w:lvlText w:val="%6."/>
      <w:lvlJc w:val="right"/>
      <w:pPr>
        <w:ind w:left="5889" w:hanging="180"/>
      </w:pPr>
    </w:lvl>
    <w:lvl w:ilvl="6" w:tplc="FFFFFFFF" w:tentative="1">
      <w:start w:val="1"/>
      <w:numFmt w:val="decimal"/>
      <w:lvlText w:val="%7."/>
      <w:lvlJc w:val="left"/>
      <w:pPr>
        <w:ind w:left="6609" w:hanging="360"/>
      </w:pPr>
    </w:lvl>
    <w:lvl w:ilvl="7" w:tplc="FFFFFFFF" w:tentative="1">
      <w:start w:val="1"/>
      <w:numFmt w:val="lowerLetter"/>
      <w:lvlText w:val="%8."/>
      <w:lvlJc w:val="left"/>
      <w:pPr>
        <w:ind w:left="7329" w:hanging="360"/>
      </w:pPr>
    </w:lvl>
    <w:lvl w:ilvl="8" w:tplc="FFFFFFFF" w:tentative="1">
      <w:start w:val="1"/>
      <w:numFmt w:val="lowerRoman"/>
      <w:lvlText w:val="%9."/>
      <w:lvlJc w:val="right"/>
      <w:pPr>
        <w:ind w:left="8049" w:hanging="180"/>
      </w:pPr>
    </w:lvl>
  </w:abstractNum>
  <w:abstractNum w:abstractNumId="13" w15:restartNumberingAfterBreak="0">
    <w:nsid w:val="53EC4667"/>
    <w:multiLevelType w:val="multilevel"/>
    <w:tmpl w:val="FB12895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14"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6" w15:restartNumberingAfterBreak="0">
    <w:nsid w:val="658B4D04"/>
    <w:multiLevelType w:val="multilevel"/>
    <w:tmpl w:val="B30A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40258"/>
    <w:multiLevelType w:val="multilevel"/>
    <w:tmpl w:val="FB128956"/>
    <w:lvl w:ilvl="0">
      <w:start w:val="1"/>
      <w:numFmt w:val="decimal"/>
      <w:lvlText w:val="BC%1"/>
      <w:lvlJc w:val="left"/>
      <w:pPr>
        <w:ind w:left="782" w:hanging="782"/>
      </w:pPr>
      <w:rPr>
        <w:rFonts w:hint="default"/>
        <w:b w:val="0"/>
        <w:bCs w:val="0"/>
        <w:u w:val="none"/>
      </w:rPr>
    </w:lvl>
    <w:lvl w:ilvl="1">
      <w:start w:val="1"/>
      <w:numFmt w:val="lowerLetter"/>
      <w:lvlText w:val="(%2)"/>
      <w:lvlJc w:val="left"/>
      <w:pPr>
        <w:ind w:left="1564" w:hanging="782"/>
      </w:pPr>
      <w:rPr>
        <w:rFonts w:hint="default"/>
        <w:b w:val="0"/>
        <w:bCs w:val="0"/>
        <w:u w:val="none"/>
      </w:rPr>
    </w:lvl>
    <w:lvl w:ilvl="2">
      <w:start w:val="1"/>
      <w:numFmt w:val="lowerRoman"/>
      <w:lvlText w:val="(%3)"/>
      <w:lvlJc w:val="left"/>
      <w:pPr>
        <w:ind w:left="2346" w:hanging="782"/>
      </w:pPr>
      <w:rPr>
        <w:rFonts w:hint="default"/>
        <w:b w:val="0"/>
        <w:bCs w:val="0"/>
        <w:u w:val="none"/>
      </w:rPr>
    </w:lvl>
    <w:lvl w:ilvl="3">
      <w:start w:val="1"/>
      <w:numFmt w:val="upperLetter"/>
      <w:lvlText w:val="(%4)"/>
      <w:lvlJc w:val="left"/>
      <w:pPr>
        <w:ind w:left="3128" w:hanging="782"/>
      </w:pPr>
      <w:rPr>
        <w:rFonts w:hint="default"/>
        <w:b w:val="0"/>
        <w:bCs w:val="0"/>
        <w:u w:val="none"/>
      </w:rPr>
    </w:lvl>
    <w:lvl w:ilvl="4">
      <w:start w:val="1"/>
      <w:numFmt w:val="upperRoman"/>
      <w:lvlText w:val="%5"/>
      <w:lvlJc w:val="left"/>
      <w:pPr>
        <w:tabs>
          <w:tab w:val="num" w:pos="3752"/>
        </w:tabs>
        <w:ind w:left="3910" w:hanging="782"/>
      </w:pPr>
      <w:rPr>
        <w:rFonts w:hint="default"/>
        <w:b w:val="0"/>
        <w:bCs w:val="0"/>
        <w:u w:val="none"/>
      </w:rPr>
    </w:lvl>
    <w:lvl w:ilvl="5">
      <w:start w:val="1"/>
      <w:numFmt w:val="decimal"/>
      <w:lvlText w:val="%6"/>
      <w:lvlJc w:val="left"/>
      <w:pPr>
        <w:tabs>
          <w:tab w:val="num" w:pos="4534"/>
        </w:tabs>
        <w:ind w:left="4692" w:hanging="782"/>
      </w:pPr>
      <w:rPr>
        <w:rFonts w:hint="default"/>
      </w:rPr>
    </w:lvl>
    <w:lvl w:ilvl="6">
      <w:start w:val="1"/>
      <w:numFmt w:val="lowerLetter"/>
      <w:lvlText w:val="%7)"/>
      <w:lvlJc w:val="left"/>
      <w:pPr>
        <w:tabs>
          <w:tab w:val="num" w:pos="5316"/>
        </w:tabs>
        <w:ind w:left="5474" w:hanging="782"/>
      </w:pPr>
      <w:rPr>
        <w:rFonts w:hint="default"/>
      </w:rPr>
    </w:lvl>
    <w:lvl w:ilvl="7">
      <w:start w:val="1"/>
      <w:numFmt w:val="lowerRoman"/>
      <w:lvlText w:val="%8)"/>
      <w:lvlJc w:val="left"/>
      <w:pPr>
        <w:tabs>
          <w:tab w:val="num" w:pos="6098"/>
        </w:tabs>
        <w:ind w:left="6256" w:hanging="782"/>
      </w:pPr>
      <w:rPr>
        <w:rFonts w:hint="default"/>
      </w:rPr>
    </w:lvl>
    <w:lvl w:ilvl="8">
      <w:start w:val="1"/>
      <w:numFmt w:val="lowerRoman"/>
      <w:lvlText w:val="%9)"/>
      <w:lvlJc w:val="left"/>
      <w:pPr>
        <w:tabs>
          <w:tab w:val="num" w:pos="6880"/>
        </w:tabs>
        <w:ind w:left="7038" w:hanging="782"/>
      </w:pPr>
      <w:rPr>
        <w:rFonts w:hint="default"/>
      </w:rPr>
    </w:lvl>
  </w:abstractNum>
  <w:abstractNum w:abstractNumId="18"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9"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A956C7"/>
    <w:multiLevelType w:val="singleLevel"/>
    <w:tmpl w:val="5532B6A0"/>
    <w:lvl w:ilvl="0">
      <w:start w:val="1"/>
      <w:numFmt w:val="lowerLetter"/>
      <w:lvlText w:val="(%1)"/>
      <w:lvlJc w:val="left"/>
      <w:pPr>
        <w:ind w:left="1142" w:hanging="360"/>
      </w:pPr>
      <w:rPr>
        <w:rFonts w:hint="default"/>
      </w:rPr>
    </w:lvl>
  </w:abstractNum>
  <w:num w:numId="1" w16cid:durableId="979387014">
    <w:abstractNumId w:val="15"/>
  </w:num>
  <w:num w:numId="2" w16cid:durableId="11164902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0181366">
    <w:abstractNumId w:val="19"/>
  </w:num>
  <w:num w:numId="4" w16cid:durableId="1570774790">
    <w:abstractNumId w:val="4"/>
  </w:num>
  <w:num w:numId="5" w16cid:durableId="1403866749">
    <w:abstractNumId w:val="6"/>
  </w:num>
  <w:num w:numId="6" w16cid:durableId="1361473188">
    <w:abstractNumId w:val="18"/>
  </w:num>
  <w:num w:numId="7" w16cid:durableId="1040934789">
    <w:abstractNumId w:val="8"/>
  </w:num>
  <w:num w:numId="8" w16cid:durableId="1944652453">
    <w:abstractNumId w:val="9"/>
  </w:num>
  <w:num w:numId="9" w16cid:durableId="679046485">
    <w:abstractNumId w:val="2"/>
  </w:num>
  <w:num w:numId="10" w16cid:durableId="712729095">
    <w:abstractNumId w:val="0"/>
  </w:num>
  <w:num w:numId="11" w16cid:durableId="825634707">
    <w:abstractNumId w:val="14"/>
  </w:num>
  <w:num w:numId="12" w16cid:durableId="776752156">
    <w:abstractNumId w:val="3"/>
  </w:num>
  <w:num w:numId="13" w16cid:durableId="2128965142">
    <w:abstractNumId w:val="11"/>
  </w:num>
  <w:num w:numId="14" w16cid:durableId="1320158283">
    <w:abstractNumId w:val="11"/>
    <w:lvlOverride w:ilvl="4">
      <w:lvl w:ilvl="4">
        <w:start w:val="1"/>
        <w:numFmt w:val="lowerLetter"/>
        <w:lvlText w:val="(%5)"/>
        <w:lvlJc w:val="left"/>
        <w:pPr>
          <w:tabs>
            <w:tab w:val="num" w:pos="2651"/>
          </w:tabs>
          <w:ind w:left="3910" w:hanging="782"/>
        </w:pPr>
        <w:rPr>
          <w:rFonts w:hint="default"/>
        </w:rPr>
      </w:lvl>
    </w:lvlOverride>
  </w:num>
  <w:num w:numId="15" w16cid:durableId="24218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361537">
    <w:abstractNumId w:val="10"/>
  </w:num>
  <w:num w:numId="17" w16cid:durableId="592782121">
    <w:abstractNumId w:val="7"/>
  </w:num>
  <w:num w:numId="18" w16cid:durableId="1764567588">
    <w:abstractNumId w:val="20"/>
  </w:num>
  <w:num w:numId="19" w16cid:durableId="1553081102">
    <w:abstractNumId w:val="1"/>
  </w:num>
  <w:num w:numId="20" w16cid:durableId="420638796">
    <w:abstractNumId w:val="12"/>
  </w:num>
  <w:num w:numId="21" w16cid:durableId="1740639983">
    <w:abstractNumId w:val="4"/>
  </w:num>
  <w:num w:numId="22" w16cid:durableId="1042366257">
    <w:abstractNumId w:val="4"/>
  </w:num>
  <w:num w:numId="23" w16cid:durableId="713116123">
    <w:abstractNumId w:val="4"/>
  </w:num>
  <w:num w:numId="24" w16cid:durableId="1958903462">
    <w:abstractNumId w:val="4"/>
  </w:num>
  <w:num w:numId="25" w16cid:durableId="208273470">
    <w:abstractNumId w:val="4"/>
  </w:num>
  <w:num w:numId="26" w16cid:durableId="1611470695">
    <w:abstractNumId w:val="4"/>
  </w:num>
  <w:num w:numId="27" w16cid:durableId="472797917">
    <w:abstractNumId w:val="4"/>
  </w:num>
  <w:num w:numId="28" w16cid:durableId="94908753">
    <w:abstractNumId w:val="4"/>
  </w:num>
  <w:num w:numId="29" w16cid:durableId="544803750">
    <w:abstractNumId w:val="4"/>
  </w:num>
  <w:num w:numId="30" w16cid:durableId="705908214">
    <w:abstractNumId w:val="4"/>
  </w:num>
  <w:num w:numId="31" w16cid:durableId="967128369">
    <w:abstractNumId w:val="4"/>
  </w:num>
  <w:num w:numId="32" w16cid:durableId="14159852">
    <w:abstractNumId w:val="4"/>
  </w:num>
  <w:num w:numId="33" w16cid:durableId="1116556250">
    <w:abstractNumId w:val="4"/>
  </w:num>
  <w:num w:numId="34" w16cid:durableId="16129482">
    <w:abstractNumId w:val="4"/>
  </w:num>
  <w:num w:numId="35" w16cid:durableId="1133255139">
    <w:abstractNumId w:val="4"/>
  </w:num>
  <w:num w:numId="36" w16cid:durableId="731461915">
    <w:abstractNumId w:val="4"/>
  </w:num>
  <w:num w:numId="37" w16cid:durableId="504248066">
    <w:abstractNumId w:val="4"/>
  </w:num>
  <w:num w:numId="38" w16cid:durableId="1146169006">
    <w:abstractNumId w:val="4"/>
  </w:num>
  <w:num w:numId="39" w16cid:durableId="2024822982">
    <w:abstractNumId w:val="4"/>
  </w:num>
  <w:num w:numId="40" w16cid:durableId="79832957">
    <w:abstractNumId w:val="4"/>
  </w:num>
  <w:num w:numId="41" w16cid:durableId="576593879">
    <w:abstractNumId w:val="13"/>
  </w:num>
  <w:num w:numId="42" w16cid:durableId="235017095">
    <w:abstractNumId w:val="17"/>
  </w:num>
  <w:num w:numId="43" w16cid:durableId="54161695">
    <w:abstractNumId w:val="5"/>
  </w:num>
  <w:num w:numId="44" w16cid:durableId="2127193643">
    <w:abstractNumId w:val="16"/>
  </w:num>
  <w:num w:numId="45" w16cid:durableId="1000158571">
    <w:abstractNumId w:val="4"/>
  </w:num>
  <w:num w:numId="46" w16cid:durableId="476534760">
    <w:abstractNumId w:val="4"/>
  </w:num>
  <w:num w:numId="47" w16cid:durableId="302853247">
    <w:abstractNumId w:val="4"/>
  </w:num>
  <w:num w:numId="48" w16cid:durableId="520707581">
    <w:abstractNumId w:val="4"/>
  </w:num>
  <w:num w:numId="49" w16cid:durableId="102362873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5D"/>
    <w:rsid w:val="000025B1"/>
    <w:rsid w:val="0000292B"/>
    <w:rsid w:val="00003749"/>
    <w:rsid w:val="00021DDD"/>
    <w:rsid w:val="00027E8B"/>
    <w:rsid w:val="0003692E"/>
    <w:rsid w:val="0004455B"/>
    <w:rsid w:val="000500A8"/>
    <w:rsid w:val="000625F2"/>
    <w:rsid w:val="00063560"/>
    <w:rsid w:val="000675A2"/>
    <w:rsid w:val="0007267E"/>
    <w:rsid w:val="00074133"/>
    <w:rsid w:val="00076BF1"/>
    <w:rsid w:val="000812F8"/>
    <w:rsid w:val="00081A3E"/>
    <w:rsid w:val="00090A6F"/>
    <w:rsid w:val="00096027"/>
    <w:rsid w:val="000A7706"/>
    <w:rsid w:val="000A7A7A"/>
    <w:rsid w:val="000B55A6"/>
    <w:rsid w:val="000B5D69"/>
    <w:rsid w:val="000B733C"/>
    <w:rsid w:val="000C3EB0"/>
    <w:rsid w:val="000C6EFB"/>
    <w:rsid w:val="000D7B40"/>
    <w:rsid w:val="000E37B9"/>
    <w:rsid w:val="000E68BD"/>
    <w:rsid w:val="000F64CC"/>
    <w:rsid w:val="00101E92"/>
    <w:rsid w:val="00104129"/>
    <w:rsid w:val="00106AEC"/>
    <w:rsid w:val="00110B96"/>
    <w:rsid w:val="001149E9"/>
    <w:rsid w:val="001162C5"/>
    <w:rsid w:val="001206CF"/>
    <w:rsid w:val="00125406"/>
    <w:rsid w:val="001318F8"/>
    <w:rsid w:val="00145D1A"/>
    <w:rsid w:val="00146E60"/>
    <w:rsid w:val="001474B6"/>
    <w:rsid w:val="00147841"/>
    <w:rsid w:val="00152A4D"/>
    <w:rsid w:val="00153E65"/>
    <w:rsid w:val="001662B8"/>
    <w:rsid w:val="00170B87"/>
    <w:rsid w:val="00171F51"/>
    <w:rsid w:val="00173037"/>
    <w:rsid w:val="001744E2"/>
    <w:rsid w:val="00175677"/>
    <w:rsid w:val="001761C6"/>
    <w:rsid w:val="001856EA"/>
    <w:rsid w:val="001864D4"/>
    <w:rsid w:val="0019286F"/>
    <w:rsid w:val="001970E2"/>
    <w:rsid w:val="001A090F"/>
    <w:rsid w:val="001B33A5"/>
    <w:rsid w:val="001B57EE"/>
    <w:rsid w:val="001B5F03"/>
    <w:rsid w:val="001C225F"/>
    <w:rsid w:val="001D1F6E"/>
    <w:rsid w:val="001D3EFB"/>
    <w:rsid w:val="001D6E56"/>
    <w:rsid w:val="001E7BE1"/>
    <w:rsid w:val="001F5A7F"/>
    <w:rsid w:val="001F6D24"/>
    <w:rsid w:val="001F78DF"/>
    <w:rsid w:val="00201A99"/>
    <w:rsid w:val="0021080C"/>
    <w:rsid w:val="0022022E"/>
    <w:rsid w:val="00222EBE"/>
    <w:rsid w:val="00236FCA"/>
    <w:rsid w:val="00254B16"/>
    <w:rsid w:val="00272301"/>
    <w:rsid w:val="00276BC5"/>
    <w:rsid w:val="0028086D"/>
    <w:rsid w:val="00283482"/>
    <w:rsid w:val="0028725D"/>
    <w:rsid w:val="0029311F"/>
    <w:rsid w:val="0029647E"/>
    <w:rsid w:val="002A201D"/>
    <w:rsid w:val="002B7803"/>
    <w:rsid w:val="002C44C9"/>
    <w:rsid w:val="002C569B"/>
    <w:rsid w:val="002C605B"/>
    <w:rsid w:val="002F1CD0"/>
    <w:rsid w:val="0030212F"/>
    <w:rsid w:val="003046A0"/>
    <w:rsid w:val="00304CC4"/>
    <w:rsid w:val="00305329"/>
    <w:rsid w:val="00307F26"/>
    <w:rsid w:val="0031501C"/>
    <w:rsid w:val="003251D8"/>
    <w:rsid w:val="00331E2D"/>
    <w:rsid w:val="0033581C"/>
    <w:rsid w:val="00345CE5"/>
    <w:rsid w:val="003465E5"/>
    <w:rsid w:val="00352BAD"/>
    <w:rsid w:val="003610C1"/>
    <w:rsid w:val="00364B30"/>
    <w:rsid w:val="0036683F"/>
    <w:rsid w:val="00367DC9"/>
    <w:rsid w:val="00367E12"/>
    <w:rsid w:val="003740EE"/>
    <w:rsid w:val="00377B8D"/>
    <w:rsid w:val="00381348"/>
    <w:rsid w:val="00382796"/>
    <w:rsid w:val="00385183"/>
    <w:rsid w:val="0038633A"/>
    <w:rsid w:val="0039009E"/>
    <w:rsid w:val="00394992"/>
    <w:rsid w:val="003A44E0"/>
    <w:rsid w:val="003A488F"/>
    <w:rsid w:val="003A6612"/>
    <w:rsid w:val="003B0CAA"/>
    <w:rsid w:val="003B0E71"/>
    <w:rsid w:val="003B18C6"/>
    <w:rsid w:val="003B6633"/>
    <w:rsid w:val="003D131D"/>
    <w:rsid w:val="003D1DD4"/>
    <w:rsid w:val="003E0A68"/>
    <w:rsid w:val="003E1900"/>
    <w:rsid w:val="003F181A"/>
    <w:rsid w:val="0040001B"/>
    <w:rsid w:val="00400C97"/>
    <w:rsid w:val="00401ECA"/>
    <w:rsid w:val="00406D68"/>
    <w:rsid w:val="004150BD"/>
    <w:rsid w:val="00421AFA"/>
    <w:rsid w:val="00422E4D"/>
    <w:rsid w:val="00426876"/>
    <w:rsid w:val="00426FDB"/>
    <w:rsid w:val="00434D86"/>
    <w:rsid w:val="00436A2D"/>
    <w:rsid w:val="0044096F"/>
    <w:rsid w:val="004464E9"/>
    <w:rsid w:val="0044702C"/>
    <w:rsid w:val="00460FBB"/>
    <w:rsid w:val="00470CE9"/>
    <w:rsid w:val="0047683E"/>
    <w:rsid w:val="0048155F"/>
    <w:rsid w:val="00484668"/>
    <w:rsid w:val="00487CF6"/>
    <w:rsid w:val="004929EC"/>
    <w:rsid w:val="00493F35"/>
    <w:rsid w:val="004961F8"/>
    <w:rsid w:val="004A1E6E"/>
    <w:rsid w:val="004A417F"/>
    <w:rsid w:val="004A545D"/>
    <w:rsid w:val="004B038C"/>
    <w:rsid w:val="004B736C"/>
    <w:rsid w:val="004B7EFE"/>
    <w:rsid w:val="004C25C4"/>
    <w:rsid w:val="004C29BF"/>
    <w:rsid w:val="004C32C4"/>
    <w:rsid w:val="004C5BDE"/>
    <w:rsid w:val="004D2C70"/>
    <w:rsid w:val="004D3809"/>
    <w:rsid w:val="004D4D1C"/>
    <w:rsid w:val="004E0D58"/>
    <w:rsid w:val="004E1182"/>
    <w:rsid w:val="004F00AC"/>
    <w:rsid w:val="004F147E"/>
    <w:rsid w:val="004F31BD"/>
    <w:rsid w:val="004F55FE"/>
    <w:rsid w:val="004F5B22"/>
    <w:rsid w:val="00500E80"/>
    <w:rsid w:val="00504F8D"/>
    <w:rsid w:val="00511C34"/>
    <w:rsid w:val="00513C30"/>
    <w:rsid w:val="005166B2"/>
    <w:rsid w:val="00523FAB"/>
    <w:rsid w:val="00531F1F"/>
    <w:rsid w:val="0053452C"/>
    <w:rsid w:val="005356FA"/>
    <w:rsid w:val="00535EC5"/>
    <w:rsid w:val="00544AF9"/>
    <w:rsid w:val="0056274D"/>
    <w:rsid w:val="005655CE"/>
    <w:rsid w:val="0056768F"/>
    <w:rsid w:val="00577065"/>
    <w:rsid w:val="0058004D"/>
    <w:rsid w:val="00580BC4"/>
    <w:rsid w:val="00590051"/>
    <w:rsid w:val="005A2514"/>
    <w:rsid w:val="005A5D9D"/>
    <w:rsid w:val="005A6AC7"/>
    <w:rsid w:val="005B146F"/>
    <w:rsid w:val="005D1B77"/>
    <w:rsid w:val="005D70B6"/>
    <w:rsid w:val="005E6BE4"/>
    <w:rsid w:val="005F765A"/>
    <w:rsid w:val="00602261"/>
    <w:rsid w:val="006030E0"/>
    <w:rsid w:val="006066D0"/>
    <w:rsid w:val="00610E1F"/>
    <w:rsid w:val="0061106C"/>
    <w:rsid w:val="006220C2"/>
    <w:rsid w:val="00632691"/>
    <w:rsid w:val="00636E87"/>
    <w:rsid w:val="00641282"/>
    <w:rsid w:val="00651CDC"/>
    <w:rsid w:val="00652DF8"/>
    <w:rsid w:val="006601B4"/>
    <w:rsid w:val="00661CFD"/>
    <w:rsid w:val="006620AC"/>
    <w:rsid w:val="0066619E"/>
    <w:rsid w:val="0067212E"/>
    <w:rsid w:val="00683495"/>
    <w:rsid w:val="006A3AE9"/>
    <w:rsid w:val="006A40E5"/>
    <w:rsid w:val="006B0CD6"/>
    <w:rsid w:val="006B54EC"/>
    <w:rsid w:val="006B7906"/>
    <w:rsid w:val="006C0BB7"/>
    <w:rsid w:val="006C2E37"/>
    <w:rsid w:val="006D055E"/>
    <w:rsid w:val="006D134A"/>
    <w:rsid w:val="006D4700"/>
    <w:rsid w:val="006D7679"/>
    <w:rsid w:val="006E2C39"/>
    <w:rsid w:val="006F6384"/>
    <w:rsid w:val="007002C8"/>
    <w:rsid w:val="0070241A"/>
    <w:rsid w:val="00703EB8"/>
    <w:rsid w:val="0070551A"/>
    <w:rsid w:val="007138B9"/>
    <w:rsid w:val="00714340"/>
    <w:rsid w:val="007219F7"/>
    <w:rsid w:val="00725BFC"/>
    <w:rsid w:val="00730515"/>
    <w:rsid w:val="00730571"/>
    <w:rsid w:val="007333C2"/>
    <w:rsid w:val="007362FC"/>
    <w:rsid w:val="00737714"/>
    <w:rsid w:val="00737AD4"/>
    <w:rsid w:val="00740165"/>
    <w:rsid w:val="00742E4B"/>
    <w:rsid w:val="007455F0"/>
    <w:rsid w:val="007458D8"/>
    <w:rsid w:val="00745BC1"/>
    <w:rsid w:val="00751F6A"/>
    <w:rsid w:val="00752F57"/>
    <w:rsid w:val="007530C3"/>
    <w:rsid w:val="00753E42"/>
    <w:rsid w:val="007554ED"/>
    <w:rsid w:val="00755E40"/>
    <w:rsid w:val="00756FF6"/>
    <w:rsid w:val="0076127E"/>
    <w:rsid w:val="00763934"/>
    <w:rsid w:val="0078116B"/>
    <w:rsid w:val="007A6BC3"/>
    <w:rsid w:val="007C1FA2"/>
    <w:rsid w:val="007D70B4"/>
    <w:rsid w:val="007D762D"/>
    <w:rsid w:val="007E1498"/>
    <w:rsid w:val="007F1D3D"/>
    <w:rsid w:val="007F1F66"/>
    <w:rsid w:val="00802E61"/>
    <w:rsid w:val="00812637"/>
    <w:rsid w:val="00812F13"/>
    <w:rsid w:val="00813227"/>
    <w:rsid w:val="00815BE9"/>
    <w:rsid w:val="00820794"/>
    <w:rsid w:val="008303DF"/>
    <w:rsid w:val="00831152"/>
    <w:rsid w:val="00831497"/>
    <w:rsid w:val="008459E8"/>
    <w:rsid w:val="00864ADE"/>
    <w:rsid w:val="00867FB0"/>
    <w:rsid w:val="00871A12"/>
    <w:rsid w:val="00872AB9"/>
    <w:rsid w:val="00881BBE"/>
    <w:rsid w:val="008852D7"/>
    <w:rsid w:val="00891951"/>
    <w:rsid w:val="00891961"/>
    <w:rsid w:val="00892674"/>
    <w:rsid w:val="00893D34"/>
    <w:rsid w:val="00895809"/>
    <w:rsid w:val="00895AC5"/>
    <w:rsid w:val="008A16EB"/>
    <w:rsid w:val="008A6182"/>
    <w:rsid w:val="008B1D94"/>
    <w:rsid w:val="008B4C8D"/>
    <w:rsid w:val="008B643A"/>
    <w:rsid w:val="008C1C4A"/>
    <w:rsid w:val="008C28F3"/>
    <w:rsid w:val="008C60B1"/>
    <w:rsid w:val="008C62CE"/>
    <w:rsid w:val="008C6BD0"/>
    <w:rsid w:val="008D2E96"/>
    <w:rsid w:val="008D2EBD"/>
    <w:rsid w:val="008E1A3B"/>
    <w:rsid w:val="008F0A81"/>
    <w:rsid w:val="008F3EBA"/>
    <w:rsid w:val="008F4AC5"/>
    <w:rsid w:val="008F5963"/>
    <w:rsid w:val="008F712E"/>
    <w:rsid w:val="00910F91"/>
    <w:rsid w:val="00923261"/>
    <w:rsid w:val="009256B7"/>
    <w:rsid w:val="00926B30"/>
    <w:rsid w:val="00936FB0"/>
    <w:rsid w:val="0095716C"/>
    <w:rsid w:val="00961392"/>
    <w:rsid w:val="00970C7A"/>
    <w:rsid w:val="009721DB"/>
    <w:rsid w:val="00972BFA"/>
    <w:rsid w:val="00974E54"/>
    <w:rsid w:val="00975940"/>
    <w:rsid w:val="00982218"/>
    <w:rsid w:val="009822EE"/>
    <w:rsid w:val="00994213"/>
    <w:rsid w:val="009965BA"/>
    <w:rsid w:val="009B0223"/>
    <w:rsid w:val="009B5F44"/>
    <w:rsid w:val="009B6535"/>
    <w:rsid w:val="009C2479"/>
    <w:rsid w:val="009D06F8"/>
    <w:rsid w:val="009D73F1"/>
    <w:rsid w:val="009E4CC5"/>
    <w:rsid w:val="009F029A"/>
    <w:rsid w:val="009F24F2"/>
    <w:rsid w:val="00A05041"/>
    <w:rsid w:val="00A0512C"/>
    <w:rsid w:val="00A06EAB"/>
    <w:rsid w:val="00A13F82"/>
    <w:rsid w:val="00A149AB"/>
    <w:rsid w:val="00A16664"/>
    <w:rsid w:val="00A22E0D"/>
    <w:rsid w:val="00A2387B"/>
    <w:rsid w:val="00A245FD"/>
    <w:rsid w:val="00A25DCB"/>
    <w:rsid w:val="00A27600"/>
    <w:rsid w:val="00A3390B"/>
    <w:rsid w:val="00A3646B"/>
    <w:rsid w:val="00A41ED3"/>
    <w:rsid w:val="00A45219"/>
    <w:rsid w:val="00A47FA2"/>
    <w:rsid w:val="00A51A7E"/>
    <w:rsid w:val="00A5387D"/>
    <w:rsid w:val="00A55F4F"/>
    <w:rsid w:val="00A61C7C"/>
    <w:rsid w:val="00A748BA"/>
    <w:rsid w:val="00A7678A"/>
    <w:rsid w:val="00A83862"/>
    <w:rsid w:val="00A8486C"/>
    <w:rsid w:val="00A96702"/>
    <w:rsid w:val="00A97EB2"/>
    <w:rsid w:val="00AA14A9"/>
    <w:rsid w:val="00AB2DDD"/>
    <w:rsid w:val="00AB780A"/>
    <w:rsid w:val="00AC4315"/>
    <w:rsid w:val="00AD42DA"/>
    <w:rsid w:val="00AE6A7A"/>
    <w:rsid w:val="00AE7B45"/>
    <w:rsid w:val="00AF118C"/>
    <w:rsid w:val="00AF61B8"/>
    <w:rsid w:val="00B110AD"/>
    <w:rsid w:val="00B11160"/>
    <w:rsid w:val="00B12F09"/>
    <w:rsid w:val="00B13586"/>
    <w:rsid w:val="00B13DA0"/>
    <w:rsid w:val="00B1422F"/>
    <w:rsid w:val="00B14D3D"/>
    <w:rsid w:val="00B16904"/>
    <w:rsid w:val="00B178DB"/>
    <w:rsid w:val="00B22833"/>
    <w:rsid w:val="00B271BA"/>
    <w:rsid w:val="00B31DD6"/>
    <w:rsid w:val="00B3356C"/>
    <w:rsid w:val="00B3429E"/>
    <w:rsid w:val="00B47DB6"/>
    <w:rsid w:val="00B62154"/>
    <w:rsid w:val="00B63636"/>
    <w:rsid w:val="00B74237"/>
    <w:rsid w:val="00B82F15"/>
    <w:rsid w:val="00B86842"/>
    <w:rsid w:val="00BA3817"/>
    <w:rsid w:val="00BA3AB4"/>
    <w:rsid w:val="00BA4622"/>
    <w:rsid w:val="00BB4C9F"/>
    <w:rsid w:val="00BC0794"/>
    <w:rsid w:val="00BC0D5D"/>
    <w:rsid w:val="00BC36E5"/>
    <w:rsid w:val="00BD13E3"/>
    <w:rsid w:val="00BE2F68"/>
    <w:rsid w:val="00BE38FC"/>
    <w:rsid w:val="00BE6973"/>
    <w:rsid w:val="00BE7741"/>
    <w:rsid w:val="00BF0190"/>
    <w:rsid w:val="00BF77FA"/>
    <w:rsid w:val="00C03C7B"/>
    <w:rsid w:val="00C04AA9"/>
    <w:rsid w:val="00C1110D"/>
    <w:rsid w:val="00C11C43"/>
    <w:rsid w:val="00C12223"/>
    <w:rsid w:val="00C147B0"/>
    <w:rsid w:val="00C16163"/>
    <w:rsid w:val="00C25F12"/>
    <w:rsid w:val="00C34784"/>
    <w:rsid w:val="00C3493B"/>
    <w:rsid w:val="00C37458"/>
    <w:rsid w:val="00C438DD"/>
    <w:rsid w:val="00C43CD1"/>
    <w:rsid w:val="00C45020"/>
    <w:rsid w:val="00C5022C"/>
    <w:rsid w:val="00C536F9"/>
    <w:rsid w:val="00C552FD"/>
    <w:rsid w:val="00C63573"/>
    <w:rsid w:val="00C82A8A"/>
    <w:rsid w:val="00C933F3"/>
    <w:rsid w:val="00C9510B"/>
    <w:rsid w:val="00C95D8A"/>
    <w:rsid w:val="00CA61C5"/>
    <w:rsid w:val="00CB1257"/>
    <w:rsid w:val="00CB43B9"/>
    <w:rsid w:val="00CB719A"/>
    <w:rsid w:val="00CC106D"/>
    <w:rsid w:val="00CC1A8C"/>
    <w:rsid w:val="00CC1DF4"/>
    <w:rsid w:val="00CC6FCD"/>
    <w:rsid w:val="00CD3C0C"/>
    <w:rsid w:val="00CD5D1C"/>
    <w:rsid w:val="00CE2F8C"/>
    <w:rsid w:val="00CF75CA"/>
    <w:rsid w:val="00CF7B67"/>
    <w:rsid w:val="00D00FD5"/>
    <w:rsid w:val="00D03A75"/>
    <w:rsid w:val="00D04A24"/>
    <w:rsid w:val="00D1112F"/>
    <w:rsid w:val="00D11633"/>
    <w:rsid w:val="00D2243B"/>
    <w:rsid w:val="00D23420"/>
    <w:rsid w:val="00D332F1"/>
    <w:rsid w:val="00D34BDD"/>
    <w:rsid w:val="00D41F8C"/>
    <w:rsid w:val="00D4761E"/>
    <w:rsid w:val="00D52086"/>
    <w:rsid w:val="00D54F5C"/>
    <w:rsid w:val="00D563CD"/>
    <w:rsid w:val="00D61870"/>
    <w:rsid w:val="00D67055"/>
    <w:rsid w:val="00D67336"/>
    <w:rsid w:val="00D70D8B"/>
    <w:rsid w:val="00D74038"/>
    <w:rsid w:val="00D74C6A"/>
    <w:rsid w:val="00D87E23"/>
    <w:rsid w:val="00D921BC"/>
    <w:rsid w:val="00D942EB"/>
    <w:rsid w:val="00D96A64"/>
    <w:rsid w:val="00D97108"/>
    <w:rsid w:val="00DA2A7B"/>
    <w:rsid w:val="00DA5665"/>
    <w:rsid w:val="00DB00CD"/>
    <w:rsid w:val="00DB652F"/>
    <w:rsid w:val="00DC60B0"/>
    <w:rsid w:val="00DC7E1B"/>
    <w:rsid w:val="00DD1DDC"/>
    <w:rsid w:val="00DD5707"/>
    <w:rsid w:val="00DD7E7A"/>
    <w:rsid w:val="00DE6542"/>
    <w:rsid w:val="00DF39E3"/>
    <w:rsid w:val="00E033B7"/>
    <w:rsid w:val="00E04629"/>
    <w:rsid w:val="00E047AC"/>
    <w:rsid w:val="00E06976"/>
    <w:rsid w:val="00E06C2F"/>
    <w:rsid w:val="00E071E8"/>
    <w:rsid w:val="00E17971"/>
    <w:rsid w:val="00E24399"/>
    <w:rsid w:val="00E24C45"/>
    <w:rsid w:val="00E274C6"/>
    <w:rsid w:val="00E34647"/>
    <w:rsid w:val="00E41399"/>
    <w:rsid w:val="00E46988"/>
    <w:rsid w:val="00E63279"/>
    <w:rsid w:val="00E74BD5"/>
    <w:rsid w:val="00E7592A"/>
    <w:rsid w:val="00E7602D"/>
    <w:rsid w:val="00E76182"/>
    <w:rsid w:val="00E839DA"/>
    <w:rsid w:val="00E90B4F"/>
    <w:rsid w:val="00E915E3"/>
    <w:rsid w:val="00E94DA2"/>
    <w:rsid w:val="00E96D45"/>
    <w:rsid w:val="00E97B4B"/>
    <w:rsid w:val="00EA06F7"/>
    <w:rsid w:val="00EA626B"/>
    <w:rsid w:val="00EB17E1"/>
    <w:rsid w:val="00EB4197"/>
    <w:rsid w:val="00EB4756"/>
    <w:rsid w:val="00EB7BEC"/>
    <w:rsid w:val="00EC4AFD"/>
    <w:rsid w:val="00ED0067"/>
    <w:rsid w:val="00ED06E4"/>
    <w:rsid w:val="00EE2509"/>
    <w:rsid w:val="00EE3D03"/>
    <w:rsid w:val="00EE740D"/>
    <w:rsid w:val="00EF0154"/>
    <w:rsid w:val="00EF0E4A"/>
    <w:rsid w:val="00F010F9"/>
    <w:rsid w:val="00F13C5A"/>
    <w:rsid w:val="00F14BDB"/>
    <w:rsid w:val="00F16C1E"/>
    <w:rsid w:val="00F16D92"/>
    <w:rsid w:val="00F227B8"/>
    <w:rsid w:val="00F22AF2"/>
    <w:rsid w:val="00F2677A"/>
    <w:rsid w:val="00F27D29"/>
    <w:rsid w:val="00F27D31"/>
    <w:rsid w:val="00F4178E"/>
    <w:rsid w:val="00F424C9"/>
    <w:rsid w:val="00F603E3"/>
    <w:rsid w:val="00F604E8"/>
    <w:rsid w:val="00F66B41"/>
    <w:rsid w:val="00F82A0E"/>
    <w:rsid w:val="00F83789"/>
    <w:rsid w:val="00F84C0C"/>
    <w:rsid w:val="00F970FB"/>
    <w:rsid w:val="00FA5077"/>
    <w:rsid w:val="00FB39CB"/>
    <w:rsid w:val="00FB3EA0"/>
    <w:rsid w:val="00FB6F7F"/>
    <w:rsid w:val="00FC2254"/>
    <w:rsid w:val="00FC30DA"/>
    <w:rsid w:val="00FC64EE"/>
    <w:rsid w:val="00FF5E45"/>
    <w:rsid w:val="00FF79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311BAFB4"/>
  <w15:docId w15:val="{CAD021F0-0DD4-46E3-BED7-74D8D103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link w:val="Heading1Char"/>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895AC5"/>
    <w:pPr>
      <w:pBdr>
        <w:bottom w:val="single" w:sz="4" w:space="1" w:color="auto"/>
      </w:pBdr>
      <w:outlineLvl w:val="1"/>
    </w:pPr>
    <w:rPr>
      <w:bCs w:val="0"/>
      <w:iCs/>
      <w:szCs w:val="28"/>
    </w:rPr>
  </w:style>
  <w:style w:type="paragraph" w:styleId="Heading3">
    <w:name w:val="heading 3"/>
    <w:basedOn w:val="Heading2"/>
    <w:next w:val="Normal"/>
    <w:qFormat/>
    <w:rsid w:val="00580BC4"/>
    <w:pPr>
      <w:spacing w:before="100"/>
      <w:outlineLvl w:val="2"/>
    </w:pPr>
    <w:rPr>
      <w:bCs/>
      <w:szCs w:val="26"/>
    </w:rPr>
  </w:style>
  <w:style w:type="paragraph" w:styleId="Heading4">
    <w:name w:val="heading 4"/>
    <w:basedOn w:val="Heading3"/>
    <w:next w:val="Normal"/>
    <w:qFormat/>
    <w:rsid w:val="00580BC4"/>
    <w:pPr>
      <w:pBdr>
        <w:bottom w:val="none" w:sz="0" w:space="0" w:color="auto"/>
      </w:pBdr>
      <w:outlineLvl w:val="3"/>
    </w:pPr>
    <w:rPr>
      <w:bCs w:val="0"/>
      <w:sz w:val="18"/>
      <w:szCs w:val="28"/>
    </w:rPr>
  </w:style>
  <w:style w:type="paragraph" w:styleId="Heading5">
    <w:name w:val="heading 5"/>
    <w:basedOn w:val="Heading4"/>
    <w:next w:val="Normal"/>
    <w:qFormat/>
    <w:rsid w:val="00580BC4"/>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E24C45"/>
    <w:pPr>
      <w:tabs>
        <w:tab w:val="right" w:pos="9072"/>
      </w:tabs>
      <w:spacing w:after="60"/>
      <w:ind w:left="170" w:right="1134" w:hanging="170"/>
      <w:jc w:val="left"/>
    </w:p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rsid w:val="00580BC4"/>
    <w:pPr>
      <w:numPr>
        <w:numId w:val="1"/>
      </w:numPr>
      <w:spacing w:before="100" w:after="100"/>
    </w:pPr>
  </w:style>
  <w:style w:type="paragraph" w:customStyle="1" w:styleId="NumPlain2">
    <w:name w:val="Num Plain2"/>
    <w:basedOn w:val="NumPlain1"/>
    <w:uiPriority w:val="2"/>
    <w:qFormat/>
    <w:rsid w:val="00426876"/>
    <w:pPr>
      <w:numPr>
        <w:ilvl w:val="1"/>
      </w:numPr>
    </w:pPr>
  </w:style>
  <w:style w:type="paragraph" w:customStyle="1" w:styleId="NumPlain3">
    <w:name w:val="Num Plain3"/>
    <w:basedOn w:val="NumPlain2"/>
    <w:uiPriority w:val="2"/>
    <w:qFormat/>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F13C5A"/>
    <w:pPr>
      <w:spacing w:after="200"/>
    </w:p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uiPriority w:val="2"/>
    <w:rsid w:val="000812F8"/>
    <w:rPr>
      <w:sz w:val="19"/>
      <w:lang w:eastAsia="en-US"/>
    </w:rPr>
  </w:style>
  <w:style w:type="numbering" w:customStyle="1" w:styleId="BCNumbers">
    <w:name w:val="BC Numbers"/>
    <w:uiPriority w:val="99"/>
    <w:rsid w:val="00CB43B9"/>
    <w:pPr>
      <w:numPr>
        <w:numId w:val="12"/>
      </w:numPr>
    </w:pPr>
  </w:style>
  <w:style w:type="numbering" w:customStyle="1" w:styleId="NumPlainParas">
    <w:name w:val="NumPlainParas"/>
    <w:uiPriority w:val="99"/>
    <w:rsid w:val="00CB43B9"/>
    <w:pPr>
      <w:numPr>
        <w:numId w:val="13"/>
      </w:numPr>
    </w:pPr>
  </w:style>
  <w:style w:type="character" w:customStyle="1" w:styleId="Heading1Char">
    <w:name w:val="Heading 1 Char"/>
    <w:basedOn w:val="DefaultParagraphFont"/>
    <w:link w:val="Heading1"/>
    <w:rsid w:val="00CB43B9"/>
    <w:rPr>
      <w:rFonts w:ascii="Arial" w:hAnsi="Arial" w:cs="Arial"/>
      <w:b/>
      <w:bCs/>
      <w:sz w:val="26"/>
      <w:szCs w:val="32"/>
      <w:lang w:eastAsia="en-US"/>
    </w:rPr>
  </w:style>
  <w:style w:type="paragraph" w:customStyle="1" w:styleId="IASBNormalnpara">
    <w:name w:val="IASB Normal npara"/>
    <w:basedOn w:val="Normal"/>
    <w:rsid w:val="00CB43B9"/>
    <w:pPr>
      <w:spacing w:before="100"/>
      <w:ind w:left="782" w:hanging="782"/>
    </w:pPr>
    <w:rPr>
      <w:lang w:val="en-US"/>
    </w:rPr>
  </w:style>
  <w:style w:type="paragraph" w:customStyle="1" w:styleId="IASBNormalnparaL1">
    <w:name w:val="IASB Normal nparaL1"/>
    <w:basedOn w:val="IASBNormalnpara"/>
    <w:rsid w:val="00CB43B9"/>
    <w:pPr>
      <w:ind w:left="1564"/>
    </w:pPr>
  </w:style>
  <w:style w:type="character" w:customStyle="1" w:styleId="ui-provider">
    <w:name w:val="ui-provider"/>
    <w:basedOn w:val="DefaultParagraphFont"/>
    <w:rsid w:val="00CB43B9"/>
  </w:style>
  <w:style w:type="numbering" w:customStyle="1" w:styleId="Bullets1">
    <w:name w:val="Bullets1"/>
    <w:uiPriority w:val="99"/>
    <w:rsid w:val="00CB43B9"/>
  </w:style>
  <w:style w:type="numbering" w:customStyle="1" w:styleId="BCNumbers1">
    <w:name w:val="BC Numbers1"/>
    <w:uiPriority w:val="99"/>
    <w:rsid w:val="00CB43B9"/>
  </w:style>
  <w:style w:type="numbering" w:customStyle="1" w:styleId="NumPlainParas1">
    <w:name w:val="NumPlainParas1"/>
    <w:uiPriority w:val="99"/>
    <w:rsid w:val="00CB43B9"/>
  </w:style>
  <w:style w:type="character" w:styleId="CommentReference">
    <w:name w:val="annotation reference"/>
    <w:basedOn w:val="DefaultParagraphFont"/>
    <w:semiHidden/>
    <w:unhideWhenUsed/>
    <w:rsid w:val="00891961"/>
    <w:rPr>
      <w:sz w:val="16"/>
      <w:szCs w:val="16"/>
    </w:rPr>
  </w:style>
  <w:style w:type="paragraph" w:styleId="CommentText">
    <w:name w:val="annotation text"/>
    <w:basedOn w:val="Normal"/>
    <w:link w:val="CommentTextChar"/>
    <w:unhideWhenUsed/>
    <w:rsid w:val="00891961"/>
    <w:rPr>
      <w:sz w:val="20"/>
    </w:rPr>
  </w:style>
  <w:style w:type="character" w:customStyle="1" w:styleId="CommentTextChar">
    <w:name w:val="Comment Text Char"/>
    <w:basedOn w:val="DefaultParagraphFont"/>
    <w:link w:val="CommentText"/>
    <w:rsid w:val="00891961"/>
    <w:rPr>
      <w:lang w:eastAsia="en-US"/>
    </w:rPr>
  </w:style>
  <w:style w:type="paragraph" w:styleId="CommentSubject">
    <w:name w:val="annotation subject"/>
    <w:basedOn w:val="CommentText"/>
    <w:next w:val="CommentText"/>
    <w:link w:val="CommentSubjectChar"/>
    <w:semiHidden/>
    <w:unhideWhenUsed/>
    <w:rsid w:val="00891961"/>
    <w:rPr>
      <w:b/>
      <w:bCs/>
    </w:rPr>
  </w:style>
  <w:style w:type="character" w:customStyle="1" w:styleId="CommentSubjectChar">
    <w:name w:val="Comment Subject Char"/>
    <w:basedOn w:val="CommentTextChar"/>
    <w:link w:val="CommentSubject"/>
    <w:semiHidden/>
    <w:rsid w:val="00891961"/>
    <w:rPr>
      <w:b/>
      <w:bCs/>
      <w:lang w:eastAsia="en-US"/>
    </w:rPr>
  </w:style>
  <w:style w:type="paragraph" w:styleId="Revision">
    <w:name w:val="Revision"/>
    <w:hidden/>
    <w:uiPriority w:val="99"/>
    <w:semiHidden/>
    <w:rsid w:val="00891961"/>
    <w:rPr>
      <w:sz w:val="19"/>
      <w:lang w:eastAsia="en-US"/>
    </w:rPr>
  </w:style>
  <w:style w:type="character" w:customStyle="1" w:styleId="cf01">
    <w:name w:val="cf01"/>
    <w:basedOn w:val="DefaultParagraphFont"/>
    <w:rsid w:val="00513C30"/>
    <w:rPr>
      <w:rFonts w:ascii="Segoe UI" w:hAnsi="Segoe UI" w:cs="Segoe UI" w:hint="default"/>
      <w:sz w:val="18"/>
      <w:szCs w:val="18"/>
    </w:rPr>
  </w:style>
  <w:style w:type="character" w:styleId="UnresolvedMention">
    <w:name w:val="Unresolved Mention"/>
    <w:basedOn w:val="DefaultParagraphFont"/>
    <w:uiPriority w:val="99"/>
    <w:semiHidden/>
    <w:unhideWhenUsed/>
    <w:rsid w:val="0031501C"/>
    <w:rPr>
      <w:color w:val="605E5C"/>
      <w:shd w:val="clear" w:color="auto" w:fill="E1DFDD"/>
    </w:rPr>
  </w:style>
  <w:style w:type="paragraph" w:styleId="NormalWeb">
    <w:name w:val="Normal (Web)"/>
    <w:basedOn w:val="Normal"/>
    <w:uiPriority w:val="99"/>
    <w:semiHidden/>
    <w:unhideWhenUsed/>
    <w:rsid w:val="007362FC"/>
    <w:pPr>
      <w:spacing w:before="100" w:beforeAutospacing="1" w:after="100" w:afterAutospacing="1"/>
      <w:jc w:val="left"/>
    </w:pPr>
    <w:rPr>
      <w:sz w:val="24"/>
      <w:szCs w:val="24"/>
      <w:lang w:eastAsia="zh-CN"/>
    </w:rPr>
  </w:style>
  <w:style w:type="character" w:customStyle="1" w:styleId="normaltextrun">
    <w:name w:val="normaltextrun"/>
    <w:basedOn w:val="DefaultParagraphFont"/>
    <w:rsid w:val="00E0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52904">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ei\AUSTRALIAN%20ACCOUNTING%20STANDARDS%20-%20AUDITING%20AND%20ASSURANCE%20STANDARDS%20BOARD\OfficeTemplates%20-%20Documents\Templates\AmendingDomest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3C3C48A8EE405EAC3C06629E6F5BE3"/>
        <w:category>
          <w:name w:val="General"/>
          <w:gallery w:val="placeholder"/>
        </w:category>
        <w:types>
          <w:type w:val="bbPlcHdr"/>
        </w:types>
        <w:behaviors>
          <w:behavior w:val="content"/>
        </w:behaviors>
        <w:guid w:val="{875D0F61-59D5-43C4-9AB5-33067FBE793F}"/>
      </w:docPartPr>
      <w:docPartBody>
        <w:p w:rsidR="007D260B" w:rsidRDefault="000B298D" w:rsidP="000B298D">
          <w:pPr>
            <w:pStyle w:val="B63C3C48A8EE405EAC3C06629E6F5BE3"/>
          </w:pPr>
          <w:r w:rsidRPr="006C3F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8D"/>
    <w:rsid w:val="000B298D"/>
    <w:rsid w:val="001474B6"/>
    <w:rsid w:val="001B065E"/>
    <w:rsid w:val="001D1F6E"/>
    <w:rsid w:val="0023252E"/>
    <w:rsid w:val="00373D61"/>
    <w:rsid w:val="004464E9"/>
    <w:rsid w:val="004E0D58"/>
    <w:rsid w:val="004F147E"/>
    <w:rsid w:val="00531F1F"/>
    <w:rsid w:val="005C3CB7"/>
    <w:rsid w:val="006220C2"/>
    <w:rsid w:val="006C0BB7"/>
    <w:rsid w:val="007B4D80"/>
    <w:rsid w:val="007D260B"/>
    <w:rsid w:val="00815BE9"/>
    <w:rsid w:val="008801F6"/>
    <w:rsid w:val="008C3B70"/>
    <w:rsid w:val="009A4233"/>
    <w:rsid w:val="009B5F44"/>
    <w:rsid w:val="009D749C"/>
    <w:rsid w:val="00A27600"/>
    <w:rsid w:val="00AE6A7A"/>
    <w:rsid w:val="00AE7B45"/>
    <w:rsid w:val="00B13DA0"/>
    <w:rsid w:val="00B178DB"/>
    <w:rsid w:val="00B47DB6"/>
    <w:rsid w:val="00BC36E5"/>
    <w:rsid w:val="00C11C43"/>
    <w:rsid w:val="00C9510B"/>
    <w:rsid w:val="00CA4F73"/>
    <w:rsid w:val="00CB1257"/>
    <w:rsid w:val="00CD3C0C"/>
    <w:rsid w:val="00D41F8C"/>
    <w:rsid w:val="00D67055"/>
    <w:rsid w:val="00D921BC"/>
    <w:rsid w:val="00D97108"/>
    <w:rsid w:val="00E34647"/>
    <w:rsid w:val="00E826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98D"/>
    <w:rPr>
      <w:color w:val="808080"/>
    </w:rPr>
  </w:style>
  <w:style w:type="paragraph" w:customStyle="1" w:styleId="B63C3C48A8EE405EAC3C06629E6F5BE3">
    <w:name w:val="B63C3C48A8EE405EAC3C06629E6F5BE3"/>
    <w:rsid w:val="000B2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E3FA8-855B-40E6-A5E4-9AC2D2A3EE0F}">
  <ds:schemaRefs>
    <ds:schemaRef ds:uri="http://schemas.microsoft.com/sharepoint/v3/contenttype/forms"/>
  </ds:schemaRefs>
</ds:datastoreItem>
</file>

<file path=customXml/itemProps2.xml><?xml version="1.0" encoding="utf-8"?>
<ds:datastoreItem xmlns:ds="http://schemas.openxmlformats.org/officeDocument/2006/customXml" ds:itemID="{121E7655-1301-41FC-A10F-144670E9BC2A}">
  <ds:schemaRefs>
    <ds:schemaRef ds:uri="http://schemas.openxmlformats.org/officeDocument/2006/bibliography"/>
  </ds:schemaRefs>
</ds:datastoreItem>
</file>

<file path=customXml/itemProps3.xml><?xml version="1.0" encoding="utf-8"?>
<ds:datastoreItem xmlns:ds="http://schemas.openxmlformats.org/officeDocument/2006/customXml" ds:itemID="{20BB5A17-2880-49D8-A1CD-06B8FFFE824B}">
  <ds:schemaRefs>
    <ds:schemaRef ds:uri="http://schemas.microsoft.com/office/infopath/2007/PartnerControls"/>
    <ds:schemaRef ds:uri="http://purl.org/dc/terms/"/>
    <ds:schemaRef ds:uri="http://schemas.microsoft.com/office/2006/metadata/properties"/>
    <ds:schemaRef ds:uri="4e2d1ddd-4ff2-4144-ad72-d941cc701c35"/>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0BE3A0C-49D7-440B-84EE-CE778CE7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AmendingDomestic</Template>
  <TotalTime>1630</TotalTime>
  <Pages>9</Pages>
  <Words>2326</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AASB2025-2_03-25</vt:lpstr>
    </vt:vector>
  </TitlesOfParts>
  <Company>Australian Accounting Standards Board</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AASB2025-2_03-25</dc:title>
  <dc:subject/>
  <dc:creator>.</dc:creator>
  <cp:keywords/>
  <dc:description/>
  <cp:lastModifiedBy>Jia Wei</cp:lastModifiedBy>
  <cp:revision>175</cp:revision>
  <cp:lastPrinted>2025-02-20T19:51:00Z</cp:lastPrinted>
  <dcterms:created xsi:type="dcterms:W3CDTF">2025-01-29T13:46:00Z</dcterms:created>
  <dcterms:modified xsi:type="dcterms:W3CDTF">2025-03-13T22:16:00Z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SecurityClassification">
    <vt:lpwstr>Official</vt:lpwstr>
  </property>
</Properties>
</file>