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C9F24" w14:textId="4CE3833A" w:rsidR="001B5300" w:rsidRPr="00AB60AF" w:rsidRDefault="001B5300" w:rsidP="00C10EBA">
      <w:pPr>
        <w:widowControl w:val="0"/>
        <w:pBdr>
          <w:top w:val="single" w:sz="6" w:space="5" w:color="auto"/>
          <w:bottom w:val="single" w:sz="4" w:space="8" w:color="auto"/>
        </w:pBdr>
        <w:tabs>
          <w:tab w:val="left" w:pos="9072"/>
        </w:tabs>
        <w:autoSpaceDE w:val="0"/>
        <w:autoSpaceDN w:val="0"/>
        <w:adjustRightInd w:val="0"/>
        <w:ind w:right="284"/>
        <w:rPr>
          <w:rFonts w:ascii="Arial Black" w:hAnsi="Arial Black"/>
          <w:sz w:val="28"/>
          <w:szCs w:val="28"/>
        </w:rPr>
      </w:pPr>
      <w:r w:rsidRPr="00AB60AF">
        <w:rPr>
          <w:rFonts w:ascii="Arial Black" w:hAnsi="Arial Black"/>
          <w:sz w:val="28"/>
          <w:szCs w:val="28"/>
        </w:rPr>
        <w:t xml:space="preserve">Explanatory Statement: </w:t>
      </w:r>
      <w:r>
        <w:rPr>
          <w:rFonts w:ascii="Arial Black" w:hAnsi="Arial Black"/>
          <w:sz w:val="28"/>
          <w:szCs w:val="28"/>
        </w:rPr>
        <w:t>Remuneration Tribunal (</w:t>
      </w:r>
      <w:r>
        <w:rPr>
          <w:rFonts w:ascii="Arial Black"/>
          <w:sz w:val="28"/>
        </w:rPr>
        <w:t>Members of Parliament</w:t>
      </w:r>
      <w:r>
        <w:rPr>
          <w:rFonts w:ascii="Arial Black" w:hAnsi="Arial Black"/>
          <w:sz w:val="28"/>
          <w:szCs w:val="28"/>
        </w:rPr>
        <w:t xml:space="preserve">) </w:t>
      </w:r>
      <w:r w:rsidR="00C10EBA">
        <w:rPr>
          <w:rFonts w:ascii="Arial Black" w:hAnsi="Arial Black"/>
          <w:sz w:val="28"/>
          <w:szCs w:val="28"/>
        </w:rPr>
        <w:t xml:space="preserve">Amendment </w:t>
      </w:r>
      <w:r w:rsidRPr="00660EE1">
        <w:rPr>
          <w:rFonts w:ascii="Arial Black" w:hAnsi="Arial Black"/>
          <w:sz w:val="28"/>
          <w:szCs w:val="28"/>
        </w:rPr>
        <w:t>Determination</w:t>
      </w:r>
      <w:r>
        <w:rPr>
          <w:rFonts w:ascii="Arial Black" w:hAnsi="Arial Black"/>
          <w:sz w:val="28"/>
          <w:szCs w:val="28"/>
        </w:rPr>
        <w:t xml:space="preserve"> (No.</w:t>
      </w:r>
      <w:r w:rsidR="00CD4DCE">
        <w:rPr>
          <w:rFonts w:ascii="Arial Black" w:hAnsi="Arial Black"/>
          <w:sz w:val="28"/>
          <w:szCs w:val="28"/>
        </w:rPr>
        <w:t>1</w:t>
      </w:r>
      <w:r>
        <w:rPr>
          <w:rFonts w:ascii="Arial Black" w:hAnsi="Arial Black"/>
          <w:sz w:val="28"/>
          <w:szCs w:val="28"/>
        </w:rPr>
        <w:t>)</w:t>
      </w:r>
      <w:r w:rsidRPr="00660EE1">
        <w:rPr>
          <w:rFonts w:ascii="Arial Black" w:hAnsi="Arial Black"/>
          <w:sz w:val="28"/>
          <w:szCs w:val="28"/>
        </w:rPr>
        <w:t xml:space="preserve"> </w:t>
      </w:r>
      <w:r w:rsidRPr="00471714">
        <w:rPr>
          <w:rFonts w:ascii="Arial Black" w:hAnsi="Arial Black"/>
          <w:sz w:val="28"/>
          <w:szCs w:val="28"/>
        </w:rPr>
        <w:t>20</w:t>
      </w:r>
      <w:r>
        <w:rPr>
          <w:rFonts w:ascii="Arial Black" w:hAnsi="Arial Black"/>
          <w:sz w:val="28"/>
          <w:szCs w:val="28"/>
        </w:rPr>
        <w:t>2</w:t>
      </w:r>
      <w:r w:rsidR="00CD4DCE">
        <w:rPr>
          <w:rFonts w:ascii="Arial Black" w:hAnsi="Arial Black"/>
          <w:sz w:val="28"/>
          <w:szCs w:val="28"/>
        </w:rPr>
        <w:t>5</w:t>
      </w:r>
    </w:p>
    <w:p w14:paraId="51C226DB" w14:textId="1CA53787" w:rsidR="001B5300" w:rsidRPr="001B5300" w:rsidRDefault="001B5300" w:rsidP="000A6903">
      <w:pPr>
        <w:widowControl w:val="0"/>
        <w:numPr>
          <w:ilvl w:val="0"/>
          <w:numId w:val="4"/>
        </w:numPr>
        <w:tabs>
          <w:tab w:val="left" w:pos="564"/>
          <w:tab w:val="left" w:pos="565"/>
        </w:tabs>
        <w:autoSpaceDE w:val="0"/>
        <w:autoSpaceDN w:val="0"/>
        <w:spacing w:before="120" w:after="120"/>
        <w:ind w:hanging="427"/>
        <w:rPr>
          <w:rFonts w:ascii="Verdana" w:eastAsia="Verdana" w:hAnsi="Verdana" w:cs="Verdana"/>
          <w:sz w:val="22"/>
          <w:szCs w:val="22"/>
          <w:lang w:eastAsia="en-AU" w:bidi="en-AU"/>
        </w:rPr>
      </w:pP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 xml:space="preserve">The determination is made under the </w:t>
      </w:r>
      <w:r w:rsidRPr="001B5300">
        <w:rPr>
          <w:rFonts w:ascii="Verdana" w:eastAsia="Verdana" w:hAnsi="Verdana" w:cs="Verdana"/>
          <w:i/>
          <w:sz w:val="22"/>
          <w:szCs w:val="22"/>
          <w:lang w:eastAsia="en-AU" w:bidi="en-AU"/>
        </w:rPr>
        <w:t xml:space="preserve">Parliamentary Business Resources Act 2017 </w:t>
      </w: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>(the PBR Act). Sections 45</w:t>
      </w:r>
      <w:r w:rsidR="00C10EBA">
        <w:rPr>
          <w:rFonts w:ascii="Verdana" w:eastAsia="Verdana" w:hAnsi="Verdana" w:cs="Verdana"/>
          <w:sz w:val="22"/>
          <w:szCs w:val="22"/>
          <w:lang w:eastAsia="en-AU" w:bidi="en-AU"/>
        </w:rPr>
        <w:t>, 46</w:t>
      </w: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 xml:space="preserve"> and</w:t>
      </w:r>
      <w:r w:rsidRPr="001B5300">
        <w:rPr>
          <w:rFonts w:ascii="Verdana" w:eastAsia="Verdana" w:hAnsi="Verdana" w:cs="Verdana"/>
          <w:spacing w:val="-14"/>
          <w:sz w:val="22"/>
          <w:szCs w:val="22"/>
          <w:lang w:eastAsia="en-AU" w:bidi="en-AU"/>
        </w:rPr>
        <w:t xml:space="preserve"> </w:t>
      </w: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>46</w:t>
      </w:r>
      <w:r w:rsidR="00C10EBA">
        <w:rPr>
          <w:rFonts w:ascii="Verdana" w:eastAsia="Verdana" w:hAnsi="Verdana" w:cs="Verdana"/>
          <w:sz w:val="22"/>
          <w:szCs w:val="22"/>
          <w:lang w:eastAsia="en-AU" w:bidi="en-AU"/>
        </w:rPr>
        <w:t>A</w:t>
      </w: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 xml:space="preserve"> of the PBR Act require the Tribunal to make determinations in relation to various matters for members, and former members, of the Parliament at least once each year.</w:t>
      </w:r>
    </w:p>
    <w:p w14:paraId="2059864A" w14:textId="77777777" w:rsidR="001B5300" w:rsidRPr="001B5300" w:rsidRDefault="001B5300" w:rsidP="000A6903">
      <w:pPr>
        <w:widowControl w:val="0"/>
        <w:numPr>
          <w:ilvl w:val="0"/>
          <w:numId w:val="4"/>
        </w:numPr>
        <w:tabs>
          <w:tab w:val="left" w:pos="564"/>
          <w:tab w:val="left" w:pos="565"/>
        </w:tabs>
        <w:autoSpaceDE w:val="0"/>
        <w:autoSpaceDN w:val="0"/>
        <w:spacing w:before="120" w:after="120"/>
        <w:ind w:hanging="427"/>
        <w:rPr>
          <w:rFonts w:ascii="Verdana" w:eastAsia="Verdana" w:hAnsi="Verdana" w:cs="Verdana"/>
          <w:sz w:val="22"/>
          <w:szCs w:val="22"/>
          <w:lang w:eastAsia="en-AU" w:bidi="en-AU"/>
        </w:rPr>
      </w:pP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>The Tribunal must determine the remuneration to be paid to members, the rates of travel allowances for domestic travel, and the allowances and expenses to be paid to former members</w:t>
      </w:r>
      <w:r w:rsidR="00252266">
        <w:rPr>
          <w:rFonts w:ascii="Verdana" w:eastAsia="Verdana" w:hAnsi="Verdana" w:cs="Verdana"/>
          <w:sz w:val="22"/>
          <w:szCs w:val="22"/>
          <w:lang w:eastAsia="en-AU" w:bidi="en-AU"/>
        </w:rPr>
        <w:t xml:space="preserve">, and the allowances to be paid to the estate of </w:t>
      </w:r>
      <w:r w:rsidR="000564D6">
        <w:rPr>
          <w:rFonts w:ascii="Verdana" w:eastAsia="Verdana" w:hAnsi="Verdana" w:cs="Verdana"/>
          <w:sz w:val="22"/>
          <w:szCs w:val="22"/>
          <w:lang w:eastAsia="en-AU" w:bidi="en-AU"/>
        </w:rPr>
        <w:t xml:space="preserve">a </w:t>
      </w:r>
      <w:r w:rsidR="00252266">
        <w:rPr>
          <w:rFonts w:ascii="Verdana" w:eastAsia="Verdana" w:hAnsi="Verdana" w:cs="Verdana"/>
          <w:sz w:val="22"/>
          <w:szCs w:val="22"/>
          <w:lang w:eastAsia="en-AU" w:bidi="en-AU"/>
        </w:rPr>
        <w:t>member who die</w:t>
      </w:r>
      <w:r w:rsidR="000564D6">
        <w:rPr>
          <w:rFonts w:ascii="Verdana" w:eastAsia="Verdana" w:hAnsi="Verdana" w:cs="Verdana"/>
          <w:sz w:val="22"/>
          <w:szCs w:val="22"/>
          <w:lang w:eastAsia="en-AU" w:bidi="en-AU"/>
        </w:rPr>
        <w:t>s</w:t>
      </w:r>
      <w:r w:rsidR="00252266">
        <w:rPr>
          <w:rFonts w:ascii="Verdana" w:eastAsia="Verdana" w:hAnsi="Verdana" w:cs="Verdana"/>
          <w:sz w:val="22"/>
          <w:szCs w:val="22"/>
          <w:lang w:eastAsia="en-AU" w:bidi="en-AU"/>
        </w:rPr>
        <w:t xml:space="preserve"> in office</w:t>
      </w: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>. The Tribunal must publish its reasons for making a</w:t>
      </w:r>
      <w:r w:rsidRPr="001B5300">
        <w:rPr>
          <w:rFonts w:ascii="Verdana" w:eastAsia="Verdana" w:hAnsi="Verdana" w:cs="Verdana"/>
          <w:spacing w:val="-4"/>
          <w:sz w:val="22"/>
          <w:szCs w:val="22"/>
          <w:lang w:eastAsia="en-AU" w:bidi="en-AU"/>
        </w:rPr>
        <w:t xml:space="preserve"> </w:t>
      </w: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>determination.</w:t>
      </w:r>
    </w:p>
    <w:p w14:paraId="2581797C" w14:textId="01C66C26" w:rsidR="001B5300" w:rsidRPr="001B5300" w:rsidRDefault="001B5300" w:rsidP="000A6903">
      <w:pPr>
        <w:widowControl w:val="0"/>
        <w:numPr>
          <w:ilvl w:val="0"/>
          <w:numId w:val="4"/>
        </w:numPr>
        <w:tabs>
          <w:tab w:val="left" w:pos="564"/>
          <w:tab w:val="left" w:pos="565"/>
        </w:tabs>
        <w:autoSpaceDE w:val="0"/>
        <w:autoSpaceDN w:val="0"/>
        <w:spacing w:before="120" w:after="120"/>
        <w:ind w:left="561" w:hanging="425"/>
        <w:rPr>
          <w:rFonts w:ascii="Verdana" w:eastAsia="Verdana" w:hAnsi="Verdana" w:cs="Verdana"/>
          <w:sz w:val="22"/>
          <w:szCs w:val="22"/>
          <w:lang w:eastAsia="en-AU" w:bidi="en-AU"/>
        </w:rPr>
      </w:pP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 xml:space="preserve">The Tribunal also has functions under section 35 of the PBR Act relating to travel expenses, travel and </w:t>
      </w:r>
      <w:r w:rsidR="000564D6">
        <w:rPr>
          <w:rFonts w:ascii="Verdana" w:eastAsia="Verdana" w:hAnsi="Verdana" w:cs="Verdana"/>
          <w:sz w:val="22"/>
          <w:szCs w:val="22"/>
          <w:lang w:eastAsia="en-AU" w:bidi="en-AU"/>
        </w:rPr>
        <w:t>private</w:t>
      </w:r>
      <w:r w:rsidR="000564D6" w:rsidRPr="001B5300">
        <w:rPr>
          <w:rFonts w:ascii="Verdana" w:eastAsia="Verdana" w:hAnsi="Verdana" w:cs="Verdana"/>
          <w:sz w:val="22"/>
          <w:szCs w:val="22"/>
          <w:lang w:eastAsia="en-AU" w:bidi="en-AU"/>
        </w:rPr>
        <w:t xml:space="preserve"> </w:t>
      </w: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 xml:space="preserve">vehicle allowances and other public resources. The Tribunal must inquire annually into travel expenses and travel allowances for domestic travel (except travel </w:t>
      </w:r>
      <w:r w:rsidR="00BD1511">
        <w:rPr>
          <w:rFonts w:ascii="Verdana" w:eastAsia="Verdana" w:hAnsi="Verdana" w:cs="Verdana"/>
          <w:sz w:val="22"/>
          <w:szCs w:val="22"/>
          <w:lang w:eastAsia="en-AU" w:bidi="en-AU"/>
        </w:rPr>
        <w:t>on a special purpose aircraft</w:t>
      </w:r>
      <w:r w:rsidR="759816A5" w:rsidRPr="001B5300">
        <w:rPr>
          <w:rFonts w:ascii="Verdana" w:eastAsia="Verdana" w:hAnsi="Verdana" w:cs="Verdana"/>
          <w:sz w:val="22"/>
          <w:szCs w:val="22"/>
          <w:lang w:eastAsia="en-AU" w:bidi="en-AU"/>
        </w:rPr>
        <w:t>) and</w:t>
      </w: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 xml:space="preserve"> may be asked by the Special Minister of State to inquire into other matters. Regulations must be made or amended</w:t>
      </w:r>
      <w:r w:rsidRPr="001B5300">
        <w:rPr>
          <w:rFonts w:ascii="Verdana" w:eastAsia="Verdana" w:hAnsi="Verdana" w:cs="Verdana"/>
          <w:spacing w:val="-18"/>
          <w:sz w:val="22"/>
          <w:szCs w:val="22"/>
          <w:lang w:eastAsia="en-AU" w:bidi="en-AU"/>
        </w:rPr>
        <w:t xml:space="preserve"> </w:t>
      </w: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>in accordance with the Tribunal’s recommendations.</w:t>
      </w:r>
    </w:p>
    <w:p w14:paraId="731E5127" w14:textId="77777777" w:rsidR="001B5300" w:rsidRPr="001B5300" w:rsidRDefault="001B5300" w:rsidP="000A6903">
      <w:pPr>
        <w:widowControl w:val="0"/>
        <w:autoSpaceDE w:val="0"/>
        <w:autoSpaceDN w:val="0"/>
        <w:spacing w:before="120" w:after="120"/>
        <w:ind w:right="138"/>
        <w:outlineLvl w:val="0"/>
        <w:rPr>
          <w:rFonts w:ascii="Verdana" w:eastAsia="Verdana" w:hAnsi="Verdana" w:cs="Verdana"/>
          <w:b/>
          <w:bCs/>
          <w:sz w:val="22"/>
          <w:szCs w:val="22"/>
          <w:lang w:eastAsia="en-AU" w:bidi="en-AU"/>
        </w:rPr>
      </w:pPr>
      <w:r w:rsidRPr="001B5300">
        <w:rPr>
          <w:rFonts w:ascii="Verdana" w:eastAsia="Verdana" w:hAnsi="Verdana" w:cs="Verdana"/>
          <w:b/>
          <w:bCs/>
          <w:sz w:val="22"/>
          <w:szCs w:val="22"/>
          <w:lang w:eastAsia="en-AU" w:bidi="en-AU"/>
        </w:rPr>
        <w:t>Consultation</w:t>
      </w:r>
      <w:bookmarkStart w:id="0" w:name="_GoBack"/>
      <w:bookmarkEnd w:id="0"/>
    </w:p>
    <w:p w14:paraId="269DBE1C" w14:textId="00404DEF" w:rsidR="000A6903" w:rsidRPr="00BC7B34" w:rsidRDefault="00CD4DCE" w:rsidP="000A6903">
      <w:pPr>
        <w:spacing w:before="120" w:after="120" w:line="276" w:lineRule="auto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Resettlement</w:t>
      </w:r>
      <w:r w:rsidR="000A6903" w:rsidRPr="00BC7B34">
        <w:rPr>
          <w:rFonts w:ascii="Verdana" w:hAnsi="Verdana"/>
          <w:i/>
          <w:sz w:val="22"/>
          <w:szCs w:val="22"/>
        </w:rPr>
        <w:t xml:space="preserve"> allowance</w:t>
      </w:r>
    </w:p>
    <w:p w14:paraId="6299DA1E" w14:textId="240CDBB2" w:rsidR="00CD4DCE" w:rsidRDefault="000A6903" w:rsidP="0903656A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Verdana" w:hAnsi="Verdana"/>
          <w:sz w:val="22"/>
          <w:szCs w:val="22"/>
        </w:rPr>
      </w:pPr>
      <w:r w:rsidRPr="736F462A">
        <w:rPr>
          <w:rFonts w:ascii="Verdana" w:hAnsi="Verdana"/>
          <w:sz w:val="22"/>
          <w:szCs w:val="22"/>
        </w:rPr>
        <w:t xml:space="preserve">On </w:t>
      </w:r>
      <w:r w:rsidR="00CD4DCE" w:rsidRPr="736F462A">
        <w:rPr>
          <w:rFonts w:ascii="Verdana" w:hAnsi="Verdana"/>
          <w:sz w:val="22"/>
          <w:szCs w:val="22"/>
        </w:rPr>
        <w:t>27 February 2025</w:t>
      </w:r>
      <w:r w:rsidRPr="736F462A">
        <w:rPr>
          <w:rFonts w:ascii="Verdana" w:hAnsi="Verdana"/>
          <w:sz w:val="22"/>
          <w:szCs w:val="22"/>
        </w:rPr>
        <w:t xml:space="preserve">, Senator the Hon Don Farrell, Special Minister of State, </w:t>
      </w:r>
      <w:r w:rsidR="00CD4DCE" w:rsidRPr="736F462A">
        <w:rPr>
          <w:rFonts w:ascii="Verdana" w:hAnsi="Verdana"/>
          <w:sz w:val="22"/>
          <w:szCs w:val="22"/>
        </w:rPr>
        <w:t xml:space="preserve">wrote to the </w:t>
      </w:r>
      <w:r w:rsidRPr="736F462A">
        <w:rPr>
          <w:rFonts w:ascii="Verdana" w:hAnsi="Verdana"/>
          <w:sz w:val="22"/>
          <w:szCs w:val="22"/>
        </w:rPr>
        <w:t>Tribunal</w:t>
      </w:r>
      <w:r w:rsidR="00CD4DCE" w:rsidRPr="736F462A">
        <w:rPr>
          <w:rFonts w:ascii="Verdana" w:hAnsi="Verdana"/>
          <w:sz w:val="22"/>
          <w:szCs w:val="22"/>
        </w:rPr>
        <w:t xml:space="preserve"> </w:t>
      </w:r>
      <w:r w:rsidR="247382F4" w:rsidRPr="736F462A">
        <w:rPr>
          <w:rFonts w:ascii="Verdana" w:hAnsi="Verdana"/>
          <w:sz w:val="22"/>
          <w:szCs w:val="22"/>
        </w:rPr>
        <w:t xml:space="preserve">asking it to consider extending </w:t>
      </w:r>
      <w:r w:rsidR="00CD4DCE" w:rsidRPr="736F462A">
        <w:rPr>
          <w:rFonts w:ascii="Verdana" w:hAnsi="Verdana"/>
          <w:sz w:val="22"/>
          <w:szCs w:val="22"/>
        </w:rPr>
        <w:t>eligibility for resettlement allowance to include circumstances where an</w:t>
      </w:r>
      <w:r w:rsidR="00875943" w:rsidRPr="736F462A">
        <w:rPr>
          <w:rFonts w:ascii="Verdana" w:hAnsi="Verdana"/>
          <w:sz w:val="22"/>
          <w:szCs w:val="22"/>
        </w:rPr>
        <w:t xml:space="preserve"> Australian Electoral Commission redistribution of electoral divisions results in the abolition of an electorate</w:t>
      </w:r>
      <w:r w:rsidR="71D1AB07" w:rsidRPr="736F462A">
        <w:rPr>
          <w:rFonts w:ascii="Verdana" w:hAnsi="Verdana"/>
          <w:sz w:val="22"/>
          <w:szCs w:val="22"/>
        </w:rPr>
        <w:t>.</w:t>
      </w:r>
    </w:p>
    <w:p w14:paraId="69DD8F6D" w14:textId="65E1EF55" w:rsidR="00741FAE" w:rsidRPr="00741FAE" w:rsidRDefault="00C13E2B" w:rsidP="000A6903">
      <w:pPr>
        <w:widowControl w:val="0"/>
        <w:numPr>
          <w:ilvl w:val="0"/>
          <w:numId w:val="4"/>
        </w:numPr>
        <w:tabs>
          <w:tab w:val="left" w:pos="564"/>
          <w:tab w:val="left" w:pos="565"/>
        </w:tabs>
        <w:autoSpaceDE w:val="0"/>
        <w:autoSpaceDN w:val="0"/>
        <w:spacing w:before="120" w:after="120" w:line="276" w:lineRule="auto"/>
        <w:ind w:left="561" w:right="136" w:hanging="425"/>
        <w:rPr>
          <w:rFonts w:ascii="Verdana" w:eastAsia="Verdana" w:hAnsi="Verdana" w:cs="Verdana"/>
          <w:sz w:val="22"/>
          <w:szCs w:val="22"/>
          <w:lang w:eastAsia="en-AU" w:bidi="en-AU"/>
        </w:rPr>
      </w:pPr>
      <w:r w:rsidRPr="736F462A">
        <w:rPr>
          <w:rFonts w:ascii="Verdana" w:eastAsia="Verdana" w:hAnsi="Verdana" w:cs="Verdana"/>
          <w:sz w:val="22"/>
          <w:szCs w:val="22"/>
          <w:lang w:eastAsia="en-AU" w:bidi="en-AU"/>
        </w:rPr>
        <w:t xml:space="preserve">The Tribunal’s Reasons for Determination are available at </w:t>
      </w:r>
      <w:r w:rsidRPr="00AA6AAA">
        <w:rPr>
          <w:rFonts w:ascii="Verdana" w:eastAsia="Verdana" w:hAnsi="Verdana" w:cs="Verdana"/>
          <w:sz w:val="22"/>
          <w:szCs w:val="22"/>
          <w:lang w:eastAsia="en-AU" w:bidi="en-AU"/>
        </w:rPr>
        <w:t>www.remtribunal.gov.au</w:t>
      </w:r>
      <w:r w:rsidRPr="736F462A">
        <w:rPr>
          <w:rFonts w:ascii="Verdana" w:eastAsia="Verdana" w:hAnsi="Verdana" w:cs="Verdana"/>
          <w:sz w:val="22"/>
          <w:szCs w:val="22"/>
          <w:lang w:eastAsia="en-AU" w:bidi="en-AU"/>
        </w:rPr>
        <w:t>.</w:t>
      </w:r>
    </w:p>
    <w:p w14:paraId="62BCB727" w14:textId="77777777" w:rsidR="001B5300" w:rsidRPr="001B5300" w:rsidRDefault="001B5300" w:rsidP="00C10EBA">
      <w:pPr>
        <w:widowControl w:val="0"/>
        <w:autoSpaceDE w:val="0"/>
        <w:autoSpaceDN w:val="0"/>
        <w:spacing w:before="120" w:after="120"/>
        <w:ind w:left="137"/>
        <w:outlineLvl w:val="0"/>
        <w:rPr>
          <w:rFonts w:ascii="Verdana" w:eastAsia="Verdana" w:hAnsi="Verdana" w:cs="Verdana"/>
          <w:b/>
          <w:bCs/>
          <w:sz w:val="22"/>
          <w:szCs w:val="22"/>
          <w:lang w:eastAsia="en-AU" w:bidi="en-AU"/>
        </w:rPr>
      </w:pPr>
      <w:r w:rsidRPr="001B5300">
        <w:rPr>
          <w:rFonts w:ascii="Verdana" w:eastAsia="Verdana" w:hAnsi="Verdana" w:cs="Verdana"/>
          <w:b/>
          <w:bCs/>
          <w:sz w:val="22"/>
          <w:szCs w:val="22"/>
          <w:lang w:eastAsia="en-AU" w:bidi="en-AU"/>
        </w:rPr>
        <w:t>Exemption from disallowance</w:t>
      </w:r>
    </w:p>
    <w:p w14:paraId="7CCB4654" w14:textId="77777777" w:rsidR="001B5300" w:rsidRPr="001B5300" w:rsidRDefault="001B5300" w:rsidP="000A6903">
      <w:pPr>
        <w:widowControl w:val="0"/>
        <w:numPr>
          <w:ilvl w:val="0"/>
          <w:numId w:val="4"/>
        </w:numPr>
        <w:autoSpaceDE w:val="0"/>
        <w:autoSpaceDN w:val="0"/>
        <w:spacing w:before="120" w:after="120" w:line="276" w:lineRule="auto"/>
        <w:ind w:left="561" w:hanging="425"/>
        <w:rPr>
          <w:rFonts w:ascii="Verdana" w:hAnsi="Verdana"/>
          <w:color w:val="000000"/>
          <w:sz w:val="22"/>
          <w:szCs w:val="24"/>
          <w:lang w:eastAsia="en-AU"/>
        </w:rPr>
      </w:pPr>
      <w:r w:rsidRPr="001B5300">
        <w:rPr>
          <w:rFonts w:ascii="Verdana" w:hAnsi="Verdana"/>
          <w:sz w:val="22"/>
          <w:szCs w:val="24"/>
          <w:lang w:eastAsia="en-AU"/>
        </w:rPr>
        <w:t>Subsection 47(7) of the PBR Act provides that t</w:t>
      </w:r>
      <w:r w:rsidRPr="001B5300">
        <w:rPr>
          <w:rFonts w:ascii="Verdana" w:hAnsi="Verdana"/>
          <w:color w:val="000000"/>
          <w:sz w:val="22"/>
          <w:szCs w:val="24"/>
          <w:shd w:val="clear" w:color="auto" w:fill="FFFFFF"/>
          <w:lang w:eastAsia="en-AU"/>
        </w:rPr>
        <w:t>his determination is a legislative instrument, but section 42 (disallowance) of the </w:t>
      </w:r>
      <w:r w:rsidRPr="001B5300">
        <w:rPr>
          <w:rFonts w:ascii="Verdana" w:hAnsi="Verdana"/>
          <w:i/>
          <w:iCs/>
          <w:color w:val="000000"/>
          <w:sz w:val="22"/>
          <w:szCs w:val="24"/>
          <w:shd w:val="clear" w:color="auto" w:fill="FFFFFF"/>
          <w:lang w:eastAsia="en-AU"/>
        </w:rPr>
        <w:t>Legislation Act 2003</w:t>
      </w:r>
      <w:r w:rsidRPr="001B5300">
        <w:rPr>
          <w:rFonts w:ascii="Verdana" w:hAnsi="Verdana"/>
          <w:iCs/>
          <w:color w:val="000000"/>
          <w:sz w:val="22"/>
          <w:szCs w:val="24"/>
          <w:shd w:val="clear" w:color="auto" w:fill="FFFFFF"/>
          <w:lang w:eastAsia="en-AU"/>
        </w:rPr>
        <w:t xml:space="preserve"> </w:t>
      </w:r>
      <w:r w:rsidRPr="001B5300">
        <w:rPr>
          <w:rFonts w:ascii="Verdana" w:hAnsi="Verdana"/>
          <w:color w:val="000000"/>
          <w:sz w:val="22"/>
          <w:szCs w:val="24"/>
          <w:shd w:val="clear" w:color="auto" w:fill="FFFFFF"/>
          <w:lang w:eastAsia="en-AU"/>
        </w:rPr>
        <w:t xml:space="preserve">does not apply to it. </w:t>
      </w:r>
    </w:p>
    <w:p w14:paraId="1D560BB0" w14:textId="1E135FC4" w:rsidR="001B5300" w:rsidRPr="001B5300" w:rsidRDefault="001B5300" w:rsidP="000A6903">
      <w:pPr>
        <w:widowControl w:val="0"/>
        <w:numPr>
          <w:ilvl w:val="0"/>
          <w:numId w:val="4"/>
        </w:numPr>
        <w:autoSpaceDE w:val="0"/>
        <w:autoSpaceDN w:val="0"/>
        <w:spacing w:before="120" w:after="120" w:line="276" w:lineRule="auto"/>
        <w:ind w:left="561" w:hanging="425"/>
        <w:rPr>
          <w:rFonts w:ascii="Verdana" w:hAnsi="Verdana"/>
          <w:sz w:val="22"/>
          <w:szCs w:val="22"/>
          <w:lang w:eastAsia="en-AU"/>
        </w:rPr>
      </w:pPr>
      <w:r w:rsidRPr="736F462A">
        <w:rPr>
          <w:rFonts w:ascii="Verdana" w:hAnsi="Verdana"/>
          <w:sz w:val="22"/>
          <w:szCs w:val="22"/>
          <w:lang w:eastAsia="en-AU"/>
        </w:rPr>
        <w:t>Exemption from disallowance is appropriate in the context of this instrument, as it amends the</w:t>
      </w:r>
      <w:r w:rsidR="000A6903" w:rsidRPr="736F462A">
        <w:rPr>
          <w:rFonts w:ascii="Verdana" w:hAnsi="Verdana"/>
          <w:sz w:val="22"/>
          <w:szCs w:val="22"/>
          <w:lang w:eastAsia="en-AU"/>
        </w:rPr>
        <w:t xml:space="preserve"> conditions for </w:t>
      </w:r>
      <w:r w:rsidR="00AF6F04">
        <w:rPr>
          <w:rFonts w:ascii="Verdana" w:hAnsi="Verdana"/>
          <w:sz w:val="22"/>
          <w:szCs w:val="22"/>
          <w:lang w:eastAsia="en-AU"/>
        </w:rPr>
        <w:t>Parliamentarians</w:t>
      </w:r>
      <w:r w:rsidRPr="736F462A">
        <w:rPr>
          <w:rFonts w:ascii="Verdana" w:hAnsi="Verdana"/>
          <w:sz w:val="22"/>
          <w:szCs w:val="22"/>
          <w:lang w:eastAsia="en-AU"/>
        </w:rPr>
        <w:t xml:space="preserve">. </w:t>
      </w:r>
    </w:p>
    <w:p w14:paraId="090B2C7E" w14:textId="77777777" w:rsidR="001B5300" w:rsidRPr="001B5300" w:rsidRDefault="001B5300" w:rsidP="00C10EBA">
      <w:pPr>
        <w:widowControl w:val="0"/>
        <w:autoSpaceDE w:val="0"/>
        <w:autoSpaceDN w:val="0"/>
        <w:spacing w:before="120" w:after="120"/>
        <w:ind w:left="137" w:right="138"/>
        <w:outlineLvl w:val="0"/>
        <w:rPr>
          <w:rFonts w:ascii="Verdana" w:eastAsia="Verdana" w:hAnsi="Verdana" w:cs="Verdana"/>
          <w:b/>
          <w:bCs/>
          <w:sz w:val="22"/>
          <w:szCs w:val="22"/>
          <w:lang w:eastAsia="en-AU" w:bidi="en-AU"/>
        </w:rPr>
      </w:pPr>
      <w:r w:rsidRPr="001B5300">
        <w:rPr>
          <w:rFonts w:ascii="Verdana" w:eastAsia="Verdana" w:hAnsi="Verdana" w:cs="Verdana"/>
          <w:b/>
          <w:bCs/>
          <w:sz w:val="22"/>
          <w:szCs w:val="22"/>
          <w:lang w:eastAsia="en-AU" w:bidi="en-AU"/>
        </w:rPr>
        <w:t>The power to repeal, rescind and revoke, amend and vary</w:t>
      </w:r>
    </w:p>
    <w:p w14:paraId="0CB6912D" w14:textId="4B08A309" w:rsidR="001B5300" w:rsidRDefault="001B5300" w:rsidP="000A6903">
      <w:pPr>
        <w:widowControl w:val="0"/>
        <w:numPr>
          <w:ilvl w:val="0"/>
          <w:numId w:val="4"/>
        </w:numPr>
        <w:tabs>
          <w:tab w:val="left" w:pos="563"/>
        </w:tabs>
        <w:autoSpaceDE w:val="0"/>
        <w:autoSpaceDN w:val="0"/>
        <w:spacing w:before="120" w:after="120" w:line="276" w:lineRule="auto"/>
        <w:ind w:left="561" w:hanging="425"/>
        <w:rPr>
          <w:rFonts w:ascii="Verdana" w:eastAsia="Verdana" w:hAnsi="Verdana" w:cs="Verdana"/>
          <w:sz w:val="22"/>
          <w:szCs w:val="22"/>
          <w:lang w:eastAsia="en-AU" w:bidi="en-AU"/>
        </w:rPr>
      </w:pP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 xml:space="preserve">Under subsection 33(3) of the </w:t>
      </w:r>
      <w:r w:rsidRPr="001B5300">
        <w:rPr>
          <w:rFonts w:ascii="Verdana" w:eastAsia="Verdana" w:hAnsi="Verdana" w:cs="Verdana"/>
          <w:i/>
          <w:sz w:val="22"/>
          <w:szCs w:val="22"/>
          <w:lang w:eastAsia="en-AU" w:bidi="en-AU"/>
        </w:rPr>
        <w:t>Acts Interpretation Act 1901</w:t>
      </w: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</w:t>
      </w:r>
      <w:r w:rsidRPr="001B5300">
        <w:rPr>
          <w:rFonts w:ascii="Verdana" w:eastAsia="Verdana" w:hAnsi="Verdana" w:cs="Verdana"/>
          <w:spacing w:val="-5"/>
          <w:sz w:val="22"/>
          <w:szCs w:val="22"/>
          <w:lang w:eastAsia="en-AU" w:bidi="en-AU"/>
        </w:rPr>
        <w:t xml:space="preserve"> </w:t>
      </w:r>
      <w:r w:rsidRPr="001B5300">
        <w:rPr>
          <w:rFonts w:ascii="Verdana" w:eastAsia="Verdana" w:hAnsi="Verdana" w:cs="Verdana"/>
          <w:sz w:val="22"/>
          <w:szCs w:val="22"/>
          <w:lang w:eastAsia="en-AU" w:bidi="en-AU"/>
        </w:rPr>
        <w:t>instrument.</w:t>
      </w:r>
    </w:p>
    <w:p w14:paraId="52EC360D" w14:textId="6B226D6F" w:rsidR="001B5300" w:rsidRDefault="001B5300" w:rsidP="00AF6F04">
      <w:pPr>
        <w:keepNext/>
        <w:autoSpaceDE w:val="0"/>
        <w:autoSpaceDN w:val="0"/>
        <w:spacing w:before="120" w:after="120"/>
        <w:ind w:left="136" w:right="136"/>
        <w:outlineLvl w:val="0"/>
        <w:rPr>
          <w:rFonts w:ascii="Verdana" w:eastAsia="Verdana" w:hAnsi="Verdana" w:cs="Verdana"/>
          <w:b/>
          <w:bCs/>
          <w:sz w:val="22"/>
          <w:szCs w:val="22"/>
          <w:lang w:eastAsia="en-AU" w:bidi="en-AU"/>
        </w:rPr>
      </w:pPr>
      <w:r w:rsidRPr="001B5300">
        <w:rPr>
          <w:rFonts w:ascii="Verdana" w:eastAsia="Verdana" w:hAnsi="Verdana" w:cs="Verdana"/>
          <w:b/>
          <w:bCs/>
          <w:sz w:val="22"/>
          <w:szCs w:val="22"/>
          <w:lang w:eastAsia="en-AU" w:bidi="en-AU"/>
        </w:rPr>
        <w:lastRenderedPageBreak/>
        <w:t>Details of the determination are as follows:</w:t>
      </w:r>
    </w:p>
    <w:p w14:paraId="3A568B6F" w14:textId="1CB532CD" w:rsidR="00741FAE" w:rsidRDefault="00741FAE" w:rsidP="00AF6F04">
      <w:pPr>
        <w:pStyle w:val="paragraph"/>
        <w:spacing w:before="120" w:beforeAutospacing="0" w:after="120" w:afterAutospacing="0"/>
        <w:ind w:left="136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b/>
          <w:bCs/>
          <w:sz w:val="22"/>
          <w:szCs w:val="22"/>
        </w:rPr>
        <w:t>Section 1 – Name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3EAE436D" w14:textId="2F79A5F5" w:rsidR="00E015EC" w:rsidRDefault="00E015EC" w:rsidP="51536FF1">
      <w:pPr>
        <w:pStyle w:val="paragraph"/>
        <w:numPr>
          <w:ilvl w:val="0"/>
          <w:numId w:val="4"/>
        </w:numPr>
        <w:spacing w:before="120" w:beforeAutospacing="0" w:after="12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51536FF1">
        <w:rPr>
          <w:rStyle w:val="normaltextrun"/>
          <w:rFonts w:ascii="Verdana" w:hAnsi="Verdana" w:cs="Segoe UI"/>
          <w:sz w:val="22"/>
          <w:szCs w:val="22"/>
        </w:rPr>
        <w:t>Section 1 specifies the name of the instrument</w:t>
      </w:r>
      <w:r w:rsidR="13D7537E" w:rsidRPr="51536FF1">
        <w:rPr>
          <w:rStyle w:val="normaltextrun"/>
          <w:rFonts w:ascii="Verdana" w:hAnsi="Verdana" w:cs="Segoe UI"/>
          <w:sz w:val="22"/>
          <w:szCs w:val="22"/>
        </w:rPr>
        <w:t xml:space="preserve"> as the</w:t>
      </w:r>
      <w:r w:rsidR="00AF6F04" w:rsidRPr="51536FF1">
        <w:rPr>
          <w:rStyle w:val="normaltextrun"/>
          <w:rFonts w:ascii="Verdana" w:hAnsi="Verdana" w:cs="Segoe UI"/>
          <w:sz w:val="22"/>
          <w:szCs w:val="22"/>
        </w:rPr>
        <w:t xml:space="preserve"> Remuneration Tribunal (Members of Parliament) Amendment Determination (No. 1) 2025</w:t>
      </w:r>
      <w:r w:rsidRPr="51536FF1">
        <w:rPr>
          <w:rStyle w:val="normaltextrun"/>
          <w:rFonts w:ascii="Verdana" w:hAnsi="Verdana" w:cs="Segoe UI"/>
          <w:sz w:val="22"/>
          <w:szCs w:val="22"/>
        </w:rPr>
        <w:t>.</w:t>
      </w:r>
      <w:r w:rsidRPr="51536FF1">
        <w:rPr>
          <w:rStyle w:val="eop"/>
          <w:rFonts w:ascii="Verdana" w:hAnsi="Verdana" w:cs="Segoe UI"/>
          <w:sz w:val="22"/>
          <w:szCs w:val="22"/>
        </w:rPr>
        <w:t> </w:t>
      </w:r>
    </w:p>
    <w:p w14:paraId="4B78F65B" w14:textId="5865215B" w:rsidR="00E015EC" w:rsidRPr="00E015EC" w:rsidRDefault="00E015EC" w:rsidP="00AF6F04">
      <w:pPr>
        <w:pStyle w:val="paragraph"/>
        <w:keepNext/>
        <w:spacing w:before="120" w:beforeAutospacing="0" w:after="120" w:afterAutospacing="0"/>
        <w:ind w:left="136"/>
        <w:textAlignment w:val="baseline"/>
        <w:rPr>
          <w:rStyle w:val="normaltextrun"/>
          <w:b/>
          <w:bCs/>
        </w:rPr>
      </w:pPr>
      <w:r>
        <w:rPr>
          <w:rStyle w:val="normaltextrun"/>
          <w:rFonts w:ascii="Verdana" w:hAnsi="Verdana" w:cs="Segoe UI"/>
          <w:b/>
          <w:bCs/>
          <w:sz w:val="22"/>
          <w:szCs w:val="22"/>
        </w:rPr>
        <w:t>Section 2 – Commencement</w:t>
      </w:r>
      <w:r w:rsidRPr="00E015EC">
        <w:rPr>
          <w:rStyle w:val="normaltextrun"/>
          <w:b/>
          <w:bCs/>
        </w:rPr>
        <w:t> </w:t>
      </w:r>
    </w:p>
    <w:p w14:paraId="3E5D9007" w14:textId="3783617B" w:rsidR="00E015EC" w:rsidRPr="00E015EC" w:rsidRDefault="00E015EC" w:rsidP="00AF6F04">
      <w:pPr>
        <w:widowControl w:val="0"/>
        <w:numPr>
          <w:ilvl w:val="0"/>
          <w:numId w:val="4"/>
        </w:numPr>
        <w:tabs>
          <w:tab w:val="left" w:pos="563"/>
        </w:tabs>
        <w:autoSpaceDE w:val="0"/>
        <w:autoSpaceDN w:val="0"/>
        <w:spacing w:before="120" w:after="120"/>
        <w:ind w:left="562" w:right="138" w:hanging="425"/>
        <w:rPr>
          <w:rStyle w:val="normaltextrun"/>
          <w:rFonts w:ascii="Verdana" w:eastAsia="Verdana" w:hAnsi="Verdana" w:cs="Verdana"/>
          <w:sz w:val="22"/>
          <w:szCs w:val="22"/>
          <w:lang w:eastAsia="en-AU" w:bidi="en-AU"/>
        </w:rPr>
      </w:pPr>
      <w:r w:rsidRPr="626F9AC8">
        <w:rPr>
          <w:rStyle w:val="normaltextrun"/>
          <w:rFonts w:ascii="Verdana" w:hAnsi="Verdana" w:cs="Segoe UI"/>
          <w:sz w:val="22"/>
          <w:szCs w:val="22"/>
        </w:rPr>
        <w:t>Section 2 specifies the commencement date of the instrument</w:t>
      </w:r>
      <w:r w:rsidR="58FA5E0B" w:rsidRPr="626F9AC8">
        <w:rPr>
          <w:rStyle w:val="normaltextrun"/>
          <w:rFonts w:ascii="Verdana" w:hAnsi="Verdana" w:cs="Segoe UI"/>
          <w:sz w:val="22"/>
          <w:szCs w:val="22"/>
        </w:rPr>
        <w:t xml:space="preserve"> as</w:t>
      </w:r>
      <w:r w:rsidR="00AF6F04" w:rsidRPr="626F9AC8">
        <w:rPr>
          <w:rStyle w:val="normaltextrun"/>
          <w:rFonts w:ascii="Verdana" w:hAnsi="Verdana" w:cs="Segoe UI"/>
          <w:sz w:val="22"/>
          <w:szCs w:val="22"/>
        </w:rPr>
        <w:t xml:space="preserve"> the day after the instrument is registered on the Federal Register of Legislation</w:t>
      </w:r>
      <w:r w:rsidRPr="626F9AC8">
        <w:rPr>
          <w:rStyle w:val="normaltextrun"/>
          <w:rFonts w:ascii="Verdana" w:hAnsi="Verdana" w:cs="Segoe UI"/>
          <w:sz w:val="22"/>
          <w:szCs w:val="22"/>
        </w:rPr>
        <w:t>. </w:t>
      </w:r>
    </w:p>
    <w:p w14:paraId="5867B8FB" w14:textId="77777777" w:rsidR="00E015EC" w:rsidRPr="00E015EC" w:rsidRDefault="00E015EC" w:rsidP="00AF6F04">
      <w:pPr>
        <w:pStyle w:val="paragraph"/>
        <w:spacing w:before="120" w:beforeAutospacing="0" w:after="120" w:afterAutospacing="0"/>
        <w:ind w:left="136"/>
        <w:textAlignment w:val="baseline"/>
        <w:rPr>
          <w:rStyle w:val="normaltextrun"/>
          <w:rFonts w:ascii="Verdana" w:hAnsi="Verdana"/>
          <w:b/>
          <w:bCs/>
          <w:sz w:val="22"/>
          <w:szCs w:val="22"/>
        </w:rPr>
      </w:pPr>
      <w:r>
        <w:rPr>
          <w:rStyle w:val="normaltextrun"/>
          <w:rFonts w:ascii="Verdana" w:hAnsi="Verdana" w:cs="Segoe UI"/>
          <w:b/>
          <w:bCs/>
          <w:sz w:val="22"/>
          <w:szCs w:val="22"/>
        </w:rPr>
        <w:t>Section 3 – Authority</w:t>
      </w:r>
      <w:r w:rsidRPr="00E015EC">
        <w:rPr>
          <w:rStyle w:val="normaltextrun"/>
          <w:b/>
          <w:bCs/>
        </w:rPr>
        <w:t> </w:t>
      </w:r>
    </w:p>
    <w:p w14:paraId="3CF03A58" w14:textId="327B4871" w:rsidR="00741FAE" w:rsidRPr="00E015EC" w:rsidRDefault="00E015EC" w:rsidP="00AF6F04">
      <w:pPr>
        <w:pStyle w:val="paragraph"/>
        <w:numPr>
          <w:ilvl w:val="0"/>
          <w:numId w:val="4"/>
        </w:numPr>
        <w:spacing w:before="120" w:beforeAutospacing="0" w:after="120" w:afterAutospacing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Section 3 specifies the authority for the instrument</w:t>
      </w:r>
      <w:r w:rsidR="00AF6F04">
        <w:rPr>
          <w:rStyle w:val="normaltextrun"/>
          <w:rFonts w:ascii="Verdana" w:hAnsi="Verdana" w:cs="Segoe UI"/>
          <w:sz w:val="22"/>
          <w:szCs w:val="22"/>
        </w:rPr>
        <w:t>, section 46 of the PBR Act.</w:t>
      </w:r>
      <w:r>
        <w:rPr>
          <w:rStyle w:val="normaltextrun"/>
          <w:rFonts w:ascii="Verdana" w:hAnsi="Verdana" w:cs="Segoe UI"/>
          <w:sz w:val="22"/>
          <w:szCs w:val="22"/>
        </w:rPr>
        <w:t> 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53ABFA20" w14:textId="77777777" w:rsidR="00741FAE" w:rsidRDefault="00741FAE" w:rsidP="00741FAE">
      <w:pPr>
        <w:pStyle w:val="paragraph"/>
        <w:spacing w:before="120" w:beforeAutospacing="0" w:after="120" w:afterAutospacing="0"/>
        <w:ind w:left="13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2"/>
          <w:szCs w:val="22"/>
        </w:rPr>
        <w:t>Section 4 – Schedules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07A775AB" w14:textId="77777777" w:rsidR="00741FAE" w:rsidRPr="00741FAE" w:rsidRDefault="00741FAE" w:rsidP="00741FAE">
      <w:pPr>
        <w:widowControl w:val="0"/>
        <w:numPr>
          <w:ilvl w:val="0"/>
          <w:numId w:val="4"/>
        </w:numPr>
        <w:tabs>
          <w:tab w:val="left" w:pos="565"/>
          <w:tab w:val="left" w:pos="9335"/>
        </w:tabs>
        <w:autoSpaceDE w:val="0"/>
        <w:autoSpaceDN w:val="0"/>
        <w:spacing w:before="120" w:after="120"/>
        <w:ind w:left="561" w:right="138" w:hanging="425"/>
        <w:rPr>
          <w:rFonts w:ascii="Verdana" w:eastAsia="Verdana" w:hAnsi="Verdana" w:cs="Verdana"/>
          <w:sz w:val="22"/>
          <w:szCs w:val="22"/>
          <w:lang w:eastAsia="en-AU" w:bidi="en-AU"/>
        </w:rPr>
      </w:pPr>
      <w:r w:rsidRPr="00741FAE">
        <w:rPr>
          <w:rFonts w:ascii="Verdana" w:eastAsia="Verdana" w:hAnsi="Verdana" w:cs="Verdana"/>
          <w:sz w:val="22"/>
          <w:szCs w:val="22"/>
          <w:lang w:eastAsia="en-AU" w:bidi="en-AU"/>
        </w:rPr>
        <w:t>Section 4 outlines the effect of instruments specified in a Schedule to the instrument. </w:t>
      </w:r>
    </w:p>
    <w:p w14:paraId="7428ACEB" w14:textId="77777777" w:rsidR="00741FAE" w:rsidRDefault="00741FAE" w:rsidP="00741FAE">
      <w:pPr>
        <w:pStyle w:val="paragraph"/>
        <w:spacing w:before="120" w:beforeAutospacing="0" w:after="120" w:afterAutospacing="0"/>
        <w:ind w:left="1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2"/>
          <w:szCs w:val="22"/>
        </w:rPr>
        <w:t>SCHEDULE 1—AMENDMENTS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430E5E1A" w14:textId="195951B9" w:rsidR="000A6903" w:rsidRPr="00477FBF" w:rsidRDefault="000A6903" w:rsidP="000A6903">
      <w:pPr>
        <w:pStyle w:val="ListParagraph"/>
        <w:numPr>
          <w:ilvl w:val="0"/>
          <w:numId w:val="4"/>
        </w:numPr>
        <w:spacing w:before="120" w:after="120" w:line="276" w:lineRule="auto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Item</w:t>
      </w:r>
      <w:r w:rsidR="00875943">
        <w:rPr>
          <w:rFonts w:ascii="Verdana" w:hAnsi="Verdana"/>
          <w:sz w:val="22"/>
          <w:szCs w:val="22"/>
        </w:rPr>
        <w:t xml:space="preserve">s </w:t>
      </w:r>
      <w:r>
        <w:rPr>
          <w:rFonts w:ascii="Verdana" w:hAnsi="Verdana"/>
          <w:sz w:val="22"/>
          <w:szCs w:val="22"/>
        </w:rPr>
        <w:t xml:space="preserve">1 </w:t>
      </w:r>
      <w:r w:rsidR="00875943">
        <w:rPr>
          <w:rFonts w:ascii="Verdana" w:hAnsi="Verdana"/>
          <w:sz w:val="22"/>
          <w:szCs w:val="22"/>
        </w:rPr>
        <w:t xml:space="preserve">to 5 amend section 4.7 of the </w:t>
      </w:r>
      <w:r w:rsidR="00AF6F04">
        <w:rPr>
          <w:rFonts w:ascii="Verdana" w:hAnsi="Verdana"/>
          <w:sz w:val="22"/>
          <w:szCs w:val="22"/>
        </w:rPr>
        <w:t>Remuneration Tribunal (Members of Parliament) Determination 2024</w:t>
      </w:r>
      <w:r w:rsidR="00875943">
        <w:rPr>
          <w:rFonts w:ascii="Verdana" w:hAnsi="Verdana"/>
          <w:sz w:val="22"/>
          <w:szCs w:val="22"/>
        </w:rPr>
        <w:t xml:space="preserve"> which specif</w:t>
      </w:r>
      <w:r w:rsidR="00AF6F04">
        <w:rPr>
          <w:rFonts w:ascii="Verdana" w:hAnsi="Verdana"/>
          <w:sz w:val="22"/>
          <w:szCs w:val="22"/>
        </w:rPr>
        <w:t>ies</w:t>
      </w:r>
      <w:r w:rsidR="00875943">
        <w:rPr>
          <w:rFonts w:ascii="Verdana" w:hAnsi="Verdana"/>
          <w:sz w:val="22"/>
          <w:szCs w:val="22"/>
        </w:rPr>
        <w:t xml:space="preserve"> the situations in which a former member is eligible for resettlement allowance, to include the situation </w:t>
      </w:r>
      <w:r w:rsidR="00C92452">
        <w:rPr>
          <w:rFonts w:ascii="Verdana" w:hAnsi="Verdana"/>
          <w:sz w:val="22"/>
          <w:szCs w:val="22"/>
        </w:rPr>
        <w:t>where the redistribution of electoral divisions results in the abolition of the former member’s electorate and</w:t>
      </w:r>
      <w:r w:rsidR="000B3028">
        <w:rPr>
          <w:rFonts w:ascii="Verdana" w:hAnsi="Verdana"/>
          <w:sz w:val="22"/>
          <w:szCs w:val="22"/>
        </w:rPr>
        <w:t>,</w:t>
      </w:r>
      <w:r w:rsidR="00C92452">
        <w:rPr>
          <w:rFonts w:ascii="Verdana" w:hAnsi="Verdana"/>
          <w:sz w:val="22"/>
          <w:szCs w:val="22"/>
        </w:rPr>
        <w:t xml:space="preserve"> the former member does not contest the election immediately following that redistribution. </w:t>
      </w:r>
    </w:p>
    <w:p w14:paraId="052F4586" w14:textId="352F4A1C" w:rsidR="001B5300" w:rsidRPr="001B5300" w:rsidRDefault="001B5300" w:rsidP="00C10EBA">
      <w:pPr>
        <w:widowControl w:val="0"/>
        <w:autoSpaceDE w:val="0"/>
        <w:autoSpaceDN w:val="0"/>
        <w:spacing w:before="184" w:line="267" w:lineRule="exact"/>
        <w:ind w:left="5670"/>
        <w:jc w:val="right"/>
        <w:rPr>
          <w:rFonts w:ascii="Verdana" w:eastAsia="Verdana" w:hAnsi="Verdana" w:cs="Verdana"/>
          <w:szCs w:val="22"/>
          <w:lang w:eastAsia="en-AU" w:bidi="en-AU"/>
        </w:rPr>
      </w:pPr>
      <w:r w:rsidRPr="001B5300">
        <w:rPr>
          <w:rFonts w:ascii="Verdana" w:eastAsia="Verdana" w:hAnsi="Verdana" w:cs="Verdana"/>
          <w:b/>
          <w:szCs w:val="22"/>
          <w:lang w:eastAsia="en-AU" w:bidi="en-AU"/>
        </w:rPr>
        <w:t xml:space="preserve">Authority: </w:t>
      </w:r>
      <w:r w:rsidR="00AF1C6B">
        <w:rPr>
          <w:rFonts w:ascii="Verdana" w:eastAsia="Verdana" w:hAnsi="Verdana" w:cs="Verdana"/>
          <w:szCs w:val="22"/>
          <w:lang w:eastAsia="en-AU" w:bidi="en-AU"/>
        </w:rPr>
        <w:t xml:space="preserve">Section </w:t>
      </w:r>
      <w:r w:rsidRPr="001B5300">
        <w:rPr>
          <w:rFonts w:ascii="Verdana" w:eastAsia="Verdana" w:hAnsi="Verdana" w:cs="Verdana"/>
          <w:szCs w:val="22"/>
          <w:lang w:eastAsia="en-AU" w:bidi="en-AU"/>
        </w:rPr>
        <w:t>46</w:t>
      </w:r>
      <w:r w:rsidR="00C10EBA">
        <w:rPr>
          <w:rFonts w:ascii="Verdana" w:eastAsia="Verdana" w:hAnsi="Verdana" w:cs="Verdana"/>
          <w:szCs w:val="22"/>
          <w:lang w:eastAsia="en-AU" w:bidi="en-AU"/>
        </w:rPr>
        <w:t xml:space="preserve"> </w:t>
      </w:r>
    </w:p>
    <w:p w14:paraId="47EA577F" w14:textId="27BD2014" w:rsidR="001B5300" w:rsidRDefault="001B5300" w:rsidP="000A6903">
      <w:pPr>
        <w:widowControl w:val="0"/>
        <w:autoSpaceDE w:val="0"/>
        <w:autoSpaceDN w:val="0"/>
        <w:spacing w:line="267" w:lineRule="exact"/>
        <w:ind w:left="4498"/>
        <w:jc w:val="right"/>
      </w:pPr>
      <w:r w:rsidRPr="001B5300">
        <w:rPr>
          <w:rFonts w:ascii="Verdana" w:eastAsia="Verdana" w:hAnsi="Verdana" w:cs="Verdana"/>
          <w:i/>
          <w:szCs w:val="22"/>
          <w:lang w:eastAsia="en-AU" w:bidi="en-AU"/>
        </w:rPr>
        <w:t>Parliamentary Business Resources Act</w:t>
      </w:r>
      <w:r w:rsidRPr="001B5300">
        <w:rPr>
          <w:rFonts w:ascii="Verdana" w:eastAsia="Verdana" w:hAnsi="Verdana" w:cs="Verdana"/>
          <w:i/>
          <w:spacing w:val="-13"/>
          <w:szCs w:val="22"/>
          <w:lang w:eastAsia="en-AU" w:bidi="en-AU"/>
        </w:rPr>
        <w:t xml:space="preserve"> </w:t>
      </w:r>
      <w:r w:rsidRPr="001B5300">
        <w:rPr>
          <w:rFonts w:ascii="Verdana" w:eastAsia="Verdana" w:hAnsi="Verdana" w:cs="Verdana"/>
          <w:i/>
          <w:szCs w:val="22"/>
          <w:lang w:eastAsia="en-AU" w:bidi="en-AU"/>
        </w:rPr>
        <w:t>2017</w:t>
      </w:r>
    </w:p>
    <w:p w14:paraId="16A9D1A0" w14:textId="0DB53578" w:rsidR="00F20AD2" w:rsidRDefault="00F20AD2"/>
    <w:sectPr w:rsidR="00F20AD2" w:rsidSect="00292DD1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274" w:bottom="851" w:left="1276" w:header="720" w:footer="567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154C74" w16cid:durableId="20AEA440"/>
  <w16cid:commentId w16cid:paraId="75E5B28B" w16cid:durableId="2CA430AA"/>
  <w16cid:commentId w16cid:paraId="67497F37" w16cid:durableId="6DEE2095"/>
  <w16cid:commentId w16cid:paraId="0F571662" w16cid:durableId="068F38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9C322" w14:textId="77777777" w:rsidR="00EF69EF" w:rsidRDefault="00EF69EF" w:rsidP="001B5300">
      <w:r>
        <w:separator/>
      </w:r>
    </w:p>
  </w:endnote>
  <w:endnote w:type="continuationSeparator" w:id="0">
    <w:p w14:paraId="4380DA8E" w14:textId="77777777" w:rsidR="00EF69EF" w:rsidRDefault="00EF69EF" w:rsidP="001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A6D9" w14:textId="77777777" w:rsidR="002B78DE" w:rsidRDefault="001B5300" w:rsidP="00C261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4A15C" w14:textId="77777777" w:rsidR="002B78DE" w:rsidRDefault="00AA6AAA" w:rsidP="00BD2C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6A66E" w14:textId="0476B72A" w:rsidR="00847748" w:rsidRDefault="001B53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AAA">
      <w:rPr>
        <w:noProof/>
      </w:rPr>
      <w:t>2</w:t>
    </w:r>
    <w:r>
      <w:fldChar w:fldCharType="end"/>
    </w:r>
  </w:p>
  <w:p w14:paraId="7D9BAC7D" w14:textId="77777777" w:rsidR="003D64F5" w:rsidRPr="00F46CA3" w:rsidRDefault="00AA6AAA" w:rsidP="00BD2C52">
    <w:pPr>
      <w:pStyle w:val="Footer"/>
      <w:tabs>
        <w:tab w:val="clear" w:pos="8306"/>
        <w:tab w:val="right" w:pos="9540"/>
      </w:tabs>
      <w:ind w:right="360"/>
      <w:rPr>
        <w:rFonts w:ascii="Verdana" w:hAnsi="Verdana" w:cs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AEEA5" w14:textId="29CBF553" w:rsidR="00F55F20" w:rsidRDefault="001B53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AAA">
      <w:rPr>
        <w:noProof/>
      </w:rPr>
      <w:t>1</w:t>
    </w:r>
    <w:r>
      <w:fldChar w:fldCharType="end"/>
    </w:r>
  </w:p>
  <w:p w14:paraId="2A02176B" w14:textId="77777777" w:rsidR="00F55F20" w:rsidRDefault="00AA6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B1A81" w14:textId="77777777" w:rsidR="00EF69EF" w:rsidRDefault="00EF69EF" w:rsidP="001B5300">
      <w:r>
        <w:separator/>
      </w:r>
    </w:p>
  </w:footnote>
  <w:footnote w:type="continuationSeparator" w:id="0">
    <w:p w14:paraId="5DA93CE8" w14:textId="77777777" w:rsidR="00EF69EF" w:rsidRDefault="00EF69EF" w:rsidP="001B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17D4D" w14:textId="77777777" w:rsidR="00987360" w:rsidRDefault="001B5300" w:rsidP="00FB2746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7F4B16A" wp14:editId="5146E049">
          <wp:extent cx="2254250" cy="1118235"/>
          <wp:effectExtent l="0" t="0" r="0" b="5715"/>
          <wp:docPr id="1" name="Picture 1" descr="Australian Commonwealth government crest above text reading Remuneration Tribunal" title="Remuneration tribu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BF8"/>
    <w:multiLevelType w:val="multilevel"/>
    <w:tmpl w:val="D8CEE7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0E67B31"/>
    <w:multiLevelType w:val="multilevel"/>
    <w:tmpl w:val="C4D258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33997"/>
    <w:multiLevelType w:val="hybridMultilevel"/>
    <w:tmpl w:val="D92E3790"/>
    <w:lvl w:ilvl="0" w:tplc="DEC261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" w15:restartNumberingAfterBreak="0">
    <w:nsid w:val="32023A35"/>
    <w:multiLevelType w:val="multilevel"/>
    <w:tmpl w:val="7624AA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D544D"/>
    <w:multiLevelType w:val="hybridMultilevel"/>
    <w:tmpl w:val="9774B9FE"/>
    <w:lvl w:ilvl="0" w:tplc="B4965E68">
      <w:start w:val="1"/>
      <w:numFmt w:val="decimal"/>
      <w:lvlText w:val="%1."/>
      <w:lvlJc w:val="left"/>
      <w:pPr>
        <w:ind w:left="564" w:hanging="428"/>
      </w:pPr>
      <w:rPr>
        <w:rFonts w:ascii="Verdana" w:eastAsia="Verdana" w:hAnsi="Verdana" w:cs="Verdana" w:hint="default"/>
        <w:b w:val="0"/>
        <w:i w:val="0"/>
        <w:spacing w:val="-2"/>
        <w:w w:val="100"/>
        <w:sz w:val="22"/>
        <w:szCs w:val="22"/>
        <w:lang w:val="en-AU" w:eastAsia="en-AU" w:bidi="en-AU"/>
      </w:rPr>
    </w:lvl>
    <w:lvl w:ilvl="1" w:tplc="1BD4F742">
      <w:numFmt w:val="bullet"/>
      <w:lvlText w:val="•"/>
      <w:lvlJc w:val="left"/>
      <w:pPr>
        <w:ind w:left="1466" w:hanging="428"/>
      </w:pPr>
      <w:rPr>
        <w:rFonts w:hint="default"/>
        <w:lang w:val="en-AU" w:eastAsia="en-AU" w:bidi="en-AU"/>
      </w:rPr>
    </w:lvl>
    <w:lvl w:ilvl="2" w:tplc="244CE988">
      <w:numFmt w:val="bullet"/>
      <w:lvlText w:val="•"/>
      <w:lvlJc w:val="left"/>
      <w:pPr>
        <w:ind w:left="2373" w:hanging="428"/>
      </w:pPr>
      <w:rPr>
        <w:rFonts w:hint="default"/>
        <w:lang w:val="en-AU" w:eastAsia="en-AU" w:bidi="en-AU"/>
      </w:rPr>
    </w:lvl>
    <w:lvl w:ilvl="3" w:tplc="8D06BD42">
      <w:numFmt w:val="bullet"/>
      <w:lvlText w:val="•"/>
      <w:lvlJc w:val="left"/>
      <w:pPr>
        <w:ind w:left="3279" w:hanging="428"/>
      </w:pPr>
      <w:rPr>
        <w:rFonts w:hint="default"/>
        <w:lang w:val="en-AU" w:eastAsia="en-AU" w:bidi="en-AU"/>
      </w:rPr>
    </w:lvl>
    <w:lvl w:ilvl="4" w:tplc="262AA4AC">
      <w:numFmt w:val="bullet"/>
      <w:lvlText w:val="•"/>
      <w:lvlJc w:val="left"/>
      <w:pPr>
        <w:ind w:left="4186" w:hanging="428"/>
      </w:pPr>
      <w:rPr>
        <w:rFonts w:hint="default"/>
        <w:lang w:val="en-AU" w:eastAsia="en-AU" w:bidi="en-AU"/>
      </w:rPr>
    </w:lvl>
    <w:lvl w:ilvl="5" w:tplc="0532C810">
      <w:numFmt w:val="bullet"/>
      <w:lvlText w:val="•"/>
      <w:lvlJc w:val="left"/>
      <w:pPr>
        <w:ind w:left="5093" w:hanging="428"/>
      </w:pPr>
      <w:rPr>
        <w:rFonts w:hint="default"/>
        <w:lang w:val="en-AU" w:eastAsia="en-AU" w:bidi="en-AU"/>
      </w:rPr>
    </w:lvl>
    <w:lvl w:ilvl="6" w:tplc="A6083542">
      <w:numFmt w:val="bullet"/>
      <w:lvlText w:val="•"/>
      <w:lvlJc w:val="left"/>
      <w:pPr>
        <w:ind w:left="5999" w:hanging="428"/>
      </w:pPr>
      <w:rPr>
        <w:rFonts w:hint="default"/>
        <w:lang w:val="en-AU" w:eastAsia="en-AU" w:bidi="en-AU"/>
      </w:rPr>
    </w:lvl>
    <w:lvl w:ilvl="7" w:tplc="6B60C784">
      <w:numFmt w:val="bullet"/>
      <w:lvlText w:val="•"/>
      <w:lvlJc w:val="left"/>
      <w:pPr>
        <w:ind w:left="6906" w:hanging="428"/>
      </w:pPr>
      <w:rPr>
        <w:rFonts w:hint="default"/>
        <w:lang w:val="en-AU" w:eastAsia="en-AU" w:bidi="en-AU"/>
      </w:rPr>
    </w:lvl>
    <w:lvl w:ilvl="8" w:tplc="B43E5542">
      <w:numFmt w:val="bullet"/>
      <w:lvlText w:val="•"/>
      <w:lvlJc w:val="left"/>
      <w:pPr>
        <w:ind w:left="7813" w:hanging="428"/>
      </w:pPr>
      <w:rPr>
        <w:rFonts w:hint="default"/>
        <w:lang w:val="en-AU" w:eastAsia="en-AU" w:bidi="en-AU"/>
      </w:rPr>
    </w:lvl>
  </w:abstractNum>
  <w:abstractNum w:abstractNumId="5" w15:restartNumberingAfterBreak="0">
    <w:nsid w:val="5F7C5259"/>
    <w:multiLevelType w:val="multilevel"/>
    <w:tmpl w:val="B23E8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A54D93"/>
    <w:multiLevelType w:val="multilevel"/>
    <w:tmpl w:val="A1C6B5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8414EA"/>
    <w:multiLevelType w:val="hybridMultilevel"/>
    <w:tmpl w:val="1098D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6A50"/>
    <w:multiLevelType w:val="hybridMultilevel"/>
    <w:tmpl w:val="71846622"/>
    <w:lvl w:ilvl="0" w:tplc="0C0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77F411EC"/>
    <w:multiLevelType w:val="multilevel"/>
    <w:tmpl w:val="5D0645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00"/>
    <w:rsid w:val="00037652"/>
    <w:rsid w:val="000564D6"/>
    <w:rsid w:val="000A6903"/>
    <w:rsid w:val="000B3028"/>
    <w:rsid w:val="001B5300"/>
    <w:rsid w:val="00242142"/>
    <w:rsid w:val="00252266"/>
    <w:rsid w:val="002D71DA"/>
    <w:rsid w:val="003F307B"/>
    <w:rsid w:val="004A4B08"/>
    <w:rsid w:val="004E7B83"/>
    <w:rsid w:val="006D1F0B"/>
    <w:rsid w:val="007216FD"/>
    <w:rsid w:val="0073681A"/>
    <w:rsid w:val="00741FAE"/>
    <w:rsid w:val="00781204"/>
    <w:rsid w:val="008179CB"/>
    <w:rsid w:val="00823791"/>
    <w:rsid w:val="00836EAC"/>
    <w:rsid w:val="00847AEC"/>
    <w:rsid w:val="00875943"/>
    <w:rsid w:val="008A1B13"/>
    <w:rsid w:val="008D0C25"/>
    <w:rsid w:val="009360F2"/>
    <w:rsid w:val="0095389B"/>
    <w:rsid w:val="00956C96"/>
    <w:rsid w:val="0097197C"/>
    <w:rsid w:val="00A04C92"/>
    <w:rsid w:val="00A44A42"/>
    <w:rsid w:val="00AA6AAA"/>
    <w:rsid w:val="00AD7E9F"/>
    <w:rsid w:val="00AF1C6B"/>
    <w:rsid w:val="00AF6F04"/>
    <w:rsid w:val="00B1023C"/>
    <w:rsid w:val="00BD1511"/>
    <w:rsid w:val="00C10EBA"/>
    <w:rsid w:val="00C13E2B"/>
    <w:rsid w:val="00C92452"/>
    <w:rsid w:val="00CD4DCE"/>
    <w:rsid w:val="00E015EC"/>
    <w:rsid w:val="00EF69EF"/>
    <w:rsid w:val="00F20AD2"/>
    <w:rsid w:val="0220F92D"/>
    <w:rsid w:val="05C9E302"/>
    <w:rsid w:val="0903656A"/>
    <w:rsid w:val="129252F8"/>
    <w:rsid w:val="13D7537E"/>
    <w:rsid w:val="1E84CD55"/>
    <w:rsid w:val="1E9F9045"/>
    <w:rsid w:val="1FE3DEB5"/>
    <w:rsid w:val="247382F4"/>
    <w:rsid w:val="2ABCED6F"/>
    <w:rsid w:val="358D658C"/>
    <w:rsid w:val="42A9B059"/>
    <w:rsid w:val="43690FFF"/>
    <w:rsid w:val="4935ED7E"/>
    <w:rsid w:val="51536FF1"/>
    <w:rsid w:val="52C00C24"/>
    <w:rsid w:val="549052DC"/>
    <w:rsid w:val="58FA5E0B"/>
    <w:rsid w:val="5B266AFD"/>
    <w:rsid w:val="5E5C7F5D"/>
    <w:rsid w:val="5F98690D"/>
    <w:rsid w:val="60D3AD7D"/>
    <w:rsid w:val="61DEAA81"/>
    <w:rsid w:val="626F9AC8"/>
    <w:rsid w:val="637404B8"/>
    <w:rsid w:val="679E2EA5"/>
    <w:rsid w:val="6BE2343E"/>
    <w:rsid w:val="6E084F5E"/>
    <w:rsid w:val="71D1AB07"/>
    <w:rsid w:val="736F462A"/>
    <w:rsid w:val="759816A5"/>
    <w:rsid w:val="77655529"/>
    <w:rsid w:val="77B1B68D"/>
    <w:rsid w:val="7D46A38F"/>
    <w:rsid w:val="7DA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ECAB"/>
  <w15:chartTrackingRefBased/>
  <w15:docId w15:val="{3D9F2810-61C5-4A15-AF0D-16DC36E1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30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300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5300"/>
    <w:pPr>
      <w:spacing w:before="120"/>
    </w:pPr>
    <w:rPr>
      <w:rFonts w:ascii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B5300"/>
    <w:rPr>
      <w:rFonts w:ascii="Tahoma" w:eastAsia="Times New Roman" w:hAnsi="Tahoma" w:cs="Tahoma"/>
    </w:rPr>
  </w:style>
  <w:style w:type="paragraph" w:styleId="Footer">
    <w:name w:val="footer"/>
    <w:basedOn w:val="Normal"/>
    <w:link w:val="FooterChar"/>
    <w:uiPriority w:val="99"/>
    <w:rsid w:val="001B53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30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3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30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B530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B5300"/>
    <w:rPr>
      <w:rFonts w:cs="Times New Roman"/>
      <w:color w:val="0563C1" w:themeColor="hyperlink"/>
      <w:u w:val="single"/>
    </w:rPr>
  </w:style>
  <w:style w:type="paragraph" w:styleId="ListParagraph">
    <w:name w:val="List Paragraph"/>
    <w:aliases w:val="Num Point 1,Bullet point,CAB - List Bullet,CV text,Dot Point Lvl 1,Dot pt,F5 List Paragraph,L,List Bullet Cab,List Paragraph1,List Paragraph11,List Paragraph111,List Paragraph2,Medium Grid 1 - Accent 21,Numbered Paragraph,Recommendation,b"/>
    <w:basedOn w:val="Normal"/>
    <w:link w:val="ListParagraphChar"/>
    <w:uiPriority w:val="34"/>
    <w:qFormat/>
    <w:rsid w:val="001B5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2B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741FAE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41FAE"/>
  </w:style>
  <w:style w:type="character" w:customStyle="1" w:styleId="eop">
    <w:name w:val="eop"/>
    <w:basedOn w:val="DefaultParagraphFont"/>
    <w:rsid w:val="00741FAE"/>
  </w:style>
  <w:style w:type="character" w:styleId="CommentReference">
    <w:name w:val="annotation reference"/>
    <w:basedOn w:val="DefaultParagraphFont"/>
    <w:uiPriority w:val="99"/>
    <w:semiHidden/>
    <w:unhideWhenUsed/>
    <w:rsid w:val="00056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4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4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4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ParagraphChar">
    <w:name w:val="List Paragraph Char"/>
    <w:aliases w:val="Num Point 1 Char,Bullet point Char,CAB - List Bullet Char,CV text Char,Dot Point Lvl 1 Char,Dot pt Char,F5 List Paragraph Char,L Char,List Bullet Cab Char,List Paragraph1 Char,List Paragraph11 Char,List Paragraph111 Char,b Char"/>
    <w:basedOn w:val="DefaultParagraphFont"/>
    <w:link w:val="ListParagraph"/>
    <w:uiPriority w:val="34"/>
    <w:qFormat/>
    <w:locked/>
    <w:rsid w:val="000A6903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A690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e8149a714bf14494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SHD23-91858</ShareHubID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kae4a212993346ce902df50cead5dba5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kae4a212993346ce902df50cead5dba5>
    <g7ba2599ead64d0b889beab120bc3eb1 xmlns="9eb1f307-a489-40bf-8d3d-f7559b8c4701">
      <Terms xmlns="http://schemas.microsoft.com/office/infopath/2007/PartnerControls"/>
    </g7ba2599ead64d0b889beab120bc3eb1>
    <Comments xmlns="http://schemas.microsoft.com/sharepoint/v3" xsi:nil="true"/>
    <_dlc_DocId xmlns="9eb1f307-a489-40bf-8d3d-f7559b8c4701">APSCdoc-806379271-17485</_dlc_DocId>
    <_dlc_DocIdPersistId xmlns="9eb1f307-a489-40bf-8d3d-f7559b8c4701">false</_dlc_DocIdPersistId>
    <_dlc_DocIdUrl xmlns="9eb1f307-a489-40bf-8d3d-f7559b8c4701">
      <Url>https://pmc01.sharepoint.com/sites/apsc-rt/_layouts/15/DocIdRedir.aspx?ID=APSCdoc-806379271-17485</Url>
      <Description>APSCdoc-806379271-17485</Description>
    </_dlc_DocIdUrl>
    <lcf76f155ced4ddcb4097134ff3c332f xmlns="76b77999-d5d7-44f3-8dd0-caf71a7f76a5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48CCBD29CB447934E396F5725575D" ma:contentTypeVersion="29" ma:contentTypeDescription="Create a new document." ma:contentTypeScope="" ma:versionID="d541da64e429bfcb22cc869fb0beb929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76b77999-d5d7-44f3-8dd0-caf71a7f76a5" targetNamespace="http://schemas.microsoft.com/office/2006/metadata/properties" ma:root="true" ma:fieldsID="b729fd61d0cc61dc9e129c83ee5f77d6" ns1:_="" ns2:_="" ns3:_="" ns4:_="">
    <xsd:import namespace="http://schemas.microsoft.com/sharepoint/v3"/>
    <xsd:import namespace="9eb1f307-a489-40bf-8d3d-f7559b8c4701"/>
    <xsd:import namespace="e771ab56-0c5d-40e7-b080-2686d2b89623"/>
    <xsd:import namespace="76b77999-d5d7-44f3-8dd0-caf71a7f76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ae4a212993346ce902df50cead5dba5" minOccurs="0"/>
                <xsd:element ref="ns2:TaxCatchAll" minOccurs="0"/>
                <xsd:element ref="ns2:g7ba2599ead64d0b889beab120bc3eb1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ae4a212993346ce902df50cead5dba5" ma:index="12" ma:taxonomy="true" ma:internalName="kae4a212993346ce902df50cead5dba5" ma:taxonomyFieldName="SecurityClassification" ma:displayName="Security Classification" ma:default="4;#OFFICIAL|9e0ec9cb-4e7f-4d4a-bd32-1ee7525c6d87" ma:fieldId="{4ae4a212-9933-46ce-902d-f50cead5dba5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b6ab646-400b-4ad0-ac1a-bd45cdeb5059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ba2599ead64d0b889beab120bc3eb1" ma:index="15" nillable="true" ma:taxonomy="true" ma:internalName="g7ba2599ead64d0b889beab120bc3eb1" ma:taxonomyFieldName="InformationMarker" ma:displayName="Information Marker" ma:readOnly="false" ma:fieldId="{07ba2599-ead6-4d0b-889b-eab120bc3eb1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7999-d5d7-44f3-8dd0-caf71a7f7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4A4E-6EA2-4E5D-8D93-0D14BEB981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71ab56-0c5d-40e7-b080-2686d2b89623"/>
    <ds:schemaRef ds:uri="http://schemas.microsoft.com/sharepoint/v3"/>
    <ds:schemaRef ds:uri="76b77999-d5d7-44f3-8dd0-caf71a7f76a5"/>
    <ds:schemaRef ds:uri="9eb1f307-a489-40bf-8d3d-f7559b8c47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9DF7DC-8229-4552-ADDE-594AC5D14E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8B6843-1C72-495C-B02D-E3D15A0497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659755-DD6F-4152-91BA-E1560F546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76b77999-d5d7-44f3-8dd0-caf71a7f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F4631A-DA13-4E03-BDB5-A18CA024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Company>Department of the Prime Minister and Cabinet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Urquhart, Kate</dc:creator>
  <cp:keywords/>
  <dc:description/>
  <cp:lastModifiedBy>Urquhart, Kate</cp:lastModifiedBy>
  <cp:revision>14</cp:revision>
  <dcterms:created xsi:type="dcterms:W3CDTF">2025-03-12T22:27:00Z</dcterms:created>
  <dcterms:modified xsi:type="dcterms:W3CDTF">2025-03-18T03:06:00Z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0x010100A6848CCBD29CB447934E396F5725575D</vt:lpwstr>
  </property>
  <property fmtid="{D5CDD505-2E9C-101B-9397-08002B2CF9AE}" pid="3" name="HPRMSecurityLevel">
    <vt:lpwstr>3;#OFFICIAL|11463c70-78df-4e3b-b0ff-f66cd3cb26ec</vt:lpwstr>
  </property>
  <property fmtid="{D5CDD505-2E9C-101B-9397-08002B2CF9AE}" pid="4" name="HPRMSecurityCaveat">
    <vt:lpwstr/>
  </property>
  <property fmtid="{D5CDD505-2E9C-101B-9397-08002B2CF9AE}" pid="5" name="TaxKeyword">
    <vt:lpwstr/>
  </property>
  <property fmtid="{D5CDD505-2E9C-101B-9397-08002B2CF9AE}" pid="6" name="xd_ProgID">
    <vt:lpwstr/>
  </property>
  <property fmtid="{D5CDD505-2E9C-101B-9397-08002B2CF9AE}" pid="7" name="FolderID">
    <vt:lpwstr/>
  </property>
  <property fmtid="{D5CDD505-2E9C-101B-9397-08002B2CF9AE}" pid="8" name="SecurityClassification">
    <vt:lpwstr>4;#OFFICIAL|9e0ec9cb-4e7f-4d4a-bd32-1ee7525c6d87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GUID">
    <vt:lpwstr>55418121-8189-4a48-9f00-e18f9cee3991</vt:lpwstr>
  </property>
  <property fmtid="{D5CDD505-2E9C-101B-9397-08002B2CF9AE}" pid="15" name="InformationMarker">
    <vt:lpwstr/>
  </property>
  <property fmtid="{D5CDD505-2E9C-101B-9397-08002B2CF9AE}" pid="16" name="SharedWithUsers">
    <vt:lpwstr/>
  </property>
  <property fmtid="{D5CDD505-2E9C-101B-9397-08002B2CF9AE}" pid="17" name="PMCNotes">
    <vt:lpwstr/>
  </property>
  <property fmtid="{D5CDD505-2E9C-101B-9397-08002B2CF9AE}" pid="18" name="jd1c641577414dfdab1686c9d5d0dbd0">
    <vt:lpwstr/>
  </property>
  <property fmtid="{D5CDD505-2E9C-101B-9397-08002B2CF9AE}" pid="19" name="_dlc_DocIdItemGuid">
    <vt:lpwstr>f0a0a956-a215-40c1-bf8f-2a4cc53bda63</vt:lpwstr>
  </property>
  <property fmtid="{D5CDD505-2E9C-101B-9397-08002B2CF9AE}" pid="20" name="MediaServiceImageTags">
    <vt:lpwstr/>
  </property>
</Properties>
</file>