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358D7" w14:textId="77777777" w:rsidR="0074539E" w:rsidRPr="00E876ED" w:rsidRDefault="0074539E" w:rsidP="0074539E">
      <w:pPr>
        <w:spacing w:after="160" w:line="240" w:lineRule="auto"/>
        <w:jc w:val="center"/>
        <w:rPr>
          <w:rFonts w:ascii="Times New Roman" w:eastAsia="Calibri" w:hAnsi="Times New Roman" w:cs="Times New Roman"/>
          <w:sz w:val="24"/>
          <w:szCs w:val="24"/>
        </w:rPr>
      </w:pPr>
      <w:bookmarkStart w:id="0" w:name="_GoBack"/>
      <w:bookmarkEnd w:id="0"/>
      <w:r w:rsidRPr="007D3A3E">
        <w:rPr>
          <w:rFonts w:ascii="Times New Roman" w:eastAsia="Times New Roman" w:hAnsi="Times New Roman" w:cs="Times New Roman"/>
          <w:b/>
          <w:bCs/>
          <w:caps/>
          <w:kern w:val="32"/>
          <w:sz w:val="24"/>
          <w:szCs w:val="24"/>
          <w:u w:val="single"/>
        </w:rPr>
        <w:t>Family Law (Superannuation)</w:t>
      </w:r>
      <w:r>
        <w:rPr>
          <w:rFonts w:ascii="Times New Roman" w:eastAsia="Times New Roman" w:hAnsi="Times New Roman" w:cs="Times New Roman"/>
          <w:b/>
          <w:bCs/>
          <w:caps/>
          <w:kern w:val="32"/>
          <w:sz w:val="24"/>
          <w:szCs w:val="24"/>
          <w:u w:val="single"/>
        </w:rPr>
        <w:t xml:space="preserve"> AMENDMENT</w:t>
      </w:r>
      <w:r w:rsidR="0020524B">
        <w:rPr>
          <w:rFonts w:ascii="Times New Roman" w:eastAsia="Times New Roman" w:hAnsi="Times New Roman" w:cs="Times New Roman"/>
          <w:b/>
          <w:bCs/>
          <w:caps/>
          <w:kern w:val="32"/>
          <w:sz w:val="24"/>
          <w:szCs w:val="24"/>
          <w:u w:val="single"/>
        </w:rPr>
        <w:t xml:space="preserve"> (TECHNICAL AMENDMENTS)</w:t>
      </w:r>
      <w:r w:rsidRPr="007D3A3E">
        <w:rPr>
          <w:rFonts w:ascii="Times New Roman" w:eastAsia="Times New Roman" w:hAnsi="Times New Roman" w:cs="Times New Roman"/>
          <w:b/>
          <w:bCs/>
          <w:caps/>
          <w:kern w:val="32"/>
          <w:sz w:val="24"/>
          <w:szCs w:val="24"/>
          <w:u w:val="single"/>
        </w:rPr>
        <w:t xml:space="preserve"> Regulations 2025</w:t>
      </w:r>
    </w:p>
    <w:p w14:paraId="07A42B4B" w14:textId="77777777" w:rsidR="0074539E" w:rsidRPr="007D3A3E" w:rsidRDefault="0074539E" w:rsidP="0074539E">
      <w:pPr>
        <w:keepNext/>
        <w:spacing w:after="160" w:line="240" w:lineRule="auto"/>
        <w:jc w:val="center"/>
        <w:outlineLvl w:val="0"/>
        <w:rPr>
          <w:rFonts w:ascii="Times New Roman" w:eastAsia="Times New Roman" w:hAnsi="Times New Roman" w:cs="Times New Roman"/>
          <w:bCs/>
          <w:kern w:val="32"/>
          <w:sz w:val="24"/>
          <w:szCs w:val="24"/>
        </w:rPr>
      </w:pPr>
      <w:r w:rsidRPr="007D3A3E">
        <w:rPr>
          <w:rFonts w:ascii="Times New Roman" w:eastAsia="Times New Roman" w:hAnsi="Times New Roman" w:cs="Times New Roman"/>
          <w:b/>
          <w:bCs/>
          <w:caps/>
          <w:kern w:val="32"/>
          <w:sz w:val="24"/>
          <w:szCs w:val="24"/>
          <w:u w:val="single"/>
        </w:rPr>
        <w:t xml:space="preserve">EXPLANATORY STATEMENT </w:t>
      </w:r>
      <w:r w:rsidRPr="00E876ED">
        <w:rPr>
          <w:rFonts w:ascii="Cambria" w:eastAsia="Times New Roman" w:hAnsi="Cambria" w:cs="Times New Roman"/>
          <w:bCs/>
          <w:caps/>
          <w:kern w:val="32"/>
          <w:sz w:val="24"/>
          <w:szCs w:val="24"/>
        </w:rPr>
        <w:br/>
      </w:r>
    </w:p>
    <w:p w14:paraId="401D8109" w14:textId="77777777" w:rsidR="0074539E" w:rsidRPr="00E876ED" w:rsidRDefault="0074539E" w:rsidP="0074539E">
      <w:pPr>
        <w:spacing w:after="160" w:line="240" w:lineRule="auto"/>
        <w:jc w:val="center"/>
        <w:rPr>
          <w:rFonts w:ascii="Times New Roman" w:eastAsia="Calibri" w:hAnsi="Times New Roman" w:cs="Times New Roman"/>
          <w:sz w:val="24"/>
          <w:szCs w:val="24"/>
        </w:rPr>
      </w:pPr>
      <w:r w:rsidRPr="00E876ED">
        <w:rPr>
          <w:rFonts w:ascii="Times New Roman" w:eastAsia="Calibri" w:hAnsi="Times New Roman" w:cs="Times New Roman"/>
          <w:sz w:val="24"/>
          <w:szCs w:val="24"/>
        </w:rPr>
        <w:t xml:space="preserve">Issued by authority of the Attorney-General </w:t>
      </w:r>
    </w:p>
    <w:p w14:paraId="46EC173A" w14:textId="77777777" w:rsidR="0074539E" w:rsidRPr="00E876ED" w:rsidRDefault="0074539E" w:rsidP="0074539E">
      <w:pPr>
        <w:spacing w:after="160" w:line="240" w:lineRule="auto"/>
        <w:jc w:val="center"/>
        <w:rPr>
          <w:rFonts w:ascii="Times New Roman" w:eastAsia="Calibri" w:hAnsi="Times New Roman" w:cs="Times New Roman"/>
          <w:sz w:val="24"/>
          <w:szCs w:val="24"/>
        </w:rPr>
      </w:pPr>
      <w:r w:rsidRPr="00E876ED">
        <w:rPr>
          <w:rFonts w:ascii="Times New Roman" w:eastAsia="Calibri" w:hAnsi="Times New Roman" w:cs="Times New Roman"/>
          <w:sz w:val="24"/>
          <w:szCs w:val="24"/>
        </w:rPr>
        <w:t xml:space="preserve">Under subsection 125(1) of the </w:t>
      </w:r>
      <w:r w:rsidRPr="00E876ED">
        <w:rPr>
          <w:rFonts w:ascii="Times New Roman" w:eastAsia="Calibri" w:hAnsi="Times New Roman" w:cs="Times New Roman"/>
          <w:i/>
          <w:sz w:val="24"/>
          <w:szCs w:val="24"/>
        </w:rPr>
        <w:t>Family Law Act 1975</w:t>
      </w:r>
    </w:p>
    <w:p w14:paraId="6A43E78E" w14:textId="3EB7EE08" w:rsidR="0074539E" w:rsidRPr="007D3A3E" w:rsidRDefault="0074539E" w:rsidP="0045673E">
      <w:pPr>
        <w:spacing w:after="160" w:line="240" w:lineRule="auto"/>
        <w:rPr>
          <w:rFonts w:ascii="Times New Roman" w:eastAsia="Calibri" w:hAnsi="Times New Roman" w:cs="Times New Roman"/>
          <w:b/>
          <w:bCs/>
          <w:sz w:val="24"/>
          <w:szCs w:val="24"/>
        </w:rPr>
      </w:pPr>
      <w:r w:rsidRPr="007D3A3E">
        <w:rPr>
          <w:rFonts w:ascii="Times New Roman" w:eastAsia="Calibri" w:hAnsi="Times New Roman" w:cs="Times New Roman"/>
          <w:b/>
          <w:bCs/>
          <w:caps/>
          <w:sz w:val="24"/>
          <w:szCs w:val="24"/>
        </w:rPr>
        <w:t>Purpose and operation of the Instrument</w:t>
      </w:r>
    </w:p>
    <w:p w14:paraId="4A172A79" w14:textId="74515FF5" w:rsidR="00952D80" w:rsidRDefault="00952D80" w:rsidP="0045673E">
      <w:pPr>
        <w:spacing w:after="160" w:line="240" w:lineRule="auto"/>
        <w:rPr>
          <w:rFonts w:ascii="Times New Roman" w:eastAsia="Calibri" w:hAnsi="Times New Roman" w:cs="Times New Roman"/>
          <w:sz w:val="24"/>
          <w:szCs w:val="24"/>
        </w:rPr>
      </w:pPr>
      <w:bookmarkStart w:id="1" w:name="_Hlk177032410"/>
      <w:bookmarkStart w:id="2" w:name="_Hlk176959735"/>
      <w:r>
        <w:rPr>
          <w:rFonts w:ascii="Times New Roman" w:eastAsia="Times New Roman" w:hAnsi="Times New Roman" w:cs="Times New Roman"/>
          <w:sz w:val="24"/>
          <w:lang w:eastAsia="en-AU"/>
        </w:rPr>
        <w:t xml:space="preserve">The </w:t>
      </w:r>
      <w:r w:rsidR="0020524B">
        <w:rPr>
          <w:rFonts w:ascii="Times New Roman" w:eastAsia="Times New Roman" w:hAnsi="Times New Roman" w:cs="Times New Roman"/>
          <w:sz w:val="24"/>
          <w:lang w:eastAsia="en-AU"/>
        </w:rPr>
        <w:t xml:space="preserve">Family Law (Superannuation) Amendment (Technical Amendments) </w:t>
      </w:r>
      <w:r>
        <w:rPr>
          <w:rFonts w:ascii="Times New Roman" w:eastAsia="Times New Roman" w:hAnsi="Times New Roman" w:cs="Times New Roman"/>
          <w:sz w:val="24"/>
          <w:lang w:eastAsia="en-AU"/>
        </w:rPr>
        <w:t xml:space="preserve">Regulations </w:t>
      </w:r>
      <w:r w:rsidR="007B2EBF">
        <w:rPr>
          <w:rFonts w:ascii="Times New Roman" w:eastAsia="Times New Roman" w:hAnsi="Times New Roman" w:cs="Times New Roman"/>
          <w:sz w:val="24"/>
          <w:lang w:eastAsia="en-AU"/>
        </w:rPr>
        <w:t xml:space="preserve">2025 </w:t>
      </w:r>
      <w:r w:rsidR="0020524B">
        <w:rPr>
          <w:rFonts w:ascii="Times New Roman" w:eastAsia="Times New Roman" w:hAnsi="Times New Roman" w:cs="Times New Roman"/>
          <w:sz w:val="24"/>
          <w:lang w:eastAsia="en-AU"/>
        </w:rPr>
        <w:t xml:space="preserve">(the Amendment Regulations) </w:t>
      </w:r>
      <w:r>
        <w:rPr>
          <w:rFonts w:ascii="Times New Roman" w:eastAsia="Times New Roman" w:hAnsi="Times New Roman" w:cs="Times New Roman"/>
          <w:sz w:val="24"/>
          <w:lang w:eastAsia="en-AU"/>
        </w:rPr>
        <w:t>amend two subclauses in Schedule 3 to the Family Law (Superannuation) Regulations 2025 to rectify two errors.</w:t>
      </w:r>
    </w:p>
    <w:p w14:paraId="75C52F68" w14:textId="77777777" w:rsidR="0074539E" w:rsidRDefault="0074539E" w:rsidP="0045673E">
      <w:pPr>
        <w:spacing w:after="160" w:line="240" w:lineRule="auto"/>
        <w:rPr>
          <w:rFonts w:ascii="Times New Roman" w:eastAsia="Calibri" w:hAnsi="Times New Roman" w:cs="Times New Roman"/>
          <w:sz w:val="24"/>
          <w:szCs w:val="24"/>
        </w:rPr>
      </w:pPr>
      <w:r w:rsidRPr="0074539E">
        <w:rPr>
          <w:rFonts w:ascii="Times New Roman" w:eastAsia="Calibri" w:hAnsi="Times New Roman" w:cs="Times New Roman"/>
          <w:sz w:val="24"/>
          <w:szCs w:val="24"/>
        </w:rPr>
        <w:t xml:space="preserve">The </w:t>
      </w:r>
      <w:r w:rsidRPr="0074539E">
        <w:rPr>
          <w:rFonts w:ascii="Times New Roman" w:eastAsia="Calibri" w:hAnsi="Times New Roman" w:cs="Times New Roman"/>
          <w:i/>
          <w:sz w:val="24"/>
          <w:szCs w:val="24"/>
        </w:rPr>
        <w:t>Family Law Act 1975</w:t>
      </w:r>
      <w:r w:rsidRPr="0074539E">
        <w:rPr>
          <w:rFonts w:ascii="Times New Roman" w:eastAsia="Calibri" w:hAnsi="Times New Roman" w:cs="Times New Roman"/>
          <w:sz w:val="24"/>
          <w:szCs w:val="24"/>
        </w:rPr>
        <w:t xml:space="preserve"> (the Act) provides the legislative framework relating to divorce, parenting arrangements for children, and the division of property following relationship breakdown. Subsection 125(1) of the Act provides that the Governor-General may make regulations, not inconsistent with the Act, prescribing all matters that are required or permitted by the Act to be prescribed or are necessary or convenient to be prescribed for carrying out or giving effect to the Act. </w:t>
      </w:r>
    </w:p>
    <w:p w14:paraId="28B8A59D" w14:textId="77777777" w:rsidR="0074539E" w:rsidRPr="0074539E" w:rsidRDefault="0074539E" w:rsidP="0045673E">
      <w:pPr>
        <w:spacing w:after="160" w:line="240" w:lineRule="auto"/>
        <w:rPr>
          <w:rFonts w:ascii="Times New Roman" w:eastAsia="Calibri" w:hAnsi="Times New Roman" w:cs="Times New Roman"/>
          <w:sz w:val="24"/>
          <w:szCs w:val="24"/>
        </w:rPr>
      </w:pPr>
      <w:r w:rsidRPr="0074539E">
        <w:rPr>
          <w:rFonts w:ascii="Times New Roman" w:eastAsia="Calibri" w:hAnsi="Times New Roman" w:cs="Times New Roman"/>
          <w:sz w:val="24"/>
          <w:szCs w:val="24"/>
        </w:rPr>
        <w:t>The Family Law (Superannuation) Regulations 2001 (</w:t>
      </w:r>
      <w:r w:rsidR="0045673E">
        <w:rPr>
          <w:rFonts w:ascii="Times New Roman" w:eastAsia="Calibri" w:hAnsi="Times New Roman" w:cs="Times New Roman"/>
          <w:sz w:val="24"/>
          <w:szCs w:val="24"/>
        </w:rPr>
        <w:t xml:space="preserve">the </w:t>
      </w:r>
      <w:r w:rsidRPr="0074539E">
        <w:rPr>
          <w:rFonts w:ascii="Times New Roman" w:eastAsia="Calibri" w:hAnsi="Times New Roman" w:cs="Times New Roman"/>
          <w:sz w:val="24"/>
          <w:szCs w:val="24"/>
        </w:rPr>
        <w:t xml:space="preserve">Principal Regulations) support the distribution of superannuation interests under Parts VIIIB and VIIIC of the Act, following relationship breakdown. </w:t>
      </w:r>
    </w:p>
    <w:p w14:paraId="4EB64330" w14:textId="77777777" w:rsidR="0074539E" w:rsidRPr="0074539E" w:rsidRDefault="0074539E" w:rsidP="0045673E">
      <w:pPr>
        <w:spacing w:after="160" w:line="240" w:lineRule="auto"/>
        <w:rPr>
          <w:rFonts w:ascii="Times New Roman" w:eastAsia="Calibri" w:hAnsi="Times New Roman" w:cs="Times New Roman"/>
          <w:sz w:val="24"/>
          <w:szCs w:val="24"/>
        </w:rPr>
      </w:pPr>
      <w:r w:rsidRPr="0074539E">
        <w:rPr>
          <w:rFonts w:ascii="Times New Roman" w:eastAsia="Calibri" w:hAnsi="Times New Roman" w:cs="Times New Roman"/>
          <w:sz w:val="24"/>
          <w:szCs w:val="24"/>
        </w:rPr>
        <w:t>The Family Law (Superannuation) Regulations 2025</w:t>
      </w:r>
      <w:r w:rsidRPr="0074539E">
        <w:rPr>
          <w:rFonts w:ascii="Times New Roman" w:eastAsia="Calibri" w:hAnsi="Times New Roman" w:cs="Times New Roman"/>
          <w:i/>
          <w:sz w:val="24"/>
          <w:szCs w:val="24"/>
        </w:rPr>
        <w:t xml:space="preserve"> </w:t>
      </w:r>
      <w:r w:rsidRPr="0074539E">
        <w:rPr>
          <w:rFonts w:ascii="Times New Roman" w:eastAsia="Calibri" w:hAnsi="Times New Roman" w:cs="Times New Roman"/>
          <w:sz w:val="24"/>
          <w:szCs w:val="24"/>
        </w:rPr>
        <w:t xml:space="preserve">(the 2025 Regulations) were made by the Governor-General in Council on 20 February 2025 and will commence on 1 April 2025, when they will replace the Principal Regulations. The Amendment Regulations </w:t>
      </w:r>
      <w:bookmarkStart w:id="3" w:name="_Hlk189814517"/>
      <w:r w:rsidRPr="0074539E">
        <w:rPr>
          <w:rFonts w:ascii="Times New Roman" w:eastAsia="Calibri" w:hAnsi="Times New Roman" w:cs="Times New Roman"/>
          <w:sz w:val="24"/>
          <w:szCs w:val="24"/>
        </w:rPr>
        <w:t>amend the 2025 Regulations</w:t>
      </w:r>
      <w:bookmarkEnd w:id="3"/>
      <w:r w:rsidRPr="0074539E">
        <w:rPr>
          <w:rFonts w:ascii="Times New Roman" w:eastAsia="Calibri" w:hAnsi="Times New Roman" w:cs="Times New Roman"/>
          <w:sz w:val="24"/>
          <w:szCs w:val="24"/>
        </w:rPr>
        <w:t xml:space="preserve">. The amendments in the </w:t>
      </w:r>
      <w:r w:rsidR="0020524B">
        <w:rPr>
          <w:rFonts w:ascii="Times New Roman" w:eastAsia="Calibri" w:hAnsi="Times New Roman" w:cs="Times New Roman"/>
          <w:sz w:val="24"/>
          <w:szCs w:val="24"/>
        </w:rPr>
        <w:t>Amendment</w:t>
      </w:r>
      <w:r w:rsidRPr="0074539E">
        <w:rPr>
          <w:rFonts w:ascii="Times New Roman" w:eastAsia="Calibri" w:hAnsi="Times New Roman" w:cs="Times New Roman"/>
          <w:sz w:val="24"/>
          <w:szCs w:val="24"/>
        </w:rPr>
        <w:t xml:space="preserve"> Regulations are technical in nature and are intended to rectify two drafting errors identified after the 2025 Regulations were made. </w:t>
      </w:r>
    </w:p>
    <w:p w14:paraId="413C6965" w14:textId="77777777" w:rsidR="0074539E" w:rsidRPr="00E876ED" w:rsidRDefault="0074539E" w:rsidP="0045673E">
      <w:pPr>
        <w:spacing w:after="160" w:line="240" w:lineRule="auto"/>
        <w:rPr>
          <w:rFonts w:ascii="Times New Roman" w:eastAsia="Calibri" w:hAnsi="Times New Roman" w:cs="Times New Roman"/>
          <w:sz w:val="24"/>
          <w:szCs w:val="24"/>
        </w:rPr>
      </w:pPr>
      <w:r w:rsidRPr="00E876ED">
        <w:rPr>
          <w:rFonts w:ascii="Times New Roman" w:eastAsia="Calibri" w:hAnsi="Times New Roman" w:cs="Times New Roman"/>
          <w:sz w:val="24"/>
          <w:szCs w:val="24"/>
        </w:rPr>
        <w:t xml:space="preserve">Under subsection 33(3) of the </w:t>
      </w:r>
      <w:r w:rsidRPr="0082481F">
        <w:rPr>
          <w:rFonts w:ascii="Times New Roman" w:eastAsia="Calibri" w:hAnsi="Times New Roman" w:cs="Times New Roman"/>
          <w:i/>
          <w:sz w:val="24"/>
          <w:szCs w:val="24"/>
        </w:rPr>
        <w:t>Acts Interpretation Act 1901</w:t>
      </w:r>
      <w:r w:rsidRPr="00E876ED">
        <w:rPr>
          <w:rFonts w:ascii="Times New Roman" w:eastAsia="Calibri" w:hAnsi="Times New Roman" w:cs="Times New Roman"/>
          <w:sz w:val="24"/>
          <w:szCs w:val="24"/>
        </w:rPr>
        <w:t>, where an Act confers a power to make, grant or issue any instrument of a legislative or administrative character (including rules, regulations or by</w:t>
      </w:r>
      <w:r w:rsidRPr="00E876ED">
        <w:rPr>
          <w:rFonts w:ascii="Times New Roman" w:eastAsia="Calibri" w:hAnsi="Times New Roman" w:cs="Times New Roman"/>
          <w:sz w:val="24"/>
          <w:szCs w:val="24"/>
        </w:rPr>
        <w:noBreakHyphen/>
        <w:t xml:space="preserve">laws), the power shall be construed as including a power exercisable in the like manner and subject to the like conditions (if any) to repeal, rescind, revoke, amend, or vary any such instrument. </w:t>
      </w:r>
    </w:p>
    <w:bookmarkEnd w:id="1"/>
    <w:bookmarkEnd w:id="2"/>
    <w:p w14:paraId="45A4232E" w14:textId="3726B744" w:rsidR="0074539E" w:rsidRPr="007D3A3E" w:rsidRDefault="0074539E" w:rsidP="00DD219E">
      <w:pPr>
        <w:tabs>
          <w:tab w:val="left" w:pos="5535"/>
        </w:tabs>
        <w:spacing w:after="160" w:line="240" w:lineRule="auto"/>
        <w:rPr>
          <w:rFonts w:ascii="Times New Roman" w:eastAsia="Calibri" w:hAnsi="Times New Roman" w:cs="Times New Roman"/>
          <w:b/>
          <w:bCs/>
          <w:caps/>
          <w:sz w:val="24"/>
          <w:szCs w:val="24"/>
        </w:rPr>
      </w:pPr>
      <w:r w:rsidRPr="007D3A3E">
        <w:rPr>
          <w:rFonts w:ascii="Times New Roman" w:eastAsia="Calibri" w:hAnsi="Times New Roman" w:cs="Times New Roman"/>
          <w:b/>
          <w:bCs/>
          <w:caps/>
          <w:sz w:val="24"/>
          <w:szCs w:val="24"/>
        </w:rPr>
        <w:t xml:space="preserve">Consultation </w:t>
      </w:r>
    </w:p>
    <w:p w14:paraId="44E66D3C" w14:textId="5ABD1769" w:rsidR="0074539E" w:rsidRPr="00E876ED" w:rsidRDefault="0074539E" w:rsidP="0045673E">
      <w:pPr>
        <w:spacing w:after="160" w:line="240" w:lineRule="auto"/>
        <w:rPr>
          <w:rFonts w:ascii="Times New Roman" w:eastAsia="Calibri" w:hAnsi="Times New Roman" w:cs="Times New Roman"/>
          <w:bCs/>
          <w:sz w:val="24"/>
          <w:szCs w:val="24"/>
        </w:rPr>
      </w:pPr>
      <w:r w:rsidRPr="0074539E">
        <w:rPr>
          <w:rFonts w:ascii="Times New Roman" w:eastAsia="Calibri" w:hAnsi="Times New Roman" w:cs="Times New Roman"/>
          <w:sz w:val="24"/>
          <w:szCs w:val="24"/>
        </w:rPr>
        <w:t xml:space="preserve">The </w:t>
      </w:r>
      <w:r w:rsidR="00AB33A9">
        <w:rPr>
          <w:rFonts w:ascii="Times New Roman" w:eastAsia="Calibri" w:hAnsi="Times New Roman" w:cs="Times New Roman"/>
          <w:sz w:val="24"/>
          <w:szCs w:val="24"/>
        </w:rPr>
        <w:t>Attorney-General’s Department</w:t>
      </w:r>
      <w:r w:rsidRPr="0074539E">
        <w:rPr>
          <w:rFonts w:ascii="Times New Roman" w:eastAsia="Calibri" w:hAnsi="Times New Roman" w:cs="Times New Roman"/>
          <w:sz w:val="24"/>
          <w:szCs w:val="24"/>
        </w:rPr>
        <w:t xml:space="preserve"> consulted the Australian Government Actuary </w:t>
      </w:r>
      <w:r w:rsidR="00105BE6">
        <w:rPr>
          <w:rFonts w:ascii="Times New Roman" w:eastAsia="Calibri" w:hAnsi="Times New Roman" w:cs="Times New Roman"/>
          <w:sz w:val="24"/>
          <w:szCs w:val="24"/>
        </w:rPr>
        <w:t xml:space="preserve">(AGA) </w:t>
      </w:r>
      <w:r w:rsidRPr="0074539E">
        <w:rPr>
          <w:rFonts w:ascii="Times New Roman" w:eastAsia="Calibri" w:hAnsi="Times New Roman" w:cs="Times New Roman"/>
          <w:sz w:val="24"/>
          <w:szCs w:val="24"/>
        </w:rPr>
        <w:t xml:space="preserve">to </w:t>
      </w:r>
      <w:r w:rsidR="0078476B">
        <w:rPr>
          <w:rFonts w:ascii="Times New Roman" w:eastAsia="Calibri" w:hAnsi="Times New Roman" w:cs="Times New Roman"/>
          <w:sz w:val="24"/>
          <w:szCs w:val="24"/>
        </w:rPr>
        <w:t xml:space="preserve">rectify </w:t>
      </w:r>
      <w:r w:rsidRPr="0074539E">
        <w:rPr>
          <w:rFonts w:ascii="Times New Roman" w:eastAsia="Calibri" w:hAnsi="Times New Roman" w:cs="Times New Roman"/>
          <w:sz w:val="24"/>
          <w:szCs w:val="24"/>
        </w:rPr>
        <w:t>the errors</w:t>
      </w:r>
      <w:r w:rsidR="0078476B">
        <w:rPr>
          <w:rFonts w:ascii="Times New Roman" w:eastAsia="Calibri" w:hAnsi="Times New Roman" w:cs="Times New Roman"/>
          <w:sz w:val="24"/>
          <w:szCs w:val="24"/>
        </w:rPr>
        <w:t xml:space="preserve"> </w:t>
      </w:r>
      <w:r w:rsidR="00105BE6">
        <w:rPr>
          <w:rFonts w:ascii="Times New Roman" w:eastAsia="Calibri" w:hAnsi="Times New Roman" w:cs="Times New Roman"/>
          <w:sz w:val="24"/>
          <w:szCs w:val="24"/>
        </w:rPr>
        <w:t xml:space="preserve">to </w:t>
      </w:r>
      <w:r w:rsidR="0078476B">
        <w:rPr>
          <w:rFonts w:ascii="Times New Roman" w:eastAsia="Calibri" w:hAnsi="Times New Roman" w:cs="Times New Roman"/>
          <w:sz w:val="24"/>
          <w:szCs w:val="24"/>
        </w:rPr>
        <w:t xml:space="preserve">ensure </w:t>
      </w:r>
      <w:r w:rsidR="00D828E3">
        <w:rPr>
          <w:rFonts w:ascii="Times New Roman" w:eastAsia="Calibri" w:hAnsi="Times New Roman" w:cs="Times New Roman"/>
          <w:sz w:val="24"/>
          <w:szCs w:val="24"/>
        </w:rPr>
        <w:t>the formulae</w:t>
      </w:r>
      <w:r w:rsidR="00A4554E">
        <w:rPr>
          <w:rFonts w:ascii="Times New Roman" w:eastAsia="Calibri" w:hAnsi="Times New Roman" w:cs="Times New Roman"/>
          <w:sz w:val="24"/>
          <w:szCs w:val="24"/>
        </w:rPr>
        <w:t xml:space="preserve"> </w:t>
      </w:r>
      <w:r w:rsidR="00330507">
        <w:rPr>
          <w:rFonts w:ascii="Times New Roman" w:eastAsia="Calibri" w:hAnsi="Times New Roman" w:cs="Times New Roman"/>
          <w:sz w:val="24"/>
          <w:szCs w:val="24"/>
        </w:rPr>
        <w:t xml:space="preserve">give effect to earlier advice from the AGA, </w:t>
      </w:r>
      <w:r w:rsidR="00A4554E">
        <w:rPr>
          <w:rFonts w:ascii="Times New Roman" w:eastAsia="Calibri" w:hAnsi="Times New Roman" w:cs="Times New Roman"/>
          <w:sz w:val="24"/>
          <w:szCs w:val="24"/>
        </w:rPr>
        <w:t>and</w:t>
      </w:r>
      <w:r w:rsidR="00D828E3">
        <w:rPr>
          <w:rFonts w:ascii="Times New Roman" w:eastAsia="Calibri" w:hAnsi="Times New Roman" w:cs="Times New Roman"/>
          <w:sz w:val="24"/>
          <w:szCs w:val="24"/>
        </w:rPr>
        <w:t xml:space="preserve"> produce </w:t>
      </w:r>
      <w:r w:rsidR="00330507">
        <w:rPr>
          <w:rFonts w:ascii="Times New Roman" w:eastAsia="Calibri" w:hAnsi="Times New Roman" w:cs="Times New Roman"/>
          <w:sz w:val="24"/>
          <w:szCs w:val="24"/>
        </w:rPr>
        <w:t xml:space="preserve">accurate and </w:t>
      </w:r>
      <w:r w:rsidR="00105BE6">
        <w:rPr>
          <w:rFonts w:ascii="Times New Roman" w:eastAsia="Calibri" w:hAnsi="Times New Roman" w:cs="Times New Roman"/>
          <w:sz w:val="24"/>
          <w:szCs w:val="24"/>
        </w:rPr>
        <w:t xml:space="preserve">reasonable </w:t>
      </w:r>
      <w:r w:rsidR="0078476B">
        <w:rPr>
          <w:rFonts w:ascii="Times New Roman" w:eastAsia="Calibri" w:hAnsi="Times New Roman" w:cs="Times New Roman"/>
          <w:sz w:val="24"/>
          <w:szCs w:val="24"/>
        </w:rPr>
        <w:t>valu</w:t>
      </w:r>
      <w:r w:rsidR="00105BE6">
        <w:rPr>
          <w:rFonts w:ascii="Times New Roman" w:eastAsia="Calibri" w:hAnsi="Times New Roman" w:cs="Times New Roman"/>
          <w:sz w:val="24"/>
          <w:szCs w:val="24"/>
        </w:rPr>
        <w:t>ations</w:t>
      </w:r>
      <w:r w:rsidR="0078476B">
        <w:rPr>
          <w:rFonts w:ascii="Times New Roman" w:eastAsia="Calibri" w:hAnsi="Times New Roman" w:cs="Times New Roman"/>
          <w:sz w:val="24"/>
          <w:szCs w:val="24"/>
        </w:rPr>
        <w:t xml:space="preserve"> of superannuation interests</w:t>
      </w:r>
      <w:r w:rsidR="00105BE6">
        <w:rPr>
          <w:rFonts w:ascii="Times New Roman" w:eastAsia="Calibri" w:hAnsi="Times New Roman" w:cs="Times New Roman"/>
          <w:sz w:val="24"/>
          <w:szCs w:val="24"/>
        </w:rPr>
        <w:t>.</w:t>
      </w:r>
      <w:r w:rsidRPr="0074539E">
        <w:rPr>
          <w:rFonts w:ascii="Times New Roman" w:eastAsia="Calibri" w:hAnsi="Times New Roman" w:cs="Times New Roman"/>
          <w:sz w:val="24"/>
          <w:szCs w:val="24"/>
        </w:rPr>
        <w:t xml:space="preserve"> </w:t>
      </w:r>
    </w:p>
    <w:p w14:paraId="56F96240" w14:textId="77777777" w:rsidR="0074539E" w:rsidRPr="007D3A3E" w:rsidRDefault="0074539E" w:rsidP="0045673E">
      <w:pPr>
        <w:spacing w:after="160" w:line="240" w:lineRule="auto"/>
        <w:rPr>
          <w:rFonts w:ascii="Times New Roman" w:eastAsia="Calibri" w:hAnsi="Times New Roman" w:cs="Times New Roman"/>
          <w:b/>
          <w:bCs/>
          <w:caps/>
          <w:sz w:val="24"/>
          <w:szCs w:val="24"/>
        </w:rPr>
      </w:pPr>
      <w:r w:rsidRPr="007D3A3E">
        <w:rPr>
          <w:rFonts w:ascii="Times New Roman" w:eastAsia="Calibri" w:hAnsi="Times New Roman" w:cs="Times New Roman"/>
          <w:b/>
          <w:bCs/>
          <w:caps/>
          <w:sz w:val="24"/>
          <w:szCs w:val="24"/>
        </w:rPr>
        <w:t>Statement of Compatibility with Human Rights</w:t>
      </w:r>
    </w:p>
    <w:p w14:paraId="383B07B8" w14:textId="77777777" w:rsidR="0074539E" w:rsidRPr="00E876ED" w:rsidRDefault="0074539E" w:rsidP="0045673E">
      <w:pPr>
        <w:spacing w:after="160" w:line="240" w:lineRule="auto"/>
        <w:rPr>
          <w:rFonts w:ascii="Times New Roman" w:eastAsia="Calibri" w:hAnsi="Times New Roman" w:cs="Times New Roman"/>
          <w:sz w:val="24"/>
          <w:szCs w:val="24"/>
        </w:rPr>
      </w:pPr>
      <w:r w:rsidRPr="00E876ED">
        <w:rPr>
          <w:rFonts w:ascii="Times New Roman" w:eastAsia="Calibri" w:hAnsi="Times New Roman" w:cs="Times New Roman"/>
          <w:sz w:val="24"/>
          <w:szCs w:val="24"/>
        </w:rPr>
        <w:t xml:space="preserve">This Disallowable Legislative Instrument is compatible with human rights </w:t>
      </w:r>
      <w:r w:rsidR="0020524B">
        <w:rPr>
          <w:rFonts w:ascii="Times New Roman" w:eastAsia="Calibri" w:hAnsi="Times New Roman" w:cs="Times New Roman"/>
          <w:sz w:val="24"/>
          <w:szCs w:val="24"/>
        </w:rPr>
        <w:t>and</w:t>
      </w:r>
      <w:r w:rsidRPr="00E876ED">
        <w:rPr>
          <w:rFonts w:ascii="Times New Roman" w:eastAsia="Calibri" w:hAnsi="Times New Roman" w:cs="Times New Roman"/>
          <w:sz w:val="24"/>
          <w:szCs w:val="24"/>
        </w:rPr>
        <w:t xml:space="preserve"> does not raise any human rights issues. A Statement of Compatibility with Human Rights is set out in </w:t>
      </w:r>
      <w:r w:rsidRPr="00E876ED">
        <w:rPr>
          <w:rFonts w:ascii="Times New Roman" w:eastAsia="Calibri" w:hAnsi="Times New Roman" w:cs="Times New Roman"/>
          <w:b/>
          <w:sz w:val="24"/>
          <w:szCs w:val="24"/>
        </w:rPr>
        <w:t>Attachment A</w:t>
      </w:r>
      <w:r w:rsidRPr="00E876ED">
        <w:rPr>
          <w:rFonts w:ascii="Times New Roman" w:eastAsia="Calibri" w:hAnsi="Times New Roman" w:cs="Times New Roman"/>
          <w:sz w:val="24"/>
          <w:szCs w:val="24"/>
        </w:rPr>
        <w:t>.</w:t>
      </w:r>
    </w:p>
    <w:p w14:paraId="4BA3E8D9" w14:textId="77777777" w:rsidR="00952D80" w:rsidRPr="0020524B" w:rsidRDefault="0074539E" w:rsidP="0045673E">
      <w:pPr>
        <w:spacing w:after="160" w:line="240" w:lineRule="auto"/>
        <w:rPr>
          <w:rFonts w:ascii="Times New Roman" w:eastAsia="Calibri" w:hAnsi="Times New Roman" w:cs="Times New Roman"/>
          <w:sz w:val="24"/>
          <w:szCs w:val="24"/>
        </w:rPr>
      </w:pPr>
      <w:r w:rsidRPr="00E876ED">
        <w:rPr>
          <w:rFonts w:ascii="Times New Roman" w:eastAsia="Calibri" w:hAnsi="Times New Roman" w:cs="Times New Roman"/>
          <w:sz w:val="24"/>
          <w:szCs w:val="24"/>
        </w:rPr>
        <w:t xml:space="preserve">The instrument is a legislative instrument for the purposes of the </w:t>
      </w:r>
      <w:r w:rsidRPr="00E876ED">
        <w:rPr>
          <w:rFonts w:ascii="Times New Roman" w:eastAsia="Calibri" w:hAnsi="Times New Roman" w:cs="Times New Roman"/>
          <w:i/>
          <w:sz w:val="24"/>
          <w:szCs w:val="24"/>
        </w:rPr>
        <w:t>Legislation Act 2003</w:t>
      </w:r>
      <w:r w:rsidRPr="00E876ED">
        <w:rPr>
          <w:rFonts w:ascii="Times New Roman" w:eastAsia="Calibri" w:hAnsi="Times New Roman" w:cs="Times New Roman"/>
          <w:sz w:val="24"/>
          <w:szCs w:val="24"/>
        </w:rPr>
        <w:t xml:space="preserve">. Details of the instrument are set out in </w:t>
      </w:r>
      <w:r w:rsidRPr="00E876ED">
        <w:rPr>
          <w:rFonts w:ascii="Times New Roman" w:eastAsia="Calibri" w:hAnsi="Times New Roman" w:cs="Times New Roman"/>
          <w:b/>
          <w:sz w:val="24"/>
          <w:szCs w:val="24"/>
        </w:rPr>
        <w:t>Attachment B</w:t>
      </w:r>
      <w:r w:rsidRPr="00E876ED">
        <w:rPr>
          <w:rFonts w:ascii="Times New Roman" w:eastAsia="Calibri" w:hAnsi="Times New Roman" w:cs="Times New Roman"/>
          <w:sz w:val="24"/>
          <w:szCs w:val="24"/>
        </w:rPr>
        <w:t>.</w:t>
      </w:r>
      <w:r w:rsidR="00952D80">
        <w:rPr>
          <w:rFonts w:ascii="Times New Roman" w:eastAsia="Calibri" w:hAnsi="Times New Roman" w:cs="Times New Roman"/>
          <w:b/>
          <w:bCs/>
          <w:caps/>
          <w:sz w:val="24"/>
          <w:szCs w:val="24"/>
        </w:rPr>
        <w:br w:type="page"/>
      </w:r>
    </w:p>
    <w:p w14:paraId="6A289FDA" w14:textId="77777777" w:rsidR="0074539E" w:rsidRPr="00E876ED" w:rsidRDefault="0074539E" w:rsidP="0045673E">
      <w:pPr>
        <w:spacing w:after="160" w:line="240" w:lineRule="auto"/>
        <w:jc w:val="right"/>
        <w:rPr>
          <w:rFonts w:eastAsia="Calibri" w:cs="Times New Roman"/>
          <w:bCs/>
          <w:sz w:val="24"/>
          <w:szCs w:val="24"/>
          <w:u w:val="single"/>
        </w:rPr>
      </w:pPr>
      <w:r>
        <w:rPr>
          <w:rFonts w:ascii="Times New Roman" w:eastAsia="Calibri" w:hAnsi="Times New Roman" w:cs="Times New Roman"/>
          <w:b/>
          <w:bCs/>
          <w:sz w:val="24"/>
          <w:szCs w:val="24"/>
          <w:u w:val="single"/>
        </w:rPr>
        <w:lastRenderedPageBreak/>
        <w:t>ATTACHMENT</w:t>
      </w:r>
      <w:r w:rsidRPr="007D3A3E">
        <w:rPr>
          <w:rFonts w:ascii="Times New Roman" w:eastAsia="Calibri" w:hAnsi="Times New Roman" w:cs="Times New Roman"/>
          <w:b/>
          <w:bCs/>
          <w:sz w:val="24"/>
          <w:szCs w:val="24"/>
          <w:u w:val="single"/>
        </w:rPr>
        <w:t xml:space="preserve"> A</w:t>
      </w:r>
    </w:p>
    <w:p w14:paraId="338951ED" w14:textId="77777777" w:rsidR="0074539E" w:rsidRPr="00E876ED" w:rsidRDefault="0074539E" w:rsidP="0045673E">
      <w:pPr>
        <w:pStyle w:val="Heading2"/>
        <w:spacing w:before="0" w:after="160"/>
        <w:rPr>
          <w:rFonts w:cs="Times New Roman"/>
          <w:sz w:val="24"/>
          <w:szCs w:val="24"/>
        </w:rPr>
      </w:pPr>
      <w:r w:rsidRPr="00E876ED">
        <w:rPr>
          <w:rFonts w:cs="Times New Roman"/>
          <w:sz w:val="24"/>
          <w:szCs w:val="24"/>
        </w:rPr>
        <w:t>Statement of Compatibility with Human Rights</w:t>
      </w:r>
    </w:p>
    <w:p w14:paraId="3618C1DF" w14:textId="77777777" w:rsidR="0074539E" w:rsidRPr="007D3A3E" w:rsidRDefault="0074539E" w:rsidP="0045673E">
      <w:pPr>
        <w:spacing w:after="160" w:line="240" w:lineRule="auto"/>
        <w:jc w:val="center"/>
        <w:rPr>
          <w:rFonts w:ascii="Times New Roman" w:hAnsi="Times New Roman" w:cs="Times New Roman"/>
          <w:sz w:val="24"/>
          <w:szCs w:val="24"/>
        </w:rPr>
      </w:pPr>
      <w:r w:rsidRPr="007D3A3E">
        <w:rPr>
          <w:rFonts w:ascii="Times New Roman" w:hAnsi="Times New Roman" w:cs="Times New Roman"/>
          <w:i/>
          <w:sz w:val="24"/>
          <w:szCs w:val="24"/>
        </w:rPr>
        <w:t>Prepared in accordance with Part 3 of the Human Rights (Parliamentary Scrutiny) Act 2011</w:t>
      </w:r>
    </w:p>
    <w:p w14:paraId="6ED25A81" w14:textId="77777777" w:rsidR="0074539E" w:rsidRPr="007D3A3E" w:rsidRDefault="0074539E" w:rsidP="00AB33A9">
      <w:pPr>
        <w:pStyle w:val="Heading3"/>
        <w:spacing w:before="0" w:after="160"/>
        <w:rPr>
          <w:rFonts w:cs="Times New Roman"/>
        </w:rPr>
      </w:pPr>
      <w:r w:rsidRPr="007D3A3E">
        <w:rPr>
          <w:rFonts w:cs="Times New Roman"/>
        </w:rPr>
        <w:t xml:space="preserve">Family Law (Superannuation) </w:t>
      </w:r>
      <w:r w:rsidR="00952D80">
        <w:rPr>
          <w:rFonts w:cs="Times New Roman"/>
        </w:rPr>
        <w:t xml:space="preserve">Amendment </w:t>
      </w:r>
      <w:r w:rsidR="0020524B">
        <w:rPr>
          <w:rFonts w:cs="Times New Roman"/>
        </w:rPr>
        <w:t xml:space="preserve">(Technical Amendments) </w:t>
      </w:r>
      <w:r w:rsidRPr="007D3A3E">
        <w:rPr>
          <w:rFonts w:cs="Times New Roman"/>
        </w:rPr>
        <w:t xml:space="preserve">Regulations 2025 </w:t>
      </w:r>
    </w:p>
    <w:p w14:paraId="16E7068B" w14:textId="77777777" w:rsidR="0074539E" w:rsidRPr="00105698" w:rsidRDefault="0074539E" w:rsidP="00105698">
      <w:pPr>
        <w:spacing w:after="160" w:line="240" w:lineRule="auto"/>
        <w:rPr>
          <w:rFonts w:ascii="Times New Roman" w:hAnsi="Times New Roman"/>
          <w:sz w:val="24"/>
          <w:szCs w:val="24"/>
        </w:rPr>
      </w:pPr>
      <w:r w:rsidRPr="00105698">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sidRPr="00105698">
        <w:rPr>
          <w:rFonts w:ascii="Times New Roman" w:hAnsi="Times New Roman"/>
          <w:i/>
          <w:sz w:val="24"/>
          <w:szCs w:val="24"/>
        </w:rPr>
        <w:t>Human Rights (Parliamentary Scrutiny) Act 2011</w:t>
      </w:r>
      <w:r w:rsidRPr="00105698">
        <w:rPr>
          <w:rFonts w:ascii="Times New Roman" w:hAnsi="Times New Roman"/>
          <w:sz w:val="24"/>
          <w:szCs w:val="24"/>
        </w:rPr>
        <w:t>.</w:t>
      </w:r>
    </w:p>
    <w:p w14:paraId="37F2C9C1" w14:textId="77777777" w:rsidR="0074539E" w:rsidRPr="007D3A3E" w:rsidRDefault="0074539E" w:rsidP="0045673E">
      <w:pPr>
        <w:pStyle w:val="Heading3"/>
        <w:spacing w:before="0" w:after="160"/>
        <w:rPr>
          <w:rFonts w:cs="Times New Roman"/>
        </w:rPr>
      </w:pPr>
      <w:r w:rsidRPr="00F6315C">
        <w:rPr>
          <w:rFonts w:cs="Times New Roman"/>
        </w:rPr>
        <w:t>Overview of the Regulations</w:t>
      </w:r>
    </w:p>
    <w:p w14:paraId="7832C0FC" w14:textId="77777777" w:rsidR="0020524B" w:rsidRPr="00105698" w:rsidRDefault="0074539E" w:rsidP="00105698">
      <w:pPr>
        <w:spacing w:after="160" w:line="240" w:lineRule="auto"/>
        <w:rPr>
          <w:rFonts w:ascii="Times New Roman" w:hAnsi="Times New Roman"/>
          <w:sz w:val="24"/>
          <w:szCs w:val="24"/>
        </w:rPr>
      </w:pPr>
      <w:r w:rsidRPr="00105698">
        <w:rPr>
          <w:rFonts w:ascii="Times New Roman" w:hAnsi="Times New Roman"/>
          <w:sz w:val="24"/>
          <w:szCs w:val="24"/>
        </w:rPr>
        <w:t xml:space="preserve">The Family Law (Superannuation) </w:t>
      </w:r>
      <w:r w:rsidR="0020524B" w:rsidRPr="00105698">
        <w:rPr>
          <w:rFonts w:ascii="Times New Roman" w:hAnsi="Times New Roman"/>
          <w:sz w:val="24"/>
          <w:szCs w:val="24"/>
        </w:rPr>
        <w:t xml:space="preserve">Amendment (Technical Amendments) </w:t>
      </w:r>
      <w:r w:rsidRPr="00105698">
        <w:rPr>
          <w:rFonts w:ascii="Times New Roman" w:hAnsi="Times New Roman"/>
          <w:sz w:val="24"/>
          <w:szCs w:val="24"/>
        </w:rPr>
        <w:t>Regulations 2025 (</w:t>
      </w:r>
      <w:r w:rsidR="0045673E" w:rsidRPr="00105698">
        <w:rPr>
          <w:rFonts w:ascii="Times New Roman" w:hAnsi="Times New Roman"/>
          <w:sz w:val="24"/>
          <w:szCs w:val="24"/>
        </w:rPr>
        <w:t xml:space="preserve">the </w:t>
      </w:r>
      <w:r w:rsidR="0020524B" w:rsidRPr="00105698">
        <w:rPr>
          <w:rFonts w:ascii="Times New Roman" w:hAnsi="Times New Roman"/>
          <w:sz w:val="24"/>
          <w:szCs w:val="24"/>
        </w:rPr>
        <w:t xml:space="preserve">Amendment </w:t>
      </w:r>
      <w:r w:rsidRPr="00105698">
        <w:rPr>
          <w:rFonts w:ascii="Times New Roman" w:hAnsi="Times New Roman"/>
          <w:sz w:val="24"/>
          <w:szCs w:val="24"/>
        </w:rPr>
        <w:t>Regulations)</w:t>
      </w:r>
      <w:r w:rsidR="0020524B" w:rsidRPr="00105698">
        <w:rPr>
          <w:rFonts w:ascii="Times New Roman" w:hAnsi="Times New Roman"/>
          <w:sz w:val="24"/>
          <w:szCs w:val="24"/>
        </w:rPr>
        <w:t xml:space="preserve"> </w:t>
      </w:r>
      <w:r w:rsidR="0020524B" w:rsidRPr="00105698">
        <w:rPr>
          <w:rFonts w:ascii="Times New Roman" w:eastAsia="Times New Roman" w:hAnsi="Times New Roman"/>
          <w:sz w:val="24"/>
          <w:lang w:eastAsia="en-AU"/>
        </w:rPr>
        <w:t>amend two subclauses in Schedule 3 to the Family Law (Superannuation) Regulations 2025 (</w:t>
      </w:r>
      <w:r w:rsidR="0045673E" w:rsidRPr="00105698">
        <w:rPr>
          <w:rFonts w:ascii="Times New Roman" w:eastAsia="Times New Roman" w:hAnsi="Times New Roman"/>
          <w:sz w:val="24"/>
          <w:lang w:eastAsia="en-AU"/>
        </w:rPr>
        <w:t xml:space="preserve">the </w:t>
      </w:r>
      <w:r w:rsidR="0020524B" w:rsidRPr="00105698">
        <w:rPr>
          <w:rFonts w:ascii="Times New Roman" w:eastAsia="Times New Roman" w:hAnsi="Times New Roman"/>
          <w:sz w:val="24"/>
          <w:lang w:eastAsia="en-AU"/>
        </w:rPr>
        <w:t>2025 Regulations) to rectify two errors.</w:t>
      </w:r>
    </w:p>
    <w:p w14:paraId="4E227583" w14:textId="50C7D4E5" w:rsidR="00233462" w:rsidRPr="00105698" w:rsidRDefault="00233462" w:rsidP="00105698">
      <w:pPr>
        <w:spacing w:after="160" w:line="240" w:lineRule="auto"/>
        <w:rPr>
          <w:rFonts w:ascii="Times New Roman" w:hAnsi="Times New Roman"/>
          <w:sz w:val="24"/>
          <w:szCs w:val="24"/>
        </w:rPr>
      </w:pPr>
      <w:r w:rsidRPr="00105698">
        <w:rPr>
          <w:rFonts w:ascii="Times New Roman" w:hAnsi="Times New Roman"/>
          <w:sz w:val="24"/>
          <w:szCs w:val="24"/>
        </w:rPr>
        <w:t xml:space="preserve">These amendments ensure the two corrected formulae produce </w:t>
      </w:r>
      <w:r w:rsidR="00DD219E" w:rsidRPr="00105698">
        <w:rPr>
          <w:rFonts w:ascii="Times New Roman" w:hAnsi="Times New Roman"/>
          <w:sz w:val="24"/>
          <w:szCs w:val="24"/>
        </w:rPr>
        <w:t>accurate and reasonable</w:t>
      </w:r>
      <w:r w:rsidR="0045673E" w:rsidRPr="00105698">
        <w:rPr>
          <w:rFonts w:ascii="Times New Roman" w:hAnsi="Times New Roman"/>
          <w:sz w:val="24"/>
          <w:szCs w:val="24"/>
        </w:rPr>
        <w:t xml:space="preserve"> </w:t>
      </w:r>
      <w:r w:rsidRPr="00105698">
        <w:rPr>
          <w:rFonts w:ascii="Times New Roman" w:hAnsi="Times New Roman"/>
          <w:sz w:val="24"/>
          <w:szCs w:val="24"/>
        </w:rPr>
        <w:t>valuation</w:t>
      </w:r>
      <w:r w:rsidR="00DD219E" w:rsidRPr="00105698">
        <w:rPr>
          <w:rFonts w:ascii="Times New Roman" w:hAnsi="Times New Roman"/>
          <w:sz w:val="24"/>
          <w:szCs w:val="24"/>
        </w:rPr>
        <w:t>s</w:t>
      </w:r>
      <w:r w:rsidRPr="00105698">
        <w:rPr>
          <w:rFonts w:ascii="Times New Roman" w:hAnsi="Times New Roman"/>
          <w:sz w:val="24"/>
          <w:szCs w:val="24"/>
        </w:rPr>
        <w:t xml:space="preserve"> of a superannuation interest</w:t>
      </w:r>
      <w:r w:rsidR="00DD219E" w:rsidRPr="00105698">
        <w:rPr>
          <w:rFonts w:ascii="Times New Roman" w:hAnsi="Times New Roman"/>
          <w:sz w:val="24"/>
          <w:szCs w:val="24"/>
        </w:rPr>
        <w:t>s</w:t>
      </w:r>
      <w:r w:rsidRPr="00105698">
        <w:rPr>
          <w:rFonts w:ascii="Times New Roman" w:hAnsi="Times New Roman"/>
          <w:sz w:val="24"/>
          <w:szCs w:val="24"/>
        </w:rPr>
        <w:t xml:space="preserve"> for the purposes of the </w:t>
      </w:r>
      <w:r w:rsidRPr="00105698">
        <w:rPr>
          <w:rFonts w:ascii="Times New Roman" w:hAnsi="Times New Roman"/>
          <w:i/>
          <w:sz w:val="24"/>
          <w:szCs w:val="24"/>
        </w:rPr>
        <w:t>Family Law Act 1975</w:t>
      </w:r>
      <w:r w:rsidRPr="00105698">
        <w:rPr>
          <w:rFonts w:ascii="Times New Roman" w:hAnsi="Times New Roman"/>
          <w:sz w:val="24"/>
          <w:szCs w:val="24"/>
        </w:rPr>
        <w:t xml:space="preserve">. </w:t>
      </w:r>
    </w:p>
    <w:p w14:paraId="1B030712" w14:textId="77777777" w:rsidR="0074539E" w:rsidRPr="00105698" w:rsidRDefault="0020524B" w:rsidP="00105698">
      <w:pPr>
        <w:spacing w:after="160" w:line="240" w:lineRule="auto"/>
        <w:rPr>
          <w:rFonts w:ascii="Times New Roman" w:hAnsi="Times New Roman"/>
          <w:sz w:val="24"/>
          <w:szCs w:val="24"/>
        </w:rPr>
      </w:pPr>
      <w:r w:rsidRPr="00105698">
        <w:rPr>
          <w:rFonts w:ascii="Times New Roman" w:hAnsi="Times New Roman"/>
          <w:sz w:val="24"/>
          <w:szCs w:val="24"/>
        </w:rPr>
        <w:t xml:space="preserve">The 2025 Regulations are due to commence </w:t>
      </w:r>
      <w:r w:rsidR="00233462" w:rsidRPr="00105698">
        <w:rPr>
          <w:rFonts w:ascii="Times New Roman" w:hAnsi="Times New Roman"/>
          <w:sz w:val="24"/>
          <w:szCs w:val="24"/>
        </w:rPr>
        <w:t xml:space="preserve">on 1 April 2025. The Amendment Regulations will commence immediately following the commencement of the 2025 Regulations or the start of the day after the instrument is registered, whichever is the later day. </w:t>
      </w:r>
    </w:p>
    <w:p w14:paraId="5E330744" w14:textId="77777777" w:rsidR="0074539E" w:rsidRPr="007D3A3E" w:rsidRDefault="0074539E" w:rsidP="0045673E">
      <w:pPr>
        <w:pStyle w:val="Heading3"/>
        <w:spacing w:before="0" w:after="160"/>
        <w:rPr>
          <w:rFonts w:cs="Times New Roman"/>
        </w:rPr>
      </w:pPr>
      <w:r w:rsidRPr="00DA27BB">
        <w:rPr>
          <w:rFonts w:cs="Times New Roman"/>
        </w:rPr>
        <w:t>Human rights implications</w:t>
      </w:r>
    </w:p>
    <w:p w14:paraId="66AAB1B7" w14:textId="77777777" w:rsidR="00233462" w:rsidRPr="00105698" w:rsidRDefault="00233462" w:rsidP="00105698">
      <w:pPr>
        <w:spacing w:after="160" w:line="240" w:lineRule="auto"/>
        <w:rPr>
          <w:rFonts w:ascii="Times New Roman" w:hAnsi="Times New Roman"/>
          <w:sz w:val="24"/>
          <w:szCs w:val="24"/>
        </w:rPr>
      </w:pPr>
      <w:r w:rsidRPr="00105698">
        <w:rPr>
          <w:rFonts w:ascii="Times New Roman" w:hAnsi="Times New Roman"/>
          <w:sz w:val="24"/>
          <w:szCs w:val="24"/>
        </w:rPr>
        <w:t xml:space="preserve">The amendments in the instrument are technical in nature and do not engage any of the applicable rights or freedoms.  </w:t>
      </w:r>
    </w:p>
    <w:p w14:paraId="3D70968B" w14:textId="77777777" w:rsidR="0074539E" w:rsidRPr="00DA27BB" w:rsidRDefault="0074539E" w:rsidP="0045673E">
      <w:pPr>
        <w:pStyle w:val="Heading3"/>
        <w:spacing w:before="0" w:after="160"/>
        <w:rPr>
          <w:rFonts w:cs="Times New Roman"/>
        </w:rPr>
      </w:pPr>
      <w:r w:rsidRPr="00DA27BB">
        <w:rPr>
          <w:rFonts w:cs="Times New Roman"/>
        </w:rPr>
        <w:t xml:space="preserve">Conclusion </w:t>
      </w:r>
    </w:p>
    <w:p w14:paraId="234C1CE7" w14:textId="77777777" w:rsidR="00233462" w:rsidRPr="00105698" w:rsidRDefault="00233462" w:rsidP="00105698">
      <w:pPr>
        <w:spacing w:after="160" w:line="240" w:lineRule="auto"/>
        <w:rPr>
          <w:rFonts w:ascii="Times New Roman" w:hAnsi="Times New Roman"/>
          <w:sz w:val="24"/>
          <w:szCs w:val="24"/>
        </w:rPr>
      </w:pPr>
      <w:r w:rsidRPr="00105698">
        <w:rPr>
          <w:rFonts w:ascii="Times New Roman" w:hAnsi="Times New Roman"/>
          <w:sz w:val="24"/>
          <w:szCs w:val="24"/>
        </w:rPr>
        <w:t>The instrument is compatible with human rights because it does not raise any human rights issues.</w:t>
      </w:r>
    </w:p>
    <w:p w14:paraId="39FD8B8E" w14:textId="77777777" w:rsidR="00233462" w:rsidRDefault="00233462" w:rsidP="0045673E">
      <w:pPr>
        <w:pStyle w:val="ListParagraph"/>
        <w:spacing w:line="240" w:lineRule="auto"/>
        <w:ind w:left="714"/>
        <w:rPr>
          <w:rFonts w:ascii="Times New Roman" w:hAnsi="Times New Roman"/>
        </w:rPr>
      </w:pPr>
    </w:p>
    <w:p w14:paraId="4EDFA4EC" w14:textId="77777777" w:rsidR="0074539E" w:rsidRDefault="0074539E" w:rsidP="0045673E">
      <w:pPr>
        <w:spacing w:before="120" w:after="120" w:line="240" w:lineRule="auto"/>
        <w:rPr>
          <w:rFonts w:ascii="Times New Roman" w:hAnsi="Times New Roman"/>
          <w:sz w:val="24"/>
          <w:szCs w:val="24"/>
        </w:rPr>
      </w:pPr>
    </w:p>
    <w:p w14:paraId="74C6BF82" w14:textId="77777777" w:rsidR="0074539E" w:rsidRDefault="0074539E" w:rsidP="0045673E">
      <w:pPr>
        <w:spacing w:before="120" w:after="120" w:line="240" w:lineRule="auto"/>
        <w:rPr>
          <w:rFonts w:ascii="Times New Roman" w:hAnsi="Times New Roman"/>
          <w:sz w:val="24"/>
          <w:szCs w:val="24"/>
        </w:rPr>
      </w:pPr>
    </w:p>
    <w:p w14:paraId="07ADCCE6" w14:textId="77777777" w:rsidR="0074539E" w:rsidRDefault="0074539E" w:rsidP="0045673E">
      <w:pPr>
        <w:spacing w:before="120" w:after="120" w:line="240" w:lineRule="auto"/>
        <w:rPr>
          <w:rFonts w:ascii="Times New Roman" w:hAnsi="Times New Roman"/>
          <w:sz w:val="24"/>
          <w:szCs w:val="24"/>
        </w:rPr>
      </w:pPr>
    </w:p>
    <w:p w14:paraId="319A51F9" w14:textId="77777777" w:rsidR="0074539E" w:rsidRDefault="0074539E" w:rsidP="0045673E">
      <w:pPr>
        <w:spacing w:before="120" w:after="120" w:line="240" w:lineRule="auto"/>
        <w:rPr>
          <w:rFonts w:ascii="Times New Roman" w:hAnsi="Times New Roman"/>
          <w:sz w:val="24"/>
          <w:szCs w:val="24"/>
        </w:rPr>
      </w:pPr>
    </w:p>
    <w:p w14:paraId="08477CB3" w14:textId="77777777" w:rsidR="0074539E" w:rsidRDefault="0074539E" w:rsidP="0045673E">
      <w:pPr>
        <w:spacing w:before="120" w:after="120" w:line="240" w:lineRule="auto"/>
        <w:rPr>
          <w:rFonts w:ascii="Times New Roman" w:hAnsi="Times New Roman"/>
          <w:sz w:val="24"/>
          <w:szCs w:val="24"/>
        </w:rPr>
      </w:pPr>
    </w:p>
    <w:p w14:paraId="39879E31" w14:textId="77777777" w:rsidR="0074539E" w:rsidRDefault="0074539E" w:rsidP="0045673E">
      <w:pPr>
        <w:spacing w:before="120" w:after="120" w:line="240" w:lineRule="auto"/>
        <w:rPr>
          <w:rFonts w:ascii="Times New Roman" w:hAnsi="Times New Roman"/>
          <w:sz w:val="24"/>
          <w:szCs w:val="24"/>
        </w:rPr>
      </w:pPr>
    </w:p>
    <w:p w14:paraId="22CC9C5D" w14:textId="77777777" w:rsidR="0074539E" w:rsidRDefault="0074539E" w:rsidP="0045673E">
      <w:pPr>
        <w:spacing w:before="120" w:after="120" w:line="240" w:lineRule="auto"/>
        <w:rPr>
          <w:rFonts w:ascii="Times New Roman" w:hAnsi="Times New Roman"/>
          <w:sz w:val="24"/>
          <w:szCs w:val="24"/>
        </w:rPr>
      </w:pPr>
    </w:p>
    <w:p w14:paraId="1E97581B" w14:textId="77777777" w:rsidR="0074539E" w:rsidRDefault="0074539E" w:rsidP="0045673E">
      <w:pPr>
        <w:spacing w:before="120" w:after="120" w:line="240" w:lineRule="auto"/>
        <w:rPr>
          <w:rFonts w:ascii="Times New Roman" w:hAnsi="Times New Roman"/>
          <w:sz w:val="24"/>
          <w:szCs w:val="24"/>
        </w:rPr>
      </w:pPr>
    </w:p>
    <w:p w14:paraId="2F1BBFC1" w14:textId="77777777" w:rsidR="0074539E" w:rsidRDefault="0074539E" w:rsidP="0045673E">
      <w:pPr>
        <w:spacing w:before="120" w:after="120" w:line="240" w:lineRule="auto"/>
        <w:rPr>
          <w:rFonts w:ascii="Times New Roman" w:hAnsi="Times New Roman"/>
          <w:sz w:val="24"/>
          <w:szCs w:val="24"/>
        </w:rPr>
      </w:pPr>
    </w:p>
    <w:p w14:paraId="56980E94" w14:textId="77777777" w:rsidR="0074539E" w:rsidRDefault="0074539E" w:rsidP="0045673E">
      <w:pPr>
        <w:spacing w:before="120" w:after="120" w:line="240" w:lineRule="auto"/>
        <w:rPr>
          <w:rFonts w:ascii="Times New Roman" w:hAnsi="Times New Roman"/>
          <w:sz w:val="24"/>
          <w:szCs w:val="24"/>
        </w:rPr>
      </w:pPr>
    </w:p>
    <w:p w14:paraId="227417D6" w14:textId="77777777" w:rsidR="0074539E" w:rsidRDefault="0074539E" w:rsidP="0045673E">
      <w:pPr>
        <w:spacing w:before="120" w:after="120" w:line="240" w:lineRule="auto"/>
        <w:rPr>
          <w:rFonts w:ascii="Times New Roman" w:hAnsi="Times New Roman"/>
          <w:sz w:val="24"/>
          <w:szCs w:val="24"/>
        </w:rPr>
      </w:pPr>
    </w:p>
    <w:p w14:paraId="5AC33EF0" w14:textId="77777777" w:rsidR="0074539E" w:rsidRDefault="0074539E" w:rsidP="0045673E">
      <w:pPr>
        <w:spacing w:before="120" w:after="120" w:line="240" w:lineRule="auto"/>
        <w:rPr>
          <w:rFonts w:ascii="Times New Roman" w:hAnsi="Times New Roman"/>
          <w:sz w:val="24"/>
          <w:szCs w:val="24"/>
        </w:rPr>
      </w:pPr>
    </w:p>
    <w:p w14:paraId="0F5260FF" w14:textId="77777777" w:rsidR="0074539E" w:rsidRDefault="0074539E" w:rsidP="0045673E">
      <w:pPr>
        <w:spacing w:before="120" w:after="120" w:line="240" w:lineRule="auto"/>
        <w:rPr>
          <w:rFonts w:ascii="Times New Roman" w:hAnsi="Times New Roman"/>
          <w:sz w:val="24"/>
          <w:szCs w:val="24"/>
        </w:rPr>
      </w:pPr>
    </w:p>
    <w:p w14:paraId="665FC803" w14:textId="77777777" w:rsidR="0045673E" w:rsidRDefault="0074539E" w:rsidP="0045673E">
      <w:pPr>
        <w:spacing w:after="160" w:line="240" w:lineRule="auto"/>
        <w:jc w:val="right"/>
        <w:rPr>
          <w:rFonts w:ascii="Times New Roman" w:eastAsia="Calibri" w:hAnsi="Times New Roman" w:cs="Times New Roman"/>
          <w:b/>
          <w:color w:val="262626"/>
          <w:sz w:val="24"/>
          <w:szCs w:val="24"/>
          <w:u w:val="single"/>
          <w:lang w:eastAsia="en-AU"/>
        </w:rPr>
      </w:pPr>
      <w:r w:rsidRPr="00E876ED">
        <w:rPr>
          <w:rFonts w:ascii="Times New Roman" w:eastAsia="Calibri" w:hAnsi="Times New Roman" w:cs="Times New Roman"/>
          <w:b/>
          <w:color w:val="262626"/>
          <w:sz w:val="24"/>
          <w:szCs w:val="24"/>
          <w:u w:val="single"/>
          <w:lang w:eastAsia="en-AU"/>
        </w:rPr>
        <w:lastRenderedPageBreak/>
        <w:t>ATTACHMENT B</w:t>
      </w:r>
    </w:p>
    <w:p w14:paraId="03890FD5" w14:textId="77777777" w:rsidR="0045673E" w:rsidRPr="0045673E" w:rsidRDefault="0045673E" w:rsidP="0045673E">
      <w:pPr>
        <w:spacing w:after="120" w:line="240" w:lineRule="auto"/>
        <w:outlineLvl w:val="0"/>
        <w:rPr>
          <w:rFonts w:ascii="Times New Roman" w:eastAsia="Times New Roman" w:hAnsi="Times New Roman" w:cs="Times New Roman"/>
          <w:b/>
          <w:sz w:val="24"/>
          <w:szCs w:val="24"/>
          <w:u w:val="single"/>
          <w:lang w:eastAsia="en-AU"/>
        </w:rPr>
      </w:pPr>
      <w:r w:rsidRPr="0045673E">
        <w:rPr>
          <w:rFonts w:ascii="Times New Roman" w:eastAsia="Times New Roman" w:hAnsi="Times New Roman" w:cs="Times New Roman"/>
          <w:b/>
          <w:sz w:val="24"/>
          <w:szCs w:val="24"/>
          <w:u w:val="single"/>
          <w:lang w:eastAsia="en-AU"/>
        </w:rPr>
        <w:t xml:space="preserve">Details of the proposed Family Law (Superannuation) Amendment </w:t>
      </w:r>
      <w:r>
        <w:rPr>
          <w:rFonts w:ascii="Times New Roman" w:eastAsia="Times New Roman" w:hAnsi="Times New Roman" w:cs="Times New Roman"/>
          <w:b/>
          <w:sz w:val="24"/>
          <w:szCs w:val="24"/>
          <w:u w:val="single"/>
          <w:lang w:eastAsia="en-AU"/>
        </w:rPr>
        <w:t xml:space="preserve">(Technical Amendments) </w:t>
      </w:r>
      <w:r w:rsidRPr="0045673E">
        <w:rPr>
          <w:rFonts w:ascii="Times New Roman" w:eastAsia="Times New Roman" w:hAnsi="Times New Roman" w:cs="Times New Roman"/>
          <w:b/>
          <w:sz w:val="24"/>
          <w:szCs w:val="24"/>
          <w:u w:val="single"/>
          <w:lang w:eastAsia="en-AU"/>
        </w:rPr>
        <w:t>Regulations 2025</w:t>
      </w:r>
    </w:p>
    <w:p w14:paraId="3C3111B5" w14:textId="77777777" w:rsidR="0045673E" w:rsidRPr="0045673E" w:rsidRDefault="0045673E" w:rsidP="0045673E">
      <w:pPr>
        <w:spacing w:after="160" w:line="240" w:lineRule="auto"/>
        <w:ind w:right="91"/>
        <w:outlineLvl w:val="1"/>
        <w:rPr>
          <w:rFonts w:ascii="Times New Roman" w:eastAsia="Times New Roman" w:hAnsi="Times New Roman" w:cs="Times New Roman"/>
          <w:b/>
          <w:bCs/>
          <w:sz w:val="24"/>
          <w:szCs w:val="24"/>
          <w:lang w:eastAsia="en-AU"/>
        </w:rPr>
      </w:pPr>
      <w:r w:rsidRPr="0045673E">
        <w:rPr>
          <w:rFonts w:ascii="Times New Roman" w:eastAsia="Times New Roman" w:hAnsi="Times New Roman" w:cs="Times New Roman"/>
          <w:b/>
          <w:bCs/>
          <w:sz w:val="24"/>
          <w:szCs w:val="24"/>
          <w:lang w:eastAsia="en-AU"/>
        </w:rPr>
        <w:t>Section 1 – Name</w:t>
      </w:r>
    </w:p>
    <w:p w14:paraId="4181107D" w14:textId="77777777" w:rsidR="0045673E" w:rsidRPr="0045673E" w:rsidRDefault="0045673E" w:rsidP="0045673E">
      <w:pPr>
        <w:spacing w:line="240" w:lineRule="auto"/>
        <w:rPr>
          <w:rFonts w:ascii="Times New Roman" w:eastAsia="Calibri" w:hAnsi="Times New Roman" w:cs="Times New Roman"/>
          <w:sz w:val="24"/>
        </w:rPr>
      </w:pPr>
      <w:r w:rsidRPr="0045673E">
        <w:rPr>
          <w:rFonts w:ascii="Times New Roman" w:eastAsia="Calibri" w:hAnsi="Times New Roman" w:cs="Times New Roman"/>
          <w:sz w:val="24"/>
        </w:rPr>
        <w:t>This section provide</w:t>
      </w:r>
      <w:r>
        <w:rPr>
          <w:rFonts w:ascii="Times New Roman" w:eastAsia="Calibri" w:hAnsi="Times New Roman" w:cs="Times New Roman"/>
          <w:sz w:val="24"/>
        </w:rPr>
        <w:t>s</w:t>
      </w:r>
      <w:r w:rsidRPr="0045673E">
        <w:rPr>
          <w:rFonts w:ascii="Times New Roman" w:eastAsia="Calibri" w:hAnsi="Times New Roman" w:cs="Times New Roman"/>
          <w:sz w:val="24"/>
        </w:rPr>
        <w:t xml:space="preserve"> that the title of this instrument is the Family Law (Superannuation) Amendment</w:t>
      </w:r>
      <w:r>
        <w:rPr>
          <w:rFonts w:ascii="Times New Roman" w:eastAsia="Calibri" w:hAnsi="Times New Roman" w:cs="Times New Roman"/>
          <w:sz w:val="24"/>
        </w:rPr>
        <w:t xml:space="preserve"> (Technical Amendments)</w:t>
      </w:r>
      <w:r w:rsidRPr="0045673E">
        <w:rPr>
          <w:rFonts w:ascii="Times New Roman" w:eastAsia="Calibri" w:hAnsi="Times New Roman" w:cs="Times New Roman"/>
          <w:sz w:val="24"/>
        </w:rPr>
        <w:t xml:space="preserve"> Regulations 2025 (</w:t>
      </w:r>
      <w:r>
        <w:rPr>
          <w:rFonts w:ascii="Times New Roman" w:eastAsia="Calibri" w:hAnsi="Times New Roman" w:cs="Times New Roman"/>
          <w:sz w:val="24"/>
        </w:rPr>
        <w:t xml:space="preserve">the Amendment </w:t>
      </w:r>
      <w:r w:rsidRPr="0045673E">
        <w:rPr>
          <w:rFonts w:ascii="Times New Roman" w:eastAsia="Calibri" w:hAnsi="Times New Roman" w:cs="Times New Roman"/>
          <w:sz w:val="24"/>
        </w:rPr>
        <w:t xml:space="preserve">Regulations). </w:t>
      </w:r>
    </w:p>
    <w:p w14:paraId="0F626D0C" w14:textId="77777777" w:rsidR="0045673E" w:rsidRPr="0045673E" w:rsidRDefault="0045673E" w:rsidP="0045673E">
      <w:pPr>
        <w:spacing w:after="160" w:line="240" w:lineRule="auto"/>
        <w:ind w:right="91"/>
        <w:outlineLvl w:val="3"/>
        <w:rPr>
          <w:rFonts w:ascii="Times New Roman" w:eastAsia="Times New Roman" w:hAnsi="Times New Roman" w:cs="Times New Roman"/>
          <w:b/>
          <w:bCs/>
          <w:sz w:val="24"/>
          <w:szCs w:val="24"/>
          <w:lang w:eastAsia="en-AU"/>
        </w:rPr>
      </w:pPr>
      <w:r w:rsidRPr="0045673E">
        <w:rPr>
          <w:rFonts w:ascii="Times New Roman" w:eastAsia="Times New Roman" w:hAnsi="Times New Roman" w:cs="Times New Roman"/>
          <w:b/>
          <w:bCs/>
          <w:sz w:val="24"/>
          <w:szCs w:val="24"/>
          <w:lang w:eastAsia="en-AU"/>
        </w:rPr>
        <w:t>Section 2 – Commencement</w:t>
      </w:r>
    </w:p>
    <w:p w14:paraId="4DFE0C79" w14:textId="0E43C2C2" w:rsidR="0045673E" w:rsidRPr="0045673E" w:rsidRDefault="0045673E" w:rsidP="0045673E">
      <w:pPr>
        <w:spacing w:line="240" w:lineRule="auto"/>
        <w:rPr>
          <w:rFonts w:ascii="Times New Roman" w:eastAsia="Calibri" w:hAnsi="Times New Roman" w:cs="Times New Roman"/>
          <w:sz w:val="24"/>
        </w:rPr>
      </w:pPr>
      <w:r w:rsidRPr="0045673E">
        <w:rPr>
          <w:rFonts w:ascii="Times New Roman" w:eastAsia="Calibri" w:hAnsi="Times New Roman" w:cs="Times New Roman"/>
          <w:sz w:val="24"/>
        </w:rPr>
        <w:t>This section provide</w:t>
      </w:r>
      <w:r>
        <w:rPr>
          <w:rFonts w:ascii="Times New Roman" w:eastAsia="Calibri" w:hAnsi="Times New Roman" w:cs="Times New Roman"/>
          <w:sz w:val="24"/>
        </w:rPr>
        <w:t>s</w:t>
      </w:r>
      <w:r w:rsidRPr="0045673E">
        <w:rPr>
          <w:rFonts w:ascii="Times New Roman" w:eastAsia="Calibri" w:hAnsi="Times New Roman" w:cs="Times New Roman"/>
          <w:sz w:val="24"/>
        </w:rPr>
        <w:t xml:space="preserve"> for the </w:t>
      </w:r>
      <w:r w:rsidR="00AB33A9">
        <w:rPr>
          <w:rFonts w:ascii="Times New Roman" w:eastAsia="Calibri" w:hAnsi="Times New Roman" w:cs="Times New Roman"/>
          <w:sz w:val="24"/>
        </w:rPr>
        <w:t>Amendment</w:t>
      </w:r>
      <w:r w:rsidRPr="0045673E">
        <w:rPr>
          <w:rFonts w:ascii="Times New Roman" w:eastAsia="Calibri" w:hAnsi="Times New Roman" w:cs="Times New Roman"/>
          <w:sz w:val="24"/>
        </w:rPr>
        <w:t xml:space="preserve"> Regulations to commence on the later of immediately after the commencement of the Family Law (Superannuation) Regulations 2025 (2025</w:t>
      </w:r>
      <w:r w:rsidR="00315C0B">
        <w:rPr>
          <w:rFonts w:ascii="Times New Roman" w:eastAsia="Calibri" w:hAnsi="Times New Roman" w:cs="Times New Roman"/>
          <w:sz w:val="24"/>
        </w:rPr>
        <w:t> </w:t>
      </w:r>
      <w:r w:rsidRPr="0045673E">
        <w:rPr>
          <w:rFonts w:ascii="Times New Roman" w:eastAsia="Calibri" w:hAnsi="Times New Roman" w:cs="Times New Roman"/>
          <w:sz w:val="24"/>
        </w:rPr>
        <w:t xml:space="preserve">Regulations), and the </w:t>
      </w:r>
      <w:r>
        <w:rPr>
          <w:rFonts w:ascii="Times New Roman" w:eastAsia="Calibri" w:hAnsi="Times New Roman" w:cs="Times New Roman"/>
          <w:sz w:val="24"/>
        </w:rPr>
        <w:t xml:space="preserve">start of the </w:t>
      </w:r>
      <w:r w:rsidRPr="0045673E">
        <w:rPr>
          <w:rFonts w:ascii="Times New Roman" w:eastAsia="Calibri" w:hAnsi="Times New Roman" w:cs="Times New Roman"/>
          <w:sz w:val="24"/>
        </w:rPr>
        <w:t>day after the instrument is registered.</w:t>
      </w:r>
    </w:p>
    <w:p w14:paraId="263150C1" w14:textId="77777777" w:rsidR="0045673E" w:rsidRPr="0045673E" w:rsidRDefault="0045673E" w:rsidP="0045673E">
      <w:pPr>
        <w:spacing w:after="160" w:line="240" w:lineRule="auto"/>
        <w:ind w:right="91"/>
        <w:outlineLvl w:val="3"/>
        <w:rPr>
          <w:rFonts w:ascii="Times New Roman" w:eastAsia="Times New Roman" w:hAnsi="Times New Roman" w:cs="Times New Roman"/>
          <w:b/>
          <w:bCs/>
          <w:sz w:val="24"/>
          <w:szCs w:val="24"/>
          <w:lang w:eastAsia="en-AU"/>
        </w:rPr>
      </w:pPr>
      <w:r w:rsidRPr="0045673E">
        <w:rPr>
          <w:rFonts w:ascii="Times New Roman" w:eastAsia="Times New Roman" w:hAnsi="Times New Roman" w:cs="Times New Roman"/>
          <w:b/>
          <w:bCs/>
          <w:sz w:val="24"/>
          <w:szCs w:val="24"/>
          <w:lang w:eastAsia="en-AU"/>
        </w:rPr>
        <w:t>Section 3 – Authority</w:t>
      </w:r>
    </w:p>
    <w:p w14:paraId="4CF3CAF0" w14:textId="117D1DDA" w:rsidR="0045673E" w:rsidRPr="0045673E" w:rsidRDefault="0045673E" w:rsidP="0045673E">
      <w:pPr>
        <w:spacing w:line="240" w:lineRule="auto"/>
        <w:rPr>
          <w:rFonts w:ascii="Times New Roman" w:eastAsia="Calibri" w:hAnsi="Times New Roman" w:cs="Times New Roman"/>
          <w:sz w:val="24"/>
        </w:rPr>
      </w:pPr>
      <w:r w:rsidRPr="0045673E">
        <w:rPr>
          <w:rFonts w:ascii="Times New Roman" w:eastAsia="Calibri" w:hAnsi="Times New Roman" w:cs="Times New Roman"/>
          <w:sz w:val="24"/>
        </w:rPr>
        <w:t>This section provide</w:t>
      </w:r>
      <w:r>
        <w:rPr>
          <w:rFonts w:ascii="Times New Roman" w:eastAsia="Calibri" w:hAnsi="Times New Roman" w:cs="Times New Roman"/>
          <w:sz w:val="24"/>
        </w:rPr>
        <w:t xml:space="preserve">s </w:t>
      </w:r>
      <w:r w:rsidRPr="0045673E">
        <w:rPr>
          <w:rFonts w:ascii="Times New Roman" w:eastAsia="Calibri" w:hAnsi="Times New Roman" w:cs="Times New Roman"/>
          <w:sz w:val="24"/>
        </w:rPr>
        <w:t xml:space="preserve">that the </w:t>
      </w:r>
      <w:r w:rsidR="00AB33A9">
        <w:rPr>
          <w:rFonts w:ascii="Times New Roman" w:eastAsia="Calibri" w:hAnsi="Times New Roman" w:cs="Times New Roman"/>
          <w:sz w:val="24"/>
        </w:rPr>
        <w:t>Amendment</w:t>
      </w:r>
      <w:r w:rsidRPr="0045673E">
        <w:rPr>
          <w:rFonts w:ascii="Times New Roman" w:eastAsia="Calibri" w:hAnsi="Times New Roman" w:cs="Times New Roman"/>
          <w:sz w:val="24"/>
        </w:rPr>
        <w:t xml:space="preserve"> Regulations are made under the </w:t>
      </w:r>
      <w:r w:rsidRPr="0045673E">
        <w:rPr>
          <w:rFonts w:ascii="Times New Roman" w:eastAsia="Calibri" w:hAnsi="Times New Roman" w:cs="Times New Roman"/>
          <w:i/>
          <w:sz w:val="24"/>
        </w:rPr>
        <w:t xml:space="preserve">Family Law Act 1975 </w:t>
      </w:r>
      <w:r w:rsidRPr="0045673E">
        <w:rPr>
          <w:rFonts w:ascii="Times New Roman" w:eastAsia="Calibri" w:hAnsi="Times New Roman" w:cs="Times New Roman"/>
          <w:sz w:val="24"/>
        </w:rPr>
        <w:t>(the Act).</w:t>
      </w:r>
    </w:p>
    <w:p w14:paraId="3FBD3653" w14:textId="77777777" w:rsidR="0045673E" w:rsidRPr="0045673E" w:rsidRDefault="0045673E" w:rsidP="0045673E">
      <w:pPr>
        <w:spacing w:after="160" w:line="240" w:lineRule="auto"/>
        <w:ind w:right="91"/>
        <w:outlineLvl w:val="1"/>
        <w:rPr>
          <w:rFonts w:ascii="Times New Roman" w:eastAsia="Times New Roman" w:hAnsi="Times New Roman" w:cs="Times New Roman"/>
          <w:b/>
          <w:bCs/>
          <w:sz w:val="24"/>
          <w:szCs w:val="24"/>
          <w:lang w:eastAsia="en-AU"/>
        </w:rPr>
      </w:pPr>
      <w:r w:rsidRPr="0045673E">
        <w:rPr>
          <w:rFonts w:ascii="Times New Roman" w:eastAsia="Times New Roman" w:hAnsi="Times New Roman" w:cs="Times New Roman"/>
          <w:b/>
          <w:bCs/>
          <w:sz w:val="24"/>
          <w:szCs w:val="24"/>
          <w:lang w:eastAsia="en-AU"/>
        </w:rPr>
        <w:t>Section 4 – Schedules</w:t>
      </w:r>
    </w:p>
    <w:p w14:paraId="58D9DF86" w14:textId="77777777" w:rsidR="0045673E" w:rsidRPr="0045673E" w:rsidRDefault="0045673E" w:rsidP="0045673E">
      <w:pPr>
        <w:spacing w:line="240" w:lineRule="auto"/>
        <w:rPr>
          <w:rFonts w:ascii="Times New Roman" w:eastAsia="Calibri" w:hAnsi="Times New Roman" w:cs="Times New Roman"/>
          <w:sz w:val="24"/>
        </w:rPr>
      </w:pPr>
      <w:r w:rsidRPr="0045673E">
        <w:rPr>
          <w:rFonts w:ascii="Times New Roman" w:eastAsia="Calibri" w:hAnsi="Times New Roman" w:cs="Times New Roman"/>
          <w:sz w:val="24"/>
        </w:rPr>
        <w:t>This section provide</w:t>
      </w:r>
      <w:r>
        <w:rPr>
          <w:rFonts w:ascii="Times New Roman" w:eastAsia="Calibri" w:hAnsi="Times New Roman" w:cs="Times New Roman"/>
          <w:sz w:val="24"/>
        </w:rPr>
        <w:t>s</w:t>
      </w:r>
      <w:r w:rsidRPr="0045673E">
        <w:rPr>
          <w:rFonts w:ascii="Times New Roman" w:eastAsia="Calibri" w:hAnsi="Times New Roman" w:cs="Times New Roman"/>
          <w:sz w:val="24"/>
        </w:rPr>
        <w:t xml:space="preserve"> that each instrument that is specified in a Schedule to this instrument is amended or repealed as set out in the applicable items in the Schedule concerned, and any other item in a Schedule to this instrument has effect according to its terms. </w:t>
      </w:r>
    </w:p>
    <w:p w14:paraId="3960FB8F" w14:textId="77777777" w:rsidR="0045673E" w:rsidRPr="0045673E" w:rsidRDefault="0045673E" w:rsidP="0045673E">
      <w:pPr>
        <w:spacing w:after="120" w:line="240" w:lineRule="auto"/>
        <w:outlineLvl w:val="0"/>
        <w:rPr>
          <w:rFonts w:ascii="Times New Roman" w:eastAsia="Times New Roman" w:hAnsi="Times New Roman" w:cs="Times New Roman"/>
          <w:b/>
          <w:sz w:val="24"/>
          <w:szCs w:val="24"/>
          <w:u w:val="single"/>
          <w:lang w:eastAsia="en-AU"/>
        </w:rPr>
      </w:pPr>
      <w:r w:rsidRPr="0045673E">
        <w:rPr>
          <w:rFonts w:ascii="Times New Roman" w:eastAsia="Times New Roman" w:hAnsi="Times New Roman" w:cs="Times New Roman"/>
          <w:b/>
          <w:sz w:val="24"/>
          <w:szCs w:val="24"/>
          <w:u w:val="single"/>
          <w:lang w:eastAsia="en-AU"/>
        </w:rPr>
        <w:t>Schedule 1 – Amendments</w:t>
      </w:r>
    </w:p>
    <w:p w14:paraId="589F7BA8" w14:textId="77777777" w:rsidR="0045673E" w:rsidRPr="0045673E" w:rsidRDefault="0045673E" w:rsidP="0045673E">
      <w:pPr>
        <w:spacing w:line="240" w:lineRule="auto"/>
        <w:rPr>
          <w:rFonts w:ascii="Times New Roman" w:eastAsia="Calibri" w:hAnsi="Times New Roman" w:cs="Times New Roman"/>
          <w:b/>
          <w:bCs/>
          <w:sz w:val="24"/>
        </w:rPr>
      </w:pPr>
      <w:r w:rsidRPr="0045673E">
        <w:rPr>
          <w:rFonts w:ascii="Times New Roman" w:eastAsia="Calibri" w:hAnsi="Times New Roman" w:cs="Times New Roman"/>
          <w:b/>
          <w:bCs/>
          <w:sz w:val="24"/>
        </w:rPr>
        <w:t>Family Law (Superannuation) Regulations 2025</w:t>
      </w:r>
    </w:p>
    <w:p w14:paraId="7957CCA5" w14:textId="77777777" w:rsidR="0045673E" w:rsidRPr="0045673E" w:rsidRDefault="0045673E" w:rsidP="0045673E">
      <w:pPr>
        <w:spacing w:after="160" w:line="240" w:lineRule="auto"/>
        <w:ind w:right="91"/>
        <w:outlineLvl w:val="1"/>
        <w:rPr>
          <w:rFonts w:ascii="Times New Roman" w:eastAsia="Times New Roman" w:hAnsi="Times New Roman" w:cs="Times New Roman"/>
          <w:b/>
          <w:sz w:val="24"/>
          <w:szCs w:val="24"/>
          <w:lang w:eastAsia="en-AU"/>
        </w:rPr>
      </w:pPr>
      <w:r w:rsidRPr="0045673E">
        <w:rPr>
          <w:rFonts w:ascii="Times New Roman" w:eastAsia="Times New Roman" w:hAnsi="Times New Roman" w:cs="Times New Roman"/>
          <w:b/>
          <w:sz w:val="24"/>
          <w:szCs w:val="24"/>
          <w:lang w:eastAsia="en-AU"/>
        </w:rPr>
        <w:t xml:space="preserve">Item [1] - </w:t>
      </w:r>
      <w:r w:rsidRPr="0045673E">
        <w:rPr>
          <w:rFonts w:ascii="Times New Roman" w:eastAsia="Times New Roman" w:hAnsi="Times New Roman" w:cs="Times New Roman"/>
          <w:b/>
          <w:bCs/>
          <w:sz w:val="24"/>
          <w:szCs w:val="24"/>
          <w:lang w:eastAsia="en-AU"/>
        </w:rPr>
        <w:t>Subclause 35(2) of Schedule 3 (formula)</w:t>
      </w:r>
    </w:p>
    <w:p w14:paraId="3852D65F" w14:textId="302AE32F" w:rsidR="0045673E" w:rsidRPr="0045673E" w:rsidRDefault="0045673E" w:rsidP="0045673E">
      <w:pPr>
        <w:spacing w:line="240" w:lineRule="auto"/>
        <w:rPr>
          <w:rFonts w:ascii="Times New Roman" w:eastAsia="Calibri" w:hAnsi="Times New Roman" w:cs="Times New Roman"/>
          <w:sz w:val="24"/>
          <w:szCs w:val="24"/>
        </w:rPr>
      </w:pPr>
      <w:r w:rsidRPr="0045673E">
        <w:rPr>
          <w:rFonts w:ascii="Times New Roman" w:eastAsia="Calibri" w:hAnsi="Times New Roman" w:cs="Times New Roman"/>
          <w:bCs/>
          <w:sz w:val="24"/>
        </w:rPr>
        <w:t>This item repeal</w:t>
      </w:r>
      <w:r>
        <w:rPr>
          <w:rFonts w:ascii="Times New Roman" w:eastAsia="Calibri" w:hAnsi="Times New Roman" w:cs="Times New Roman"/>
          <w:bCs/>
          <w:sz w:val="24"/>
        </w:rPr>
        <w:t>s</w:t>
      </w:r>
      <w:r w:rsidRPr="0045673E">
        <w:rPr>
          <w:rFonts w:ascii="Times New Roman" w:eastAsia="Calibri" w:hAnsi="Times New Roman" w:cs="Times New Roman"/>
          <w:bCs/>
          <w:sz w:val="24"/>
        </w:rPr>
        <w:t xml:space="preserve"> and substitute</w:t>
      </w:r>
      <w:r>
        <w:rPr>
          <w:rFonts w:ascii="Times New Roman" w:eastAsia="Calibri" w:hAnsi="Times New Roman" w:cs="Times New Roman"/>
          <w:bCs/>
          <w:sz w:val="24"/>
        </w:rPr>
        <w:t>s</w:t>
      </w:r>
      <w:r w:rsidRPr="0045673E">
        <w:rPr>
          <w:rFonts w:ascii="Times New Roman" w:eastAsia="Calibri" w:hAnsi="Times New Roman" w:cs="Times New Roman"/>
          <w:bCs/>
          <w:sz w:val="24"/>
        </w:rPr>
        <w:t xml:space="preserve"> the method at subclause 35(2) of Schedule 3 to the 2025</w:t>
      </w:r>
      <w:r w:rsidR="00315C0B">
        <w:rPr>
          <w:rFonts w:ascii="Times New Roman" w:eastAsia="Calibri" w:hAnsi="Times New Roman" w:cs="Times New Roman"/>
          <w:bCs/>
          <w:sz w:val="24"/>
        </w:rPr>
        <w:t> </w:t>
      </w:r>
      <w:r w:rsidRPr="0045673E">
        <w:rPr>
          <w:rFonts w:ascii="Times New Roman" w:eastAsia="Calibri" w:hAnsi="Times New Roman" w:cs="Times New Roman"/>
          <w:bCs/>
          <w:sz w:val="24"/>
        </w:rPr>
        <w:t>Regulations, with the effect that the</w:t>
      </w:r>
      <w:r w:rsidRPr="0045673E">
        <w:rPr>
          <w:rFonts w:ascii="Times New Roman" w:eastAsia="Calibri" w:hAnsi="Times New Roman" w:cs="Times New Roman"/>
          <w:sz w:val="24"/>
          <w:szCs w:val="24"/>
        </w:rPr>
        <w:t xml:space="preserve"> method </w:t>
      </w:r>
      <w:r w:rsidRPr="0045673E">
        <w:rPr>
          <w:rFonts w:ascii="Times New Roman" w:eastAsia="Calibri" w:hAnsi="Times New Roman" w:cs="Times New Roman"/>
          <w:sz w:val="24"/>
        </w:rPr>
        <w:t>calculate</w:t>
      </w:r>
      <w:r>
        <w:rPr>
          <w:rFonts w:ascii="Times New Roman" w:eastAsia="Calibri" w:hAnsi="Times New Roman" w:cs="Times New Roman"/>
          <w:sz w:val="24"/>
        </w:rPr>
        <w:t>s</w:t>
      </w:r>
      <w:r w:rsidRPr="0045673E">
        <w:rPr>
          <w:rFonts w:ascii="Times New Roman" w:eastAsia="Calibri" w:hAnsi="Times New Roman" w:cs="Times New Roman"/>
          <w:sz w:val="24"/>
        </w:rPr>
        <w:t xml:space="preserve"> a value based on the assumption that a member will choose to take 25% of their interest as a lump sum and 75% of their interest as a pension. This method appl</w:t>
      </w:r>
      <w:r>
        <w:rPr>
          <w:rFonts w:ascii="Times New Roman" w:eastAsia="Calibri" w:hAnsi="Times New Roman" w:cs="Times New Roman"/>
          <w:sz w:val="24"/>
        </w:rPr>
        <w:t xml:space="preserve">ies </w:t>
      </w:r>
      <w:r w:rsidRPr="0045673E">
        <w:rPr>
          <w:rFonts w:ascii="Times New Roman" w:eastAsia="Calibri" w:hAnsi="Times New Roman" w:cs="Times New Roman"/>
          <w:sz w:val="24"/>
          <w:szCs w:val="24"/>
        </w:rPr>
        <w:t>for calculating the gross value of a superannuation interest:</w:t>
      </w:r>
    </w:p>
    <w:p w14:paraId="5CF6BAE0" w14:textId="77777777" w:rsidR="0045673E" w:rsidRPr="0045673E" w:rsidRDefault="0045673E" w:rsidP="0045673E">
      <w:pPr>
        <w:numPr>
          <w:ilvl w:val="0"/>
          <w:numId w:val="4"/>
        </w:numPr>
        <w:spacing w:after="120" w:line="240" w:lineRule="auto"/>
        <w:rPr>
          <w:rFonts w:ascii="Times New Roman" w:eastAsia="Calibri" w:hAnsi="Times New Roman" w:cs="Times New Roman"/>
          <w:bCs/>
          <w:sz w:val="24"/>
        </w:rPr>
      </w:pPr>
      <w:r w:rsidRPr="0045673E">
        <w:rPr>
          <w:rFonts w:ascii="Times New Roman" w:eastAsia="Calibri" w:hAnsi="Times New Roman" w:cs="Times New Roman"/>
          <w:sz w:val="24"/>
          <w:szCs w:val="24"/>
        </w:rPr>
        <w:t>that is held as a result of employment in which the member spouse is still engaged</w:t>
      </w:r>
    </w:p>
    <w:p w14:paraId="006BFE58" w14:textId="77777777" w:rsidR="0045673E" w:rsidRPr="0045673E" w:rsidRDefault="0045673E" w:rsidP="0045673E">
      <w:pPr>
        <w:numPr>
          <w:ilvl w:val="0"/>
          <w:numId w:val="4"/>
        </w:numPr>
        <w:spacing w:after="120" w:line="240" w:lineRule="auto"/>
        <w:rPr>
          <w:rFonts w:ascii="Times New Roman" w:eastAsia="Calibri" w:hAnsi="Times New Roman" w:cs="Times New Roman"/>
          <w:bCs/>
          <w:sz w:val="24"/>
        </w:rPr>
      </w:pPr>
      <w:r w:rsidRPr="0045673E">
        <w:rPr>
          <w:rFonts w:ascii="Times New Roman" w:eastAsia="Calibri" w:hAnsi="Times New Roman" w:cs="Times New Roman"/>
          <w:sz w:val="24"/>
          <w:szCs w:val="24"/>
        </w:rPr>
        <w:t xml:space="preserve">where the benefit in respect of the interest is payable as a lump sum, a pension, or a combination of a lump sum and a pension, and </w:t>
      </w:r>
    </w:p>
    <w:p w14:paraId="4A0916B6" w14:textId="77777777" w:rsidR="0045673E" w:rsidRPr="0045673E" w:rsidRDefault="0045673E" w:rsidP="0045673E">
      <w:pPr>
        <w:numPr>
          <w:ilvl w:val="0"/>
          <w:numId w:val="4"/>
        </w:numPr>
        <w:spacing w:after="120" w:line="240" w:lineRule="auto"/>
        <w:rPr>
          <w:rFonts w:ascii="Times New Roman" w:eastAsia="Calibri" w:hAnsi="Times New Roman" w:cs="Times New Roman"/>
          <w:bCs/>
          <w:sz w:val="24"/>
        </w:rPr>
      </w:pPr>
      <w:r w:rsidRPr="0045673E">
        <w:rPr>
          <w:rFonts w:ascii="Times New Roman" w:eastAsia="Calibri" w:hAnsi="Times New Roman" w:cs="Times New Roman"/>
          <w:sz w:val="24"/>
          <w:szCs w:val="24"/>
        </w:rPr>
        <w:t xml:space="preserve">where there </w:t>
      </w:r>
      <w:r w:rsidRPr="0045673E">
        <w:rPr>
          <w:rFonts w:ascii="Times New Roman" w:eastAsia="Calibri" w:hAnsi="Times New Roman" w:cs="Times New Roman"/>
          <w:sz w:val="24"/>
        </w:rPr>
        <w:t>is no provision in the eligible superannuation plan in which the interest is held restricting the proportion of the interest that may be taken as a lump sum or as a pension.</w:t>
      </w:r>
    </w:p>
    <w:p w14:paraId="59B92C6B" w14:textId="77777777" w:rsidR="0045673E" w:rsidRPr="0045673E" w:rsidRDefault="0045673E" w:rsidP="0045673E">
      <w:pPr>
        <w:spacing w:after="160" w:line="240" w:lineRule="auto"/>
        <w:ind w:right="91"/>
        <w:outlineLvl w:val="1"/>
        <w:rPr>
          <w:rFonts w:ascii="Times New Roman" w:eastAsia="Times New Roman" w:hAnsi="Times New Roman" w:cs="Times New Roman"/>
          <w:b/>
          <w:sz w:val="24"/>
          <w:szCs w:val="24"/>
          <w:lang w:eastAsia="en-AU"/>
        </w:rPr>
      </w:pPr>
      <w:r w:rsidRPr="0045673E">
        <w:rPr>
          <w:rFonts w:ascii="Times New Roman" w:eastAsia="Times New Roman" w:hAnsi="Times New Roman" w:cs="Times New Roman"/>
          <w:b/>
          <w:sz w:val="24"/>
          <w:szCs w:val="24"/>
          <w:lang w:eastAsia="en-AU"/>
        </w:rPr>
        <w:t xml:space="preserve">Item [2] – </w:t>
      </w:r>
      <w:r w:rsidRPr="0045673E">
        <w:rPr>
          <w:rFonts w:ascii="Times New Roman" w:eastAsia="Times New Roman" w:hAnsi="Times New Roman" w:cs="Times New Roman"/>
          <w:b/>
          <w:bCs/>
          <w:sz w:val="24"/>
          <w:szCs w:val="24"/>
          <w:lang w:eastAsia="en-AU"/>
        </w:rPr>
        <w:t>Subclause 45(2) of Schedule 3 (formula)</w:t>
      </w:r>
    </w:p>
    <w:p w14:paraId="2FE9E42E" w14:textId="785A4C1A" w:rsidR="0045673E" w:rsidRPr="0045673E" w:rsidRDefault="0045673E" w:rsidP="0045673E">
      <w:pPr>
        <w:spacing w:line="240" w:lineRule="auto"/>
        <w:rPr>
          <w:rFonts w:ascii="Times New Roman" w:eastAsia="Calibri" w:hAnsi="Times New Roman" w:cs="Times New Roman"/>
          <w:sz w:val="24"/>
          <w:szCs w:val="24"/>
        </w:rPr>
      </w:pPr>
      <w:r w:rsidRPr="0045673E">
        <w:rPr>
          <w:rFonts w:ascii="Times New Roman" w:eastAsia="Calibri" w:hAnsi="Times New Roman" w:cs="Times New Roman"/>
          <w:bCs/>
          <w:sz w:val="24"/>
        </w:rPr>
        <w:t>This item repeals and substitutes the method at subclause 45(2) of Schedule 3 to the 2025</w:t>
      </w:r>
      <w:r w:rsidR="00315C0B">
        <w:rPr>
          <w:rFonts w:ascii="Times New Roman" w:eastAsia="Calibri" w:hAnsi="Times New Roman" w:cs="Times New Roman"/>
          <w:bCs/>
          <w:sz w:val="24"/>
        </w:rPr>
        <w:t> </w:t>
      </w:r>
      <w:r w:rsidRPr="0045673E">
        <w:rPr>
          <w:rFonts w:ascii="Times New Roman" w:eastAsia="Calibri" w:hAnsi="Times New Roman" w:cs="Times New Roman"/>
          <w:bCs/>
          <w:sz w:val="24"/>
        </w:rPr>
        <w:t>Regulations, with the effect that the</w:t>
      </w:r>
      <w:r w:rsidRPr="0045673E">
        <w:rPr>
          <w:rFonts w:ascii="Times New Roman" w:eastAsia="Calibri" w:hAnsi="Times New Roman" w:cs="Times New Roman"/>
          <w:sz w:val="24"/>
          <w:szCs w:val="24"/>
        </w:rPr>
        <w:t xml:space="preserve"> method </w:t>
      </w:r>
      <w:r w:rsidRPr="0045673E">
        <w:rPr>
          <w:rFonts w:ascii="Times New Roman" w:eastAsia="Calibri" w:hAnsi="Times New Roman" w:cs="Times New Roman"/>
          <w:sz w:val="24"/>
        </w:rPr>
        <w:t>calculates a value based on the assumption that a member will choose to take 25% of their interest as a lump sum and 75% of their interest as a pension. This method appl</w:t>
      </w:r>
      <w:r>
        <w:rPr>
          <w:rFonts w:ascii="Times New Roman" w:eastAsia="Calibri" w:hAnsi="Times New Roman" w:cs="Times New Roman"/>
          <w:sz w:val="24"/>
        </w:rPr>
        <w:t>ies</w:t>
      </w:r>
      <w:r w:rsidRPr="0045673E">
        <w:rPr>
          <w:rFonts w:ascii="Times New Roman" w:eastAsia="Calibri" w:hAnsi="Times New Roman" w:cs="Times New Roman"/>
          <w:sz w:val="24"/>
          <w:szCs w:val="24"/>
        </w:rPr>
        <w:t xml:space="preserve"> for calculating the gross value of a superannuation interest:</w:t>
      </w:r>
    </w:p>
    <w:p w14:paraId="3AE39459" w14:textId="77777777" w:rsidR="0045673E" w:rsidRPr="0045673E" w:rsidRDefault="0045673E" w:rsidP="0045673E">
      <w:pPr>
        <w:numPr>
          <w:ilvl w:val="0"/>
          <w:numId w:val="4"/>
        </w:numPr>
        <w:spacing w:after="120" w:line="240" w:lineRule="auto"/>
        <w:rPr>
          <w:rFonts w:ascii="Times New Roman" w:eastAsia="Calibri" w:hAnsi="Times New Roman" w:cs="Times New Roman"/>
          <w:bCs/>
          <w:sz w:val="24"/>
        </w:rPr>
      </w:pPr>
      <w:r w:rsidRPr="0045673E">
        <w:rPr>
          <w:rFonts w:ascii="Times New Roman" w:eastAsia="Calibri" w:hAnsi="Times New Roman" w:cs="Times New Roman"/>
          <w:sz w:val="24"/>
          <w:szCs w:val="24"/>
        </w:rPr>
        <w:t>that is held as a result of employment in which the member spouse is no longer engaged</w:t>
      </w:r>
    </w:p>
    <w:p w14:paraId="47BEF9CA" w14:textId="77777777" w:rsidR="0045673E" w:rsidRPr="0045673E" w:rsidRDefault="0045673E" w:rsidP="0045673E">
      <w:pPr>
        <w:numPr>
          <w:ilvl w:val="0"/>
          <w:numId w:val="4"/>
        </w:numPr>
        <w:spacing w:after="120" w:line="240" w:lineRule="auto"/>
        <w:rPr>
          <w:rFonts w:ascii="Times New Roman" w:eastAsia="Calibri" w:hAnsi="Times New Roman" w:cs="Times New Roman"/>
          <w:bCs/>
          <w:sz w:val="24"/>
        </w:rPr>
      </w:pPr>
      <w:r w:rsidRPr="0045673E">
        <w:rPr>
          <w:rFonts w:ascii="Times New Roman" w:eastAsia="Calibri" w:hAnsi="Times New Roman" w:cs="Times New Roman"/>
          <w:sz w:val="24"/>
          <w:szCs w:val="24"/>
        </w:rPr>
        <w:lastRenderedPageBreak/>
        <w:t xml:space="preserve">where the member may choose for benefits in respect of the interest to be payable as a lump sum, a pension, or a combination of a lump sum and a pension, and </w:t>
      </w:r>
    </w:p>
    <w:p w14:paraId="0481A3F6" w14:textId="77777777" w:rsidR="0045673E" w:rsidRPr="0045673E" w:rsidRDefault="0045673E" w:rsidP="0045673E">
      <w:pPr>
        <w:numPr>
          <w:ilvl w:val="0"/>
          <w:numId w:val="4"/>
        </w:numPr>
        <w:spacing w:after="120" w:line="240" w:lineRule="auto"/>
        <w:rPr>
          <w:rFonts w:ascii="Times New Roman" w:eastAsia="Calibri" w:hAnsi="Times New Roman" w:cs="Times New Roman"/>
          <w:bCs/>
          <w:sz w:val="24"/>
        </w:rPr>
      </w:pPr>
      <w:r w:rsidRPr="0045673E">
        <w:rPr>
          <w:rFonts w:ascii="Times New Roman" w:eastAsia="Calibri" w:hAnsi="Times New Roman" w:cs="Times New Roman"/>
          <w:sz w:val="24"/>
          <w:szCs w:val="24"/>
        </w:rPr>
        <w:t xml:space="preserve">where there </w:t>
      </w:r>
      <w:r w:rsidRPr="0045673E">
        <w:rPr>
          <w:rFonts w:ascii="Times New Roman" w:eastAsia="Calibri" w:hAnsi="Times New Roman" w:cs="Times New Roman"/>
          <w:sz w:val="24"/>
        </w:rPr>
        <w:t>is no provision in the eligible superannuation plan in which the interest is held restricting the proportion of the interest that may be taken as a lump sum or as a pension.</w:t>
      </w:r>
    </w:p>
    <w:p w14:paraId="7C7BC538" w14:textId="77777777" w:rsidR="0045673E" w:rsidRPr="0045673E" w:rsidRDefault="0045673E" w:rsidP="0045673E">
      <w:pPr>
        <w:spacing w:line="240" w:lineRule="auto"/>
        <w:rPr>
          <w:rFonts w:ascii="Times New Roman" w:eastAsia="Calibri" w:hAnsi="Times New Roman" w:cs="Times New Roman"/>
          <w:sz w:val="24"/>
          <w:lang w:eastAsia="en-AU"/>
        </w:rPr>
      </w:pPr>
    </w:p>
    <w:p w14:paraId="3349DFAB" w14:textId="77777777" w:rsidR="0045673E" w:rsidRPr="00E876ED" w:rsidRDefault="0045673E" w:rsidP="0045673E">
      <w:pPr>
        <w:spacing w:after="160" w:line="240" w:lineRule="auto"/>
        <w:jc w:val="right"/>
        <w:rPr>
          <w:rFonts w:ascii="Times New Roman" w:eastAsia="Calibri" w:hAnsi="Times New Roman" w:cs="Times New Roman"/>
          <w:b/>
          <w:color w:val="262626"/>
          <w:sz w:val="24"/>
          <w:szCs w:val="24"/>
          <w:u w:val="single"/>
          <w:lang w:eastAsia="en-AU"/>
        </w:rPr>
      </w:pPr>
    </w:p>
    <w:p w14:paraId="3416735F" w14:textId="77777777" w:rsidR="00981E2B" w:rsidRDefault="00981E2B" w:rsidP="0045673E">
      <w:pPr>
        <w:spacing w:line="240" w:lineRule="auto"/>
      </w:pPr>
    </w:p>
    <w:sectPr w:rsidR="00981E2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90A2E" w14:textId="77777777" w:rsidR="00517505" w:rsidRDefault="00517505" w:rsidP="00280403">
      <w:pPr>
        <w:spacing w:after="0" w:line="240" w:lineRule="auto"/>
      </w:pPr>
      <w:r>
        <w:separator/>
      </w:r>
    </w:p>
  </w:endnote>
  <w:endnote w:type="continuationSeparator" w:id="0">
    <w:p w14:paraId="73DDD60D" w14:textId="77777777" w:rsidR="00517505" w:rsidRDefault="00517505" w:rsidP="00280403">
      <w:pPr>
        <w:spacing w:after="0" w:line="240" w:lineRule="auto"/>
      </w:pPr>
      <w:r>
        <w:continuationSeparator/>
      </w:r>
    </w:p>
  </w:endnote>
  <w:endnote w:type="continuationNotice" w:id="1">
    <w:p w14:paraId="11E62393" w14:textId="77777777" w:rsidR="00517505" w:rsidRDefault="00517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276705"/>
      <w:docPartObj>
        <w:docPartGallery w:val="Page Numbers (Bottom of Page)"/>
        <w:docPartUnique/>
      </w:docPartObj>
    </w:sdtPr>
    <w:sdtEndPr>
      <w:rPr>
        <w:noProof/>
      </w:rPr>
    </w:sdtEndPr>
    <w:sdtContent>
      <w:p w14:paraId="0FF70793" w14:textId="4139D264" w:rsidR="00DD219E" w:rsidRDefault="00DD21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974BA7" w14:textId="77777777" w:rsidR="00DD219E" w:rsidRDefault="00DD2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D9542" w14:textId="77777777" w:rsidR="00517505" w:rsidRDefault="00517505" w:rsidP="00280403">
      <w:pPr>
        <w:spacing w:after="0" w:line="240" w:lineRule="auto"/>
      </w:pPr>
      <w:r>
        <w:separator/>
      </w:r>
    </w:p>
  </w:footnote>
  <w:footnote w:type="continuationSeparator" w:id="0">
    <w:p w14:paraId="549B515B" w14:textId="77777777" w:rsidR="00517505" w:rsidRDefault="00517505" w:rsidP="00280403">
      <w:pPr>
        <w:spacing w:after="0" w:line="240" w:lineRule="auto"/>
      </w:pPr>
      <w:r>
        <w:continuationSeparator/>
      </w:r>
    </w:p>
  </w:footnote>
  <w:footnote w:type="continuationNotice" w:id="1">
    <w:p w14:paraId="6C741184" w14:textId="77777777" w:rsidR="00517505" w:rsidRDefault="005175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3B09"/>
    <w:multiLevelType w:val="hybridMultilevel"/>
    <w:tmpl w:val="90B87B4E"/>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8C3957"/>
    <w:multiLevelType w:val="hybridMultilevel"/>
    <w:tmpl w:val="1C822514"/>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350B3182"/>
    <w:multiLevelType w:val="hybridMultilevel"/>
    <w:tmpl w:val="91501AA2"/>
    <w:lvl w:ilvl="0" w:tplc="6FC43CDE">
      <w:start w:val="2"/>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CD71F8E"/>
    <w:multiLevelType w:val="hybridMultilevel"/>
    <w:tmpl w:val="01825B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9E"/>
    <w:rsid w:val="00012899"/>
    <w:rsid w:val="00033150"/>
    <w:rsid w:val="000362B2"/>
    <w:rsid w:val="0006592F"/>
    <w:rsid w:val="00105698"/>
    <w:rsid w:val="00105BE6"/>
    <w:rsid w:val="0012675C"/>
    <w:rsid w:val="00163683"/>
    <w:rsid w:val="001A0899"/>
    <w:rsid w:val="001B6066"/>
    <w:rsid w:val="0020524B"/>
    <w:rsid w:val="00233462"/>
    <w:rsid w:val="002574F7"/>
    <w:rsid w:val="00280403"/>
    <w:rsid w:val="00315C0B"/>
    <w:rsid w:val="0032349F"/>
    <w:rsid w:val="00330507"/>
    <w:rsid w:val="00340A94"/>
    <w:rsid w:val="0045673E"/>
    <w:rsid w:val="00517505"/>
    <w:rsid w:val="005F1106"/>
    <w:rsid w:val="006057B9"/>
    <w:rsid w:val="00660CEB"/>
    <w:rsid w:val="006E5F12"/>
    <w:rsid w:val="0074539E"/>
    <w:rsid w:val="00751645"/>
    <w:rsid w:val="0078476B"/>
    <w:rsid w:val="007B2EBF"/>
    <w:rsid w:val="00807F02"/>
    <w:rsid w:val="00843702"/>
    <w:rsid w:val="008B234B"/>
    <w:rsid w:val="008D47F0"/>
    <w:rsid w:val="00952D80"/>
    <w:rsid w:val="00981E2B"/>
    <w:rsid w:val="009A3CB0"/>
    <w:rsid w:val="009B3E2F"/>
    <w:rsid w:val="00A4554E"/>
    <w:rsid w:val="00AB33A9"/>
    <w:rsid w:val="00B14E5B"/>
    <w:rsid w:val="00B17BCE"/>
    <w:rsid w:val="00B4535F"/>
    <w:rsid w:val="00B54382"/>
    <w:rsid w:val="00BA1BD6"/>
    <w:rsid w:val="00BC37BC"/>
    <w:rsid w:val="00BF2025"/>
    <w:rsid w:val="00C43E7D"/>
    <w:rsid w:val="00D828E3"/>
    <w:rsid w:val="00DB6A93"/>
    <w:rsid w:val="00DB6ADF"/>
    <w:rsid w:val="00DD219E"/>
    <w:rsid w:val="00DE0728"/>
    <w:rsid w:val="00DF5C87"/>
    <w:rsid w:val="00E14509"/>
    <w:rsid w:val="00E72092"/>
    <w:rsid w:val="00ED1F6B"/>
    <w:rsid w:val="00EE64CD"/>
    <w:rsid w:val="00EF18EA"/>
    <w:rsid w:val="00F555D0"/>
    <w:rsid w:val="00F952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218C"/>
  <w15:chartTrackingRefBased/>
  <w15:docId w15:val="{FE43B758-776F-4AA4-AF13-0B111F44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39E"/>
    <w:pPr>
      <w:spacing w:after="200" w:line="276" w:lineRule="auto"/>
    </w:pPr>
  </w:style>
  <w:style w:type="paragraph" w:styleId="Heading1">
    <w:name w:val="heading 1"/>
    <w:basedOn w:val="Normal"/>
    <w:next w:val="Normal"/>
    <w:link w:val="Heading1Char"/>
    <w:uiPriority w:val="9"/>
    <w:qFormat/>
    <w:rsid w:val="004567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Div Heading"/>
    <w:basedOn w:val="Normal"/>
    <w:next w:val="Normal"/>
    <w:link w:val="Heading2Char"/>
    <w:uiPriority w:val="9"/>
    <w:unhideWhenUsed/>
    <w:qFormat/>
    <w:rsid w:val="0074539E"/>
    <w:pPr>
      <w:spacing w:before="360" w:after="120" w:line="240" w:lineRule="auto"/>
      <w:jc w:val="center"/>
      <w:outlineLvl w:val="1"/>
    </w:pPr>
    <w:rPr>
      <w:rFonts w:ascii="Times New Roman" w:hAnsi="Times New Roman"/>
      <w:b/>
      <w:sz w:val="28"/>
      <w:szCs w:val="28"/>
    </w:rPr>
  </w:style>
  <w:style w:type="paragraph" w:styleId="Heading3">
    <w:name w:val="heading 3"/>
    <w:aliases w:val="Sub Div Heading"/>
    <w:basedOn w:val="Normal"/>
    <w:next w:val="Normal"/>
    <w:link w:val="Heading3Char"/>
    <w:uiPriority w:val="9"/>
    <w:unhideWhenUsed/>
    <w:qFormat/>
    <w:rsid w:val="0074539E"/>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Div Heading Char"/>
    <w:basedOn w:val="DefaultParagraphFont"/>
    <w:link w:val="Heading2"/>
    <w:uiPriority w:val="9"/>
    <w:rsid w:val="0074539E"/>
    <w:rPr>
      <w:rFonts w:ascii="Times New Roman" w:hAnsi="Times New Roman"/>
      <w:b/>
      <w:sz w:val="28"/>
      <w:szCs w:val="28"/>
    </w:rPr>
  </w:style>
  <w:style w:type="character" w:customStyle="1" w:styleId="Heading3Char">
    <w:name w:val="Heading 3 Char"/>
    <w:aliases w:val="Sub Div Heading Char"/>
    <w:basedOn w:val="DefaultParagraphFont"/>
    <w:link w:val="Heading3"/>
    <w:uiPriority w:val="9"/>
    <w:rsid w:val="0074539E"/>
    <w:rPr>
      <w:rFonts w:ascii="Times New Roman" w:hAnsi="Times New Roman"/>
      <w:b/>
      <w:sz w:val="24"/>
      <w:szCs w:val="24"/>
    </w:rPr>
  </w:style>
  <w:style w:type="paragraph" w:styleId="ListParagraph">
    <w:name w:val="List Paragraph"/>
    <w:basedOn w:val="Normal"/>
    <w:uiPriority w:val="34"/>
    <w:qFormat/>
    <w:rsid w:val="0074539E"/>
    <w:pPr>
      <w:ind w:left="720"/>
    </w:pPr>
    <w:rPr>
      <w:rFonts w:ascii="Calibri" w:eastAsia="Calibri" w:hAnsi="Calibri" w:cs="Times New Roman"/>
    </w:rPr>
  </w:style>
  <w:style w:type="paragraph" w:styleId="CommentText">
    <w:name w:val="annotation text"/>
    <w:basedOn w:val="Normal"/>
    <w:link w:val="CommentTextChar"/>
    <w:uiPriority w:val="99"/>
    <w:semiHidden/>
    <w:unhideWhenUsed/>
    <w:rsid w:val="0074539E"/>
    <w:pPr>
      <w:spacing w:line="240" w:lineRule="auto"/>
    </w:pPr>
    <w:rPr>
      <w:sz w:val="20"/>
      <w:szCs w:val="20"/>
    </w:rPr>
  </w:style>
  <w:style w:type="character" w:customStyle="1" w:styleId="CommentTextChar">
    <w:name w:val="Comment Text Char"/>
    <w:basedOn w:val="DefaultParagraphFont"/>
    <w:link w:val="CommentText"/>
    <w:uiPriority w:val="99"/>
    <w:semiHidden/>
    <w:rsid w:val="0074539E"/>
    <w:rPr>
      <w:sz w:val="20"/>
      <w:szCs w:val="20"/>
    </w:rPr>
  </w:style>
  <w:style w:type="character" w:styleId="CommentReference">
    <w:name w:val="annotation reference"/>
    <w:basedOn w:val="DefaultParagraphFont"/>
    <w:uiPriority w:val="99"/>
    <w:semiHidden/>
    <w:unhideWhenUsed/>
    <w:rsid w:val="0074539E"/>
    <w:rPr>
      <w:sz w:val="16"/>
      <w:szCs w:val="16"/>
    </w:rPr>
  </w:style>
  <w:style w:type="paragraph" w:styleId="BalloonText">
    <w:name w:val="Balloon Text"/>
    <w:basedOn w:val="Normal"/>
    <w:link w:val="BalloonTextChar"/>
    <w:uiPriority w:val="99"/>
    <w:semiHidden/>
    <w:unhideWhenUsed/>
    <w:rsid w:val="00745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39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539E"/>
    <w:rPr>
      <w:b/>
      <w:bCs/>
    </w:rPr>
  </w:style>
  <w:style w:type="character" w:customStyle="1" w:styleId="CommentSubjectChar">
    <w:name w:val="Comment Subject Char"/>
    <w:basedOn w:val="CommentTextChar"/>
    <w:link w:val="CommentSubject"/>
    <w:uiPriority w:val="99"/>
    <w:semiHidden/>
    <w:rsid w:val="0074539E"/>
    <w:rPr>
      <w:b/>
      <w:bCs/>
      <w:sz w:val="20"/>
      <w:szCs w:val="20"/>
    </w:rPr>
  </w:style>
  <w:style w:type="character" w:customStyle="1" w:styleId="Heading1Char">
    <w:name w:val="Heading 1 Char"/>
    <w:basedOn w:val="DefaultParagraphFont"/>
    <w:link w:val="Heading1"/>
    <w:uiPriority w:val="9"/>
    <w:rsid w:val="0045673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80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403"/>
  </w:style>
  <w:style w:type="paragraph" w:styleId="Footer">
    <w:name w:val="footer"/>
    <w:basedOn w:val="Normal"/>
    <w:link w:val="FooterChar"/>
    <w:uiPriority w:val="99"/>
    <w:unhideWhenUsed/>
    <w:rsid w:val="00280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95656">
      <w:bodyDiv w:val="1"/>
      <w:marLeft w:val="0"/>
      <w:marRight w:val="0"/>
      <w:marTop w:val="0"/>
      <w:marBottom w:val="0"/>
      <w:divBdr>
        <w:top w:val="none" w:sz="0" w:space="0" w:color="auto"/>
        <w:left w:val="none" w:sz="0" w:space="0" w:color="auto"/>
        <w:bottom w:val="none" w:sz="0" w:space="0" w:color="auto"/>
        <w:right w:val="none" w:sz="0" w:space="0" w:color="auto"/>
      </w:divBdr>
    </w:div>
    <w:div w:id="173158362">
      <w:bodyDiv w:val="1"/>
      <w:marLeft w:val="0"/>
      <w:marRight w:val="0"/>
      <w:marTop w:val="0"/>
      <w:marBottom w:val="0"/>
      <w:divBdr>
        <w:top w:val="none" w:sz="0" w:space="0" w:color="auto"/>
        <w:left w:val="none" w:sz="0" w:space="0" w:color="auto"/>
        <w:bottom w:val="none" w:sz="0" w:space="0" w:color="auto"/>
        <w:right w:val="none" w:sz="0" w:space="0" w:color="auto"/>
      </w:divBdr>
    </w:div>
    <w:div w:id="530849324">
      <w:bodyDiv w:val="1"/>
      <w:marLeft w:val="0"/>
      <w:marRight w:val="0"/>
      <w:marTop w:val="0"/>
      <w:marBottom w:val="0"/>
      <w:divBdr>
        <w:top w:val="none" w:sz="0" w:space="0" w:color="auto"/>
        <w:left w:val="none" w:sz="0" w:space="0" w:color="auto"/>
        <w:bottom w:val="none" w:sz="0" w:space="0" w:color="auto"/>
        <w:right w:val="none" w:sz="0" w:space="0" w:color="auto"/>
      </w:divBdr>
    </w:div>
    <w:div w:id="534775663">
      <w:bodyDiv w:val="1"/>
      <w:marLeft w:val="0"/>
      <w:marRight w:val="0"/>
      <w:marTop w:val="0"/>
      <w:marBottom w:val="0"/>
      <w:divBdr>
        <w:top w:val="none" w:sz="0" w:space="0" w:color="auto"/>
        <w:left w:val="none" w:sz="0" w:space="0" w:color="auto"/>
        <w:bottom w:val="none" w:sz="0" w:space="0" w:color="auto"/>
        <w:right w:val="none" w:sz="0" w:space="0" w:color="auto"/>
      </w:divBdr>
    </w:div>
    <w:div w:id="582379429">
      <w:bodyDiv w:val="1"/>
      <w:marLeft w:val="0"/>
      <w:marRight w:val="0"/>
      <w:marTop w:val="0"/>
      <w:marBottom w:val="0"/>
      <w:divBdr>
        <w:top w:val="none" w:sz="0" w:space="0" w:color="auto"/>
        <w:left w:val="none" w:sz="0" w:space="0" w:color="auto"/>
        <w:bottom w:val="none" w:sz="0" w:space="0" w:color="auto"/>
        <w:right w:val="none" w:sz="0" w:space="0" w:color="auto"/>
      </w:divBdr>
    </w:div>
    <w:div w:id="1053426845">
      <w:bodyDiv w:val="1"/>
      <w:marLeft w:val="0"/>
      <w:marRight w:val="0"/>
      <w:marTop w:val="0"/>
      <w:marBottom w:val="0"/>
      <w:divBdr>
        <w:top w:val="none" w:sz="0" w:space="0" w:color="auto"/>
        <w:left w:val="none" w:sz="0" w:space="0" w:color="auto"/>
        <w:bottom w:val="none" w:sz="0" w:space="0" w:color="auto"/>
        <w:right w:val="none" w:sz="0" w:space="0" w:color="auto"/>
      </w:divBdr>
    </w:div>
    <w:div w:id="1219367203">
      <w:bodyDiv w:val="1"/>
      <w:marLeft w:val="0"/>
      <w:marRight w:val="0"/>
      <w:marTop w:val="0"/>
      <w:marBottom w:val="0"/>
      <w:divBdr>
        <w:top w:val="none" w:sz="0" w:space="0" w:color="auto"/>
        <w:left w:val="none" w:sz="0" w:space="0" w:color="auto"/>
        <w:bottom w:val="none" w:sz="0" w:space="0" w:color="auto"/>
        <w:right w:val="none" w:sz="0" w:space="0" w:color="auto"/>
      </w:divBdr>
    </w:div>
    <w:div w:id="1585527362">
      <w:bodyDiv w:val="1"/>
      <w:marLeft w:val="0"/>
      <w:marRight w:val="0"/>
      <w:marTop w:val="0"/>
      <w:marBottom w:val="0"/>
      <w:divBdr>
        <w:top w:val="none" w:sz="0" w:space="0" w:color="auto"/>
        <w:left w:val="none" w:sz="0" w:space="0" w:color="auto"/>
        <w:bottom w:val="none" w:sz="0" w:space="0" w:color="auto"/>
        <w:right w:val="none" w:sz="0" w:space="0" w:color="auto"/>
      </w:divBdr>
    </w:div>
    <w:div w:id="189072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BFE0383-FD50-4AEE-A423-626E8CE327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85D22696EF2BC43806CED764D8F0D58" ma:contentTypeVersion="" ma:contentTypeDescription="PDMS Document Site Content Type" ma:contentTypeScope="" ma:versionID="9968afc16d948daffe23396455eabedf">
  <xsd:schema xmlns:xsd="http://www.w3.org/2001/XMLSchema" xmlns:xs="http://www.w3.org/2001/XMLSchema" xmlns:p="http://schemas.microsoft.com/office/2006/metadata/properties" xmlns:ns2="CBFE0383-FD50-4AEE-A423-626E8CE32791" targetNamespace="http://schemas.microsoft.com/office/2006/metadata/properties" ma:root="true" ma:fieldsID="908c3468cbe05dab6f5fbe75cd6f930b" ns2:_="">
    <xsd:import namespace="CBFE0383-FD50-4AEE-A423-626E8CE3279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E0383-FD50-4AEE-A423-626E8CE3279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31C7F-451D-4F57-9FD6-9146795FA9B3}">
  <ds:schemaRefs>
    <ds:schemaRef ds:uri="http://schemas.microsoft.com/office/2006/metadata/properties"/>
    <ds:schemaRef ds:uri="http://schemas.microsoft.com/office/infopath/2007/PartnerControls"/>
    <ds:schemaRef ds:uri="CBFE0383-FD50-4AEE-A423-626E8CE32791"/>
  </ds:schemaRefs>
</ds:datastoreItem>
</file>

<file path=customXml/itemProps2.xml><?xml version="1.0" encoding="utf-8"?>
<ds:datastoreItem xmlns:ds="http://schemas.openxmlformats.org/officeDocument/2006/customXml" ds:itemID="{DFEB6FBE-9FCE-4CA6-817D-44BEFEFA9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E0383-FD50-4AEE-A423-626E8CE32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B0FBD-A317-42EA-A7C0-CDBF6C84B2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Catherine</dc:creator>
  <cp:keywords/>
  <dc:description/>
  <cp:lastModifiedBy>Blumfield, Chloe</cp:lastModifiedBy>
  <cp:revision>2</cp:revision>
  <dcterms:created xsi:type="dcterms:W3CDTF">2025-03-20T04:55:00Z</dcterms:created>
  <dcterms:modified xsi:type="dcterms:W3CDTF">2025-03-20T04:55:00Z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0x010100266966F133664895A6EE3632470D45F500285D22696EF2BC43806CED764D8F0D58</vt:lpwstr>
  </property>
</Properties>
</file>