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FAA2D" w14:textId="77777777" w:rsidR="00FB41CE" w:rsidRPr="007B2E76" w:rsidRDefault="00FB41CE" w:rsidP="00B74231">
      <w:pPr>
        <w:spacing w:line="276" w:lineRule="auto"/>
        <w:ind w:right="40"/>
        <w:jc w:val="center"/>
        <w:rPr>
          <w:b/>
          <w:bCs/>
        </w:rPr>
      </w:pPr>
      <w:bookmarkStart w:id="0" w:name="_GoBack"/>
      <w:bookmarkEnd w:id="0"/>
      <w:r w:rsidRPr="007B2E76">
        <w:rPr>
          <w:b/>
          <w:bCs/>
        </w:rPr>
        <w:t>EXPLANATORY STATEMENT</w:t>
      </w:r>
    </w:p>
    <w:p w14:paraId="00007D1C" w14:textId="77777777" w:rsidR="00FB41CE" w:rsidRPr="007B2E76" w:rsidRDefault="00FB41CE" w:rsidP="00B74231">
      <w:pPr>
        <w:spacing w:line="276" w:lineRule="auto"/>
        <w:ind w:right="40"/>
        <w:jc w:val="center"/>
        <w:rPr>
          <w:b/>
          <w:bCs/>
        </w:rPr>
      </w:pPr>
    </w:p>
    <w:p w14:paraId="2DCC38EB" w14:textId="77777777" w:rsidR="00FB41CE" w:rsidRPr="007B2E76" w:rsidRDefault="00FB41CE" w:rsidP="00B74231">
      <w:pPr>
        <w:spacing w:line="276" w:lineRule="auto"/>
        <w:jc w:val="center"/>
      </w:pPr>
      <w:r w:rsidRPr="007B2E76">
        <w:t>Issued by the Minister for Immigration</w:t>
      </w:r>
      <w:r w:rsidR="00854C31" w:rsidRPr="007B2E76">
        <w:t xml:space="preserve"> </w:t>
      </w:r>
      <w:r w:rsidRPr="007B2E76">
        <w:t>and Multicultural Affairs</w:t>
      </w:r>
    </w:p>
    <w:p w14:paraId="0EB06D7C" w14:textId="77777777" w:rsidR="00FB41CE" w:rsidRPr="007B2E76" w:rsidRDefault="00FB41CE" w:rsidP="00B74231">
      <w:pPr>
        <w:spacing w:line="276" w:lineRule="auto"/>
        <w:ind w:right="40"/>
        <w:jc w:val="center"/>
        <w:rPr>
          <w:i/>
          <w:iCs/>
        </w:rPr>
      </w:pPr>
    </w:p>
    <w:p w14:paraId="2164F4B5" w14:textId="77777777" w:rsidR="00FB41CE" w:rsidRPr="007B2E76" w:rsidRDefault="00FB41CE" w:rsidP="00B74231">
      <w:pPr>
        <w:spacing w:line="276" w:lineRule="auto"/>
        <w:ind w:right="40"/>
        <w:jc w:val="center"/>
        <w:rPr>
          <w:i/>
          <w:iCs/>
        </w:rPr>
      </w:pPr>
      <w:r w:rsidRPr="007B2E76">
        <w:rPr>
          <w:i/>
          <w:iCs/>
        </w:rPr>
        <w:t>Migration Act 1958</w:t>
      </w:r>
    </w:p>
    <w:p w14:paraId="390C823F" w14:textId="77777777" w:rsidR="00FB41CE" w:rsidRPr="007B2E76" w:rsidRDefault="00FB41CE" w:rsidP="00B74231">
      <w:pPr>
        <w:spacing w:line="276" w:lineRule="auto"/>
        <w:ind w:right="40"/>
        <w:jc w:val="center"/>
        <w:rPr>
          <w:i/>
          <w:iCs/>
        </w:rPr>
      </w:pPr>
    </w:p>
    <w:p w14:paraId="3687F945" w14:textId="1E883C1E" w:rsidR="00272C60" w:rsidRPr="00272C60" w:rsidRDefault="00272C60" w:rsidP="00B74231">
      <w:pPr>
        <w:spacing w:line="276" w:lineRule="auto"/>
        <w:ind w:right="42"/>
        <w:jc w:val="center"/>
        <w:rPr>
          <w:b/>
          <w:i/>
          <w:iCs/>
        </w:rPr>
      </w:pPr>
      <w:r w:rsidRPr="00272C60">
        <w:rPr>
          <w:b/>
          <w:i/>
          <w:iCs/>
        </w:rPr>
        <w:t>Migration Amendment (Repeal, Consequential and Technical Amendments) Regulations 202</w:t>
      </w:r>
      <w:r w:rsidR="0091171B">
        <w:rPr>
          <w:b/>
          <w:i/>
          <w:iCs/>
        </w:rPr>
        <w:t>5</w:t>
      </w:r>
    </w:p>
    <w:p w14:paraId="1F04B590" w14:textId="646181D9" w:rsidR="00FB41CE" w:rsidRPr="007B2E76" w:rsidRDefault="00FB41CE" w:rsidP="00B74231">
      <w:pPr>
        <w:spacing w:before="240" w:line="276" w:lineRule="auto"/>
      </w:pPr>
      <w:r w:rsidRPr="007B2E76">
        <w:t xml:space="preserve">The </w:t>
      </w:r>
      <w:r w:rsidRPr="007B2E76">
        <w:rPr>
          <w:i/>
          <w:iCs/>
        </w:rPr>
        <w:t>Migration Act 1958</w:t>
      </w:r>
      <w:r w:rsidRPr="007B2E76">
        <w:t xml:space="preserve"> (the Migration Act) is an </w:t>
      </w:r>
      <w:r w:rsidR="00E52BA8" w:rsidRPr="007B2E76">
        <w:t>Ac</w:t>
      </w:r>
      <w:r w:rsidRPr="007B2E76">
        <w:t>t relating to the entry into, and presence in, Australia of aliens, and the departure or deportation from Australia of aliens and certain other persons.</w:t>
      </w:r>
    </w:p>
    <w:p w14:paraId="6D4815DF" w14:textId="77777777" w:rsidR="00FB41CE" w:rsidRPr="007B2E76" w:rsidRDefault="00FB41CE" w:rsidP="00B74231">
      <w:pPr>
        <w:spacing w:before="240" w:line="276" w:lineRule="auto"/>
      </w:pPr>
      <w:r w:rsidRPr="007B2E76">
        <w:t>Subsection 504(1) of the Migration Act provides that the Governor-General may make regulations, not inconsistent with the Migration Act, prescribing matters required or permitted to be prescribed, or necessary or convenient to be prescribed, for carrying out or giving effect to the Migration Act.</w:t>
      </w:r>
    </w:p>
    <w:p w14:paraId="0B4175F2" w14:textId="75300E07" w:rsidR="00300897" w:rsidRPr="007B2E76" w:rsidRDefault="5C47ABA4" w:rsidP="00B74231">
      <w:pPr>
        <w:spacing w:before="240" w:line="276" w:lineRule="auto"/>
      </w:pPr>
      <w:r w:rsidRPr="007B2E76">
        <w:t>In addition,</w:t>
      </w:r>
      <w:r w:rsidR="005F38FB" w:rsidRPr="005F38FB">
        <w:t xml:space="preserve"> </w:t>
      </w:r>
      <w:r w:rsidR="005F38FB" w:rsidRPr="007901C0">
        <w:t>subsection 31(1) of the Migration Act provides that there are to be prescribed classes of visas, and</w:t>
      </w:r>
      <w:r w:rsidRPr="007B2E76">
        <w:t xml:space="preserve"> </w:t>
      </w:r>
      <w:r w:rsidR="5935ACAB" w:rsidRPr="007B2E76">
        <w:t>s</w:t>
      </w:r>
      <w:r w:rsidRPr="007B2E76">
        <w:t>ubsection 31(3) provides that the regulations may prescribe criteria </w:t>
      </w:r>
      <w:r w:rsidRPr="007B2E76">
        <w:rPr>
          <w:shd w:val="clear" w:color="auto" w:fill="FFFFFF"/>
        </w:rPr>
        <w:t>for visas.</w:t>
      </w:r>
      <w:r w:rsidR="6210FDAD" w:rsidRPr="007B2E76">
        <w:rPr>
          <w:shd w:val="clear" w:color="auto" w:fill="FFFFFF"/>
        </w:rPr>
        <w:t xml:space="preserve"> </w:t>
      </w:r>
      <w:r w:rsidRPr="007B2E76">
        <w:t xml:space="preserve">Paragraph 46(1)(b) of the </w:t>
      </w:r>
      <w:r w:rsidR="3F5FC609" w:rsidRPr="007B2E76">
        <w:t xml:space="preserve">Migration </w:t>
      </w:r>
      <w:r w:rsidRPr="007B2E76">
        <w:t>Act provides that a visa application is valid only if it satisfies the criteria and requirements prescribed in the regulations. Paragraph 46(3) of the</w:t>
      </w:r>
      <w:r w:rsidR="3F5FC609" w:rsidRPr="007B2E76">
        <w:t xml:space="preserve"> Migration</w:t>
      </w:r>
      <w:r w:rsidRPr="007B2E76">
        <w:t xml:space="preserve"> Act provides that the regulations may prescribe criteria that must be satisfied for an application for a visa of a specified class to be a valid application.</w:t>
      </w:r>
      <w:r w:rsidR="6A8240F3" w:rsidRPr="007B2E76">
        <w:t xml:space="preserve"> </w:t>
      </w:r>
      <w:r w:rsidR="6A8240F3" w:rsidRPr="007B2E76">
        <w:rPr>
          <w:rFonts w:eastAsia="Times New Roman"/>
        </w:rPr>
        <w:t>Section 45B of the Migration Act provides that the regulations may prescribe the amount of the visa application charge (VAC), not exceeding the visa application charge limit, in relation to an application.</w:t>
      </w:r>
    </w:p>
    <w:p w14:paraId="2AF43539" w14:textId="70CC88B2" w:rsidR="00E12EF7" w:rsidRDefault="006E339C" w:rsidP="00B74231">
      <w:pPr>
        <w:spacing w:before="240" w:line="276" w:lineRule="auto"/>
      </w:pPr>
      <w:r w:rsidRPr="007B2E76">
        <w:t xml:space="preserve">The </w:t>
      </w:r>
      <w:r w:rsidRPr="00272C60">
        <w:rPr>
          <w:i/>
        </w:rPr>
        <w:t>Migration Amendment (Repeal, Consequential and Technical Amendments) Regulations </w:t>
      </w:r>
      <w:r>
        <w:rPr>
          <w:i/>
        </w:rPr>
        <w:t>2025</w:t>
      </w:r>
      <w:r w:rsidRPr="007B2E76">
        <w:t xml:space="preserve"> (the Regulations)</w:t>
      </w:r>
      <w:r w:rsidR="003D04E6" w:rsidRPr="007901C0">
        <w:rPr>
          <w:rFonts w:eastAsia="Times New Roman"/>
        </w:rPr>
        <w:t xml:space="preserve"> implement the </w:t>
      </w:r>
      <w:r w:rsidR="003D04E6" w:rsidRPr="007901C0">
        <w:rPr>
          <w:color w:val="000000"/>
        </w:rPr>
        <w:t>Government’s commitment to simplifying and streamlining the migration program as announced in the Migration Strategy</w:t>
      </w:r>
      <w:r w:rsidR="00B74231">
        <w:rPr>
          <w:color w:val="000000"/>
        </w:rPr>
        <w:t xml:space="preserve">, and make various amendments of </w:t>
      </w:r>
      <w:r w:rsidR="00471406" w:rsidRPr="007B2E76">
        <w:t xml:space="preserve">the </w:t>
      </w:r>
      <w:r w:rsidR="00471406" w:rsidRPr="007B2E76">
        <w:rPr>
          <w:i/>
        </w:rPr>
        <w:t xml:space="preserve">Migration Regulations 1994 </w:t>
      </w:r>
      <w:r w:rsidR="00471406" w:rsidRPr="007B2E76">
        <w:t>(the Migration Regulations)</w:t>
      </w:r>
      <w:r w:rsidR="00B74231">
        <w:t>.</w:t>
      </w:r>
    </w:p>
    <w:p w14:paraId="149D9475" w14:textId="4E1E1D0D" w:rsidR="008A2495" w:rsidRPr="007901C0" w:rsidRDefault="008A2495" w:rsidP="00B74231">
      <w:pPr>
        <w:spacing w:before="120" w:after="240" w:line="276" w:lineRule="auto"/>
      </w:pPr>
      <w:r w:rsidRPr="007901C0">
        <w:t>Part 1 of Schedule 1 to the Regulations repeal</w:t>
      </w:r>
      <w:r>
        <w:t>s</w:t>
      </w:r>
      <w:r w:rsidRPr="007901C0">
        <w:t xml:space="preserve"> five visa classes</w:t>
      </w:r>
      <w:r w:rsidR="00B74231">
        <w:t>, and also repeals</w:t>
      </w:r>
      <w:r w:rsidRPr="007901C0">
        <w:t xml:space="preserve"> thirteen </w:t>
      </w:r>
      <w:r w:rsidR="00B74231">
        <w:t xml:space="preserve">visa </w:t>
      </w:r>
      <w:r w:rsidRPr="007901C0">
        <w:t xml:space="preserve">subclasses in which the criteria for visas of the repealed classes are prescribed. These visas are no longer in use as part of the migration program and have been closed to new applications for some time. Transitional arrangements </w:t>
      </w:r>
      <w:r>
        <w:t>have been</w:t>
      </w:r>
      <w:r w:rsidRPr="007901C0">
        <w:t xml:space="preserve"> made in respect of any remaining undecided applications for the repealed visas. Consequential amendments </w:t>
      </w:r>
      <w:r w:rsidR="00B74231">
        <w:t xml:space="preserve">also </w:t>
      </w:r>
      <w:r w:rsidRPr="007901C0">
        <w:t>remove references to the repealed visas from the Migration Regulations.</w:t>
      </w:r>
    </w:p>
    <w:p w14:paraId="7C5514F5" w14:textId="2BD2A286" w:rsidR="008A2495" w:rsidRPr="007901C0" w:rsidRDefault="008A2495" w:rsidP="00B74231">
      <w:pPr>
        <w:spacing w:after="240" w:line="276" w:lineRule="auto"/>
      </w:pPr>
      <w:r w:rsidRPr="007901C0">
        <w:t>Part 2 of Schedule 1 to the Regulations make a range of technical amendments to the update references in the Migration Regulations to ensure that they continue to operate as intended.</w:t>
      </w:r>
    </w:p>
    <w:p w14:paraId="7D16548E" w14:textId="11547BEA" w:rsidR="00F03F1B" w:rsidRPr="007B2E76" w:rsidRDefault="00E4527E" w:rsidP="00B74231">
      <w:pPr>
        <w:keepNext/>
        <w:spacing w:before="240" w:line="276" w:lineRule="auto"/>
        <w:rPr>
          <w:rFonts w:eastAsia="Times New Roman"/>
        </w:rPr>
      </w:pPr>
      <w:r>
        <w:t xml:space="preserve">Part 1 of Schedule 1 to the </w:t>
      </w:r>
      <w:r w:rsidR="004F0622" w:rsidRPr="007B2E76">
        <w:t xml:space="preserve">Regulations </w:t>
      </w:r>
      <w:r w:rsidR="00272C60">
        <w:t>repeal</w:t>
      </w:r>
      <w:r>
        <w:t>s</w:t>
      </w:r>
      <w:r w:rsidR="00272C60">
        <w:t xml:space="preserve"> the following visas</w:t>
      </w:r>
      <w:r w:rsidR="004F0622" w:rsidRPr="007B2E76">
        <w:t xml:space="preserve">: </w:t>
      </w:r>
    </w:p>
    <w:p w14:paraId="56939F2C" w14:textId="30E3A24E" w:rsidR="002A4A8C" w:rsidRDefault="002A4A8C" w:rsidP="00B74231">
      <w:pPr>
        <w:numPr>
          <w:ilvl w:val="1"/>
          <w:numId w:val="3"/>
        </w:numPr>
        <w:spacing w:before="240" w:after="240" w:line="276" w:lineRule="auto"/>
        <w:ind w:left="714" w:hanging="357"/>
        <w:textAlignment w:val="baseline"/>
      </w:pPr>
      <w:r w:rsidRPr="00B74231">
        <w:rPr>
          <w:u w:val="single"/>
        </w:rPr>
        <w:t>Resident Return (Temporary)</w:t>
      </w:r>
      <w:r w:rsidR="00E12EF7" w:rsidRPr="00B74231">
        <w:rPr>
          <w:u w:val="single"/>
        </w:rPr>
        <w:t xml:space="preserve"> (Class TP)</w:t>
      </w:r>
      <w:r w:rsidRPr="00B74231">
        <w:rPr>
          <w:u w:val="single"/>
        </w:rPr>
        <w:t xml:space="preserve"> (Subclass 159)</w:t>
      </w:r>
      <w:r w:rsidR="00B74231">
        <w:t xml:space="preserve"> -</w:t>
      </w:r>
      <w:r w:rsidR="00E12EF7">
        <w:t xml:space="preserve"> </w:t>
      </w:r>
      <w:r w:rsidR="00B74231">
        <w:t>t</w:t>
      </w:r>
      <w:r w:rsidR="00E12EF7" w:rsidRPr="00356FA2">
        <w:t xml:space="preserve">his was a temporary visa for people who travelled outside of Australia outside of the travel facility on their </w:t>
      </w:r>
      <w:r w:rsidR="00E12EF7" w:rsidRPr="00356FA2">
        <w:lastRenderedPageBreak/>
        <w:t>previous permanent visa and had an urgent and compelling need to return to Australia before they could provide evidence of being a permanent resident. There are two other Resident Return visas available to applicants in similar circumstances</w:t>
      </w:r>
      <w:r w:rsidR="005370D7" w:rsidRPr="00356FA2">
        <w:t xml:space="preserve"> and no applications for this visa have been made since 2019-2020</w:t>
      </w:r>
      <w:r w:rsidR="00B74231">
        <w:t>;</w:t>
      </w:r>
    </w:p>
    <w:p w14:paraId="3DFD7AD7" w14:textId="6DDF0BF6" w:rsidR="002A4A8C" w:rsidRPr="002A4A8C" w:rsidRDefault="002A4A8C" w:rsidP="00B74231">
      <w:pPr>
        <w:pStyle w:val="ListParagraph"/>
        <w:numPr>
          <w:ilvl w:val="1"/>
          <w:numId w:val="3"/>
        </w:numPr>
        <w:spacing w:before="240" w:after="240" w:line="276" w:lineRule="auto"/>
        <w:ind w:left="714" w:hanging="357"/>
      </w:pPr>
      <w:r w:rsidRPr="00B74231">
        <w:rPr>
          <w:u w:val="single"/>
        </w:rPr>
        <w:t xml:space="preserve">Confirmatory (Residence) </w:t>
      </w:r>
      <w:r w:rsidR="00E12EF7" w:rsidRPr="00B74231">
        <w:rPr>
          <w:u w:val="single"/>
        </w:rPr>
        <w:t xml:space="preserve">(Class AK) </w:t>
      </w:r>
      <w:r w:rsidRPr="00B74231">
        <w:rPr>
          <w:u w:val="single"/>
        </w:rPr>
        <w:t>(Subclass 808)</w:t>
      </w:r>
      <w:r w:rsidR="008F1B15">
        <w:t xml:space="preserve"> - t</w:t>
      </w:r>
      <w:r w:rsidR="00E12EF7" w:rsidRPr="00356FA2">
        <w:t>his was a permanent visa for former holders of Norfolk Island entry permits. This was closed to new ap</w:t>
      </w:r>
      <w:r w:rsidR="00B74231">
        <w:t>plications from 1 January 2024;</w:t>
      </w:r>
    </w:p>
    <w:p w14:paraId="32D975DE" w14:textId="6CC54183" w:rsidR="002A4A8C" w:rsidRPr="002A4A8C" w:rsidRDefault="002A4A8C" w:rsidP="00B74231">
      <w:pPr>
        <w:pStyle w:val="ListParagraph"/>
        <w:numPr>
          <w:ilvl w:val="1"/>
          <w:numId w:val="3"/>
        </w:numPr>
        <w:spacing w:before="240" w:after="240" w:line="276" w:lineRule="auto"/>
        <w:ind w:left="714" w:hanging="357"/>
      </w:pPr>
      <w:r w:rsidRPr="00B74231">
        <w:rPr>
          <w:u w:val="single"/>
        </w:rPr>
        <w:t xml:space="preserve">Tourist visa </w:t>
      </w:r>
      <w:r w:rsidR="00E12EF7" w:rsidRPr="00B74231">
        <w:rPr>
          <w:u w:val="single"/>
        </w:rPr>
        <w:t xml:space="preserve">(Class TR) </w:t>
      </w:r>
      <w:r w:rsidRPr="00B74231">
        <w:rPr>
          <w:u w:val="single"/>
        </w:rPr>
        <w:t>(Subclass 676)</w:t>
      </w:r>
      <w:r w:rsidR="008F1B15">
        <w:t xml:space="preserve"> - t</w:t>
      </w:r>
      <w:r w:rsidR="00E12EF7" w:rsidRPr="008F1B15">
        <w:t xml:space="preserve">his </w:t>
      </w:r>
      <w:r w:rsidR="0003273A" w:rsidRPr="008F1B15">
        <w:t xml:space="preserve">visa </w:t>
      </w:r>
      <w:r w:rsidR="00E12EF7" w:rsidRPr="008F1B15">
        <w:t>was replaced by the Visitor (Subclass 600) visa in March 20</w:t>
      </w:r>
      <w:r w:rsidR="00B74231">
        <w:t>13;</w:t>
      </w:r>
    </w:p>
    <w:p w14:paraId="16F09F7E" w14:textId="21C027F9" w:rsidR="002A4A8C" w:rsidRPr="002A4A8C" w:rsidRDefault="002A4A8C" w:rsidP="00B74231">
      <w:pPr>
        <w:numPr>
          <w:ilvl w:val="1"/>
          <w:numId w:val="3"/>
        </w:numPr>
        <w:spacing w:before="240" w:after="240" w:line="276" w:lineRule="auto"/>
        <w:ind w:left="714" w:hanging="357"/>
        <w:textAlignment w:val="baseline"/>
      </w:pPr>
      <w:r w:rsidRPr="00B74231">
        <w:rPr>
          <w:u w:val="single"/>
        </w:rPr>
        <w:t xml:space="preserve">Business Skills (Provisional) </w:t>
      </w:r>
      <w:r w:rsidR="00E12EF7" w:rsidRPr="00B74231">
        <w:rPr>
          <w:u w:val="single"/>
        </w:rPr>
        <w:t xml:space="preserve">(Class UR) </w:t>
      </w:r>
      <w:r w:rsidRPr="00B74231">
        <w:rPr>
          <w:u w:val="single"/>
        </w:rPr>
        <w:t>(Subclasses 160, 161, 162, 163, 164 and 165)</w:t>
      </w:r>
      <w:r w:rsidR="008F1B15">
        <w:t xml:space="preserve"> - t</w:t>
      </w:r>
      <w:r w:rsidR="00E12EF7" w:rsidRPr="00356FA2">
        <w:t>his visa class has been closed to new applicants since 1 July 2012</w:t>
      </w:r>
      <w:r w:rsidR="005370D7" w:rsidRPr="00356FA2">
        <w:t>;</w:t>
      </w:r>
    </w:p>
    <w:p w14:paraId="2ED9239C" w14:textId="2EED882F" w:rsidR="002A4A8C" w:rsidRPr="002A4A8C" w:rsidRDefault="002A4A8C" w:rsidP="00B74231">
      <w:pPr>
        <w:pStyle w:val="ListParagraph"/>
        <w:numPr>
          <w:ilvl w:val="1"/>
          <w:numId w:val="3"/>
        </w:numPr>
        <w:spacing w:before="240" w:after="240" w:line="276" w:lineRule="auto"/>
        <w:ind w:left="714" w:hanging="357"/>
      </w:pPr>
      <w:r w:rsidRPr="00B74231">
        <w:rPr>
          <w:u w:val="single"/>
        </w:rPr>
        <w:t>Business Skills (Residence) (Class DF) (Subclasses 890 891, 892 and 893)</w:t>
      </w:r>
      <w:r w:rsidR="008F1B15">
        <w:t xml:space="preserve"> - t</w:t>
      </w:r>
      <w:r w:rsidR="00E12EF7" w:rsidRPr="00356FA2">
        <w:t xml:space="preserve">his is the permanent visa for which holders of a Business Skills (Provisional) could </w:t>
      </w:r>
      <w:r w:rsidR="008F1B15" w:rsidRPr="00356FA2">
        <w:t>apply</w:t>
      </w:r>
      <w:r w:rsidR="008F1B15">
        <w:t>;</w:t>
      </w:r>
      <w:r w:rsidR="00E12EF7" w:rsidRPr="00356FA2">
        <w:t xml:space="preserve"> however as </w:t>
      </w:r>
      <w:r w:rsidR="00B74231">
        <w:t>above,</w:t>
      </w:r>
      <w:r w:rsidR="00E12EF7" w:rsidRPr="00356FA2">
        <w:t xml:space="preserve"> the provisional visa has been closed for over a decade</w:t>
      </w:r>
      <w:r w:rsidR="00E12EF7">
        <w:rPr>
          <w:i/>
        </w:rPr>
        <w:t xml:space="preserve">. </w:t>
      </w:r>
    </w:p>
    <w:p w14:paraId="39D1E7B3" w14:textId="77777777" w:rsidR="00801BC1" w:rsidRDefault="00801BC1" w:rsidP="00B74231">
      <w:pPr>
        <w:spacing w:before="240" w:line="276" w:lineRule="auto"/>
      </w:pPr>
      <w:r w:rsidRPr="00801BC1">
        <w:t xml:space="preserve">The Regulations implement the Government’s commitment to simplifying and streamlining the migration system by abolishing unnecessary and duplicative visas to simplify the visa system that was announced in the Migration Strategy. The Migration Strategy was informed by the findings of the ‘Review of the Migration System’ undertaken by Dr Martin Parkinson AC PSM and released in 2023. This Review was based on extensive consultation across government, business and community groups, unions and a large number of other relevant stakeholders and attracted 483 public submissions. </w:t>
      </w:r>
    </w:p>
    <w:p w14:paraId="0782CC75" w14:textId="52A25CE0" w:rsidR="008A2495" w:rsidRDefault="008A2495" w:rsidP="00B74231">
      <w:pPr>
        <w:spacing w:before="240" w:line="276" w:lineRule="auto"/>
        <w:rPr>
          <w:lang w:val="en-US"/>
        </w:rPr>
      </w:pPr>
      <w:r>
        <w:t>The</w:t>
      </w:r>
      <w:r w:rsidRPr="008A2495">
        <w:t xml:space="preserve"> Regulations </w:t>
      </w:r>
      <w:r>
        <w:t>do</w:t>
      </w:r>
      <w:r w:rsidRPr="008A2495">
        <w:t xml:space="preserve"> not operate retrospectively. The application provisions provide that the amendments made by Part 1 of Schedule 1 to the </w:t>
      </w:r>
      <w:r>
        <w:t>Regulations</w:t>
      </w:r>
      <w:r w:rsidRPr="008A2495">
        <w:t xml:space="preserve"> do not apply in relation to an application for a visa made before the commencement date or a visa granted before the commencement date. Despite the repeal or amendment of provisions by Part 1 of Schedule 1 to the amending regulations, the Regulations still allow the addition of a new-born child or other family member to an application that was made before the commencement date, where the newborn child or family member is added to the application before it is finally decided.</w:t>
      </w:r>
      <w:r w:rsidR="00E12EF7" w:rsidRPr="008A2495">
        <w:rPr>
          <w:lang w:val="en-US"/>
        </w:rPr>
        <w:t>A number of technical amendments are also made the Migration Regulations to ensure th</w:t>
      </w:r>
      <w:r w:rsidR="00CB0F29">
        <w:rPr>
          <w:lang w:val="en-US"/>
        </w:rPr>
        <w:t>ey are accurate and up to date.</w:t>
      </w:r>
    </w:p>
    <w:p w14:paraId="6F6FDD9E" w14:textId="77777777" w:rsidR="00957695" w:rsidRPr="007B2E76" w:rsidRDefault="00957695" w:rsidP="00B74231">
      <w:pPr>
        <w:spacing w:before="240" w:line="276" w:lineRule="auto"/>
      </w:pPr>
      <w:r w:rsidRPr="007B2E76">
        <w:t xml:space="preserve">The Migration Act specifies no conditions that need to be satisfied before the power to make the Regulations may be exercised. </w:t>
      </w:r>
    </w:p>
    <w:p w14:paraId="65CE0CAE" w14:textId="500CDF69" w:rsidR="00FB41CE" w:rsidRPr="007B2E76" w:rsidRDefault="00FB41CE" w:rsidP="00B74231">
      <w:pPr>
        <w:spacing w:before="240" w:line="276" w:lineRule="auto"/>
      </w:pPr>
      <w:r w:rsidRPr="007B2E76">
        <w:t xml:space="preserve">The matters dealt with in the Regulations are appropriate for implementation in regulations rather than by Parliamentary enactment. It has been the consistent practice of the Government of the day to provide for detailed visa criteria and conditions in the Migration Regulations rather than in the Migration Act itself. The Migration Act expressly provides for these matters to be prescribed in regulations, as can be seen in the authorising provisions. Providing </w:t>
      </w:r>
      <w:r w:rsidRPr="007B2E76">
        <w:lastRenderedPageBreak/>
        <w:t>for these details to be in delegated legislation rather than primary legislation gives the Government the ability to effectively manage the operation of Australia’s visa program and respond quickly to emerging needs.</w:t>
      </w:r>
    </w:p>
    <w:p w14:paraId="434BCF24" w14:textId="77777777" w:rsidR="00FB41CE" w:rsidRPr="007B2E76" w:rsidRDefault="00FB41CE" w:rsidP="00B74231">
      <w:pPr>
        <w:spacing w:before="240" w:line="276" w:lineRule="auto"/>
        <w:rPr>
          <w:lang w:val="en-US"/>
        </w:rPr>
      </w:pPr>
      <w:r w:rsidRPr="007B2E76">
        <w:t>A </w:t>
      </w:r>
      <w:r w:rsidRPr="0091171B">
        <w:t>Statement of Compatibility with Human Rights</w:t>
      </w:r>
      <w:r w:rsidRPr="007B2E76">
        <w:t xml:space="preserve"> has been prepared in accordance with the </w:t>
      </w:r>
      <w:r w:rsidRPr="007B2E76">
        <w:rPr>
          <w:i/>
        </w:rPr>
        <w:t>Human Rights (Parliamentary Scrutiny) Act 2011</w:t>
      </w:r>
      <w:r w:rsidRPr="007B2E76">
        <w:t xml:space="preserve">. The overall assessment is that the Regulations are compatible with human rights. A copy of this Statement is at </w:t>
      </w:r>
      <w:r w:rsidRPr="00957695">
        <w:rPr>
          <w:u w:val="single"/>
        </w:rPr>
        <w:t>Attachment A.</w:t>
      </w:r>
      <w:r w:rsidR="00642226" w:rsidRPr="007B2E76">
        <w:t xml:space="preserve"> </w:t>
      </w:r>
    </w:p>
    <w:p w14:paraId="66686A03" w14:textId="294DF740" w:rsidR="00916335" w:rsidRPr="007B2E76" w:rsidRDefault="00FB41CE" w:rsidP="00B74231">
      <w:pPr>
        <w:spacing w:before="240" w:line="276" w:lineRule="auto"/>
      </w:pPr>
      <w:r w:rsidRPr="007B2E76">
        <w:t>The Office of Impact Analysis was consulted</w:t>
      </w:r>
      <w:r w:rsidR="00E12EF7">
        <w:t xml:space="preserve"> in relation </w:t>
      </w:r>
      <w:r w:rsidR="00AC2B77">
        <w:t xml:space="preserve">to </w:t>
      </w:r>
      <w:r w:rsidR="00E12EF7">
        <w:t>the</w:t>
      </w:r>
      <w:r w:rsidR="005370D7">
        <w:t xml:space="preserve"> amendments made in line with the</w:t>
      </w:r>
      <w:r w:rsidR="00E12EF7">
        <w:t xml:space="preserve"> Migration Strategy</w:t>
      </w:r>
      <w:r w:rsidRPr="007B2E76">
        <w:t xml:space="preserve"> pri</w:t>
      </w:r>
      <w:r w:rsidR="00AC2B77">
        <w:t xml:space="preserve">or to making the Regulations. </w:t>
      </w:r>
      <w:r w:rsidRPr="007B2E76">
        <w:t>The O</w:t>
      </w:r>
      <w:r w:rsidR="00E52BA8" w:rsidRPr="007B2E76">
        <w:t>IA</w:t>
      </w:r>
      <w:r w:rsidRPr="007B2E76">
        <w:t xml:space="preserve"> </w:t>
      </w:r>
      <w:r w:rsidR="003F56C7">
        <w:t xml:space="preserve">confirmed a detailed impact analysis is not required. The OIA </w:t>
      </w:r>
      <w:r w:rsidRPr="007B2E76">
        <w:t>reference number</w:t>
      </w:r>
      <w:r w:rsidR="00AC2B77">
        <w:t xml:space="preserve"> is </w:t>
      </w:r>
      <w:r w:rsidR="00AC2B77" w:rsidRPr="00AC2B77">
        <w:t>OBPR23-04044</w:t>
      </w:r>
      <w:r w:rsidR="00272C60">
        <w:t xml:space="preserve">. </w:t>
      </w:r>
    </w:p>
    <w:p w14:paraId="125BA221" w14:textId="319649B4" w:rsidR="00957695" w:rsidRPr="007B2E76" w:rsidRDefault="00E04552" w:rsidP="00B74231">
      <w:pPr>
        <w:spacing w:before="240" w:line="276" w:lineRule="auto"/>
      </w:pPr>
      <w:r w:rsidRPr="00E04552">
        <w:t xml:space="preserve">The development of the </w:t>
      </w:r>
      <w:r w:rsidR="001F76A7">
        <w:t>amendments</w:t>
      </w:r>
      <w:r w:rsidRPr="00E04552">
        <w:t xml:space="preserve"> </w:t>
      </w:r>
      <w:r w:rsidR="00177984">
        <w:t xml:space="preserve">in the Regulations </w:t>
      </w:r>
      <w:r w:rsidRPr="00E04552">
        <w:t xml:space="preserve">was informed </w:t>
      </w:r>
      <w:r w:rsidR="003E53D1">
        <w:t xml:space="preserve">by </w:t>
      </w:r>
      <w:r w:rsidRPr="00E04552">
        <w:t xml:space="preserve">consultation </w:t>
      </w:r>
      <w:r w:rsidR="003E53D1">
        <w:t xml:space="preserve">undertaken </w:t>
      </w:r>
      <w:r w:rsidRPr="00E04552">
        <w:t>throughout the Migration Review</w:t>
      </w:r>
      <w:r w:rsidR="003E53D1">
        <w:t xml:space="preserve"> with </w:t>
      </w:r>
      <w:r w:rsidR="003E53D1" w:rsidRPr="003E53D1">
        <w:t>businesses, unions and other stakeholders undertaken</w:t>
      </w:r>
      <w:r w:rsidRPr="00E04552">
        <w:t xml:space="preserve">, </w:t>
      </w:r>
      <w:r w:rsidR="003E53D1">
        <w:t xml:space="preserve">and </w:t>
      </w:r>
      <w:r w:rsidRPr="00E04552">
        <w:t xml:space="preserve">which informed the </w:t>
      </w:r>
      <w:r w:rsidR="003E53D1">
        <w:t xml:space="preserve">Government’s </w:t>
      </w:r>
      <w:r w:rsidRPr="00E04552">
        <w:t>Migration Strategy. The Department also engaged in whole of government consultation in the course of developing the Migration Strategy</w:t>
      </w:r>
      <w:r w:rsidR="00177984">
        <w:t>, and worked with the Office of Parliamentary Counsel to identify and address certain technical matters covered by Part 2 of Schedule 1</w:t>
      </w:r>
      <w:r w:rsidRPr="00E04552">
        <w:t xml:space="preserve">. No </w:t>
      </w:r>
      <w:r w:rsidR="003D35E7">
        <w:t>additional</w:t>
      </w:r>
      <w:r w:rsidRPr="00E04552">
        <w:t xml:space="preserve"> consultation </w:t>
      </w:r>
      <w:r w:rsidR="00272C60" w:rsidRPr="00E04552">
        <w:t xml:space="preserve">was </w:t>
      </w:r>
      <w:r w:rsidR="00272C60">
        <w:t xml:space="preserve">necessary </w:t>
      </w:r>
      <w:r w:rsidR="00A439E0">
        <w:t>in relation to the technical</w:t>
      </w:r>
      <w:r w:rsidR="00272C60">
        <w:t xml:space="preserve"> amendments </w:t>
      </w:r>
      <w:r w:rsidR="00A439E0">
        <w:t xml:space="preserve">as </w:t>
      </w:r>
      <w:r w:rsidR="00984899">
        <w:t xml:space="preserve">they </w:t>
      </w:r>
      <w:r w:rsidR="00A439E0">
        <w:t xml:space="preserve">do not make </w:t>
      </w:r>
      <w:r w:rsidR="00C73625">
        <w:t>substantive</w:t>
      </w:r>
      <w:r w:rsidR="00A439E0">
        <w:t xml:space="preserve"> changes to the legislation and are aimed at</w:t>
      </w:r>
      <w:r w:rsidR="00272C60">
        <w:t xml:space="preserve"> ensuring the Regulations are up to date</w:t>
      </w:r>
      <w:r w:rsidR="003D35E7">
        <w:t xml:space="preserve"> and consistent with current drafting practice</w:t>
      </w:r>
      <w:r w:rsidR="00272C60">
        <w:t>.</w:t>
      </w:r>
      <w:r w:rsidR="001F4E01" w:rsidRPr="007B2E76">
        <w:t xml:space="preserve"> This accords with subsection 17(1) of the </w:t>
      </w:r>
      <w:r w:rsidR="001F4E01" w:rsidRPr="007B2E76">
        <w:rPr>
          <w:i/>
        </w:rPr>
        <w:t>Legislation Act 2003</w:t>
      </w:r>
      <w:r w:rsidR="001F4E01" w:rsidRPr="007B2E76">
        <w:t xml:space="preserve"> </w:t>
      </w:r>
      <w:r w:rsidR="0060279F">
        <w:t xml:space="preserve">(the Legislation Act) </w:t>
      </w:r>
      <w:r w:rsidR="001F4E01" w:rsidRPr="007B2E76">
        <w:t>which requires that appropriate and reasonably practicable consultation be undertaken.</w:t>
      </w:r>
    </w:p>
    <w:p w14:paraId="0182BC83" w14:textId="77777777" w:rsidR="00957695" w:rsidRPr="007B2E76" w:rsidRDefault="00957695" w:rsidP="00B74231">
      <w:pPr>
        <w:spacing w:before="240" w:line="276" w:lineRule="auto"/>
        <w:rPr>
          <w:lang w:val="en-GB"/>
        </w:rPr>
      </w:pPr>
      <w:r w:rsidRPr="007B2E76">
        <w:t>The amendments commence on the day after registration.</w:t>
      </w:r>
      <w:r w:rsidRPr="007B2E76">
        <w:rPr>
          <w:lang w:val="en-GB"/>
        </w:rPr>
        <w:t> </w:t>
      </w:r>
    </w:p>
    <w:p w14:paraId="0F86ABEF" w14:textId="77777777" w:rsidR="00957695" w:rsidRPr="007B2E76" w:rsidRDefault="00957695" w:rsidP="00B74231">
      <w:pPr>
        <w:spacing w:before="240" w:line="276" w:lineRule="auto"/>
      </w:pPr>
      <w:r w:rsidRPr="007B2E76">
        <w:t xml:space="preserve">Further details of the Regulations are set out in </w:t>
      </w:r>
      <w:r w:rsidRPr="00356FA2">
        <w:rPr>
          <w:u w:val="single"/>
        </w:rPr>
        <w:t>Attachment B.</w:t>
      </w:r>
      <w:r w:rsidRPr="007B2E76">
        <w:t> </w:t>
      </w:r>
    </w:p>
    <w:p w14:paraId="3873FD8F" w14:textId="78DB6120" w:rsidR="00FB41CE" w:rsidRPr="00957695" w:rsidRDefault="00FB41CE" w:rsidP="00B74231">
      <w:pPr>
        <w:spacing w:before="240" w:line="276" w:lineRule="auto"/>
        <w:rPr>
          <w:lang w:val="en-US"/>
        </w:rPr>
      </w:pPr>
      <w:r w:rsidRPr="007B2E76">
        <w:t>The Migration Regulations</w:t>
      </w:r>
      <w:r w:rsidRPr="007B2E76">
        <w:rPr>
          <w:i/>
        </w:rPr>
        <w:t xml:space="preserve"> </w:t>
      </w:r>
      <w:r w:rsidRPr="007B2E76">
        <w:t xml:space="preserve">are exempt from sunsetting pursuant to item 38A of the table in section 12 of the </w:t>
      </w:r>
      <w:r w:rsidRPr="007B2E76">
        <w:rPr>
          <w:i/>
        </w:rPr>
        <w:t>Legislation (Exemptions and Other Matters) Regulation 2015</w:t>
      </w:r>
      <w:r w:rsidRPr="007B2E76">
        <w:t>.</w:t>
      </w:r>
      <w:r w:rsidR="00642226" w:rsidRPr="007B2E76">
        <w:t xml:space="preserve"> </w:t>
      </w:r>
      <w:r w:rsidRPr="007B2E76">
        <w:t>The Migration Regulations are exempt from sunsetting on the basis that the repeal and remaking of the Migration Regulations:</w:t>
      </w:r>
    </w:p>
    <w:p w14:paraId="4220C84B" w14:textId="77777777" w:rsidR="00FB41CE" w:rsidRPr="007B2E76" w:rsidRDefault="00FB41CE" w:rsidP="00B74231">
      <w:pPr>
        <w:pStyle w:val="ListParagraph"/>
        <w:numPr>
          <w:ilvl w:val="0"/>
          <w:numId w:val="6"/>
        </w:numPr>
        <w:spacing w:before="240" w:line="276" w:lineRule="auto"/>
        <w:ind w:left="357" w:hanging="357"/>
      </w:pPr>
      <w:r w:rsidRPr="007B2E76">
        <w:t xml:space="preserve">is unnecessary as the Migration Regulations are regularly amended numerous times each year to update policy settings for immigration programs; </w:t>
      </w:r>
    </w:p>
    <w:p w14:paraId="5B4C7B6F" w14:textId="77777777" w:rsidR="00FB41CE" w:rsidRPr="007B2E76" w:rsidRDefault="00FB41CE" w:rsidP="00B74231">
      <w:pPr>
        <w:pStyle w:val="ListParagraph"/>
        <w:numPr>
          <w:ilvl w:val="0"/>
          <w:numId w:val="6"/>
        </w:numPr>
        <w:spacing w:before="240" w:line="276" w:lineRule="auto"/>
        <w:ind w:left="357" w:hanging="357"/>
      </w:pPr>
      <w:r w:rsidRPr="007B2E76">
        <w:t>would require complex and difficult to administer transitional provisions to ensure, amongst other things, the position of the many people who hold Australian visas, and similarly, there would likely be a significant impact on undecided visa and sponsorship applications; and</w:t>
      </w:r>
    </w:p>
    <w:p w14:paraId="415A2CEE" w14:textId="77777777" w:rsidR="00FB41CE" w:rsidRPr="007B2E76" w:rsidRDefault="00FB41CE" w:rsidP="00B74231">
      <w:pPr>
        <w:pStyle w:val="ListParagraph"/>
        <w:numPr>
          <w:ilvl w:val="0"/>
          <w:numId w:val="6"/>
        </w:numPr>
        <w:spacing w:before="240" w:line="276" w:lineRule="auto"/>
        <w:ind w:left="357" w:hanging="357"/>
      </w:pPr>
      <w:r w:rsidRPr="007B2E76">
        <w:t>would demand complicated and costly systems, training and operational changes that would impose significant strain on Government resources and the Australian public for insignificant gain, while not advancing the aims of the Legislation Act.</w:t>
      </w:r>
    </w:p>
    <w:p w14:paraId="46C24E70" w14:textId="215343E0" w:rsidR="00B90F2B" w:rsidRDefault="00B90F2B" w:rsidP="00B74231">
      <w:pPr>
        <w:spacing w:before="240" w:line="276" w:lineRule="auto"/>
      </w:pPr>
      <w:r w:rsidRPr="00B90F2B">
        <w:lastRenderedPageBreak/>
        <w:t>The Amendment Regulations will be repealed by operation of Division 1 of Part 3 of Chapter 3 of the Legislation Act. Specifically, that Division (under section 48A) operates to automatically repeal a legislative instrument that has the sole purpose of amending or repealing another instrument. As the Amendment Regulations will automatically repeal, they do not engage the sunsetting framework under</w:t>
      </w:r>
      <w:r>
        <w:t xml:space="preserve"> Part 4 of the Legislation Act.</w:t>
      </w:r>
    </w:p>
    <w:p w14:paraId="125FADB0" w14:textId="5B4841CB" w:rsidR="00957695" w:rsidRDefault="00957695" w:rsidP="00B74231">
      <w:pPr>
        <w:spacing w:before="240" w:line="276" w:lineRule="auto"/>
      </w:pPr>
      <w:r w:rsidRPr="007B2E76">
        <w:t xml:space="preserve">The </w:t>
      </w:r>
      <w:r w:rsidR="00B74231">
        <w:t xml:space="preserve">Amendment </w:t>
      </w:r>
      <w:r w:rsidRPr="007B2E76">
        <w:t>Regulations are a legislative instrument for the p</w:t>
      </w:r>
      <w:r>
        <w:t>urposes of the Legislation Act.</w:t>
      </w:r>
    </w:p>
    <w:p w14:paraId="28D830B8" w14:textId="77777777" w:rsidR="00FB41CE" w:rsidRPr="007B2E76" w:rsidRDefault="00FB41CE" w:rsidP="00B74231">
      <w:pPr>
        <w:spacing w:line="276" w:lineRule="auto"/>
      </w:pPr>
      <w:r w:rsidRPr="007B2E76">
        <w:br w:type="page"/>
      </w:r>
    </w:p>
    <w:p w14:paraId="08D1C469" w14:textId="77777777" w:rsidR="00FB41CE" w:rsidRPr="00356FA2" w:rsidRDefault="00FB41CE" w:rsidP="00B74231">
      <w:pPr>
        <w:tabs>
          <w:tab w:val="left" w:pos="345"/>
        </w:tabs>
        <w:spacing w:line="276" w:lineRule="auto"/>
        <w:ind w:left="720" w:right="43"/>
        <w:jc w:val="right"/>
        <w:rPr>
          <w:b/>
          <w:bCs/>
          <w:u w:val="single"/>
        </w:rPr>
      </w:pPr>
      <w:r w:rsidRPr="00356FA2">
        <w:rPr>
          <w:b/>
          <w:bCs/>
          <w:u w:val="single"/>
        </w:rPr>
        <w:lastRenderedPageBreak/>
        <w:t>ATTACHMENT A</w:t>
      </w:r>
    </w:p>
    <w:p w14:paraId="7268A125" w14:textId="77777777" w:rsidR="00FB41CE" w:rsidRPr="007B2E76" w:rsidRDefault="00FB41CE" w:rsidP="00B74231">
      <w:pPr>
        <w:tabs>
          <w:tab w:val="left" w:pos="345"/>
        </w:tabs>
        <w:spacing w:line="276" w:lineRule="auto"/>
        <w:ind w:right="43"/>
        <w:jc w:val="right"/>
        <w:rPr>
          <w:b/>
          <w:bCs/>
        </w:rPr>
      </w:pPr>
    </w:p>
    <w:p w14:paraId="3659F17C" w14:textId="77777777" w:rsidR="00CF4CC8" w:rsidRDefault="00CF4CC8" w:rsidP="00B74231">
      <w:pPr>
        <w:pStyle w:val="NormalWeb"/>
        <w:spacing w:line="276" w:lineRule="auto"/>
        <w:jc w:val="center"/>
        <w:rPr>
          <w:color w:val="000000"/>
          <w:sz w:val="28"/>
          <w:szCs w:val="28"/>
        </w:rPr>
      </w:pPr>
      <w:r>
        <w:rPr>
          <w:b/>
          <w:bCs/>
          <w:color w:val="000000"/>
          <w:sz w:val="28"/>
          <w:szCs w:val="28"/>
        </w:rPr>
        <w:t>Statement of Compatibility with Human Rights</w:t>
      </w:r>
    </w:p>
    <w:p w14:paraId="3392057B" w14:textId="77777777" w:rsidR="00CF4CC8" w:rsidRDefault="00CF4CC8" w:rsidP="00B74231">
      <w:pPr>
        <w:pStyle w:val="NormalWeb"/>
        <w:spacing w:line="276" w:lineRule="auto"/>
        <w:jc w:val="center"/>
        <w:rPr>
          <w:color w:val="000000"/>
          <w:sz w:val="28"/>
          <w:szCs w:val="28"/>
        </w:rPr>
      </w:pPr>
      <w:r>
        <w:rPr>
          <w:b/>
          <w:bCs/>
          <w:color w:val="000000"/>
          <w:sz w:val="28"/>
          <w:szCs w:val="28"/>
        </w:rPr>
        <w:t> </w:t>
      </w:r>
    </w:p>
    <w:p w14:paraId="03E90B97" w14:textId="77777777" w:rsidR="00CF4CC8" w:rsidRDefault="00CF4CC8" w:rsidP="00B74231">
      <w:pPr>
        <w:pStyle w:val="NormalWeb"/>
        <w:spacing w:line="276" w:lineRule="auto"/>
        <w:jc w:val="center"/>
        <w:rPr>
          <w:color w:val="000000"/>
        </w:rPr>
      </w:pPr>
      <w:r>
        <w:rPr>
          <w:i/>
          <w:iCs/>
          <w:color w:val="000000"/>
        </w:rPr>
        <w:t>Prepared in accordance with Part 3 of the Human Rights (Parliamentary Scrutiny) Act 2011</w:t>
      </w:r>
    </w:p>
    <w:p w14:paraId="1E6E5369" w14:textId="77777777" w:rsidR="00CF4CC8" w:rsidRDefault="00CF4CC8" w:rsidP="00B74231">
      <w:pPr>
        <w:pStyle w:val="NormalWeb"/>
        <w:spacing w:line="276" w:lineRule="auto"/>
        <w:jc w:val="center"/>
        <w:rPr>
          <w:color w:val="000000"/>
        </w:rPr>
      </w:pPr>
      <w:r>
        <w:rPr>
          <w:color w:val="000000"/>
        </w:rPr>
        <w:t> </w:t>
      </w:r>
    </w:p>
    <w:p w14:paraId="0982956D" w14:textId="77777777" w:rsidR="00CF4CC8" w:rsidRPr="00CA1AE0" w:rsidRDefault="00CF4CC8" w:rsidP="00B74231">
      <w:pPr>
        <w:pStyle w:val="NormalWeb"/>
        <w:spacing w:line="276" w:lineRule="auto"/>
        <w:jc w:val="center"/>
        <w:rPr>
          <w:b/>
          <w:bCs/>
          <w:i/>
          <w:color w:val="000000"/>
        </w:rPr>
      </w:pPr>
      <w:r w:rsidRPr="00CA1AE0">
        <w:rPr>
          <w:b/>
          <w:bCs/>
          <w:i/>
          <w:color w:val="000000"/>
        </w:rPr>
        <w:t>Migration Amendment (Repeal, Consequential and Technical Amendments) Regulations 202</w:t>
      </w:r>
      <w:r>
        <w:rPr>
          <w:b/>
          <w:bCs/>
          <w:i/>
          <w:color w:val="000000"/>
        </w:rPr>
        <w:t>5</w:t>
      </w:r>
    </w:p>
    <w:p w14:paraId="71AB2580" w14:textId="77777777" w:rsidR="00CF4CC8" w:rsidRDefault="00CF4CC8" w:rsidP="00B74231">
      <w:pPr>
        <w:pStyle w:val="NormalWeb"/>
        <w:spacing w:line="276" w:lineRule="auto"/>
        <w:jc w:val="center"/>
        <w:rPr>
          <w:color w:val="000000"/>
        </w:rPr>
      </w:pPr>
      <w:r>
        <w:rPr>
          <w:color w:val="000000"/>
        </w:rPr>
        <w:t> </w:t>
      </w:r>
    </w:p>
    <w:p w14:paraId="4DCA9476" w14:textId="77777777" w:rsidR="00CF4CC8" w:rsidRDefault="00CF4CC8" w:rsidP="00B74231">
      <w:pPr>
        <w:pStyle w:val="NormalWeb"/>
        <w:spacing w:line="276" w:lineRule="auto"/>
        <w:jc w:val="center"/>
        <w:rPr>
          <w:color w:val="000000"/>
        </w:rPr>
      </w:pPr>
      <w:r>
        <w:rPr>
          <w:color w:val="000000"/>
        </w:rPr>
        <w:t>This Disallowable Legislative Instrument is compatible with the human rights and freedoms recognised or declared in the international instruments listed in section 3 of the </w:t>
      </w:r>
      <w:r>
        <w:rPr>
          <w:i/>
          <w:iCs/>
          <w:color w:val="000000"/>
        </w:rPr>
        <w:t>Human Rights (Parliamentary Scrutiny) Act 2011</w:t>
      </w:r>
      <w:r>
        <w:rPr>
          <w:color w:val="000000"/>
        </w:rPr>
        <w:t>.</w:t>
      </w:r>
    </w:p>
    <w:p w14:paraId="6FAE6189" w14:textId="77777777" w:rsidR="00CF4CC8" w:rsidRDefault="00CF4CC8" w:rsidP="00B74231">
      <w:pPr>
        <w:pStyle w:val="NormalWeb"/>
        <w:spacing w:line="276" w:lineRule="auto"/>
        <w:jc w:val="both"/>
        <w:rPr>
          <w:b/>
          <w:bCs/>
          <w:color w:val="000000"/>
        </w:rPr>
      </w:pPr>
      <w:r>
        <w:rPr>
          <w:b/>
          <w:bCs/>
          <w:color w:val="000000"/>
        </w:rPr>
        <w:t> </w:t>
      </w:r>
    </w:p>
    <w:p w14:paraId="0A116FD5" w14:textId="77777777" w:rsidR="00D04B5D" w:rsidRPr="006514BB" w:rsidRDefault="00CF4CC8" w:rsidP="00B74231">
      <w:pPr>
        <w:shd w:val="clear" w:color="auto" w:fill="FFFFFF"/>
        <w:spacing w:before="240" w:after="240" w:line="276" w:lineRule="auto"/>
        <w:outlineLvl w:val="2"/>
        <w:rPr>
          <w:rFonts w:eastAsia="Times New Roman"/>
          <w:b/>
          <w:bCs/>
          <w:color w:val="243F60"/>
        </w:rPr>
      </w:pPr>
      <w:r>
        <w:rPr>
          <w:b/>
          <w:bCs/>
          <w:color w:val="000000"/>
        </w:rPr>
        <w:t>Overview of the </w:t>
      </w:r>
      <w:r w:rsidR="00D04B5D" w:rsidRPr="006514BB">
        <w:rPr>
          <w:rFonts w:eastAsia="Times New Roman"/>
          <w:b/>
          <w:bCs/>
        </w:rPr>
        <w:t>Disallowable Legislative Instrument</w:t>
      </w:r>
    </w:p>
    <w:p w14:paraId="7A903B80" w14:textId="71FD863E" w:rsidR="00CF4CC8" w:rsidRDefault="00CF4CC8" w:rsidP="00B74231">
      <w:pPr>
        <w:spacing w:before="240" w:line="276" w:lineRule="auto"/>
      </w:pPr>
      <w:r>
        <w:t xml:space="preserve">The </w:t>
      </w:r>
      <w:r w:rsidRPr="00B304F0">
        <w:rPr>
          <w:i/>
        </w:rPr>
        <w:t>Migration Amendment (Repeal, Consequential and Technical Amendments) Regulations 2025</w:t>
      </w:r>
      <w:r>
        <w:rPr>
          <w:i/>
        </w:rPr>
        <w:t xml:space="preserve"> </w:t>
      </w:r>
      <w:r>
        <w:t xml:space="preserve">(Amendment Regulations) repeal provisions in the </w:t>
      </w:r>
      <w:r w:rsidRPr="00B304F0">
        <w:rPr>
          <w:i/>
        </w:rPr>
        <w:t>Migration Regulations 1994</w:t>
      </w:r>
      <w:r>
        <w:t xml:space="preserve"> (Migration Regulations) that are redundant, and make consequential and technical amendments to ensure the Migration Regulations are up to date and fit for purpose. The Amendment Regulations implement the Government’s commitment to simplifying and streamlining the migration program as announced in the Migration Strategy. This Strategy was released in 2023 following the findings of the ‘Review of the Migration System’ undertaken by Dr Martin Parkinson AC PSM. </w:t>
      </w:r>
    </w:p>
    <w:p w14:paraId="79208CA2" w14:textId="77777777" w:rsidR="00CF4CC8" w:rsidRDefault="00CF4CC8" w:rsidP="00B74231">
      <w:pPr>
        <w:spacing w:before="240" w:after="120" w:line="276" w:lineRule="auto"/>
      </w:pPr>
      <w:r>
        <w:t>Part 1 of Schedule 1 to the Regulation Amendment repeals the following visas:</w:t>
      </w:r>
    </w:p>
    <w:p w14:paraId="70C020BA" w14:textId="77777777" w:rsidR="00CF4CC8" w:rsidRPr="008E44A8" w:rsidRDefault="00CF4CC8" w:rsidP="00B74231">
      <w:pPr>
        <w:pStyle w:val="NormalWeb"/>
        <w:numPr>
          <w:ilvl w:val="0"/>
          <w:numId w:val="5"/>
        </w:numPr>
        <w:spacing w:after="240" w:line="276" w:lineRule="auto"/>
        <w:ind w:left="714" w:hanging="357"/>
      </w:pPr>
      <w:r w:rsidRPr="002538A9">
        <w:rPr>
          <w:u w:val="single"/>
        </w:rPr>
        <w:t>Resident Return (Temporary) (Class TP) (Subclass 159)</w:t>
      </w:r>
      <w:r w:rsidRPr="008E44A8">
        <w:t xml:space="preserve"> – </w:t>
      </w:r>
      <w:r>
        <w:t>this visa was intended for a specific group of applicants for whom other visas are now available, and</w:t>
      </w:r>
      <w:r w:rsidRPr="008E44A8">
        <w:t xml:space="preserve"> </w:t>
      </w:r>
      <w:r w:rsidRPr="00B304F0">
        <w:t xml:space="preserve">no applications have been received since 2020; </w:t>
      </w:r>
    </w:p>
    <w:p w14:paraId="15B485C5" w14:textId="7F602D6D" w:rsidR="00CF4CC8" w:rsidRPr="008E44A8" w:rsidRDefault="00CF4CC8" w:rsidP="00B74231">
      <w:pPr>
        <w:pStyle w:val="NormalWeb"/>
        <w:numPr>
          <w:ilvl w:val="0"/>
          <w:numId w:val="5"/>
        </w:numPr>
        <w:spacing w:after="240" w:line="276" w:lineRule="auto"/>
        <w:ind w:left="714" w:hanging="357"/>
      </w:pPr>
      <w:r w:rsidRPr="002538A9">
        <w:rPr>
          <w:u w:val="single"/>
        </w:rPr>
        <w:t>Confirmatory (Residence) (Class AK) (Subclass 808)</w:t>
      </w:r>
      <w:r w:rsidRPr="008E44A8">
        <w:t xml:space="preserve"> – </w:t>
      </w:r>
      <w:r>
        <w:t xml:space="preserve">this visa </w:t>
      </w:r>
      <w:r w:rsidR="00B74231">
        <w:t xml:space="preserve">subclass </w:t>
      </w:r>
      <w:r w:rsidR="00B74231" w:rsidRPr="008E44A8">
        <w:t>was</w:t>
      </w:r>
      <w:r w:rsidRPr="00B304F0">
        <w:t xml:space="preserve"> closed to new app</w:t>
      </w:r>
      <w:r w:rsidR="00B74231">
        <w:t>lications from 1 January 2024;</w:t>
      </w:r>
    </w:p>
    <w:p w14:paraId="497C9655" w14:textId="69060B32" w:rsidR="00CF4CC8" w:rsidRPr="008E44A8" w:rsidRDefault="00CF4CC8" w:rsidP="00B74231">
      <w:pPr>
        <w:pStyle w:val="NormalWeb"/>
        <w:numPr>
          <w:ilvl w:val="0"/>
          <w:numId w:val="5"/>
        </w:numPr>
        <w:spacing w:after="240" w:line="276" w:lineRule="auto"/>
        <w:ind w:left="714" w:hanging="357"/>
      </w:pPr>
      <w:r w:rsidRPr="002538A9">
        <w:rPr>
          <w:u w:val="single"/>
        </w:rPr>
        <w:t>Tourist visa (Class TR) (Subclass 676)</w:t>
      </w:r>
      <w:r w:rsidRPr="008E44A8">
        <w:t xml:space="preserve"> – </w:t>
      </w:r>
      <w:r>
        <w:t xml:space="preserve">this visa subclass </w:t>
      </w:r>
      <w:r w:rsidRPr="00B304F0">
        <w:t>was replaced by the Visitor (Subclass 600) visa in March 2013</w:t>
      </w:r>
      <w:r w:rsidR="00B74231">
        <w:t>;</w:t>
      </w:r>
    </w:p>
    <w:p w14:paraId="4BA00475" w14:textId="0394AA57" w:rsidR="00CF4CC8" w:rsidRPr="008E44A8" w:rsidRDefault="00CF4CC8" w:rsidP="00B74231">
      <w:pPr>
        <w:pStyle w:val="ListParagraph"/>
        <w:numPr>
          <w:ilvl w:val="0"/>
          <w:numId w:val="5"/>
        </w:numPr>
        <w:spacing w:after="240" w:line="276" w:lineRule="auto"/>
        <w:ind w:left="714" w:hanging="357"/>
        <w:rPr>
          <w:rFonts w:eastAsia="Times New Roman"/>
        </w:rPr>
      </w:pPr>
      <w:r w:rsidRPr="002538A9">
        <w:rPr>
          <w:u w:val="single"/>
        </w:rPr>
        <w:t>Business Skills (Provisional) (Class UR) (Subclasses 160, 161, 162, 163, 164 and 165)</w:t>
      </w:r>
      <w:r w:rsidRPr="008E44A8">
        <w:t xml:space="preserve"> - </w:t>
      </w:r>
      <w:r w:rsidRPr="00B304F0">
        <w:rPr>
          <w:rFonts w:eastAsia="Times New Roman"/>
        </w:rPr>
        <w:t xml:space="preserve">this visa class has been closed to new </w:t>
      </w:r>
      <w:r>
        <w:rPr>
          <w:rFonts w:eastAsia="Times New Roman"/>
        </w:rPr>
        <w:t>primary</w:t>
      </w:r>
      <w:r w:rsidRPr="00B304F0">
        <w:rPr>
          <w:rFonts w:eastAsia="Times New Roman"/>
        </w:rPr>
        <w:t xml:space="preserve"> applications since 1 July 2012</w:t>
      </w:r>
      <w:r w:rsidRPr="008E44A8">
        <w:rPr>
          <w:rFonts w:eastAsia="Times New Roman"/>
        </w:rPr>
        <w:t>;</w:t>
      </w:r>
    </w:p>
    <w:p w14:paraId="54D7E494" w14:textId="52BFDC7A" w:rsidR="00CF4CC8" w:rsidRDefault="00CF4CC8" w:rsidP="00B74231">
      <w:pPr>
        <w:pStyle w:val="NormalWeb"/>
        <w:numPr>
          <w:ilvl w:val="0"/>
          <w:numId w:val="5"/>
        </w:numPr>
        <w:spacing w:after="240" w:line="276" w:lineRule="auto"/>
        <w:ind w:left="714" w:hanging="357"/>
      </w:pPr>
      <w:r w:rsidRPr="002538A9">
        <w:rPr>
          <w:u w:val="single"/>
        </w:rPr>
        <w:t>Business Skills (Residence) (Class DF) (Subclasses 890, 891, 892 and 893)</w:t>
      </w:r>
      <w:r>
        <w:t xml:space="preserve"> – primary applicants for this permanent visa class are required to hold a Business Skills (Provisional)</w:t>
      </w:r>
      <w:r w:rsidR="002538A9">
        <w:t xml:space="preserve"> </w:t>
      </w:r>
      <w:r>
        <w:t xml:space="preserve">(Class UR) visa which has been closed to new primary applicants </w:t>
      </w:r>
      <w:r w:rsidR="0078159D">
        <w:t>since 1</w:t>
      </w:r>
      <w:r w:rsidR="00B74231">
        <w:t> </w:t>
      </w:r>
      <w:r>
        <w:t xml:space="preserve">July 2012, and there are therefore no new applicants </w:t>
      </w:r>
      <w:r w:rsidR="00F0293A">
        <w:t xml:space="preserve">who </w:t>
      </w:r>
      <w:r>
        <w:t>are eligible to apply for a Class UR</w:t>
      </w:r>
      <w:r w:rsidR="00F0293A">
        <w:t xml:space="preserve"> visa</w:t>
      </w:r>
      <w:r>
        <w:t xml:space="preserve">. </w:t>
      </w:r>
    </w:p>
    <w:p w14:paraId="5B04B1EB" w14:textId="548FEA7D" w:rsidR="00CF4CC8" w:rsidRDefault="00CF4CC8" w:rsidP="00B74231">
      <w:pPr>
        <w:pStyle w:val="NormalWeb"/>
        <w:spacing w:line="276" w:lineRule="auto"/>
        <w:rPr>
          <w:iCs/>
          <w:color w:val="000000"/>
        </w:rPr>
      </w:pPr>
      <w:r>
        <w:lastRenderedPageBreak/>
        <w:t xml:space="preserve">Part 1 of Schedule 1 to the Amendment </w:t>
      </w:r>
      <w:r>
        <w:rPr>
          <w:color w:val="000000"/>
        </w:rPr>
        <w:t xml:space="preserve">Regulations </w:t>
      </w:r>
      <w:r>
        <w:rPr>
          <w:iCs/>
          <w:color w:val="000000"/>
        </w:rPr>
        <w:t>also makes a number of consequential amendments to remove references to the repealed visas.</w:t>
      </w:r>
    </w:p>
    <w:p w14:paraId="32402A40" w14:textId="77777777" w:rsidR="00B74231" w:rsidRDefault="00B74231" w:rsidP="00B74231">
      <w:pPr>
        <w:pStyle w:val="NormalWeb"/>
        <w:spacing w:after="240" w:line="276" w:lineRule="auto"/>
        <w:rPr>
          <w:iCs/>
          <w:color w:val="000000"/>
        </w:rPr>
      </w:pPr>
    </w:p>
    <w:p w14:paraId="5E2A6C85" w14:textId="07E689C6" w:rsidR="00CF4CC8" w:rsidRDefault="00CF4CC8" w:rsidP="00B74231">
      <w:pPr>
        <w:pStyle w:val="NormalWeb"/>
        <w:spacing w:after="240" w:line="276" w:lineRule="auto"/>
        <w:rPr>
          <w:iCs/>
          <w:color w:val="000000"/>
        </w:rPr>
      </w:pPr>
      <w:r>
        <w:rPr>
          <w:iCs/>
          <w:color w:val="000000"/>
        </w:rPr>
        <w:t>Part 2 of Schedule 1 to the Amendment Regulations makes a number of technical amendments which have no substantive effect but ensure the Migration Regulations are up to date and fit for purpose, including:</w:t>
      </w:r>
    </w:p>
    <w:p w14:paraId="1C921697" w14:textId="77777777" w:rsidR="00CF4CC8" w:rsidRPr="00356FA2" w:rsidRDefault="00CF4CC8" w:rsidP="00B74231">
      <w:pPr>
        <w:pStyle w:val="ListParagraph"/>
        <w:numPr>
          <w:ilvl w:val="0"/>
          <w:numId w:val="7"/>
        </w:numPr>
        <w:spacing w:after="240" w:line="276" w:lineRule="auto"/>
        <w:ind w:left="714" w:hanging="357"/>
        <w:rPr>
          <w:lang w:val="en-US"/>
        </w:rPr>
      </w:pPr>
      <w:r w:rsidRPr="00356FA2">
        <w:rPr>
          <w:lang w:val="en-US"/>
        </w:rPr>
        <w:t xml:space="preserve">removing redundant references to ‘permanent entry permit’ and ‘permanent entry visa’ as both of these terms have been replaced with ‘permanent visa’; </w:t>
      </w:r>
    </w:p>
    <w:p w14:paraId="2B796464" w14:textId="77777777" w:rsidR="00CF4CC8" w:rsidRPr="00356FA2" w:rsidRDefault="00CF4CC8" w:rsidP="00B74231">
      <w:pPr>
        <w:pStyle w:val="ListParagraph"/>
        <w:numPr>
          <w:ilvl w:val="0"/>
          <w:numId w:val="7"/>
        </w:numPr>
        <w:spacing w:after="240" w:line="276" w:lineRule="auto"/>
        <w:ind w:left="714" w:hanging="357"/>
        <w:rPr>
          <w:lang w:val="en-US"/>
        </w:rPr>
      </w:pPr>
      <w:r w:rsidRPr="00356FA2">
        <w:rPr>
          <w:lang w:val="en-US"/>
        </w:rPr>
        <w:t>replacing references to Her Majesty Queen Elizabeth II with ‘the Sovereign’;</w:t>
      </w:r>
    </w:p>
    <w:p w14:paraId="6B0D1962" w14:textId="77777777" w:rsidR="00CF4CC8" w:rsidRPr="00356FA2" w:rsidRDefault="00CF4CC8" w:rsidP="00B74231">
      <w:pPr>
        <w:pStyle w:val="ListParagraph"/>
        <w:numPr>
          <w:ilvl w:val="0"/>
          <w:numId w:val="7"/>
        </w:numPr>
        <w:spacing w:after="240" w:line="276" w:lineRule="auto"/>
        <w:ind w:left="714" w:hanging="357"/>
        <w:rPr>
          <w:lang w:val="en-US"/>
        </w:rPr>
      </w:pPr>
      <w:r>
        <w:t>updating redundant</w:t>
      </w:r>
      <w:r w:rsidRPr="00E12EF7">
        <w:t xml:space="preserve"> reference</w:t>
      </w:r>
      <w:r>
        <w:t>s</w:t>
      </w:r>
      <w:r w:rsidRPr="00E12EF7">
        <w:t xml:space="preserve"> to </w:t>
      </w:r>
      <w:r>
        <w:t xml:space="preserve">the </w:t>
      </w:r>
      <w:r w:rsidRPr="00E12EF7">
        <w:t>‘Australian Crime Commission’</w:t>
      </w:r>
      <w:r>
        <w:t xml:space="preserve"> with </w:t>
      </w:r>
      <w:r w:rsidRPr="00E12EF7">
        <w:t xml:space="preserve">‘the Australian Criminal Intelligence Commission’. This amendment is required to reflect the </w:t>
      </w:r>
      <w:r>
        <w:t xml:space="preserve">establishment of the Australian Criminal Intelligence Commission on 1 July 2016 following the </w:t>
      </w:r>
      <w:r w:rsidRPr="00E12EF7">
        <w:t>merger of the Australian Crime Commission and CrimTrac</w:t>
      </w:r>
      <w:r>
        <w:t>;</w:t>
      </w:r>
    </w:p>
    <w:p w14:paraId="7093A242" w14:textId="77777777" w:rsidR="00CF4CC8" w:rsidRPr="00356FA2" w:rsidRDefault="00CF4CC8" w:rsidP="00B74231">
      <w:pPr>
        <w:pStyle w:val="ListParagraph"/>
        <w:numPr>
          <w:ilvl w:val="0"/>
          <w:numId w:val="7"/>
        </w:numPr>
        <w:spacing w:after="240" w:line="276" w:lineRule="auto"/>
        <w:ind w:left="714" w:hanging="357"/>
        <w:rPr>
          <w:lang w:val="en-US"/>
        </w:rPr>
      </w:pPr>
      <w:r w:rsidRPr="00356FA2">
        <w:rPr>
          <w:lang w:val="en-US"/>
        </w:rPr>
        <w:t xml:space="preserve">consequential technical amendments to the definitions of ‘registered course’ and earnings’ that are required following amendments to other portfolio’s legislation including the </w:t>
      </w:r>
      <w:r w:rsidRPr="00356FA2">
        <w:rPr>
          <w:i/>
        </w:rPr>
        <w:t xml:space="preserve">Education Services for Overseas Student Act 2000 </w:t>
      </w:r>
      <w:r w:rsidRPr="007A444A">
        <w:t>and</w:t>
      </w:r>
      <w:r w:rsidRPr="00356FA2">
        <w:rPr>
          <w:i/>
        </w:rPr>
        <w:t xml:space="preserve"> Income Tax Assessment Act 1997</w:t>
      </w:r>
      <w:r>
        <w:t>; and</w:t>
      </w:r>
    </w:p>
    <w:p w14:paraId="6AC4C046" w14:textId="2AF542FE" w:rsidR="00CF4CC8" w:rsidRPr="00356FA2" w:rsidRDefault="00CF4CC8" w:rsidP="00B74231">
      <w:pPr>
        <w:pStyle w:val="ListParagraph"/>
        <w:numPr>
          <w:ilvl w:val="0"/>
          <w:numId w:val="7"/>
        </w:numPr>
        <w:spacing w:after="240" w:line="276" w:lineRule="auto"/>
        <w:ind w:left="714" w:hanging="357"/>
        <w:rPr>
          <w:lang w:val="en-US"/>
        </w:rPr>
      </w:pPr>
      <w:r w:rsidRPr="00356FA2">
        <w:rPr>
          <w:lang w:val="en-US"/>
        </w:rPr>
        <w:t>replacing outdated references to a title of a Minister, including the ‘</w:t>
      </w:r>
      <w:r>
        <w:t>Minister for Immigration and Citizenship’ and ‘</w:t>
      </w:r>
      <w:r w:rsidRPr="00A855D3">
        <w:t>Minister for Finance and Deregulation</w:t>
      </w:r>
      <w:r>
        <w:t>’</w:t>
      </w:r>
      <w:r w:rsidRPr="00A855D3">
        <w:t xml:space="preserve">. </w:t>
      </w:r>
      <w:r>
        <w:t>While changes to a title of a Minister do not render the provision redundant in accordance with s</w:t>
      </w:r>
      <w:r w:rsidR="0078159D">
        <w:t xml:space="preserve">ection </w:t>
      </w:r>
      <w:r>
        <w:t xml:space="preserve">19 of the </w:t>
      </w:r>
      <w:r w:rsidRPr="00356FA2">
        <w:rPr>
          <w:i/>
        </w:rPr>
        <w:t>Acts Interpretation Act 1901</w:t>
      </w:r>
      <w:r w:rsidR="0078159D">
        <w:t>, these amendments future-</w:t>
      </w:r>
      <w:r>
        <w:t>proof the Migration Regulations and ensure consistency</w:t>
      </w:r>
      <w:r w:rsidR="001E3238">
        <w:t xml:space="preserve"> with current drafting practice</w:t>
      </w:r>
      <w:r>
        <w:t xml:space="preserve">. </w:t>
      </w:r>
    </w:p>
    <w:p w14:paraId="44BE49E0" w14:textId="1136C817" w:rsidR="00CF4CC8" w:rsidRDefault="00CF4CC8" w:rsidP="00B74231">
      <w:pPr>
        <w:pStyle w:val="NormalWeb"/>
        <w:spacing w:after="120" w:line="276" w:lineRule="auto"/>
        <w:rPr>
          <w:b/>
          <w:bCs/>
          <w:color w:val="000000"/>
        </w:rPr>
      </w:pPr>
      <w:r>
        <w:rPr>
          <w:b/>
          <w:bCs/>
          <w:color w:val="000000"/>
        </w:rPr>
        <w:t>Human Rights Implications</w:t>
      </w:r>
    </w:p>
    <w:p w14:paraId="4B625CAD" w14:textId="77777777" w:rsidR="00CF4CC8" w:rsidRPr="002C6AD3" w:rsidRDefault="00CF4CC8" w:rsidP="00B74231">
      <w:pPr>
        <w:pStyle w:val="NormalWeb"/>
        <w:spacing w:before="120" w:line="276" w:lineRule="auto"/>
        <w:rPr>
          <w:color w:val="000000"/>
        </w:rPr>
      </w:pPr>
      <w:r w:rsidRPr="0024726D">
        <w:rPr>
          <w:bCs/>
          <w:color w:val="000000"/>
        </w:rPr>
        <w:t>The Amendment Regulations do not engage any of the</w:t>
      </w:r>
      <w:r>
        <w:rPr>
          <w:bCs/>
          <w:color w:val="000000"/>
        </w:rPr>
        <w:t xml:space="preserve"> applicable rights or freedoms, </w:t>
      </w:r>
      <w:r w:rsidRPr="006E3D22">
        <w:rPr>
          <w:color w:val="000000"/>
        </w:rPr>
        <w:t xml:space="preserve">as </w:t>
      </w:r>
      <w:r>
        <w:rPr>
          <w:color w:val="000000"/>
        </w:rPr>
        <w:t xml:space="preserve">they repeal </w:t>
      </w:r>
      <w:r w:rsidRPr="006E3D22">
        <w:rPr>
          <w:color w:val="000000"/>
        </w:rPr>
        <w:t>closed, redundant or duplicative visa subclasses and make minor and technical amendments to the Migration Regulations. There will be no impact on the rights of individuals or existing holders of the repealed visas.</w:t>
      </w:r>
    </w:p>
    <w:p w14:paraId="178A468C" w14:textId="77777777" w:rsidR="00CF4CC8" w:rsidRPr="00684373" w:rsidRDefault="00CF4CC8" w:rsidP="00B74231">
      <w:pPr>
        <w:spacing w:line="276" w:lineRule="auto"/>
      </w:pPr>
    </w:p>
    <w:p w14:paraId="2EC11957" w14:textId="77777777" w:rsidR="00CF4CC8" w:rsidRPr="006E3D22" w:rsidRDefault="00CF4CC8" w:rsidP="00B74231">
      <w:pPr>
        <w:spacing w:after="120" w:line="276" w:lineRule="auto"/>
        <w:rPr>
          <w:b/>
        </w:rPr>
      </w:pPr>
      <w:r w:rsidRPr="006E3D22">
        <w:rPr>
          <w:b/>
        </w:rPr>
        <w:t>Conclusion</w:t>
      </w:r>
    </w:p>
    <w:p w14:paraId="7D0B712A" w14:textId="0F72396D" w:rsidR="00CF4CC8" w:rsidRDefault="00CF4CC8" w:rsidP="00B74231">
      <w:pPr>
        <w:spacing w:after="240" w:line="276" w:lineRule="auto"/>
      </w:pPr>
      <w:r w:rsidRPr="006E3D22">
        <w:t xml:space="preserve">The </w:t>
      </w:r>
      <w:r w:rsidR="00F0293A">
        <w:rPr>
          <w:rFonts w:eastAsia="Times New Roman"/>
        </w:rPr>
        <w:t>Disallowable instrument is</w:t>
      </w:r>
      <w:r w:rsidRPr="006E3D22">
        <w:rPr>
          <w:rFonts w:eastAsia="Times New Roman"/>
        </w:rPr>
        <w:t xml:space="preserve"> </w:t>
      </w:r>
      <w:r w:rsidRPr="006E3D22">
        <w:t xml:space="preserve">compatible with human rights as </w:t>
      </w:r>
      <w:r w:rsidR="00F0293A">
        <w:t xml:space="preserve">it </w:t>
      </w:r>
      <w:r>
        <w:t>do</w:t>
      </w:r>
      <w:r w:rsidR="00F0293A">
        <w:t>es</w:t>
      </w:r>
      <w:r w:rsidRPr="006E3D22">
        <w:t xml:space="preserve"> not raise any human rights issues.</w:t>
      </w:r>
    </w:p>
    <w:p w14:paraId="3B016426" w14:textId="77777777" w:rsidR="00CF4CC8" w:rsidRPr="00CB0F29" w:rsidRDefault="00CF4CC8" w:rsidP="00B74231">
      <w:pPr>
        <w:spacing w:line="276" w:lineRule="auto"/>
        <w:jc w:val="center"/>
        <w:rPr>
          <w:rFonts w:eastAsia="Calibri"/>
          <w:b/>
          <w:bCs/>
        </w:rPr>
      </w:pPr>
      <w:r w:rsidRPr="00CB0F29">
        <w:rPr>
          <w:rFonts w:eastAsia="Calibri"/>
          <w:b/>
          <w:bCs/>
        </w:rPr>
        <w:t>The Hon Tony Burke MP</w:t>
      </w:r>
    </w:p>
    <w:p w14:paraId="3F6BE471" w14:textId="72EE8E8A" w:rsidR="00356FA2" w:rsidRDefault="00356FA2" w:rsidP="00B74231">
      <w:pPr>
        <w:spacing w:line="276" w:lineRule="auto"/>
        <w:jc w:val="center"/>
        <w:rPr>
          <w:rFonts w:eastAsia="Calibri"/>
          <w:b/>
          <w:bCs/>
        </w:rPr>
      </w:pPr>
      <w:r w:rsidRPr="00CB0F29">
        <w:rPr>
          <w:rFonts w:eastAsia="Calibri"/>
          <w:b/>
          <w:bCs/>
        </w:rPr>
        <w:t>Minister for Immigration and Multicultural Affairs</w:t>
      </w:r>
    </w:p>
    <w:p w14:paraId="725BD3A6" w14:textId="77777777" w:rsidR="00356FA2" w:rsidRDefault="00356FA2" w:rsidP="00B74231">
      <w:pPr>
        <w:spacing w:line="276" w:lineRule="auto"/>
        <w:rPr>
          <w:rFonts w:eastAsia="Calibri"/>
          <w:b/>
          <w:bCs/>
        </w:rPr>
      </w:pPr>
      <w:r>
        <w:rPr>
          <w:rFonts w:eastAsia="Calibri"/>
          <w:b/>
          <w:bCs/>
        </w:rPr>
        <w:br w:type="page"/>
      </w:r>
    </w:p>
    <w:p w14:paraId="089D44DB" w14:textId="030A1F28" w:rsidR="001A7DB5" w:rsidRPr="00356FA2" w:rsidRDefault="001A7DB5" w:rsidP="00B74231">
      <w:pPr>
        <w:spacing w:line="276" w:lineRule="auto"/>
        <w:ind w:right="91"/>
        <w:jc w:val="right"/>
        <w:rPr>
          <w:rFonts w:eastAsiaTheme="minorHAnsi"/>
          <w:b/>
          <w:bCs/>
          <w:color w:val="000000" w:themeColor="text1"/>
          <w:u w:val="single"/>
          <w:lang w:val="en-US" w:eastAsia="en-US"/>
        </w:rPr>
      </w:pPr>
      <w:r w:rsidRPr="00356FA2">
        <w:rPr>
          <w:rFonts w:eastAsiaTheme="minorHAnsi"/>
          <w:b/>
          <w:bCs/>
          <w:color w:val="000000" w:themeColor="text1"/>
          <w:u w:val="single"/>
          <w:lang w:val="en-US" w:eastAsia="en-US"/>
        </w:rPr>
        <w:lastRenderedPageBreak/>
        <w:t>ATTACHMENT B</w:t>
      </w:r>
    </w:p>
    <w:p w14:paraId="5363AF12" w14:textId="77777777" w:rsidR="001A7DB5" w:rsidRPr="001A7DB5" w:rsidRDefault="001A7DB5" w:rsidP="00B74231">
      <w:pPr>
        <w:spacing w:line="276" w:lineRule="auto"/>
        <w:ind w:right="91"/>
        <w:jc w:val="right"/>
        <w:rPr>
          <w:rFonts w:eastAsiaTheme="minorHAnsi"/>
          <w:b/>
          <w:bCs/>
          <w:color w:val="000000" w:themeColor="text1"/>
          <w:lang w:val="en-US" w:eastAsia="en-US"/>
        </w:rPr>
      </w:pPr>
    </w:p>
    <w:p w14:paraId="14672987" w14:textId="4887F8D9" w:rsidR="001A7DB5" w:rsidRPr="007901C0" w:rsidRDefault="001A7DB5" w:rsidP="00B74231">
      <w:pPr>
        <w:spacing w:line="276" w:lineRule="auto"/>
        <w:ind w:right="91"/>
        <w:rPr>
          <w:rFonts w:eastAsiaTheme="minorHAnsi"/>
          <w:b/>
          <w:bCs/>
          <w:color w:val="000000" w:themeColor="text1"/>
          <w:u w:val="single"/>
          <w:lang w:val="en-US" w:eastAsia="en-US"/>
        </w:rPr>
      </w:pPr>
      <w:r w:rsidRPr="007901C0">
        <w:rPr>
          <w:rFonts w:eastAsiaTheme="minorHAnsi"/>
          <w:b/>
          <w:bCs/>
          <w:color w:val="000000" w:themeColor="text1"/>
          <w:u w:val="single"/>
          <w:lang w:val="en-US" w:eastAsia="en-US"/>
        </w:rPr>
        <w:t xml:space="preserve">Details of the </w:t>
      </w:r>
      <w:r w:rsidRPr="007901C0">
        <w:rPr>
          <w:rFonts w:eastAsiaTheme="minorHAnsi"/>
          <w:b/>
          <w:bCs/>
          <w:i/>
          <w:color w:val="000000" w:themeColor="text1"/>
          <w:u w:val="single"/>
          <w:lang w:val="en-US" w:eastAsia="en-US"/>
        </w:rPr>
        <w:t>Migration Amendment (Repeal, Consequential and Technical Amendments) Regulations 2025</w:t>
      </w:r>
    </w:p>
    <w:p w14:paraId="53C4DF03" w14:textId="77777777" w:rsidR="001A7DB5" w:rsidRDefault="001A7DB5" w:rsidP="00B74231">
      <w:pPr>
        <w:spacing w:line="276" w:lineRule="auto"/>
        <w:textAlignment w:val="baseline"/>
        <w:rPr>
          <w:rFonts w:eastAsia="Times New Roman"/>
          <w:u w:val="single"/>
        </w:rPr>
      </w:pPr>
    </w:p>
    <w:p w14:paraId="54B0DAB6" w14:textId="41A0E02C" w:rsidR="001A7DB5" w:rsidRPr="007901C0" w:rsidRDefault="001A7DB5" w:rsidP="00B74231">
      <w:pPr>
        <w:spacing w:line="276" w:lineRule="auto"/>
        <w:textAlignment w:val="baseline"/>
        <w:rPr>
          <w:rFonts w:eastAsia="Times New Roman"/>
          <w:u w:val="single"/>
        </w:rPr>
      </w:pPr>
      <w:r w:rsidRPr="007901C0">
        <w:rPr>
          <w:rFonts w:eastAsia="Times New Roman"/>
          <w:u w:val="single"/>
        </w:rPr>
        <w:t>Section 1 – Name</w:t>
      </w:r>
    </w:p>
    <w:p w14:paraId="1FC35A93" w14:textId="0BF02CE9" w:rsidR="001A7DB5" w:rsidRPr="007901C0" w:rsidRDefault="001A7DB5" w:rsidP="00B74231">
      <w:pPr>
        <w:pStyle w:val="EMclausenotes"/>
        <w:spacing w:line="276" w:lineRule="auto"/>
        <w:rPr>
          <w:rFonts w:eastAsia="SimSun"/>
        </w:rPr>
      </w:pPr>
      <w:r w:rsidRPr="007901C0">
        <w:rPr>
          <w:rFonts w:eastAsia="SimSun"/>
        </w:rPr>
        <w:t xml:space="preserve">This section provides that the title of the Regulations is the </w:t>
      </w:r>
      <w:r w:rsidRPr="007901C0">
        <w:rPr>
          <w:rFonts w:eastAsia="SimSun"/>
          <w:i/>
        </w:rPr>
        <w:t xml:space="preserve">Migration Amendment (Repeal, Consequential and Technical Amendments) Regulations 2025 </w:t>
      </w:r>
      <w:r w:rsidRPr="007901C0">
        <w:rPr>
          <w:rFonts w:eastAsia="SimSun"/>
        </w:rPr>
        <w:t>(the Regulations)</w:t>
      </w:r>
      <w:r w:rsidRPr="007901C0">
        <w:rPr>
          <w:rFonts w:eastAsia="SimSun"/>
          <w:i/>
        </w:rPr>
        <w:t>.</w:t>
      </w:r>
    </w:p>
    <w:p w14:paraId="247686CE" w14:textId="77777777" w:rsidR="001A7DB5" w:rsidRPr="007901C0" w:rsidRDefault="001A7DB5" w:rsidP="00B74231">
      <w:pPr>
        <w:spacing w:line="276" w:lineRule="auto"/>
        <w:textAlignment w:val="baseline"/>
        <w:rPr>
          <w:u w:val="single"/>
        </w:rPr>
      </w:pPr>
      <w:r w:rsidRPr="007901C0">
        <w:rPr>
          <w:rFonts w:eastAsia="Times New Roman"/>
          <w:u w:val="single"/>
        </w:rPr>
        <w:t>Section 2 – Commencement </w:t>
      </w:r>
    </w:p>
    <w:p w14:paraId="721E58A9" w14:textId="2F3331EA" w:rsidR="001A7DB5" w:rsidRPr="007901C0" w:rsidRDefault="001A7DB5" w:rsidP="00B74231">
      <w:pPr>
        <w:pStyle w:val="EMclausenotes"/>
        <w:spacing w:line="276" w:lineRule="auto"/>
        <w:rPr>
          <w:lang w:val="en-GB"/>
        </w:rPr>
      </w:pPr>
      <w:r w:rsidRPr="007901C0">
        <w:rPr>
          <w:rFonts w:eastAsia="Times New Roman"/>
        </w:rPr>
        <w:t>This section provides for the Regulations to commence on the day after they are registered.</w:t>
      </w:r>
    </w:p>
    <w:p w14:paraId="113C44B5" w14:textId="77777777" w:rsidR="001A7DB5" w:rsidRPr="007901C0" w:rsidRDefault="001A7DB5" w:rsidP="00B74231">
      <w:pPr>
        <w:spacing w:line="276" w:lineRule="auto"/>
        <w:textAlignment w:val="baseline"/>
        <w:rPr>
          <w:u w:val="single"/>
        </w:rPr>
      </w:pPr>
      <w:r w:rsidRPr="007901C0">
        <w:rPr>
          <w:rFonts w:eastAsia="Times New Roman"/>
          <w:u w:val="single"/>
        </w:rPr>
        <w:t>Section 3 – Authority </w:t>
      </w:r>
    </w:p>
    <w:p w14:paraId="50248A3A" w14:textId="2785FB90" w:rsidR="001A7DB5" w:rsidRPr="007901C0" w:rsidRDefault="001A7DB5" w:rsidP="00B74231">
      <w:pPr>
        <w:pStyle w:val="EMclausenotes"/>
        <w:spacing w:line="276" w:lineRule="auto"/>
      </w:pPr>
      <w:r w:rsidRPr="007901C0">
        <w:rPr>
          <w:rFonts w:eastAsia="Times New Roman"/>
        </w:rPr>
        <w:t xml:space="preserve">This section provides that the Regulations are made under the </w:t>
      </w:r>
      <w:r w:rsidRPr="007901C0">
        <w:rPr>
          <w:rFonts w:eastAsia="Times New Roman"/>
          <w:i/>
          <w:iCs/>
        </w:rPr>
        <w:t xml:space="preserve">Migration Act 1958 </w:t>
      </w:r>
      <w:r w:rsidRPr="007901C0">
        <w:rPr>
          <w:rFonts w:eastAsia="Times New Roman"/>
        </w:rPr>
        <w:t>(the Migration Act)</w:t>
      </w:r>
      <w:r w:rsidRPr="007901C0">
        <w:rPr>
          <w:rFonts w:eastAsia="Times New Roman"/>
          <w:i/>
          <w:iCs/>
        </w:rPr>
        <w:t>.</w:t>
      </w:r>
      <w:r w:rsidRPr="007901C0">
        <w:rPr>
          <w:rFonts w:eastAsia="Times New Roman"/>
        </w:rPr>
        <w:t> </w:t>
      </w:r>
    </w:p>
    <w:p w14:paraId="24D7AEEF" w14:textId="77777777" w:rsidR="001A7DB5" w:rsidRPr="007901C0" w:rsidRDefault="001A7DB5" w:rsidP="00B74231">
      <w:pPr>
        <w:spacing w:line="276" w:lineRule="auto"/>
        <w:textAlignment w:val="baseline"/>
        <w:rPr>
          <w:u w:val="single"/>
          <w:lang w:val="en-GB"/>
        </w:rPr>
      </w:pPr>
      <w:r w:rsidRPr="007901C0">
        <w:rPr>
          <w:rFonts w:eastAsia="Times New Roman"/>
          <w:u w:val="single"/>
        </w:rPr>
        <w:t>Section 4 – Schedules</w:t>
      </w:r>
      <w:r w:rsidRPr="007901C0">
        <w:rPr>
          <w:rFonts w:eastAsia="Times New Roman"/>
          <w:u w:val="single"/>
          <w:lang w:val="en-GB"/>
        </w:rPr>
        <w:t> </w:t>
      </w:r>
    </w:p>
    <w:p w14:paraId="015ED4D4" w14:textId="09CFFCCC" w:rsidR="001A7DB5" w:rsidRPr="007901C0" w:rsidRDefault="001A7DB5" w:rsidP="00B74231">
      <w:pPr>
        <w:pStyle w:val="EMclausenotes"/>
        <w:spacing w:line="276" w:lineRule="auto"/>
        <w:rPr>
          <w:lang w:val="en-GB"/>
        </w:rPr>
      </w:pPr>
      <w:r w:rsidRPr="007901C0">
        <w:rPr>
          <w:rFonts w:eastAsia="Times New Roman"/>
          <w:shd w:val="clear" w:color="auto" w:fill="FFFFFF"/>
        </w:rPr>
        <w:t xml:space="preserve">This section provides that each instrument that is specified in a Schedule to the </w:t>
      </w:r>
      <w:r w:rsidR="00470A2A">
        <w:rPr>
          <w:rFonts w:eastAsia="Times New Roman"/>
          <w:shd w:val="clear" w:color="auto" w:fill="FFFFFF"/>
        </w:rPr>
        <w:t>Regulations</w:t>
      </w:r>
      <w:r w:rsidRPr="007901C0">
        <w:rPr>
          <w:rFonts w:eastAsia="Times New Roman"/>
          <w:shd w:val="clear" w:color="auto" w:fill="FFFFFF"/>
        </w:rPr>
        <w:t xml:space="preserve"> is amended or repealed as set out in the applicable items in the Schedule concerned, and any other item in a Schedule to the </w:t>
      </w:r>
      <w:r w:rsidR="00470A2A">
        <w:rPr>
          <w:rFonts w:eastAsia="Times New Roman"/>
          <w:shd w:val="clear" w:color="auto" w:fill="FFFFFF"/>
        </w:rPr>
        <w:t>Regulations</w:t>
      </w:r>
      <w:r w:rsidRPr="007901C0">
        <w:rPr>
          <w:rFonts w:eastAsia="Times New Roman"/>
          <w:shd w:val="clear" w:color="auto" w:fill="FFFFFF"/>
        </w:rPr>
        <w:t xml:space="preserve"> has effect according to its terms.</w:t>
      </w:r>
      <w:r w:rsidRPr="007901C0">
        <w:rPr>
          <w:rFonts w:eastAsia="Times New Roman"/>
        </w:rPr>
        <w:t xml:space="preserve"> </w:t>
      </w:r>
    </w:p>
    <w:p w14:paraId="2E177FDD" w14:textId="77777777" w:rsidR="001A7DB5" w:rsidRPr="007901C0" w:rsidRDefault="001A7DB5" w:rsidP="00B74231">
      <w:pPr>
        <w:spacing w:line="276" w:lineRule="auto"/>
        <w:textAlignment w:val="baseline"/>
        <w:rPr>
          <w:rFonts w:eastAsia="Times New Roman"/>
          <w:b/>
          <w:bCs/>
          <w:u w:val="single"/>
        </w:rPr>
      </w:pPr>
      <w:r w:rsidRPr="007901C0">
        <w:rPr>
          <w:rFonts w:eastAsia="Times New Roman"/>
          <w:b/>
          <w:bCs/>
          <w:u w:val="single"/>
        </w:rPr>
        <w:t>Schedule 1—Amendments</w:t>
      </w:r>
    </w:p>
    <w:p w14:paraId="40D8331D" w14:textId="77777777" w:rsidR="00350EF6" w:rsidRDefault="00350EF6" w:rsidP="00B74231">
      <w:pPr>
        <w:spacing w:line="276" w:lineRule="auto"/>
        <w:textAlignment w:val="baseline"/>
        <w:rPr>
          <w:rFonts w:eastAsia="Times New Roman"/>
          <w:b/>
          <w:bCs/>
        </w:rPr>
      </w:pPr>
    </w:p>
    <w:p w14:paraId="569119A0" w14:textId="5202648C" w:rsidR="001A7DB5" w:rsidRPr="007901C0" w:rsidRDefault="001A7DB5" w:rsidP="00B74231">
      <w:pPr>
        <w:spacing w:line="276" w:lineRule="auto"/>
        <w:textAlignment w:val="baseline"/>
        <w:rPr>
          <w:rFonts w:eastAsia="Times New Roman"/>
          <w:b/>
          <w:bCs/>
        </w:rPr>
      </w:pPr>
      <w:r w:rsidRPr="007901C0">
        <w:rPr>
          <w:rFonts w:eastAsia="Times New Roman"/>
          <w:b/>
          <w:bCs/>
        </w:rPr>
        <w:t>Part 1 – Visa repeals</w:t>
      </w:r>
    </w:p>
    <w:p w14:paraId="0D8915B6" w14:textId="77777777" w:rsidR="00350EF6" w:rsidRDefault="00350EF6" w:rsidP="00B74231">
      <w:pPr>
        <w:spacing w:line="276" w:lineRule="auto"/>
        <w:textAlignment w:val="baseline"/>
        <w:rPr>
          <w:rFonts w:eastAsia="Times New Roman"/>
          <w:b/>
          <w:bCs/>
          <w:i/>
        </w:rPr>
      </w:pPr>
    </w:p>
    <w:p w14:paraId="1790FA63" w14:textId="0D36E202" w:rsidR="001A7DB5" w:rsidRPr="007901C0" w:rsidRDefault="001A7DB5" w:rsidP="00B74231">
      <w:pPr>
        <w:spacing w:line="276" w:lineRule="auto"/>
        <w:textAlignment w:val="baseline"/>
        <w:rPr>
          <w:rFonts w:eastAsia="Times New Roman"/>
          <w:b/>
          <w:bCs/>
          <w:i/>
        </w:rPr>
      </w:pPr>
      <w:r w:rsidRPr="007901C0">
        <w:rPr>
          <w:rFonts w:eastAsia="Times New Roman"/>
          <w:b/>
          <w:bCs/>
          <w:i/>
        </w:rPr>
        <w:t>Migration Regulations 1994</w:t>
      </w:r>
    </w:p>
    <w:p w14:paraId="2FE26F4C" w14:textId="77777777" w:rsidR="001A7DB5" w:rsidRPr="007901C0" w:rsidRDefault="001A7DB5" w:rsidP="00B74231">
      <w:pPr>
        <w:pStyle w:val="EMitemheader"/>
        <w:spacing w:line="276" w:lineRule="auto"/>
        <w:rPr>
          <w:rFonts w:eastAsiaTheme="minorHAnsi"/>
          <w:lang w:val="en-US" w:eastAsia="en-US"/>
        </w:rPr>
      </w:pPr>
      <w:r w:rsidRPr="007901C0">
        <w:rPr>
          <w:rFonts w:eastAsiaTheme="minorHAnsi"/>
          <w:lang w:val="en-US" w:eastAsia="en-US"/>
        </w:rPr>
        <w:t>Item [1] – Regulation 1.03 (paragraph (a) of the definition of Australian permanent resident)</w:t>
      </w:r>
    </w:p>
    <w:p w14:paraId="1CD48D74" w14:textId="27384B74" w:rsidR="001A7DB5" w:rsidRPr="007901C0" w:rsidRDefault="001A7DB5" w:rsidP="00B74231">
      <w:pPr>
        <w:pStyle w:val="EMclausenotes"/>
        <w:spacing w:line="276" w:lineRule="auto"/>
        <w:rPr>
          <w:rFonts w:eastAsia="Times New Roman"/>
        </w:rPr>
      </w:pPr>
      <w:r w:rsidRPr="007901C0">
        <w:rPr>
          <w:rFonts w:eastAsia="Times New Roman"/>
        </w:rPr>
        <w:t xml:space="preserve">This item </w:t>
      </w:r>
      <w:r w:rsidR="00470A2A">
        <w:rPr>
          <w:rFonts w:eastAsia="Times New Roman"/>
        </w:rPr>
        <w:t>omits</w:t>
      </w:r>
      <w:r w:rsidRPr="007901C0">
        <w:rPr>
          <w:rFonts w:eastAsia="Times New Roman"/>
        </w:rPr>
        <w:t xml:space="preserve"> the words “or a Resident Return (Temporary) (Class TP) visa” from paragraph (a) of the definition of </w:t>
      </w:r>
      <w:r w:rsidRPr="007901C0">
        <w:rPr>
          <w:rFonts w:eastAsia="Times New Roman"/>
          <w:i/>
        </w:rPr>
        <w:t>Australian permanent resident</w:t>
      </w:r>
      <w:r w:rsidRPr="007901C0">
        <w:rPr>
          <w:rFonts w:eastAsia="Times New Roman"/>
        </w:rPr>
        <w:t xml:space="preserve"> in regulation 1.03 of the Migration Regulations. </w:t>
      </w:r>
    </w:p>
    <w:p w14:paraId="214362A0" w14:textId="3A6740E6" w:rsidR="001A7DB5" w:rsidRPr="007901C0" w:rsidRDefault="001A7DB5" w:rsidP="00B74231">
      <w:pPr>
        <w:pStyle w:val="EMclausenotes"/>
        <w:spacing w:line="276" w:lineRule="auto"/>
        <w:rPr>
          <w:rFonts w:eastAsia="Times New Roman"/>
        </w:rPr>
      </w:pPr>
      <w:r w:rsidRPr="00026E04">
        <w:rPr>
          <w:rFonts w:eastAsia="Times New Roman"/>
        </w:rPr>
        <w:t xml:space="preserve">This amendment </w:t>
      </w:r>
      <w:r w:rsidR="00470A2A">
        <w:rPr>
          <w:rFonts w:eastAsia="Times New Roman"/>
        </w:rPr>
        <w:t>is</w:t>
      </w:r>
      <w:r w:rsidRPr="00026E04">
        <w:rPr>
          <w:rFonts w:eastAsia="Times New Roman"/>
        </w:rPr>
        <w:t xml:space="preserve"> consequential to the repeal of the Resident Return (Temporary)(Class TP) visa by paragraphs (d) and (f) of item 1</w:t>
      </w:r>
      <w:r>
        <w:rPr>
          <w:rFonts w:eastAsia="Times New Roman"/>
        </w:rPr>
        <w:t>8</w:t>
      </w:r>
      <w:r w:rsidRPr="00026E04">
        <w:rPr>
          <w:rFonts w:eastAsia="Times New Roman"/>
        </w:rPr>
        <w:t xml:space="preserve"> below. Paragraph (a) of the definition of </w:t>
      </w:r>
      <w:r w:rsidRPr="00026E04">
        <w:rPr>
          <w:rFonts w:eastAsia="Times New Roman"/>
          <w:i/>
        </w:rPr>
        <w:t>Australian permanent resident</w:t>
      </w:r>
      <w:r w:rsidR="00470A2A">
        <w:rPr>
          <w:rFonts w:eastAsia="Times New Roman"/>
        </w:rPr>
        <w:t xml:space="preserve">, as amended, </w:t>
      </w:r>
      <w:r w:rsidRPr="00026E04">
        <w:rPr>
          <w:rFonts w:eastAsia="Times New Roman"/>
        </w:rPr>
        <w:t>only refer</w:t>
      </w:r>
      <w:r w:rsidR="00470A2A">
        <w:rPr>
          <w:rFonts w:eastAsia="Times New Roman"/>
        </w:rPr>
        <w:t>s</w:t>
      </w:r>
      <w:r w:rsidRPr="00026E04">
        <w:rPr>
          <w:rFonts w:eastAsia="Times New Roman"/>
        </w:rPr>
        <w:t xml:space="preserve"> to an applicant for a Return (Residence) (Class BB) visa, which continue</w:t>
      </w:r>
      <w:r w:rsidR="00470A2A">
        <w:rPr>
          <w:rFonts w:eastAsia="Times New Roman"/>
        </w:rPr>
        <w:t>s</w:t>
      </w:r>
      <w:r w:rsidRPr="00026E04">
        <w:rPr>
          <w:rFonts w:eastAsia="Times New Roman"/>
        </w:rPr>
        <w:t xml:space="preserve"> to be a current visa.</w:t>
      </w:r>
      <w:r w:rsidRPr="007901C0">
        <w:rPr>
          <w:rFonts w:eastAsia="Times New Roman"/>
        </w:rPr>
        <w:t xml:space="preserve"> </w:t>
      </w:r>
    </w:p>
    <w:p w14:paraId="312B528B" w14:textId="77777777" w:rsidR="001A7DB5" w:rsidRPr="007901C0" w:rsidRDefault="001A7DB5" w:rsidP="00B74231">
      <w:pPr>
        <w:pStyle w:val="EMitemheader"/>
        <w:spacing w:line="276" w:lineRule="auto"/>
        <w:rPr>
          <w:rFonts w:eastAsia="Times New Roman"/>
        </w:rPr>
      </w:pPr>
      <w:r w:rsidRPr="007901C0">
        <w:rPr>
          <w:rFonts w:eastAsia="Times New Roman"/>
        </w:rPr>
        <w:t>Item [2] – Subregulation 1.11A(1)</w:t>
      </w:r>
    </w:p>
    <w:p w14:paraId="660A5DBC" w14:textId="488786C2" w:rsidR="001A7DB5" w:rsidRPr="007901C0" w:rsidRDefault="001A7DB5" w:rsidP="00B74231">
      <w:pPr>
        <w:pStyle w:val="EMclausenotes"/>
        <w:spacing w:line="276" w:lineRule="auto"/>
        <w:rPr>
          <w:rFonts w:eastAsia="Times New Roman"/>
        </w:rPr>
      </w:pPr>
      <w:r w:rsidRPr="007901C0">
        <w:rPr>
          <w:rFonts w:eastAsia="Times New Roman"/>
        </w:rPr>
        <w:t xml:space="preserve">This item </w:t>
      </w:r>
      <w:r w:rsidR="00470A2A">
        <w:rPr>
          <w:rFonts w:eastAsia="Times New Roman"/>
        </w:rPr>
        <w:t>amends</w:t>
      </w:r>
      <w:r w:rsidRPr="007901C0">
        <w:rPr>
          <w:rFonts w:eastAsia="Times New Roman"/>
        </w:rPr>
        <w:t xml:space="preserve"> subregulation 1.11A(1) of the Migration Regulations to remove references to Subclasses 890, 891, 892 and 893, leaving only referen</w:t>
      </w:r>
      <w:r w:rsidR="00B74231">
        <w:rPr>
          <w:rFonts w:eastAsia="Times New Roman"/>
        </w:rPr>
        <w:t xml:space="preserve">ces to Subclasses 188 and 888. </w:t>
      </w:r>
      <w:r w:rsidRPr="007901C0">
        <w:rPr>
          <w:rFonts w:eastAsia="Times New Roman"/>
        </w:rPr>
        <w:t xml:space="preserve">This amendment </w:t>
      </w:r>
      <w:r w:rsidR="00470A2A">
        <w:rPr>
          <w:rFonts w:eastAsia="Times New Roman"/>
        </w:rPr>
        <w:t>is</w:t>
      </w:r>
      <w:r w:rsidRPr="007901C0">
        <w:rPr>
          <w:rFonts w:eastAsia="Times New Roman"/>
        </w:rPr>
        <w:t xml:space="preserve"> consequential to the repeal of Subclasses 890, 891, 892 and 893 by </w:t>
      </w:r>
      <w:r w:rsidRPr="007901C0">
        <w:rPr>
          <w:rFonts w:eastAsia="Times New Roman"/>
        </w:rPr>
        <w:lastRenderedPageBreak/>
        <w:t xml:space="preserve">paragraphs (a), (o), (p), (q) and (r) of </w:t>
      </w:r>
      <w:r w:rsidRPr="00026E04">
        <w:rPr>
          <w:rFonts w:eastAsia="Times New Roman"/>
        </w:rPr>
        <w:t>item 1</w:t>
      </w:r>
      <w:r>
        <w:rPr>
          <w:rFonts w:eastAsia="Times New Roman"/>
        </w:rPr>
        <w:t>8</w:t>
      </w:r>
      <w:r w:rsidRPr="00026E04">
        <w:rPr>
          <w:rFonts w:eastAsia="Times New Roman"/>
        </w:rPr>
        <w:t xml:space="preserve"> below,</w:t>
      </w:r>
      <w:r w:rsidR="00DF514A">
        <w:rPr>
          <w:rFonts w:eastAsia="Times New Roman"/>
        </w:rPr>
        <w:t xml:space="preserve"> respectively. </w:t>
      </w:r>
      <w:r w:rsidRPr="007901C0">
        <w:rPr>
          <w:rFonts w:eastAsia="Times New Roman"/>
        </w:rPr>
        <w:t>Subclasses 188 and 888</w:t>
      </w:r>
      <w:r w:rsidR="00470A2A">
        <w:rPr>
          <w:rFonts w:eastAsia="Times New Roman"/>
        </w:rPr>
        <w:t>, as referred to in subregulation 1.11A(1) as amended,</w:t>
      </w:r>
      <w:r w:rsidRPr="007901C0">
        <w:rPr>
          <w:rFonts w:eastAsia="Times New Roman"/>
        </w:rPr>
        <w:t xml:space="preserve"> </w:t>
      </w:r>
      <w:r w:rsidR="00470A2A">
        <w:rPr>
          <w:rFonts w:eastAsia="Times New Roman"/>
        </w:rPr>
        <w:t>continue</w:t>
      </w:r>
      <w:r w:rsidRPr="007901C0">
        <w:rPr>
          <w:rFonts w:eastAsia="Times New Roman"/>
        </w:rPr>
        <w:t xml:space="preserve"> to be current visas. </w:t>
      </w:r>
    </w:p>
    <w:p w14:paraId="36BADAD3" w14:textId="77777777" w:rsidR="001A7DB5" w:rsidRPr="007901C0" w:rsidRDefault="001A7DB5" w:rsidP="00B74231">
      <w:pPr>
        <w:pStyle w:val="EMitemheader"/>
        <w:spacing w:line="276" w:lineRule="auto"/>
        <w:rPr>
          <w:rFonts w:eastAsia="Times New Roman"/>
        </w:rPr>
      </w:pPr>
      <w:r w:rsidRPr="007901C0">
        <w:rPr>
          <w:rFonts w:eastAsia="Times New Roman"/>
        </w:rPr>
        <w:t>Item [3] – Paragraphs 1.20(4)(e) and (f)</w:t>
      </w:r>
    </w:p>
    <w:p w14:paraId="3969AF36" w14:textId="0E2995C7" w:rsidR="001A7DB5" w:rsidRPr="007901C0" w:rsidRDefault="001A7DB5" w:rsidP="00B74231">
      <w:pPr>
        <w:pStyle w:val="EMclausenotes"/>
        <w:spacing w:line="276" w:lineRule="auto"/>
      </w:pPr>
      <w:r w:rsidRPr="007901C0">
        <w:t xml:space="preserve">This item </w:t>
      </w:r>
      <w:r w:rsidR="008279AA">
        <w:t>repeals</w:t>
      </w:r>
      <w:r w:rsidRPr="007901C0">
        <w:t xml:space="preserve"> paragraphs 1.20(4)(e) and (f) of the Migration Regulations. Paragraph 1.20(4)(e) referred to Business Skills (Residence)(Class DF) and paragraph 1.20(f) referred to Business S</w:t>
      </w:r>
      <w:r w:rsidR="00DF514A">
        <w:t xml:space="preserve">kills (Provisional)(Class UR). </w:t>
      </w:r>
      <w:r w:rsidRPr="007901C0">
        <w:t xml:space="preserve">This amendment </w:t>
      </w:r>
      <w:r w:rsidR="008279AA">
        <w:t>is</w:t>
      </w:r>
      <w:r w:rsidRPr="007901C0">
        <w:t xml:space="preserve"> consequential to the repeal of those visas by paragraphs (a), (c), (g) – (l), (o),</w:t>
      </w:r>
      <w:r w:rsidR="0078159D">
        <w:t xml:space="preserve"> </w:t>
      </w:r>
      <w:r w:rsidRPr="007901C0">
        <w:t>(p), (q) and (r) of item 1</w:t>
      </w:r>
      <w:r>
        <w:t>8</w:t>
      </w:r>
      <w:r w:rsidR="00B74231">
        <w:t xml:space="preserve"> below</w:t>
      </w:r>
      <w:r w:rsidRPr="007901C0">
        <w:t xml:space="preserve"> respective</w:t>
      </w:r>
      <w:r w:rsidR="00DF514A">
        <w:t>ly.</w:t>
      </w:r>
    </w:p>
    <w:p w14:paraId="26738D4D" w14:textId="77777777" w:rsidR="001A7DB5" w:rsidRPr="007901C0" w:rsidRDefault="001A7DB5" w:rsidP="00B74231">
      <w:pPr>
        <w:pStyle w:val="EMitemheader"/>
        <w:spacing w:line="276" w:lineRule="auto"/>
        <w:rPr>
          <w:rFonts w:eastAsia="Times New Roman"/>
        </w:rPr>
      </w:pPr>
      <w:r w:rsidRPr="007901C0">
        <w:rPr>
          <w:rFonts w:eastAsia="Times New Roman"/>
        </w:rPr>
        <w:t>Item [4] – Subparagraph 2.03A(3)(a)(ii)</w:t>
      </w:r>
    </w:p>
    <w:p w14:paraId="3A007EEA" w14:textId="70AB02FA" w:rsidR="001A7DB5" w:rsidRPr="007901C0" w:rsidRDefault="001A7DB5" w:rsidP="00B74231">
      <w:pPr>
        <w:pStyle w:val="EMclausenotes"/>
        <w:spacing w:line="276" w:lineRule="auto"/>
      </w:pPr>
      <w:r w:rsidRPr="007901C0">
        <w:t xml:space="preserve">This item </w:t>
      </w:r>
      <w:r w:rsidR="008279AA">
        <w:t>repeals</w:t>
      </w:r>
      <w:r w:rsidRPr="007901C0">
        <w:t xml:space="preserve"> subparagraph 2.03A(3)(a)(ii)</w:t>
      </w:r>
      <w:r w:rsidR="00DF514A">
        <w:t xml:space="preserve"> of the Migration Regulations. </w:t>
      </w:r>
      <w:r w:rsidRPr="007901C0">
        <w:t>Subparagraph 2.03A(3)(a)(ii) referred to a Business Skills</w:t>
      </w:r>
      <w:r w:rsidR="00DF514A">
        <w:t xml:space="preserve"> (Provisional)(Class UR) visa. </w:t>
      </w:r>
      <w:r w:rsidRPr="007901C0">
        <w:t>This amendment is consequential to the repeal of that class by paragraph (c) and (g) to (l) of item 1</w:t>
      </w:r>
      <w:r>
        <w:t>8</w:t>
      </w:r>
      <w:r w:rsidRPr="007901C0">
        <w:t xml:space="preserve"> below. </w:t>
      </w:r>
    </w:p>
    <w:p w14:paraId="4011BCD6" w14:textId="77777777" w:rsidR="001A7DB5" w:rsidRPr="007901C0" w:rsidRDefault="001A7DB5" w:rsidP="00B74231">
      <w:pPr>
        <w:pStyle w:val="EMitemheader"/>
        <w:spacing w:line="276" w:lineRule="auto"/>
        <w:rPr>
          <w:rFonts w:eastAsia="Times New Roman"/>
        </w:rPr>
      </w:pPr>
      <w:r w:rsidRPr="007901C0">
        <w:rPr>
          <w:rFonts w:eastAsia="Times New Roman"/>
        </w:rPr>
        <w:t>Item [5] – Subparagraph 2.08B(1)(a)(viii)</w:t>
      </w:r>
    </w:p>
    <w:p w14:paraId="038631D1" w14:textId="120D89AF" w:rsidR="001A7DB5" w:rsidRPr="007901C0" w:rsidRDefault="001A7DB5" w:rsidP="00B74231">
      <w:pPr>
        <w:pStyle w:val="EMclausenotes"/>
        <w:spacing w:line="276" w:lineRule="auto"/>
      </w:pPr>
      <w:r w:rsidRPr="007901C0">
        <w:t xml:space="preserve">This item </w:t>
      </w:r>
      <w:r w:rsidR="008279AA">
        <w:t>repeals</w:t>
      </w:r>
      <w:r w:rsidRPr="007901C0">
        <w:t xml:space="preserve"> subparagraph 2.08B(1)(a)(viii)</w:t>
      </w:r>
      <w:r w:rsidR="00DF514A">
        <w:t xml:space="preserve"> of the Migration Regulations. </w:t>
      </w:r>
      <w:r w:rsidRPr="007901C0">
        <w:t>Subparagraph 2.08B(1)(a)(viii) referred to a Business Skills (Pro</w:t>
      </w:r>
      <w:r w:rsidR="00DF514A">
        <w:t xml:space="preserve">visional)(Class UR) visa. </w:t>
      </w:r>
      <w:r w:rsidRPr="007901C0">
        <w:t xml:space="preserve">This amendment </w:t>
      </w:r>
      <w:r w:rsidR="008279AA">
        <w:t>is</w:t>
      </w:r>
      <w:r w:rsidRPr="007901C0">
        <w:t xml:space="preserve"> consequential to the repeal of that class by paragraph</w:t>
      </w:r>
      <w:r w:rsidR="008279AA">
        <w:t>s</w:t>
      </w:r>
      <w:r w:rsidRPr="007901C0">
        <w:t xml:space="preserve"> (c) and (g) to (l) of item 1</w:t>
      </w:r>
      <w:r>
        <w:t>8</w:t>
      </w:r>
      <w:r w:rsidRPr="007901C0">
        <w:t xml:space="preserve"> below. </w:t>
      </w:r>
    </w:p>
    <w:p w14:paraId="4E31CAC2" w14:textId="77777777" w:rsidR="001A7DB5" w:rsidRPr="007901C0" w:rsidRDefault="001A7DB5" w:rsidP="00B74231">
      <w:pPr>
        <w:pStyle w:val="EMitemheader"/>
        <w:spacing w:line="276" w:lineRule="auto"/>
        <w:rPr>
          <w:rFonts w:eastAsia="Times New Roman"/>
        </w:rPr>
      </w:pPr>
      <w:r w:rsidRPr="007901C0">
        <w:rPr>
          <w:rFonts w:eastAsia="Times New Roman"/>
        </w:rPr>
        <w:t>Item [6] – Paragraph 2.11(2A)(b)</w:t>
      </w:r>
    </w:p>
    <w:p w14:paraId="673C5847" w14:textId="65036A0B" w:rsidR="001A7DB5" w:rsidRPr="007901C0" w:rsidRDefault="001A7DB5" w:rsidP="00B74231">
      <w:pPr>
        <w:pStyle w:val="EMclausenotes"/>
        <w:spacing w:line="276" w:lineRule="auto"/>
        <w:rPr>
          <w:rFonts w:eastAsia="Times New Roman"/>
        </w:rPr>
      </w:pPr>
      <w:r w:rsidRPr="007901C0">
        <w:rPr>
          <w:rFonts w:eastAsia="Times New Roman"/>
        </w:rPr>
        <w:t xml:space="preserve">This item </w:t>
      </w:r>
      <w:r w:rsidR="002D1A2A">
        <w:rPr>
          <w:rFonts w:eastAsia="Times New Roman"/>
        </w:rPr>
        <w:t>amends</w:t>
      </w:r>
      <w:r w:rsidRPr="007901C0">
        <w:rPr>
          <w:rFonts w:eastAsia="Times New Roman"/>
        </w:rPr>
        <w:t xml:space="preserve"> the ending of paragraph 2.11(2A)(b) of the Migration Regulations as a consequence to the repeal of paragraph 2.11(2A)(c) by item 7 below. </w:t>
      </w:r>
    </w:p>
    <w:p w14:paraId="111399E7" w14:textId="77777777" w:rsidR="001A7DB5" w:rsidRPr="007901C0" w:rsidRDefault="001A7DB5" w:rsidP="00B74231">
      <w:pPr>
        <w:pStyle w:val="EMitemheader"/>
        <w:spacing w:line="276" w:lineRule="auto"/>
        <w:rPr>
          <w:rFonts w:eastAsia="Times New Roman"/>
        </w:rPr>
      </w:pPr>
      <w:r w:rsidRPr="007901C0">
        <w:rPr>
          <w:rFonts w:eastAsia="Times New Roman"/>
        </w:rPr>
        <w:t>Item [7] – Paragraph 2.11(2A)(c)</w:t>
      </w:r>
    </w:p>
    <w:p w14:paraId="3803DAEE" w14:textId="3C4E1E39" w:rsidR="001A7DB5" w:rsidRPr="007901C0" w:rsidRDefault="001A7DB5" w:rsidP="00B74231">
      <w:pPr>
        <w:pStyle w:val="EMclausenotes"/>
        <w:spacing w:line="276" w:lineRule="auto"/>
        <w:rPr>
          <w:rFonts w:eastAsia="Times New Roman"/>
        </w:rPr>
      </w:pPr>
      <w:r w:rsidRPr="007901C0">
        <w:rPr>
          <w:rFonts w:eastAsia="Times New Roman"/>
        </w:rPr>
        <w:t xml:space="preserve">This item </w:t>
      </w:r>
      <w:r w:rsidR="00D169CD">
        <w:rPr>
          <w:rFonts w:eastAsia="Times New Roman"/>
        </w:rPr>
        <w:t>repeals</w:t>
      </w:r>
      <w:r w:rsidRPr="007901C0">
        <w:rPr>
          <w:rFonts w:eastAsia="Times New Roman"/>
        </w:rPr>
        <w:t xml:space="preserve"> paragraph 2.11(2A)(c) of the Migra</w:t>
      </w:r>
      <w:r w:rsidR="00DF514A">
        <w:rPr>
          <w:rFonts w:eastAsia="Times New Roman"/>
        </w:rPr>
        <w:t xml:space="preserve">tion Regulations. </w:t>
      </w:r>
      <w:r w:rsidRPr="007901C0">
        <w:rPr>
          <w:rFonts w:eastAsia="Times New Roman"/>
        </w:rPr>
        <w:t>Paragraph 2.11(2A)(c) referred to a resident return (temporary)(Class TP) visa</w:t>
      </w:r>
      <w:r w:rsidR="00DF514A">
        <w:rPr>
          <w:rFonts w:eastAsia="Times New Roman"/>
        </w:rPr>
        <w:t xml:space="preserve">. </w:t>
      </w:r>
      <w:r w:rsidRPr="007901C0">
        <w:rPr>
          <w:rFonts w:eastAsia="Times New Roman"/>
        </w:rPr>
        <w:t xml:space="preserve">This amendment </w:t>
      </w:r>
      <w:r w:rsidR="00D169CD">
        <w:rPr>
          <w:rFonts w:eastAsia="Times New Roman"/>
        </w:rPr>
        <w:t>is</w:t>
      </w:r>
      <w:r w:rsidRPr="007901C0">
        <w:rPr>
          <w:rFonts w:eastAsia="Times New Roman"/>
        </w:rPr>
        <w:t xml:space="preserve"> consequential to the repeal of that visa by paragraphs (d) and (f) of item 1</w:t>
      </w:r>
      <w:r>
        <w:rPr>
          <w:rFonts w:eastAsia="Times New Roman"/>
        </w:rPr>
        <w:t>8</w:t>
      </w:r>
      <w:r w:rsidRPr="007901C0">
        <w:rPr>
          <w:rFonts w:eastAsia="Times New Roman"/>
        </w:rPr>
        <w:t xml:space="preserve"> below.</w:t>
      </w:r>
    </w:p>
    <w:p w14:paraId="06F2B627" w14:textId="77777777" w:rsidR="001A7DB5" w:rsidRPr="007901C0" w:rsidRDefault="001A7DB5" w:rsidP="00B74231">
      <w:pPr>
        <w:pStyle w:val="EMitemheader"/>
        <w:spacing w:line="276" w:lineRule="auto"/>
        <w:rPr>
          <w:rFonts w:eastAsia="Times New Roman"/>
        </w:rPr>
      </w:pPr>
      <w:r w:rsidRPr="007901C0">
        <w:rPr>
          <w:rFonts w:eastAsia="Times New Roman"/>
        </w:rPr>
        <w:t>Item [8] – Paragraph 2.12F(2)(d)</w:t>
      </w:r>
    </w:p>
    <w:p w14:paraId="2842B9E8" w14:textId="4402AE0E" w:rsidR="001A7DB5" w:rsidRPr="007901C0" w:rsidRDefault="001A7DB5" w:rsidP="00B74231">
      <w:pPr>
        <w:pStyle w:val="EMclausenotes"/>
        <w:spacing w:line="276" w:lineRule="auto"/>
        <w:rPr>
          <w:rFonts w:eastAsia="Times New Roman"/>
        </w:rPr>
      </w:pPr>
      <w:r w:rsidRPr="007901C0">
        <w:rPr>
          <w:rFonts w:eastAsia="Times New Roman"/>
        </w:rPr>
        <w:t xml:space="preserve">This item </w:t>
      </w:r>
      <w:r w:rsidR="00D169CD">
        <w:rPr>
          <w:rFonts w:eastAsia="Times New Roman"/>
        </w:rPr>
        <w:t>repeals</w:t>
      </w:r>
      <w:r w:rsidRPr="007901C0">
        <w:rPr>
          <w:rFonts w:eastAsia="Times New Roman"/>
        </w:rPr>
        <w:t xml:space="preserve"> paragraph 2.12F(2)(d</w:t>
      </w:r>
      <w:r w:rsidR="00DF514A">
        <w:rPr>
          <w:rFonts w:eastAsia="Times New Roman"/>
        </w:rPr>
        <w:t>) of the Migration Regulations.</w:t>
      </w:r>
      <w:r w:rsidRPr="007901C0">
        <w:rPr>
          <w:rFonts w:eastAsia="Times New Roman"/>
        </w:rPr>
        <w:t xml:space="preserve"> Paragraph 2.12F(2)(d) referred to a tourist (</w:t>
      </w:r>
      <w:r w:rsidR="00DF514A">
        <w:rPr>
          <w:rFonts w:eastAsia="Times New Roman"/>
        </w:rPr>
        <w:t xml:space="preserve">Class TR) visa. </w:t>
      </w:r>
      <w:r w:rsidRPr="007901C0">
        <w:rPr>
          <w:rFonts w:eastAsia="Times New Roman"/>
        </w:rPr>
        <w:t xml:space="preserve">This amendment </w:t>
      </w:r>
      <w:r w:rsidR="00D169CD">
        <w:rPr>
          <w:rFonts w:eastAsia="Times New Roman"/>
        </w:rPr>
        <w:t>is</w:t>
      </w:r>
      <w:r w:rsidRPr="007901C0">
        <w:rPr>
          <w:rFonts w:eastAsia="Times New Roman"/>
        </w:rPr>
        <w:t xml:space="preserve"> consequential to the repeal of that visa by paragraphs (e) and (m) of item 1</w:t>
      </w:r>
      <w:r>
        <w:rPr>
          <w:rFonts w:eastAsia="Times New Roman"/>
        </w:rPr>
        <w:t>8</w:t>
      </w:r>
      <w:r w:rsidRPr="007901C0">
        <w:rPr>
          <w:rFonts w:eastAsia="Times New Roman"/>
        </w:rPr>
        <w:t xml:space="preserve">, below. </w:t>
      </w:r>
    </w:p>
    <w:p w14:paraId="22E2B48D" w14:textId="77777777" w:rsidR="001A7DB5" w:rsidRPr="007901C0" w:rsidRDefault="001A7DB5" w:rsidP="00B74231">
      <w:pPr>
        <w:pStyle w:val="EMitemheader"/>
        <w:spacing w:line="276" w:lineRule="auto"/>
        <w:rPr>
          <w:rFonts w:eastAsia="Times New Roman"/>
        </w:rPr>
      </w:pPr>
      <w:r w:rsidRPr="007901C0">
        <w:rPr>
          <w:rFonts w:eastAsia="Times New Roman"/>
        </w:rPr>
        <w:t>Item [9] – Paragraphs 2.12F(2B)(d), (e), (g), (h), (i) and (j)</w:t>
      </w:r>
    </w:p>
    <w:p w14:paraId="6E3552B2" w14:textId="4DB8EC29" w:rsidR="001A7DB5" w:rsidRPr="007901C0" w:rsidRDefault="001A7DB5" w:rsidP="00B74231">
      <w:pPr>
        <w:pStyle w:val="EMclausenotes"/>
        <w:spacing w:line="276" w:lineRule="auto"/>
        <w:rPr>
          <w:rFonts w:eastAsia="Times New Roman"/>
        </w:rPr>
      </w:pPr>
      <w:r w:rsidRPr="007901C0">
        <w:rPr>
          <w:rFonts w:eastAsia="Times New Roman"/>
        </w:rPr>
        <w:t xml:space="preserve">This item </w:t>
      </w:r>
      <w:r w:rsidR="00D169CD">
        <w:rPr>
          <w:rFonts w:eastAsia="Times New Roman"/>
        </w:rPr>
        <w:t>repeals</w:t>
      </w:r>
      <w:r w:rsidRPr="007901C0">
        <w:rPr>
          <w:rFonts w:eastAsia="Times New Roman"/>
        </w:rPr>
        <w:t xml:space="preserve"> paragraphs 2.12F(2B)(d), (e), (g), (h), (i) and (j) of the Migration Regulations. </w:t>
      </w:r>
      <w:r w:rsidR="00D169CD">
        <w:rPr>
          <w:rFonts w:eastAsia="Times New Roman"/>
        </w:rPr>
        <w:t>T</w:t>
      </w:r>
      <w:r w:rsidRPr="007901C0">
        <w:rPr>
          <w:rFonts w:eastAsia="Times New Roman"/>
        </w:rPr>
        <w:t>hese paragraphs provide</w:t>
      </w:r>
      <w:r w:rsidR="00D169CD">
        <w:rPr>
          <w:rFonts w:eastAsia="Times New Roman"/>
        </w:rPr>
        <w:t>d</w:t>
      </w:r>
      <w:r w:rsidRPr="007901C0">
        <w:rPr>
          <w:rFonts w:eastAsia="Times New Roman"/>
        </w:rPr>
        <w:t xml:space="preserve"> for refunds of the first instalment of the Visa Application Charge paid on an application for a Subclass 457 (Temporary Work (Skilled)), Subclass 488 (Superyacht Crew), Subclass 416 (Special Program), Subclass 401 (Temporary Work (Long Stay Activity)), Subclass 402 (Training and Research) and Subclass 420 (Temporary Work (Entertainment)) visas.</w:t>
      </w:r>
      <w:r w:rsidRPr="007901C0">
        <w:rPr>
          <w:rFonts w:ascii="Helvetica" w:hAnsi="Helvetica" w:cs="Helvetica"/>
          <w:color w:val="000000"/>
          <w:sz w:val="23"/>
          <w:szCs w:val="23"/>
          <w:shd w:val="clear" w:color="auto" w:fill="FFFFFF"/>
        </w:rPr>
        <w:t xml:space="preserve"> </w:t>
      </w:r>
      <w:r w:rsidRPr="007901C0">
        <w:rPr>
          <w:rFonts w:eastAsia="Times New Roman"/>
        </w:rPr>
        <w:t>All of these visas have been successively repealed from 2016 onwards. No further applications for these visas may be made and there has</w:t>
      </w:r>
      <w:r w:rsidR="00D169CD">
        <w:rPr>
          <w:rFonts w:eastAsia="Times New Roman"/>
        </w:rPr>
        <w:t xml:space="preserve"> now</w:t>
      </w:r>
      <w:r w:rsidRPr="007901C0">
        <w:rPr>
          <w:rFonts w:eastAsia="Times New Roman"/>
        </w:rPr>
        <w:t xml:space="preserve"> been ample time for applicants eligible for a refund to have claimed it. </w:t>
      </w:r>
    </w:p>
    <w:p w14:paraId="0EB26FD4" w14:textId="77777777" w:rsidR="001A7DB5" w:rsidRPr="007901C0" w:rsidRDefault="001A7DB5" w:rsidP="00B74231">
      <w:pPr>
        <w:pStyle w:val="EMitemheader"/>
        <w:spacing w:line="276" w:lineRule="auto"/>
        <w:rPr>
          <w:rFonts w:eastAsia="Times New Roman"/>
        </w:rPr>
      </w:pPr>
      <w:r w:rsidRPr="007901C0">
        <w:rPr>
          <w:rFonts w:eastAsia="Times New Roman"/>
        </w:rPr>
        <w:lastRenderedPageBreak/>
        <w:t>Item [10] – Sub-subparagraph 2.15(1)(b)(ii)(A)</w:t>
      </w:r>
    </w:p>
    <w:p w14:paraId="6E78C08D" w14:textId="22CC951D" w:rsidR="001A7DB5" w:rsidRPr="007901C0" w:rsidRDefault="001A7DB5" w:rsidP="00B74231">
      <w:pPr>
        <w:pStyle w:val="EMclausenotes"/>
        <w:spacing w:line="276" w:lineRule="auto"/>
        <w:rPr>
          <w:rFonts w:eastAsia="Times New Roman"/>
        </w:rPr>
      </w:pPr>
      <w:r w:rsidRPr="007901C0">
        <w:rPr>
          <w:rFonts w:eastAsia="Times New Roman"/>
        </w:rPr>
        <w:t xml:space="preserve">This item </w:t>
      </w:r>
      <w:r w:rsidR="00D169CD">
        <w:rPr>
          <w:rFonts w:eastAsia="Times New Roman"/>
        </w:rPr>
        <w:t>amends</w:t>
      </w:r>
      <w:r w:rsidRPr="007901C0">
        <w:rPr>
          <w:rFonts w:eastAsia="Times New Roman"/>
        </w:rPr>
        <w:t xml:space="preserve"> sub-subparagraph 2.15(1)(b)(ii)(A) of the Migration Regulations to omit a reference to </w:t>
      </w:r>
      <w:r w:rsidR="00E05D5A">
        <w:rPr>
          <w:rFonts w:eastAsia="Times New Roman"/>
        </w:rPr>
        <w:t xml:space="preserve">a Tourist (Class TR) visa. </w:t>
      </w:r>
      <w:r w:rsidRPr="007901C0">
        <w:rPr>
          <w:rFonts w:eastAsia="Times New Roman"/>
        </w:rPr>
        <w:t xml:space="preserve">This amendment </w:t>
      </w:r>
      <w:r w:rsidR="00D169CD">
        <w:rPr>
          <w:rFonts w:eastAsia="Times New Roman"/>
        </w:rPr>
        <w:t>is</w:t>
      </w:r>
      <w:r w:rsidRPr="007901C0">
        <w:rPr>
          <w:rFonts w:eastAsia="Times New Roman"/>
        </w:rPr>
        <w:t xml:space="preserve"> consequential to the repeal of the Tourist (Class TR) visa by paragraphs (e) and (m) of item 1</w:t>
      </w:r>
      <w:r>
        <w:rPr>
          <w:rFonts w:eastAsia="Times New Roman"/>
        </w:rPr>
        <w:t>8</w:t>
      </w:r>
      <w:r w:rsidRPr="007901C0">
        <w:rPr>
          <w:rFonts w:eastAsia="Times New Roman"/>
        </w:rPr>
        <w:t>, below.</w:t>
      </w:r>
    </w:p>
    <w:p w14:paraId="297FC554" w14:textId="77777777" w:rsidR="001A7DB5" w:rsidRPr="007901C0" w:rsidRDefault="001A7DB5" w:rsidP="00B74231">
      <w:pPr>
        <w:pStyle w:val="EMitemheader"/>
        <w:spacing w:line="276" w:lineRule="auto"/>
        <w:rPr>
          <w:rFonts w:eastAsia="Times New Roman"/>
        </w:rPr>
      </w:pPr>
      <w:r w:rsidRPr="007901C0">
        <w:rPr>
          <w:rFonts w:eastAsia="Times New Roman"/>
        </w:rPr>
        <w:t>Item [11] – Subparagraph 2.15(3)(b)(i)</w:t>
      </w:r>
    </w:p>
    <w:p w14:paraId="25C1F4C5" w14:textId="018781A1" w:rsidR="001A7DB5" w:rsidRPr="007901C0" w:rsidRDefault="001A7DB5" w:rsidP="00B74231">
      <w:pPr>
        <w:pStyle w:val="EMclausenotes"/>
        <w:spacing w:line="276" w:lineRule="auto"/>
        <w:rPr>
          <w:rFonts w:eastAsia="Times New Roman"/>
        </w:rPr>
      </w:pPr>
      <w:r w:rsidRPr="007901C0">
        <w:rPr>
          <w:rFonts w:eastAsia="Times New Roman"/>
        </w:rPr>
        <w:t xml:space="preserve">This item </w:t>
      </w:r>
      <w:r w:rsidR="00597417">
        <w:rPr>
          <w:rFonts w:eastAsia="Times New Roman"/>
        </w:rPr>
        <w:t>amends</w:t>
      </w:r>
      <w:r w:rsidRPr="007901C0">
        <w:rPr>
          <w:rFonts w:eastAsia="Times New Roman"/>
        </w:rPr>
        <w:t xml:space="preserve"> subparagraph 2.15(3)(b)(i) of the Migration Regulations to omit a reference to a Tourist (Class TR) visa. This amendment </w:t>
      </w:r>
      <w:r w:rsidR="00597417">
        <w:rPr>
          <w:rFonts w:eastAsia="Times New Roman"/>
        </w:rPr>
        <w:t xml:space="preserve">is </w:t>
      </w:r>
      <w:r w:rsidRPr="007901C0">
        <w:rPr>
          <w:rFonts w:eastAsia="Times New Roman"/>
        </w:rPr>
        <w:t>consequential to the repeal of the Tourist (Class TR) visa by paragraphs (e) and (m) of item 1</w:t>
      </w:r>
      <w:r>
        <w:rPr>
          <w:rFonts w:eastAsia="Times New Roman"/>
        </w:rPr>
        <w:t>8</w:t>
      </w:r>
      <w:r w:rsidRPr="007901C0">
        <w:rPr>
          <w:rFonts w:eastAsia="Times New Roman"/>
        </w:rPr>
        <w:t>, below.</w:t>
      </w:r>
    </w:p>
    <w:p w14:paraId="1CD7E776" w14:textId="77777777" w:rsidR="001A7DB5" w:rsidRPr="007901C0" w:rsidRDefault="001A7DB5" w:rsidP="00B74231">
      <w:pPr>
        <w:pStyle w:val="EMitemheader"/>
        <w:spacing w:line="276" w:lineRule="auto"/>
        <w:rPr>
          <w:rFonts w:eastAsia="Times New Roman"/>
        </w:rPr>
      </w:pPr>
      <w:r w:rsidRPr="007901C0">
        <w:rPr>
          <w:rFonts w:eastAsia="Times New Roman"/>
        </w:rPr>
        <w:t>Item [12] – Paragraph 2.21B(1)(b)</w:t>
      </w:r>
    </w:p>
    <w:p w14:paraId="21D74EB2" w14:textId="3135386F" w:rsidR="001A7DB5" w:rsidRPr="007901C0" w:rsidRDefault="001A7DB5" w:rsidP="00B74231">
      <w:pPr>
        <w:pStyle w:val="EMclausenotes"/>
        <w:spacing w:line="276" w:lineRule="auto"/>
        <w:rPr>
          <w:rFonts w:eastAsia="Times New Roman"/>
        </w:rPr>
      </w:pPr>
      <w:r w:rsidRPr="007901C0">
        <w:rPr>
          <w:rFonts w:eastAsia="Times New Roman"/>
        </w:rPr>
        <w:t xml:space="preserve">This item </w:t>
      </w:r>
      <w:r w:rsidR="00597417">
        <w:rPr>
          <w:rFonts w:eastAsia="Times New Roman"/>
        </w:rPr>
        <w:t>amends</w:t>
      </w:r>
      <w:r w:rsidRPr="007901C0">
        <w:rPr>
          <w:rFonts w:eastAsia="Times New Roman"/>
        </w:rPr>
        <w:t xml:space="preserve"> paragraph 2.21(1)(b) of the Migration Regulations to omit a referenc</w:t>
      </w:r>
      <w:r w:rsidR="00DF514A">
        <w:rPr>
          <w:rFonts w:eastAsia="Times New Roman"/>
        </w:rPr>
        <w:t>e to a Tourist (Class TR) visa.</w:t>
      </w:r>
      <w:r w:rsidRPr="007901C0">
        <w:rPr>
          <w:rFonts w:eastAsia="Times New Roman"/>
        </w:rPr>
        <w:t xml:space="preserve"> This amendment </w:t>
      </w:r>
      <w:r w:rsidR="00597417">
        <w:rPr>
          <w:rFonts w:eastAsia="Times New Roman"/>
        </w:rPr>
        <w:t>is</w:t>
      </w:r>
      <w:r w:rsidRPr="007901C0">
        <w:rPr>
          <w:rFonts w:eastAsia="Times New Roman"/>
        </w:rPr>
        <w:t xml:space="preserve"> consequential to the repeal of the Tourist (Class TR) visa by paragraphs (e) and (m) of item 1</w:t>
      </w:r>
      <w:r>
        <w:rPr>
          <w:rFonts w:eastAsia="Times New Roman"/>
        </w:rPr>
        <w:t>8</w:t>
      </w:r>
      <w:r w:rsidRPr="007901C0">
        <w:rPr>
          <w:rFonts w:eastAsia="Times New Roman"/>
        </w:rPr>
        <w:t>, below.</w:t>
      </w:r>
    </w:p>
    <w:p w14:paraId="5BF2B850" w14:textId="77777777" w:rsidR="001A7DB5" w:rsidRPr="007901C0" w:rsidRDefault="001A7DB5" w:rsidP="00B74231">
      <w:pPr>
        <w:pStyle w:val="EMitemheader"/>
        <w:spacing w:line="276" w:lineRule="auto"/>
        <w:rPr>
          <w:rFonts w:eastAsia="Times New Roman"/>
        </w:rPr>
      </w:pPr>
      <w:r w:rsidRPr="007901C0">
        <w:rPr>
          <w:rFonts w:eastAsia="Times New Roman"/>
        </w:rPr>
        <w:t xml:space="preserve">Item [13] Subregulation 2.50(4) (definition of </w:t>
      </w:r>
      <w:r w:rsidRPr="007901C0">
        <w:rPr>
          <w:rFonts w:eastAsia="Times New Roman"/>
          <w:i/>
        </w:rPr>
        <w:t>return visa</w:t>
      </w:r>
      <w:r w:rsidRPr="007901C0">
        <w:rPr>
          <w:rFonts w:eastAsia="Times New Roman"/>
        </w:rPr>
        <w:t>)</w:t>
      </w:r>
    </w:p>
    <w:p w14:paraId="0995B101" w14:textId="3190281B" w:rsidR="001A7DB5" w:rsidRPr="007901C0" w:rsidRDefault="001A7DB5" w:rsidP="00B74231">
      <w:pPr>
        <w:pStyle w:val="EMclausenotes"/>
        <w:spacing w:line="276" w:lineRule="auto"/>
        <w:rPr>
          <w:rFonts w:eastAsia="Times New Roman"/>
        </w:rPr>
      </w:pPr>
      <w:r w:rsidRPr="007901C0">
        <w:rPr>
          <w:rFonts w:eastAsia="Times New Roman"/>
        </w:rPr>
        <w:t xml:space="preserve">This item </w:t>
      </w:r>
      <w:r w:rsidR="00597417">
        <w:rPr>
          <w:rFonts w:eastAsia="Times New Roman"/>
        </w:rPr>
        <w:t>repeals</w:t>
      </w:r>
      <w:r w:rsidRPr="007901C0">
        <w:rPr>
          <w:rFonts w:eastAsia="Times New Roman"/>
        </w:rPr>
        <w:t xml:space="preserve"> the definition of </w:t>
      </w:r>
      <w:r w:rsidRPr="007901C0">
        <w:rPr>
          <w:rFonts w:eastAsia="Times New Roman"/>
          <w:i/>
        </w:rPr>
        <w:t>return visa</w:t>
      </w:r>
      <w:r w:rsidRPr="007901C0">
        <w:rPr>
          <w:rFonts w:eastAsia="Times New Roman"/>
        </w:rPr>
        <w:t xml:space="preserve"> in subregulation 2.50(4) of the Migration Regulations and substitutes a new definition which refers only to a Return (Residence) (Class BB) visa. The previous definition also referred to a Resident Return (Temporary) (Class TP) visa which </w:t>
      </w:r>
      <w:r w:rsidR="00597417">
        <w:rPr>
          <w:rFonts w:eastAsia="Times New Roman"/>
        </w:rPr>
        <w:t>is</w:t>
      </w:r>
      <w:r w:rsidRPr="007901C0">
        <w:rPr>
          <w:rFonts w:eastAsia="Times New Roman"/>
        </w:rPr>
        <w:t xml:space="preserve"> repealed by paragraphs (d) and (f) of item 1</w:t>
      </w:r>
      <w:r>
        <w:rPr>
          <w:rFonts w:eastAsia="Times New Roman"/>
        </w:rPr>
        <w:t>8</w:t>
      </w:r>
      <w:r w:rsidRPr="007901C0">
        <w:rPr>
          <w:rFonts w:eastAsia="Times New Roman"/>
        </w:rPr>
        <w:t xml:space="preserve">, below. Consequently, the reference to that visa </w:t>
      </w:r>
      <w:r w:rsidR="00597417">
        <w:rPr>
          <w:rFonts w:eastAsia="Times New Roman"/>
        </w:rPr>
        <w:t>is</w:t>
      </w:r>
      <w:r w:rsidRPr="007901C0">
        <w:rPr>
          <w:rFonts w:eastAsia="Times New Roman"/>
        </w:rPr>
        <w:t xml:space="preserve"> omitted from the </w:t>
      </w:r>
      <w:r w:rsidR="00597417">
        <w:rPr>
          <w:rFonts w:eastAsia="Times New Roman"/>
        </w:rPr>
        <w:t>substituted</w:t>
      </w:r>
      <w:r w:rsidRPr="007901C0">
        <w:rPr>
          <w:rFonts w:eastAsia="Times New Roman"/>
        </w:rPr>
        <w:t xml:space="preserve"> definition. </w:t>
      </w:r>
    </w:p>
    <w:p w14:paraId="4EB421F8" w14:textId="77777777" w:rsidR="001A7DB5" w:rsidRPr="007901C0" w:rsidRDefault="001A7DB5" w:rsidP="00B74231">
      <w:pPr>
        <w:pStyle w:val="EMitemheader"/>
        <w:spacing w:line="276" w:lineRule="auto"/>
        <w:rPr>
          <w:rFonts w:eastAsia="Times New Roman"/>
        </w:rPr>
      </w:pPr>
      <w:r w:rsidRPr="007901C0">
        <w:rPr>
          <w:rFonts w:eastAsia="Times New Roman"/>
        </w:rPr>
        <w:t>Item [14] – Paragraph 773.213(1)(b) of Schedule 2</w:t>
      </w:r>
    </w:p>
    <w:p w14:paraId="6F88002E" w14:textId="5A5AA907" w:rsidR="001A7DB5" w:rsidRPr="007901C0" w:rsidRDefault="001A7DB5" w:rsidP="00B74231">
      <w:pPr>
        <w:pStyle w:val="EMclausenotes"/>
        <w:spacing w:line="276" w:lineRule="auto"/>
      </w:pPr>
      <w:r w:rsidRPr="007901C0">
        <w:t xml:space="preserve">This item </w:t>
      </w:r>
      <w:r w:rsidR="008317A6">
        <w:t>amends</w:t>
      </w:r>
      <w:r w:rsidRPr="007901C0">
        <w:t xml:space="preserve"> paragraph 773.213(1)(b) of Schedule 2 to the Migration Regulations, to remove a reference to a Res</w:t>
      </w:r>
      <w:r w:rsidR="00DF514A">
        <w:t xml:space="preserve">ident Return (Temporary) visa. </w:t>
      </w:r>
      <w:r w:rsidRPr="007901C0">
        <w:t xml:space="preserve">This amendment </w:t>
      </w:r>
      <w:r w:rsidR="008317A6">
        <w:t>is</w:t>
      </w:r>
      <w:r w:rsidRPr="007901C0">
        <w:t xml:space="preserve"> consequential to the repeal of the Resident Return (Temporary)(Class TP) visa by paragraphs (d) and (f) of item 1</w:t>
      </w:r>
      <w:r>
        <w:t>8</w:t>
      </w:r>
      <w:r w:rsidRPr="007901C0">
        <w:t xml:space="preserve">, below.  </w:t>
      </w:r>
    </w:p>
    <w:p w14:paraId="4F7BE3CA" w14:textId="77777777" w:rsidR="001A7DB5" w:rsidRPr="007901C0" w:rsidRDefault="001A7DB5" w:rsidP="00B74231">
      <w:pPr>
        <w:pStyle w:val="EMitemheader"/>
        <w:spacing w:line="276" w:lineRule="auto"/>
        <w:rPr>
          <w:rFonts w:eastAsia="Times New Roman"/>
        </w:rPr>
      </w:pPr>
      <w:r w:rsidRPr="007901C0">
        <w:rPr>
          <w:rFonts w:eastAsia="Times New Roman"/>
        </w:rPr>
        <w:t>Item [15] – clause 8549 of Schedule 8</w:t>
      </w:r>
    </w:p>
    <w:p w14:paraId="5EDE989E" w14:textId="38A09614" w:rsidR="001A7DB5" w:rsidRPr="007901C0" w:rsidRDefault="001A7DB5" w:rsidP="00B74231">
      <w:pPr>
        <w:pStyle w:val="EMclausenotes"/>
        <w:spacing w:line="276" w:lineRule="auto"/>
      </w:pPr>
      <w:r w:rsidRPr="007901C0">
        <w:t xml:space="preserve">This item </w:t>
      </w:r>
      <w:r w:rsidR="008317A6">
        <w:t>repeals</w:t>
      </w:r>
      <w:r w:rsidRPr="007901C0">
        <w:t xml:space="preserve"> clause 8549 of Schedule 8 to the Migration Regulations and substitutes a new clause 8549. The clause prescribes a condition 8549 that may be applied to certain visas to require that the holder must live, study and work only in a</w:t>
      </w:r>
      <w:r w:rsidR="00E05D5A">
        <w:t xml:space="preserve"> designated area of Australia. </w:t>
      </w:r>
      <w:r w:rsidRPr="007901C0">
        <w:t>Previously the condition included a special provision that applied only to certain holders of a Subclass 159 (Provisional Resident Return) visa that required the holder to live, study and work</w:t>
      </w:r>
      <w:r w:rsidR="00DF514A">
        <w:t xml:space="preserve"> in Norfolk Island.</w:t>
      </w:r>
      <w:r w:rsidRPr="007901C0">
        <w:t xml:space="preserve"> The </w:t>
      </w:r>
      <w:r w:rsidR="008317A6">
        <w:t>amended condition</w:t>
      </w:r>
      <w:r w:rsidRPr="007901C0">
        <w:t xml:space="preserve"> omit</w:t>
      </w:r>
      <w:r w:rsidR="008317A6">
        <w:t>s</w:t>
      </w:r>
      <w:r w:rsidRPr="007901C0">
        <w:t xml:space="preserve"> that special provision consequential to the repeal of Part 159 by paragraph (f) of item 1</w:t>
      </w:r>
      <w:r>
        <w:t>8</w:t>
      </w:r>
      <w:r w:rsidRPr="007901C0">
        <w:t xml:space="preserve"> below. </w:t>
      </w:r>
    </w:p>
    <w:p w14:paraId="1C91D63E" w14:textId="77777777" w:rsidR="001A7DB5" w:rsidRPr="007901C0" w:rsidRDefault="001A7DB5" w:rsidP="00B74231">
      <w:pPr>
        <w:pStyle w:val="EMitemheader"/>
        <w:spacing w:line="276" w:lineRule="auto"/>
        <w:rPr>
          <w:rFonts w:eastAsia="Times New Roman"/>
        </w:rPr>
      </w:pPr>
      <w:r w:rsidRPr="007901C0">
        <w:rPr>
          <w:rFonts w:eastAsia="Times New Roman"/>
        </w:rPr>
        <w:t xml:space="preserve">Item [16] – Part 1 of Schedule 9 (table item 23, column 2, subparagraphs (b)(i) and (ii)) </w:t>
      </w:r>
    </w:p>
    <w:p w14:paraId="21D4D122" w14:textId="372CB037" w:rsidR="001A7DB5" w:rsidRPr="007901C0" w:rsidRDefault="001A7DB5" w:rsidP="00B74231">
      <w:pPr>
        <w:pStyle w:val="EMclausenotes"/>
        <w:spacing w:line="276" w:lineRule="auto"/>
      </w:pPr>
      <w:r w:rsidRPr="007901C0">
        <w:t xml:space="preserve">This item </w:t>
      </w:r>
      <w:r w:rsidR="008317A6">
        <w:t>repeals</w:t>
      </w:r>
      <w:r w:rsidRPr="007901C0">
        <w:t xml:space="preserve"> subparagraphs 23(b)(i) and (ii) in item 23 of the table in Part 1 of Schedule 9 to the Migration Regulations. Part 1 of Schedule 9 relates to persons for whom special arrangements apply for immigration clearance under section 166 of the </w:t>
      </w:r>
      <w:r w:rsidRPr="007901C0">
        <w:rPr>
          <w:i/>
        </w:rPr>
        <w:t>Migration Act 1958</w:t>
      </w:r>
      <w:r w:rsidR="008317A6">
        <w:rPr>
          <w:i/>
        </w:rPr>
        <w:t xml:space="preserve">. </w:t>
      </w:r>
      <w:r w:rsidR="008317A6">
        <w:t>Subparagraphs (b)(i) and (ii) of item</w:t>
      </w:r>
      <w:r w:rsidRPr="007901C0">
        <w:t xml:space="preserve"> 23 in the table referred to holders of certain passports </w:t>
      </w:r>
      <w:r w:rsidRPr="007901C0">
        <w:lastRenderedPageBreak/>
        <w:t xml:space="preserve">specified under paragraph 1218(3)(d) or subparagraph 1218(1)(b)(ii) of Schedule 1 to the Migration </w:t>
      </w:r>
      <w:r w:rsidR="008317A6">
        <w:t>R</w:t>
      </w:r>
      <w:r w:rsidRPr="007901C0">
        <w:t xml:space="preserve">egulations, respectively. These references are now redundant as item 1218 (Tourist (Class TR) of Schedule 1 to the Migration Regulations </w:t>
      </w:r>
      <w:r w:rsidR="008317A6">
        <w:t>is</w:t>
      </w:r>
      <w:r w:rsidRPr="007901C0">
        <w:t xml:space="preserve"> repealed by paragraph (e) of item 1</w:t>
      </w:r>
      <w:r>
        <w:t>8</w:t>
      </w:r>
      <w:r w:rsidRPr="007901C0">
        <w:t xml:space="preserve"> below</w:t>
      </w:r>
      <w:r w:rsidR="008317A6">
        <w:t>. The s</w:t>
      </w:r>
      <w:r w:rsidRPr="007901C0">
        <w:t xml:space="preserve">ubparagraphs </w:t>
      </w:r>
      <w:r w:rsidR="008317A6">
        <w:t>are also</w:t>
      </w:r>
      <w:r w:rsidRPr="007901C0">
        <w:t xml:space="preserve"> consequently repealed.  </w:t>
      </w:r>
    </w:p>
    <w:p w14:paraId="7C67B933" w14:textId="77777777" w:rsidR="001A7DB5" w:rsidRPr="007901C0" w:rsidRDefault="001A7DB5" w:rsidP="00B74231">
      <w:pPr>
        <w:pStyle w:val="EMitemheader"/>
        <w:spacing w:line="276" w:lineRule="auto"/>
        <w:rPr>
          <w:rFonts w:eastAsia="Times New Roman"/>
        </w:rPr>
      </w:pPr>
      <w:r w:rsidRPr="007901C0">
        <w:rPr>
          <w:rFonts w:eastAsia="Times New Roman"/>
        </w:rPr>
        <w:t>Item [</w:t>
      </w:r>
      <w:r>
        <w:rPr>
          <w:rFonts w:eastAsia="Times New Roman"/>
        </w:rPr>
        <w:t>17</w:t>
      </w:r>
      <w:r w:rsidRPr="007901C0">
        <w:rPr>
          <w:rFonts w:eastAsia="Times New Roman"/>
        </w:rPr>
        <w:t>] – In the appropriate position in Schedule 13</w:t>
      </w:r>
    </w:p>
    <w:p w14:paraId="3238CE0B" w14:textId="0D5554EF" w:rsidR="001A7DB5" w:rsidRPr="007901C0" w:rsidRDefault="001A7DB5" w:rsidP="00B74231">
      <w:pPr>
        <w:pStyle w:val="EMclausenotes"/>
        <w:spacing w:line="276" w:lineRule="auto"/>
      </w:pPr>
      <w:r w:rsidRPr="007901C0">
        <w:t xml:space="preserve">This item </w:t>
      </w:r>
      <w:r w:rsidR="00D95495">
        <w:t>inserts</w:t>
      </w:r>
      <w:r w:rsidRPr="007901C0">
        <w:t xml:space="preserve"> Part 153 into Schedule 13 to the Migration Regulations. Schedule 13 sets out the application and transitional provisions that apply to amendments of the Migration Regulations.</w:t>
      </w:r>
    </w:p>
    <w:p w14:paraId="484540DB" w14:textId="052259FA" w:rsidR="001A7DB5" w:rsidRPr="007901C0" w:rsidRDefault="001A7DB5" w:rsidP="00B74231">
      <w:pPr>
        <w:pStyle w:val="EMclausenotes"/>
        <w:spacing w:line="276" w:lineRule="auto"/>
      </w:pPr>
      <w:r w:rsidRPr="007901C0">
        <w:t xml:space="preserve">Clause 15301 </w:t>
      </w:r>
      <w:r w:rsidR="00D95495">
        <w:t>of new Part 153 inserts</w:t>
      </w:r>
      <w:r w:rsidRPr="007901C0">
        <w:t xml:space="preserve"> two definitions. </w:t>
      </w:r>
      <w:r w:rsidR="00D95495">
        <w:t>The definitions provide that i</w:t>
      </w:r>
      <w:r w:rsidRPr="007901C0">
        <w:t xml:space="preserve">n Part 153, a reference to </w:t>
      </w:r>
      <w:r w:rsidRPr="007901C0">
        <w:rPr>
          <w:b/>
          <w:i/>
        </w:rPr>
        <w:t>amending regulations</w:t>
      </w:r>
      <w:r w:rsidRPr="007901C0">
        <w:t xml:space="preserve"> means the </w:t>
      </w:r>
      <w:r w:rsidRPr="007901C0">
        <w:rPr>
          <w:i/>
        </w:rPr>
        <w:t>Migration Amendment (Repeal, Consequential and Technical Amendments) Regulations 2025</w:t>
      </w:r>
      <w:r w:rsidR="00D95495">
        <w:t>, a</w:t>
      </w:r>
      <w:r w:rsidRPr="007901C0">
        <w:t xml:space="preserve"> reference to the </w:t>
      </w:r>
      <w:r w:rsidRPr="007901C0">
        <w:rPr>
          <w:b/>
          <w:i/>
        </w:rPr>
        <w:t>commencement day</w:t>
      </w:r>
      <w:r w:rsidRPr="007901C0">
        <w:t xml:space="preserve"> means the day the amending regulations commence.</w:t>
      </w:r>
    </w:p>
    <w:p w14:paraId="23D5E8A1" w14:textId="26090F81" w:rsidR="001A7DB5" w:rsidRPr="007901C0" w:rsidRDefault="00CC5EC6" w:rsidP="00B74231">
      <w:pPr>
        <w:pStyle w:val="EMclausenotes"/>
        <w:spacing w:line="276" w:lineRule="auto"/>
      </w:pPr>
      <w:r>
        <w:t>Subclause</w:t>
      </w:r>
      <w:r w:rsidR="001A7DB5" w:rsidRPr="007901C0">
        <w:t xml:space="preserve"> 15302(1) </w:t>
      </w:r>
      <w:r>
        <w:t>provides</w:t>
      </w:r>
      <w:r w:rsidR="001A7DB5" w:rsidRPr="007901C0">
        <w:t xml:space="preserve"> that the amendments </w:t>
      </w:r>
      <w:r w:rsidR="001A7DB5">
        <w:t xml:space="preserve">of the </w:t>
      </w:r>
      <w:r>
        <w:t xml:space="preserve">Migration </w:t>
      </w:r>
      <w:r w:rsidR="001A7DB5">
        <w:t xml:space="preserve">Regulations </w:t>
      </w:r>
      <w:r w:rsidR="001A7DB5" w:rsidRPr="007901C0">
        <w:t>made by Part 1 of Schedule 1 to the amending regulations do not apply in relation an application for a visa made before the commencement date or a visa granted before the commencement date.</w:t>
      </w:r>
    </w:p>
    <w:p w14:paraId="604A1E83" w14:textId="4E09F624" w:rsidR="001A7DB5" w:rsidRDefault="00CC5EC6" w:rsidP="00B74231">
      <w:pPr>
        <w:pStyle w:val="EMclausenotes"/>
        <w:spacing w:line="276" w:lineRule="auto"/>
      </w:pPr>
      <w:r>
        <w:t>S</w:t>
      </w:r>
      <w:r w:rsidR="001A7DB5" w:rsidRPr="007901C0">
        <w:t>ubclause 15302(2) provide</w:t>
      </w:r>
      <w:r>
        <w:t>s</w:t>
      </w:r>
      <w:r w:rsidR="001A7DB5" w:rsidRPr="007901C0">
        <w:t xml:space="preserve"> that despite the repeal or amendment of provisions by Part 1 of Schedule 1 to the amending regulations, those provisions continue to apply in relation to an application for a visa that is taken to have been made by a person before, on or the commencement date in accordance with regulation 2.08, 2.08A or 2.08B. Those regulations relate to the addition of a new-born child or </w:t>
      </w:r>
      <w:r>
        <w:t xml:space="preserve">certain </w:t>
      </w:r>
      <w:r w:rsidR="001A7DB5" w:rsidRPr="007901C0">
        <w:t>other family member</w:t>
      </w:r>
      <w:r>
        <w:t>s</w:t>
      </w:r>
      <w:r w:rsidR="001A7DB5" w:rsidRPr="007901C0">
        <w:t xml:space="preserve"> to an application that was made before the commencement date, where the newborn child or family member is added to the application before it is finally decided. </w:t>
      </w:r>
    </w:p>
    <w:p w14:paraId="16816002" w14:textId="77777777" w:rsidR="001A7DB5" w:rsidRPr="007901C0" w:rsidRDefault="001A7DB5" w:rsidP="00B74231">
      <w:pPr>
        <w:pStyle w:val="EMitemheader"/>
        <w:spacing w:line="276" w:lineRule="auto"/>
      </w:pPr>
      <w:r w:rsidRPr="007901C0">
        <w:t>Item [1</w:t>
      </w:r>
      <w:r>
        <w:t>8</w:t>
      </w:r>
      <w:r w:rsidRPr="007901C0">
        <w:t>] – Amendments of listed provisions – repeals</w:t>
      </w:r>
    </w:p>
    <w:p w14:paraId="7C4CED16" w14:textId="6702F18B" w:rsidR="001A7DB5" w:rsidRPr="007901C0" w:rsidRDefault="001A7DB5" w:rsidP="00B74231">
      <w:pPr>
        <w:pStyle w:val="EMclausenotes"/>
        <w:spacing w:line="276" w:lineRule="auto"/>
      </w:pPr>
      <w:r w:rsidRPr="007901C0">
        <w:t xml:space="preserve">This item </w:t>
      </w:r>
      <w:r w:rsidR="00145577">
        <w:t>repeals</w:t>
      </w:r>
      <w:r w:rsidRPr="007901C0">
        <w:t xml:space="preserve"> a number of visa classes and subclasses in Schedules 1 and 2 to the Migration Regulations. These classes and subclasses are repealed because they a</w:t>
      </w:r>
      <w:r w:rsidR="00E05D5A">
        <w:t xml:space="preserve">re no longer used or required. </w:t>
      </w:r>
    </w:p>
    <w:p w14:paraId="2E306652" w14:textId="0FCBA8BD" w:rsidR="001A7DB5" w:rsidRPr="00E05D5A" w:rsidRDefault="001A7DB5" w:rsidP="00E05D5A">
      <w:pPr>
        <w:spacing w:after="240" w:line="276" w:lineRule="auto"/>
        <w:rPr>
          <w:rFonts w:eastAsia="Times New Roman"/>
        </w:rPr>
      </w:pPr>
      <w:r w:rsidRPr="00E05D5A">
        <w:rPr>
          <w:rFonts w:eastAsia="Times New Roman"/>
        </w:rPr>
        <w:t xml:space="preserve">Paragraph (a) </w:t>
      </w:r>
      <w:r w:rsidR="00145577" w:rsidRPr="00E05D5A">
        <w:rPr>
          <w:rFonts w:eastAsia="Times New Roman"/>
        </w:rPr>
        <w:t>repeals</w:t>
      </w:r>
      <w:r w:rsidRPr="00E05D5A">
        <w:rPr>
          <w:rFonts w:eastAsia="Times New Roman"/>
        </w:rPr>
        <w:t xml:space="preserve"> item 1104B (Business Skills (Residence)(Class DF)) of Schedule 1</w:t>
      </w:r>
      <w:r w:rsidR="00DF514A">
        <w:rPr>
          <w:rFonts w:eastAsia="Times New Roman"/>
        </w:rPr>
        <w:t xml:space="preserve"> to the Migration Regulations. </w:t>
      </w:r>
      <w:r w:rsidRPr="00E05D5A">
        <w:rPr>
          <w:rFonts w:eastAsia="Times New Roman"/>
        </w:rPr>
        <w:t>An applicant for a Class DF permanent visa was required to hold a Business Skills (Provision</w:t>
      </w:r>
      <w:r w:rsidR="00DF514A">
        <w:rPr>
          <w:rFonts w:eastAsia="Times New Roman"/>
        </w:rPr>
        <w:t xml:space="preserve">al) (Class UR) temporary visa. </w:t>
      </w:r>
      <w:r w:rsidRPr="00E05D5A">
        <w:rPr>
          <w:rFonts w:eastAsia="Times New Roman"/>
        </w:rPr>
        <w:t>Class UR visas were closed to applicants seeking to satisfy the pri</w:t>
      </w:r>
      <w:r w:rsidR="00DF514A">
        <w:rPr>
          <w:rFonts w:eastAsia="Times New Roman"/>
        </w:rPr>
        <w:t>mary criteria from 1 July 2012.</w:t>
      </w:r>
      <w:r w:rsidRPr="00E05D5A">
        <w:rPr>
          <w:rFonts w:eastAsia="Times New Roman"/>
        </w:rPr>
        <w:t xml:space="preserve"> There are</w:t>
      </w:r>
      <w:r w:rsidR="00145577" w:rsidRPr="00E05D5A">
        <w:rPr>
          <w:rFonts w:eastAsia="Times New Roman"/>
        </w:rPr>
        <w:t xml:space="preserve"> now</w:t>
      </w:r>
      <w:r w:rsidRPr="00E05D5A">
        <w:rPr>
          <w:rFonts w:eastAsia="Times New Roman"/>
        </w:rPr>
        <w:t xml:space="preserve"> no holders of those visas remaining who would be eligible to apply for a Class DF visa, and the class is therefore redundant. </w:t>
      </w:r>
    </w:p>
    <w:p w14:paraId="11D21F0D" w14:textId="7B9B734B" w:rsidR="001A7DB5" w:rsidRPr="00E05D5A" w:rsidRDefault="001A7DB5" w:rsidP="00E05D5A">
      <w:pPr>
        <w:spacing w:after="240" w:line="276" w:lineRule="auto"/>
        <w:rPr>
          <w:rFonts w:eastAsia="Times New Roman"/>
        </w:rPr>
      </w:pPr>
      <w:r w:rsidRPr="00E05D5A">
        <w:rPr>
          <w:rFonts w:eastAsia="Times New Roman"/>
        </w:rPr>
        <w:t xml:space="preserve">Paragraph (b) </w:t>
      </w:r>
      <w:r w:rsidR="00145577" w:rsidRPr="00E05D5A">
        <w:rPr>
          <w:rFonts w:eastAsia="Times New Roman"/>
        </w:rPr>
        <w:t>repeals</w:t>
      </w:r>
      <w:r w:rsidRPr="00E05D5A">
        <w:rPr>
          <w:rFonts w:eastAsia="Times New Roman"/>
        </w:rPr>
        <w:t xml:space="preserve"> item 1111 (Confirmatory (Residence)(Class AK)) of Schedule 1 to the Migration Regulations. Class AK visas provided a permanent visa to special groups of applicants</w:t>
      </w:r>
      <w:r w:rsidR="00145577" w:rsidRPr="00E05D5A">
        <w:rPr>
          <w:rFonts w:eastAsia="Times New Roman"/>
        </w:rPr>
        <w:t>, including former holders of Norfolk Island entry permits,</w:t>
      </w:r>
      <w:r w:rsidRPr="00E05D5A">
        <w:rPr>
          <w:rFonts w:eastAsia="Times New Roman"/>
        </w:rPr>
        <w:t xml:space="preserve"> who no longer require the visa </w:t>
      </w:r>
      <w:r w:rsidR="00145577" w:rsidRPr="00E05D5A">
        <w:rPr>
          <w:rFonts w:eastAsia="Times New Roman"/>
        </w:rPr>
        <w:t>or</w:t>
      </w:r>
      <w:r w:rsidRPr="00E05D5A">
        <w:rPr>
          <w:rFonts w:eastAsia="Times New Roman"/>
        </w:rPr>
        <w:t xml:space="preserve"> for whom </w:t>
      </w:r>
      <w:r w:rsidR="00DF514A">
        <w:rPr>
          <w:rFonts w:eastAsia="Times New Roman"/>
        </w:rPr>
        <w:t xml:space="preserve">other visas are now available. </w:t>
      </w:r>
      <w:r w:rsidRPr="00E05D5A">
        <w:rPr>
          <w:rFonts w:eastAsia="Times New Roman"/>
        </w:rPr>
        <w:t>No valid applications for the visa have been made since 1 January 2024 and the class is therefore now redundant.</w:t>
      </w:r>
    </w:p>
    <w:p w14:paraId="44FDDF3C" w14:textId="7BBD9239" w:rsidR="001A7DB5" w:rsidRPr="00E05D5A" w:rsidRDefault="001A7DB5" w:rsidP="00E05D5A">
      <w:pPr>
        <w:spacing w:after="240" w:line="276" w:lineRule="auto"/>
        <w:rPr>
          <w:rFonts w:eastAsia="Times New Roman"/>
        </w:rPr>
      </w:pPr>
      <w:r w:rsidRPr="00E05D5A">
        <w:rPr>
          <w:rFonts w:eastAsia="Times New Roman"/>
        </w:rPr>
        <w:lastRenderedPageBreak/>
        <w:t xml:space="preserve">Paragraph (c) </w:t>
      </w:r>
      <w:r w:rsidR="00430275" w:rsidRPr="00E05D5A">
        <w:rPr>
          <w:rFonts w:eastAsia="Times New Roman"/>
        </w:rPr>
        <w:t>repeals</w:t>
      </w:r>
      <w:r w:rsidRPr="00E05D5A">
        <w:rPr>
          <w:rFonts w:eastAsia="Times New Roman"/>
        </w:rPr>
        <w:t xml:space="preserve"> item 1202A (Business Skills (Provisional)(Class UR)) of Schedule 1</w:t>
      </w:r>
      <w:r w:rsidR="00DF514A">
        <w:rPr>
          <w:rFonts w:eastAsia="Times New Roman"/>
        </w:rPr>
        <w:t xml:space="preserve"> to the Migration Regulations. </w:t>
      </w:r>
      <w:r w:rsidRPr="00E05D5A">
        <w:rPr>
          <w:rFonts w:eastAsia="Times New Roman"/>
        </w:rPr>
        <w:t>Class UR visas were closed to further applications by applicants seeking to satisfy the primary criteria from 1 J</w:t>
      </w:r>
      <w:r w:rsidR="00DF514A">
        <w:rPr>
          <w:rFonts w:eastAsia="Times New Roman"/>
        </w:rPr>
        <w:t>uly 2012.</w:t>
      </w:r>
      <w:r w:rsidRPr="00E05D5A">
        <w:rPr>
          <w:rFonts w:eastAsia="Times New Roman"/>
        </w:rPr>
        <w:t xml:space="preserve"> There are now no remaining holders of the visa and the class is therefore redundant.</w:t>
      </w:r>
    </w:p>
    <w:p w14:paraId="5A69CC66" w14:textId="107F43FA" w:rsidR="001A7DB5" w:rsidRPr="00E05D5A" w:rsidRDefault="001A7DB5" w:rsidP="00E05D5A">
      <w:pPr>
        <w:spacing w:after="240" w:line="276" w:lineRule="auto"/>
        <w:rPr>
          <w:rFonts w:eastAsia="Times New Roman"/>
        </w:rPr>
      </w:pPr>
      <w:r w:rsidRPr="00E05D5A">
        <w:rPr>
          <w:rFonts w:eastAsia="Times New Roman"/>
        </w:rPr>
        <w:t xml:space="preserve">Paragraph (d) </w:t>
      </w:r>
      <w:r w:rsidR="00430275" w:rsidRPr="00E05D5A">
        <w:rPr>
          <w:rFonts w:eastAsia="Times New Roman"/>
        </w:rPr>
        <w:t>repeals</w:t>
      </w:r>
      <w:r w:rsidRPr="00E05D5A">
        <w:rPr>
          <w:rFonts w:eastAsia="Times New Roman"/>
        </w:rPr>
        <w:t xml:space="preserve"> item 1216 (Resident Return (Temporary)(Class TP)) of Schedule 1</w:t>
      </w:r>
      <w:r w:rsidR="00DF514A">
        <w:rPr>
          <w:rFonts w:eastAsia="Times New Roman"/>
        </w:rPr>
        <w:t xml:space="preserve"> to the Migration Regulations. </w:t>
      </w:r>
      <w:r w:rsidRPr="00E05D5A">
        <w:rPr>
          <w:rFonts w:eastAsia="Times New Roman"/>
        </w:rPr>
        <w:t>This temporary visa was for former permanent visa holders who travelled outside Australia and did not have a return travel facility but could establish an urgent and compelling need to return to Australia before they could provide evidenc</w:t>
      </w:r>
      <w:r w:rsidR="00DF514A">
        <w:rPr>
          <w:rFonts w:eastAsia="Times New Roman"/>
        </w:rPr>
        <w:t>e of their permanent residency.</w:t>
      </w:r>
      <w:r w:rsidRPr="00E05D5A">
        <w:rPr>
          <w:rFonts w:eastAsia="Times New Roman"/>
        </w:rPr>
        <w:t xml:space="preserve"> Other Return Resident visas are available to applicants in similar circumstances and Class TP visas have not been granted since program year 2018-2019.</w:t>
      </w:r>
    </w:p>
    <w:p w14:paraId="27D34976" w14:textId="44497369" w:rsidR="001A7DB5" w:rsidRPr="00E05D5A" w:rsidRDefault="001A7DB5" w:rsidP="00E05D5A">
      <w:pPr>
        <w:spacing w:after="240" w:line="276" w:lineRule="auto"/>
        <w:rPr>
          <w:rFonts w:eastAsia="Times New Roman"/>
        </w:rPr>
      </w:pPr>
      <w:r w:rsidRPr="00E05D5A">
        <w:rPr>
          <w:rFonts w:eastAsia="Times New Roman"/>
        </w:rPr>
        <w:t xml:space="preserve">Paragraph (e) </w:t>
      </w:r>
      <w:r w:rsidR="00430275" w:rsidRPr="00E05D5A">
        <w:rPr>
          <w:rFonts w:eastAsia="Times New Roman"/>
        </w:rPr>
        <w:t>repeals</w:t>
      </w:r>
      <w:r w:rsidRPr="00E05D5A">
        <w:rPr>
          <w:rFonts w:eastAsia="Times New Roman"/>
        </w:rPr>
        <w:t xml:space="preserve"> item 1218 (Tourist (Class TR)) of Schedule 1</w:t>
      </w:r>
      <w:r w:rsidR="008F1B15" w:rsidRPr="00E05D5A">
        <w:rPr>
          <w:rFonts w:eastAsia="Times New Roman"/>
        </w:rPr>
        <w:t xml:space="preserve"> to the Migration Regulations. </w:t>
      </w:r>
      <w:r w:rsidRPr="00E05D5A">
        <w:rPr>
          <w:rFonts w:eastAsia="Times New Roman"/>
        </w:rPr>
        <w:t>Class TR visas were replaced by Visitor (Class FA) visas from 23 March 2013 and the class is therefore now redundant.</w:t>
      </w:r>
    </w:p>
    <w:p w14:paraId="6FB5F6A0" w14:textId="78873552" w:rsidR="001A7DB5" w:rsidRPr="00E05D5A" w:rsidRDefault="001A7DB5" w:rsidP="00E05D5A">
      <w:pPr>
        <w:spacing w:after="240" w:line="276" w:lineRule="auto"/>
        <w:rPr>
          <w:rFonts w:eastAsia="Times New Roman"/>
        </w:rPr>
      </w:pPr>
      <w:r w:rsidRPr="00E05D5A">
        <w:rPr>
          <w:rFonts w:eastAsia="Times New Roman"/>
        </w:rPr>
        <w:t xml:space="preserve">Paragraph (f) </w:t>
      </w:r>
      <w:r w:rsidR="00430275" w:rsidRPr="00E05D5A">
        <w:rPr>
          <w:rFonts w:eastAsia="Times New Roman"/>
        </w:rPr>
        <w:t>repeals</w:t>
      </w:r>
      <w:r w:rsidRPr="00E05D5A">
        <w:rPr>
          <w:rFonts w:eastAsia="Times New Roman"/>
        </w:rPr>
        <w:t xml:space="preserve"> Part 159 of Schedule 2</w:t>
      </w:r>
      <w:r w:rsidR="00DF514A">
        <w:rPr>
          <w:rFonts w:eastAsia="Times New Roman"/>
        </w:rPr>
        <w:t xml:space="preserve"> to the Migration Regulations. </w:t>
      </w:r>
      <w:r w:rsidRPr="00E05D5A">
        <w:rPr>
          <w:rFonts w:eastAsia="Times New Roman"/>
        </w:rPr>
        <w:t>Part 159 of Schedule 2 provide</w:t>
      </w:r>
      <w:r w:rsidR="00430275" w:rsidRPr="00E05D5A">
        <w:rPr>
          <w:rFonts w:eastAsia="Times New Roman"/>
        </w:rPr>
        <w:t>d</w:t>
      </w:r>
      <w:r w:rsidRPr="00E05D5A">
        <w:rPr>
          <w:rFonts w:eastAsia="Times New Roman"/>
        </w:rPr>
        <w:t xml:space="preserve"> the criteria</w:t>
      </w:r>
      <w:r w:rsidR="00430275" w:rsidRPr="00E05D5A">
        <w:rPr>
          <w:rFonts w:eastAsia="Times New Roman"/>
        </w:rPr>
        <w:t xml:space="preserve"> and other requirements</w:t>
      </w:r>
      <w:r w:rsidRPr="00E05D5A">
        <w:rPr>
          <w:rFonts w:eastAsia="Times New Roman"/>
        </w:rPr>
        <w:t xml:space="preserve"> for the grant of a Subclass 159 (Provisional Resident Return) visa that was a visa of Class TP, which </w:t>
      </w:r>
      <w:r w:rsidR="00430275" w:rsidRPr="00E05D5A">
        <w:rPr>
          <w:rFonts w:eastAsia="Times New Roman"/>
        </w:rPr>
        <w:t>is</w:t>
      </w:r>
      <w:r w:rsidRPr="00E05D5A">
        <w:rPr>
          <w:rFonts w:eastAsia="Times New Roman"/>
        </w:rPr>
        <w:t xml:space="preserve"> repealed by paragraph (d), above.</w:t>
      </w:r>
    </w:p>
    <w:p w14:paraId="32C35242" w14:textId="5F623CF4" w:rsidR="001A7DB5" w:rsidRPr="00E05D5A" w:rsidRDefault="001A7DB5" w:rsidP="00E05D5A">
      <w:pPr>
        <w:spacing w:after="240" w:line="276" w:lineRule="auto"/>
        <w:rPr>
          <w:rFonts w:eastAsia="Times New Roman"/>
        </w:rPr>
      </w:pPr>
      <w:r w:rsidRPr="00E05D5A">
        <w:rPr>
          <w:rFonts w:eastAsia="Times New Roman"/>
        </w:rPr>
        <w:t xml:space="preserve">Paragraph (g) </w:t>
      </w:r>
      <w:r w:rsidR="00430275" w:rsidRPr="00E05D5A">
        <w:rPr>
          <w:rFonts w:eastAsia="Times New Roman"/>
        </w:rPr>
        <w:t>repeals</w:t>
      </w:r>
      <w:r w:rsidRPr="00E05D5A">
        <w:rPr>
          <w:rFonts w:eastAsia="Times New Roman"/>
        </w:rPr>
        <w:t xml:space="preserve"> Part 160 of Schedule 2 to the Migration Regulations. Part 160 of Schedule 2 provided the criteria</w:t>
      </w:r>
      <w:r w:rsidR="00430275" w:rsidRPr="00E05D5A">
        <w:rPr>
          <w:rFonts w:eastAsia="Times New Roman"/>
        </w:rPr>
        <w:t xml:space="preserve"> and other requirements</w:t>
      </w:r>
      <w:r w:rsidRPr="00E05D5A">
        <w:rPr>
          <w:rFonts w:eastAsia="Times New Roman"/>
        </w:rPr>
        <w:t xml:space="preserve"> for the grant of a Subclass 160 (Business Owner (Provisional)) visa that was a visa of Class UR, which </w:t>
      </w:r>
      <w:r w:rsidR="00430275" w:rsidRPr="00E05D5A">
        <w:rPr>
          <w:rFonts w:eastAsia="Times New Roman"/>
        </w:rPr>
        <w:t>is</w:t>
      </w:r>
      <w:r w:rsidRPr="00E05D5A">
        <w:rPr>
          <w:rFonts w:eastAsia="Times New Roman"/>
        </w:rPr>
        <w:t xml:space="preserve"> repealed by paragraph (c), above.</w:t>
      </w:r>
    </w:p>
    <w:p w14:paraId="0A378AD1" w14:textId="17E1A9D5" w:rsidR="001A7DB5" w:rsidRPr="00E05D5A" w:rsidRDefault="001A7DB5" w:rsidP="00E05D5A">
      <w:pPr>
        <w:spacing w:after="240" w:line="276" w:lineRule="auto"/>
        <w:rPr>
          <w:rFonts w:eastAsia="Times New Roman"/>
        </w:rPr>
      </w:pPr>
      <w:r w:rsidRPr="00E05D5A">
        <w:rPr>
          <w:rFonts w:eastAsia="Times New Roman"/>
        </w:rPr>
        <w:t xml:space="preserve">Paragraph (h) </w:t>
      </w:r>
      <w:r w:rsidR="00430275" w:rsidRPr="00E05D5A">
        <w:rPr>
          <w:rFonts w:eastAsia="Times New Roman"/>
        </w:rPr>
        <w:t>repeals</w:t>
      </w:r>
      <w:r w:rsidRPr="00E05D5A">
        <w:rPr>
          <w:rFonts w:eastAsia="Times New Roman"/>
        </w:rPr>
        <w:t xml:space="preserve"> Part 161 of Schedule 2</w:t>
      </w:r>
      <w:r w:rsidR="00DF514A">
        <w:rPr>
          <w:rFonts w:eastAsia="Times New Roman"/>
        </w:rPr>
        <w:t xml:space="preserve"> to the Migration Regulations. </w:t>
      </w:r>
      <w:r w:rsidRPr="00E05D5A">
        <w:rPr>
          <w:rFonts w:eastAsia="Times New Roman"/>
        </w:rPr>
        <w:t>Part 161 of Schedule 2 provided the criteria</w:t>
      </w:r>
      <w:r w:rsidR="00430275" w:rsidRPr="00E05D5A">
        <w:rPr>
          <w:rFonts w:eastAsia="Times New Roman"/>
        </w:rPr>
        <w:t xml:space="preserve"> and other requirements</w:t>
      </w:r>
      <w:r w:rsidRPr="00E05D5A">
        <w:rPr>
          <w:rFonts w:eastAsia="Times New Roman"/>
        </w:rPr>
        <w:t xml:space="preserve"> for the grant of a Subclass 161 (Senior Executive (Provisional)) visa that was a visa of Class UR</w:t>
      </w:r>
      <w:r w:rsidR="00430275" w:rsidRPr="00E05D5A">
        <w:rPr>
          <w:rFonts w:eastAsia="Times New Roman"/>
        </w:rPr>
        <w:t xml:space="preserve">, </w:t>
      </w:r>
      <w:r w:rsidRPr="00E05D5A">
        <w:rPr>
          <w:rFonts w:eastAsia="Times New Roman"/>
        </w:rPr>
        <w:t xml:space="preserve">which </w:t>
      </w:r>
      <w:r w:rsidR="00430275" w:rsidRPr="00E05D5A">
        <w:rPr>
          <w:rFonts w:eastAsia="Times New Roman"/>
        </w:rPr>
        <w:t>is</w:t>
      </w:r>
      <w:r w:rsidRPr="00E05D5A">
        <w:rPr>
          <w:rFonts w:eastAsia="Times New Roman"/>
        </w:rPr>
        <w:t xml:space="preserve"> repealed by paragraph (c) above.</w:t>
      </w:r>
    </w:p>
    <w:p w14:paraId="0FD5296E" w14:textId="02BDC4B0" w:rsidR="001A7DB5" w:rsidRPr="00E05D5A" w:rsidRDefault="001A7DB5" w:rsidP="00E05D5A">
      <w:pPr>
        <w:spacing w:after="240" w:line="276" w:lineRule="auto"/>
        <w:rPr>
          <w:rFonts w:eastAsia="Times New Roman"/>
        </w:rPr>
      </w:pPr>
      <w:r w:rsidRPr="00E05D5A">
        <w:rPr>
          <w:rFonts w:eastAsia="Times New Roman"/>
        </w:rPr>
        <w:t xml:space="preserve">Paragraph (i) </w:t>
      </w:r>
      <w:r w:rsidR="00430275" w:rsidRPr="00E05D5A">
        <w:rPr>
          <w:rFonts w:eastAsia="Times New Roman"/>
        </w:rPr>
        <w:t>repeals</w:t>
      </w:r>
      <w:r w:rsidRPr="00E05D5A">
        <w:rPr>
          <w:rFonts w:eastAsia="Times New Roman"/>
        </w:rPr>
        <w:t xml:space="preserve"> Part 162 of Schedule 2 to the Migration Regulations. Part 162 of Schedule 2 provided the criteria</w:t>
      </w:r>
      <w:r w:rsidR="00430275" w:rsidRPr="00E05D5A">
        <w:rPr>
          <w:rFonts w:eastAsia="Times New Roman"/>
        </w:rPr>
        <w:t xml:space="preserve"> and other requirements</w:t>
      </w:r>
      <w:r w:rsidRPr="00E05D5A">
        <w:rPr>
          <w:rFonts w:eastAsia="Times New Roman"/>
        </w:rPr>
        <w:t xml:space="preserve"> for the grant of a Subclass 162 (Investor (Provisional)) visa that was a visa of Class UR</w:t>
      </w:r>
      <w:r w:rsidR="00430275" w:rsidRPr="00E05D5A">
        <w:rPr>
          <w:rFonts w:eastAsia="Times New Roman"/>
        </w:rPr>
        <w:t xml:space="preserve">, </w:t>
      </w:r>
      <w:r w:rsidRPr="00E05D5A">
        <w:rPr>
          <w:rFonts w:eastAsia="Times New Roman"/>
        </w:rPr>
        <w:t xml:space="preserve">which </w:t>
      </w:r>
      <w:r w:rsidR="00430275" w:rsidRPr="00E05D5A">
        <w:rPr>
          <w:rFonts w:eastAsia="Times New Roman"/>
        </w:rPr>
        <w:t>is</w:t>
      </w:r>
      <w:r w:rsidRPr="00E05D5A">
        <w:rPr>
          <w:rFonts w:eastAsia="Times New Roman"/>
        </w:rPr>
        <w:t xml:space="preserve"> repealed by paragraph (c) above.</w:t>
      </w:r>
    </w:p>
    <w:p w14:paraId="7FA30898" w14:textId="3A3FE2E2" w:rsidR="001A7DB5" w:rsidRPr="00E05D5A" w:rsidRDefault="001A7DB5" w:rsidP="00E05D5A">
      <w:pPr>
        <w:spacing w:after="240" w:line="276" w:lineRule="auto"/>
        <w:rPr>
          <w:rFonts w:eastAsia="Times New Roman"/>
        </w:rPr>
      </w:pPr>
      <w:r w:rsidRPr="00E05D5A">
        <w:rPr>
          <w:rFonts w:eastAsia="Times New Roman"/>
        </w:rPr>
        <w:t xml:space="preserve">Paragraph (j) </w:t>
      </w:r>
      <w:r w:rsidR="00430275" w:rsidRPr="00E05D5A">
        <w:rPr>
          <w:rFonts w:eastAsia="Times New Roman"/>
        </w:rPr>
        <w:t>repeals</w:t>
      </w:r>
      <w:r w:rsidRPr="00E05D5A">
        <w:rPr>
          <w:rFonts w:eastAsia="Times New Roman"/>
        </w:rPr>
        <w:t xml:space="preserve"> Part 163 of Schedule 2 to the Migration Regulations. Part 163 of Schedule 2 provided the criteria</w:t>
      </w:r>
      <w:r w:rsidR="00430275" w:rsidRPr="00E05D5A">
        <w:rPr>
          <w:rFonts w:eastAsia="Times New Roman"/>
        </w:rPr>
        <w:t xml:space="preserve"> and other requirements</w:t>
      </w:r>
      <w:r w:rsidRPr="00E05D5A">
        <w:rPr>
          <w:rFonts w:eastAsia="Times New Roman"/>
        </w:rPr>
        <w:t xml:space="preserve"> for the grant of a Subclass 163 (State/Territory Sponsored Business Owner (Provisional)) visa that was a visa of Class UR</w:t>
      </w:r>
      <w:r w:rsidR="00430275" w:rsidRPr="00E05D5A">
        <w:rPr>
          <w:rFonts w:eastAsia="Times New Roman"/>
        </w:rPr>
        <w:t xml:space="preserve">, </w:t>
      </w:r>
      <w:r w:rsidRPr="00E05D5A">
        <w:rPr>
          <w:rFonts w:eastAsia="Times New Roman"/>
        </w:rPr>
        <w:t xml:space="preserve">which </w:t>
      </w:r>
      <w:r w:rsidR="00430275" w:rsidRPr="00E05D5A">
        <w:rPr>
          <w:rFonts w:eastAsia="Times New Roman"/>
        </w:rPr>
        <w:t>is</w:t>
      </w:r>
      <w:r w:rsidRPr="00E05D5A">
        <w:rPr>
          <w:rFonts w:eastAsia="Times New Roman"/>
        </w:rPr>
        <w:t xml:space="preserve"> repealed by paragraph (c) above.</w:t>
      </w:r>
    </w:p>
    <w:p w14:paraId="2C8DB2CB" w14:textId="3B59ECC8" w:rsidR="001A7DB5" w:rsidRPr="00E05D5A" w:rsidRDefault="001A7DB5" w:rsidP="00E05D5A">
      <w:pPr>
        <w:spacing w:after="240" w:line="276" w:lineRule="auto"/>
        <w:rPr>
          <w:rFonts w:eastAsia="Times New Roman"/>
        </w:rPr>
      </w:pPr>
      <w:r w:rsidRPr="00E05D5A">
        <w:rPr>
          <w:rFonts w:eastAsia="Times New Roman"/>
        </w:rPr>
        <w:t xml:space="preserve">Paragraph (k) </w:t>
      </w:r>
      <w:r w:rsidR="00430275" w:rsidRPr="00E05D5A">
        <w:rPr>
          <w:rFonts w:eastAsia="Times New Roman"/>
        </w:rPr>
        <w:t>repeals</w:t>
      </w:r>
      <w:r w:rsidRPr="00E05D5A">
        <w:rPr>
          <w:rFonts w:eastAsia="Times New Roman"/>
        </w:rPr>
        <w:t xml:space="preserve"> Part 164 of Schedule 2 to the Migration Regulations. Part 164 of Schedule 2 provided the criteria</w:t>
      </w:r>
      <w:r w:rsidR="00430275" w:rsidRPr="00E05D5A">
        <w:rPr>
          <w:rFonts w:eastAsia="Times New Roman"/>
        </w:rPr>
        <w:t xml:space="preserve"> and other requirements</w:t>
      </w:r>
      <w:r w:rsidRPr="00E05D5A">
        <w:rPr>
          <w:rFonts w:eastAsia="Times New Roman"/>
        </w:rPr>
        <w:t xml:space="preserve"> for the grant of a Subclass 164 (State/Territory Sponsored Senior Executive (Provisional)) that was a visa of Class UR</w:t>
      </w:r>
      <w:r w:rsidR="00430275" w:rsidRPr="00E05D5A">
        <w:rPr>
          <w:rFonts w:eastAsia="Times New Roman"/>
        </w:rPr>
        <w:t xml:space="preserve">, </w:t>
      </w:r>
      <w:r w:rsidRPr="00E05D5A">
        <w:rPr>
          <w:rFonts w:eastAsia="Times New Roman"/>
        </w:rPr>
        <w:t xml:space="preserve">which </w:t>
      </w:r>
      <w:r w:rsidR="00430275" w:rsidRPr="00E05D5A">
        <w:rPr>
          <w:rFonts w:eastAsia="Times New Roman"/>
        </w:rPr>
        <w:t>is</w:t>
      </w:r>
      <w:r w:rsidRPr="00E05D5A">
        <w:rPr>
          <w:rFonts w:eastAsia="Times New Roman"/>
        </w:rPr>
        <w:t xml:space="preserve"> repealed by paragraph (c) above.</w:t>
      </w:r>
    </w:p>
    <w:p w14:paraId="5310EE16" w14:textId="51F34CF3" w:rsidR="001A7DB5" w:rsidRPr="00E05D5A" w:rsidRDefault="001A7DB5" w:rsidP="00E05D5A">
      <w:pPr>
        <w:spacing w:after="240" w:line="276" w:lineRule="auto"/>
        <w:rPr>
          <w:rFonts w:eastAsia="Times New Roman"/>
        </w:rPr>
      </w:pPr>
      <w:r w:rsidRPr="00E05D5A">
        <w:rPr>
          <w:rFonts w:eastAsia="Times New Roman"/>
        </w:rPr>
        <w:lastRenderedPageBreak/>
        <w:t xml:space="preserve">Paragraph (l) </w:t>
      </w:r>
      <w:r w:rsidR="00430275" w:rsidRPr="00E05D5A">
        <w:rPr>
          <w:rFonts w:eastAsia="Times New Roman"/>
        </w:rPr>
        <w:t>repeals</w:t>
      </w:r>
      <w:r w:rsidRPr="00E05D5A">
        <w:rPr>
          <w:rFonts w:eastAsia="Times New Roman"/>
        </w:rPr>
        <w:t xml:space="preserve"> Part 165 of Schedule 2 to the Migration Regulations. Part 165 of Schedule 2 provided the criteria</w:t>
      </w:r>
      <w:r w:rsidR="00430275" w:rsidRPr="00E05D5A">
        <w:rPr>
          <w:rFonts w:eastAsia="Times New Roman"/>
        </w:rPr>
        <w:t xml:space="preserve"> and other requirements</w:t>
      </w:r>
      <w:r w:rsidRPr="00E05D5A">
        <w:rPr>
          <w:rFonts w:eastAsia="Times New Roman"/>
        </w:rPr>
        <w:t xml:space="preserve"> for the grant of a Subclass 165 (State/Territory Sponsored Investor (Provisional)) visa that was a visa of Class UR</w:t>
      </w:r>
      <w:r w:rsidR="00430275" w:rsidRPr="00E05D5A">
        <w:rPr>
          <w:rFonts w:eastAsia="Times New Roman"/>
        </w:rPr>
        <w:t xml:space="preserve">, which is </w:t>
      </w:r>
      <w:r w:rsidRPr="00E05D5A">
        <w:rPr>
          <w:rFonts w:eastAsia="Times New Roman"/>
        </w:rPr>
        <w:t>repealed by paragraph (c) above.</w:t>
      </w:r>
    </w:p>
    <w:p w14:paraId="4B8AA1C0" w14:textId="16B63BE2" w:rsidR="001A7DB5" w:rsidRPr="00E05D5A" w:rsidRDefault="001A7DB5" w:rsidP="00E05D5A">
      <w:pPr>
        <w:spacing w:after="240" w:line="276" w:lineRule="auto"/>
        <w:rPr>
          <w:rFonts w:eastAsia="Times New Roman"/>
        </w:rPr>
      </w:pPr>
      <w:r w:rsidRPr="00E05D5A">
        <w:rPr>
          <w:rFonts w:eastAsia="Times New Roman"/>
        </w:rPr>
        <w:t xml:space="preserve">Paragraph (m) </w:t>
      </w:r>
      <w:r w:rsidR="00430275" w:rsidRPr="00E05D5A">
        <w:rPr>
          <w:rFonts w:eastAsia="Times New Roman"/>
        </w:rPr>
        <w:t>repeals</w:t>
      </w:r>
      <w:r w:rsidRPr="00E05D5A">
        <w:rPr>
          <w:rFonts w:eastAsia="Times New Roman"/>
        </w:rPr>
        <w:t xml:space="preserve"> Part 676 of Schedule 2 to the Migration Regulations. Part 676 of Schedule 2 provided the criteria</w:t>
      </w:r>
      <w:r w:rsidR="00430275" w:rsidRPr="00E05D5A">
        <w:rPr>
          <w:rFonts w:eastAsia="Times New Roman"/>
        </w:rPr>
        <w:t xml:space="preserve"> and other requirements</w:t>
      </w:r>
      <w:r w:rsidRPr="00E05D5A">
        <w:rPr>
          <w:rFonts w:eastAsia="Times New Roman"/>
        </w:rPr>
        <w:t xml:space="preserve"> for the grant of a Subclass 676 (Tourist)) visa that was a visa of Class TR</w:t>
      </w:r>
      <w:r w:rsidR="00430275" w:rsidRPr="00E05D5A">
        <w:rPr>
          <w:rFonts w:eastAsia="Times New Roman"/>
        </w:rPr>
        <w:t>, which is</w:t>
      </w:r>
      <w:r w:rsidRPr="00E05D5A">
        <w:rPr>
          <w:rFonts w:eastAsia="Times New Roman"/>
        </w:rPr>
        <w:t xml:space="preserve"> repealed by paragraph (e) above.</w:t>
      </w:r>
    </w:p>
    <w:p w14:paraId="206C21D6" w14:textId="47047A38" w:rsidR="001A7DB5" w:rsidRPr="00E05D5A" w:rsidRDefault="001A7DB5" w:rsidP="00E05D5A">
      <w:pPr>
        <w:spacing w:after="240" w:line="276" w:lineRule="auto"/>
        <w:rPr>
          <w:rFonts w:eastAsia="Times New Roman"/>
        </w:rPr>
      </w:pPr>
      <w:r w:rsidRPr="00E05D5A">
        <w:rPr>
          <w:rFonts w:eastAsia="Times New Roman"/>
        </w:rPr>
        <w:t>Paragraph (n)</w:t>
      </w:r>
      <w:r w:rsidR="00B564A7" w:rsidRPr="00E05D5A">
        <w:rPr>
          <w:rFonts w:eastAsia="Times New Roman"/>
        </w:rPr>
        <w:t xml:space="preserve"> repeals</w:t>
      </w:r>
      <w:r w:rsidRPr="00E05D5A">
        <w:rPr>
          <w:rFonts w:eastAsia="Times New Roman"/>
        </w:rPr>
        <w:t xml:space="preserve"> Part 808 of Schedule 2 to the Migration Regulations. Part 808 of Schedule 2 provided the criteria</w:t>
      </w:r>
      <w:r w:rsidR="00B564A7" w:rsidRPr="00E05D5A">
        <w:rPr>
          <w:rFonts w:eastAsia="Times New Roman"/>
        </w:rPr>
        <w:t xml:space="preserve"> and other requirements</w:t>
      </w:r>
      <w:r w:rsidRPr="00E05D5A">
        <w:rPr>
          <w:rFonts w:eastAsia="Times New Roman"/>
        </w:rPr>
        <w:t xml:space="preserve"> for the grant of a Subclass 808 (Confirmatory (Residence)) visa that was a visa of Class AK</w:t>
      </w:r>
      <w:r w:rsidR="00B564A7" w:rsidRPr="00E05D5A">
        <w:rPr>
          <w:rFonts w:eastAsia="Times New Roman"/>
        </w:rPr>
        <w:t>, which is</w:t>
      </w:r>
      <w:r w:rsidRPr="00E05D5A">
        <w:rPr>
          <w:rFonts w:eastAsia="Times New Roman"/>
        </w:rPr>
        <w:t xml:space="preserve"> repealed by paragraph (b) above.</w:t>
      </w:r>
    </w:p>
    <w:p w14:paraId="6F5AD579" w14:textId="545B028A" w:rsidR="001A7DB5" w:rsidRPr="00E05D5A" w:rsidRDefault="001A7DB5" w:rsidP="00E05D5A">
      <w:pPr>
        <w:spacing w:after="240" w:line="276" w:lineRule="auto"/>
        <w:rPr>
          <w:rFonts w:eastAsia="Times New Roman"/>
        </w:rPr>
      </w:pPr>
      <w:r w:rsidRPr="00E05D5A">
        <w:rPr>
          <w:rFonts w:eastAsia="Times New Roman"/>
        </w:rPr>
        <w:t>Paragraph (o) would repeal Part 890 of Schedule 2 to the Migration Regulations. Part 890 of Schedule 2 provided the criteria</w:t>
      </w:r>
      <w:r w:rsidR="00B564A7" w:rsidRPr="00E05D5A">
        <w:rPr>
          <w:rFonts w:eastAsia="Times New Roman"/>
        </w:rPr>
        <w:t xml:space="preserve"> and other requirements</w:t>
      </w:r>
      <w:r w:rsidRPr="00E05D5A">
        <w:rPr>
          <w:rFonts w:eastAsia="Times New Roman"/>
        </w:rPr>
        <w:t xml:space="preserve"> for the grant of a Subclass 890 (Business Owner) visa that was a visa of Class DF</w:t>
      </w:r>
      <w:r w:rsidR="00B564A7" w:rsidRPr="00E05D5A">
        <w:rPr>
          <w:rFonts w:eastAsia="Times New Roman"/>
        </w:rPr>
        <w:t>, which is</w:t>
      </w:r>
      <w:r w:rsidRPr="00E05D5A">
        <w:rPr>
          <w:rFonts w:eastAsia="Times New Roman"/>
        </w:rPr>
        <w:t xml:space="preserve"> repealed by paragraph (a) above.</w:t>
      </w:r>
    </w:p>
    <w:p w14:paraId="0ABC6EC8" w14:textId="5E666C03" w:rsidR="001A7DB5" w:rsidRPr="00E05D5A" w:rsidRDefault="001A7DB5" w:rsidP="00E05D5A">
      <w:pPr>
        <w:spacing w:after="240" w:line="276" w:lineRule="auto"/>
        <w:rPr>
          <w:rFonts w:eastAsia="Times New Roman"/>
        </w:rPr>
      </w:pPr>
      <w:r w:rsidRPr="00E05D5A">
        <w:rPr>
          <w:rFonts w:eastAsia="Times New Roman"/>
        </w:rPr>
        <w:t xml:space="preserve">Paragraph (p) </w:t>
      </w:r>
      <w:r w:rsidR="00B564A7" w:rsidRPr="00E05D5A">
        <w:rPr>
          <w:rFonts w:eastAsia="Times New Roman"/>
        </w:rPr>
        <w:t>repeals</w:t>
      </w:r>
      <w:r w:rsidRPr="00E05D5A">
        <w:rPr>
          <w:rFonts w:eastAsia="Times New Roman"/>
        </w:rPr>
        <w:t xml:space="preserve"> Part 891 of Schedule 2 to the Migration Regulations. Part 891 of Schedule 2 provided the criteria</w:t>
      </w:r>
      <w:r w:rsidR="00B564A7" w:rsidRPr="00E05D5A">
        <w:rPr>
          <w:rFonts w:eastAsia="Times New Roman"/>
        </w:rPr>
        <w:t xml:space="preserve"> and other requirements</w:t>
      </w:r>
      <w:r w:rsidRPr="00E05D5A">
        <w:rPr>
          <w:rFonts w:eastAsia="Times New Roman"/>
        </w:rPr>
        <w:t xml:space="preserve"> for the grant of a Subclass 891 (Investor) visa that was a visa of Class DF</w:t>
      </w:r>
      <w:r w:rsidR="00B564A7" w:rsidRPr="00E05D5A">
        <w:rPr>
          <w:rFonts w:eastAsia="Times New Roman"/>
        </w:rPr>
        <w:t>,</w:t>
      </w:r>
      <w:r w:rsidRPr="00E05D5A">
        <w:rPr>
          <w:rFonts w:eastAsia="Times New Roman"/>
        </w:rPr>
        <w:t xml:space="preserve"> which is repealed by paragraph (a) above.</w:t>
      </w:r>
    </w:p>
    <w:p w14:paraId="79F2B0D1" w14:textId="43635102" w:rsidR="001A7DB5" w:rsidRPr="00E05D5A" w:rsidRDefault="001A7DB5" w:rsidP="00E05D5A">
      <w:pPr>
        <w:spacing w:after="240" w:line="276" w:lineRule="auto"/>
        <w:rPr>
          <w:rFonts w:eastAsia="Times New Roman"/>
        </w:rPr>
      </w:pPr>
      <w:r w:rsidRPr="00E05D5A">
        <w:rPr>
          <w:rFonts w:eastAsia="Times New Roman"/>
        </w:rPr>
        <w:t xml:space="preserve">Paragraph (q) </w:t>
      </w:r>
      <w:r w:rsidR="00B564A7" w:rsidRPr="00E05D5A">
        <w:rPr>
          <w:rFonts w:eastAsia="Times New Roman"/>
        </w:rPr>
        <w:t>repeals</w:t>
      </w:r>
      <w:r w:rsidRPr="00E05D5A">
        <w:rPr>
          <w:rFonts w:eastAsia="Times New Roman"/>
        </w:rPr>
        <w:t xml:space="preserve"> Part 892 of Schedule 2 to the Migration Regulations. Part 892 of Schedule 2 provided the criteria</w:t>
      </w:r>
      <w:r w:rsidR="00B564A7" w:rsidRPr="00E05D5A">
        <w:rPr>
          <w:rFonts w:eastAsia="Times New Roman"/>
        </w:rPr>
        <w:t xml:space="preserve"> and other requirements</w:t>
      </w:r>
      <w:r w:rsidRPr="00E05D5A">
        <w:rPr>
          <w:rFonts w:eastAsia="Times New Roman"/>
        </w:rPr>
        <w:t xml:space="preserve"> for the grant of a Subclass 892 State/Territory Sponsored Business Owner) visa that was a visa of Class DF</w:t>
      </w:r>
      <w:r w:rsidR="00B564A7" w:rsidRPr="00E05D5A">
        <w:rPr>
          <w:rFonts w:eastAsia="Times New Roman"/>
        </w:rPr>
        <w:t xml:space="preserve">, which is </w:t>
      </w:r>
      <w:r w:rsidRPr="00E05D5A">
        <w:rPr>
          <w:rFonts w:eastAsia="Times New Roman"/>
        </w:rPr>
        <w:t>repealed by paragraph (a) above.</w:t>
      </w:r>
    </w:p>
    <w:p w14:paraId="6E762AAC" w14:textId="08433C5D" w:rsidR="001A7DB5" w:rsidRPr="00E05D5A" w:rsidRDefault="001A7DB5" w:rsidP="00E05D5A">
      <w:pPr>
        <w:spacing w:after="240" w:line="276" w:lineRule="auto"/>
        <w:rPr>
          <w:rFonts w:eastAsia="Times New Roman"/>
        </w:rPr>
      </w:pPr>
      <w:r w:rsidRPr="00E05D5A">
        <w:rPr>
          <w:rFonts w:eastAsia="Times New Roman"/>
        </w:rPr>
        <w:t xml:space="preserve">Paragraph (r) </w:t>
      </w:r>
      <w:r w:rsidR="00B564A7" w:rsidRPr="00E05D5A">
        <w:rPr>
          <w:rFonts w:eastAsia="Times New Roman"/>
        </w:rPr>
        <w:t>repeals</w:t>
      </w:r>
      <w:r w:rsidRPr="00E05D5A">
        <w:rPr>
          <w:rFonts w:eastAsia="Times New Roman"/>
        </w:rPr>
        <w:t xml:space="preserve"> Part 893 (Subclass 893 (State/Territory Sponsored Investor) of Schedule 2 to the Migration Regulations. Part 893 of Schedule 2 provided the criteria</w:t>
      </w:r>
      <w:r w:rsidR="00B564A7" w:rsidRPr="00E05D5A">
        <w:rPr>
          <w:rFonts w:eastAsia="Times New Roman"/>
        </w:rPr>
        <w:t xml:space="preserve"> and other requirements</w:t>
      </w:r>
      <w:r w:rsidRPr="00E05D5A">
        <w:rPr>
          <w:rFonts w:eastAsia="Times New Roman"/>
        </w:rPr>
        <w:t xml:space="preserve"> for the grant of a Subclass 893 (State/Territory Sponsored Investor) visa that was a visa of Class DF</w:t>
      </w:r>
      <w:r w:rsidR="00B564A7" w:rsidRPr="00E05D5A">
        <w:rPr>
          <w:rFonts w:eastAsia="Times New Roman"/>
        </w:rPr>
        <w:t>, which is</w:t>
      </w:r>
      <w:r w:rsidRPr="00E05D5A">
        <w:rPr>
          <w:rFonts w:eastAsia="Times New Roman"/>
        </w:rPr>
        <w:t xml:space="preserve"> repealed by paragraph (a) above.</w:t>
      </w:r>
    </w:p>
    <w:p w14:paraId="4650064A" w14:textId="77777777" w:rsidR="001A7DB5" w:rsidRPr="007901C0" w:rsidRDefault="001A7DB5" w:rsidP="00B74231">
      <w:pPr>
        <w:pStyle w:val="EMitemheader"/>
        <w:spacing w:line="276" w:lineRule="auto"/>
      </w:pPr>
      <w:r w:rsidRPr="007901C0">
        <w:t>Part 2 – Technical amendments</w:t>
      </w:r>
    </w:p>
    <w:p w14:paraId="070E1DD4" w14:textId="77777777" w:rsidR="001A7DB5" w:rsidRPr="007901C0" w:rsidRDefault="001A7DB5" w:rsidP="00B74231">
      <w:pPr>
        <w:pStyle w:val="EMitemheader"/>
        <w:spacing w:line="276" w:lineRule="auto"/>
        <w:rPr>
          <w:i/>
        </w:rPr>
      </w:pPr>
      <w:r w:rsidRPr="007901C0">
        <w:rPr>
          <w:i/>
        </w:rPr>
        <w:t>Migration Regulations 1994</w:t>
      </w:r>
    </w:p>
    <w:p w14:paraId="439AF26E" w14:textId="77777777" w:rsidR="001A7DB5" w:rsidRPr="007901C0" w:rsidRDefault="001A7DB5" w:rsidP="00B74231">
      <w:pPr>
        <w:pStyle w:val="EMitemheader"/>
        <w:spacing w:line="276" w:lineRule="auto"/>
      </w:pPr>
      <w:r w:rsidRPr="007901C0">
        <w:t xml:space="preserve">Item [19] – Regulation 1.03 (definition of </w:t>
      </w:r>
      <w:r w:rsidRPr="007901C0">
        <w:rPr>
          <w:i/>
        </w:rPr>
        <w:t>CNI number</w:t>
      </w:r>
      <w:r w:rsidRPr="007901C0">
        <w:t>)</w:t>
      </w:r>
    </w:p>
    <w:p w14:paraId="2A534A71" w14:textId="361034E9" w:rsidR="001A7DB5" w:rsidRPr="007901C0" w:rsidRDefault="001A7DB5" w:rsidP="00B74231">
      <w:pPr>
        <w:pStyle w:val="EMclausenotes"/>
        <w:spacing w:line="276" w:lineRule="auto"/>
      </w:pPr>
      <w:r w:rsidRPr="007901C0">
        <w:rPr>
          <w:rFonts w:eastAsia="Times New Roman"/>
        </w:rPr>
        <w:t xml:space="preserve">This item </w:t>
      </w:r>
      <w:r w:rsidR="00787359">
        <w:rPr>
          <w:rFonts w:eastAsia="Times New Roman"/>
        </w:rPr>
        <w:t>amends</w:t>
      </w:r>
      <w:r w:rsidRPr="007901C0">
        <w:rPr>
          <w:rFonts w:eastAsia="Times New Roman"/>
        </w:rPr>
        <w:t xml:space="preserve"> the definition of </w:t>
      </w:r>
      <w:r w:rsidRPr="007901C0">
        <w:rPr>
          <w:rFonts w:eastAsia="Times New Roman"/>
          <w:i/>
        </w:rPr>
        <w:t>CNI number</w:t>
      </w:r>
      <w:r w:rsidRPr="007901C0">
        <w:rPr>
          <w:rFonts w:eastAsia="Times New Roman"/>
        </w:rPr>
        <w:t xml:space="preserve"> in regulation 1.03 of the Migration Regulations, by omitting the word ‘Crime’ and substituting the words </w:t>
      </w:r>
      <w:r w:rsidRPr="007901C0">
        <w:t xml:space="preserve">“Criminal Intelligence”. </w:t>
      </w:r>
    </w:p>
    <w:p w14:paraId="585B9AC7" w14:textId="67396D13" w:rsidR="001A7DB5" w:rsidRPr="007901C0" w:rsidRDefault="001A7DB5" w:rsidP="00B74231">
      <w:pPr>
        <w:pStyle w:val="EMclausenotes"/>
        <w:spacing w:line="276" w:lineRule="auto"/>
      </w:pPr>
      <w:r w:rsidRPr="007901C0">
        <w:t>The definition refers to a central names index number generated by the National Automated Fingerprint Identification System maintained by or on behalf of the Australian Crime Commission which changed its name in 2016 to the Australian Criminal In</w:t>
      </w:r>
      <w:r w:rsidR="00E05D5A">
        <w:t xml:space="preserve">telligence Commission. </w:t>
      </w:r>
      <w:r w:rsidRPr="007901C0">
        <w:t xml:space="preserve">This amendment updates the name of the relevant agency. </w:t>
      </w:r>
    </w:p>
    <w:p w14:paraId="4D4DBA4E" w14:textId="77777777" w:rsidR="001A7DB5" w:rsidRPr="007901C0" w:rsidRDefault="001A7DB5" w:rsidP="00B74231">
      <w:pPr>
        <w:pStyle w:val="EMitemheader"/>
        <w:spacing w:line="276" w:lineRule="auto"/>
      </w:pPr>
      <w:r w:rsidRPr="007901C0">
        <w:lastRenderedPageBreak/>
        <w:t xml:space="preserve">Item [20] – Regulation 1.03 (definition of </w:t>
      </w:r>
      <w:r w:rsidRPr="007901C0">
        <w:rPr>
          <w:i/>
        </w:rPr>
        <w:t>member of the Royal family</w:t>
      </w:r>
      <w:r w:rsidRPr="007901C0">
        <w:t>)</w:t>
      </w:r>
    </w:p>
    <w:p w14:paraId="39F11F66" w14:textId="77777777" w:rsidR="001A7DB5" w:rsidRPr="007901C0" w:rsidRDefault="001A7DB5" w:rsidP="00B74231">
      <w:pPr>
        <w:pStyle w:val="EMitemheader"/>
        <w:spacing w:line="276" w:lineRule="auto"/>
      </w:pPr>
      <w:r w:rsidRPr="007901C0">
        <w:t xml:space="preserve">Item [21] – Regulation 1.03 (paragraph (a) of the definition of </w:t>
      </w:r>
      <w:r w:rsidRPr="007901C0">
        <w:rPr>
          <w:i/>
        </w:rPr>
        <w:t>member of the Royal party</w:t>
      </w:r>
      <w:r w:rsidRPr="007901C0">
        <w:t>)</w:t>
      </w:r>
    </w:p>
    <w:p w14:paraId="724E5675" w14:textId="77777777" w:rsidR="001A7DB5" w:rsidRPr="007901C0" w:rsidRDefault="001A7DB5" w:rsidP="00B74231">
      <w:pPr>
        <w:pStyle w:val="EMitemheader"/>
        <w:spacing w:line="276" w:lineRule="auto"/>
      </w:pPr>
      <w:r w:rsidRPr="007901C0">
        <w:t xml:space="preserve">Item [22] – Regulation 1.03 (paragraphs (c) and (d) of the definition of </w:t>
      </w:r>
      <w:r w:rsidRPr="007901C0">
        <w:rPr>
          <w:i/>
        </w:rPr>
        <w:t>member of the Royal party</w:t>
      </w:r>
      <w:r w:rsidRPr="007901C0">
        <w:t>)</w:t>
      </w:r>
    </w:p>
    <w:p w14:paraId="4257AE81" w14:textId="162EE138" w:rsidR="001A7DB5" w:rsidRPr="007901C0" w:rsidRDefault="001A7DB5" w:rsidP="00B74231">
      <w:pPr>
        <w:pStyle w:val="EMclausenotes"/>
        <w:spacing w:line="276" w:lineRule="auto"/>
        <w:rPr>
          <w:rFonts w:eastAsia="Times New Roman"/>
        </w:rPr>
      </w:pPr>
      <w:r w:rsidRPr="007901C0">
        <w:rPr>
          <w:rFonts w:eastAsia="Times New Roman"/>
        </w:rPr>
        <w:t xml:space="preserve">Items 20, 21 and 22 </w:t>
      </w:r>
      <w:r w:rsidR="00787359">
        <w:rPr>
          <w:rFonts w:eastAsia="Times New Roman"/>
        </w:rPr>
        <w:t>amend</w:t>
      </w:r>
      <w:r w:rsidRPr="007901C0">
        <w:rPr>
          <w:rFonts w:eastAsia="Times New Roman"/>
        </w:rPr>
        <w:t xml:space="preserve"> three definitions in regulation 1.03 of the Migration Regulations, all of which previously referred to ‘the Queen’ in recognition of Her Majesty Queen Elizabeth II. The amendments change these references to the non-gender specific term ‘Sovereign’, to update the references to the reigning Sovereign and ensure consistency across Australia's legislative framework.</w:t>
      </w:r>
    </w:p>
    <w:p w14:paraId="38CE6933" w14:textId="77777777" w:rsidR="001A7DB5" w:rsidRPr="007901C0" w:rsidRDefault="001A7DB5" w:rsidP="00B74231">
      <w:pPr>
        <w:pStyle w:val="EMitemheader"/>
        <w:spacing w:line="276" w:lineRule="auto"/>
      </w:pPr>
      <w:r w:rsidRPr="007901C0">
        <w:t xml:space="preserve">Item [23] – Regulation 1.03 (definitions of </w:t>
      </w:r>
      <w:r w:rsidRPr="007901C0">
        <w:rPr>
          <w:i/>
        </w:rPr>
        <w:t xml:space="preserve">permanent entry permit </w:t>
      </w:r>
      <w:r w:rsidRPr="007901C0">
        <w:t xml:space="preserve">and </w:t>
      </w:r>
      <w:r w:rsidRPr="007901C0">
        <w:rPr>
          <w:i/>
        </w:rPr>
        <w:t>permanent entry visa</w:t>
      </w:r>
      <w:r w:rsidRPr="007901C0">
        <w:t>)</w:t>
      </w:r>
    </w:p>
    <w:p w14:paraId="61A6974D" w14:textId="3B90F8B3" w:rsidR="001A7DB5" w:rsidRPr="007901C0" w:rsidRDefault="001A7DB5" w:rsidP="00B74231">
      <w:pPr>
        <w:pStyle w:val="EMclausenotes"/>
        <w:spacing w:line="276" w:lineRule="auto"/>
        <w:rPr>
          <w:rFonts w:cstheme="minorHAnsi"/>
        </w:rPr>
      </w:pPr>
      <w:r w:rsidRPr="007901C0">
        <w:rPr>
          <w:rFonts w:eastAsia="Times New Roman"/>
        </w:rPr>
        <w:t xml:space="preserve">This item </w:t>
      </w:r>
      <w:r w:rsidR="00787359">
        <w:rPr>
          <w:rFonts w:eastAsia="Times New Roman"/>
        </w:rPr>
        <w:t>amends</w:t>
      </w:r>
      <w:r w:rsidRPr="007901C0">
        <w:rPr>
          <w:rFonts w:eastAsia="Times New Roman"/>
        </w:rPr>
        <w:t xml:space="preserve"> regulation 1.03 of the Migration Regulations to repeal the definitions of </w:t>
      </w:r>
      <w:r w:rsidRPr="007901C0">
        <w:rPr>
          <w:i/>
        </w:rPr>
        <w:t>permanent entry permit</w:t>
      </w:r>
      <w:r w:rsidRPr="007901C0">
        <w:t xml:space="preserve"> and </w:t>
      </w:r>
      <w:r w:rsidRPr="007901C0">
        <w:rPr>
          <w:i/>
        </w:rPr>
        <w:t>permanent entry visa.</w:t>
      </w:r>
      <w:r w:rsidRPr="007901C0">
        <w:rPr>
          <w:b/>
          <w:i/>
        </w:rPr>
        <w:t xml:space="preserve"> </w:t>
      </w:r>
      <w:r w:rsidRPr="007901C0">
        <w:t>P</w:t>
      </w:r>
      <w:r w:rsidRPr="007901C0">
        <w:rPr>
          <w:rFonts w:cstheme="minorHAnsi"/>
        </w:rPr>
        <w:t>ermanent entry permits and permanent entry visas have not been granted since the reform of the visa framework on 1</w:t>
      </w:r>
      <w:r w:rsidR="00E05D5A">
        <w:rPr>
          <w:rFonts w:cstheme="minorHAnsi"/>
        </w:rPr>
        <w:t> </w:t>
      </w:r>
      <w:r w:rsidRPr="007901C0">
        <w:rPr>
          <w:rFonts w:cstheme="minorHAnsi"/>
        </w:rPr>
        <w:t>September</w:t>
      </w:r>
      <w:r w:rsidR="00E05D5A">
        <w:rPr>
          <w:rFonts w:cstheme="minorHAnsi"/>
        </w:rPr>
        <w:t> </w:t>
      </w:r>
      <w:r w:rsidRPr="007901C0">
        <w:rPr>
          <w:rFonts w:cstheme="minorHAnsi"/>
        </w:rPr>
        <w:t xml:space="preserve">1994, when existing permanent entry permits and permanent entry visas were converted into permanent visas by transitional arrangements under the </w:t>
      </w:r>
      <w:r w:rsidR="00E05D5A">
        <w:rPr>
          <w:rFonts w:cstheme="minorHAnsi"/>
        </w:rPr>
        <w:t xml:space="preserve">current Migration Regulations. </w:t>
      </w:r>
      <w:r w:rsidRPr="007901C0">
        <w:rPr>
          <w:rFonts w:cstheme="minorHAnsi"/>
        </w:rPr>
        <w:t>The definitions are therefore now redundant.</w:t>
      </w:r>
    </w:p>
    <w:p w14:paraId="4F0753A4" w14:textId="77777777" w:rsidR="001A7DB5" w:rsidRPr="007901C0" w:rsidRDefault="001A7DB5" w:rsidP="00B74231">
      <w:pPr>
        <w:pStyle w:val="EMitemheader"/>
        <w:spacing w:line="276" w:lineRule="auto"/>
      </w:pPr>
      <w:r w:rsidRPr="007901C0">
        <w:t xml:space="preserve">Item [24] – Regulation 1.03 (note to the definition of </w:t>
      </w:r>
      <w:r w:rsidRPr="007901C0">
        <w:rPr>
          <w:i/>
        </w:rPr>
        <w:t>registered course</w:t>
      </w:r>
      <w:r w:rsidRPr="007901C0">
        <w:t>)</w:t>
      </w:r>
    </w:p>
    <w:p w14:paraId="67209F48" w14:textId="65EC1E6D" w:rsidR="001A7DB5" w:rsidRDefault="001A7DB5" w:rsidP="00B74231">
      <w:pPr>
        <w:pStyle w:val="EMclausenotes"/>
        <w:spacing w:line="276" w:lineRule="auto"/>
        <w:rPr>
          <w:rFonts w:eastAsia="Times New Roman"/>
        </w:rPr>
      </w:pPr>
      <w:r w:rsidRPr="007901C0">
        <w:rPr>
          <w:rFonts w:eastAsia="Times New Roman"/>
        </w:rPr>
        <w:t xml:space="preserve">This item </w:t>
      </w:r>
      <w:r w:rsidR="004418A7">
        <w:rPr>
          <w:rFonts w:eastAsia="Times New Roman"/>
        </w:rPr>
        <w:t>amends</w:t>
      </w:r>
      <w:r w:rsidRPr="007901C0">
        <w:rPr>
          <w:rFonts w:eastAsia="Times New Roman"/>
        </w:rPr>
        <w:t xml:space="preserve"> the </w:t>
      </w:r>
      <w:r w:rsidR="00E05D5A">
        <w:rPr>
          <w:rFonts w:eastAsia="Times New Roman"/>
        </w:rPr>
        <w:t xml:space="preserve">note under the </w:t>
      </w:r>
      <w:r w:rsidRPr="007901C0">
        <w:rPr>
          <w:rFonts w:eastAsia="Times New Roman"/>
        </w:rPr>
        <w:t xml:space="preserve">definition of </w:t>
      </w:r>
      <w:r w:rsidRPr="007901C0">
        <w:rPr>
          <w:rFonts w:eastAsia="Times New Roman"/>
          <w:i/>
        </w:rPr>
        <w:t>registered course</w:t>
      </w:r>
      <w:r w:rsidRPr="007901C0">
        <w:rPr>
          <w:rFonts w:eastAsia="Times New Roman"/>
        </w:rPr>
        <w:t xml:space="preserve"> in regulation 1.03 of the Migration Regulations by omitting the reference to section 10 of the </w:t>
      </w:r>
      <w:r w:rsidRPr="007901C0">
        <w:rPr>
          <w:rFonts w:eastAsia="Times New Roman"/>
          <w:i/>
          <w:iCs/>
        </w:rPr>
        <w:t>Education Services for Overseas Students Act 2000</w:t>
      </w:r>
      <w:r w:rsidRPr="007901C0">
        <w:rPr>
          <w:rFonts w:eastAsia="Times New Roman"/>
        </w:rPr>
        <w:t xml:space="preserve"> </w:t>
      </w:r>
      <w:r w:rsidR="00E05D5A">
        <w:rPr>
          <w:rFonts w:eastAsia="Times New Roman"/>
        </w:rPr>
        <w:t xml:space="preserve">(ESOS Act) </w:t>
      </w:r>
      <w:r w:rsidRPr="007901C0">
        <w:rPr>
          <w:rFonts w:eastAsia="Times New Roman"/>
        </w:rPr>
        <w:t xml:space="preserve">and substituting a reference to section 14A. In 2012, the </w:t>
      </w:r>
      <w:r w:rsidRPr="007901C0">
        <w:rPr>
          <w:rFonts w:eastAsia="Times New Roman"/>
          <w:i/>
          <w:iCs/>
        </w:rPr>
        <w:t xml:space="preserve">Education Services for Overseas Students Legislation Amendment (Tuition Protection Service and Other Measures) Act 2012 </w:t>
      </w:r>
      <w:r w:rsidRPr="007901C0">
        <w:rPr>
          <w:rFonts w:eastAsia="Times New Roman"/>
        </w:rPr>
        <w:t xml:space="preserve">repealed section 10 and inserted a new Division 4. As a consequence, the list of registered courses appearing in the Commonwealth Register of Institutions and Courses for Overseas Students is now kept under section 14A of the </w:t>
      </w:r>
      <w:r w:rsidRPr="007901C0">
        <w:rPr>
          <w:rFonts w:eastAsia="Times New Roman"/>
          <w:i/>
          <w:iCs/>
        </w:rPr>
        <w:t>Education Services for Overseas Students Act 2000</w:t>
      </w:r>
      <w:r w:rsidRPr="007901C0">
        <w:rPr>
          <w:rFonts w:eastAsia="Times New Roman"/>
        </w:rPr>
        <w:t xml:space="preserve">. </w:t>
      </w:r>
      <w:r w:rsidR="00E05D5A">
        <w:rPr>
          <w:rFonts w:eastAsia="Times New Roman"/>
        </w:rPr>
        <w:t>While this amendment does not affect the substantive definition of registered course, it ensures the note draws the reader’s attention to the current relevant provision of the ESOS Act.</w:t>
      </w:r>
    </w:p>
    <w:p w14:paraId="698B6BCA" w14:textId="77777777" w:rsidR="001A7DB5" w:rsidRDefault="001A7DB5" w:rsidP="00B74231">
      <w:pPr>
        <w:pStyle w:val="EMclausenotes"/>
        <w:spacing w:line="276" w:lineRule="auto"/>
        <w:rPr>
          <w:rFonts w:eastAsia="Times New Roman"/>
        </w:rPr>
      </w:pPr>
      <w:r>
        <w:rPr>
          <w:rFonts w:eastAsia="Times New Roman"/>
          <w:b/>
        </w:rPr>
        <w:t>Item [25] – Subparagraph 2.15(1)(b)(ii)</w:t>
      </w:r>
    </w:p>
    <w:p w14:paraId="24B30E09" w14:textId="410F1646" w:rsidR="001A7DB5" w:rsidRPr="007901C0" w:rsidRDefault="001A7DB5" w:rsidP="00B74231">
      <w:pPr>
        <w:pStyle w:val="EMclausenotes"/>
        <w:spacing w:line="276" w:lineRule="auto"/>
        <w:rPr>
          <w:rFonts w:eastAsia="Times New Roman"/>
        </w:rPr>
      </w:pPr>
      <w:r>
        <w:rPr>
          <w:rFonts w:eastAsia="Times New Roman"/>
        </w:rPr>
        <w:t xml:space="preserve">This item </w:t>
      </w:r>
      <w:r w:rsidR="004418A7">
        <w:rPr>
          <w:rFonts w:eastAsia="Times New Roman"/>
        </w:rPr>
        <w:t>amends</w:t>
      </w:r>
      <w:r>
        <w:rPr>
          <w:rFonts w:eastAsia="Times New Roman"/>
        </w:rPr>
        <w:t xml:space="preserve"> subparagraph 2.15(1)(b)(ii) to correct a reference to subparagraphs (i) and (ia).</w:t>
      </w:r>
      <w:r w:rsidRPr="007901C0">
        <w:rPr>
          <w:rFonts w:eastAsia="Times New Roman"/>
        </w:rPr>
        <w:t xml:space="preserve"> </w:t>
      </w:r>
    </w:p>
    <w:p w14:paraId="042E2718" w14:textId="77777777" w:rsidR="001A7DB5" w:rsidRPr="007901C0" w:rsidRDefault="001A7DB5" w:rsidP="00B74231">
      <w:pPr>
        <w:pStyle w:val="EMitemheader"/>
        <w:spacing w:line="276" w:lineRule="auto"/>
        <w:rPr>
          <w:rFonts w:eastAsia="Times New Roman"/>
        </w:rPr>
      </w:pPr>
      <w:r w:rsidRPr="007901C0">
        <w:rPr>
          <w:rFonts w:eastAsia="Times New Roman"/>
        </w:rPr>
        <w:t>Item [2</w:t>
      </w:r>
      <w:r>
        <w:rPr>
          <w:rFonts w:eastAsia="Times New Roman"/>
        </w:rPr>
        <w:t>6</w:t>
      </w:r>
      <w:r w:rsidRPr="007901C0">
        <w:rPr>
          <w:rFonts w:eastAsia="Times New Roman"/>
        </w:rPr>
        <w:t>] – Paragraph 2.57A(4)(b)</w:t>
      </w:r>
    </w:p>
    <w:p w14:paraId="799E838E" w14:textId="012703F0" w:rsidR="001A7DB5" w:rsidRPr="007901C0" w:rsidRDefault="001A7DB5" w:rsidP="00B74231">
      <w:pPr>
        <w:pStyle w:val="EMclausenotes"/>
        <w:spacing w:line="276" w:lineRule="auto"/>
      </w:pPr>
      <w:r w:rsidRPr="007901C0">
        <w:rPr>
          <w:rFonts w:eastAsia="Times New Roman"/>
        </w:rPr>
        <w:t xml:space="preserve">This item </w:t>
      </w:r>
      <w:r w:rsidR="004418A7">
        <w:rPr>
          <w:rFonts w:eastAsia="Times New Roman"/>
        </w:rPr>
        <w:t>amends</w:t>
      </w:r>
      <w:r w:rsidRPr="007901C0">
        <w:rPr>
          <w:rFonts w:eastAsia="Times New Roman"/>
        </w:rPr>
        <w:t xml:space="preserve"> paragraph 2.57A(4)(b) of the Migration Regulations by omitting a reference to 292-175 of the </w:t>
      </w:r>
      <w:r w:rsidRPr="007901C0">
        <w:rPr>
          <w:rFonts w:eastAsia="Times New Roman"/>
          <w:i/>
        </w:rPr>
        <w:t xml:space="preserve">Income </w:t>
      </w:r>
      <w:r w:rsidR="00350EF6">
        <w:rPr>
          <w:rFonts w:eastAsia="Times New Roman"/>
          <w:i/>
        </w:rPr>
        <w:t>T</w:t>
      </w:r>
      <w:r w:rsidRPr="007901C0">
        <w:rPr>
          <w:rFonts w:eastAsia="Times New Roman"/>
          <w:i/>
        </w:rPr>
        <w:t xml:space="preserve">ax Assessment Act 1997 </w:t>
      </w:r>
      <w:r w:rsidRPr="007901C0">
        <w:rPr>
          <w:rFonts w:eastAsia="Times New Roman"/>
        </w:rPr>
        <w:t>and substituting a reference to section 291-175 of that Act</w:t>
      </w:r>
      <w:r w:rsidRPr="007901C0">
        <w:t>. This updating of the reference is required because section 292-</w:t>
      </w:r>
      <w:r w:rsidRPr="007901C0">
        <w:lastRenderedPageBreak/>
        <w:t xml:space="preserve">175 was repealed by the </w:t>
      </w:r>
      <w:r w:rsidRPr="007901C0">
        <w:rPr>
          <w:i/>
          <w:iCs/>
        </w:rPr>
        <w:t>Tax Laws Amendment (Fairer Taxation of Excess Concessional Contributions) Act 2013</w:t>
      </w:r>
      <w:r w:rsidRPr="007901C0">
        <w:t xml:space="preserve"> and re-made as section 291-175. </w:t>
      </w:r>
    </w:p>
    <w:p w14:paraId="5129D57F" w14:textId="77777777" w:rsidR="001A7DB5" w:rsidRPr="007901C0" w:rsidRDefault="001A7DB5" w:rsidP="00B74231">
      <w:pPr>
        <w:pStyle w:val="EMitemheader"/>
        <w:spacing w:line="276" w:lineRule="auto"/>
      </w:pPr>
      <w:r w:rsidRPr="007901C0">
        <w:t>Item [2</w:t>
      </w:r>
      <w:r>
        <w:t>7</w:t>
      </w:r>
      <w:r w:rsidRPr="007901C0">
        <w:t>] – Regulation 5.34F (heading)</w:t>
      </w:r>
    </w:p>
    <w:p w14:paraId="4CF04D2A" w14:textId="19D49141" w:rsidR="001A7DB5" w:rsidRPr="007901C0" w:rsidRDefault="001A7DB5" w:rsidP="00B74231">
      <w:pPr>
        <w:pStyle w:val="EMclausenotes"/>
        <w:spacing w:line="276" w:lineRule="auto"/>
      </w:pPr>
      <w:r w:rsidRPr="007901C0">
        <w:t xml:space="preserve">This item </w:t>
      </w:r>
      <w:r w:rsidR="004418A7">
        <w:t>amends</w:t>
      </w:r>
      <w:r w:rsidRPr="007901C0">
        <w:t xml:space="preserve"> the heading of regulation 5.34F of the Migration Regulations by </w:t>
      </w:r>
      <w:r>
        <w:t>changing a reference to the</w:t>
      </w:r>
      <w:r w:rsidRPr="007901C0">
        <w:t xml:space="preserve"> </w:t>
      </w:r>
      <w:r>
        <w:t>‘</w:t>
      </w:r>
      <w:r w:rsidRPr="007901C0">
        <w:t>Australian Crime Commission’</w:t>
      </w:r>
      <w:r>
        <w:t xml:space="preserve"> to refer to the ‘Australian Criminal Intelligence Commission’</w:t>
      </w:r>
      <w:r w:rsidRPr="007901C0">
        <w:t xml:space="preserve">. The heading </w:t>
      </w:r>
      <w:r>
        <w:t xml:space="preserve">to regulation 5.34F </w:t>
      </w:r>
      <w:r w:rsidR="004418A7">
        <w:t>is now</w:t>
      </w:r>
      <w:r w:rsidRPr="007901C0">
        <w:t xml:space="preserve"> ‘Disclosure of information to police</w:t>
      </w:r>
      <w:r>
        <w:t xml:space="preserve"> and Australian Criminal Intelligence Commission</w:t>
      </w:r>
      <w:r w:rsidRPr="007901C0">
        <w:t xml:space="preserve">’. This amendment </w:t>
      </w:r>
      <w:r w:rsidR="004418A7">
        <w:t>reflects</w:t>
      </w:r>
      <w:r w:rsidRPr="007901C0">
        <w:t xml:space="preserve"> the merger of the Australian Crime Commission and </w:t>
      </w:r>
      <w:r w:rsidR="00F0293A" w:rsidRPr="007901C0">
        <w:t xml:space="preserve">CrimTrac </w:t>
      </w:r>
      <w:r w:rsidR="00F0293A">
        <w:t>in 2016 and the establishment of the Australian Crime Intelligence Commission</w:t>
      </w:r>
      <w:r w:rsidRPr="007901C0">
        <w:t xml:space="preserve">.  </w:t>
      </w:r>
    </w:p>
    <w:p w14:paraId="39CD30E8" w14:textId="0AD53339" w:rsidR="001A7DB5" w:rsidRPr="007901C0" w:rsidRDefault="001A7DB5" w:rsidP="00B74231">
      <w:pPr>
        <w:pStyle w:val="EMitemheader"/>
        <w:spacing w:line="276" w:lineRule="auto"/>
      </w:pPr>
      <w:r w:rsidRPr="007901C0">
        <w:t>Item [28] – Paragraph 5.34(2)(c)</w:t>
      </w:r>
    </w:p>
    <w:p w14:paraId="0FD9F64C" w14:textId="01E9A269" w:rsidR="001A7DB5" w:rsidRPr="007901C0" w:rsidRDefault="001A7DB5" w:rsidP="00B74231">
      <w:pPr>
        <w:pStyle w:val="EMclausenotes"/>
        <w:spacing w:line="276" w:lineRule="auto"/>
      </w:pPr>
      <w:r w:rsidRPr="007901C0">
        <w:t xml:space="preserve">This item </w:t>
      </w:r>
      <w:r w:rsidR="004418A7">
        <w:t>amends</w:t>
      </w:r>
      <w:r w:rsidRPr="007901C0">
        <w:t xml:space="preserve"> paragraph 5.34(2)(c) of the Migration Regulations</w:t>
      </w:r>
      <w:r>
        <w:t xml:space="preserve"> to change a reference</w:t>
      </w:r>
      <w:r w:rsidRPr="007901C0">
        <w:t xml:space="preserve"> to the Australian Crime Commission</w:t>
      </w:r>
      <w:r>
        <w:t xml:space="preserve"> to refer to the Australian Criminal Intelligence Commission. This amendment reflect</w:t>
      </w:r>
      <w:r w:rsidR="004418A7">
        <w:t>s</w:t>
      </w:r>
      <w:r>
        <w:t xml:space="preserve"> the merger of the Austr</w:t>
      </w:r>
      <w:r w:rsidR="00E05D5A">
        <w:t>alian Crime Commission and CrimT</w:t>
      </w:r>
      <w:r>
        <w:t xml:space="preserve">rac in 2016 and the establishment of the Australian Crime Intelligence Commission. </w:t>
      </w:r>
    </w:p>
    <w:p w14:paraId="37CA760F" w14:textId="77777777" w:rsidR="001A7DB5" w:rsidRPr="007901C0" w:rsidRDefault="001A7DB5" w:rsidP="00B74231">
      <w:pPr>
        <w:pStyle w:val="EMitemheader"/>
        <w:spacing w:line="276" w:lineRule="auto"/>
      </w:pPr>
      <w:r w:rsidRPr="007901C0">
        <w:t>Item [29] – Subparagraph 155.212(2)(a)(i) of Schedule 2</w:t>
      </w:r>
    </w:p>
    <w:p w14:paraId="6D1FFCFB" w14:textId="77777777" w:rsidR="001A7DB5" w:rsidRPr="007901C0" w:rsidRDefault="001A7DB5" w:rsidP="00B74231">
      <w:pPr>
        <w:pStyle w:val="EMitemheader"/>
        <w:spacing w:line="276" w:lineRule="auto"/>
      </w:pPr>
      <w:r w:rsidRPr="007901C0">
        <w:t>Item [30] – Subparagraph 155.212(2)(b)(i) of Schedule 2</w:t>
      </w:r>
    </w:p>
    <w:p w14:paraId="7F3919B9" w14:textId="77777777" w:rsidR="001A7DB5" w:rsidRPr="007901C0" w:rsidRDefault="001A7DB5" w:rsidP="00B74231">
      <w:pPr>
        <w:pStyle w:val="EMitemheader"/>
        <w:spacing w:line="276" w:lineRule="auto"/>
      </w:pPr>
      <w:r w:rsidRPr="007901C0">
        <w:t>Item [31] – Sub-subparagraph 157.212(2)(a)(i)(A) of Schedule 2</w:t>
      </w:r>
    </w:p>
    <w:p w14:paraId="4C9CC7D1" w14:textId="77777777" w:rsidR="001A7DB5" w:rsidRPr="007901C0" w:rsidRDefault="001A7DB5" w:rsidP="00B74231">
      <w:pPr>
        <w:pStyle w:val="EMitemheader"/>
        <w:spacing w:line="276" w:lineRule="auto"/>
      </w:pPr>
      <w:r w:rsidRPr="007901C0">
        <w:t>Item [32] – Sub-subparagraph 157.212(2)(a)(ii)(A) of Schedule 2</w:t>
      </w:r>
    </w:p>
    <w:p w14:paraId="35AA6F46" w14:textId="1E002D6C" w:rsidR="001A7DB5" w:rsidRPr="007901C0" w:rsidRDefault="001A7DB5" w:rsidP="00B74231">
      <w:pPr>
        <w:pStyle w:val="EMclausenotes"/>
        <w:spacing w:line="276" w:lineRule="auto"/>
      </w:pPr>
      <w:r w:rsidRPr="007901C0">
        <w:t xml:space="preserve">Items 29, 30, 31 and 32 omit references to a ‘permanent entry permit’ from provisions in the criteria for the grant of a Subclass 155 (Five Year Resident Return) visa and a Subclass 157 (Three Month Resident Return) visa in Schedule 2 to the Migration Regulations. Permanent entry permits have not been granted since the reform of the visa framework on 1 September 1994. From that date, existing permanent entry permits were converted into permanent visas under transitional arrangements under the Migration Regulations. These references </w:t>
      </w:r>
      <w:r w:rsidR="004418A7">
        <w:t>a</w:t>
      </w:r>
      <w:r w:rsidRPr="007901C0">
        <w:t>re therefore now redundant.</w:t>
      </w:r>
    </w:p>
    <w:p w14:paraId="667B9BCE" w14:textId="77777777" w:rsidR="001A7DB5" w:rsidRPr="007901C0" w:rsidRDefault="001A7DB5" w:rsidP="00B74231">
      <w:pPr>
        <w:pStyle w:val="EMitemheader"/>
        <w:spacing w:line="276" w:lineRule="auto"/>
      </w:pPr>
      <w:r w:rsidRPr="007901C0">
        <w:t xml:space="preserve">Item [33] – Clause 200.111 of Schedule 2 (definition of </w:t>
      </w:r>
      <w:r w:rsidRPr="007901C0">
        <w:rPr>
          <w:i/>
        </w:rPr>
        <w:t>relevant Minister</w:t>
      </w:r>
      <w:r w:rsidRPr="007901C0">
        <w:t>)</w:t>
      </w:r>
    </w:p>
    <w:p w14:paraId="2F1523B3" w14:textId="5C24A218" w:rsidR="001A7DB5" w:rsidRPr="007901C0" w:rsidRDefault="001A7DB5" w:rsidP="00B74231">
      <w:pPr>
        <w:pStyle w:val="EMclausenotes"/>
        <w:spacing w:line="276" w:lineRule="auto"/>
      </w:pPr>
      <w:r w:rsidRPr="007901C0">
        <w:t>This item repeal</w:t>
      </w:r>
      <w:r w:rsidR="004418A7">
        <w:t>s</w:t>
      </w:r>
      <w:r w:rsidRPr="007901C0">
        <w:t xml:space="preserve"> the definition of </w:t>
      </w:r>
      <w:r w:rsidRPr="007901C0">
        <w:rPr>
          <w:i/>
        </w:rPr>
        <w:t>relevant Minister</w:t>
      </w:r>
      <w:r w:rsidRPr="007901C0">
        <w:t xml:space="preserve"> in clause 200.111 of Schedule 2 to the Migration Regulations and substitutes a new definition. The previous definition provided that a relevant Minister for the purposes of </w:t>
      </w:r>
      <w:r w:rsidR="00AA3E2C">
        <w:t xml:space="preserve">a </w:t>
      </w:r>
      <w:r w:rsidRPr="007901C0">
        <w:t xml:space="preserve">Subclass 200 (Refugee) </w:t>
      </w:r>
      <w:r w:rsidR="00AA3E2C">
        <w:t xml:space="preserve">visa </w:t>
      </w:r>
      <w:r w:rsidRPr="007901C0">
        <w:t xml:space="preserve">is the Attorney-General, the Minister for Defence, the Minister for Foreign Affairs, the Minister for Home Affairs, or the Minister for Immigration and Citizenship. The new definition is the same in substance, however in place of the separate references to the Minister for Home Affairs and the Minister for Immigration and Citizenship, there is a single reference to ‘the Minister’, which refers to any Minister who has responsibility for administering the </w:t>
      </w:r>
      <w:r w:rsidR="00E05D5A">
        <w:t>Migration Act and subordinate</w:t>
      </w:r>
      <w:r w:rsidRPr="007901C0">
        <w:t xml:space="preserve"> legislation from time to time. This item also updates the reference</w:t>
      </w:r>
      <w:r w:rsidR="00E05D5A">
        <w:t>s</w:t>
      </w:r>
      <w:r w:rsidRPr="007901C0">
        <w:t xml:space="preserve"> to the ‘Defence Minister’ and ‘Foreign Minister’. Section 19 of the </w:t>
      </w:r>
      <w:r w:rsidRPr="007901C0">
        <w:rPr>
          <w:i/>
        </w:rPr>
        <w:t>Acts Interpretation Act 1901</w:t>
      </w:r>
      <w:r w:rsidRPr="007901C0">
        <w:t xml:space="preserve"> </w:t>
      </w:r>
      <w:r w:rsidRPr="007901C0">
        <w:lastRenderedPageBreak/>
        <w:t>ensures continuity of references to a Minister in the event of a change in the Minister’s title</w:t>
      </w:r>
      <w:r w:rsidR="004418A7">
        <w:t>, and</w:t>
      </w:r>
      <w:r w:rsidRPr="007901C0">
        <w:t xml:space="preserve"> this amendment </w:t>
      </w:r>
      <w:r w:rsidR="00AA3E2C">
        <w:t>ensures</w:t>
      </w:r>
      <w:r w:rsidRPr="007901C0">
        <w:t xml:space="preserve"> consistency in the way a Minister is referred to over time.</w:t>
      </w:r>
    </w:p>
    <w:p w14:paraId="59075927" w14:textId="77777777" w:rsidR="001A7DB5" w:rsidRPr="007901C0" w:rsidRDefault="001A7DB5" w:rsidP="00B74231">
      <w:pPr>
        <w:pStyle w:val="EMitemheader"/>
        <w:spacing w:line="276" w:lineRule="auto"/>
      </w:pPr>
      <w:r w:rsidRPr="007901C0">
        <w:t xml:space="preserve">Item [34] – Paragraph 200.211(1B)(b) of Schedule 2 </w:t>
      </w:r>
    </w:p>
    <w:p w14:paraId="09F3FFD1" w14:textId="6DE4540C" w:rsidR="001A7DB5" w:rsidRPr="007901C0" w:rsidRDefault="001A7DB5" w:rsidP="00B74231">
      <w:pPr>
        <w:pStyle w:val="EMclausenotes"/>
        <w:spacing w:line="276" w:lineRule="auto"/>
      </w:pPr>
      <w:r w:rsidRPr="007901C0">
        <w:t>This item omit</w:t>
      </w:r>
      <w:r w:rsidR="004418A7">
        <w:t>s</w:t>
      </w:r>
      <w:r w:rsidRPr="007901C0">
        <w:t xml:space="preserve"> the reference to ‘Minister for Finance and Deregulation’ in paragraph 200.211(1B)(b) of Schedule 2 to the Migration Regulations and substitutes ‘Finance Minister’. This amendment ensure</w:t>
      </w:r>
      <w:r w:rsidR="004418A7">
        <w:t>s</w:t>
      </w:r>
      <w:r w:rsidRPr="007901C0">
        <w:t xml:space="preserve"> consistency in the reference to the relevant Minister irrespective of the title of the Minister from time to time.</w:t>
      </w:r>
    </w:p>
    <w:p w14:paraId="70A9B5D0" w14:textId="77777777" w:rsidR="001A7DB5" w:rsidRPr="007901C0" w:rsidRDefault="001A7DB5" w:rsidP="00B74231">
      <w:pPr>
        <w:pStyle w:val="EMitemheader"/>
        <w:spacing w:line="276" w:lineRule="auto"/>
      </w:pPr>
      <w:r w:rsidRPr="007901C0">
        <w:t xml:space="preserve">Item [35] – Clause 201.111 of Schedule 2 (definition of </w:t>
      </w:r>
      <w:r w:rsidRPr="007901C0">
        <w:rPr>
          <w:i/>
        </w:rPr>
        <w:t>relevant Minister</w:t>
      </w:r>
      <w:r w:rsidRPr="007901C0">
        <w:t>)</w:t>
      </w:r>
    </w:p>
    <w:p w14:paraId="39B0D1F1" w14:textId="283D2907" w:rsidR="001A7DB5" w:rsidRDefault="001A7DB5" w:rsidP="00B74231">
      <w:pPr>
        <w:pStyle w:val="EMclausenotes"/>
        <w:spacing w:line="276" w:lineRule="auto"/>
      </w:pPr>
      <w:r w:rsidRPr="007901C0">
        <w:t xml:space="preserve">This item </w:t>
      </w:r>
      <w:r w:rsidR="004A49F1">
        <w:t>repeals</w:t>
      </w:r>
      <w:r w:rsidRPr="007901C0">
        <w:t xml:space="preserve"> the definition of </w:t>
      </w:r>
      <w:r w:rsidRPr="007901C0">
        <w:rPr>
          <w:i/>
        </w:rPr>
        <w:t>relevant Minister</w:t>
      </w:r>
      <w:r w:rsidRPr="007901C0">
        <w:t xml:space="preserve"> in clause 201.111 of Schedule 2 to the Migration Regulations and substitutes a new definition. The effect of this amendment </w:t>
      </w:r>
      <w:r w:rsidR="004A49F1">
        <w:t>is</w:t>
      </w:r>
      <w:r w:rsidRPr="007901C0">
        <w:t xml:space="preserve"> the same as for the amendment made to a similar provision in clause 200.111 of Schedule 2 by item 33 above.</w:t>
      </w:r>
    </w:p>
    <w:p w14:paraId="4F72DB3F" w14:textId="77777777" w:rsidR="001A7DB5" w:rsidRDefault="001A7DB5" w:rsidP="00B74231">
      <w:pPr>
        <w:pStyle w:val="EMitemheader"/>
        <w:spacing w:line="276" w:lineRule="auto"/>
      </w:pPr>
      <w:r>
        <w:t xml:space="preserve">Item [36] </w:t>
      </w:r>
      <w:r w:rsidRPr="007901C0">
        <w:t xml:space="preserve">– </w:t>
      </w:r>
      <w:r>
        <w:t>Paragraph 201.211 (1B)(b) of Schedule 2</w:t>
      </w:r>
    </w:p>
    <w:p w14:paraId="173DF5EC" w14:textId="6BB135CE" w:rsidR="00813F53" w:rsidRPr="007B2E76" w:rsidRDefault="001A7DB5" w:rsidP="00B74231">
      <w:pPr>
        <w:pStyle w:val="EMclausenotes"/>
        <w:spacing w:line="276" w:lineRule="auto"/>
      </w:pPr>
      <w:r w:rsidRPr="007901C0">
        <w:t xml:space="preserve">This item </w:t>
      </w:r>
      <w:r w:rsidR="004A49F1">
        <w:t>omits</w:t>
      </w:r>
      <w:r w:rsidRPr="007901C0">
        <w:t xml:space="preserve"> the reference to ‘Minister for Finance an</w:t>
      </w:r>
      <w:r>
        <w:t>d Deregulation’ in paragraph 201</w:t>
      </w:r>
      <w:r w:rsidRPr="007901C0">
        <w:t>.211(1B)(b) of Schedule 2 to the Migration Regulations and s</w:t>
      </w:r>
      <w:r>
        <w:t xml:space="preserve">ubstitutes ‘Finance Minister’. </w:t>
      </w:r>
      <w:r w:rsidRPr="007901C0">
        <w:t xml:space="preserve">This amendment </w:t>
      </w:r>
      <w:r w:rsidR="004A49F1">
        <w:t>ensures</w:t>
      </w:r>
      <w:r w:rsidRPr="007901C0">
        <w:t xml:space="preserve"> consistency in the reference to the relevant Minister irrespective of the title of the Minister from time to time.</w:t>
      </w:r>
    </w:p>
    <w:sectPr w:rsidR="00813F53" w:rsidRPr="007B2E7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60948" w14:textId="77777777" w:rsidR="001C7B40" w:rsidRDefault="001C7B40" w:rsidP="00B5204E">
      <w:r>
        <w:separator/>
      </w:r>
    </w:p>
  </w:endnote>
  <w:endnote w:type="continuationSeparator" w:id="0">
    <w:p w14:paraId="538478F5" w14:textId="77777777" w:rsidR="001C7B40" w:rsidRDefault="001C7B40" w:rsidP="00B5204E">
      <w:r>
        <w:continuationSeparator/>
      </w:r>
    </w:p>
  </w:endnote>
  <w:endnote w:type="continuationNotice" w:id="1">
    <w:p w14:paraId="4256338B" w14:textId="77777777" w:rsidR="001C7B40" w:rsidRDefault="001C7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5B21D" w14:textId="56874240" w:rsidR="00160644" w:rsidRDefault="00160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4240" w14:textId="77777777" w:rsidR="00160644" w:rsidRPr="00DB4B8D" w:rsidRDefault="00160644" w:rsidP="00DB4B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9475E" w14:textId="1E05737C" w:rsidR="00160644" w:rsidRDefault="00160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62E03" w14:textId="77777777" w:rsidR="001C7B40" w:rsidRDefault="001C7B40" w:rsidP="00B5204E">
      <w:r>
        <w:separator/>
      </w:r>
    </w:p>
  </w:footnote>
  <w:footnote w:type="continuationSeparator" w:id="0">
    <w:p w14:paraId="2B10EF8E" w14:textId="77777777" w:rsidR="001C7B40" w:rsidRDefault="001C7B40" w:rsidP="00B5204E">
      <w:r>
        <w:continuationSeparator/>
      </w:r>
    </w:p>
  </w:footnote>
  <w:footnote w:type="continuationNotice" w:id="1">
    <w:p w14:paraId="275BDFF7" w14:textId="77777777" w:rsidR="001C7B40" w:rsidRDefault="001C7B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797CC" w14:textId="522C148B" w:rsidR="00160644" w:rsidRDefault="00160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0C4B2" w14:textId="77777777" w:rsidR="00DB4B8D" w:rsidRDefault="00DB4B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97B23" w14:textId="001CF0B1" w:rsidR="00160644" w:rsidRDefault="00160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44FDE"/>
    <w:multiLevelType w:val="singleLevel"/>
    <w:tmpl w:val="4350A1D6"/>
    <w:lvl w:ilvl="0">
      <w:start w:val="2"/>
      <w:numFmt w:val="decimal"/>
      <w:pStyle w:val="DINumberedParagraph"/>
      <w:lvlText w:val="%1."/>
      <w:lvlJc w:val="left"/>
      <w:pPr>
        <w:tabs>
          <w:tab w:val="num" w:pos="360"/>
        </w:tabs>
      </w:pPr>
      <w:rPr>
        <w:rFonts w:ascii="Times New Roman" w:hAnsi="Times New Roman" w:cs="Times New Roman"/>
      </w:rPr>
    </w:lvl>
  </w:abstractNum>
  <w:abstractNum w:abstractNumId="1" w15:restartNumberingAfterBreak="0">
    <w:nsid w:val="1615566E"/>
    <w:multiLevelType w:val="hybridMultilevel"/>
    <w:tmpl w:val="24DED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2D3298"/>
    <w:multiLevelType w:val="hybridMultilevel"/>
    <w:tmpl w:val="D71CF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2D63F4"/>
    <w:multiLevelType w:val="hybridMultilevel"/>
    <w:tmpl w:val="CAA6FB52"/>
    <w:lvl w:ilvl="0" w:tplc="0C09000F">
      <w:start w:val="1"/>
      <w:numFmt w:val="decimal"/>
      <w:lvlText w:val="%1."/>
      <w:lvlJc w:val="left"/>
      <w:pPr>
        <w:ind w:left="360" w:hanging="360"/>
      </w:pPr>
      <w:rPr>
        <w:rFonts w:hint="default"/>
        <w:b w:val="0"/>
        <w:color w:val="auto"/>
      </w:rPr>
    </w:lvl>
    <w:lvl w:ilvl="1" w:tplc="0C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08A7FB4"/>
    <w:multiLevelType w:val="hybridMultilevel"/>
    <w:tmpl w:val="FB3849E6"/>
    <w:lvl w:ilvl="0" w:tplc="9C0CFB10">
      <w:start w:val="1"/>
      <w:numFmt w:val="bullet"/>
      <w:pStyle w:val="Bodytextbullet"/>
      <w:lvlText w:val=""/>
      <w:lvlJc w:val="left"/>
      <w:pPr>
        <w:tabs>
          <w:tab w:val="num" w:pos="6"/>
        </w:tabs>
        <w:ind w:left="6" w:hanging="360"/>
      </w:pPr>
      <w:rPr>
        <w:rFonts w:ascii="Symbol" w:hAnsi="Symbol" w:hint="default"/>
      </w:rPr>
    </w:lvl>
    <w:lvl w:ilvl="1" w:tplc="5A98E898" w:tentative="1">
      <w:start w:val="1"/>
      <w:numFmt w:val="bullet"/>
      <w:lvlText w:val="o"/>
      <w:lvlJc w:val="left"/>
      <w:pPr>
        <w:tabs>
          <w:tab w:val="num" w:pos="726"/>
        </w:tabs>
        <w:ind w:left="726" w:hanging="360"/>
      </w:pPr>
      <w:rPr>
        <w:rFonts w:ascii="Courier New" w:hAnsi="Courier New" w:cs="Courier New" w:hint="default"/>
      </w:rPr>
    </w:lvl>
    <w:lvl w:ilvl="2" w:tplc="8BDC0D40" w:tentative="1">
      <w:start w:val="1"/>
      <w:numFmt w:val="bullet"/>
      <w:lvlText w:val=""/>
      <w:lvlJc w:val="left"/>
      <w:pPr>
        <w:tabs>
          <w:tab w:val="num" w:pos="1446"/>
        </w:tabs>
        <w:ind w:left="1446" w:hanging="360"/>
      </w:pPr>
      <w:rPr>
        <w:rFonts w:ascii="Wingdings" w:hAnsi="Wingdings" w:hint="default"/>
      </w:rPr>
    </w:lvl>
    <w:lvl w:ilvl="3" w:tplc="B176A98A" w:tentative="1">
      <w:start w:val="1"/>
      <w:numFmt w:val="bullet"/>
      <w:lvlText w:val=""/>
      <w:lvlJc w:val="left"/>
      <w:pPr>
        <w:tabs>
          <w:tab w:val="num" w:pos="2166"/>
        </w:tabs>
        <w:ind w:left="2166" w:hanging="360"/>
      </w:pPr>
      <w:rPr>
        <w:rFonts w:ascii="Symbol" w:hAnsi="Symbol" w:hint="default"/>
      </w:rPr>
    </w:lvl>
    <w:lvl w:ilvl="4" w:tplc="BCC0B3B4" w:tentative="1">
      <w:start w:val="1"/>
      <w:numFmt w:val="bullet"/>
      <w:lvlText w:val="o"/>
      <w:lvlJc w:val="left"/>
      <w:pPr>
        <w:tabs>
          <w:tab w:val="num" w:pos="2886"/>
        </w:tabs>
        <w:ind w:left="2886" w:hanging="360"/>
      </w:pPr>
      <w:rPr>
        <w:rFonts w:ascii="Courier New" w:hAnsi="Courier New" w:cs="Courier New" w:hint="default"/>
      </w:rPr>
    </w:lvl>
    <w:lvl w:ilvl="5" w:tplc="82D0EAB8" w:tentative="1">
      <w:start w:val="1"/>
      <w:numFmt w:val="bullet"/>
      <w:lvlText w:val=""/>
      <w:lvlJc w:val="left"/>
      <w:pPr>
        <w:tabs>
          <w:tab w:val="num" w:pos="3606"/>
        </w:tabs>
        <w:ind w:left="3606" w:hanging="360"/>
      </w:pPr>
      <w:rPr>
        <w:rFonts w:ascii="Wingdings" w:hAnsi="Wingdings" w:hint="default"/>
      </w:rPr>
    </w:lvl>
    <w:lvl w:ilvl="6" w:tplc="4E381BA6" w:tentative="1">
      <w:start w:val="1"/>
      <w:numFmt w:val="bullet"/>
      <w:lvlText w:val=""/>
      <w:lvlJc w:val="left"/>
      <w:pPr>
        <w:tabs>
          <w:tab w:val="num" w:pos="4326"/>
        </w:tabs>
        <w:ind w:left="4326" w:hanging="360"/>
      </w:pPr>
      <w:rPr>
        <w:rFonts w:ascii="Symbol" w:hAnsi="Symbol" w:hint="default"/>
      </w:rPr>
    </w:lvl>
    <w:lvl w:ilvl="7" w:tplc="14B6FD2A" w:tentative="1">
      <w:start w:val="1"/>
      <w:numFmt w:val="bullet"/>
      <w:lvlText w:val="o"/>
      <w:lvlJc w:val="left"/>
      <w:pPr>
        <w:tabs>
          <w:tab w:val="num" w:pos="5046"/>
        </w:tabs>
        <w:ind w:left="5046" w:hanging="360"/>
      </w:pPr>
      <w:rPr>
        <w:rFonts w:ascii="Courier New" w:hAnsi="Courier New" w:cs="Courier New" w:hint="default"/>
      </w:rPr>
    </w:lvl>
    <w:lvl w:ilvl="8" w:tplc="011E36FA" w:tentative="1">
      <w:start w:val="1"/>
      <w:numFmt w:val="bullet"/>
      <w:lvlText w:val=""/>
      <w:lvlJc w:val="left"/>
      <w:pPr>
        <w:tabs>
          <w:tab w:val="num" w:pos="5766"/>
        </w:tabs>
        <w:ind w:left="5766" w:hanging="360"/>
      </w:pPr>
      <w:rPr>
        <w:rFonts w:ascii="Wingdings" w:hAnsi="Wingdings" w:hint="default"/>
      </w:rPr>
    </w:lvl>
  </w:abstractNum>
  <w:abstractNum w:abstractNumId="5" w15:restartNumberingAfterBreak="0">
    <w:nsid w:val="55170977"/>
    <w:multiLevelType w:val="hybridMultilevel"/>
    <w:tmpl w:val="B5E6C7E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6" w15:restartNumberingAfterBreak="0">
    <w:nsid w:val="5D054C03"/>
    <w:multiLevelType w:val="hybridMultilevel"/>
    <w:tmpl w:val="83B4F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FD7E93"/>
    <w:multiLevelType w:val="hybridMultilevel"/>
    <w:tmpl w:val="39E67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startOverride w:val="2"/>
    </w:lvlOverride>
  </w:num>
  <w:num w:numId="2">
    <w:abstractNumId w:val="4"/>
  </w:num>
  <w:num w:numId="3">
    <w:abstractNumId w:val="3"/>
  </w:num>
  <w:num w:numId="4">
    <w:abstractNumId w:val="5"/>
  </w:num>
  <w:num w:numId="5">
    <w:abstractNumId w:val="7"/>
  </w:num>
  <w:num w:numId="6">
    <w:abstractNumId w:val="6"/>
  </w:num>
  <w:num w:numId="7">
    <w:abstractNumId w:val="1"/>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378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CE"/>
    <w:rsid w:val="0000353F"/>
    <w:rsid w:val="000041DA"/>
    <w:rsid w:val="00007C99"/>
    <w:rsid w:val="00010CD5"/>
    <w:rsid w:val="00026656"/>
    <w:rsid w:val="00030137"/>
    <w:rsid w:val="00032422"/>
    <w:rsid w:val="0003273A"/>
    <w:rsid w:val="00033E98"/>
    <w:rsid w:val="00035163"/>
    <w:rsid w:val="000358E5"/>
    <w:rsid w:val="00036BCF"/>
    <w:rsid w:val="00041C1B"/>
    <w:rsid w:val="000436AB"/>
    <w:rsid w:val="00044203"/>
    <w:rsid w:val="00045090"/>
    <w:rsid w:val="00045467"/>
    <w:rsid w:val="000457DE"/>
    <w:rsid w:val="00045C70"/>
    <w:rsid w:val="000464EF"/>
    <w:rsid w:val="00050EBE"/>
    <w:rsid w:val="00053109"/>
    <w:rsid w:val="00055403"/>
    <w:rsid w:val="00062393"/>
    <w:rsid w:val="00065F93"/>
    <w:rsid w:val="00072DC7"/>
    <w:rsid w:val="00074470"/>
    <w:rsid w:val="00082883"/>
    <w:rsid w:val="0008405D"/>
    <w:rsid w:val="00085257"/>
    <w:rsid w:val="00087EB6"/>
    <w:rsid w:val="0009076D"/>
    <w:rsid w:val="000A3703"/>
    <w:rsid w:val="000A5C70"/>
    <w:rsid w:val="000A605C"/>
    <w:rsid w:val="000A6255"/>
    <w:rsid w:val="000B0E05"/>
    <w:rsid w:val="000B183D"/>
    <w:rsid w:val="000B2260"/>
    <w:rsid w:val="000C067D"/>
    <w:rsid w:val="000C1288"/>
    <w:rsid w:val="000C3E28"/>
    <w:rsid w:val="000C46AF"/>
    <w:rsid w:val="000C5F66"/>
    <w:rsid w:val="000C7B64"/>
    <w:rsid w:val="000D441D"/>
    <w:rsid w:val="000E3B50"/>
    <w:rsid w:val="000E6149"/>
    <w:rsid w:val="000E75FE"/>
    <w:rsid w:val="000E7625"/>
    <w:rsid w:val="000F3791"/>
    <w:rsid w:val="000F3D1A"/>
    <w:rsid w:val="000F6D4A"/>
    <w:rsid w:val="00100759"/>
    <w:rsid w:val="00101BA9"/>
    <w:rsid w:val="00101E72"/>
    <w:rsid w:val="00105E86"/>
    <w:rsid w:val="00107A77"/>
    <w:rsid w:val="00107AEA"/>
    <w:rsid w:val="00120EE0"/>
    <w:rsid w:val="00120EFE"/>
    <w:rsid w:val="00121D8B"/>
    <w:rsid w:val="00121F10"/>
    <w:rsid w:val="0013329D"/>
    <w:rsid w:val="00136CA4"/>
    <w:rsid w:val="00145577"/>
    <w:rsid w:val="001505A5"/>
    <w:rsid w:val="00153BCA"/>
    <w:rsid w:val="001548F6"/>
    <w:rsid w:val="0015655C"/>
    <w:rsid w:val="00156FBC"/>
    <w:rsid w:val="00160644"/>
    <w:rsid w:val="00165A50"/>
    <w:rsid w:val="00173EB6"/>
    <w:rsid w:val="001745E1"/>
    <w:rsid w:val="001747D2"/>
    <w:rsid w:val="00177984"/>
    <w:rsid w:val="00184EC9"/>
    <w:rsid w:val="0018796C"/>
    <w:rsid w:val="0019066D"/>
    <w:rsid w:val="00192537"/>
    <w:rsid w:val="00196A83"/>
    <w:rsid w:val="00197691"/>
    <w:rsid w:val="001A08A5"/>
    <w:rsid w:val="001A15F2"/>
    <w:rsid w:val="001A2973"/>
    <w:rsid w:val="001A440D"/>
    <w:rsid w:val="001A5CF8"/>
    <w:rsid w:val="001A77C0"/>
    <w:rsid w:val="001A7DB5"/>
    <w:rsid w:val="001B004D"/>
    <w:rsid w:val="001B511D"/>
    <w:rsid w:val="001C1936"/>
    <w:rsid w:val="001C7B40"/>
    <w:rsid w:val="001D3EF0"/>
    <w:rsid w:val="001D6042"/>
    <w:rsid w:val="001E2871"/>
    <w:rsid w:val="001E3238"/>
    <w:rsid w:val="001E3C48"/>
    <w:rsid w:val="001E520F"/>
    <w:rsid w:val="001F30F2"/>
    <w:rsid w:val="001F3FC9"/>
    <w:rsid w:val="001F4E01"/>
    <w:rsid w:val="001F665A"/>
    <w:rsid w:val="001F76A7"/>
    <w:rsid w:val="00201798"/>
    <w:rsid w:val="00202D04"/>
    <w:rsid w:val="0020416E"/>
    <w:rsid w:val="00204E88"/>
    <w:rsid w:val="00206D6A"/>
    <w:rsid w:val="00210A25"/>
    <w:rsid w:val="002112B6"/>
    <w:rsid w:val="0021BB97"/>
    <w:rsid w:val="00221D26"/>
    <w:rsid w:val="00222097"/>
    <w:rsid w:val="0022213A"/>
    <w:rsid w:val="002221AF"/>
    <w:rsid w:val="00223402"/>
    <w:rsid w:val="002242BE"/>
    <w:rsid w:val="002243C8"/>
    <w:rsid w:val="00227740"/>
    <w:rsid w:val="0024106D"/>
    <w:rsid w:val="00244BCE"/>
    <w:rsid w:val="00246FB6"/>
    <w:rsid w:val="00251CCD"/>
    <w:rsid w:val="002538A9"/>
    <w:rsid w:val="002550D1"/>
    <w:rsid w:val="002555AB"/>
    <w:rsid w:val="00256EA6"/>
    <w:rsid w:val="00263208"/>
    <w:rsid w:val="00265D2B"/>
    <w:rsid w:val="00270C11"/>
    <w:rsid w:val="00271A55"/>
    <w:rsid w:val="00272C60"/>
    <w:rsid w:val="002734C2"/>
    <w:rsid w:val="002739A5"/>
    <w:rsid w:val="002773D3"/>
    <w:rsid w:val="00280136"/>
    <w:rsid w:val="0028030B"/>
    <w:rsid w:val="00282470"/>
    <w:rsid w:val="00290083"/>
    <w:rsid w:val="00291B0A"/>
    <w:rsid w:val="0029322C"/>
    <w:rsid w:val="00296CAF"/>
    <w:rsid w:val="002A023A"/>
    <w:rsid w:val="002A1E4E"/>
    <w:rsid w:val="002A4A8C"/>
    <w:rsid w:val="002A51EA"/>
    <w:rsid w:val="002B0697"/>
    <w:rsid w:val="002B1D34"/>
    <w:rsid w:val="002B36A6"/>
    <w:rsid w:val="002C1EB5"/>
    <w:rsid w:val="002C22FC"/>
    <w:rsid w:val="002D0F95"/>
    <w:rsid w:val="002D1A2A"/>
    <w:rsid w:val="002D75B1"/>
    <w:rsid w:val="002E1D45"/>
    <w:rsid w:val="002E2AC9"/>
    <w:rsid w:val="002E3C63"/>
    <w:rsid w:val="002E497F"/>
    <w:rsid w:val="002E4E90"/>
    <w:rsid w:val="002E621F"/>
    <w:rsid w:val="002E6596"/>
    <w:rsid w:val="002F386A"/>
    <w:rsid w:val="002F62DD"/>
    <w:rsid w:val="00300897"/>
    <w:rsid w:val="00302B1F"/>
    <w:rsid w:val="00302B85"/>
    <w:rsid w:val="003046C7"/>
    <w:rsid w:val="003047D9"/>
    <w:rsid w:val="0031175F"/>
    <w:rsid w:val="00311D27"/>
    <w:rsid w:val="00311D33"/>
    <w:rsid w:val="0031634E"/>
    <w:rsid w:val="00320FBE"/>
    <w:rsid w:val="003216C6"/>
    <w:rsid w:val="00323454"/>
    <w:rsid w:val="00323544"/>
    <w:rsid w:val="00323549"/>
    <w:rsid w:val="003240E7"/>
    <w:rsid w:val="00324547"/>
    <w:rsid w:val="003275D9"/>
    <w:rsid w:val="00327916"/>
    <w:rsid w:val="00340C8E"/>
    <w:rsid w:val="003420F0"/>
    <w:rsid w:val="00343A85"/>
    <w:rsid w:val="003456B7"/>
    <w:rsid w:val="003465C8"/>
    <w:rsid w:val="00350EF6"/>
    <w:rsid w:val="0035246B"/>
    <w:rsid w:val="00353DFC"/>
    <w:rsid w:val="00356FA2"/>
    <w:rsid w:val="00360D3F"/>
    <w:rsid w:val="00366688"/>
    <w:rsid w:val="0037131E"/>
    <w:rsid w:val="00375317"/>
    <w:rsid w:val="003810A6"/>
    <w:rsid w:val="00382CCF"/>
    <w:rsid w:val="00385275"/>
    <w:rsid w:val="00387A7B"/>
    <w:rsid w:val="0038C4BD"/>
    <w:rsid w:val="0039235C"/>
    <w:rsid w:val="003959FA"/>
    <w:rsid w:val="003A0A3F"/>
    <w:rsid w:val="003A3C22"/>
    <w:rsid w:val="003A4C6C"/>
    <w:rsid w:val="003A5191"/>
    <w:rsid w:val="003A78E0"/>
    <w:rsid w:val="003B08BA"/>
    <w:rsid w:val="003B14F7"/>
    <w:rsid w:val="003B342B"/>
    <w:rsid w:val="003B4E79"/>
    <w:rsid w:val="003B6728"/>
    <w:rsid w:val="003B6D98"/>
    <w:rsid w:val="003C2CEC"/>
    <w:rsid w:val="003C3CFE"/>
    <w:rsid w:val="003D04E6"/>
    <w:rsid w:val="003D35E7"/>
    <w:rsid w:val="003D65FB"/>
    <w:rsid w:val="003D6658"/>
    <w:rsid w:val="003D6EFA"/>
    <w:rsid w:val="003D6FBF"/>
    <w:rsid w:val="003E2680"/>
    <w:rsid w:val="003E2ED4"/>
    <w:rsid w:val="003E30FF"/>
    <w:rsid w:val="003E53D1"/>
    <w:rsid w:val="003F4201"/>
    <w:rsid w:val="003F56C7"/>
    <w:rsid w:val="003F6FB6"/>
    <w:rsid w:val="00401FCF"/>
    <w:rsid w:val="00402677"/>
    <w:rsid w:val="0040724A"/>
    <w:rsid w:val="004102C5"/>
    <w:rsid w:val="00413D5F"/>
    <w:rsid w:val="00416055"/>
    <w:rsid w:val="00430275"/>
    <w:rsid w:val="00430890"/>
    <w:rsid w:val="0043176C"/>
    <w:rsid w:val="00433E55"/>
    <w:rsid w:val="00433E78"/>
    <w:rsid w:val="0043544A"/>
    <w:rsid w:val="004418A7"/>
    <w:rsid w:val="00451D1A"/>
    <w:rsid w:val="00455C72"/>
    <w:rsid w:val="00456B44"/>
    <w:rsid w:val="00461AA4"/>
    <w:rsid w:val="004621F3"/>
    <w:rsid w:val="00463E72"/>
    <w:rsid w:val="00470A2A"/>
    <w:rsid w:val="00471406"/>
    <w:rsid w:val="00471510"/>
    <w:rsid w:val="00473CA1"/>
    <w:rsid w:val="0048063E"/>
    <w:rsid w:val="00480748"/>
    <w:rsid w:val="00486514"/>
    <w:rsid w:val="00486BAD"/>
    <w:rsid w:val="0049688E"/>
    <w:rsid w:val="00497BC7"/>
    <w:rsid w:val="004A3E84"/>
    <w:rsid w:val="004A3F01"/>
    <w:rsid w:val="004A49F1"/>
    <w:rsid w:val="004A53E2"/>
    <w:rsid w:val="004A588B"/>
    <w:rsid w:val="004A7A92"/>
    <w:rsid w:val="004B0742"/>
    <w:rsid w:val="004B2331"/>
    <w:rsid w:val="004B6375"/>
    <w:rsid w:val="004B75BE"/>
    <w:rsid w:val="004C1BB1"/>
    <w:rsid w:val="004C40B5"/>
    <w:rsid w:val="004C43E6"/>
    <w:rsid w:val="004C5107"/>
    <w:rsid w:val="004C5329"/>
    <w:rsid w:val="004D340A"/>
    <w:rsid w:val="004D7E15"/>
    <w:rsid w:val="004E29F9"/>
    <w:rsid w:val="004E4DDC"/>
    <w:rsid w:val="004E54D9"/>
    <w:rsid w:val="004E6F8B"/>
    <w:rsid w:val="004E71C1"/>
    <w:rsid w:val="004E76A2"/>
    <w:rsid w:val="004F0622"/>
    <w:rsid w:val="004F1377"/>
    <w:rsid w:val="004F38DF"/>
    <w:rsid w:val="00500B36"/>
    <w:rsid w:val="00500F5D"/>
    <w:rsid w:val="005018CC"/>
    <w:rsid w:val="00505557"/>
    <w:rsid w:val="00511C2F"/>
    <w:rsid w:val="00513C60"/>
    <w:rsid w:val="00515554"/>
    <w:rsid w:val="005155A2"/>
    <w:rsid w:val="0051686B"/>
    <w:rsid w:val="00520697"/>
    <w:rsid w:val="00522397"/>
    <w:rsid w:val="00522C52"/>
    <w:rsid w:val="00523E68"/>
    <w:rsid w:val="00526E76"/>
    <w:rsid w:val="00532936"/>
    <w:rsid w:val="0053345A"/>
    <w:rsid w:val="00536610"/>
    <w:rsid w:val="00536E0C"/>
    <w:rsid w:val="005370D7"/>
    <w:rsid w:val="005503B0"/>
    <w:rsid w:val="0056357E"/>
    <w:rsid w:val="005732F0"/>
    <w:rsid w:val="005743DD"/>
    <w:rsid w:val="00576586"/>
    <w:rsid w:val="00585107"/>
    <w:rsid w:val="00585FDB"/>
    <w:rsid w:val="00587C56"/>
    <w:rsid w:val="00597417"/>
    <w:rsid w:val="005A0515"/>
    <w:rsid w:val="005A0A86"/>
    <w:rsid w:val="005A2321"/>
    <w:rsid w:val="005A79EF"/>
    <w:rsid w:val="005A7D3E"/>
    <w:rsid w:val="005B05E6"/>
    <w:rsid w:val="005B12C1"/>
    <w:rsid w:val="005B5D38"/>
    <w:rsid w:val="005B7C82"/>
    <w:rsid w:val="005C09EC"/>
    <w:rsid w:val="005C28BC"/>
    <w:rsid w:val="005C5750"/>
    <w:rsid w:val="005C741B"/>
    <w:rsid w:val="005D1F2F"/>
    <w:rsid w:val="005D2B5E"/>
    <w:rsid w:val="005D45AA"/>
    <w:rsid w:val="005E2323"/>
    <w:rsid w:val="005E23D6"/>
    <w:rsid w:val="005E271F"/>
    <w:rsid w:val="005E6E71"/>
    <w:rsid w:val="005F38FB"/>
    <w:rsid w:val="005F4805"/>
    <w:rsid w:val="005F5FD1"/>
    <w:rsid w:val="0060279F"/>
    <w:rsid w:val="0060504E"/>
    <w:rsid w:val="0060685E"/>
    <w:rsid w:val="00615322"/>
    <w:rsid w:val="0062007A"/>
    <w:rsid w:val="00623C1E"/>
    <w:rsid w:val="0062535F"/>
    <w:rsid w:val="006262A9"/>
    <w:rsid w:val="006315D6"/>
    <w:rsid w:val="00634082"/>
    <w:rsid w:val="006370D9"/>
    <w:rsid w:val="00642226"/>
    <w:rsid w:val="0064503A"/>
    <w:rsid w:val="00646CDF"/>
    <w:rsid w:val="00652C74"/>
    <w:rsid w:val="00655F9E"/>
    <w:rsid w:val="006568EC"/>
    <w:rsid w:val="006607DD"/>
    <w:rsid w:val="00665E48"/>
    <w:rsid w:val="00671481"/>
    <w:rsid w:val="00672E16"/>
    <w:rsid w:val="00673779"/>
    <w:rsid w:val="00675B0F"/>
    <w:rsid w:val="00683665"/>
    <w:rsid w:val="00686941"/>
    <w:rsid w:val="00690553"/>
    <w:rsid w:val="00692FE1"/>
    <w:rsid w:val="00695328"/>
    <w:rsid w:val="006A0A13"/>
    <w:rsid w:val="006A3D48"/>
    <w:rsid w:val="006A3D6B"/>
    <w:rsid w:val="006A4D55"/>
    <w:rsid w:val="006A56F8"/>
    <w:rsid w:val="006A5EC2"/>
    <w:rsid w:val="006A7BB4"/>
    <w:rsid w:val="006B0808"/>
    <w:rsid w:val="006B238D"/>
    <w:rsid w:val="006B3095"/>
    <w:rsid w:val="006B706F"/>
    <w:rsid w:val="006C3358"/>
    <w:rsid w:val="006C5CFB"/>
    <w:rsid w:val="006C77AF"/>
    <w:rsid w:val="006D0C94"/>
    <w:rsid w:val="006D695F"/>
    <w:rsid w:val="006D7346"/>
    <w:rsid w:val="006E339C"/>
    <w:rsid w:val="006E57D5"/>
    <w:rsid w:val="006E6758"/>
    <w:rsid w:val="006E7294"/>
    <w:rsid w:val="00705779"/>
    <w:rsid w:val="0071139D"/>
    <w:rsid w:val="00713B2F"/>
    <w:rsid w:val="00714133"/>
    <w:rsid w:val="00715A78"/>
    <w:rsid w:val="007177D1"/>
    <w:rsid w:val="00720E12"/>
    <w:rsid w:val="00721F55"/>
    <w:rsid w:val="00732A77"/>
    <w:rsid w:val="00733775"/>
    <w:rsid w:val="00733C67"/>
    <w:rsid w:val="00745798"/>
    <w:rsid w:val="00753181"/>
    <w:rsid w:val="00754B10"/>
    <w:rsid w:val="00762683"/>
    <w:rsid w:val="007639F9"/>
    <w:rsid w:val="00765DA2"/>
    <w:rsid w:val="00765EFD"/>
    <w:rsid w:val="0076673A"/>
    <w:rsid w:val="00772560"/>
    <w:rsid w:val="00772A6B"/>
    <w:rsid w:val="00772E07"/>
    <w:rsid w:val="0077682E"/>
    <w:rsid w:val="00777759"/>
    <w:rsid w:val="007814DE"/>
    <w:rsid w:val="0078159D"/>
    <w:rsid w:val="00784C52"/>
    <w:rsid w:val="00785D43"/>
    <w:rsid w:val="007868AE"/>
    <w:rsid w:val="00787359"/>
    <w:rsid w:val="00797805"/>
    <w:rsid w:val="007A3B43"/>
    <w:rsid w:val="007A6B4A"/>
    <w:rsid w:val="007A7355"/>
    <w:rsid w:val="007B2752"/>
    <w:rsid w:val="007B2E76"/>
    <w:rsid w:val="007C1ADF"/>
    <w:rsid w:val="007C34BC"/>
    <w:rsid w:val="007C4B77"/>
    <w:rsid w:val="007C50CB"/>
    <w:rsid w:val="007C61E0"/>
    <w:rsid w:val="007D248F"/>
    <w:rsid w:val="007D38CE"/>
    <w:rsid w:val="007D741F"/>
    <w:rsid w:val="007E0C18"/>
    <w:rsid w:val="007F159F"/>
    <w:rsid w:val="007F1E13"/>
    <w:rsid w:val="007F348D"/>
    <w:rsid w:val="00801BC1"/>
    <w:rsid w:val="00802A87"/>
    <w:rsid w:val="008072AE"/>
    <w:rsid w:val="00813F53"/>
    <w:rsid w:val="00814028"/>
    <w:rsid w:val="0081498C"/>
    <w:rsid w:val="00815846"/>
    <w:rsid w:val="0081584B"/>
    <w:rsid w:val="008169C1"/>
    <w:rsid w:val="008178F8"/>
    <w:rsid w:val="00825D6A"/>
    <w:rsid w:val="008279AA"/>
    <w:rsid w:val="008317A6"/>
    <w:rsid w:val="0083296E"/>
    <w:rsid w:val="008371CE"/>
    <w:rsid w:val="008374E5"/>
    <w:rsid w:val="00843B6A"/>
    <w:rsid w:val="00847E3C"/>
    <w:rsid w:val="0085490E"/>
    <w:rsid w:val="00854C31"/>
    <w:rsid w:val="008564F4"/>
    <w:rsid w:val="008576C7"/>
    <w:rsid w:val="008611C4"/>
    <w:rsid w:val="0086394C"/>
    <w:rsid w:val="00871A0C"/>
    <w:rsid w:val="00872098"/>
    <w:rsid w:val="00874FB1"/>
    <w:rsid w:val="0087605E"/>
    <w:rsid w:val="00877A62"/>
    <w:rsid w:val="00881B06"/>
    <w:rsid w:val="00881FAF"/>
    <w:rsid w:val="008843CD"/>
    <w:rsid w:val="008864C0"/>
    <w:rsid w:val="00891371"/>
    <w:rsid w:val="00895A0B"/>
    <w:rsid w:val="0089753A"/>
    <w:rsid w:val="008A071D"/>
    <w:rsid w:val="008A0DD2"/>
    <w:rsid w:val="008A0E11"/>
    <w:rsid w:val="008A2495"/>
    <w:rsid w:val="008A3118"/>
    <w:rsid w:val="008B09D2"/>
    <w:rsid w:val="008B3C2E"/>
    <w:rsid w:val="008B4C15"/>
    <w:rsid w:val="008B5AD6"/>
    <w:rsid w:val="008B5C2B"/>
    <w:rsid w:val="008B68EE"/>
    <w:rsid w:val="008C4F1A"/>
    <w:rsid w:val="008C63BB"/>
    <w:rsid w:val="008E0E40"/>
    <w:rsid w:val="008E4798"/>
    <w:rsid w:val="008E619D"/>
    <w:rsid w:val="008F1B15"/>
    <w:rsid w:val="008F49C3"/>
    <w:rsid w:val="008F75C9"/>
    <w:rsid w:val="00904408"/>
    <w:rsid w:val="00907C39"/>
    <w:rsid w:val="00911375"/>
    <w:rsid w:val="0091171B"/>
    <w:rsid w:val="00915C82"/>
    <w:rsid w:val="00916335"/>
    <w:rsid w:val="009220EA"/>
    <w:rsid w:val="00923DD9"/>
    <w:rsid w:val="0092576F"/>
    <w:rsid w:val="00925C3C"/>
    <w:rsid w:val="009278B1"/>
    <w:rsid w:val="00933C1D"/>
    <w:rsid w:val="00937A31"/>
    <w:rsid w:val="009449D4"/>
    <w:rsid w:val="00946EC4"/>
    <w:rsid w:val="00947303"/>
    <w:rsid w:val="009478FA"/>
    <w:rsid w:val="00950AF0"/>
    <w:rsid w:val="009512D9"/>
    <w:rsid w:val="00951744"/>
    <w:rsid w:val="00952ABE"/>
    <w:rsid w:val="00957695"/>
    <w:rsid w:val="00957CF8"/>
    <w:rsid w:val="00957D60"/>
    <w:rsid w:val="0095D772"/>
    <w:rsid w:val="00961F56"/>
    <w:rsid w:val="00962B4B"/>
    <w:rsid w:val="00964821"/>
    <w:rsid w:val="009664B8"/>
    <w:rsid w:val="009664E7"/>
    <w:rsid w:val="00967170"/>
    <w:rsid w:val="00976FE5"/>
    <w:rsid w:val="009847C1"/>
    <w:rsid w:val="00984899"/>
    <w:rsid w:val="00987034"/>
    <w:rsid w:val="0099169C"/>
    <w:rsid w:val="00992B3D"/>
    <w:rsid w:val="0099599E"/>
    <w:rsid w:val="00995E28"/>
    <w:rsid w:val="009A5D5A"/>
    <w:rsid w:val="009A62FF"/>
    <w:rsid w:val="009A6BDD"/>
    <w:rsid w:val="009A7DB5"/>
    <w:rsid w:val="009B2EB4"/>
    <w:rsid w:val="009C165F"/>
    <w:rsid w:val="009C4A38"/>
    <w:rsid w:val="009C5867"/>
    <w:rsid w:val="009D0359"/>
    <w:rsid w:val="009E3A80"/>
    <w:rsid w:val="009E5B4E"/>
    <w:rsid w:val="009F332A"/>
    <w:rsid w:val="00A03D79"/>
    <w:rsid w:val="00A0426A"/>
    <w:rsid w:val="00A13DBD"/>
    <w:rsid w:val="00A2366C"/>
    <w:rsid w:val="00A2593A"/>
    <w:rsid w:val="00A3251E"/>
    <w:rsid w:val="00A33F3C"/>
    <w:rsid w:val="00A40761"/>
    <w:rsid w:val="00A41651"/>
    <w:rsid w:val="00A422F2"/>
    <w:rsid w:val="00A42582"/>
    <w:rsid w:val="00A43106"/>
    <w:rsid w:val="00A439E0"/>
    <w:rsid w:val="00A44553"/>
    <w:rsid w:val="00A452FC"/>
    <w:rsid w:val="00A46DA6"/>
    <w:rsid w:val="00A560F1"/>
    <w:rsid w:val="00A60529"/>
    <w:rsid w:val="00A6117D"/>
    <w:rsid w:val="00A61C4E"/>
    <w:rsid w:val="00A6523E"/>
    <w:rsid w:val="00A66F4D"/>
    <w:rsid w:val="00A71AC5"/>
    <w:rsid w:val="00A71B36"/>
    <w:rsid w:val="00A71E3F"/>
    <w:rsid w:val="00A73D44"/>
    <w:rsid w:val="00A81D2D"/>
    <w:rsid w:val="00A86A74"/>
    <w:rsid w:val="00A87D79"/>
    <w:rsid w:val="00A91AC5"/>
    <w:rsid w:val="00A939E2"/>
    <w:rsid w:val="00A93C06"/>
    <w:rsid w:val="00A9573B"/>
    <w:rsid w:val="00AA3E2C"/>
    <w:rsid w:val="00AB2BF3"/>
    <w:rsid w:val="00AB4101"/>
    <w:rsid w:val="00AB53B7"/>
    <w:rsid w:val="00AB5FB4"/>
    <w:rsid w:val="00AB6C0A"/>
    <w:rsid w:val="00AB786F"/>
    <w:rsid w:val="00AC2491"/>
    <w:rsid w:val="00AC2B77"/>
    <w:rsid w:val="00AC3ED2"/>
    <w:rsid w:val="00AC49F8"/>
    <w:rsid w:val="00AC6AA7"/>
    <w:rsid w:val="00AD0D98"/>
    <w:rsid w:val="00AD1881"/>
    <w:rsid w:val="00AD25FA"/>
    <w:rsid w:val="00AD396B"/>
    <w:rsid w:val="00AD55F8"/>
    <w:rsid w:val="00AD6C3C"/>
    <w:rsid w:val="00AD7ACE"/>
    <w:rsid w:val="00AE26AD"/>
    <w:rsid w:val="00AE3AC7"/>
    <w:rsid w:val="00AE3C63"/>
    <w:rsid w:val="00AE450E"/>
    <w:rsid w:val="00AE537E"/>
    <w:rsid w:val="00AE6803"/>
    <w:rsid w:val="00AF22F8"/>
    <w:rsid w:val="00AF3652"/>
    <w:rsid w:val="00AF405F"/>
    <w:rsid w:val="00AF4D46"/>
    <w:rsid w:val="00AF72A6"/>
    <w:rsid w:val="00B015BF"/>
    <w:rsid w:val="00B039B2"/>
    <w:rsid w:val="00B05087"/>
    <w:rsid w:val="00B05493"/>
    <w:rsid w:val="00B139FD"/>
    <w:rsid w:val="00B151F2"/>
    <w:rsid w:val="00B2049C"/>
    <w:rsid w:val="00B25E53"/>
    <w:rsid w:val="00B26236"/>
    <w:rsid w:val="00B30F0B"/>
    <w:rsid w:val="00B31427"/>
    <w:rsid w:val="00B31869"/>
    <w:rsid w:val="00B31A21"/>
    <w:rsid w:val="00B31FB2"/>
    <w:rsid w:val="00B407AA"/>
    <w:rsid w:val="00B436D7"/>
    <w:rsid w:val="00B45541"/>
    <w:rsid w:val="00B456B9"/>
    <w:rsid w:val="00B469F7"/>
    <w:rsid w:val="00B5204E"/>
    <w:rsid w:val="00B564A7"/>
    <w:rsid w:val="00B62BD8"/>
    <w:rsid w:val="00B6433F"/>
    <w:rsid w:val="00B64AD4"/>
    <w:rsid w:val="00B667B9"/>
    <w:rsid w:val="00B6696E"/>
    <w:rsid w:val="00B708E9"/>
    <w:rsid w:val="00B71974"/>
    <w:rsid w:val="00B726BC"/>
    <w:rsid w:val="00B74231"/>
    <w:rsid w:val="00B754D2"/>
    <w:rsid w:val="00B75558"/>
    <w:rsid w:val="00B7574A"/>
    <w:rsid w:val="00B77E43"/>
    <w:rsid w:val="00B80C02"/>
    <w:rsid w:val="00B8530B"/>
    <w:rsid w:val="00B90F2B"/>
    <w:rsid w:val="00B9353E"/>
    <w:rsid w:val="00B937A6"/>
    <w:rsid w:val="00B949F0"/>
    <w:rsid w:val="00B95ECB"/>
    <w:rsid w:val="00B9752F"/>
    <w:rsid w:val="00BA2671"/>
    <w:rsid w:val="00BA4318"/>
    <w:rsid w:val="00BB00D3"/>
    <w:rsid w:val="00BB076B"/>
    <w:rsid w:val="00BB148F"/>
    <w:rsid w:val="00BB3FC4"/>
    <w:rsid w:val="00BB4B9B"/>
    <w:rsid w:val="00BB5523"/>
    <w:rsid w:val="00BC0A4E"/>
    <w:rsid w:val="00BC2A8F"/>
    <w:rsid w:val="00BC5AEC"/>
    <w:rsid w:val="00BD0F25"/>
    <w:rsid w:val="00BD17EF"/>
    <w:rsid w:val="00BD5020"/>
    <w:rsid w:val="00BE37B5"/>
    <w:rsid w:val="00BF08AB"/>
    <w:rsid w:val="00BF0C26"/>
    <w:rsid w:val="00BF1241"/>
    <w:rsid w:val="00BF7D3D"/>
    <w:rsid w:val="00C01797"/>
    <w:rsid w:val="00C16E85"/>
    <w:rsid w:val="00C21154"/>
    <w:rsid w:val="00C22B08"/>
    <w:rsid w:val="00C25A02"/>
    <w:rsid w:val="00C340FF"/>
    <w:rsid w:val="00C344D9"/>
    <w:rsid w:val="00C37CF9"/>
    <w:rsid w:val="00C41555"/>
    <w:rsid w:val="00C416D6"/>
    <w:rsid w:val="00C50592"/>
    <w:rsid w:val="00C51760"/>
    <w:rsid w:val="00C6037B"/>
    <w:rsid w:val="00C606D3"/>
    <w:rsid w:val="00C61FCA"/>
    <w:rsid w:val="00C62E6A"/>
    <w:rsid w:val="00C65C9C"/>
    <w:rsid w:val="00C661EF"/>
    <w:rsid w:val="00C66EE3"/>
    <w:rsid w:val="00C67881"/>
    <w:rsid w:val="00C730F8"/>
    <w:rsid w:val="00C73625"/>
    <w:rsid w:val="00C73810"/>
    <w:rsid w:val="00C7455F"/>
    <w:rsid w:val="00C7584A"/>
    <w:rsid w:val="00C758C9"/>
    <w:rsid w:val="00C76ED9"/>
    <w:rsid w:val="00C85E65"/>
    <w:rsid w:val="00C94046"/>
    <w:rsid w:val="00C960C4"/>
    <w:rsid w:val="00CA0651"/>
    <w:rsid w:val="00CA12E6"/>
    <w:rsid w:val="00CA369B"/>
    <w:rsid w:val="00CA64A2"/>
    <w:rsid w:val="00CB024D"/>
    <w:rsid w:val="00CB0B58"/>
    <w:rsid w:val="00CB0F29"/>
    <w:rsid w:val="00CB138A"/>
    <w:rsid w:val="00CB1B14"/>
    <w:rsid w:val="00CC2091"/>
    <w:rsid w:val="00CC2D84"/>
    <w:rsid w:val="00CC4D0A"/>
    <w:rsid w:val="00CC5EC6"/>
    <w:rsid w:val="00CC7F97"/>
    <w:rsid w:val="00CD11FF"/>
    <w:rsid w:val="00CD299B"/>
    <w:rsid w:val="00CD39CB"/>
    <w:rsid w:val="00CD439C"/>
    <w:rsid w:val="00CE3F83"/>
    <w:rsid w:val="00CE435B"/>
    <w:rsid w:val="00CE4742"/>
    <w:rsid w:val="00CE5921"/>
    <w:rsid w:val="00CE5E08"/>
    <w:rsid w:val="00CF0920"/>
    <w:rsid w:val="00CF21B6"/>
    <w:rsid w:val="00CF2B76"/>
    <w:rsid w:val="00CF4CC8"/>
    <w:rsid w:val="00D0198A"/>
    <w:rsid w:val="00D01DD4"/>
    <w:rsid w:val="00D04B5D"/>
    <w:rsid w:val="00D057E2"/>
    <w:rsid w:val="00D0BBCC"/>
    <w:rsid w:val="00D12BB0"/>
    <w:rsid w:val="00D14C2D"/>
    <w:rsid w:val="00D15CAF"/>
    <w:rsid w:val="00D16770"/>
    <w:rsid w:val="00D169CD"/>
    <w:rsid w:val="00D16A86"/>
    <w:rsid w:val="00D21BA0"/>
    <w:rsid w:val="00D2360A"/>
    <w:rsid w:val="00D2578A"/>
    <w:rsid w:val="00D25C0D"/>
    <w:rsid w:val="00D2630A"/>
    <w:rsid w:val="00D2708D"/>
    <w:rsid w:val="00D27462"/>
    <w:rsid w:val="00D3391D"/>
    <w:rsid w:val="00D36BFD"/>
    <w:rsid w:val="00D36E61"/>
    <w:rsid w:val="00D36FD5"/>
    <w:rsid w:val="00D44864"/>
    <w:rsid w:val="00D46DA5"/>
    <w:rsid w:val="00D57B41"/>
    <w:rsid w:val="00D60C01"/>
    <w:rsid w:val="00D61BBC"/>
    <w:rsid w:val="00D666CD"/>
    <w:rsid w:val="00D7429E"/>
    <w:rsid w:val="00D75247"/>
    <w:rsid w:val="00D81787"/>
    <w:rsid w:val="00D82712"/>
    <w:rsid w:val="00D8316C"/>
    <w:rsid w:val="00D8385D"/>
    <w:rsid w:val="00D83F1C"/>
    <w:rsid w:val="00D94EB2"/>
    <w:rsid w:val="00D95495"/>
    <w:rsid w:val="00D95810"/>
    <w:rsid w:val="00D966E6"/>
    <w:rsid w:val="00DA0758"/>
    <w:rsid w:val="00DA27EB"/>
    <w:rsid w:val="00DA645D"/>
    <w:rsid w:val="00DA7916"/>
    <w:rsid w:val="00DB40C6"/>
    <w:rsid w:val="00DB4B8D"/>
    <w:rsid w:val="00DB54E9"/>
    <w:rsid w:val="00DC04CA"/>
    <w:rsid w:val="00DC0910"/>
    <w:rsid w:val="00DC228C"/>
    <w:rsid w:val="00DC3923"/>
    <w:rsid w:val="00DC52DE"/>
    <w:rsid w:val="00DC56C0"/>
    <w:rsid w:val="00DD0701"/>
    <w:rsid w:val="00DD0703"/>
    <w:rsid w:val="00DD4517"/>
    <w:rsid w:val="00DD54CE"/>
    <w:rsid w:val="00DD7EF2"/>
    <w:rsid w:val="00DE2B53"/>
    <w:rsid w:val="00DE322C"/>
    <w:rsid w:val="00DE5F87"/>
    <w:rsid w:val="00DF08B0"/>
    <w:rsid w:val="00DF39CD"/>
    <w:rsid w:val="00DF514A"/>
    <w:rsid w:val="00DF710F"/>
    <w:rsid w:val="00E04552"/>
    <w:rsid w:val="00E04DF8"/>
    <w:rsid w:val="00E05D5A"/>
    <w:rsid w:val="00E077FF"/>
    <w:rsid w:val="00E112E1"/>
    <w:rsid w:val="00E1226A"/>
    <w:rsid w:val="00E12EF7"/>
    <w:rsid w:val="00E15664"/>
    <w:rsid w:val="00E21185"/>
    <w:rsid w:val="00E21F5E"/>
    <w:rsid w:val="00E232C0"/>
    <w:rsid w:val="00E26B36"/>
    <w:rsid w:val="00E31718"/>
    <w:rsid w:val="00E37BC3"/>
    <w:rsid w:val="00E432BC"/>
    <w:rsid w:val="00E4527E"/>
    <w:rsid w:val="00E52BA8"/>
    <w:rsid w:val="00E5378E"/>
    <w:rsid w:val="00E56022"/>
    <w:rsid w:val="00E666C9"/>
    <w:rsid w:val="00E67C67"/>
    <w:rsid w:val="00E72C8C"/>
    <w:rsid w:val="00E75E3F"/>
    <w:rsid w:val="00E775D9"/>
    <w:rsid w:val="00E86540"/>
    <w:rsid w:val="00E920A7"/>
    <w:rsid w:val="00EA6461"/>
    <w:rsid w:val="00EA7F85"/>
    <w:rsid w:val="00EB038E"/>
    <w:rsid w:val="00EB0907"/>
    <w:rsid w:val="00EB21C2"/>
    <w:rsid w:val="00EB25B3"/>
    <w:rsid w:val="00EB5BC0"/>
    <w:rsid w:val="00EB6B0C"/>
    <w:rsid w:val="00EC0CB6"/>
    <w:rsid w:val="00EC5267"/>
    <w:rsid w:val="00EC5EA1"/>
    <w:rsid w:val="00ED1BE1"/>
    <w:rsid w:val="00ED1E3D"/>
    <w:rsid w:val="00ED2E07"/>
    <w:rsid w:val="00ED3432"/>
    <w:rsid w:val="00ED406C"/>
    <w:rsid w:val="00EE41E4"/>
    <w:rsid w:val="00EEEE48"/>
    <w:rsid w:val="00EF5E48"/>
    <w:rsid w:val="00F0293A"/>
    <w:rsid w:val="00F03F1B"/>
    <w:rsid w:val="00F10F5B"/>
    <w:rsid w:val="00F1197D"/>
    <w:rsid w:val="00F13BDF"/>
    <w:rsid w:val="00F14652"/>
    <w:rsid w:val="00F2025A"/>
    <w:rsid w:val="00F204D8"/>
    <w:rsid w:val="00F2550C"/>
    <w:rsid w:val="00F27E3B"/>
    <w:rsid w:val="00F3035D"/>
    <w:rsid w:val="00F3071E"/>
    <w:rsid w:val="00F30CD1"/>
    <w:rsid w:val="00F33CA1"/>
    <w:rsid w:val="00F41614"/>
    <w:rsid w:val="00F42F00"/>
    <w:rsid w:val="00F43987"/>
    <w:rsid w:val="00F45619"/>
    <w:rsid w:val="00F50E76"/>
    <w:rsid w:val="00F52FAC"/>
    <w:rsid w:val="00F54FBD"/>
    <w:rsid w:val="00F603D0"/>
    <w:rsid w:val="00F6370D"/>
    <w:rsid w:val="00F64968"/>
    <w:rsid w:val="00F66F92"/>
    <w:rsid w:val="00F67E23"/>
    <w:rsid w:val="00F7235C"/>
    <w:rsid w:val="00F778FC"/>
    <w:rsid w:val="00F86907"/>
    <w:rsid w:val="00F90218"/>
    <w:rsid w:val="00F94E37"/>
    <w:rsid w:val="00F955C2"/>
    <w:rsid w:val="00F95C75"/>
    <w:rsid w:val="00FB07F0"/>
    <w:rsid w:val="00FB20AA"/>
    <w:rsid w:val="00FB41CE"/>
    <w:rsid w:val="00FC1462"/>
    <w:rsid w:val="00FC1E58"/>
    <w:rsid w:val="00FC4C8E"/>
    <w:rsid w:val="00FC7EE7"/>
    <w:rsid w:val="00FD0AE6"/>
    <w:rsid w:val="00FD3A64"/>
    <w:rsid w:val="00FD3B22"/>
    <w:rsid w:val="00FD5DB8"/>
    <w:rsid w:val="00FD6E2C"/>
    <w:rsid w:val="00FD716A"/>
    <w:rsid w:val="00FE6DCE"/>
    <w:rsid w:val="00FF1489"/>
    <w:rsid w:val="00FF7CBF"/>
    <w:rsid w:val="0109EEAD"/>
    <w:rsid w:val="012122CE"/>
    <w:rsid w:val="01BA9FBC"/>
    <w:rsid w:val="01CF77FF"/>
    <w:rsid w:val="01D6CED3"/>
    <w:rsid w:val="01EAF846"/>
    <w:rsid w:val="023EF690"/>
    <w:rsid w:val="0247D7B7"/>
    <w:rsid w:val="02BB877D"/>
    <w:rsid w:val="02DA1908"/>
    <w:rsid w:val="02EADDDE"/>
    <w:rsid w:val="02EF4336"/>
    <w:rsid w:val="02F68ACA"/>
    <w:rsid w:val="02FDBD76"/>
    <w:rsid w:val="032CAE1B"/>
    <w:rsid w:val="03919A90"/>
    <w:rsid w:val="03C1D5B6"/>
    <w:rsid w:val="03DA6913"/>
    <w:rsid w:val="03DC3966"/>
    <w:rsid w:val="03FED600"/>
    <w:rsid w:val="0404479E"/>
    <w:rsid w:val="04156AD7"/>
    <w:rsid w:val="042219EF"/>
    <w:rsid w:val="0447B7C8"/>
    <w:rsid w:val="04862E9F"/>
    <w:rsid w:val="04A55DD5"/>
    <w:rsid w:val="04A85983"/>
    <w:rsid w:val="04AC85E8"/>
    <w:rsid w:val="04B3CE12"/>
    <w:rsid w:val="05134423"/>
    <w:rsid w:val="054CCFF2"/>
    <w:rsid w:val="056CAB70"/>
    <w:rsid w:val="056F675B"/>
    <w:rsid w:val="057BE1B8"/>
    <w:rsid w:val="05927082"/>
    <w:rsid w:val="05A0886A"/>
    <w:rsid w:val="05A36268"/>
    <w:rsid w:val="05E27834"/>
    <w:rsid w:val="05E9F887"/>
    <w:rsid w:val="05F3D9F1"/>
    <w:rsid w:val="061AE6F8"/>
    <w:rsid w:val="063BB444"/>
    <w:rsid w:val="06404429"/>
    <w:rsid w:val="064A3ECC"/>
    <w:rsid w:val="06535CD4"/>
    <w:rsid w:val="06541628"/>
    <w:rsid w:val="065635DA"/>
    <w:rsid w:val="067E83DA"/>
    <w:rsid w:val="068BF45C"/>
    <w:rsid w:val="0723EF7D"/>
    <w:rsid w:val="07483E92"/>
    <w:rsid w:val="075BF38B"/>
    <w:rsid w:val="0764DE36"/>
    <w:rsid w:val="07742D57"/>
    <w:rsid w:val="0795CC74"/>
    <w:rsid w:val="07AD3146"/>
    <w:rsid w:val="07C37851"/>
    <w:rsid w:val="07EE1FE0"/>
    <w:rsid w:val="07FBCAEA"/>
    <w:rsid w:val="0810E358"/>
    <w:rsid w:val="0853B3AB"/>
    <w:rsid w:val="0860481C"/>
    <w:rsid w:val="086C254B"/>
    <w:rsid w:val="086DB351"/>
    <w:rsid w:val="086F48D2"/>
    <w:rsid w:val="08767E64"/>
    <w:rsid w:val="088EB174"/>
    <w:rsid w:val="08BC5F2E"/>
    <w:rsid w:val="08C3D82D"/>
    <w:rsid w:val="08EC907E"/>
    <w:rsid w:val="08ED7E51"/>
    <w:rsid w:val="08FC257B"/>
    <w:rsid w:val="0904BA69"/>
    <w:rsid w:val="090F8E6E"/>
    <w:rsid w:val="091F11BF"/>
    <w:rsid w:val="093A46D8"/>
    <w:rsid w:val="0981D34D"/>
    <w:rsid w:val="09A29D58"/>
    <w:rsid w:val="09C0F1E2"/>
    <w:rsid w:val="09D4FF50"/>
    <w:rsid w:val="09FD1B12"/>
    <w:rsid w:val="0A037991"/>
    <w:rsid w:val="0A106F33"/>
    <w:rsid w:val="0A30D2A9"/>
    <w:rsid w:val="0A3A32ED"/>
    <w:rsid w:val="0A3BDADC"/>
    <w:rsid w:val="0A9EA824"/>
    <w:rsid w:val="0AA797AD"/>
    <w:rsid w:val="0AF17536"/>
    <w:rsid w:val="0AF9F24F"/>
    <w:rsid w:val="0B084C12"/>
    <w:rsid w:val="0B16DCEF"/>
    <w:rsid w:val="0B277A6A"/>
    <w:rsid w:val="0B382665"/>
    <w:rsid w:val="0B4909FE"/>
    <w:rsid w:val="0B889DBB"/>
    <w:rsid w:val="0B8CB3B2"/>
    <w:rsid w:val="0BA12CBE"/>
    <w:rsid w:val="0BA31843"/>
    <w:rsid w:val="0BDE7944"/>
    <w:rsid w:val="0BFAD5D0"/>
    <w:rsid w:val="0BFF217A"/>
    <w:rsid w:val="0C0124B6"/>
    <w:rsid w:val="0C3A4025"/>
    <w:rsid w:val="0C4CF31F"/>
    <w:rsid w:val="0C673243"/>
    <w:rsid w:val="0CD8C9E6"/>
    <w:rsid w:val="0CDD98D0"/>
    <w:rsid w:val="0CE26E6B"/>
    <w:rsid w:val="0D22DF70"/>
    <w:rsid w:val="0D33F834"/>
    <w:rsid w:val="0D45C16A"/>
    <w:rsid w:val="0D5606AE"/>
    <w:rsid w:val="0D566D0C"/>
    <w:rsid w:val="0D6F4C0B"/>
    <w:rsid w:val="0D83E7AF"/>
    <w:rsid w:val="0D99F609"/>
    <w:rsid w:val="0DC39121"/>
    <w:rsid w:val="0DCB8A1A"/>
    <w:rsid w:val="0DFBCE3B"/>
    <w:rsid w:val="0E36985D"/>
    <w:rsid w:val="0E70A91C"/>
    <w:rsid w:val="0E891CB8"/>
    <w:rsid w:val="0E8F080B"/>
    <w:rsid w:val="0EDC6E54"/>
    <w:rsid w:val="0EDCB00D"/>
    <w:rsid w:val="0EFB784C"/>
    <w:rsid w:val="0F225247"/>
    <w:rsid w:val="0F423265"/>
    <w:rsid w:val="0F57D168"/>
    <w:rsid w:val="0F63DEE6"/>
    <w:rsid w:val="0F8020E1"/>
    <w:rsid w:val="0F82782A"/>
    <w:rsid w:val="0FBC3AEF"/>
    <w:rsid w:val="0FCDB73A"/>
    <w:rsid w:val="100520E3"/>
    <w:rsid w:val="1016453E"/>
    <w:rsid w:val="1016900A"/>
    <w:rsid w:val="1026C1E4"/>
    <w:rsid w:val="102D808D"/>
    <w:rsid w:val="1031AB8F"/>
    <w:rsid w:val="10363C88"/>
    <w:rsid w:val="10442D99"/>
    <w:rsid w:val="10509BCA"/>
    <w:rsid w:val="1055F58C"/>
    <w:rsid w:val="105C4CC8"/>
    <w:rsid w:val="106F9E41"/>
    <w:rsid w:val="10B1225E"/>
    <w:rsid w:val="10C6DA44"/>
    <w:rsid w:val="10DE2B15"/>
    <w:rsid w:val="10E0BE72"/>
    <w:rsid w:val="110FDCEA"/>
    <w:rsid w:val="11145FCE"/>
    <w:rsid w:val="11186D98"/>
    <w:rsid w:val="11205B44"/>
    <w:rsid w:val="11226942"/>
    <w:rsid w:val="1162972B"/>
    <w:rsid w:val="11764BCE"/>
    <w:rsid w:val="118318EE"/>
    <w:rsid w:val="1184CBF8"/>
    <w:rsid w:val="118C4CCC"/>
    <w:rsid w:val="119F570D"/>
    <w:rsid w:val="11D10518"/>
    <w:rsid w:val="11D82D58"/>
    <w:rsid w:val="11EC49A3"/>
    <w:rsid w:val="11ED48D5"/>
    <w:rsid w:val="1207D01C"/>
    <w:rsid w:val="1220E0C5"/>
    <w:rsid w:val="1221716F"/>
    <w:rsid w:val="12347169"/>
    <w:rsid w:val="12624ACF"/>
    <w:rsid w:val="12A6FD19"/>
    <w:rsid w:val="12C71AC2"/>
    <w:rsid w:val="12CD83AD"/>
    <w:rsid w:val="1300A422"/>
    <w:rsid w:val="1308D265"/>
    <w:rsid w:val="130FC85D"/>
    <w:rsid w:val="1318BBFE"/>
    <w:rsid w:val="132510E1"/>
    <w:rsid w:val="13283EB0"/>
    <w:rsid w:val="132C9D3A"/>
    <w:rsid w:val="133880A0"/>
    <w:rsid w:val="134327CC"/>
    <w:rsid w:val="13564D32"/>
    <w:rsid w:val="135AB25F"/>
    <w:rsid w:val="13647C3B"/>
    <w:rsid w:val="136DA787"/>
    <w:rsid w:val="13820665"/>
    <w:rsid w:val="1385C78C"/>
    <w:rsid w:val="138BA6EE"/>
    <w:rsid w:val="13CB6C07"/>
    <w:rsid w:val="13F3ABA3"/>
    <w:rsid w:val="142B7E71"/>
    <w:rsid w:val="142E0AC7"/>
    <w:rsid w:val="144D4AF9"/>
    <w:rsid w:val="145A8746"/>
    <w:rsid w:val="147CD5F9"/>
    <w:rsid w:val="14876828"/>
    <w:rsid w:val="1492F7F1"/>
    <w:rsid w:val="149AB42B"/>
    <w:rsid w:val="14A2EDCA"/>
    <w:rsid w:val="14B1137C"/>
    <w:rsid w:val="14B491DE"/>
    <w:rsid w:val="14C88465"/>
    <w:rsid w:val="14CEE012"/>
    <w:rsid w:val="1502B588"/>
    <w:rsid w:val="1508DE22"/>
    <w:rsid w:val="150FEF1E"/>
    <w:rsid w:val="151234BC"/>
    <w:rsid w:val="15356B2F"/>
    <w:rsid w:val="153E9F68"/>
    <w:rsid w:val="157AD8BD"/>
    <w:rsid w:val="15860152"/>
    <w:rsid w:val="15D4481A"/>
    <w:rsid w:val="15E1BC7F"/>
    <w:rsid w:val="15F4B439"/>
    <w:rsid w:val="16185437"/>
    <w:rsid w:val="165FD269"/>
    <w:rsid w:val="1694EE62"/>
    <w:rsid w:val="16BC7259"/>
    <w:rsid w:val="16CE85DA"/>
    <w:rsid w:val="16D80C1A"/>
    <w:rsid w:val="16EA3190"/>
    <w:rsid w:val="16EF782D"/>
    <w:rsid w:val="1706C046"/>
    <w:rsid w:val="171E5E3F"/>
    <w:rsid w:val="17241B02"/>
    <w:rsid w:val="17278498"/>
    <w:rsid w:val="173C1C1A"/>
    <w:rsid w:val="17544595"/>
    <w:rsid w:val="1760C2C0"/>
    <w:rsid w:val="17730867"/>
    <w:rsid w:val="1777B43E"/>
    <w:rsid w:val="1780819A"/>
    <w:rsid w:val="17878142"/>
    <w:rsid w:val="178C0581"/>
    <w:rsid w:val="17A58203"/>
    <w:rsid w:val="17B141EE"/>
    <w:rsid w:val="17C40364"/>
    <w:rsid w:val="17CADDDB"/>
    <w:rsid w:val="17E65E70"/>
    <w:rsid w:val="17EB1BF0"/>
    <w:rsid w:val="181052F3"/>
    <w:rsid w:val="186F722C"/>
    <w:rsid w:val="1885F3C8"/>
    <w:rsid w:val="188CBE5E"/>
    <w:rsid w:val="1890E560"/>
    <w:rsid w:val="189A6A0C"/>
    <w:rsid w:val="18AEF745"/>
    <w:rsid w:val="18B3A0F4"/>
    <w:rsid w:val="18D0CD15"/>
    <w:rsid w:val="18F63CAB"/>
    <w:rsid w:val="1933C9AF"/>
    <w:rsid w:val="1948C9BB"/>
    <w:rsid w:val="19C1322B"/>
    <w:rsid w:val="19C2FFB0"/>
    <w:rsid w:val="19D5C178"/>
    <w:rsid w:val="19EE36FA"/>
    <w:rsid w:val="19F19A7D"/>
    <w:rsid w:val="1A6A1C5C"/>
    <w:rsid w:val="1A7B984D"/>
    <w:rsid w:val="1A8B0400"/>
    <w:rsid w:val="1AA7DAC5"/>
    <w:rsid w:val="1B0DE1B9"/>
    <w:rsid w:val="1B2CABE7"/>
    <w:rsid w:val="1B47D43C"/>
    <w:rsid w:val="1B7164E8"/>
    <w:rsid w:val="1B7298F0"/>
    <w:rsid w:val="1B8D6255"/>
    <w:rsid w:val="1B9898A4"/>
    <w:rsid w:val="1BAEA0CF"/>
    <w:rsid w:val="1BB85E34"/>
    <w:rsid w:val="1BB88741"/>
    <w:rsid w:val="1BC56EFF"/>
    <w:rsid w:val="1BDAD384"/>
    <w:rsid w:val="1BF0B177"/>
    <w:rsid w:val="1C05C3DA"/>
    <w:rsid w:val="1C22C042"/>
    <w:rsid w:val="1C357B6E"/>
    <w:rsid w:val="1C5A2159"/>
    <w:rsid w:val="1C8038E4"/>
    <w:rsid w:val="1C9589EF"/>
    <w:rsid w:val="1C9EFCB9"/>
    <w:rsid w:val="1CC9F419"/>
    <w:rsid w:val="1CDFA7AF"/>
    <w:rsid w:val="1D15A784"/>
    <w:rsid w:val="1D1CF972"/>
    <w:rsid w:val="1D46FEA3"/>
    <w:rsid w:val="1D7BCD70"/>
    <w:rsid w:val="1DA9407C"/>
    <w:rsid w:val="1DC8882C"/>
    <w:rsid w:val="1DCA44C8"/>
    <w:rsid w:val="1DE187EA"/>
    <w:rsid w:val="1DF13886"/>
    <w:rsid w:val="1E064EE6"/>
    <w:rsid w:val="1E09BE55"/>
    <w:rsid w:val="1E2B9279"/>
    <w:rsid w:val="1E2CB6FF"/>
    <w:rsid w:val="1E68EF3F"/>
    <w:rsid w:val="1E6E1F7C"/>
    <w:rsid w:val="1E9A7993"/>
    <w:rsid w:val="1E9D2E14"/>
    <w:rsid w:val="1E9F2582"/>
    <w:rsid w:val="1EBD9CC3"/>
    <w:rsid w:val="1F2887F4"/>
    <w:rsid w:val="1F3BA144"/>
    <w:rsid w:val="1F483CF3"/>
    <w:rsid w:val="1F6A2D04"/>
    <w:rsid w:val="1F797B4F"/>
    <w:rsid w:val="1FA73EF5"/>
    <w:rsid w:val="1FDBC23A"/>
    <w:rsid w:val="1FE6B2DE"/>
    <w:rsid w:val="1FF54188"/>
    <w:rsid w:val="2007995E"/>
    <w:rsid w:val="2009706D"/>
    <w:rsid w:val="204D4D4B"/>
    <w:rsid w:val="20654FA2"/>
    <w:rsid w:val="20704C36"/>
    <w:rsid w:val="20729A96"/>
    <w:rsid w:val="2073C4DE"/>
    <w:rsid w:val="207BCA62"/>
    <w:rsid w:val="208DD347"/>
    <w:rsid w:val="208E0A6E"/>
    <w:rsid w:val="20A4D843"/>
    <w:rsid w:val="20AE162E"/>
    <w:rsid w:val="20B5200A"/>
    <w:rsid w:val="20C40CA0"/>
    <w:rsid w:val="214E1C70"/>
    <w:rsid w:val="2163F95A"/>
    <w:rsid w:val="2185170D"/>
    <w:rsid w:val="21999705"/>
    <w:rsid w:val="21AD219F"/>
    <w:rsid w:val="21AFCCB5"/>
    <w:rsid w:val="21BAA253"/>
    <w:rsid w:val="2217371F"/>
    <w:rsid w:val="221BFD8C"/>
    <w:rsid w:val="222F459B"/>
    <w:rsid w:val="2289A62F"/>
    <w:rsid w:val="22A2EEA1"/>
    <w:rsid w:val="22B32AD4"/>
    <w:rsid w:val="22B7184F"/>
    <w:rsid w:val="22CE9E77"/>
    <w:rsid w:val="2305E225"/>
    <w:rsid w:val="2320C920"/>
    <w:rsid w:val="233B7515"/>
    <w:rsid w:val="2357389E"/>
    <w:rsid w:val="23652D9F"/>
    <w:rsid w:val="239079A3"/>
    <w:rsid w:val="239336F1"/>
    <w:rsid w:val="23B3DB96"/>
    <w:rsid w:val="23C787B4"/>
    <w:rsid w:val="23CC2738"/>
    <w:rsid w:val="23D6B4B8"/>
    <w:rsid w:val="23F69A16"/>
    <w:rsid w:val="23FDD91D"/>
    <w:rsid w:val="23FE5CD1"/>
    <w:rsid w:val="2422B9AD"/>
    <w:rsid w:val="24314C46"/>
    <w:rsid w:val="2444E213"/>
    <w:rsid w:val="244B0420"/>
    <w:rsid w:val="2454DA12"/>
    <w:rsid w:val="2476B2E3"/>
    <w:rsid w:val="247D4A6B"/>
    <w:rsid w:val="24950D92"/>
    <w:rsid w:val="24E5492D"/>
    <w:rsid w:val="24E6B8E3"/>
    <w:rsid w:val="2510C8CD"/>
    <w:rsid w:val="25193370"/>
    <w:rsid w:val="253F26B7"/>
    <w:rsid w:val="257B97DE"/>
    <w:rsid w:val="25B28A66"/>
    <w:rsid w:val="25B6EDFC"/>
    <w:rsid w:val="25B9D9A6"/>
    <w:rsid w:val="25CCA5C4"/>
    <w:rsid w:val="25FCCEE3"/>
    <w:rsid w:val="261A4128"/>
    <w:rsid w:val="26316AD9"/>
    <w:rsid w:val="2663B96F"/>
    <w:rsid w:val="2670258F"/>
    <w:rsid w:val="270027E5"/>
    <w:rsid w:val="274722FF"/>
    <w:rsid w:val="275E219E"/>
    <w:rsid w:val="276DD94B"/>
    <w:rsid w:val="27817DF5"/>
    <w:rsid w:val="278CD974"/>
    <w:rsid w:val="27BEE9DB"/>
    <w:rsid w:val="27CA098F"/>
    <w:rsid w:val="27CA70A3"/>
    <w:rsid w:val="27CBD18C"/>
    <w:rsid w:val="27DD9E3B"/>
    <w:rsid w:val="27E0C389"/>
    <w:rsid w:val="27E74B8D"/>
    <w:rsid w:val="27F021CC"/>
    <w:rsid w:val="284DA7E9"/>
    <w:rsid w:val="288ABA5F"/>
    <w:rsid w:val="2898510D"/>
    <w:rsid w:val="28A0F6B6"/>
    <w:rsid w:val="28AC3DBD"/>
    <w:rsid w:val="28BD87AE"/>
    <w:rsid w:val="28DC0024"/>
    <w:rsid w:val="2908AFF7"/>
    <w:rsid w:val="291A18AE"/>
    <w:rsid w:val="292245CC"/>
    <w:rsid w:val="2925D5DC"/>
    <w:rsid w:val="2926D696"/>
    <w:rsid w:val="292C9F78"/>
    <w:rsid w:val="293119A2"/>
    <w:rsid w:val="293A382D"/>
    <w:rsid w:val="293DE10B"/>
    <w:rsid w:val="29795CBA"/>
    <w:rsid w:val="29A35890"/>
    <w:rsid w:val="29C7CA82"/>
    <w:rsid w:val="29D7037D"/>
    <w:rsid w:val="29DD0C1D"/>
    <w:rsid w:val="2A416807"/>
    <w:rsid w:val="2A5F2CEC"/>
    <w:rsid w:val="2A8B8087"/>
    <w:rsid w:val="2AE5692B"/>
    <w:rsid w:val="2B0750D2"/>
    <w:rsid w:val="2B15D99D"/>
    <w:rsid w:val="2B418183"/>
    <w:rsid w:val="2B4B1EB9"/>
    <w:rsid w:val="2B4E325E"/>
    <w:rsid w:val="2B585F3F"/>
    <w:rsid w:val="2B8CA4CC"/>
    <w:rsid w:val="2B941058"/>
    <w:rsid w:val="2B9F75D3"/>
    <w:rsid w:val="2BA7E755"/>
    <w:rsid w:val="2BDABCD2"/>
    <w:rsid w:val="2BEA3E95"/>
    <w:rsid w:val="2BFF62A4"/>
    <w:rsid w:val="2C0255C6"/>
    <w:rsid w:val="2C294DE4"/>
    <w:rsid w:val="2CCA5326"/>
    <w:rsid w:val="2CDD0D87"/>
    <w:rsid w:val="2D1CD980"/>
    <w:rsid w:val="2D3AD839"/>
    <w:rsid w:val="2D3C7607"/>
    <w:rsid w:val="2D4C093C"/>
    <w:rsid w:val="2D4C55EA"/>
    <w:rsid w:val="2D4CB318"/>
    <w:rsid w:val="2D6A1AF9"/>
    <w:rsid w:val="2DA53C59"/>
    <w:rsid w:val="2DA9F644"/>
    <w:rsid w:val="2DB85C2A"/>
    <w:rsid w:val="2E002BCC"/>
    <w:rsid w:val="2E008227"/>
    <w:rsid w:val="2E1F3F03"/>
    <w:rsid w:val="2E360D23"/>
    <w:rsid w:val="2E5C3309"/>
    <w:rsid w:val="2E5EABFF"/>
    <w:rsid w:val="2E71D635"/>
    <w:rsid w:val="2E8BB14C"/>
    <w:rsid w:val="2EB6BF20"/>
    <w:rsid w:val="2EB7B8E2"/>
    <w:rsid w:val="2EC48926"/>
    <w:rsid w:val="2EFC97E4"/>
    <w:rsid w:val="2F76F237"/>
    <w:rsid w:val="2F7FE73F"/>
    <w:rsid w:val="2FE07D05"/>
    <w:rsid w:val="3000598D"/>
    <w:rsid w:val="302C350E"/>
    <w:rsid w:val="30401EA0"/>
    <w:rsid w:val="3056B31E"/>
    <w:rsid w:val="30D25BDA"/>
    <w:rsid w:val="30EC284D"/>
    <w:rsid w:val="30F17C91"/>
    <w:rsid w:val="3146DC3A"/>
    <w:rsid w:val="317AEB78"/>
    <w:rsid w:val="319DA7C4"/>
    <w:rsid w:val="31B1C894"/>
    <w:rsid w:val="31C01434"/>
    <w:rsid w:val="31C90F8E"/>
    <w:rsid w:val="31E9368C"/>
    <w:rsid w:val="31EFF075"/>
    <w:rsid w:val="32064749"/>
    <w:rsid w:val="320A0A9A"/>
    <w:rsid w:val="32239D30"/>
    <w:rsid w:val="32489828"/>
    <w:rsid w:val="32B9BBDA"/>
    <w:rsid w:val="32F73BD6"/>
    <w:rsid w:val="33036441"/>
    <w:rsid w:val="335A46C5"/>
    <w:rsid w:val="335AC5A1"/>
    <w:rsid w:val="336ECF02"/>
    <w:rsid w:val="339C7D0E"/>
    <w:rsid w:val="33ABCE8B"/>
    <w:rsid w:val="33C77BEF"/>
    <w:rsid w:val="33D80CF5"/>
    <w:rsid w:val="3418B5E5"/>
    <w:rsid w:val="34451C1F"/>
    <w:rsid w:val="344BDA36"/>
    <w:rsid w:val="34657EBB"/>
    <w:rsid w:val="346D76EB"/>
    <w:rsid w:val="34C6BA26"/>
    <w:rsid w:val="350CD775"/>
    <w:rsid w:val="35106D90"/>
    <w:rsid w:val="351F488B"/>
    <w:rsid w:val="3537E5E2"/>
    <w:rsid w:val="353DC8B0"/>
    <w:rsid w:val="3571E307"/>
    <w:rsid w:val="358E4706"/>
    <w:rsid w:val="35D34E71"/>
    <w:rsid w:val="35F89B7C"/>
    <w:rsid w:val="3605F36A"/>
    <w:rsid w:val="36632347"/>
    <w:rsid w:val="3677C559"/>
    <w:rsid w:val="367A6EA6"/>
    <w:rsid w:val="368B4C5E"/>
    <w:rsid w:val="36B1C987"/>
    <w:rsid w:val="36BB18E2"/>
    <w:rsid w:val="37032D8F"/>
    <w:rsid w:val="370FF550"/>
    <w:rsid w:val="372E4400"/>
    <w:rsid w:val="374B1D6E"/>
    <w:rsid w:val="376DEDA5"/>
    <w:rsid w:val="3782DFA5"/>
    <w:rsid w:val="379B56D4"/>
    <w:rsid w:val="37E729EE"/>
    <w:rsid w:val="3825CA43"/>
    <w:rsid w:val="3832E9BB"/>
    <w:rsid w:val="38528222"/>
    <w:rsid w:val="38AC821D"/>
    <w:rsid w:val="38AE734B"/>
    <w:rsid w:val="38B8A829"/>
    <w:rsid w:val="38BAB5C5"/>
    <w:rsid w:val="38CC6EDD"/>
    <w:rsid w:val="38E6A087"/>
    <w:rsid w:val="38F2D6E2"/>
    <w:rsid w:val="390D7302"/>
    <w:rsid w:val="39245753"/>
    <w:rsid w:val="392C890F"/>
    <w:rsid w:val="3931BA45"/>
    <w:rsid w:val="39574747"/>
    <w:rsid w:val="3975868A"/>
    <w:rsid w:val="39972701"/>
    <w:rsid w:val="39A7D460"/>
    <w:rsid w:val="39C1C9DB"/>
    <w:rsid w:val="39D9FF80"/>
    <w:rsid w:val="39DA35A2"/>
    <w:rsid w:val="3A13DBA4"/>
    <w:rsid w:val="3A170738"/>
    <w:rsid w:val="3A1A51DD"/>
    <w:rsid w:val="3A1ECD20"/>
    <w:rsid w:val="3A35DFEE"/>
    <w:rsid w:val="3A4234B6"/>
    <w:rsid w:val="3A52F87E"/>
    <w:rsid w:val="3A5A5917"/>
    <w:rsid w:val="3A78B878"/>
    <w:rsid w:val="3A98ABF3"/>
    <w:rsid w:val="3AD642FA"/>
    <w:rsid w:val="3AE98CF7"/>
    <w:rsid w:val="3B164998"/>
    <w:rsid w:val="3B41F5E0"/>
    <w:rsid w:val="3B482AA4"/>
    <w:rsid w:val="3B4D99EF"/>
    <w:rsid w:val="3B5642DA"/>
    <w:rsid w:val="3B5BAF3B"/>
    <w:rsid w:val="3B6C722C"/>
    <w:rsid w:val="3B7875F3"/>
    <w:rsid w:val="3BB0DE34"/>
    <w:rsid w:val="3BC21AB0"/>
    <w:rsid w:val="3BF4A14F"/>
    <w:rsid w:val="3C065789"/>
    <w:rsid w:val="3C16D756"/>
    <w:rsid w:val="3C2A3C78"/>
    <w:rsid w:val="3C2C9235"/>
    <w:rsid w:val="3C3209B6"/>
    <w:rsid w:val="3C321CF7"/>
    <w:rsid w:val="3C37283A"/>
    <w:rsid w:val="3C54E25B"/>
    <w:rsid w:val="3C5A3A0F"/>
    <w:rsid w:val="3C69394F"/>
    <w:rsid w:val="3C8813AC"/>
    <w:rsid w:val="3CA204A3"/>
    <w:rsid w:val="3CA7F9B9"/>
    <w:rsid w:val="3CC49BB3"/>
    <w:rsid w:val="3CD70410"/>
    <w:rsid w:val="3D186FE2"/>
    <w:rsid w:val="3D71C913"/>
    <w:rsid w:val="3D7EAEB6"/>
    <w:rsid w:val="3DAB3B92"/>
    <w:rsid w:val="3DC0B95C"/>
    <w:rsid w:val="3E0B42CD"/>
    <w:rsid w:val="3E29AA2A"/>
    <w:rsid w:val="3E549784"/>
    <w:rsid w:val="3E75E79F"/>
    <w:rsid w:val="3E801345"/>
    <w:rsid w:val="3EB747DE"/>
    <w:rsid w:val="3EC43E57"/>
    <w:rsid w:val="3EF2B31B"/>
    <w:rsid w:val="3EF9E739"/>
    <w:rsid w:val="3F123E22"/>
    <w:rsid w:val="3F5FC609"/>
    <w:rsid w:val="3F60B04C"/>
    <w:rsid w:val="3F64BEBE"/>
    <w:rsid w:val="3F70869E"/>
    <w:rsid w:val="3F986388"/>
    <w:rsid w:val="3F9F182A"/>
    <w:rsid w:val="3FAB453F"/>
    <w:rsid w:val="3FB6F264"/>
    <w:rsid w:val="3FBE9201"/>
    <w:rsid w:val="3FD0B38D"/>
    <w:rsid w:val="3FEE16E0"/>
    <w:rsid w:val="3FEFED50"/>
    <w:rsid w:val="3FF3F6A1"/>
    <w:rsid w:val="40085736"/>
    <w:rsid w:val="4084EC89"/>
    <w:rsid w:val="408EB392"/>
    <w:rsid w:val="40BE3FAE"/>
    <w:rsid w:val="40EF59D7"/>
    <w:rsid w:val="40F3E5B0"/>
    <w:rsid w:val="40F51118"/>
    <w:rsid w:val="41082B9E"/>
    <w:rsid w:val="410E2DE1"/>
    <w:rsid w:val="411A218C"/>
    <w:rsid w:val="412E1268"/>
    <w:rsid w:val="412EC37E"/>
    <w:rsid w:val="413A048E"/>
    <w:rsid w:val="413A8D9A"/>
    <w:rsid w:val="4165A2EB"/>
    <w:rsid w:val="416D3234"/>
    <w:rsid w:val="419AC98B"/>
    <w:rsid w:val="41A6E476"/>
    <w:rsid w:val="41ACFBE7"/>
    <w:rsid w:val="41DC680B"/>
    <w:rsid w:val="41E3E5CD"/>
    <w:rsid w:val="42226BAD"/>
    <w:rsid w:val="422CD588"/>
    <w:rsid w:val="4257DA47"/>
    <w:rsid w:val="425828B2"/>
    <w:rsid w:val="427952E4"/>
    <w:rsid w:val="428D532A"/>
    <w:rsid w:val="428EBB79"/>
    <w:rsid w:val="42BE1A18"/>
    <w:rsid w:val="42DBDF24"/>
    <w:rsid w:val="430B1162"/>
    <w:rsid w:val="432F760C"/>
    <w:rsid w:val="4341A545"/>
    <w:rsid w:val="434F2878"/>
    <w:rsid w:val="435DE61D"/>
    <w:rsid w:val="4364ADAA"/>
    <w:rsid w:val="4387CA01"/>
    <w:rsid w:val="43A8A72E"/>
    <w:rsid w:val="43A94B1A"/>
    <w:rsid w:val="43AAF194"/>
    <w:rsid w:val="43BD238D"/>
    <w:rsid w:val="44034A24"/>
    <w:rsid w:val="44074F06"/>
    <w:rsid w:val="442277CC"/>
    <w:rsid w:val="442D6D83"/>
    <w:rsid w:val="4439232E"/>
    <w:rsid w:val="4445402F"/>
    <w:rsid w:val="444651B5"/>
    <w:rsid w:val="44591E41"/>
    <w:rsid w:val="449EA595"/>
    <w:rsid w:val="44ABC272"/>
    <w:rsid w:val="44B29E10"/>
    <w:rsid w:val="44F03444"/>
    <w:rsid w:val="44F2A103"/>
    <w:rsid w:val="44F36EED"/>
    <w:rsid w:val="44F8EC1B"/>
    <w:rsid w:val="4503E5BF"/>
    <w:rsid w:val="453D0DAC"/>
    <w:rsid w:val="454D304C"/>
    <w:rsid w:val="454FED5B"/>
    <w:rsid w:val="45AE8AEB"/>
    <w:rsid w:val="45E4F49C"/>
    <w:rsid w:val="45EEB110"/>
    <w:rsid w:val="45F1BA2C"/>
    <w:rsid w:val="45F9861A"/>
    <w:rsid w:val="45FAB32A"/>
    <w:rsid w:val="46004DAA"/>
    <w:rsid w:val="4631228B"/>
    <w:rsid w:val="4634BFF4"/>
    <w:rsid w:val="4665175B"/>
    <w:rsid w:val="4667D81F"/>
    <w:rsid w:val="466E1175"/>
    <w:rsid w:val="467DFC1A"/>
    <w:rsid w:val="468AF067"/>
    <w:rsid w:val="46B83C42"/>
    <w:rsid w:val="46BFCC5C"/>
    <w:rsid w:val="46C85E8C"/>
    <w:rsid w:val="46D039E5"/>
    <w:rsid w:val="46D62B5A"/>
    <w:rsid w:val="4705F71F"/>
    <w:rsid w:val="4714D4B5"/>
    <w:rsid w:val="47263C7D"/>
    <w:rsid w:val="474547BD"/>
    <w:rsid w:val="474D3C15"/>
    <w:rsid w:val="4756701D"/>
    <w:rsid w:val="478EC8A6"/>
    <w:rsid w:val="47B940B8"/>
    <w:rsid w:val="47ED1FF4"/>
    <w:rsid w:val="47F0C472"/>
    <w:rsid w:val="4828B1E2"/>
    <w:rsid w:val="4846ED7A"/>
    <w:rsid w:val="487841E0"/>
    <w:rsid w:val="4882E595"/>
    <w:rsid w:val="488A9316"/>
    <w:rsid w:val="4893C92B"/>
    <w:rsid w:val="489C3BDD"/>
    <w:rsid w:val="48B1E700"/>
    <w:rsid w:val="48BCE7D2"/>
    <w:rsid w:val="48BF2960"/>
    <w:rsid w:val="48EBC4A0"/>
    <w:rsid w:val="48EDBB9A"/>
    <w:rsid w:val="48EDF79C"/>
    <w:rsid w:val="4903F922"/>
    <w:rsid w:val="491EB984"/>
    <w:rsid w:val="495BD97C"/>
    <w:rsid w:val="49706502"/>
    <w:rsid w:val="49733043"/>
    <w:rsid w:val="49774DAE"/>
    <w:rsid w:val="49A0375E"/>
    <w:rsid w:val="49B184D9"/>
    <w:rsid w:val="49E6E5AB"/>
    <w:rsid w:val="49F00911"/>
    <w:rsid w:val="4A10649B"/>
    <w:rsid w:val="4A186028"/>
    <w:rsid w:val="4A1C13C7"/>
    <w:rsid w:val="4A3751F1"/>
    <w:rsid w:val="4A46B388"/>
    <w:rsid w:val="4A49B623"/>
    <w:rsid w:val="4A4ED35F"/>
    <w:rsid w:val="4A572BA7"/>
    <w:rsid w:val="4A788A6D"/>
    <w:rsid w:val="4A7CFF70"/>
    <w:rsid w:val="4A7E5836"/>
    <w:rsid w:val="4A90A5C3"/>
    <w:rsid w:val="4A975FB0"/>
    <w:rsid w:val="4AD76167"/>
    <w:rsid w:val="4ADAC2B2"/>
    <w:rsid w:val="4AFB1AC9"/>
    <w:rsid w:val="4B12ACDD"/>
    <w:rsid w:val="4B23097A"/>
    <w:rsid w:val="4B5CDC6C"/>
    <w:rsid w:val="4B887A97"/>
    <w:rsid w:val="4B9FADB8"/>
    <w:rsid w:val="4BBB653B"/>
    <w:rsid w:val="4BC4C043"/>
    <w:rsid w:val="4BD76F2C"/>
    <w:rsid w:val="4BE177EA"/>
    <w:rsid w:val="4BFEFCCD"/>
    <w:rsid w:val="4C27A3BB"/>
    <w:rsid w:val="4C5F0525"/>
    <w:rsid w:val="4C64F166"/>
    <w:rsid w:val="4C82F897"/>
    <w:rsid w:val="4C977898"/>
    <w:rsid w:val="4CB55E59"/>
    <w:rsid w:val="4CBB6AD7"/>
    <w:rsid w:val="4CBC74D3"/>
    <w:rsid w:val="4CCFDA1C"/>
    <w:rsid w:val="4CD5575B"/>
    <w:rsid w:val="4D25A9A7"/>
    <w:rsid w:val="4D35A3E6"/>
    <w:rsid w:val="4D5283F7"/>
    <w:rsid w:val="4D683777"/>
    <w:rsid w:val="4D691179"/>
    <w:rsid w:val="4D938DF2"/>
    <w:rsid w:val="4DCD37F6"/>
    <w:rsid w:val="4DD17DB3"/>
    <w:rsid w:val="4DD375E6"/>
    <w:rsid w:val="4DE72F6D"/>
    <w:rsid w:val="4DF3A8AC"/>
    <w:rsid w:val="4DF97F29"/>
    <w:rsid w:val="4E12BEA8"/>
    <w:rsid w:val="4E2C35AF"/>
    <w:rsid w:val="4E324D6D"/>
    <w:rsid w:val="4E46EF05"/>
    <w:rsid w:val="4E654A9A"/>
    <w:rsid w:val="4E7409AE"/>
    <w:rsid w:val="4EA1DA20"/>
    <w:rsid w:val="4EA93A7B"/>
    <w:rsid w:val="4EC0670B"/>
    <w:rsid w:val="4EC194D6"/>
    <w:rsid w:val="4EEB036A"/>
    <w:rsid w:val="4EED46D5"/>
    <w:rsid w:val="4EFF040C"/>
    <w:rsid w:val="4F232743"/>
    <w:rsid w:val="4F5ACD66"/>
    <w:rsid w:val="4F611BD9"/>
    <w:rsid w:val="4F80DA8C"/>
    <w:rsid w:val="4F951FA1"/>
    <w:rsid w:val="4F99F1A7"/>
    <w:rsid w:val="4FB08509"/>
    <w:rsid w:val="4FB74392"/>
    <w:rsid w:val="4FC936CA"/>
    <w:rsid w:val="4FCAF891"/>
    <w:rsid w:val="500E5399"/>
    <w:rsid w:val="501D7E67"/>
    <w:rsid w:val="50264B71"/>
    <w:rsid w:val="50379E7C"/>
    <w:rsid w:val="503DE585"/>
    <w:rsid w:val="50438A13"/>
    <w:rsid w:val="5065590D"/>
    <w:rsid w:val="507C880D"/>
    <w:rsid w:val="5098394D"/>
    <w:rsid w:val="509CB5AB"/>
    <w:rsid w:val="50A14AE9"/>
    <w:rsid w:val="50D01043"/>
    <w:rsid w:val="510113CC"/>
    <w:rsid w:val="51043A54"/>
    <w:rsid w:val="510B70AE"/>
    <w:rsid w:val="51BA22DE"/>
    <w:rsid w:val="51BE1124"/>
    <w:rsid w:val="51DA29AE"/>
    <w:rsid w:val="5219A9FA"/>
    <w:rsid w:val="521B6CF9"/>
    <w:rsid w:val="52254A1A"/>
    <w:rsid w:val="5241C259"/>
    <w:rsid w:val="52468A89"/>
    <w:rsid w:val="524DBF97"/>
    <w:rsid w:val="526798B3"/>
    <w:rsid w:val="527698E0"/>
    <w:rsid w:val="527A2EC1"/>
    <w:rsid w:val="528A0F54"/>
    <w:rsid w:val="52BBB895"/>
    <w:rsid w:val="52D498FC"/>
    <w:rsid w:val="52DC1C07"/>
    <w:rsid w:val="52EEC780"/>
    <w:rsid w:val="52F23D5C"/>
    <w:rsid w:val="52F4DDA3"/>
    <w:rsid w:val="53231AFE"/>
    <w:rsid w:val="532974CE"/>
    <w:rsid w:val="532E4B49"/>
    <w:rsid w:val="5353D938"/>
    <w:rsid w:val="53586B45"/>
    <w:rsid w:val="5376B4D3"/>
    <w:rsid w:val="53815A3E"/>
    <w:rsid w:val="53A85267"/>
    <w:rsid w:val="53E29CA4"/>
    <w:rsid w:val="53EE156C"/>
    <w:rsid w:val="540DA087"/>
    <w:rsid w:val="543C6542"/>
    <w:rsid w:val="544E35FA"/>
    <w:rsid w:val="545EC404"/>
    <w:rsid w:val="5466286B"/>
    <w:rsid w:val="54906C01"/>
    <w:rsid w:val="549B0D72"/>
    <w:rsid w:val="54A83799"/>
    <w:rsid w:val="54B0AD17"/>
    <w:rsid w:val="550679CF"/>
    <w:rsid w:val="555B44BE"/>
    <w:rsid w:val="5563C1E1"/>
    <w:rsid w:val="55F0BC9F"/>
    <w:rsid w:val="5658B9A8"/>
    <w:rsid w:val="565A97B4"/>
    <w:rsid w:val="5664BD1E"/>
    <w:rsid w:val="566E3C6E"/>
    <w:rsid w:val="56D0665D"/>
    <w:rsid w:val="56FCAFE0"/>
    <w:rsid w:val="5710F10C"/>
    <w:rsid w:val="5722253A"/>
    <w:rsid w:val="5774A258"/>
    <w:rsid w:val="57A95BF2"/>
    <w:rsid w:val="57CF6CBE"/>
    <w:rsid w:val="57E19EFF"/>
    <w:rsid w:val="58431F06"/>
    <w:rsid w:val="5866E367"/>
    <w:rsid w:val="58CAAD37"/>
    <w:rsid w:val="58DD8FB3"/>
    <w:rsid w:val="5935ACAB"/>
    <w:rsid w:val="593D08AC"/>
    <w:rsid w:val="5972587D"/>
    <w:rsid w:val="59A6A201"/>
    <w:rsid w:val="59A9C3CA"/>
    <w:rsid w:val="59B96881"/>
    <w:rsid w:val="59CDCF7A"/>
    <w:rsid w:val="59D208BC"/>
    <w:rsid w:val="59DC00AC"/>
    <w:rsid w:val="59F9C665"/>
    <w:rsid w:val="5A085BDF"/>
    <w:rsid w:val="5A0BC190"/>
    <w:rsid w:val="5A22BDC9"/>
    <w:rsid w:val="5A27B42A"/>
    <w:rsid w:val="5A45883D"/>
    <w:rsid w:val="5A4D9982"/>
    <w:rsid w:val="5A6924EE"/>
    <w:rsid w:val="5A9583A3"/>
    <w:rsid w:val="5A98CB4A"/>
    <w:rsid w:val="5AB0B167"/>
    <w:rsid w:val="5AE6BDDD"/>
    <w:rsid w:val="5AFDAA20"/>
    <w:rsid w:val="5B10FF13"/>
    <w:rsid w:val="5B1B2C0B"/>
    <w:rsid w:val="5B2E8A19"/>
    <w:rsid w:val="5B2EBADB"/>
    <w:rsid w:val="5B4E48F7"/>
    <w:rsid w:val="5B62579A"/>
    <w:rsid w:val="5B6BE3AD"/>
    <w:rsid w:val="5B8F955F"/>
    <w:rsid w:val="5B9083E7"/>
    <w:rsid w:val="5BAE39AE"/>
    <w:rsid w:val="5BB1EE94"/>
    <w:rsid w:val="5BB3EFA0"/>
    <w:rsid w:val="5BC202A1"/>
    <w:rsid w:val="5BF7A251"/>
    <w:rsid w:val="5C02CE46"/>
    <w:rsid w:val="5C2A90C3"/>
    <w:rsid w:val="5C3D0325"/>
    <w:rsid w:val="5C45417E"/>
    <w:rsid w:val="5C47ABA4"/>
    <w:rsid w:val="5C5AC9E0"/>
    <w:rsid w:val="5C61CCA3"/>
    <w:rsid w:val="5C62A8FD"/>
    <w:rsid w:val="5C6E31AF"/>
    <w:rsid w:val="5CAB42BB"/>
    <w:rsid w:val="5CD2EC5E"/>
    <w:rsid w:val="5CE252F4"/>
    <w:rsid w:val="5CF11B9B"/>
    <w:rsid w:val="5CF78B93"/>
    <w:rsid w:val="5D0EA16C"/>
    <w:rsid w:val="5D4E1B51"/>
    <w:rsid w:val="5D562A4B"/>
    <w:rsid w:val="5D66BA32"/>
    <w:rsid w:val="5D814DED"/>
    <w:rsid w:val="5DA82CB1"/>
    <w:rsid w:val="5DB8DED4"/>
    <w:rsid w:val="5DCDC5B7"/>
    <w:rsid w:val="5DE00534"/>
    <w:rsid w:val="5DE00793"/>
    <w:rsid w:val="5E0F0D4A"/>
    <w:rsid w:val="5E419D87"/>
    <w:rsid w:val="5E488879"/>
    <w:rsid w:val="5E4A0DDF"/>
    <w:rsid w:val="5E5A317E"/>
    <w:rsid w:val="5E723F33"/>
    <w:rsid w:val="5E84C0A6"/>
    <w:rsid w:val="5E8834E3"/>
    <w:rsid w:val="5EC4DFF4"/>
    <w:rsid w:val="5EC93A15"/>
    <w:rsid w:val="5ED77C5B"/>
    <w:rsid w:val="5EE9975F"/>
    <w:rsid w:val="5F5DBA05"/>
    <w:rsid w:val="5F6DB6A3"/>
    <w:rsid w:val="5FA2CB29"/>
    <w:rsid w:val="5FA40012"/>
    <w:rsid w:val="5FADBFFD"/>
    <w:rsid w:val="5FEFAF79"/>
    <w:rsid w:val="5FF8D118"/>
    <w:rsid w:val="5FFAA627"/>
    <w:rsid w:val="5FFF640D"/>
    <w:rsid w:val="6012926E"/>
    <w:rsid w:val="60520E44"/>
    <w:rsid w:val="60A85AAF"/>
    <w:rsid w:val="60DE6F75"/>
    <w:rsid w:val="60E0393C"/>
    <w:rsid w:val="6126A5E2"/>
    <w:rsid w:val="61540040"/>
    <w:rsid w:val="6187027E"/>
    <w:rsid w:val="61DDF279"/>
    <w:rsid w:val="61FE6F60"/>
    <w:rsid w:val="62020787"/>
    <w:rsid w:val="6210FDAD"/>
    <w:rsid w:val="621156CD"/>
    <w:rsid w:val="6218A9A0"/>
    <w:rsid w:val="621E3370"/>
    <w:rsid w:val="625B2480"/>
    <w:rsid w:val="6269B3AC"/>
    <w:rsid w:val="626ADD21"/>
    <w:rsid w:val="62B76BCB"/>
    <w:rsid w:val="62DB274B"/>
    <w:rsid w:val="62E71C7E"/>
    <w:rsid w:val="62FCD5E0"/>
    <w:rsid w:val="63221EAB"/>
    <w:rsid w:val="632E3580"/>
    <w:rsid w:val="6355AEE1"/>
    <w:rsid w:val="636F36E4"/>
    <w:rsid w:val="6371B34F"/>
    <w:rsid w:val="637B525A"/>
    <w:rsid w:val="63D8545C"/>
    <w:rsid w:val="63DA9476"/>
    <w:rsid w:val="63E2538C"/>
    <w:rsid w:val="63EB3949"/>
    <w:rsid w:val="640718BD"/>
    <w:rsid w:val="64320D87"/>
    <w:rsid w:val="645065B4"/>
    <w:rsid w:val="6452ECD0"/>
    <w:rsid w:val="647CC157"/>
    <w:rsid w:val="6487EA9E"/>
    <w:rsid w:val="648BBF93"/>
    <w:rsid w:val="64CE5BA5"/>
    <w:rsid w:val="64E921AA"/>
    <w:rsid w:val="653A3BD2"/>
    <w:rsid w:val="65596BF7"/>
    <w:rsid w:val="65D5D4EB"/>
    <w:rsid w:val="65FCA63C"/>
    <w:rsid w:val="663D7390"/>
    <w:rsid w:val="664378B7"/>
    <w:rsid w:val="6652A7D9"/>
    <w:rsid w:val="66547687"/>
    <w:rsid w:val="66562526"/>
    <w:rsid w:val="6665DFF8"/>
    <w:rsid w:val="66848280"/>
    <w:rsid w:val="66BC367E"/>
    <w:rsid w:val="66CB5D0A"/>
    <w:rsid w:val="66F8336D"/>
    <w:rsid w:val="6731F021"/>
    <w:rsid w:val="673B795E"/>
    <w:rsid w:val="67405712"/>
    <w:rsid w:val="6751C5B9"/>
    <w:rsid w:val="67622B81"/>
    <w:rsid w:val="679FC168"/>
    <w:rsid w:val="67A86D8C"/>
    <w:rsid w:val="67B66915"/>
    <w:rsid w:val="67C02D88"/>
    <w:rsid w:val="67D57EE6"/>
    <w:rsid w:val="680ECBE7"/>
    <w:rsid w:val="681D4FC2"/>
    <w:rsid w:val="68505B8F"/>
    <w:rsid w:val="6873025C"/>
    <w:rsid w:val="68740BAD"/>
    <w:rsid w:val="687CDC90"/>
    <w:rsid w:val="6896FF69"/>
    <w:rsid w:val="68A0E920"/>
    <w:rsid w:val="68A2DE46"/>
    <w:rsid w:val="68DB0211"/>
    <w:rsid w:val="68F3A1EF"/>
    <w:rsid w:val="6907A51C"/>
    <w:rsid w:val="691AEA2C"/>
    <w:rsid w:val="6957DEB7"/>
    <w:rsid w:val="695A9F47"/>
    <w:rsid w:val="697727CD"/>
    <w:rsid w:val="69B92439"/>
    <w:rsid w:val="69EAAB2C"/>
    <w:rsid w:val="69F18B22"/>
    <w:rsid w:val="69F2082E"/>
    <w:rsid w:val="69F64383"/>
    <w:rsid w:val="6A03BD46"/>
    <w:rsid w:val="6A214EBD"/>
    <w:rsid w:val="6A33CE5B"/>
    <w:rsid w:val="6A5E3A4C"/>
    <w:rsid w:val="6A656176"/>
    <w:rsid w:val="6A6C8517"/>
    <w:rsid w:val="6A8240F3"/>
    <w:rsid w:val="6A8A7798"/>
    <w:rsid w:val="6A9D082D"/>
    <w:rsid w:val="6AC997EF"/>
    <w:rsid w:val="6ACE93B8"/>
    <w:rsid w:val="6AF63B27"/>
    <w:rsid w:val="6AFFDFC8"/>
    <w:rsid w:val="6B19DDB8"/>
    <w:rsid w:val="6B217DE2"/>
    <w:rsid w:val="6B539758"/>
    <w:rsid w:val="6B57F011"/>
    <w:rsid w:val="6B715FD1"/>
    <w:rsid w:val="6B814453"/>
    <w:rsid w:val="6BC4E105"/>
    <w:rsid w:val="6BCF04B8"/>
    <w:rsid w:val="6BF6EA9D"/>
    <w:rsid w:val="6C275CE7"/>
    <w:rsid w:val="6C2D8D4A"/>
    <w:rsid w:val="6C443A1D"/>
    <w:rsid w:val="6C54C93B"/>
    <w:rsid w:val="6C6B0351"/>
    <w:rsid w:val="6C7929D2"/>
    <w:rsid w:val="6C7E782F"/>
    <w:rsid w:val="6C939EF2"/>
    <w:rsid w:val="6C94DFE5"/>
    <w:rsid w:val="6C96A71A"/>
    <w:rsid w:val="6CC11FF3"/>
    <w:rsid w:val="6CEDE3C0"/>
    <w:rsid w:val="6D09B688"/>
    <w:rsid w:val="6D25001A"/>
    <w:rsid w:val="6D466D15"/>
    <w:rsid w:val="6D5C49A9"/>
    <w:rsid w:val="6D66CA43"/>
    <w:rsid w:val="6D7D1159"/>
    <w:rsid w:val="6D823A21"/>
    <w:rsid w:val="6DAB5CA2"/>
    <w:rsid w:val="6DCA48A7"/>
    <w:rsid w:val="6DCE0268"/>
    <w:rsid w:val="6DF2ADCE"/>
    <w:rsid w:val="6DFBD7CF"/>
    <w:rsid w:val="6E08BFDC"/>
    <w:rsid w:val="6E74BFF8"/>
    <w:rsid w:val="6E75485D"/>
    <w:rsid w:val="6E76C2DD"/>
    <w:rsid w:val="6E9AA91D"/>
    <w:rsid w:val="6EBA1390"/>
    <w:rsid w:val="6EC6AA3D"/>
    <w:rsid w:val="6ECADAB5"/>
    <w:rsid w:val="6EF38C5C"/>
    <w:rsid w:val="6F1B0180"/>
    <w:rsid w:val="6F2E947D"/>
    <w:rsid w:val="6F8612FC"/>
    <w:rsid w:val="6FBBFC1B"/>
    <w:rsid w:val="6FCA664C"/>
    <w:rsid w:val="6FE2024B"/>
    <w:rsid w:val="6FEB685A"/>
    <w:rsid w:val="70113F37"/>
    <w:rsid w:val="7014F35A"/>
    <w:rsid w:val="7020672D"/>
    <w:rsid w:val="703208BE"/>
    <w:rsid w:val="704A4BBA"/>
    <w:rsid w:val="70626B4E"/>
    <w:rsid w:val="7066BE88"/>
    <w:rsid w:val="708540A1"/>
    <w:rsid w:val="70AAE1D3"/>
    <w:rsid w:val="70EB2BC3"/>
    <w:rsid w:val="713B2BCC"/>
    <w:rsid w:val="716B48BD"/>
    <w:rsid w:val="717C5A45"/>
    <w:rsid w:val="718ACA0B"/>
    <w:rsid w:val="71B1842E"/>
    <w:rsid w:val="71C0B848"/>
    <w:rsid w:val="71C85899"/>
    <w:rsid w:val="71E9E15E"/>
    <w:rsid w:val="71FF8B88"/>
    <w:rsid w:val="7202A622"/>
    <w:rsid w:val="7209AA60"/>
    <w:rsid w:val="723A8031"/>
    <w:rsid w:val="723AC03D"/>
    <w:rsid w:val="72670687"/>
    <w:rsid w:val="726EF824"/>
    <w:rsid w:val="72A4112A"/>
    <w:rsid w:val="72CB810F"/>
    <w:rsid w:val="72ED796A"/>
    <w:rsid w:val="7318172E"/>
    <w:rsid w:val="7319995C"/>
    <w:rsid w:val="73AC9BDF"/>
    <w:rsid w:val="744582B2"/>
    <w:rsid w:val="7475588D"/>
    <w:rsid w:val="748C4031"/>
    <w:rsid w:val="74C5AE39"/>
    <w:rsid w:val="74C63DA8"/>
    <w:rsid w:val="74E9BFD0"/>
    <w:rsid w:val="74F57351"/>
    <w:rsid w:val="7508CD8C"/>
    <w:rsid w:val="75115807"/>
    <w:rsid w:val="752C753C"/>
    <w:rsid w:val="75384834"/>
    <w:rsid w:val="757D9226"/>
    <w:rsid w:val="757F3931"/>
    <w:rsid w:val="75826CE7"/>
    <w:rsid w:val="759295F2"/>
    <w:rsid w:val="75977636"/>
    <w:rsid w:val="75AB8DE0"/>
    <w:rsid w:val="76412C1B"/>
    <w:rsid w:val="76422D13"/>
    <w:rsid w:val="7652C6DA"/>
    <w:rsid w:val="7675CE3C"/>
    <w:rsid w:val="768D0074"/>
    <w:rsid w:val="76912113"/>
    <w:rsid w:val="76A50077"/>
    <w:rsid w:val="76B949D4"/>
    <w:rsid w:val="76C33CF0"/>
    <w:rsid w:val="76D070CE"/>
    <w:rsid w:val="76D7345A"/>
    <w:rsid w:val="76FED676"/>
    <w:rsid w:val="7743FF55"/>
    <w:rsid w:val="774ADBC4"/>
    <w:rsid w:val="7753A272"/>
    <w:rsid w:val="7770E543"/>
    <w:rsid w:val="77722A90"/>
    <w:rsid w:val="778B8E34"/>
    <w:rsid w:val="77A0663F"/>
    <w:rsid w:val="77B52063"/>
    <w:rsid w:val="77B95485"/>
    <w:rsid w:val="77E96B45"/>
    <w:rsid w:val="77F0D8C4"/>
    <w:rsid w:val="77FEC9D7"/>
    <w:rsid w:val="78234334"/>
    <w:rsid w:val="78339AEB"/>
    <w:rsid w:val="78743CC4"/>
    <w:rsid w:val="78A15742"/>
    <w:rsid w:val="78A4B43A"/>
    <w:rsid w:val="78BC4D96"/>
    <w:rsid w:val="78C82D3E"/>
    <w:rsid w:val="78CC7325"/>
    <w:rsid w:val="78DE2D66"/>
    <w:rsid w:val="78E82EC5"/>
    <w:rsid w:val="78F6A1D8"/>
    <w:rsid w:val="790ED4C7"/>
    <w:rsid w:val="7912AAB1"/>
    <w:rsid w:val="79541A01"/>
    <w:rsid w:val="7978A7D0"/>
    <w:rsid w:val="7980BE07"/>
    <w:rsid w:val="798CB60D"/>
    <w:rsid w:val="79962A20"/>
    <w:rsid w:val="79CB80CF"/>
    <w:rsid w:val="79D27A6F"/>
    <w:rsid w:val="7A11F0DB"/>
    <w:rsid w:val="7A4E0CE9"/>
    <w:rsid w:val="7A4ED5F3"/>
    <w:rsid w:val="7A686CCF"/>
    <w:rsid w:val="7AC93C27"/>
    <w:rsid w:val="7AD1DBE8"/>
    <w:rsid w:val="7B26DB0F"/>
    <w:rsid w:val="7B289A7A"/>
    <w:rsid w:val="7B337190"/>
    <w:rsid w:val="7B4DF956"/>
    <w:rsid w:val="7B5311D8"/>
    <w:rsid w:val="7B70DC2D"/>
    <w:rsid w:val="7B7E9236"/>
    <w:rsid w:val="7B9A51EA"/>
    <w:rsid w:val="7BB74FC1"/>
    <w:rsid w:val="7BB793F5"/>
    <w:rsid w:val="7BC9CBB3"/>
    <w:rsid w:val="7BD2495D"/>
    <w:rsid w:val="7BD41AA0"/>
    <w:rsid w:val="7BE22362"/>
    <w:rsid w:val="7BF19B8C"/>
    <w:rsid w:val="7C095A34"/>
    <w:rsid w:val="7C25B349"/>
    <w:rsid w:val="7C2AC272"/>
    <w:rsid w:val="7C30842B"/>
    <w:rsid w:val="7C345CCF"/>
    <w:rsid w:val="7C3B33FA"/>
    <w:rsid w:val="7C5C64E2"/>
    <w:rsid w:val="7C8F331F"/>
    <w:rsid w:val="7CEA4564"/>
    <w:rsid w:val="7D05929C"/>
    <w:rsid w:val="7D0F5C46"/>
    <w:rsid w:val="7D115E96"/>
    <w:rsid w:val="7D2B8B5E"/>
    <w:rsid w:val="7D3881F5"/>
    <w:rsid w:val="7D53204B"/>
    <w:rsid w:val="7D921174"/>
    <w:rsid w:val="7D982A7D"/>
    <w:rsid w:val="7DB43582"/>
    <w:rsid w:val="7DE032AD"/>
    <w:rsid w:val="7DE20F3A"/>
    <w:rsid w:val="7E0AC760"/>
    <w:rsid w:val="7E15CC26"/>
    <w:rsid w:val="7E1C54B1"/>
    <w:rsid w:val="7E461C18"/>
    <w:rsid w:val="7E622372"/>
    <w:rsid w:val="7E662D06"/>
    <w:rsid w:val="7E6CCEE7"/>
    <w:rsid w:val="7E706282"/>
    <w:rsid w:val="7E7C5441"/>
    <w:rsid w:val="7E8B895D"/>
    <w:rsid w:val="7E9E0C0F"/>
    <w:rsid w:val="7EA45975"/>
    <w:rsid w:val="7EA63AA7"/>
    <w:rsid w:val="7ED17EE8"/>
    <w:rsid w:val="7EE1D2FB"/>
    <w:rsid w:val="7EEA45B5"/>
    <w:rsid w:val="7F0142A9"/>
    <w:rsid w:val="7F1CAAE5"/>
    <w:rsid w:val="7F21AAB4"/>
    <w:rsid w:val="7F25EC6D"/>
    <w:rsid w:val="7F34F1EE"/>
    <w:rsid w:val="7F440E3E"/>
    <w:rsid w:val="7F4E535E"/>
    <w:rsid w:val="7F6133A8"/>
    <w:rsid w:val="7F858E31"/>
    <w:rsid w:val="7F9AC725"/>
    <w:rsid w:val="7FC04D33"/>
    <w:rsid w:val="7FCC2CAB"/>
    <w:rsid w:val="7FDD7044"/>
    <w:rsid w:val="7FEA640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0F8D88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D33"/>
    <w:rPr>
      <w:rFonts w:ascii="Times New Roman" w:eastAsiaTheme="minorEastAsia" w:hAnsi="Times New Roman" w:cs="Times New Roman"/>
      <w:sz w:val="24"/>
      <w:szCs w:val="24"/>
      <w:lang w:eastAsia="en-AU"/>
    </w:rPr>
  </w:style>
  <w:style w:type="paragraph" w:styleId="Heading2">
    <w:name w:val="heading 2"/>
    <w:basedOn w:val="Normal"/>
    <w:next w:val="Normal"/>
    <w:link w:val="Heading2Char"/>
    <w:uiPriority w:val="99"/>
    <w:qFormat/>
    <w:rsid w:val="00FB41CE"/>
    <w:pPr>
      <w:keepNext/>
      <w:keepLines/>
      <w:spacing w:before="40"/>
      <w:outlineLvl w:val="1"/>
    </w:pPr>
    <w:rPr>
      <w:rFonts w:ascii="Calibri Light" w:hAnsi="Calibri Light" w:cs="Calibri Light"/>
      <w:sz w:val="26"/>
      <w:szCs w:val="26"/>
    </w:rPr>
  </w:style>
  <w:style w:type="paragraph" w:styleId="Heading3">
    <w:name w:val="heading 3"/>
    <w:basedOn w:val="Normal"/>
    <w:next w:val="Normal"/>
    <w:link w:val="Heading3Char"/>
    <w:uiPriority w:val="9"/>
    <w:qFormat/>
    <w:rsid w:val="00FB41CE"/>
    <w:pPr>
      <w:keepNext/>
      <w:keepLines/>
      <w:spacing w:before="40"/>
      <w:outlineLvl w:val="2"/>
    </w:pPr>
    <w:rPr>
      <w:rFonts w:ascii="Cambria" w:hAnsi="Cambria" w:cs="Cambria"/>
    </w:rPr>
  </w:style>
  <w:style w:type="paragraph" w:styleId="Heading4">
    <w:name w:val="heading 4"/>
    <w:basedOn w:val="Normal"/>
    <w:next w:val="Normal"/>
    <w:link w:val="Heading4Char"/>
    <w:uiPriority w:val="9"/>
    <w:unhideWhenUsed/>
    <w:qFormat/>
    <w:rsid w:val="008F49C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B41CE"/>
    <w:rPr>
      <w:rFonts w:ascii="Calibri Light" w:eastAsiaTheme="minorEastAsia" w:hAnsi="Calibri Light" w:cs="Calibri Light"/>
      <w:sz w:val="26"/>
      <w:szCs w:val="26"/>
      <w:lang w:eastAsia="en-AU"/>
    </w:rPr>
  </w:style>
  <w:style w:type="character" w:customStyle="1" w:styleId="Heading3Char">
    <w:name w:val="Heading 3 Char"/>
    <w:basedOn w:val="DefaultParagraphFont"/>
    <w:link w:val="Heading3"/>
    <w:uiPriority w:val="9"/>
    <w:rsid w:val="00FB41CE"/>
    <w:rPr>
      <w:rFonts w:ascii="Cambria" w:eastAsiaTheme="minorEastAsia" w:hAnsi="Cambria" w:cs="Cambria"/>
      <w:sz w:val="24"/>
      <w:szCs w:val="24"/>
      <w:lang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uiPriority w:val="34"/>
    <w:qFormat/>
    <w:rsid w:val="00FB41CE"/>
    <w:pPr>
      <w:ind w:left="720"/>
    </w:pPr>
  </w:style>
  <w:style w:type="paragraph" w:customStyle="1" w:styleId="DINumberedParagraph">
    <w:name w:val="DI Numbered Paragraph"/>
    <w:basedOn w:val="Normal"/>
    <w:rsid w:val="00FB41CE"/>
    <w:pPr>
      <w:numPr>
        <w:numId w:val="1"/>
      </w:numPr>
      <w:tabs>
        <w:tab w:val="left" w:pos="567"/>
      </w:tabs>
      <w:spacing w:after="240"/>
    </w:pPr>
    <w:rPr>
      <w:rFonts w:ascii="Calibri" w:hAnsi="Calibri" w:cs="Calibri"/>
      <w:lang w:eastAsia="en-US"/>
    </w:rPr>
  </w:style>
  <w:style w:type="paragraph" w:customStyle="1" w:styleId="BodyText10">
    <w:name w:val="Body Text1_0"/>
    <w:basedOn w:val="Normal"/>
    <w:rsid w:val="00FB41CE"/>
    <w:rPr>
      <w:rFonts w:ascii="Arial" w:hAnsi="Arial" w:cs="Arial"/>
    </w:rPr>
  </w:style>
  <w:style w:type="character" w:styleId="CommentReference">
    <w:name w:val="annotation reference"/>
    <w:basedOn w:val="DefaultParagraphFont"/>
    <w:uiPriority w:val="99"/>
    <w:rsid w:val="00FB41CE"/>
    <w:rPr>
      <w:rFonts w:cs="Times New Roman"/>
      <w:sz w:val="16"/>
      <w:szCs w:val="16"/>
    </w:rPr>
  </w:style>
  <w:style w:type="paragraph" w:styleId="CommentText">
    <w:name w:val="annotation text"/>
    <w:basedOn w:val="Normal"/>
    <w:link w:val="CommentTextChar"/>
    <w:uiPriority w:val="99"/>
    <w:rsid w:val="00FB41CE"/>
    <w:rPr>
      <w:sz w:val="20"/>
      <w:szCs w:val="20"/>
    </w:rPr>
  </w:style>
  <w:style w:type="character" w:customStyle="1" w:styleId="CommentTextChar">
    <w:name w:val="Comment Text Char"/>
    <w:basedOn w:val="DefaultParagraphFont"/>
    <w:link w:val="CommentText"/>
    <w:uiPriority w:val="99"/>
    <w:rsid w:val="00FB41CE"/>
    <w:rPr>
      <w:rFonts w:ascii="Times New Roman" w:eastAsiaTheme="minorEastAsia" w:hAnsi="Times New Roman" w:cs="Times New Roman"/>
      <w:sz w:val="20"/>
      <w:szCs w:val="20"/>
      <w:lang w:eastAsia="en-AU"/>
    </w:rPr>
  </w:style>
  <w:style w:type="paragraph" w:customStyle="1" w:styleId="subsection">
    <w:name w:val="subsection"/>
    <w:aliases w:val="ss,Subsection"/>
    <w:basedOn w:val="Normal"/>
    <w:link w:val="subsectionChar"/>
    <w:rsid w:val="00FB41CE"/>
    <w:pPr>
      <w:spacing w:before="100" w:beforeAutospacing="1" w:after="100" w:afterAutospacing="1"/>
    </w:pPr>
  </w:style>
  <w:style w:type="character" w:customStyle="1" w:styleId="normaltextrun">
    <w:name w:val="normaltextrun"/>
    <w:basedOn w:val="DefaultParagraphFont"/>
    <w:rsid w:val="00FB41CE"/>
    <w:rPr>
      <w:rFonts w:cs="Times New Roman"/>
    </w:rPr>
  </w:style>
  <w:style w:type="character" w:customStyle="1" w:styleId="subsectionChar">
    <w:name w:val="subsection Char"/>
    <w:aliases w:val="ss Char"/>
    <w:basedOn w:val="DefaultParagraphFont"/>
    <w:link w:val="subsection"/>
    <w:locked/>
    <w:rsid w:val="00FB41CE"/>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FB41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1CE"/>
    <w:rPr>
      <w:rFonts w:ascii="Segoe UI" w:eastAsiaTheme="minorEastAsia" w:hAnsi="Segoe UI" w:cs="Segoe UI"/>
      <w:sz w:val="18"/>
      <w:szCs w:val="18"/>
      <w:lang w:eastAsia="en-AU"/>
    </w:rPr>
  </w:style>
  <w:style w:type="paragraph" w:customStyle="1" w:styleId="paragraph">
    <w:name w:val="paragraph"/>
    <w:aliases w:val="a"/>
    <w:basedOn w:val="Normal"/>
    <w:rsid w:val="000C46AF"/>
    <w:pPr>
      <w:tabs>
        <w:tab w:val="right" w:pos="1531"/>
      </w:tabs>
      <w:spacing w:before="40"/>
      <w:ind w:left="1644" w:hanging="1644"/>
    </w:pPr>
    <w:rPr>
      <w:rFonts w:eastAsia="Times New Roman"/>
      <w:sz w:val="22"/>
      <w:szCs w:val="20"/>
    </w:rPr>
  </w:style>
  <w:style w:type="paragraph" w:styleId="CommentSubject">
    <w:name w:val="annotation subject"/>
    <w:basedOn w:val="CommentText"/>
    <w:next w:val="CommentText"/>
    <w:link w:val="CommentSubjectChar"/>
    <w:uiPriority w:val="99"/>
    <w:semiHidden/>
    <w:unhideWhenUsed/>
    <w:rsid w:val="009B2EB4"/>
    <w:rPr>
      <w:b/>
      <w:bCs/>
    </w:rPr>
  </w:style>
  <w:style w:type="character" w:customStyle="1" w:styleId="CommentSubjectChar">
    <w:name w:val="Comment Subject Char"/>
    <w:basedOn w:val="CommentTextChar"/>
    <w:link w:val="CommentSubject"/>
    <w:uiPriority w:val="99"/>
    <w:semiHidden/>
    <w:rsid w:val="009B2EB4"/>
    <w:rPr>
      <w:rFonts w:ascii="Times New Roman" w:eastAsiaTheme="minorEastAsia" w:hAnsi="Times New Roman" w:cs="Times New Roman"/>
      <w:b/>
      <w:bCs/>
      <w:sz w:val="20"/>
      <w:szCs w:val="20"/>
      <w:lang w:eastAsia="en-AU"/>
    </w:rPr>
  </w:style>
  <w:style w:type="paragraph" w:customStyle="1" w:styleId="Definition">
    <w:name w:val="Definition"/>
    <w:aliases w:val="dd"/>
    <w:basedOn w:val="Normal"/>
    <w:rsid w:val="004E4DDC"/>
    <w:pPr>
      <w:spacing w:before="180"/>
      <w:ind w:left="1134"/>
    </w:pPr>
    <w:rPr>
      <w:rFonts w:eastAsia="Times New Roman"/>
      <w:sz w:val="22"/>
      <w:szCs w:val="20"/>
    </w:rPr>
  </w:style>
  <w:style w:type="paragraph" w:styleId="Header">
    <w:name w:val="header"/>
    <w:basedOn w:val="Normal"/>
    <w:link w:val="HeaderChar"/>
    <w:uiPriority w:val="99"/>
    <w:unhideWhenUsed/>
    <w:rsid w:val="00B5204E"/>
    <w:pPr>
      <w:tabs>
        <w:tab w:val="center" w:pos="4513"/>
        <w:tab w:val="right" w:pos="9026"/>
      </w:tabs>
    </w:pPr>
  </w:style>
  <w:style w:type="character" w:customStyle="1" w:styleId="HeaderChar">
    <w:name w:val="Header Char"/>
    <w:basedOn w:val="DefaultParagraphFont"/>
    <w:link w:val="Header"/>
    <w:uiPriority w:val="99"/>
    <w:rsid w:val="00B5204E"/>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B5204E"/>
    <w:pPr>
      <w:tabs>
        <w:tab w:val="center" w:pos="4513"/>
        <w:tab w:val="right" w:pos="9026"/>
      </w:tabs>
    </w:pPr>
  </w:style>
  <w:style w:type="character" w:customStyle="1" w:styleId="FooterChar">
    <w:name w:val="Footer Char"/>
    <w:basedOn w:val="DefaultParagraphFont"/>
    <w:link w:val="Footer"/>
    <w:uiPriority w:val="99"/>
    <w:rsid w:val="00B5204E"/>
    <w:rPr>
      <w:rFonts w:ascii="Times New Roman" w:eastAsiaTheme="minorEastAsia" w:hAnsi="Times New Roman" w:cs="Times New Roman"/>
      <w:sz w:val="24"/>
      <w:szCs w:val="24"/>
      <w:lang w:eastAsia="en-AU"/>
    </w:rPr>
  </w:style>
  <w:style w:type="character" w:customStyle="1" w:styleId="eop">
    <w:name w:val="eop"/>
    <w:basedOn w:val="DefaultParagraphFont"/>
    <w:rsid w:val="00A2366C"/>
  </w:style>
  <w:style w:type="paragraph" w:customStyle="1" w:styleId="cabnetparagraph">
    <w:name w:val="cabnetparagraph"/>
    <w:basedOn w:val="Normal"/>
    <w:rsid w:val="00300897"/>
    <w:pPr>
      <w:spacing w:before="100" w:beforeAutospacing="1" w:after="100" w:afterAutospacing="1"/>
    </w:pPr>
    <w:rPr>
      <w:rFonts w:eastAsia="Times New Roman"/>
    </w:rPr>
  </w:style>
  <w:style w:type="paragraph" w:customStyle="1" w:styleId="BodyText1">
    <w:name w:val="Body Text1"/>
    <w:basedOn w:val="Normal"/>
    <w:link w:val="BodytextChar"/>
    <w:rsid w:val="00E04DF8"/>
    <w:rPr>
      <w:rFonts w:ascii="Arial" w:eastAsia="Times New Roman" w:hAnsi="Arial" w:cs="Arial"/>
    </w:rPr>
  </w:style>
  <w:style w:type="paragraph" w:customStyle="1" w:styleId="Bodytextbullet">
    <w:name w:val="Body text bullet"/>
    <w:basedOn w:val="BodyText1"/>
    <w:rsid w:val="00E04DF8"/>
    <w:pPr>
      <w:numPr>
        <w:numId w:val="2"/>
      </w:numPr>
      <w:tabs>
        <w:tab w:val="clear" w:pos="6"/>
        <w:tab w:val="num" w:pos="360"/>
      </w:tabs>
      <w:spacing w:before="60"/>
      <w:ind w:left="0" w:firstLine="0"/>
    </w:pPr>
  </w:style>
  <w:style w:type="character" w:customStyle="1" w:styleId="BodytextChar">
    <w:name w:val="Body text Char"/>
    <w:link w:val="BodyText1"/>
    <w:rsid w:val="00E04DF8"/>
    <w:rPr>
      <w:rFonts w:ascii="Arial" w:eastAsia="Times New Roman" w:hAnsi="Arial" w:cs="Arial"/>
      <w:sz w:val="24"/>
      <w:szCs w:val="24"/>
      <w:lang w:eastAsia="en-AU"/>
    </w:rPr>
  </w:style>
  <w:style w:type="character" w:styleId="Hyperlink">
    <w:name w:val="Hyperlink"/>
    <w:basedOn w:val="DefaultParagraphFont"/>
    <w:uiPriority w:val="99"/>
    <w:unhideWhenUsed/>
    <w:rsid w:val="00282470"/>
    <w:rPr>
      <w:color w:val="0563C1" w:themeColor="hyperlink"/>
      <w:u w:val="single"/>
    </w:rPr>
  </w:style>
  <w:style w:type="character" w:customStyle="1" w:styleId="Heading4Char">
    <w:name w:val="Heading 4 Char"/>
    <w:basedOn w:val="DefaultParagraphFont"/>
    <w:link w:val="Heading4"/>
    <w:uiPriority w:val="9"/>
    <w:rsid w:val="008F49C3"/>
    <w:rPr>
      <w:rFonts w:asciiTheme="majorHAnsi" w:eastAsiaTheme="majorEastAsia" w:hAnsiTheme="majorHAnsi" w:cstheme="majorBidi"/>
      <w:i/>
      <w:iCs/>
      <w:color w:val="2E74B5" w:themeColor="accent1" w:themeShade="BF"/>
      <w:sz w:val="24"/>
      <w:szCs w:val="24"/>
      <w:lang w:eastAsia="en-AU"/>
    </w:rPr>
  </w:style>
  <w:style w:type="paragraph" w:customStyle="1" w:styleId="contentelement-indentfour">
    <w:name w:val="contentelement-indentfour"/>
    <w:basedOn w:val="Normal"/>
    <w:rsid w:val="00705779"/>
    <w:pPr>
      <w:spacing w:before="100" w:beforeAutospacing="1" w:after="100" w:afterAutospacing="1"/>
    </w:pPr>
    <w:rPr>
      <w:rFonts w:eastAsia="Times New Roman"/>
    </w:rPr>
  </w:style>
  <w:style w:type="character" w:styleId="Emphasis">
    <w:name w:val="Emphasis"/>
    <w:basedOn w:val="DefaultParagraphFont"/>
    <w:uiPriority w:val="20"/>
    <w:qFormat/>
    <w:rsid w:val="00705779"/>
    <w:rPr>
      <w:i/>
      <w:iCs/>
    </w:rPr>
  </w:style>
  <w:style w:type="paragraph" w:styleId="NormalWeb">
    <w:name w:val="Normal (Web)"/>
    <w:basedOn w:val="Normal"/>
    <w:uiPriority w:val="99"/>
    <w:unhideWhenUsed/>
    <w:rsid w:val="00C21154"/>
  </w:style>
  <w:style w:type="paragraph" w:customStyle="1" w:styleId="contentelement-indentthree">
    <w:name w:val="contentelement-indentthree"/>
    <w:basedOn w:val="Normal"/>
    <w:rsid w:val="00F27E3B"/>
    <w:pPr>
      <w:spacing w:before="100" w:beforeAutospacing="1" w:after="100" w:afterAutospacing="1"/>
    </w:pPr>
    <w:rPr>
      <w:rFonts w:eastAsia="Times New Roman"/>
    </w:rPr>
  </w:style>
  <w:style w:type="paragraph" w:customStyle="1" w:styleId="ItemHead">
    <w:name w:val="ItemHead"/>
    <w:aliases w:val="ih"/>
    <w:basedOn w:val="Normal"/>
    <w:next w:val="Normal"/>
    <w:rsid w:val="0018796C"/>
    <w:pPr>
      <w:keepNext/>
      <w:keepLines/>
      <w:spacing w:before="220"/>
      <w:ind w:left="709" w:hanging="709"/>
    </w:pPr>
    <w:rPr>
      <w:rFonts w:ascii="Arial" w:eastAsia="Times New Roman" w:hAnsi="Arial"/>
      <w:b/>
      <w:kern w:val="28"/>
      <w:szCs w:val="20"/>
    </w:rPr>
  </w:style>
  <w:style w:type="character" w:customStyle="1" w:styleId="ui-provider">
    <w:name w:val="ui-provider"/>
    <w:basedOn w:val="DefaultParagraphFont"/>
    <w:rsid w:val="001D6042"/>
  </w:style>
  <w:style w:type="character" w:styleId="Strong">
    <w:name w:val="Strong"/>
    <w:basedOn w:val="DefaultParagraphFont"/>
    <w:uiPriority w:val="22"/>
    <w:qFormat/>
    <w:rsid w:val="00227740"/>
    <w:rPr>
      <w:b/>
      <w:bCs/>
    </w:rPr>
  </w:style>
  <w:style w:type="character" w:customStyle="1" w:styleId="CharPartText">
    <w:name w:val="CharPartText"/>
    <w:basedOn w:val="DefaultParagraphFont"/>
    <w:uiPriority w:val="1"/>
    <w:qFormat/>
    <w:rsid w:val="002B36A6"/>
  </w:style>
  <w:style w:type="paragraph" w:styleId="Revision">
    <w:name w:val="Revision"/>
    <w:hidden/>
    <w:uiPriority w:val="99"/>
    <w:semiHidden/>
    <w:rsid w:val="00925C3C"/>
    <w:rPr>
      <w:rFonts w:ascii="Times New Roman" w:eastAsiaTheme="minorEastAsia" w:hAnsi="Times New Roman" w:cs="Times New Roman"/>
      <w:sz w:val="24"/>
      <w:szCs w:val="24"/>
      <w:lang w:eastAsia="en-AU"/>
    </w:rPr>
  </w:style>
  <w:style w:type="character" w:customStyle="1" w:styleId="CABNETParagraphChar">
    <w:name w:val="CABNET Paragraph. Char"/>
    <w:basedOn w:val="DefaultParagraphFont"/>
    <w:link w:val="CABNETParagraph0"/>
    <w:uiPriority w:val="98"/>
    <w:locked/>
    <w:rsid w:val="00F2025A"/>
    <w:rPr>
      <w:rFonts w:ascii="Arial" w:hAnsi="Arial" w:cstheme="minorHAnsi"/>
      <w:sz w:val="24"/>
    </w:rPr>
  </w:style>
  <w:style w:type="paragraph" w:customStyle="1" w:styleId="CABNETParagraph0">
    <w:name w:val="CABNET Paragraph."/>
    <w:basedOn w:val="Normal"/>
    <w:link w:val="CABNETParagraphChar"/>
    <w:uiPriority w:val="98"/>
    <w:qFormat/>
    <w:rsid w:val="00F2025A"/>
    <w:pPr>
      <w:spacing w:before="120" w:after="120"/>
    </w:pPr>
    <w:rPr>
      <w:rFonts w:ascii="Arial" w:eastAsiaTheme="minorHAnsi" w:hAnsi="Arial" w:cstheme="minorHAnsi"/>
      <w:szCs w:val="22"/>
      <w:lang w:eastAsia="en-US"/>
    </w:rPr>
  </w:style>
  <w:style w:type="paragraph" w:customStyle="1" w:styleId="EMclausenotes">
    <w:name w:val="EM clause notes"/>
    <w:basedOn w:val="Normal"/>
    <w:qFormat/>
    <w:rsid w:val="00813F53"/>
    <w:pPr>
      <w:spacing w:before="120" w:after="240"/>
      <w:ind w:right="91"/>
    </w:pPr>
  </w:style>
  <w:style w:type="paragraph" w:customStyle="1" w:styleId="EMitemheader">
    <w:name w:val="EM item header"/>
    <w:basedOn w:val="Normal"/>
    <w:qFormat/>
    <w:rsid w:val="00813F53"/>
    <w:pPr>
      <w:keepNext/>
      <w:tabs>
        <w:tab w:val="left" w:pos="6023"/>
      </w:tabs>
      <w:spacing w:before="240" w:after="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6520">
      <w:bodyDiv w:val="1"/>
      <w:marLeft w:val="0"/>
      <w:marRight w:val="0"/>
      <w:marTop w:val="0"/>
      <w:marBottom w:val="0"/>
      <w:divBdr>
        <w:top w:val="none" w:sz="0" w:space="0" w:color="auto"/>
        <w:left w:val="none" w:sz="0" w:space="0" w:color="auto"/>
        <w:bottom w:val="none" w:sz="0" w:space="0" w:color="auto"/>
        <w:right w:val="none" w:sz="0" w:space="0" w:color="auto"/>
      </w:divBdr>
    </w:div>
    <w:div w:id="79765054">
      <w:bodyDiv w:val="1"/>
      <w:marLeft w:val="0"/>
      <w:marRight w:val="0"/>
      <w:marTop w:val="0"/>
      <w:marBottom w:val="0"/>
      <w:divBdr>
        <w:top w:val="none" w:sz="0" w:space="0" w:color="auto"/>
        <w:left w:val="none" w:sz="0" w:space="0" w:color="auto"/>
        <w:bottom w:val="none" w:sz="0" w:space="0" w:color="auto"/>
        <w:right w:val="none" w:sz="0" w:space="0" w:color="auto"/>
      </w:divBdr>
    </w:div>
    <w:div w:id="98071115">
      <w:bodyDiv w:val="1"/>
      <w:marLeft w:val="0"/>
      <w:marRight w:val="0"/>
      <w:marTop w:val="0"/>
      <w:marBottom w:val="0"/>
      <w:divBdr>
        <w:top w:val="none" w:sz="0" w:space="0" w:color="auto"/>
        <w:left w:val="none" w:sz="0" w:space="0" w:color="auto"/>
        <w:bottom w:val="none" w:sz="0" w:space="0" w:color="auto"/>
        <w:right w:val="none" w:sz="0" w:space="0" w:color="auto"/>
      </w:divBdr>
    </w:div>
    <w:div w:id="145362174">
      <w:bodyDiv w:val="1"/>
      <w:marLeft w:val="0"/>
      <w:marRight w:val="0"/>
      <w:marTop w:val="0"/>
      <w:marBottom w:val="0"/>
      <w:divBdr>
        <w:top w:val="none" w:sz="0" w:space="0" w:color="auto"/>
        <w:left w:val="none" w:sz="0" w:space="0" w:color="auto"/>
        <w:bottom w:val="none" w:sz="0" w:space="0" w:color="auto"/>
        <w:right w:val="none" w:sz="0" w:space="0" w:color="auto"/>
      </w:divBdr>
    </w:div>
    <w:div w:id="155851769">
      <w:bodyDiv w:val="1"/>
      <w:marLeft w:val="0"/>
      <w:marRight w:val="0"/>
      <w:marTop w:val="0"/>
      <w:marBottom w:val="0"/>
      <w:divBdr>
        <w:top w:val="none" w:sz="0" w:space="0" w:color="auto"/>
        <w:left w:val="none" w:sz="0" w:space="0" w:color="auto"/>
        <w:bottom w:val="none" w:sz="0" w:space="0" w:color="auto"/>
        <w:right w:val="none" w:sz="0" w:space="0" w:color="auto"/>
      </w:divBdr>
    </w:div>
    <w:div w:id="157380309">
      <w:bodyDiv w:val="1"/>
      <w:marLeft w:val="0"/>
      <w:marRight w:val="0"/>
      <w:marTop w:val="0"/>
      <w:marBottom w:val="0"/>
      <w:divBdr>
        <w:top w:val="none" w:sz="0" w:space="0" w:color="auto"/>
        <w:left w:val="none" w:sz="0" w:space="0" w:color="auto"/>
        <w:bottom w:val="none" w:sz="0" w:space="0" w:color="auto"/>
        <w:right w:val="none" w:sz="0" w:space="0" w:color="auto"/>
      </w:divBdr>
    </w:div>
    <w:div w:id="179200754">
      <w:bodyDiv w:val="1"/>
      <w:marLeft w:val="0"/>
      <w:marRight w:val="0"/>
      <w:marTop w:val="0"/>
      <w:marBottom w:val="0"/>
      <w:divBdr>
        <w:top w:val="none" w:sz="0" w:space="0" w:color="auto"/>
        <w:left w:val="none" w:sz="0" w:space="0" w:color="auto"/>
        <w:bottom w:val="none" w:sz="0" w:space="0" w:color="auto"/>
        <w:right w:val="none" w:sz="0" w:space="0" w:color="auto"/>
      </w:divBdr>
    </w:div>
    <w:div w:id="201332243">
      <w:bodyDiv w:val="1"/>
      <w:marLeft w:val="0"/>
      <w:marRight w:val="0"/>
      <w:marTop w:val="0"/>
      <w:marBottom w:val="0"/>
      <w:divBdr>
        <w:top w:val="none" w:sz="0" w:space="0" w:color="auto"/>
        <w:left w:val="none" w:sz="0" w:space="0" w:color="auto"/>
        <w:bottom w:val="none" w:sz="0" w:space="0" w:color="auto"/>
        <w:right w:val="none" w:sz="0" w:space="0" w:color="auto"/>
      </w:divBdr>
    </w:div>
    <w:div w:id="210189410">
      <w:bodyDiv w:val="1"/>
      <w:marLeft w:val="0"/>
      <w:marRight w:val="0"/>
      <w:marTop w:val="0"/>
      <w:marBottom w:val="0"/>
      <w:divBdr>
        <w:top w:val="none" w:sz="0" w:space="0" w:color="auto"/>
        <w:left w:val="none" w:sz="0" w:space="0" w:color="auto"/>
        <w:bottom w:val="none" w:sz="0" w:space="0" w:color="auto"/>
        <w:right w:val="none" w:sz="0" w:space="0" w:color="auto"/>
      </w:divBdr>
    </w:div>
    <w:div w:id="231233550">
      <w:bodyDiv w:val="1"/>
      <w:marLeft w:val="0"/>
      <w:marRight w:val="0"/>
      <w:marTop w:val="0"/>
      <w:marBottom w:val="0"/>
      <w:divBdr>
        <w:top w:val="none" w:sz="0" w:space="0" w:color="auto"/>
        <w:left w:val="none" w:sz="0" w:space="0" w:color="auto"/>
        <w:bottom w:val="none" w:sz="0" w:space="0" w:color="auto"/>
        <w:right w:val="none" w:sz="0" w:space="0" w:color="auto"/>
      </w:divBdr>
    </w:div>
    <w:div w:id="243227505">
      <w:bodyDiv w:val="1"/>
      <w:marLeft w:val="0"/>
      <w:marRight w:val="0"/>
      <w:marTop w:val="0"/>
      <w:marBottom w:val="0"/>
      <w:divBdr>
        <w:top w:val="none" w:sz="0" w:space="0" w:color="auto"/>
        <w:left w:val="none" w:sz="0" w:space="0" w:color="auto"/>
        <w:bottom w:val="none" w:sz="0" w:space="0" w:color="auto"/>
        <w:right w:val="none" w:sz="0" w:space="0" w:color="auto"/>
      </w:divBdr>
    </w:div>
    <w:div w:id="319115143">
      <w:bodyDiv w:val="1"/>
      <w:marLeft w:val="0"/>
      <w:marRight w:val="0"/>
      <w:marTop w:val="0"/>
      <w:marBottom w:val="0"/>
      <w:divBdr>
        <w:top w:val="none" w:sz="0" w:space="0" w:color="auto"/>
        <w:left w:val="none" w:sz="0" w:space="0" w:color="auto"/>
        <w:bottom w:val="none" w:sz="0" w:space="0" w:color="auto"/>
        <w:right w:val="none" w:sz="0" w:space="0" w:color="auto"/>
      </w:divBdr>
    </w:div>
    <w:div w:id="332146779">
      <w:bodyDiv w:val="1"/>
      <w:marLeft w:val="0"/>
      <w:marRight w:val="0"/>
      <w:marTop w:val="0"/>
      <w:marBottom w:val="0"/>
      <w:divBdr>
        <w:top w:val="none" w:sz="0" w:space="0" w:color="auto"/>
        <w:left w:val="none" w:sz="0" w:space="0" w:color="auto"/>
        <w:bottom w:val="none" w:sz="0" w:space="0" w:color="auto"/>
        <w:right w:val="none" w:sz="0" w:space="0" w:color="auto"/>
      </w:divBdr>
    </w:div>
    <w:div w:id="385760308">
      <w:bodyDiv w:val="1"/>
      <w:marLeft w:val="0"/>
      <w:marRight w:val="0"/>
      <w:marTop w:val="0"/>
      <w:marBottom w:val="0"/>
      <w:divBdr>
        <w:top w:val="none" w:sz="0" w:space="0" w:color="auto"/>
        <w:left w:val="none" w:sz="0" w:space="0" w:color="auto"/>
        <w:bottom w:val="none" w:sz="0" w:space="0" w:color="auto"/>
        <w:right w:val="none" w:sz="0" w:space="0" w:color="auto"/>
      </w:divBdr>
    </w:div>
    <w:div w:id="405881122">
      <w:bodyDiv w:val="1"/>
      <w:marLeft w:val="0"/>
      <w:marRight w:val="0"/>
      <w:marTop w:val="0"/>
      <w:marBottom w:val="0"/>
      <w:divBdr>
        <w:top w:val="none" w:sz="0" w:space="0" w:color="auto"/>
        <w:left w:val="none" w:sz="0" w:space="0" w:color="auto"/>
        <w:bottom w:val="none" w:sz="0" w:space="0" w:color="auto"/>
        <w:right w:val="none" w:sz="0" w:space="0" w:color="auto"/>
      </w:divBdr>
    </w:div>
    <w:div w:id="417793884">
      <w:bodyDiv w:val="1"/>
      <w:marLeft w:val="0"/>
      <w:marRight w:val="0"/>
      <w:marTop w:val="0"/>
      <w:marBottom w:val="0"/>
      <w:divBdr>
        <w:top w:val="none" w:sz="0" w:space="0" w:color="auto"/>
        <w:left w:val="none" w:sz="0" w:space="0" w:color="auto"/>
        <w:bottom w:val="none" w:sz="0" w:space="0" w:color="auto"/>
        <w:right w:val="none" w:sz="0" w:space="0" w:color="auto"/>
      </w:divBdr>
      <w:divsChild>
        <w:div w:id="1934166351">
          <w:marLeft w:val="0"/>
          <w:marRight w:val="0"/>
          <w:marTop w:val="0"/>
          <w:marBottom w:val="0"/>
          <w:divBdr>
            <w:top w:val="none" w:sz="0" w:space="0" w:color="auto"/>
            <w:left w:val="none" w:sz="0" w:space="0" w:color="auto"/>
            <w:bottom w:val="none" w:sz="0" w:space="0" w:color="auto"/>
            <w:right w:val="none" w:sz="0" w:space="0" w:color="auto"/>
          </w:divBdr>
          <w:divsChild>
            <w:div w:id="9436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6036">
      <w:bodyDiv w:val="1"/>
      <w:marLeft w:val="0"/>
      <w:marRight w:val="0"/>
      <w:marTop w:val="0"/>
      <w:marBottom w:val="0"/>
      <w:divBdr>
        <w:top w:val="none" w:sz="0" w:space="0" w:color="auto"/>
        <w:left w:val="none" w:sz="0" w:space="0" w:color="auto"/>
        <w:bottom w:val="none" w:sz="0" w:space="0" w:color="auto"/>
        <w:right w:val="none" w:sz="0" w:space="0" w:color="auto"/>
      </w:divBdr>
    </w:div>
    <w:div w:id="439031372">
      <w:bodyDiv w:val="1"/>
      <w:marLeft w:val="0"/>
      <w:marRight w:val="0"/>
      <w:marTop w:val="0"/>
      <w:marBottom w:val="0"/>
      <w:divBdr>
        <w:top w:val="none" w:sz="0" w:space="0" w:color="auto"/>
        <w:left w:val="none" w:sz="0" w:space="0" w:color="auto"/>
        <w:bottom w:val="none" w:sz="0" w:space="0" w:color="auto"/>
        <w:right w:val="none" w:sz="0" w:space="0" w:color="auto"/>
      </w:divBdr>
    </w:div>
    <w:div w:id="487870174">
      <w:bodyDiv w:val="1"/>
      <w:marLeft w:val="0"/>
      <w:marRight w:val="0"/>
      <w:marTop w:val="0"/>
      <w:marBottom w:val="0"/>
      <w:divBdr>
        <w:top w:val="none" w:sz="0" w:space="0" w:color="auto"/>
        <w:left w:val="none" w:sz="0" w:space="0" w:color="auto"/>
        <w:bottom w:val="none" w:sz="0" w:space="0" w:color="auto"/>
        <w:right w:val="none" w:sz="0" w:space="0" w:color="auto"/>
      </w:divBdr>
    </w:div>
    <w:div w:id="501358832">
      <w:bodyDiv w:val="1"/>
      <w:marLeft w:val="0"/>
      <w:marRight w:val="0"/>
      <w:marTop w:val="0"/>
      <w:marBottom w:val="0"/>
      <w:divBdr>
        <w:top w:val="none" w:sz="0" w:space="0" w:color="auto"/>
        <w:left w:val="none" w:sz="0" w:space="0" w:color="auto"/>
        <w:bottom w:val="none" w:sz="0" w:space="0" w:color="auto"/>
        <w:right w:val="none" w:sz="0" w:space="0" w:color="auto"/>
      </w:divBdr>
    </w:div>
    <w:div w:id="532041373">
      <w:bodyDiv w:val="1"/>
      <w:marLeft w:val="0"/>
      <w:marRight w:val="0"/>
      <w:marTop w:val="0"/>
      <w:marBottom w:val="0"/>
      <w:divBdr>
        <w:top w:val="none" w:sz="0" w:space="0" w:color="auto"/>
        <w:left w:val="none" w:sz="0" w:space="0" w:color="auto"/>
        <w:bottom w:val="none" w:sz="0" w:space="0" w:color="auto"/>
        <w:right w:val="none" w:sz="0" w:space="0" w:color="auto"/>
      </w:divBdr>
    </w:div>
    <w:div w:id="598874905">
      <w:bodyDiv w:val="1"/>
      <w:marLeft w:val="0"/>
      <w:marRight w:val="0"/>
      <w:marTop w:val="0"/>
      <w:marBottom w:val="0"/>
      <w:divBdr>
        <w:top w:val="none" w:sz="0" w:space="0" w:color="auto"/>
        <w:left w:val="none" w:sz="0" w:space="0" w:color="auto"/>
        <w:bottom w:val="none" w:sz="0" w:space="0" w:color="auto"/>
        <w:right w:val="none" w:sz="0" w:space="0" w:color="auto"/>
      </w:divBdr>
    </w:div>
    <w:div w:id="606231787">
      <w:bodyDiv w:val="1"/>
      <w:marLeft w:val="0"/>
      <w:marRight w:val="0"/>
      <w:marTop w:val="0"/>
      <w:marBottom w:val="0"/>
      <w:divBdr>
        <w:top w:val="none" w:sz="0" w:space="0" w:color="auto"/>
        <w:left w:val="none" w:sz="0" w:space="0" w:color="auto"/>
        <w:bottom w:val="none" w:sz="0" w:space="0" w:color="auto"/>
        <w:right w:val="none" w:sz="0" w:space="0" w:color="auto"/>
      </w:divBdr>
    </w:div>
    <w:div w:id="631865225">
      <w:bodyDiv w:val="1"/>
      <w:marLeft w:val="0"/>
      <w:marRight w:val="0"/>
      <w:marTop w:val="0"/>
      <w:marBottom w:val="0"/>
      <w:divBdr>
        <w:top w:val="none" w:sz="0" w:space="0" w:color="auto"/>
        <w:left w:val="none" w:sz="0" w:space="0" w:color="auto"/>
        <w:bottom w:val="none" w:sz="0" w:space="0" w:color="auto"/>
        <w:right w:val="none" w:sz="0" w:space="0" w:color="auto"/>
      </w:divBdr>
    </w:div>
    <w:div w:id="680469340">
      <w:bodyDiv w:val="1"/>
      <w:marLeft w:val="0"/>
      <w:marRight w:val="0"/>
      <w:marTop w:val="0"/>
      <w:marBottom w:val="0"/>
      <w:divBdr>
        <w:top w:val="none" w:sz="0" w:space="0" w:color="auto"/>
        <w:left w:val="none" w:sz="0" w:space="0" w:color="auto"/>
        <w:bottom w:val="none" w:sz="0" w:space="0" w:color="auto"/>
        <w:right w:val="none" w:sz="0" w:space="0" w:color="auto"/>
      </w:divBdr>
    </w:div>
    <w:div w:id="703600636">
      <w:bodyDiv w:val="1"/>
      <w:marLeft w:val="0"/>
      <w:marRight w:val="0"/>
      <w:marTop w:val="0"/>
      <w:marBottom w:val="0"/>
      <w:divBdr>
        <w:top w:val="none" w:sz="0" w:space="0" w:color="auto"/>
        <w:left w:val="none" w:sz="0" w:space="0" w:color="auto"/>
        <w:bottom w:val="none" w:sz="0" w:space="0" w:color="auto"/>
        <w:right w:val="none" w:sz="0" w:space="0" w:color="auto"/>
      </w:divBdr>
    </w:div>
    <w:div w:id="728651061">
      <w:bodyDiv w:val="1"/>
      <w:marLeft w:val="0"/>
      <w:marRight w:val="0"/>
      <w:marTop w:val="0"/>
      <w:marBottom w:val="0"/>
      <w:divBdr>
        <w:top w:val="none" w:sz="0" w:space="0" w:color="auto"/>
        <w:left w:val="none" w:sz="0" w:space="0" w:color="auto"/>
        <w:bottom w:val="none" w:sz="0" w:space="0" w:color="auto"/>
        <w:right w:val="none" w:sz="0" w:space="0" w:color="auto"/>
      </w:divBdr>
    </w:div>
    <w:div w:id="786242046">
      <w:bodyDiv w:val="1"/>
      <w:marLeft w:val="0"/>
      <w:marRight w:val="0"/>
      <w:marTop w:val="0"/>
      <w:marBottom w:val="0"/>
      <w:divBdr>
        <w:top w:val="none" w:sz="0" w:space="0" w:color="auto"/>
        <w:left w:val="none" w:sz="0" w:space="0" w:color="auto"/>
        <w:bottom w:val="none" w:sz="0" w:space="0" w:color="auto"/>
        <w:right w:val="none" w:sz="0" w:space="0" w:color="auto"/>
      </w:divBdr>
    </w:div>
    <w:div w:id="850416209">
      <w:bodyDiv w:val="1"/>
      <w:marLeft w:val="0"/>
      <w:marRight w:val="0"/>
      <w:marTop w:val="0"/>
      <w:marBottom w:val="0"/>
      <w:divBdr>
        <w:top w:val="none" w:sz="0" w:space="0" w:color="auto"/>
        <w:left w:val="none" w:sz="0" w:space="0" w:color="auto"/>
        <w:bottom w:val="none" w:sz="0" w:space="0" w:color="auto"/>
        <w:right w:val="none" w:sz="0" w:space="0" w:color="auto"/>
      </w:divBdr>
    </w:div>
    <w:div w:id="882252970">
      <w:bodyDiv w:val="1"/>
      <w:marLeft w:val="0"/>
      <w:marRight w:val="0"/>
      <w:marTop w:val="0"/>
      <w:marBottom w:val="0"/>
      <w:divBdr>
        <w:top w:val="none" w:sz="0" w:space="0" w:color="auto"/>
        <w:left w:val="none" w:sz="0" w:space="0" w:color="auto"/>
        <w:bottom w:val="none" w:sz="0" w:space="0" w:color="auto"/>
        <w:right w:val="none" w:sz="0" w:space="0" w:color="auto"/>
      </w:divBdr>
    </w:div>
    <w:div w:id="896815031">
      <w:bodyDiv w:val="1"/>
      <w:marLeft w:val="0"/>
      <w:marRight w:val="0"/>
      <w:marTop w:val="0"/>
      <w:marBottom w:val="0"/>
      <w:divBdr>
        <w:top w:val="none" w:sz="0" w:space="0" w:color="auto"/>
        <w:left w:val="none" w:sz="0" w:space="0" w:color="auto"/>
        <w:bottom w:val="none" w:sz="0" w:space="0" w:color="auto"/>
        <w:right w:val="none" w:sz="0" w:space="0" w:color="auto"/>
      </w:divBdr>
    </w:div>
    <w:div w:id="978458958">
      <w:bodyDiv w:val="1"/>
      <w:marLeft w:val="0"/>
      <w:marRight w:val="0"/>
      <w:marTop w:val="0"/>
      <w:marBottom w:val="0"/>
      <w:divBdr>
        <w:top w:val="none" w:sz="0" w:space="0" w:color="auto"/>
        <w:left w:val="none" w:sz="0" w:space="0" w:color="auto"/>
        <w:bottom w:val="none" w:sz="0" w:space="0" w:color="auto"/>
        <w:right w:val="none" w:sz="0" w:space="0" w:color="auto"/>
      </w:divBdr>
    </w:div>
    <w:div w:id="1015885168">
      <w:bodyDiv w:val="1"/>
      <w:marLeft w:val="0"/>
      <w:marRight w:val="0"/>
      <w:marTop w:val="0"/>
      <w:marBottom w:val="0"/>
      <w:divBdr>
        <w:top w:val="none" w:sz="0" w:space="0" w:color="auto"/>
        <w:left w:val="none" w:sz="0" w:space="0" w:color="auto"/>
        <w:bottom w:val="none" w:sz="0" w:space="0" w:color="auto"/>
        <w:right w:val="none" w:sz="0" w:space="0" w:color="auto"/>
      </w:divBdr>
    </w:div>
    <w:div w:id="1070692174">
      <w:bodyDiv w:val="1"/>
      <w:marLeft w:val="0"/>
      <w:marRight w:val="0"/>
      <w:marTop w:val="0"/>
      <w:marBottom w:val="0"/>
      <w:divBdr>
        <w:top w:val="none" w:sz="0" w:space="0" w:color="auto"/>
        <w:left w:val="none" w:sz="0" w:space="0" w:color="auto"/>
        <w:bottom w:val="none" w:sz="0" w:space="0" w:color="auto"/>
        <w:right w:val="none" w:sz="0" w:space="0" w:color="auto"/>
      </w:divBdr>
    </w:div>
    <w:div w:id="1107967825">
      <w:bodyDiv w:val="1"/>
      <w:marLeft w:val="0"/>
      <w:marRight w:val="0"/>
      <w:marTop w:val="0"/>
      <w:marBottom w:val="0"/>
      <w:divBdr>
        <w:top w:val="none" w:sz="0" w:space="0" w:color="auto"/>
        <w:left w:val="none" w:sz="0" w:space="0" w:color="auto"/>
        <w:bottom w:val="none" w:sz="0" w:space="0" w:color="auto"/>
        <w:right w:val="none" w:sz="0" w:space="0" w:color="auto"/>
      </w:divBdr>
    </w:div>
    <w:div w:id="1128670261">
      <w:bodyDiv w:val="1"/>
      <w:marLeft w:val="0"/>
      <w:marRight w:val="0"/>
      <w:marTop w:val="0"/>
      <w:marBottom w:val="0"/>
      <w:divBdr>
        <w:top w:val="none" w:sz="0" w:space="0" w:color="auto"/>
        <w:left w:val="none" w:sz="0" w:space="0" w:color="auto"/>
        <w:bottom w:val="none" w:sz="0" w:space="0" w:color="auto"/>
        <w:right w:val="none" w:sz="0" w:space="0" w:color="auto"/>
      </w:divBdr>
    </w:div>
    <w:div w:id="1157307259">
      <w:bodyDiv w:val="1"/>
      <w:marLeft w:val="0"/>
      <w:marRight w:val="0"/>
      <w:marTop w:val="0"/>
      <w:marBottom w:val="0"/>
      <w:divBdr>
        <w:top w:val="none" w:sz="0" w:space="0" w:color="auto"/>
        <w:left w:val="none" w:sz="0" w:space="0" w:color="auto"/>
        <w:bottom w:val="none" w:sz="0" w:space="0" w:color="auto"/>
        <w:right w:val="none" w:sz="0" w:space="0" w:color="auto"/>
      </w:divBdr>
    </w:div>
    <w:div w:id="1233853177">
      <w:bodyDiv w:val="1"/>
      <w:marLeft w:val="0"/>
      <w:marRight w:val="0"/>
      <w:marTop w:val="0"/>
      <w:marBottom w:val="0"/>
      <w:divBdr>
        <w:top w:val="none" w:sz="0" w:space="0" w:color="auto"/>
        <w:left w:val="none" w:sz="0" w:space="0" w:color="auto"/>
        <w:bottom w:val="none" w:sz="0" w:space="0" w:color="auto"/>
        <w:right w:val="none" w:sz="0" w:space="0" w:color="auto"/>
      </w:divBdr>
    </w:div>
    <w:div w:id="1242258856">
      <w:bodyDiv w:val="1"/>
      <w:marLeft w:val="0"/>
      <w:marRight w:val="0"/>
      <w:marTop w:val="0"/>
      <w:marBottom w:val="0"/>
      <w:divBdr>
        <w:top w:val="none" w:sz="0" w:space="0" w:color="auto"/>
        <w:left w:val="none" w:sz="0" w:space="0" w:color="auto"/>
        <w:bottom w:val="none" w:sz="0" w:space="0" w:color="auto"/>
        <w:right w:val="none" w:sz="0" w:space="0" w:color="auto"/>
      </w:divBdr>
    </w:div>
    <w:div w:id="1248033530">
      <w:bodyDiv w:val="1"/>
      <w:marLeft w:val="0"/>
      <w:marRight w:val="0"/>
      <w:marTop w:val="0"/>
      <w:marBottom w:val="0"/>
      <w:divBdr>
        <w:top w:val="none" w:sz="0" w:space="0" w:color="auto"/>
        <w:left w:val="none" w:sz="0" w:space="0" w:color="auto"/>
        <w:bottom w:val="none" w:sz="0" w:space="0" w:color="auto"/>
        <w:right w:val="none" w:sz="0" w:space="0" w:color="auto"/>
      </w:divBdr>
    </w:div>
    <w:div w:id="1266958484">
      <w:bodyDiv w:val="1"/>
      <w:marLeft w:val="0"/>
      <w:marRight w:val="0"/>
      <w:marTop w:val="0"/>
      <w:marBottom w:val="0"/>
      <w:divBdr>
        <w:top w:val="none" w:sz="0" w:space="0" w:color="auto"/>
        <w:left w:val="none" w:sz="0" w:space="0" w:color="auto"/>
        <w:bottom w:val="none" w:sz="0" w:space="0" w:color="auto"/>
        <w:right w:val="none" w:sz="0" w:space="0" w:color="auto"/>
      </w:divBdr>
    </w:div>
    <w:div w:id="1278292156">
      <w:bodyDiv w:val="1"/>
      <w:marLeft w:val="0"/>
      <w:marRight w:val="0"/>
      <w:marTop w:val="0"/>
      <w:marBottom w:val="0"/>
      <w:divBdr>
        <w:top w:val="none" w:sz="0" w:space="0" w:color="auto"/>
        <w:left w:val="none" w:sz="0" w:space="0" w:color="auto"/>
        <w:bottom w:val="none" w:sz="0" w:space="0" w:color="auto"/>
        <w:right w:val="none" w:sz="0" w:space="0" w:color="auto"/>
      </w:divBdr>
    </w:div>
    <w:div w:id="1330795871">
      <w:bodyDiv w:val="1"/>
      <w:marLeft w:val="0"/>
      <w:marRight w:val="0"/>
      <w:marTop w:val="0"/>
      <w:marBottom w:val="0"/>
      <w:divBdr>
        <w:top w:val="none" w:sz="0" w:space="0" w:color="auto"/>
        <w:left w:val="none" w:sz="0" w:space="0" w:color="auto"/>
        <w:bottom w:val="none" w:sz="0" w:space="0" w:color="auto"/>
        <w:right w:val="none" w:sz="0" w:space="0" w:color="auto"/>
      </w:divBdr>
    </w:div>
    <w:div w:id="1331251459">
      <w:bodyDiv w:val="1"/>
      <w:marLeft w:val="0"/>
      <w:marRight w:val="0"/>
      <w:marTop w:val="0"/>
      <w:marBottom w:val="0"/>
      <w:divBdr>
        <w:top w:val="none" w:sz="0" w:space="0" w:color="auto"/>
        <w:left w:val="none" w:sz="0" w:space="0" w:color="auto"/>
        <w:bottom w:val="none" w:sz="0" w:space="0" w:color="auto"/>
        <w:right w:val="none" w:sz="0" w:space="0" w:color="auto"/>
      </w:divBdr>
    </w:div>
    <w:div w:id="1347831580">
      <w:bodyDiv w:val="1"/>
      <w:marLeft w:val="0"/>
      <w:marRight w:val="0"/>
      <w:marTop w:val="0"/>
      <w:marBottom w:val="0"/>
      <w:divBdr>
        <w:top w:val="none" w:sz="0" w:space="0" w:color="auto"/>
        <w:left w:val="none" w:sz="0" w:space="0" w:color="auto"/>
        <w:bottom w:val="none" w:sz="0" w:space="0" w:color="auto"/>
        <w:right w:val="none" w:sz="0" w:space="0" w:color="auto"/>
      </w:divBdr>
    </w:div>
    <w:div w:id="1364598561">
      <w:bodyDiv w:val="1"/>
      <w:marLeft w:val="0"/>
      <w:marRight w:val="0"/>
      <w:marTop w:val="0"/>
      <w:marBottom w:val="0"/>
      <w:divBdr>
        <w:top w:val="none" w:sz="0" w:space="0" w:color="auto"/>
        <w:left w:val="none" w:sz="0" w:space="0" w:color="auto"/>
        <w:bottom w:val="none" w:sz="0" w:space="0" w:color="auto"/>
        <w:right w:val="none" w:sz="0" w:space="0" w:color="auto"/>
      </w:divBdr>
    </w:div>
    <w:div w:id="1389953785">
      <w:bodyDiv w:val="1"/>
      <w:marLeft w:val="0"/>
      <w:marRight w:val="0"/>
      <w:marTop w:val="0"/>
      <w:marBottom w:val="0"/>
      <w:divBdr>
        <w:top w:val="none" w:sz="0" w:space="0" w:color="auto"/>
        <w:left w:val="none" w:sz="0" w:space="0" w:color="auto"/>
        <w:bottom w:val="none" w:sz="0" w:space="0" w:color="auto"/>
        <w:right w:val="none" w:sz="0" w:space="0" w:color="auto"/>
      </w:divBdr>
    </w:div>
    <w:div w:id="1410156853">
      <w:bodyDiv w:val="1"/>
      <w:marLeft w:val="0"/>
      <w:marRight w:val="0"/>
      <w:marTop w:val="0"/>
      <w:marBottom w:val="0"/>
      <w:divBdr>
        <w:top w:val="none" w:sz="0" w:space="0" w:color="auto"/>
        <w:left w:val="none" w:sz="0" w:space="0" w:color="auto"/>
        <w:bottom w:val="none" w:sz="0" w:space="0" w:color="auto"/>
        <w:right w:val="none" w:sz="0" w:space="0" w:color="auto"/>
      </w:divBdr>
    </w:div>
    <w:div w:id="1485315264">
      <w:bodyDiv w:val="1"/>
      <w:marLeft w:val="0"/>
      <w:marRight w:val="0"/>
      <w:marTop w:val="0"/>
      <w:marBottom w:val="0"/>
      <w:divBdr>
        <w:top w:val="none" w:sz="0" w:space="0" w:color="auto"/>
        <w:left w:val="none" w:sz="0" w:space="0" w:color="auto"/>
        <w:bottom w:val="none" w:sz="0" w:space="0" w:color="auto"/>
        <w:right w:val="none" w:sz="0" w:space="0" w:color="auto"/>
      </w:divBdr>
    </w:div>
    <w:div w:id="1522891406">
      <w:bodyDiv w:val="1"/>
      <w:marLeft w:val="0"/>
      <w:marRight w:val="0"/>
      <w:marTop w:val="0"/>
      <w:marBottom w:val="0"/>
      <w:divBdr>
        <w:top w:val="none" w:sz="0" w:space="0" w:color="auto"/>
        <w:left w:val="none" w:sz="0" w:space="0" w:color="auto"/>
        <w:bottom w:val="none" w:sz="0" w:space="0" w:color="auto"/>
        <w:right w:val="none" w:sz="0" w:space="0" w:color="auto"/>
      </w:divBdr>
    </w:div>
    <w:div w:id="1536427304">
      <w:bodyDiv w:val="1"/>
      <w:marLeft w:val="0"/>
      <w:marRight w:val="0"/>
      <w:marTop w:val="0"/>
      <w:marBottom w:val="0"/>
      <w:divBdr>
        <w:top w:val="none" w:sz="0" w:space="0" w:color="auto"/>
        <w:left w:val="none" w:sz="0" w:space="0" w:color="auto"/>
        <w:bottom w:val="none" w:sz="0" w:space="0" w:color="auto"/>
        <w:right w:val="none" w:sz="0" w:space="0" w:color="auto"/>
      </w:divBdr>
    </w:div>
    <w:div w:id="1542593048">
      <w:bodyDiv w:val="1"/>
      <w:marLeft w:val="0"/>
      <w:marRight w:val="0"/>
      <w:marTop w:val="0"/>
      <w:marBottom w:val="0"/>
      <w:divBdr>
        <w:top w:val="none" w:sz="0" w:space="0" w:color="auto"/>
        <w:left w:val="none" w:sz="0" w:space="0" w:color="auto"/>
        <w:bottom w:val="none" w:sz="0" w:space="0" w:color="auto"/>
        <w:right w:val="none" w:sz="0" w:space="0" w:color="auto"/>
      </w:divBdr>
    </w:div>
    <w:div w:id="1587693558">
      <w:bodyDiv w:val="1"/>
      <w:marLeft w:val="0"/>
      <w:marRight w:val="0"/>
      <w:marTop w:val="0"/>
      <w:marBottom w:val="0"/>
      <w:divBdr>
        <w:top w:val="none" w:sz="0" w:space="0" w:color="auto"/>
        <w:left w:val="none" w:sz="0" w:space="0" w:color="auto"/>
        <w:bottom w:val="none" w:sz="0" w:space="0" w:color="auto"/>
        <w:right w:val="none" w:sz="0" w:space="0" w:color="auto"/>
      </w:divBdr>
    </w:div>
    <w:div w:id="1604222364">
      <w:bodyDiv w:val="1"/>
      <w:marLeft w:val="0"/>
      <w:marRight w:val="0"/>
      <w:marTop w:val="0"/>
      <w:marBottom w:val="0"/>
      <w:divBdr>
        <w:top w:val="none" w:sz="0" w:space="0" w:color="auto"/>
        <w:left w:val="none" w:sz="0" w:space="0" w:color="auto"/>
        <w:bottom w:val="none" w:sz="0" w:space="0" w:color="auto"/>
        <w:right w:val="none" w:sz="0" w:space="0" w:color="auto"/>
      </w:divBdr>
    </w:div>
    <w:div w:id="1619725378">
      <w:bodyDiv w:val="1"/>
      <w:marLeft w:val="0"/>
      <w:marRight w:val="0"/>
      <w:marTop w:val="0"/>
      <w:marBottom w:val="0"/>
      <w:divBdr>
        <w:top w:val="none" w:sz="0" w:space="0" w:color="auto"/>
        <w:left w:val="none" w:sz="0" w:space="0" w:color="auto"/>
        <w:bottom w:val="none" w:sz="0" w:space="0" w:color="auto"/>
        <w:right w:val="none" w:sz="0" w:space="0" w:color="auto"/>
      </w:divBdr>
    </w:div>
    <w:div w:id="1660964176">
      <w:bodyDiv w:val="1"/>
      <w:marLeft w:val="0"/>
      <w:marRight w:val="0"/>
      <w:marTop w:val="0"/>
      <w:marBottom w:val="0"/>
      <w:divBdr>
        <w:top w:val="none" w:sz="0" w:space="0" w:color="auto"/>
        <w:left w:val="none" w:sz="0" w:space="0" w:color="auto"/>
        <w:bottom w:val="none" w:sz="0" w:space="0" w:color="auto"/>
        <w:right w:val="none" w:sz="0" w:space="0" w:color="auto"/>
      </w:divBdr>
    </w:div>
    <w:div w:id="1664893147">
      <w:bodyDiv w:val="1"/>
      <w:marLeft w:val="0"/>
      <w:marRight w:val="0"/>
      <w:marTop w:val="0"/>
      <w:marBottom w:val="0"/>
      <w:divBdr>
        <w:top w:val="none" w:sz="0" w:space="0" w:color="auto"/>
        <w:left w:val="none" w:sz="0" w:space="0" w:color="auto"/>
        <w:bottom w:val="none" w:sz="0" w:space="0" w:color="auto"/>
        <w:right w:val="none" w:sz="0" w:space="0" w:color="auto"/>
      </w:divBdr>
    </w:div>
    <w:div w:id="1666279307">
      <w:bodyDiv w:val="1"/>
      <w:marLeft w:val="0"/>
      <w:marRight w:val="0"/>
      <w:marTop w:val="0"/>
      <w:marBottom w:val="0"/>
      <w:divBdr>
        <w:top w:val="none" w:sz="0" w:space="0" w:color="auto"/>
        <w:left w:val="none" w:sz="0" w:space="0" w:color="auto"/>
        <w:bottom w:val="none" w:sz="0" w:space="0" w:color="auto"/>
        <w:right w:val="none" w:sz="0" w:space="0" w:color="auto"/>
      </w:divBdr>
    </w:div>
    <w:div w:id="1682001587">
      <w:bodyDiv w:val="1"/>
      <w:marLeft w:val="0"/>
      <w:marRight w:val="0"/>
      <w:marTop w:val="0"/>
      <w:marBottom w:val="0"/>
      <w:divBdr>
        <w:top w:val="none" w:sz="0" w:space="0" w:color="auto"/>
        <w:left w:val="none" w:sz="0" w:space="0" w:color="auto"/>
        <w:bottom w:val="none" w:sz="0" w:space="0" w:color="auto"/>
        <w:right w:val="none" w:sz="0" w:space="0" w:color="auto"/>
      </w:divBdr>
    </w:div>
    <w:div w:id="1706364181">
      <w:bodyDiv w:val="1"/>
      <w:marLeft w:val="0"/>
      <w:marRight w:val="0"/>
      <w:marTop w:val="0"/>
      <w:marBottom w:val="0"/>
      <w:divBdr>
        <w:top w:val="none" w:sz="0" w:space="0" w:color="auto"/>
        <w:left w:val="none" w:sz="0" w:space="0" w:color="auto"/>
        <w:bottom w:val="none" w:sz="0" w:space="0" w:color="auto"/>
        <w:right w:val="none" w:sz="0" w:space="0" w:color="auto"/>
      </w:divBdr>
    </w:div>
    <w:div w:id="1803692361">
      <w:bodyDiv w:val="1"/>
      <w:marLeft w:val="0"/>
      <w:marRight w:val="0"/>
      <w:marTop w:val="0"/>
      <w:marBottom w:val="0"/>
      <w:divBdr>
        <w:top w:val="none" w:sz="0" w:space="0" w:color="auto"/>
        <w:left w:val="none" w:sz="0" w:space="0" w:color="auto"/>
        <w:bottom w:val="none" w:sz="0" w:space="0" w:color="auto"/>
        <w:right w:val="none" w:sz="0" w:space="0" w:color="auto"/>
      </w:divBdr>
    </w:div>
    <w:div w:id="1817410236">
      <w:bodyDiv w:val="1"/>
      <w:marLeft w:val="0"/>
      <w:marRight w:val="0"/>
      <w:marTop w:val="0"/>
      <w:marBottom w:val="0"/>
      <w:divBdr>
        <w:top w:val="none" w:sz="0" w:space="0" w:color="auto"/>
        <w:left w:val="none" w:sz="0" w:space="0" w:color="auto"/>
        <w:bottom w:val="none" w:sz="0" w:space="0" w:color="auto"/>
        <w:right w:val="none" w:sz="0" w:space="0" w:color="auto"/>
      </w:divBdr>
    </w:div>
    <w:div w:id="1857646854">
      <w:bodyDiv w:val="1"/>
      <w:marLeft w:val="0"/>
      <w:marRight w:val="0"/>
      <w:marTop w:val="0"/>
      <w:marBottom w:val="0"/>
      <w:divBdr>
        <w:top w:val="none" w:sz="0" w:space="0" w:color="auto"/>
        <w:left w:val="none" w:sz="0" w:space="0" w:color="auto"/>
        <w:bottom w:val="none" w:sz="0" w:space="0" w:color="auto"/>
        <w:right w:val="none" w:sz="0" w:space="0" w:color="auto"/>
      </w:divBdr>
    </w:div>
    <w:div w:id="1860923904">
      <w:bodyDiv w:val="1"/>
      <w:marLeft w:val="0"/>
      <w:marRight w:val="0"/>
      <w:marTop w:val="0"/>
      <w:marBottom w:val="0"/>
      <w:divBdr>
        <w:top w:val="none" w:sz="0" w:space="0" w:color="auto"/>
        <w:left w:val="none" w:sz="0" w:space="0" w:color="auto"/>
        <w:bottom w:val="none" w:sz="0" w:space="0" w:color="auto"/>
        <w:right w:val="none" w:sz="0" w:space="0" w:color="auto"/>
      </w:divBdr>
      <w:divsChild>
        <w:div w:id="979387857">
          <w:marLeft w:val="0"/>
          <w:marRight w:val="0"/>
          <w:marTop w:val="0"/>
          <w:marBottom w:val="0"/>
          <w:divBdr>
            <w:top w:val="none" w:sz="0" w:space="0" w:color="auto"/>
            <w:left w:val="none" w:sz="0" w:space="0" w:color="auto"/>
            <w:bottom w:val="none" w:sz="0" w:space="0" w:color="auto"/>
            <w:right w:val="none" w:sz="0" w:space="0" w:color="auto"/>
          </w:divBdr>
          <w:divsChild>
            <w:div w:id="14070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7289">
      <w:bodyDiv w:val="1"/>
      <w:marLeft w:val="0"/>
      <w:marRight w:val="0"/>
      <w:marTop w:val="0"/>
      <w:marBottom w:val="0"/>
      <w:divBdr>
        <w:top w:val="none" w:sz="0" w:space="0" w:color="auto"/>
        <w:left w:val="none" w:sz="0" w:space="0" w:color="auto"/>
        <w:bottom w:val="none" w:sz="0" w:space="0" w:color="auto"/>
        <w:right w:val="none" w:sz="0" w:space="0" w:color="auto"/>
      </w:divBdr>
    </w:div>
    <w:div w:id="1934246189">
      <w:bodyDiv w:val="1"/>
      <w:marLeft w:val="0"/>
      <w:marRight w:val="0"/>
      <w:marTop w:val="0"/>
      <w:marBottom w:val="0"/>
      <w:divBdr>
        <w:top w:val="none" w:sz="0" w:space="0" w:color="auto"/>
        <w:left w:val="none" w:sz="0" w:space="0" w:color="auto"/>
        <w:bottom w:val="none" w:sz="0" w:space="0" w:color="auto"/>
        <w:right w:val="none" w:sz="0" w:space="0" w:color="auto"/>
      </w:divBdr>
    </w:div>
    <w:div w:id="1998414388">
      <w:bodyDiv w:val="1"/>
      <w:marLeft w:val="0"/>
      <w:marRight w:val="0"/>
      <w:marTop w:val="0"/>
      <w:marBottom w:val="0"/>
      <w:divBdr>
        <w:top w:val="none" w:sz="0" w:space="0" w:color="auto"/>
        <w:left w:val="none" w:sz="0" w:space="0" w:color="auto"/>
        <w:bottom w:val="none" w:sz="0" w:space="0" w:color="auto"/>
        <w:right w:val="none" w:sz="0" w:space="0" w:color="auto"/>
      </w:divBdr>
    </w:div>
    <w:div w:id="2021740650">
      <w:bodyDiv w:val="1"/>
      <w:marLeft w:val="0"/>
      <w:marRight w:val="0"/>
      <w:marTop w:val="0"/>
      <w:marBottom w:val="0"/>
      <w:divBdr>
        <w:top w:val="none" w:sz="0" w:space="0" w:color="auto"/>
        <w:left w:val="none" w:sz="0" w:space="0" w:color="auto"/>
        <w:bottom w:val="none" w:sz="0" w:space="0" w:color="auto"/>
        <w:right w:val="none" w:sz="0" w:space="0" w:color="auto"/>
      </w:divBdr>
    </w:div>
    <w:div w:id="2043164560">
      <w:bodyDiv w:val="1"/>
      <w:marLeft w:val="0"/>
      <w:marRight w:val="0"/>
      <w:marTop w:val="0"/>
      <w:marBottom w:val="0"/>
      <w:divBdr>
        <w:top w:val="none" w:sz="0" w:space="0" w:color="auto"/>
        <w:left w:val="none" w:sz="0" w:space="0" w:color="auto"/>
        <w:bottom w:val="none" w:sz="0" w:space="0" w:color="auto"/>
        <w:right w:val="none" w:sz="0" w:space="0" w:color="auto"/>
      </w:divBdr>
    </w:div>
    <w:div w:id="2062242716">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79282612">
      <w:bodyDiv w:val="1"/>
      <w:marLeft w:val="0"/>
      <w:marRight w:val="0"/>
      <w:marTop w:val="0"/>
      <w:marBottom w:val="0"/>
      <w:divBdr>
        <w:top w:val="none" w:sz="0" w:space="0" w:color="auto"/>
        <w:left w:val="none" w:sz="0" w:space="0" w:color="auto"/>
        <w:bottom w:val="none" w:sz="0" w:space="0" w:color="auto"/>
        <w:right w:val="none" w:sz="0" w:space="0" w:color="auto"/>
      </w:divBdr>
    </w:div>
    <w:div w:id="212896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5321</Words>
  <Characters>30334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2025-03-20T03:12:00Z</dcterms:created>
  <dcterms:modified xsi:type="dcterms:W3CDTF">2025-03-20T03:12:00Z</dcterms:modified>
</cp:coreProperties>
</file>