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8213B" w14:textId="77777777" w:rsidR="00731DC7" w:rsidRPr="00801D98" w:rsidRDefault="00731DC7" w:rsidP="00816596">
      <w:pPr>
        <w:pStyle w:val="Heading1"/>
        <w:spacing w:before="98"/>
        <w:ind w:left="0"/>
        <w:rPr>
          <w:rFonts w:ascii="Times New Roman" w:hAnsi="Times New Roman" w:cs="Times New Roman"/>
          <w:spacing w:val="-5"/>
          <w:sz w:val="22"/>
          <w:szCs w:val="22"/>
        </w:rPr>
      </w:pPr>
      <w:r w:rsidRPr="00801D98">
        <w:rPr>
          <w:rFonts w:ascii="Times New Roman" w:hAnsi="Times New Roman" w:cs="Times New Roman"/>
          <w:spacing w:val="-5"/>
          <w:sz w:val="22"/>
          <w:szCs w:val="22"/>
        </w:rPr>
        <w:t>EXPLANATORY STATEMENT</w:t>
      </w:r>
    </w:p>
    <w:p w14:paraId="5723DD65" w14:textId="0B88667B" w:rsidR="00B8276C" w:rsidRPr="00801D98" w:rsidRDefault="00B8276C" w:rsidP="00B8276C">
      <w:pPr>
        <w:pStyle w:val="Heading1"/>
        <w:spacing w:before="98"/>
        <w:ind w:left="0"/>
        <w:rPr>
          <w:rFonts w:ascii="Times New Roman" w:hAnsi="Times New Roman" w:cs="Times New Roman"/>
          <w:b w:val="0"/>
          <w:bCs w:val="0"/>
          <w:spacing w:val="-5"/>
          <w:sz w:val="22"/>
          <w:szCs w:val="22"/>
        </w:rPr>
      </w:pPr>
      <w:r w:rsidRPr="00801D98">
        <w:rPr>
          <w:rFonts w:ascii="Times New Roman" w:hAnsi="Times New Roman" w:cs="Times New Roman"/>
          <w:b w:val="0"/>
          <w:bCs w:val="0"/>
          <w:spacing w:val="-5"/>
          <w:sz w:val="22"/>
          <w:szCs w:val="22"/>
        </w:rPr>
        <w:t>Approved by the Australian Communications and Media Authority</w:t>
      </w:r>
    </w:p>
    <w:p w14:paraId="2BB06A50" w14:textId="494B2A98" w:rsidR="00544514" w:rsidRPr="00801D98" w:rsidRDefault="00B8276C" w:rsidP="00801D98">
      <w:pPr>
        <w:pStyle w:val="Heading1"/>
        <w:spacing w:before="98"/>
        <w:ind w:left="0"/>
        <w:rPr>
          <w:rFonts w:ascii="Times New Roman" w:hAnsi="Times New Roman" w:cs="Times New Roman"/>
          <w:b w:val="0"/>
          <w:bCs w:val="0"/>
          <w:i/>
          <w:sz w:val="22"/>
          <w:szCs w:val="22"/>
        </w:rPr>
      </w:pPr>
      <w:r w:rsidRPr="00801D98">
        <w:rPr>
          <w:rFonts w:ascii="Times New Roman" w:hAnsi="Times New Roman" w:cs="Times New Roman"/>
          <w:b w:val="0"/>
          <w:bCs w:val="0"/>
          <w:i/>
          <w:iCs/>
          <w:spacing w:val="-5"/>
          <w:sz w:val="22"/>
          <w:szCs w:val="22"/>
        </w:rPr>
        <w:t xml:space="preserve">Telecommunications Act 1997 </w:t>
      </w:r>
      <w:r w:rsidR="00B56381" w:rsidRPr="00801D98">
        <w:rPr>
          <w:rFonts w:ascii="Times New Roman" w:hAnsi="Times New Roman" w:cs="Times New Roman"/>
          <w:b w:val="0"/>
          <w:bCs w:val="0"/>
          <w:i/>
          <w:iCs/>
          <w:spacing w:val="-5"/>
          <w:sz w:val="22"/>
          <w:szCs w:val="22"/>
        </w:rPr>
        <w:br/>
      </w:r>
      <w:bookmarkStart w:id="0" w:name="_Hlk188447071"/>
      <w:r w:rsidR="00801D98" w:rsidRPr="00801D98">
        <w:rPr>
          <w:rFonts w:ascii="Times New Roman" w:hAnsi="Times New Roman" w:cs="Times New Roman"/>
          <w:i/>
          <w:sz w:val="22"/>
          <w:szCs w:val="22"/>
        </w:rPr>
        <w:br/>
      </w:r>
      <w:r w:rsidR="00544514" w:rsidRPr="00801D98">
        <w:rPr>
          <w:rFonts w:ascii="Times New Roman" w:hAnsi="Times New Roman" w:cs="Times New Roman"/>
          <w:i/>
          <w:sz w:val="22"/>
          <w:szCs w:val="22"/>
        </w:rPr>
        <w:t>Telecommunications (Section of the Telecommunications Industry – Portability Service Suppliers) Determination 20</w:t>
      </w:r>
      <w:r w:rsidR="00DF3B65" w:rsidRPr="00801D98">
        <w:rPr>
          <w:rFonts w:ascii="Times New Roman" w:hAnsi="Times New Roman" w:cs="Times New Roman"/>
          <w:i/>
          <w:sz w:val="22"/>
          <w:szCs w:val="22"/>
        </w:rPr>
        <w:t>2</w:t>
      </w:r>
      <w:r w:rsidR="00544514" w:rsidRPr="00801D98">
        <w:rPr>
          <w:rFonts w:ascii="Times New Roman" w:hAnsi="Times New Roman" w:cs="Times New Roman"/>
          <w:i/>
          <w:sz w:val="22"/>
          <w:szCs w:val="22"/>
        </w:rPr>
        <w:t>5</w:t>
      </w:r>
      <w:bookmarkEnd w:id="0"/>
    </w:p>
    <w:p w14:paraId="06C76D15" w14:textId="77777777" w:rsidR="00544514" w:rsidRPr="00C3197E" w:rsidRDefault="00544514" w:rsidP="00816596">
      <w:pPr>
        <w:pStyle w:val="Heading1"/>
        <w:spacing w:before="98"/>
        <w:ind w:left="0"/>
        <w:rPr>
          <w:rFonts w:ascii="Times New Roman" w:hAnsi="Times New Roman" w:cs="Times New Roman"/>
          <w:spacing w:val="-5"/>
          <w:sz w:val="22"/>
          <w:szCs w:val="22"/>
          <w:u w:val="single"/>
        </w:rPr>
      </w:pPr>
    </w:p>
    <w:p w14:paraId="4C076295" w14:textId="77777777" w:rsidR="00734777" w:rsidRPr="00865307" w:rsidRDefault="00734777" w:rsidP="00731DC7">
      <w:pPr>
        <w:rPr>
          <w:sz w:val="14"/>
          <w:szCs w:val="14"/>
        </w:rPr>
      </w:pPr>
    </w:p>
    <w:p w14:paraId="3C0C8E31" w14:textId="00C05FA5" w:rsidR="000D752C" w:rsidRPr="0042521D" w:rsidRDefault="002A4220" w:rsidP="0042521D">
      <w:pPr>
        <w:spacing w:before="80" w:after="100" w:afterAutospacing="1"/>
        <w:rPr>
          <w:b/>
          <w:bCs/>
          <w:sz w:val="22"/>
          <w:szCs w:val="22"/>
        </w:rPr>
      </w:pPr>
      <w:r w:rsidRPr="00801D98">
        <w:rPr>
          <w:b/>
          <w:bCs/>
          <w:sz w:val="22"/>
          <w:szCs w:val="22"/>
        </w:rPr>
        <w:t xml:space="preserve">Authority </w:t>
      </w:r>
      <w:r w:rsidR="0042521D">
        <w:rPr>
          <w:b/>
          <w:bCs/>
          <w:sz w:val="22"/>
          <w:szCs w:val="22"/>
        </w:rPr>
        <w:br/>
      </w:r>
      <w:r w:rsidR="0042521D">
        <w:rPr>
          <w:b/>
          <w:bCs/>
          <w:sz w:val="22"/>
          <w:szCs w:val="22"/>
        </w:rPr>
        <w:br/>
      </w:r>
      <w:r w:rsidR="00B8276C" w:rsidRPr="00065D72">
        <w:rPr>
          <w:sz w:val="22"/>
          <w:szCs w:val="22"/>
        </w:rPr>
        <w:t xml:space="preserve">The Australian </w:t>
      </w:r>
      <w:r w:rsidR="00065D72">
        <w:rPr>
          <w:sz w:val="22"/>
          <w:szCs w:val="22"/>
        </w:rPr>
        <w:t xml:space="preserve">Communications and Media Authority (the </w:t>
      </w:r>
      <w:r w:rsidR="00065D72" w:rsidRPr="006F3B53">
        <w:rPr>
          <w:b/>
          <w:bCs/>
          <w:sz w:val="22"/>
          <w:szCs w:val="22"/>
        </w:rPr>
        <w:t>ACMA</w:t>
      </w:r>
      <w:r w:rsidR="00065D72">
        <w:rPr>
          <w:sz w:val="22"/>
          <w:szCs w:val="22"/>
        </w:rPr>
        <w:t xml:space="preserve">) has made the </w:t>
      </w:r>
      <w:r w:rsidR="00065D72" w:rsidRPr="00065D72">
        <w:rPr>
          <w:i/>
          <w:iCs/>
          <w:sz w:val="22"/>
          <w:szCs w:val="22"/>
        </w:rPr>
        <w:t>Telecommunications (Section of the Telecommunications Industry – Portability Service Suppliers) Determination 2025</w:t>
      </w:r>
      <w:r w:rsidR="00065D72">
        <w:rPr>
          <w:i/>
          <w:iCs/>
          <w:sz w:val="22"/>
          <w:szCs w:val="22"/>
        </w:rPr>
        <w:t xml:space="preserve"> </w:t>
      </w:r>
      <w:r w:rsidR="00B9380E">
        <w:rPr>
          <w:sz w:val="22"/>
          <w:szCs w:val="22"/>
        </w:rPr>
        <w:t xml:space="preserve">(the </w:t>
      </w:r>
      <w:r w:rsidR="00A2639F">
        <w:rPr>
          <w:b/>
          <w:bCs/>
          <w:sz w:val="22"/>
          <w:szCs w:val="22"/>
        </w:rPr>
        <w:t>instrument</w:t>
      </w:r>
      <w:r w:rsidR="00B9380E">
        <w:rPr>
          <w:sz w:val="22"/>
          <w:szCs w:val="22"/>
        </w:rPr>
        <w:t xml:space="preserve">) under </w:t>
      </w:r>
      <w:r w:rsidR="00A2639F">
        <w:rPr>
          <w:sz w:val="22"/>
          <w:szCs w:val="22"/>
        </w:rPr>
        <w:t xml:space="preserve">subsection 110(3) of </w:t>
      </w:r>
      <w:r w:rsidR="00B9380E">
        <w:rPr>
          <w:sz w:val="22"/>
          <w:szCs w:val="22"/>
        </w:rPr>
        <w:t xml:space="preserve">the </w:t>
      </w:r>
      <w:r w:rsidR="00B9380E" w:rsidRPr="00B9380E">
        <w:rPr>
          <w:i/>
          <w:iCs/>
          <w:sz w:val="22"/>
          <w:szCs w:val="22"/>
        </w:rPr>
        <w:t>Telecommunications Act 1997</w:t>
      </w:r>
      <w:r w:rsidR="00810468">
        <w:rPr>
          <w:i/>
          <w:iCs/>
          <w:sz w:val="22"/>
          <w:szCs w:val="22"/>
        </w:rPr>
        <w:t xml:space="preserve"> </w:t>
      </w:r>
      <w:r w:rsidR="00810468">
        <w:rPr>
          <w:sz w:val="22"/>
          <w:szCs w:val="22"/>
        </w:rPr>
        <w:t xml:space="preserve">(the </w:t>
      </w:r>
      <w:r w:rsidR="00810468" w:rsidRPr="006F3B53">
        <w:rPr>
          <w:b/>
          <w:bCs/>
          <w:sz w:val="22"/>
          <w:szCs w:val="22"/>
        </w:rPr>
        <w:t>Act</w:t>
      </w:r>
      <w:r w:rsidR="00810468">
        <w:rPr>
          <w:sz w:val="22"/>
          <w:szCs w:val="22"/>
        </w:rPr>
        <w:t>)</w:t>
      </w:r>
      <w:r w:rsidR="00A2639F">
        <w:rPr>
          <w:sz w:val="22"/>
          <w:szCs w:val="22"/>
        </w:rPr>
        <w:t xml:space="preserve"> </w:t>
      </w:r>
      <w:r w:rsidR="00A2639F" w:rsidRPr="00CE5F9C">
        <w:rPr>
          <w:sz w:val="22"/>
          <w:szCs w:val="22"/>
        </w:rPr>
        <w:t xml:space="preserve">and subsection 33(3) of the </w:t>
      </w:r>
      <w:r w:rsidR="00A2639F" w:rsidRPr="00806C85">
        <w:rPr>
          <w:rStyle w:val="Strong"/>
          <w:b w:val="0"/>
          <w:i/>
          <w:iCs/>
          <w:sz w:val="22"/>
          <w:szCs w:val="22"/>
        </w:rPr>
        <w:t xml:space="preserve">Acts Interpretation Act 1901 </w:t>
      </w:r>
      <w:r w:rsidR="00A2639F" w:rsidRPr="00806C85">
        <w:rPr>
          <w:rStyle w:val="Strong"/>
          <w:b w:val="0"/>
          <w:sz w:val="22"/>
          <w:szCs w:val="22"/>
        </w:rPr>
        <w:t xml:space="preserve">(the </w:t>
      </w:r>
      <w:r w:rsidR="00A2639F" w:rsidRPr="00806C85">
        <w:rPr>
          <w:rStyle w:val="Strong"/>
          <w:bCs w:val="0"/>
          <w:sz w:val="22"/>
          <w:szCs w:val="22"/>
        </w:rPr>
        <w:t>AIA</w:t>
      </w:r>
      <w:r w:rsidR="00A2639F" w:rsidRPr="00806C85">
        <w:rPr>
          <w:rStyle w:val="Strong"/>
          <w:b w:val="0"/>
          <w:sz w:val="22"/>
          <w:szCs w:val="22"/>
        </w:rPr>
        <w:t>)</w:t>
      </w:r>
      <w:r w:rsidR="00A2639F" w:rsidRPr="00806C85">
        <w:rPr>
          <w:sz w:val="22"/>
          <w:szCs w:val="22"/>
        </w:rPr>
        <w:t>.</w:t>
      </w:r>
    </w:p>
    <w:p w14:paraId="50304346" w14:textId="03E5B246" w:rsidR="00CC19C3" w:rsidRPr="00D55519" w:rsidRDefault="00CC19C3" w:rsidP="00D55519">
      <w:pPr>
        <w:pStyle w:val="Paragraph"/>
        <w:spacing w:before="80" w:after="100" w:afterAutospacing="1" w:line="240" w:lineRule="auto"/>
        <w:rPr>
          <w:rFonts w:ascii="Times New Roman" w:eastAsia="Arial" w:hAnsi="Times New Roman" w:cs="Times New Roman"/>
          <w:sz w:val="22"/>
          <w:szCs w:val="22"/>
        </w:rPr>
      </w:pPr>
      <w:bookmarkStart w:id="1" w:name="_Toc488571218"/>
      <w:r w:rsidRPr="00801D98">
        <w:rPr>
          <w:rFonts w:ascii="Times New Roman" w:eastAsia="Arial" w:hAnsi="Times New Roman" w:cs="Times New Roman"/>
          <w:sz w:val="22"/>
          <w:szCs w:val="22"/>
        </w:rPr>
        <w:t xml:space="preserve">Subsection 110(3) </w:t>
      </w:r>
      <w:bookmarkEnd w:id="1"/>
      <w:r w:rsidRPr="00801D98">
        <w:rPr>
          <w:rFonts w:ascii="Times New Roman" w:eastAsia="Arial" w:hAnsi="Times New Roman" w:cs="Times New Roman"/>
          <w:sz w:val="22"/>
          <w:szCs w:val="22"/>
        </w:rPr>
        <w:t xml:space="preserve">of the Act provides that the ACMA may, by written instrument, make determinations that persons carrying on specified kinds of telecommunications activities constitute a section of the telecommunications industry. </w:t>
      </w:r>
    </w:p>
    <w:p w14:paraId="4DAF49F6" w14:textId="77777777" w:rsidR="004B347B" w:rsidRPr="00806C85" w:rsidRDefault="004B347B" w:rsidP="004B347B">
      <w:pPr>
        <w:rPr>
          <w:rFonts w:eastAsia="Arial"/>
          <w:sz w:val="22"/>
          <w:szCs w:val="22"/>
        </w:rPr>
      </w:pPr>
      <w:r w:rsidRPr="00806C85">
        <w:rPr>
          <w:rFonts w:eastAsia="Arial"/>
          <w:sz w:val="22"/>
          <w:szCs w:val="22"/>
        </w:rP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13C72DB2" w14:textId="1F14D237" w:rsidR="00A95BF3" w:rsidRDefault="00810468" w:rsidP="00A2639F">
      <w:pPr>
        <w:pStyle w:val="indenta"/>
        <w:tabs>
          <w:tab w:val="left" w:pos="720"/>
        </w:tabs>
        <w:spacing w:before="0" w:line="280" w:lineRule="atLeast"/>
        <w:ind w:left="0" w:firstLine="0"/>
        <w:rPr>
          <w:b/>
          <w:bCs/>
          <w:szCs w:val="22"/>
        </w:rPr>
      </w:pPr>
      <w:r>
        <w:rPr>
          <w:b/>
          <w:bCs/>
          <w:szCs w:val="22"/>
        </w:rPr>
        <w:br/>
      </w:r>
      <w:r w:rsidR="00A95BF3" w:rsidRPr="00801D98">
        <w:rPr>
          <w:b/>
          <w:bCs/>
          <w:szCs w:val="22"/>
        </w:rPr>
        <w:t>Purpose</w:t>
      </w:r>
      <w:r w:rsidR="006F3B53">
        <w:rPr>
          <w:b/>
          <w:bCs/>
          <w:szCs w:val="22"/>
        </w:rPr>
        <w:t xml:space="preserve"> and operation of the instrument </w:t>
      </w:r>
    </w:p>
    <w:p w14:paraId="0E731E76" w14:textId="77777777" w:rsidR="004924DA" w:rsidRDefault="004924DA" w:rsidP="00A2639F">
      <w:pPr>
        <w:pStyle w:val="indenta"/>
        <w:tabs>
          <w:tab w:val="left" w:pos="720"/>
        </w:tabs>
        <w:spacing w:before="0" w:line="280" w:lineRule="atLeast"/>
        <w:ind w:left="0" w:firstLine="0"/>
        <w:rPr>
          <w:b/>
          <w:bCs/>
          <w:szCs w:val="22"/>
        </w:rPr>
      </w:pPr>
    </w:p>
    <w:p w14:paraId="56B8AAF2" w14:textId="0B81116D" w:rsidR="00CE7A7A" w:rsidRDefault="004924DA" w:rsidP="00D861C4">
      <w:pPr>
        <w:pStyle w:val="indenta"/>
        <w:tabs>
          <w:tab w:val="left" w:pos="720"/>
        </w:tabs>
        <w:spacing w:before="0" w:line="240" w:lineRule="auto"/>
        <w:ind w:left="0" w:firstLine="0"/>
        <w:rPr>
          <w:rFonts w:ascii="Times New Roman" w:eastAsia="Arial" w:hAnsi="Times New Roman"/>
          <w:szCs w:val="22"/>
          <w:lang w:eastAsia="en-AU"/>
        </w:rPr>
      </w:pPr>
      <w:r w:rsidRPr="00806C85">
        <w:rPr>
          <w:szCs w:val="22"/>
        </w:rPr>
        <w:t xml:space="preserve">The purpose of this instrument is to </w:t>
      </w:r>
      <w:r w:rsidR="00172AD4">
        <w:rPr>
          <w:szCs w:val="22"/>
        </w:rPr>
        <w:t xml:space="preserve">continue to </w:t>
      </w:r>
      <w:r w:rsidR="00CE7A7A">
        <w:rPr>
          <w:rFonts w:ascii="Times New Roman" w:eastAsia="Arial" w:hAnsi="Times New Roman"/>
          <w:szCs w:val="22"/>
        </w:rPr>
        <w:t>determine</w:t>
      </w:r>
      <w:r w:rsidR="0056317F">
        <w:rPr>
          <w:rFonts w:ascii="Times New Roman" w:eastAsia="Arial" w:hAnsi="Times New Roman"/>
          <w:szCs w:val="22"/>
        </w:rPr>
        <w:t xml:space="preserve"> </w:t>
      </w:r>
      <w:r w:rsidR="00212ADE" w:rsidRPr="00801D98">
        <w:rPr>
          <w:rFonts w:ascii="Times New Roman" w:eastAsia="Arial" w:hAnsi="Times New Roman"/>
          <w:szCs w:val="22"/>
        </w:rPr>
        <w:t xml:space="preserve">parties providing portability services </w:t>
      </w:r>
      <w:r w:rsidR="00F46EDA">
        <w:rPr>
          <w:rFonts w:ascii="Times New Roman" w:eastAsia="Arial" w:hAnsi="Times New Roman"/>
          <w:szCs w:val="22"/>
        </w:rPr>
        <w:t>as</w:t>
      </w:r>
      <w:r w:rsidR="00212ADE" w:rsidRPr="00801D98">
        <w:rPr>
          <w:rFonts w:ascii="Times New Roman" w:eastAsia="Arial" w:hAnsi="Times New Roman"/>
          <w:szCs w:val="22"/>
        </w:rPr>
        <w:t xml:space="preserve"> participants in the telecommunications industry</w:t>
      </w:r>
      <w:r w:rsidR="00CE7A7A">
        <w:rPr>
          <w:rFonts w:ascii="Times New Roman" w:eastAsia="Arial" w:hAnsi="Times New Roman"/>
          <w:szCs w:val="22"/>
        </w:rPr>
        <w:t xml:space="preserve"> for the purposes of Part 6 of the Act</w:t>
      </w:r>
      <w:r w:rsidR="00F46EDA">
        <w:rPr>
          <w:rFonts w:ascii="Times New Roman" w:eastAsia="Arial" w:hAnsi="Times New Roman"/>
          <w:szCs w:val="22"/>
        </w:rPr>
        <w:t>, and</w:t>
      </w:r>
      <w:r w:rsidR="00CE7A7A">
        <w:rPr>
          <w:rFonts w:ascii="Times New Roman" w:eastAsia="Arial" w:hAnsi="Times New Roman"/>
          <w:szCs w:val="22"/>
        </w:rPr>
        <w:t xml:space="preserve"> to</w:t>
      </w:r>
      <w:r w:rsidR="00F46EDA">
        <w:rPr>
          <w:rFonts w:ascii="Times New Roman" w:eastAsia="Arial" w:hAnsi="Times New Roman"/>
          <w:szCs w:val="22"/>
        </w:rPr>
        <w:t xml:space="preserve"> </w:t>
      </w:r>
      <w:r w:rsidR="00212ADE" w:rsidRPr="00801D98">
        <w:rPr>
          <w:rFonts w:ascii="Times New Roman" w:eastAsia="Arial" w:hAnsi="Times New Roman"/>
          <w:szCs w:val="22"/>
        </w:rPr>
        <w:t xml:space="preserve">assist </w:t>
      </w:r>
      <w:r w:rsidR="001B0C9E">
        <w:rPr>
          <w:rFonts w:ascii="Times New Roman" w:eastAsia="Arial" w:hAnsi="Times New Roman"/>
          <w:szCs w:val="22"/>
        </w:rPr>
        <w:t>carriage service providers</w:t>
      </w:r>
      <w:r w:rsidR="00D6263B">
        <w:rPr>
          <w:rFonts w:ascii="Times New Roman" w:eastAsia="Arial" w:hAnsi="Times New Roman"/>
          <w:szCs w:val="22"/>
        </w:rPr>
        <w:t xml:space="preserve"> and carriers</w:t>
      </w:r>
      <w:r w:rsidR="00212ADE" w:rsidRPr="00801D98">
        <w:rPr>
          <w:rFonts w:ascii="Times New Roman" w:eastAsia="Arial" w:hAnsi="Times New Roman"/>
          <w:szCs w:val="22"/>
        </w:rPr>
        <w:t xml:space="preserve"> to meet t</w:t>
      </w:r>
      <w:r w:rsidR="000961DF">
        <w:rPr>
          <w:rFonts w:ascii="Times New Roman" w:eastAsia="Arial" w:hAnsi="Times New Roman"/>
          <w:szCs w:val="22"/>
        </w:rPr>
        <w:t xml:space="preserve">heir </w:t>
      </w:r>
      <w:r w:rsidR="00212ADE" w:rsidRPr="00801D98">
        <w:rPr>
          <w:rFonts w:ascii="Times New Roman" w:eastAsia="Arial" w:hAnsi="Times New Roman"/>
          <w:szCs w:val="22"/>
        </w:rPr>
        <w:t>number portability obligations</w:t>
      </w:r>
      <w:r w:rsidR="00D861C4">
        <w:rPr>
          <w:rFonts w:ascii="Times New Roman" w:eastAsia="Arial" w:hAnsi="Times New Roman"/>
          <w:szCs w:val="22"/>
        </w:rPr>
        <w:t xml:space="preserve"> under </w:t>
      </w:r>
      <w:r w:rsidR="00D861C4" w:rsidRPr="00801D98">
        <w:rPr>
          <w:rFonts w:ascii="Times New Roman" w:eastAsia="Arial" w:hAnsi="Times New Roman"/>
          <w:szCs w:val="22"/>
          <w:lang w:eastAsia="en-AU"/>
        </w:rPr>
        <w:t xml:space="preserve">Chapter 10 of the </w:t>
      </w:r>
      <w:r w:rsidR="00D861C4" w:rsidRPr="00806C85">
        <w:rPr>
          <w:rFonts w:ascii="Times New Roman" w:eastAsia="Arial" w:hAnsi="Times New Roman"/>
          <w:i/>
          <w:iCs/>
          <w:szCs w:val="22"/>
          <w:lang w:eastAsia="en-AU"/>
        </w:rPr>
        <w:t>Telecommunications Numbering Plan 2025</w:t>
      </w:r>
      <w:r w:rsidR="00DF59BB">
        <w:rPr>
          <w:rFonts w:ascii="Times New Roman" w:eastAsia="Arial" w:hAnsi="Times New Roman"/>
          <w:szCs w:val="22"/>
          <w:lang w:eastAsia="en-AU"/>
        </w:rPr>
        <w:t xml:space="preserve"> (the </w:t>
      </w:r>
      <w:r w:rsidR="00DF59BB" w:rsidRPr="00806C85">
        <w:rPr>
          <w:rFonts w:ascii="Times New Roman" w:eastAsia="Arial" w:hAnsi="Times New Roman"/>
          <w:b/>
          <w:bCs/>
          <w:szCs w:val="22"/>
          <w:lang w:eastAsia="en-AU"/>
        </w:rPr>
        <w:t>Plan</w:t>
      </w:r>
      <w:r w:rsidR="00DF59BB">
        <w:rPr>
          <w:rFonts w:ascii="Times New Roman" w:eastAsia="Arial" w:hAnsi="Times New Roman"/>
          <w:szCs w:val="22"/>
          <w:lang w:eastAsia="en-AU"/>
        </w:rPr>
        <w:t>)</w:t>
      </w:r>
      <w:r w:rsidR="00591962">
        <w:rPr>
          <w:rFonts w:ascii="Times New Roman" w:eastAsia="Arial" w:hAnsi="Times New Roman"/>
          <w:szCs w:val="22"/>
          <w:lang w:eastAsia="en-AU"/>
        </w:rPr>
        <w:t>.</w:t>
      </w:r>
    </w:p>
    <w:p w14:paraId="59A0EEDC" w14:textId="77777777" w:rsidR="000627FF" w:rsidRDefault="000627FF" w:rsidP="00D861C4">
      <w:pPr>
        <w:pStyle w:val="indenta"/>
        <w:tabs>
          <w:tab w:val="left" w:pos="720"/>
        </w:tabs>
        <w:spacing w:before="0" w:line="240" w:lineRule="auto"/>
        <w:ind w:left="0" w:firstLine="0"/>
        <w:rPr>
          <w:rFonts w:ascii="Times New Roman" w:eastAsia="Arial" w:hAnsi="Times New Roman"/>
          <w:szCs w:val="22"/>
          <w:lang w:eastAsia="en-AU"/>
        </w:rPr>
      </w:pPr>
    </w:p>
    <w:p w14:paraId="2CA50A75" w14:textId="748C1CF3" w:rsidR="002357B2" w:rsidRDefault="00C313C1" w:rsidP="009E567C">
      <w:pPr>
        <w:rPr>
          <w:rFonts w:eastAsia="Arial"/>
          <w:sz w:val="22"/>
          <w:szCs w:val="22"/>
        </w:rPr>
      </w:pPr>
      <w:r w:rsidRPr="503CF93E">
        <w:rPr>
          <w:rFonts w:eastAsia="Arial"/>
          <w:sz w:val="22"/>
          <w:szCs w:val="22"/>
        </w:rPr>
        <w:t>Chapter 10 of the Plan requires carriage service providers and carriers to allow for the p</w:t>
      </w:r>
      <w:r w:rsidR="009D5529" w:rsidRPr="503CF93E">
        <w:rPr>
          <w:rFonts w:eastAsia="Arial"/>
          <w:sz w:val="22"/>
          <w:szCs w:val="22"/>
        </w:rPr>
        <w:t xml:space="preserve">orting </w:t>
      </w:r>
      <w:r w:rsidRPr="503CF93E">
        <w:rPr>
          <w:rFonts w:eastAsia="Arial"/>
          <w:sz w:val="22"/>
          <w:szCs w:val="22"/>
        </w:rPr>
        <w:t>of certain types of n</w:t>
      </w:r>
      <w:r w:rsidR="009D5529" w:rsidRPr="503CF93E">
        <w:rPr>
          <w:rFonts w:eastAsia="Arial"/>
          <w:sz w:val="22"/>
          <w:szCs w:val="22"/>
        </w:rPr>
        <w:t>umbers</w:t>
      </w:r>
      <w:r w:rsidRPr="503CF93E">
        <w:rPr>
          <w:rFonts w:eastAsia="Arial"/>
          <w:sz w:val="22"/>
          <w:szCs w:val="22"/>
        </w:rPr>
        <w:t xml:space="preserve"> such as geographic</w:t>
      </w:r>
      <w:r w:rsidR="00DA5B75" w:rsidRPr="503CF93E">
        <w:rPr>
          <w:rFonts w:eastAsia="Arial"/>
          <w:sz w:val="22"/>
          <w:szCs w:val="22"/>
        </w:rPr>
        <w:t>, mobile, free</w:t>
      </w:r>
      <w:r w:rsidR="000A59BA" w:rsidRPr="503CF93E">
        <w:rPr>
          <w:rFonts w:eastAsia="Arial"/>
          <w:sz w:val="22"/>
          <w:szCs w:val="22"/>
        </w:rPr>
        <w:t xml:space="preserve"> and local rate numbers.</w:t>
      </w:r>
      <w:r w:rsidR="00866077" w:rsidRPr="503CF93E">
        <w:rPr>
          <w:rFonts w:eastAsia="Arial"/>
          <w:sz w:val="22"/>
          <w:szCs w:val="22"/>
        </w:rPr>
        <w:t xml:space="preserve"> A</w:t>
      </w:r>
      <w:r w:rsidR="00820CF5" w:rsidRPr="503CF93E">
        <w:rPr>
          <w:rFonts w:eastAsia="Arial"/>
          <w:sz w:val="22"/>
          <w:szCs w:val="22"/>
        </w:rPr>
        <w:t xml:space="preserve"> customer </w:t>
      </w:r>
      <w:r w:rsidR="00866077" w:rsidRPr="503CF93E">
        <w:rPr>
          <w:rFonts w:eastAsia="Arial"/>
          <w:sz w:val="22"/>
          <w:szCs w:val="22"/>
        </w:rPr>
        <w:t>can</w:t>
      </w:r>
      <w:r w:rsidR="00820CF5" w:rsidRPr="503CF93E">
        <w:rPr>
          <w:rFonts w:eastAsia="Arial"/>
          <w:sz w:val="22"/>
          <w:szCs w:val="22"/>
        </w:rPr>
        <w:t xml:space="preserve"> change the carriage service provider </w:t>
      </w:r>
      <w:r w:rsidR="00866077" w:rsidRPr="503CF93E">
        <w:rPr>
          <w:rFonts w:eastAsia="Arial"/>
          <w:sz w:val="22"/>
          <w:szCs w:val="22"/>
        </w:rPr>
        <w:t xml:space="preserve">or carrier </w:t>
      </w:r>
      <w:r w:rsidR="00820CF5" w:rsidRPr="503CF93E">
        <w:rPr>
          <w:rFonts w:eastAsia="Arial"/>
          <w:sz w:val="22"/>
          <w:szCs w:val="22"/>
        </w:rPr>
        <w:t xml:space="preserve">involved in providing </w:t>
      </w:r>
      <w:r w:rsidR="00866077" w:rsidRPr="503CF93E">
        <w:rPr>
          <w:rFonts w:eastAsia="Arial"/>
          <w:sz w:val="22"/>
          <w:szCs w:val="22"/>
        </w:rPr>
        <w:t>a</w:t>
      </w:r>
      <w:r w:rsidR="00820CF5" w:rsidRPr="503CF93E">
        <w:rPr>
          <w:rFonts w:eastAsia="Arial"/>
          <w:sz w:val="22"/>
          <w:szCs w:val="22"/>
        </w:rPr>
        <w:t xml:space="preserve"> service, or both, and retain the number.</w:t>
      </w:r>
      <w:r w:rsidR="002C2864" w:rsidRPr="503CF93E">
        <w:rPr>
          <w:rFonts w:eastAsia="Arial"/>
          <w:sz w:val="22"/>
          <w:szCs w:val="22"/>
        </w:rPr>
        <w:t xml:space="preserve"> </w:t>
      </w:r>
      <w:r w:rsidR="000A59BA" w:rsidRPr="503CF93E">
        <w:rPr>
          <w:rFonts w:eastAsia="Arial"/>
          <w:sz w:val="22"/>
          <w:szCs w:val="22"/>
        </w:rPr>
        <w:t xml:space="preserve">Porting </w:t>
      </w:r>
      <w:r w:rsidR="009D5529" w:rsidRPr="503CF93E">
        <w:rPr>
          <w:rFonts w:eastAsia="Arial"/>
          <w:sz w:val="22"/>
          <w:szCs w:val="22"/>
        </w:rPr>
        <w:t>requires a flow of messages between carriage services providers and routing calls to ported numbers</w:t>
      </w:r>
      <w:r w:rsidR="00FC6274" w:rsidRPr="503CF93E">
        <w:rPr>
          <w:rFonts w:eastAsia="Arial"/>
          <w:sz w:val="22"/>
          <w:szCs w:val="22"/>
        </w:rPr>
        <w:t xml:space="preserve">, and </w:t>
      </w:r>
      <w:r w:rsidR="009D5529" w:rsidRPr="503CF93E">
        <w:rPr>
          <w:rFonts w:eastAsia="Arial"/>
          <w:sz w:val="22"/>
          <w:szCs w:val="22"/>
        </w:rPr>
        <w:t xml:space="preserve">requires information </w:t>
      </w:r>
      <w:r w:rsidR="00FC6274" w:rsidRPr="503CF93E">
        <w:rPr>
          <w:rFonts w:eastAsia="Arial"/>
          <w:sz w:val="22"/>
          <w:szCs w:val="22"/>
        </w:rPr>
        <w:t xml:space="preserve">being provided </w:t>
      </w:r>
      <w:r w:rsidR="009D5529" w:rsidRPr="503CF93E">
        <w:rPr>
          <w:rFonts w:eastAsia="Arial"/>
          <w:sz w:val="22"/>
          <w:szCs w:val="22"/>
        </w:rPr>
        <w:t>on ported numbers to carriage service providers that may route calls</w:t>
      </w:r>
      <w:r w:rsidR="00E16F19" w:rsidRPr="503CF93E">
        <w:rPr>
          <w:rFonts w:eastAsia="Arial"/>
          <w:sz w:val="22"/>
          <w:szCs w:val="22"/>
        </w:rPr>
        <w:t xml:space="preserve">. </w:t>
      </w:r>
      <w:r w:rsidR="0003289D" w:rsidRPr="503CF93E">
        <w:rPr>
          <w:rFonts w:eastAsia="Arial"/>
          <w:sz w:val="22"/>
          <w:szCs w:val="22"/>
        </w:rPr>
        <w:t xml:space="preserve"> </w:t>
      </w:r>
    </w:p>
    <w:p w14:paraId="2D89F5BB" w14:textId="77777777" w:rsidR="009E567C" w:rsidRPr="00806C85" w:rsidRDefault="009E567C" w:rsidP="00806C85">
      <w:pPr>
        <w:rPr>
          <w:rFonts w:eastAsia="Arial"/>
          <w:szCs w:val="22"/>
        </w:rPr>
      </w:pPr>
    </w:p>
    <w:p w14:paraId="300702B0" w14:textId="1EEA457F" w:rsidR="00FB3CC5" w:rsidRDefault="0046689D" w:rsidP="00320F21">
      <w:pPr>
        <w:pStyle w:val="indenta"/>
        <w:tabs>
          <w:tab w:val="left" w:pos="720"/>
        </w:tabs>
        <w:spacing w:before="0" w:line="240" w:lineRule="auto"/>
        <w:ind w:left="0" w:firstLine="0"/>
        <w:rPr>
          <w:rFonts w:ascii="Times New Roman" w:eastAsia="Arial" w:hAnsi="Times New Roman"/>
          <w:szCs w:val="22"/>
        </w:rPr>
      </w:pPr>
      <w:r>
        <w:t xml:space="preserve">The instrument replaces the </w:t>
      </w:r>
      <w:r w:rsidR="00EF6596" w:rsidRPr="00065D72">
        <w:rPr>
          <w:i/>
          <w:iCs/>
          <w:szCs w:val="22"/>
        </w:rPr>
        <w:t>Telecommunications (Section of the Telecommunications Industry – Portability Service Suppliers) Determination 20</w:t>
      </w:r>
      <w:r w:rsidR="00EF6596">
        <w:rPr>
          <w:i/>
          <w:iCs/>
          <w:szCs w:val="22"/>
        </w:rPr>
        <w:t>15</w:t>
      </w:r>
      <w:r>
        <w:rPr>
          <w:i/>
          <w:iCs/>
          <w:szCs w:val="22"/>
        </w:rPr>
        <w:t xml:space="preserve"> </w:t>
      </w:r>
      <w:r w:rsidRPr="00806C85">
        <w:rPr>
          <w:rStyle w:val="Emphasis"/>
          <w:i w:val="0"/>
          <w:iCs w:val="0"/>
        </w:rPr>
        <w:t>(the</w:t>
      </w:r>
      <w:r w:rsidRPr="00EF6596">
        <w:rPr>
          <w:rStyle w:val="Emphasis"/>
          <w:b/>
          <w:bCs/>
          <w:i w:val="0"/>
          <w:iCs w:val="0"/>
        </w:rPr>
        <w:t xml:space="preserve"> 2015 </w:t>
      </w:r>
      <w:r w:rsidRPr="00806C85">
        <w:rPr>
          <w:rStyle w:val="Emphasis"/>
          <w:b/>
          <w:bCs/>
          <w:i w:val="0"/>
          <w:iCs w:val="0"/>
        </w:rPr>
        <w:t>instrument</w:t>
      </w:r>
      <w:r>
        <w:rPr>
          <w:rStyle w:val="Emphasis"/>
        </w:rPr>
        <w:t>)</w:t>
      </w:r>
      <w:r>
        <w:rPr>
          <w:rFonts w:ascii="Times New Roman" w:hAnsi="Times New Roman"/>
          <w:szCs w:val="22"/>
        </w:rPr>
        <w:t xml:space="preserve">. </w:t>
      </w:r>
      <w:r w:rsidR="00060F53">
        <w:rPr>
          <w:rFonts w:ascii="Times New Roman" w:hAnsi="Times New Roman"/>
          <w:szCs w:val="22"/>
        </w:rPr>
        <w:t xml:space="preserve">The 2015 instrument was due to “sunset” on 1 April 2025 under Part 4 of Chapter 3 of the </w:t>
      </w:r>
      <w:r w:rsidR="00060F53" w:rsidRPr="00C3197E">
        <w:rPr>
          <w:rFonts w:ascii="Times New Roman" w:hAnsi="Times New Roman"/>
          <w:i/>
          <w:iCs/>
          <w:szCs w:val="22"/>
        </w:rPr>
        <w:t>Legislation Act 2003</w:t>
      </w:r>
      <w:r w:rsidR="00060F53">
        <w:rPr>
          <w:rFonts w:ascii="Times New Roman" w:hAnsi="Times New Roman"/>
          <w:i/>
          <w:iCs/>
          <w:szCs w:val="22"/>
        </w:rPr>
        <w:t xml:space="preserve"> </w:t>
      </w:r>
      <w:r w:rsidR="00060F53">
        <w:rPr>
          <w:rFonts w:ascii="Times New Roman" w:hAnsi="Times New Roman"/>
          <w:szCs w:val="22"/>
        </w:rPr>
        <w:t xml:space="preserve">(the </w:t>
      </w:r>
      <w:r w:rsidR="00060F53" w:rsidRPr="00C3197E">
        <w:rPr>
          <w:rFonts w:ascii="Times New Roman" w:hAnsi="Times New Roman"/>
          <w:b/>
          <w:bCs/>
          <w:szCs w:val="22"/>
        </w:rPr>
        <w:t>LA</w:t>
      </w:r>
      <w:r w:rsidR="00060F53">
        <w:rPr>
          <w:rFonts w:ascii="Times New Roman" w:hAnsi="Times New Roman"/>
          <w:szCs w:val="22"/>
        </w:rPr>
        <w:t xml:space="preserve">). </w:t>
      </w:r>
      <w:r w:rsidR="00320F21" w:rsidRPr="00801D98">
        <w:rPr>
          <w:rFonts w:ascii="Times New Roman" w:eastAsia="Arial" w:hAnsi="Times New Roman"/>
          <w:szCs w:val="22"/>
        </w:rPr>
        <w:t>The</w:t>
      </w:r>
      <w:r w:rsidR="009F1369">
        <w:rPr>
          <w:rFonts w:ascii="Times New Roman" w:eastAsia="Arial" w:hAnsi="Times New Roman"/>
          <w:szCs w:val="22"/>
        </w:rPr>
        <w:t xml:space="preserve"> ACMA considered that </w:t>
      </w:r>
      <w:r w:rsidR="00D1212B">
        <w:rPr>
          <w:rFonts w:ascii="Times New Roman" w:eastAsia="Arial" w:hAnsi="Times New Roman"/>
          <w:szCs w:val="22"/>
        </w:rPr>
        <w:t xml:space="preserve">there is an ongoing requirement </w:t>
      </w:r>
      <w:r w:rsidR="00FE3741">
        <w:rPr>
          <w:rFonts w:ascii="Times New Roman" w:eastAsia="Arial" w:hAnsi="Times New Roman"/>
          <w:szCs w:val="22"/>
        </w:rPr>
        <w:t>for an in</w:t>
      </w:r>
      <w:r w:rsidR="002F2CEA">
        <w:rPr>
          <w:rFonts w:ascii="Times New Roman" w:eastAsia="Arial" w:hAnsi="Times New Roman"/>
          <w:szCs w:val="22"/>
        </w:rPr>
        <w:t>strument</w:t>
      </w:r>
      <w:r w:rsidR="00320F21" w:rsidRPr="00801D98">
        <w:rPr>
          <w:rFonts w:ascii="Times New Roman" w:eastAsia="Arial" w:hAnsi="Times New Roman"/>
          <w:szCs w:val="22"/>
        </w:rPr>
        <w:t xml:space="preserve"> to identify parties providing portability services a</w:t>
      </w:r>
      <w:r w:rsidR="00C0526C">
        <w:rPr>
          <w:rFonts w:ascii="Times New Roman" w:eastAsia="Arial" w:hAnsi="Times New Roman"/>
          <w:szCs w:val="22"/>
        </w:rPr>
        <w:t>s</w:t>
      </w:r>
      <w:r w:rsidR="00320F21" w:rsidRPr="00801D98">
        <w:rPr>
          <w:rFonts w:ascii="Times New Roman" w:eastAsia="Arial" w:hAnsi="Times New Roman"/>
          <w:szCs w:val="22"/>
        </w:rPr>
        <w:t xml:space="preserve"> participants in the telecommunications </w:t>
      </w:r>
      <w:r w:rsidR="00320F21" w:rsidRPr="002B1886">
        <w:rPr>
          <w:rFonts w:ascii="Times New Roman" w:eastAsia="Arial" w:hAnsi="Times New Roman"/>
          <w:szCs w:val="22"/>
        </w:rPr>
        <w:t>industry</w:t>
      </w:r>
      <w:r w:rsidR="009F1369" w:rsidRPr="002B1886">
        <w:rPr>
          <w:rFonts w:ascii="Times New Roman" w:eastAsia="Arial" w:hAnsi="Times New Roman"/>
          <w:szCs w:val="22"/>
        </w:rPr>
        <w:t xml:space="preserve"> </w:t>
      </w:r>
      <w:r w:rsidR="00106363" w:rsidRPr="002B1886">
        <w:rPr>
          <w:rFonts w:ascii="Times New Roman" w:eastAsia="Arial" w:hAnsi="Times New Roman"/>
          <w:szCs w:val="22"/>
        </w:rPr>
        <w:t xml:space="preserve">as contemplated by Part 6 of the Act, </w:t>
      </w:r>
      <w:r w:rsidR="009F1369" w:rsidRPr="002B1886">
        <w:rPr>
          <w:rFonts w:ascii="Times New Roman" w:eastAsia="Arial" w:hAnsi="Times New Roman"/>
          <w:szCs w:val="22"/>
        </w:rPr>
        <w:t xml:space="preserve">and to assist </w:t>
      </w:r>
      <w:r w:rsidR="002F2CEA" w:rsidRPr="002B1886">
        <w:rPr>
          <w:rFonts w:ascii="Times New Roman" w:eastAsia="Arial" w:hAnsi="Times New Roman"/>
          <w:szCs w:val="22"/>
        </w:rPr>
        <w:t>carriers and</w:t>
      </w:r>
      <w:r w:rsidR="008B30F8" w:rsidRPr="00806C85">
        <w:rPr>
          <w:rFonts w:ascii="Times New Roman" w:eastAsia="Arial" w:hAnsi="Times New Roman"/>
          <w:szCs w:val="22"/>
        </w:rPr>
        <w:t xml:space="preserve"> carriage service providers with</w:t>
      </w:r>
      <w:r w:rsidR="002F2CEA" w:rsidRPr="002B1886">
        <w:rPr>
          <w:rFonts w:ascii="Times New Roman" w:eastAsia="Arial" w:hAnsi="Times New Roman"/>
          <w:szCs w:val="22"/>
        </w:rPr>
        <w:t xml:space="preserve"> </w:t>
      </w:r>
      <w:r w:rsidR="009F1369" w:rsidRPr="002B1886">
        <w:rPr>
          <w:rFonts w:ascii="Times New Roman" w:eastAsia="Arial" w:hAnsi="Times New Roman"/>
          <w:szCs w:val="22"/>
        </w:rPr>
        <w:t>their number portability obligations</w:t>
      </w:r>
      <w:r w:rsidR="00106363" w:rsidRPr="002B1886">
        <w:rPr>
          <w:rFonts w:ascii="Times New Roman" w:eastAsia="Arial" w:hAnsi="Times New Roman"/>
          <w:szCs w:val="22"/>
        </w:rPr>
        <w:t xml:space="preserve"> under the Plan</w:t>
      </w:r>
      <w:r w:rsidR="00320F21" w:rsidRPr="002B1886">
        <w:rPr>
          <w:rFonts w:ascii="Times New Roman" w:eastAsia="Arial" w:hAnsi="Times New Roman"/>
          <w:szCs w:val="22"/>
        </w:rPr>
        <w:t>.</w:t>
      </w:r>
      <w:r w:rsidR="00320F21">
        <w:rPr>
          <w:rFonts w:ascii="Times New Roman" w:hAnsi="Times New Roman"/>
          <w:szCs w:val="22"/>
        </w:rPr>
        <w:t xml:space="preserve"> </w:t>
      </w:r>
      <w:r w:rsidR="00941C63" w:rsidRPr="00801D98">
        <w:rPr>
          <w:rFonts w:ascii="Times New Roman" w:eastAsia="Arial" w:hAnsi="Times New Roman"/>
          <w:szCs w:val="22"/>
        </w:rPr>
        <w:t xml:space="preserve">The </w:t>
      </w:r>
      <w:r w:rsidR="00941C63">
        <w:rPr>
          <w:rFonts w:ascii="Times New Roman" w:eastAsia="Arial" w:hAnsi="Times New Roman"/>
          <w:szCs w:val="22"/>
        </w:rPr>
        <w:t xml:space="preserve">instrument </w:t>
      </w:r>
      <w:r w:rsidR="00320F21">
        <w:rPr>
          <w:rFonts w:ascii="Times New Roman" w:eastAsia="Arial" w:hAnsi="Times New Roman"/>
          <w:szCs w:val="22"/>
        </w:rPr>
        <w:t>has been made</w:t>
      </w:r>
      <w:r w:rsidR="00941C63" w:rsidRPr="00801D98">
        <w:rPr>
          <w:rFonts w:ascii="Times New Roman" w:eastAsia="Arial" w:hAnsi="Times New Roman"/>
          <w:szCs w:val="22"/>
        </w:rPr>
        <w:t xml:space="preserve"> in substantially the same form as the </w:t>
      </w:r>
      <w:r w:rsidR="00941C63">
        <w:rPr>
          <w:rFonts w:ascii="Times New Roman" w:eastAsia="Arial" w:hAnsi="Times New Roman"/>
          <w:szCs w:val="22"/>
        </w:rPr>
        <w:t>2015</w:t>
      </w:r>
      <w:r w:rsidR="00941C63" w:rsidRPr="00801D98">
        <w:rPr>
          <w:rFonts w:ascii="Times New Roman" w:eastAsia="Arial" w:hAnsi="Times New Roman"/>
          <w:szCs w:val="22"/>
        </w:rPr>
        <w:t xml:space="preserve"> instrument, with minor consequential changes</w:t>
      </w:r>
      <w:r w:rsidR="00844446">
        <w:rPr>
          <w:rFonts w:ascii="Times New Roman" w:eastAsia="Arial" w:hAnsi="Times New Roman"/>
          <w:szCs w:val="22"/>
        </w:rPr>
        <w:t xml:space="preserve"> </w:t>
      </w:r>
      <w:r w:rsidR="00941C63" w:rsidRPr="00801D98">
        <w:rPr>
          <w:rFonts w:ascii="Times New Roman" w:eastAsia="Arial" w:hAnsi="Times New Roman"/>
          <w:szCs w:val="22"/>
        </w:rPr>
        <w:t>to conform with current drafting practice</w:t>
      </w:r>
      <w:r w:rsidR="00A208DF" w:rsidRPr="0022308F">
        <w:rPr>
          <w:rFonts w:ascii="Times New Roman" w:eastAsia="Arial" w:hAnsi="Times New Roman"/>
          <w:szCs w:val="22"/>
        </w:rPr>
        <w:t>.</w:t>
      </w:r>
      <w:r w:rsidR="00AF47BE">
        <w:rPr>
          <w:rFonts w:ascii="Times New Roman" w:eastAsia="Arial" w:hAnsi="Times New Roman"/>
          <w:szCs w:val="22"/>
        </w:rPr>
        <w:t xml:space="preserve"> </w:t>
      </w:r>
    </w:p>
    <w:p w14:paraId="494C5028" w14:textId="77777777" w:rsidR="0046689D" w:rsidRDefault="0046689D" w:rsidP="00320F21">
      <w:pPr>
        <w:pStyle w:val="indenta"/>
        <w:tabs>
          <w:tab w:val="left" w:pos="720"/>
        </w:tabs>
        <w:spacing w:before="0" w:line="240" w:lineRule="auto"/>
        <w:ind w:left="0" w:firstLine="0"/>
        <w:rPr>
          <w:rFonts w:ascii="Times New Roman" w:eastAsia="Arial" w:hAnsi="Times New Roman"/>
          <w:szCs w:val="22"/>
        </w:rPr>
      </w:pPr>
    </w:p>
    <w:p w14:paraId="1D20B8C4" w14:textId="22489234" w:rsidR="0046689D" w:rsidRPr="00806C85" w:rsidRDefault="0046689D" w:rsidP="00320F21">
      <w:pPr>
        <w:pStyle w:val="indenta"/>
        <w:tabs>
          <w:tab w:val="left" w:pos="720"/>
        </w:tabs>
        <w:spacing w:before="0" w:line="240" w:lineRule="auto"/>
        <w:ind w:left="0" w:firstLine="0"/>
        <w:rPr>
          <w:rFonts w:ascii="Times New Roman" w:hAnsi="Times New Roman"/>
          <w:szCs w:val="22"/>
        </w:rPr>
      </w:pPr>
      <w:r>
        <w:rPr>
          <w:rFonts w:ascii="Times New Roman" w:eastAsia="Arial" w:hAnsi="Times New Roman"/>
          <w:szCs w:val="22"/>
        </w:rPr>
        <w:t>This instrument commences on the day after it is registered.</w:t>
      </w:r>
    </w:p>
    <w:p w14:paraId="5490CC4B" w14:textId="77777777" w:rsidR="00C3197E" w:rsidRDefault="00C3197E" w:rsidP="00806C85">
      <w:pPr>
        <w:pStyle w:val="indenta"/>
        <w:tabs>
          <w:tab w:val="left" w:pos="720"/>
        </w:tabs>
        <w:spacing w:before="0" w:line="240" w:lineRule="auto"/>
        <w:ind w:left="0" w:firstLine="0"/>
        <w:rPr>
          <w:rFonts w:ascii="Times New Roman" w:eastAsia="Arial" w:hAnsi="Times New Roman"/>
        </w:rPr>
      </w:pPr>
    </w:p>
    <w:p w14:paraId="72D30814" w14:textId="1ED7B6E9" w:rsidR="009E2F44" w:rsidRDefault="00AB64EE" w:rsidP="00806C85">
      <w:pPr>
        <w:pStyle w:val="indenta"/>
        <w:tabs>
          <w:tab w:val="left" w:pos="720"/>
        </w:tabs>
        <w:spacing w:before="0" w:line="240" w:lineRule="auto"/>
        <w:ind w:left="0" w:firstLine="0"/>
      </w:pPr>
      <w:r w:rsidRPr="503CF93E">
        <w:rPr>
          <w:rFonts w:ascii="Times New Roman" w:eastAsia="Arial" w:hAnsi="Times New Roman"/>
        </w:rPr>
        <w:t xml:space="preserve">Part 6 of the Act provides that the bodies representing sections of the telecommunications industry may develop industry codes, that the ACMA may register these codes and that the </w:t>
      </w:r>
      <w:r w:rsidR="00C0526C">
        <w:rPr>
          <w:rFonts w:ascii="Times New Roman" w:eastAsia="Arial" w:hAnsi="Times New Roman"/>
        </w:rPr>
        <w:lastRenderedPageBreak/>
        <w:t>relevant</w:t>
      </w:r>
      <w:r w:rsidRPr="503CF93E">
        <w:rPr>
          <w:rFonts w:ascii="Times New Roman" w:eastAsia="Arial" w:hAnsi="Times New Roman"/>
        </w:rPr>
        <w:t xml:space="preserve"> participants in sections of the telecommunications industry </w:t>
      </w:r>
      <w:r w:rsidR="00C0526C">
        <w:rPr>
          <w:rFonts w:ascii="Times New Roman" w:eastAsia="Arial" w:hAnsi="Times New Roman"/>
        </w:rPr>
        <w:t>must</w:t>
      </w:r>
      <w:r w:rsidRPr="503CF93E">
        <w:rPr>
          <w:rFonts w:ascii="Times New Roman" w:eastAsia="Arial" w:hAnsi="Times New Roman"/>
        </w:rPr>
        <w:t xml:space="preserve"> comply with such codes.</w:t>
      </w:r>
      <w:r w:rsidR="009964AA">
        <w:t xml:space="preserve"> </w:t>
      </w:r>
      <w:r w:rsidRPr="503CF93E">
        <w:rPr>
          <w:rFonts w:ascii="Times New Roman" w:eastAsia="Arial" w:hAnsi="Times New Roman"/>
          <w:lang w:eastAsia="en-AU"/>
        </w:rPr>
        <w:t xml:space="preserve">Section 109 of the Act identifies those activities that are telecommunications activities. </w:t>
      </w:r>
      <w:r w:rsidR="00E7430E">
        <w:rPr>
          <w:rFonts w:ascii="Times New Roman" w:eastAsia="Arial" w:hAnsi="Times New Roman"/>
          <w:lang w:eastAsia="en-AU"/>
        </w:rPr>
        <w:t xml:space="preserve">Paragraph </w:t>
      </w:r>
      <w:r w:rsidRPr="503CF93E">
        <w:rPr>
          <w:rFonts w:ascii="Times New Roman" w:eastAsia="Arial" w:hAnsi="Times New Roman"/>
          <w:lang w:eastAsia="en-AU"/>
        </w:rPr>
        <w:t xml:space="preserve">109(c) </w:t>
      </w:r>
      <w:bookmarkStart w:id="2" w:name="_Hlk190078176"/>
      <w:r w:rsidRPr="503CF93E">
        <w:rPr>
          <w:rFonts w:ascii="Times New Roman" w:eastAsia="Arial" w:hAnsi="Times New Roman"/>
          <w:lang w:eastAsia="en-AU"/>
        </w:rPr>
        <w:t>identifies ‘supplying goods or services for use in connection with the supply of a listed carriage service’ as a telecommunications activity</w:t>
      </w:r>
      <w:bookmarkEnd w:id="2"/>
      <w:r w:rsidRPr="503CF93E">
        <w:rPr>
          <w:rFonts w:ascii="Times New Roman" w:eastAsia="Arial" w:hAnsi="Times New Roman"/>
          <w:lang w:eastAsia="en-AU"/>
        </w:rPr>
        <w:t>. Portability service suppliers provide services for use in connection with porting numbers and enabling calls to ported numbers</w:t>
      </w:r>
      <w:r w:rsidR="001D6BF7" w:rsidRPr="503CF93E">
        <w:rPr>
          <w:rFonts w:ascii="Times New Roman" w:eastAsia="Arial" w:hAnsi="Times New Roman"/>
          <w:lang w:eastAsia="en-AU"/>
        </w:rPr>
        <w:t>, including</w:t>
      </w:r>
      <w:r w:rsidRPr="503CF93E">
        <w:rPr>
          <w:rFonts w:ascii="Times New Roman" w:eastAsia="Arial" w:hAnsi="Times New Roman"/>
          <w:lang w:eastAsia="en-AU"/>
        </w:rPr>
        <w:t xml:space="preserve"> </w:t>
      </w:r>
      <w:r w:rsidR="001D6BF7" w:rsidRPr="503CF93E">
        <w:rPr>
          <w:rFonts w:eastAsia="Arial"/>
        </w:rPr>
        <w:t>port administration services, maintaining ported number databases, providing information to assist with routing calls or other support in porting geographic numbers. These services are particularly essential for smaller carriage service providers.</w:t>
      </w:r>
      <w:r w:rsidR="00F813FD" w:rsidRPr="503CF93E">
        <w:rPr>
          <w:rFonts w:ascii="Times New Roman" w:eastAsia="Arial" w:hAnsi="Times New Roman"/>
        </w:rPr>
        <w:t xml:space="preserve"> </w:t>
      </w:r>
      <w:r w:rsidRPr="503CF93E">
        <w:rPr>
          <w:rFonts w:ascii="Times New Roman" w:eastAsia="Arial" w:hAnsi="Times New Roman"/>
          <w:lang w:eastAsia="en-AU"/>
        </w:rPr>
        <w:t xml:space="preserve"> </w:t>
      </w:r>
      <w:r w:rsidR="0045545F" w:rsidRPr="503CF93E">
        <w:rPr>
          <w:rFonts w:ascii="Times New Roman" w:eastAsia="Arial" w:hAnsi="Times New Roman"/>
          <w:lang w:eastAsia="en-AU"/>
        </w:rPr>
        <w:t>Participants in the telecommunications industry, through Communications Alliance, have developed industry codes</w:t>
      </w:r>
      <w:r w:rsidR="00167247" w:rsidRPr="503CF93E">
        <w:rPr>
          <w:rFonts w:ascii="Times New Roman" w:eastAsia="Arial" w:hAnsi="Times New Roman"/>
          <w:lang w:eastAsia="en-AU"/>
        </w:rPr>
        <w:t>,</w:t>
      </w:r>
      <w:r w:rsidR="0042391D" w:rsidRPr="503CF93E">
        <w:rPr>
          <w:rFonts w:ascii="Times New Roman" w:eastAsia="Arial" w:hAnsi="Times New Roman"/>
          <w:lang w:eastAsia="en-AU"/>
        </w:rPr>
        <w:t xml:space="preserve"> </w:t>
      </w:r>
      <w:r w:rsidR="0045545F" w:rsidRPr="503CF93E">
        <w:rPr>
          <w:rFonts w:ascii="Times New Roman" w:eastAsia="Arial" w:hAnsi="Times New Roman"/>
          <w:lang w:eastAsia="en-AU"/>
        </w:rPr>
        <w:t>which the ACMA registers</w:t>
      </w:r>
      <w:r w:rsidR="00167247" w:rsidRPr="503CF93E">
        <w:rPr>
          <w:rFonts w:ascii="Times New Roman" w:eastAsia="Arial" w:hAnsi="Times New Roman"/>
          <w:lang w:eastAsia="en-AU"/>
        </w:rPr>
        <w:t>,</w:t>
      </w:r>
      <w:r w:rsidR="00BB3799" w:rsidRPr="503CF93E">
        <w:rPr>
          <w:rFonts w:ascii="Times New Roman" w:eastAsia="Arial" w:hAnsi="Times New Roman"/>
          <w:lang w:eastAsia="en-AU"/>
        </w:rPr>
        <w:t xml:space="preserve"> </w:t>
      </w:r>
      <w:r w:rsidR="0045545F" w:rsidRPr="503CF93E">
        <w:rPr>
          <w:rFonts w:ascii="Times New Roman" w:eastAsia="Arial" w:hAnsi="Times New Roman"/>
          <w:lang w:eastAsia="en-AU"/>
        </w:rPr>
        <w:t>including the Local Number Portability Industry Code (C540:2023) and the Mobile Number Portability Industry Code (C570:20</w:t>
      </w:r>
      <w:r w:rsidR="005C3974" w:rsidRPr="503CF93E">
        <w:rPr>
          <w:rFonts w:ascii="Times New Roman" w:eastAsia="Arial" w:hAnsi="Times New Roman"/>
          <w:lang w:eastAsia="en-AU"/>
        </w:rPr>
        <w:t>24</w:t>
      </w:r>
      <w:r w:rsidR="0045545F" w:rsidRPr="503CF93E">
        <w:rPr>
          <w:rFonts w:ascii="Times New Roman" w:eastAsia="Arial" w:hAnsi="Times New Roman"/>
          <w:lang w:eastAsia="en-AU"/>
        </w:rPr>
        <w:t>) that detail how industry participants interact to port geographic numbers and mobile numbers respectively.</w:t>
      </w:r>
      <w:r w:rsidR="00027E03" w:rsidRPr="503CF93E">
        <w:rPr>
          <w:rFonts w:ascii="Times New Roman" w:eastAsia="Arial" w:hAnsi="Times New Roman"/>
          <w:lang w:eastAsia="en-AU"/>
        </w:rPr>
        <w:t xml:space="preserve"> This instrument enables </w:t>
      </w:r>
      <w:r w:rsidR="0077431C" w:rsidRPr="503CF93E">
        <w:rPr>
          <w:rFonts w:ascii="Times New Roman" w:eastAsia="Arial" w:hAnsi="Times New Roman"/>
        </w:rPr>
        <w:t>p</w:t>
      </w:r>
      <w:r w:rsidR="0045545F" w:rsidRPr="503CF93E">
        <w:rPr>
          <w:rFonts w:ascii="Times New Roman" w:eastAsia="Arial" w:hAnsi="Times New Roman"/>
        </w:rPr>
        <w:t xml:space="preserve">ortability </w:t>
      </w:r>
      <w:r w:rsidR="0077431C" w:rsidRPr="503CF93E">
        <w:rPr>
          <w:rFonts w:ascii="Times New Roman" w:eastAsia="Arial" w:hAnsi="Times New Roman"/>
        </w:rPr>
        <w:t>s</w:t>
      </w:r>
      <w:r w:rsidR="0045545F" w:rsidRPr="503CF93E">
        <w:rPr>
          <w:rFonts w:ascii="Times New Roman" w:eastAsia="Arial" w:hAnsi="Times New Roman"/>
        </w:rPr>
        <w:t xml:space="preserve">ervices </w:t>
      </w:r>
      <w:r w:rsidR="0077431C" w:rsidRPr="503CF93E">
        <w:rPr>
          <w:rFonts w:ascii="Times New Roman" w:eastAsia="Arial" w:hAnsi="Times New Roman"/>
        </w:rPr>
        <w:t>s</w:t>
      </w:r>
      <w:r w:rsidR="0045545F" w:rsidRPr="503CF93E">
        <w:rPr>
          <w:rFonts w:ascii="Times New Roman" w:eastAsia="Arial" w:hAnsi="Times New Roman"/>
        </w:rPr>
        <w:t xml:space="preserve">uppliers </w:t>
      </w:r>
      <w:r w:rsidR="00027E03" w:rsidRPr="503CF93E">
        <w:rPr>
          <w:rFonts w:ascii="Times New Roman" w:eastAsia="Arial" w:hAnsi="Times New Roman"/>
        </w:rPr>
        <w:t xml:space="preserve">to </w:t>
      </w:r>
      <w:r w:rsidR="0045545F" w:rsidRPr="503CF93E">
        <w:rPr>
          <w:rFonts w:ascii="Times New Roman" w:eastAsia="Arial" w:hAnsi="Times New Roman"/>
        </w:rPr>
        <w:t xml:space="preserve">participate in the drafting </w:t>
      </w:r>
      <w:r w:rsidR="00587720" w:rsidRPr="503CF93E">
        <w:rPr>
          <w:rFonts w:ascii="Times New Roman" w:eastAsia="Arial" w:hAnsi="Times New Roman"/>
        </w:rPr>
        <w:t xml:space="preserve">of </w:t>
      </w:r>
      <w:r w:rsidR="0045545F" w:rsidRPr="503CF93E">
        <w:rPr>
          <w:rFonts w:ascii="Times New Roman" w:eastAsia="Arial" w:hAnsi="Times New Roman"/>
        </w:rPr>
        <w:t xml:space="preserve">and consultation for the number portability codes </w:t>
      </w:r>
      <w:r w:rsidR="00412AB2" w:rsidRPr="503CF93E">
        <w:rPr>
          <w:rFonts w:ascii="Times New Roman" w:eastAsia="Arial" w:hAnsi="Times New Roman"/>
        </w:rPr>
        <w:t xml:space="preserve">and </w:t>
      </w:r>
      <w:r w:rsidR="0045545F" w:rsidRPr="503CF93E">
        <w:rPr>
          <w:rFonts w:ascii="Times New Roman" w:eastAsia="Arial" w:hAnsi="Times New Roman"/>
        </w:rPr>
        <w:t xml:space="preserve">be subject to </w:t>
      </w:r>
      <w:r w:rsidR="007626FD" w:rsidRPr="503CF93E">
        <w:rPr>
          <w:rFonts w:ascii="Times New Roman" w:eastAsia="Arial" w:hAnsi="Times New Roman"/>
        </w:rPr>
        <w:t xml:space="preserve">code </w:t>
      </w:r>
      <w:r w:rsidR="00412AB2" w:rsidRPr="503CF93E">
        <w:rPr>
          <w:rFonts w:ascii="Times New Roman" w:eastAsia="Arial" w:hAnsi="Times New Roman"/>
        </w:rPr>
        <w:t xml:space="preserve">compliance obligations and </w:t>
      </w:r>
      <w:r w:rsidR="0045545F" w:rsidRPr="503CF93E">
        <w:rPr>
          <w:rFonts w:ascii="Times New Roman" w:eastAsia="Arial" w:hAnsi="Times New Roman"/>
        </w:rPr>
        <w:t>potential compliance action</w:t>
      </w:r>
      <w:r w:rsidR="00412AB2" w:rsidRPr="503CF93E">
        <w:rPr>
          <w:rFonts w:ascii="Times New Roman" w:eastAsia="Arial" w:hAnsi="Times New Roman"/>
        </w:rPr>
        <w:t>s</w:t>
      </w:r>
      <w:r w:rsidR="0045545F" w:rsidRPr="503CF93E">
        <w:rPr>
          <w:rFonts w:ascii="Times New Roman" w:eastAsia="Arial" w:hAnsi="Times New Roman"/>
        </w:rPr>
        <w:t>.</w:t>
      </w:r>
      <w:r w:rsidR="00660FEA">
        <w:t xml:space="preserve"> </w:t>
      </w:r>
    </w:p>
    <w:p w14:paraId="69A45CBA" w14:textId="77777777" w:rsidR="009E2F44" w:rsidRDefault="009E2F44" w:rsidP="00806C85">
      <w:pPr>
        <w:pStyle w:val="indenta"/>
        <w:tabs>
          <w:tab w:val="left" w:pos="720"/>
        </w:tabs>
        <w:spacing w:before="0" w:line="240" w:lineRule="auto"/>
        <w:ind w:left="0" w:firstLine="0"/>
        <w:rPr>
          <w:szCs w:val="22"/>
        </w:rPr>
      </w:pPr>
    </w:p>
    <w:p w14:paraId="523A7B5E" w14:textId="53E77DD4" w:rsidR="00056E18" w:rsidRPr="00806C85" w:rsidRDefault="00643DE1" w:rsidP="00806C85">
      <w:pPr>
        <w:pStyle w:val="indenta"/>
        <w:tabs>
          <w:tab w:val="left" w:pos="720"/>
        </w:tabs>
        <w:spacing w:before="0" w:line="240" w:lineRule="auto"/>
        <w:ind w:left="0" w:firstLine="0"/>
        <w:rPr>
          <w:rFonts w:ascii="Times New Roman" w:eastAsia="Arial" w:hAnsi="Times New Roman"/>
          <w:szCs w:val="22"/>
          <w:lang w:eastAsia="en-AU"/>
        </w:rPr>
      </w:pPr>
      <w:r>
        <w:rPr>
          <w:szCs w:val="22"/>
        </w:rPr>
        <w:t>A provision-by-provision description of the</w:t>
      </w:r>
      <w:r w:rsidR="00056E18" w:rsidRPr="00801D98">
        <w:rPr>
          <w:szCs w:val="22"/>
        </w:rPr>
        <w:t xml:space="preserve"> </w:t>
      </w:r>
      <w:r w:rsidR="00027E03">
        <w:rPr>
          <w:szCs w:val="22"/>
        </w:rPr>
        <w:t>instrument</w:t>
      </w:r>
      <w:r w:rsidR="00027E03" w:rsidRPr="00801D98">
        <w:rPr>
          <w:szCs w:val="22"/>
        </w:rPr>
        <w:t xml:space="preserve"> </w:t>
      </w:r>
      <w:r>
        <w:rPr>
          <w:szCs w:val="22"/>
        </w:rPr>
        <w:t xml:space="preserve">is set out at </w:t>
      </w:r>
      <w:r w:rsidR="00056E18" w:rsidRPr="005D186B">
        <w:rPr>
          <w:b/>
          <w:bCs/>
          <w:szCs w:val="22"/>
        </w:rPr>
        <w:t>Attachment A.</w:t>
      </w:r>
    </w:p>
    <w:p w14:paraId="006F7B10" w14:textId="77777777" w:rsidR="00694A51" w:rsidRDefault="00694A51" w:rsidP="00056E18">
      <w:pPr>
        <w:pStyle w:val="ACMABodyText"/>
        <w:spacing w:after="0"/>
        <w:rPr>
          <w:sz w:val="22"/>
          <w:szCs w:val="22"/>
        </w:rPr>
      </w:pPr>
    </w:p>
    <w:p w14:paraId="00923B2E" w14:textId="4EF427E2" w:rsidR="00694A51" w:rsidRPr="00806C85" w:rsidRDefault="00694A51" w:rsidP="00806C85">
      <w:pPr>
        <w:rPr>
          <w:sz w:val="22"/>
          <w:szCs w:val="22"/>
        </w:rPr>
      </w:pPr>
      <w:r w:rsidRPr="00F528F9">
        <w:rPr>
          <w:rFonts w:eastAsia="Arial"/>
          <w:sz w:val="22"/>
          <w:szCs w:val="22"/>
        </w:rPr>
        <w:t xml:space="preserve">The </w:t>
      </w:r>
      <w:r w:rsidR="0038173E">
        <w:rPr>
          <w:rFonts w:eastAsia="Arial"/>
          <w:sz w:val="22"/>
          <w:szCs w:val="22"/>
        </w:rPr>
        <w:t>instrument</w:t>
      </w:r>
      <w:r w:rsidRPr="00F528F9">
        <w:rPr>
          <w:rFonts w:eastAsia="Arial"/>
          <w:sz w:val="22"/>
          <w:szCs w:val="22"/>
        </w:rPr>
        <w:t xml:space="preserve"> is a legislative instrument for the purposes of the </w:t>
      </w:r>
      <w:r w:rsidR="00E7430E">
        <w:rPr>
          <w:rFonts w:eastAsia="Arial"/>
          <w:sz w:val="22"/>
          <w:szCs w:val="22"/>
        </w:rPr>
        <w:t xml:space="preserve">LA. </w:t>
      </w:r>
      <w:r w:rsidR="000D60E0" w:rsidRPr="00F41754">
        <w:rPr>
          <w:sz w:val="22"/>
          <w:szCs w:val="22"/>
        </w:rPr>
        <w:t xml:space="preserve">The instrument </w:t>
      </w:r>
      <w:r w:rsidR="000D60E0">
        <w:rPr>
          <w:sz w:val="22"/>
          <w:szCs w:val="22"/>
        </w:rPr>
        <w:t xml:space="preserve">is a disallowable instrument under Part 2 of Chapter 3 of the LA and </w:t>
      </w:r>
      <w:r w:rsidR="000D60E0" w:rsidRPr="00F41754">
        <w:rPr>
          <w:sz w:val="22"/>
          <w:szCs w:val="22"/>
        </w:rPr>
        <w:t>is subject to the sunsetting provisions in Part 4 of Chapter 3 of the LA.</w:t>
      </w:r>
    </w:p>
    <w:p w14:paraId="4F1A918C" w14:textId="174A7F27" w:rsidR="00182EC0" w:rsidRDefault="002505C7" w:rsidP="00C3197E">
      <w:pPr>
        <w:pStyle w:val="ACMABodyText"/>
        <w:spacing w:beforeLines="80" w:before="192"/>
        <w:rPr>
          <w:rFonts w:eastAsia="Arial"/>
          <w:sz w:val="22"/>
          <w:szCs w:val="22"/>
        </w:rPr>
      </w:pPr>
      <w:r>
        <w:rPr>
          <w:b/>
          <w:sz w:val="22"/>
          <w:szCs w:val="22"/>
        </w:rPr>
        <w:t xml:space="preserve">Documents incorporated by reference </w:t>
      </w:r>
      <w:r w:rsidR="0042521D">
        <w:rPr>
          <w:b/>
          <w:sz w:val="22"/>
          <w:szCs w:val="22"/>
        </w:rPr>
        <w:br/>
      </w:r>
      <w:r w:rsidR="0042521D">
        <w:rPr>
          <w:b/>
          <w:sz w:val="22"/>
          <w:szCs w:val="22"/>
        </w:rPr>
        <w:br/>
      </w:r>
      <w:r w:rsidR="00182EC0" w:rsidRPr="00806C85">
        <w:rPr>
          <w:rFonts w:eastAsia="Arial"/>
          <w:sz w:val="22"/>
          <w:szCs w:val="22"/>
        </w:rPr>
        <w:t xml:space="preserve">Subsection 589(1) of the Act provides that an instrument under the Act may make provision in relation to a matter by applying, adopting or incorporating (with or without modifications) </w:t>
      </w:r>
      <w:r w:rsidR="00876509" w:rsidRPr="00806C85">
        <w:rPr>
          <w:rFonts w:eastAsia="Arial"/>
          <w:sz w:val="22"/>
          <w:szCs w:val="22"/>
        </w:rPr>
        <w:t xml:space="preserve">provisions of </w:t>
      </w:r>
      <w:r w:rsidR="00182EC0" w:rsidRPr="00806C85">
        <w:rPr>
          <w:rFonts w:eastAsia="Arial"/>
          <w:sz w:val="22"/>
          <w:szCs w:val="22"/>
        </w:rPr>
        <w:t>any Act as in force at a particular time, or as in force from time to time.</w:t>
      </w:r>
    </w:p>
    <w:p w14:paraId="3D48D028" w14:textId="77777777" w:rsidR="00C3197E" w:rsidRPr="00C3197E" w:rsidRDefault="00C3197E" w:rsidP="00C3197E">
      <w:pPr>
        <w:pStyle w:val="ACMABodyText"/>
        <w:spacing w:beforeLines="80" w:before="192"/>
        <w:rPr>
          <w:b/>
          <w:sz w:val="22"/>
          <w:szCs w:val="22"/>
        </w:rPr>
      </w:pPr>
    </w:p>
    <w:p w14:paraId="0C9560DC" w14:textId="749CC8A9" w:rsidR="00182EC0" w:rsidRPr="00806C85" w:rsidRDefault="00182EC0" w:rsidP="00182EC0">
      <w:pPr>
        <w:spacing w:line="257" w:lineRule="auto"/>
        <w:rPr>
          <w:rFonts w:eastAsia="Arial"/>
          <w:sz w:val="22"/>
          <w:szCs w:val="22"/>
        </w:rPr>
      </w:pPr>
      <w:r w:rsidRPr="00806C85">
        <w:rPr>
          <w:rFonts w:eastAsia="Arial"/>
          <w:sz w:val="22"/>
          <w:szCs w:val="22"/>
        </w:rPr>
        <w:t xml:space="preserve">Subsection </w:t>
      </w:r>
      <w:r w:rsidR="00876509" w:rsidRPr="00806C85">
        <w:rPr>
          <w:rFonts w:eastAsia="Arial"/>
          <w:sz w:val="22"/>
          <w:szCs w:val="22"/>
        </w:rPr>
        <w:t>589</w:t>
      </w:r>
      <w:r w:rsidRPr="00806C85">
        <w:rPr>
          <w:rFonts w:eastAsia="Arial"/>
          <w:sz w:val="22"/>
          <w:szCs w:val="22"/>
        </w:rPr>
        <w:t>(2) of the Act provides that an instrument under the Act may make provision in relation to a matter by applying, adopting or incorporating (with or without modifications) matter contained in any other instrument or writing as in force or existing at a particular time, or as in force or existing from time to time.</w:t>
      </w:r>
    </w:p>
    <w:p w14:paraId="0147FF61" w14:textId="6074EB74" w:rsidR="002505C7" w:rsidRDefault="000650DB" w:rsidP="002505C7">
      <w:pPr>
        <w:pStyle w:val="ACMABodyText"/>
        <w:spacing w:beforeLines="80" w:before="192" w:after="0"/>
        <w:rPr>
          <w:rFonts w:eastAsia="Arial"/>
          <w:snapToGrid/>
          <w:sz w:val="22"/>
          <w:szCs w:val="22"/>
          <w:lang w:eastAsia="en-AU"/>
        </w:rPr>
      </w:pPr>
      <w:r w:rsidRPr="004F1863">
        <w:rPr>
          <w:rFonts w:eastAsia="Arial"/>
          <w:snapToGrid/>
          <w:sz w:val="22"/>
          <w:szCs w:val="22"/>
          <w:lang w:eastAsia="en-AU"/>
        </w:rPr>
        <w:t xml:space="preserve">The instrument </w:t>
      </w:r>
      <w:r w:rsidR="00895326">
        <w:rPr>
          <w:rFonts w:eastAsia="Arial"/>
          <w:snapToGrid/>
          <w:sz w:val="22"/>
          <w:szCs w:val="22"/>
          <w:lang w:eastAsia="en-AU"/>
        </w:rPr>
        <w:t>incorporates</w:t>
      </w:r>
      <w:r w:rsidR="00F3234B">
        <w:rPr>
          <w:rFonts w:eastAsia="Arial"/>
          <w:snapToGrid/>
          <w:sz w:val="22"/>
          <w:szCs w:val="22"/>
          <w:lang w:eastAsia="en-AU"/>
        </w:rPr>
        <w:t xml:space="preserve"> the following Act</w:t>
      </w:r>
      <w:r w:rsidR="00895326">
        <w:rPr>
          <w:rFonts w:eastAsia="Arial"/>
          <w:snapToGrid/>
          <w:sz w:val="22"/>
          <w:szCs w:val="22"/>
          <w:lang w:eastAsia="en-AU"/>
        </w:rPr>
        <w:t>s and legislative instruments</w:t>
      </w:r>
      <w:r w:rsidR="00212366">
        <w:rPr>
          <w:rFonts w:eastAsia="Arial"/>
          <w:snapToGrid/>
          <w:sz w:val="22"/>
          <w:szCs w:val="22"/>
          <w:lang w:eastAsia="en-AU"/>
        </w:rPr>
        <w:t xml:space="preserve"> or otherwise refers to them</w:t>
      </w:r>
      <w:r w:rsidR="00F3234B">
        <w:rPr>
          <w:rFonts w:eastAsia="Arial"/>
          <w:snapToGrid/>
          <w:sz w:val="22"/>
          <w:szCs w:val="22"/>
          <w:lang w:eastAsia="en-AU"/>
        </w:rPr>
        <w:t>:</w:t>
      </w:r>
    </w:p>
    <w:p w14:paraId="4A8F8D5E" w14:textId="5C6B073A" w:rsidR="00FA5B8F" w:rsidRPr="00FA5B8F" w:rsidRDefault="00FA5B8F" w:rsidP="00806C85">
      <w:pPr>
        <w:pStyle w:val="ACMABodyText"/>
        <w:numPr>
          <w:ilvl w:val="0"/>
          <w:numId w:val="23"/>
        </w:numPr>
        <w:spacing w:beforeLines="80" w:before="192"/>
        <w:rPr>
          <w:sz w:val="22"/>
          <w:szCs w:val="22"/>
        </w:rPr>
      </w:pPr>
      <w:r w:rsidRPr="00FA5B8F">
        <w:rPr>
          <w:sz w:val="22"/>
          <w:szCs w:val="22"/>
        </w:rPr>
        <w:t>the Act</w:t>
      </w:r>
    </w:p>
    <w:p w14:paraId="002F2E16" w14:textId="04981E90" w:rsidR="00FA5B8F" w:rsidRPr="00FA5B8F" w:rsidRDefault="00FA5B8F" w:rsidP="00806C85">
      <w:pPr>
        <w:pStyle w:val="ACMABodyText"/>
        <w:numPr>
          <w:ilvl w:val="0"/>
          <w:numId w:val="23"/>
        </w:numPr>
        <w:spacing w:beforeLines="80" w:before="192"/>
        <w:rPr>
          <w:sz w:val="22"/>
          <w:szCs w:val="22"/>
        </w:rPr>
      </w:pPr>
      <w:r w:rsidRPr="00FA5B8F">
        <w:rPr>
          <w:sz w:val="22"/>
          <w:szCs w:val="22"/>
        </w:rPr>
        <w:t>the AIA</w:t>
      </w:r>
    </w:p>
    <w:p w14:paraId="0BA6132D" w14:textId="77777777" w:rsidR="00FA5B8F" w:rsidRPr="00806C85" w:rsidRDefault="00FA5B8F" w:rsidP="00FA5B8F">
      <w:pPr>
        <w:pStyle w:val="ACMABodyText"/>
        <w:numPr>
          <w:ilvl w:val="0"/>
          <w:numId w:val="23"/>
        </w:numPr>
        <w:spacing w:beforeLines="80" w:before="192" w:after="0"/>
        <w:rPr>
          <w:rFonts w:eastAsia="Arial"/>
          <w:snapToGrid/>
          <w:sz w:val="22"/>
          <w:szCs w:val="22"/>
          <w:lang w:eastAsia="en-AU"/>
        </w:rPr>
      </w:pPr>
      <w:r w:rsidRPr="00FA5B8F">
        <w:rPr>
          <w:sz w:val="22"/>
          <w:szCs w:val="22"/>
        </w:rPr>
        <w:t>the LA</w:t>
      </w:r>
    </w:p>
    <w:p w14:paraId="6E986E3D" w14:textId="6B3BA03B" w:rsidR="00FA5B8F" w:rsidRPr="00806C85" w:rsidRDefault="00FA5B8F" w:rsidP="00FA5B8F">
      <w:pPr>
        <w:pStyle w:val="ACMABodyText"/>
        <w:numPr>
          <w:ilvl w:val="0"/>
          <w:numId w:val="23"/>
        </w:numPr>
        <w:spacing w:beforeLines="80" w:before="192" w:after="0"/>
        <w:rPr>
          <w:rFonts w:eastAsia="Arial"/>
          <w:snapToGrid/>
          <w:sz w:val="22"/>
          <w:szCs w:val="22"/>
          <w:lang w:eastAsia="en-AU"/>
        </w:rPr>
      </w:pPr>
      <w:r w:rsidRPr="00FA5B8F">
        <w:rPr>
          <w:sz w:val="22"/>
          <w:szCs w:val="22"/>
        </w:rPr>
        <w:t>the Plan</w:t>
      </w:r>
      <w:r w:rsidR="00212366">
        <w:rPr>
          <w:sz w:val="22"/>
          <w:szCs w:val="22"/>
        </w:rPr>
        <w:t>.</w:t>
      </w:r>
    </w:p>
    <w:p w14:paraId="75914E2B" w14:textId="6F3D71E4" w:rsidR="00294B9C" w:rsidRPr="00212366" w:rsidRDefault="00294B9C" w:rsidP="00FA5B8F">
      <w:pPr>
        <w:pStyle w:val="ACMABodyText"/>
        <w:spacing w:beforeLines="80" w:before="192" w:after="0"/>
        <w:rPr>
          <w:rFonts w:eastAsia="Arial"/>
          <w:snapToGrid/>
          <w:sz w:val="22"/>
          <w:szCs w:val="22"/>
          <w:lang w:eastAsia="en-AU"/>
        </w:rPr>
      </w:pPr>
      <w:r w:rsidRPr="0088508D">
        <w:rPr>
          <w:sz w:val="22"/>
          <w:szCs w:val="22"/>
        </w:rPr>
        <w:t xml:space="preserve">The </w:t>
      </w:r>
      <w:r w:rsidRPr="0088508D">
        <w:rPr>
          <w:sz w:val="22"/>
          <w:szCs w:val="22"/>
          <w:lang w:val="en-US"/>
        </w:rPr>
        <w:t>Acts</w:t>
      </w:r>
      <w:r w:rsidRPr="0088508D">
        <w:rPr>
          <w:sz w:val="22"/>
          <w:szCs w:val="22"/>
        </w:rPr>
        <w:t xml:space="preserve"> </w:t>
      </w:r>
      <w:r w:rsidR="00FA5B8F">
        <w:rPr>
          <w:sz w:val="22"/>
          <w:szCs w:val="22"/>
        </w:rPr>
        <w:t xml:space="preserve">and legislative instrument </w:t>
      </w:r>
      <w:r w:rsidRPr="0088508D">
        <w:rPr>
          <w:sz w:val="22"/>
          <w:szCs w:val="22"/>
        </w:rPr>
        <w:t xml:space="preserve">listed above may be obtained, free of charge, from the </w:t>
      </w:r>
      <w:r w:rsidRPr="00212366">
        <w:rPr>
          <w:sz w:val="22"/>
          <w:szCs w:val="22"/>
        </w:rPr>
        <w:t>Federal Register of Legislation (</w:t>
      </w:r>
      <w:r w:rsidRPr="00C3197E">
        <w:rPr>
          <w:sz w:val="22"/>
          <w:szCs w:val="22"/>
        </w:rPr>
        <w:t>www.legislation.gov.au</w:t>
      </w:r>
      <w:r w:rsidRPr="00212366">
        <w:rPr>
          <w:sz w:val="22"/>
          <w:szCs w:val="22"/>
        </w:rPr>
        <w:t>).</w:t>
      </w:r>
    </w:p>
    <w:p w14:paraId="2A4B7FE0" w14:textId="4D728774" w:rsidR="00F0647C" w:rsidRPr="00895326" w:rsidRDefault="00852DEA" w:rsidP="00895326">
      <w:pPr>
        <w:pStyle w:val="ACMABodyText"/>
        <w:spacing w:beforeLines="80" w:before="192" w:after="0"/>
        <w:rPr>
          <w:b/>
          <w:sz w:val="22"/>
          <w:szCs w:val="22"/>
        </w:rPr>
      </w:pPr>
      <w:r w:rsidRPr="00895326">
        <w:rPr>
          <w:b/>
          <w:sz w:val="22"/>
          <w:szCs w:val="22"/>
        </w:rPr>
        <w:t>Consultation</w:t>
      </w:r>
    </w:p>
    <w:p w14:paraId="6D25E5E6" w14:textId="39109782" w:rsidR="00852DEA" w:rsidRPr="00801D98" w:rsidRDefault="00852DEA" w:rsidP="00F0647C">
      <w:pPr>
        <w:pStyle w:val="Paragraph"/>
        <w:spacing w:beforeLines="80" w:before="192"/>
        <w:rPr>
          <w:rFonts w:ascii="Times New Roman" w:eastAsia="Arial" w:hAnsi="Times New Roman" w:cs="Times New Roman"/>
          <w:sz w:val="22"/>
          <w:szCs w:val="22"/>
        </w:rPr>
      </w:pPr>
      <w:r w:rsidRPr="00801D98">
        <w:rPr>
          <w:rFonts w:ascii="Times New Roman" w:eastAsia="Arial" w:hAnsi="Times New Roman" w:cs="Times New Roman"/>
          <w:sz w:val="22"/>
          <w:szCs w:val="22"/>
        </w:rPr>
        <w:t xml:space="preserve">The ACMA has consulted with industry stakeholders and the </w:t>
      </w:r>
      <w:proofErr w:type="gramStart"/>
      <w:r w:rsidRPr="00801D98">
        <w:rPr>
          <w:rFonts w:ascii="Times New Roman" w:eastAsia="Arial" w:hAnsi="Times New Roman" w:cs="Times New Roman"/>
          <w:sz w:val="22"/>
          <w:szCs w:val="22"/>
        </w:rPr>
        <w:t>general public</w:t>
      </w:r>
      <w:proofErr w:type="gramEnd"/>
      <w:r w:rsidRPr="00801D98">
        <w:rPr>
          <w:rFonts w:ascii="Times New Roman" w:eastAsia="Arial" w:hAnsi="Times New Roman" w:cs="Times New Roman"/>
          <w:sz w:val="22"/>
          <w:szCs w:val="22"/>
        </w:rPr>
        <w:t xml:space="preserve"> on the making of the </w:t>
      </w:r>
      <w:r w:rsidR="00785804">
        <w:rPr>
          <w:rFonts w:ascii="Times New Roman" w:eastAsia="Arial" w:hAnsi="Times New Roman" w:cs="Times New Roman"/>
          <w:sz w:val="22"/>
          <w:szCs w:val="22"/>
        </w:rPr>
        <w:t>instrument</w:t>
      </w:r>
      <w:r w:rsidRPr="00801D98">
        <w:rPr>
          <w:rFonts w:ascii="Times New Roman" w:eastAsia="Arial" w:hAnsi="Times New Roman" w:cs="Times New Roman"/>
          <w:sz w:val="22"/>
          <w:szCs w:val="22"/>
        </w:rPr>
        <w:t>.  Section 17 of the LA requires that, before making a legislative instrument, the ACMA must be satisfied that any consultation it considers to be appropriate and that is reasonably practicable to undertake has been undertaken.</w:t>
      </w:r>
    </w:p>
    <w:p w14:paraId="0F934443" w14:textId="3DEEE1FB" w:rsidR="00852DEA" w:rsidRDefault="00852DEA" w:rsidP="00F0647C">
      <w:pPr>
        <w:pStyle w:val="Paragraph"/>
        <w:rPr>
          <w:rFonts w:ascii="Times New Roman" w:eastAsia="Arial" w:hAnsi="Times New Roman" w:cs="Times New Roman"/>
          <w:sz w:val="22"/>
          <w:szCs w:val="22"/>
        </w:rPr>
      </w:pPr>
      <w:r w:rsidRPr="503CF93E">
        <w:rPr>
          <w:rFonts w:ascii="Times New Roman" w:eastAsia="Arial" w:hAnsi="Times New Roman" w:cs="Times New Roman"/>
          <w:sz w:val="22"/>
          <w:szCs w:val="22"/>
        </w:rPr>
        <w:lastRenderedPageBreak/>
        <w:t xml:space="preserve">On </w:t>
      </w:r>
      <w:r w:rsidR="003D2E60" w:rsidRPr="503CF93E">
        <w:rPr>
          <w:rFonts w:ascii="Times New Roman" w:eastAsia="Arial" w:hAnsi="Times New Roman" w:cs="Times New Roman"/>
          <w:sz w:val="22"/>
          <w:szCs w:val="22"/>
        </w:rPr>
        <w:t>1</w:t>
      </w:r>
      <w:r w:rsidR="00EF081F" w:rsidRPr="503CF93E">
        <w:rPr>
          <w:rFonts w:ascii="Times New Roman" w:eastAsia="Arial" w:hAnsi="Times New Roman" w:cs="Times New Roman"/>
          <w:sz w:val="22"/>
          <w:szCs w:val="22"/>
        </w:rPr>
        <w:t>3</w:t>
      </w:r>
      <w:r w:rsidR="003D2E60" w:rsidRPr="503CF93E">
        <w:rPr>
          <w:rFonts w:ascii="Times New Roman" w:eastAsia="Arial" w:hAnsi="Times New Roman" w:cs="Times New Roman"/>
          <w:sz w:val="22"/>
          <w:szCs w:val="22"/>
        </w:rPr>
        <w:t xml:space="preserve"> November 2024</w:t>
      </w:r>
      <w:r w:rsidRPr="503CF93E">
        <w:rPr>
          <w:rFonts w:ascii="Times New Roman" w:eastAsia="Arial" w:hAnsi="Times New Roman" w:cs="Times New Roman"/>
          <w:sz w:val="22"/>
          <w:szCs w:val="22"/>
        </w:rPr>
        <w:t xml:space="preserve">, the ACMA </w:t>
      </w:r>
      <w:r w:rsidR="00966E68" w:rsidRPr="503CF93E">
        <w:rPr>
          <w:rFonts w:ascii="Times New Roman" w:eastAsia="Arial" w:hAnsi="Times New Roman" w:cs="Times New Roman"/>
          <w:sz w:val="22"/>
          <w:szCs w:val="22"/>
        </w:rPr>
        <w:t>published</w:t>
      </w:r>
      <w:r w:rsidRPr="503CF93E">
        <w:rPr>
          <w:rFonts w:ascii="Times New Roman" w:eastAsia="Arial" w:hAnsi="Times New Roman" w:cs="Times New Roman"/>
          <w:sz w:val="22"/>
          <w:szCs w:val="22"/>
        </w:rPr>
        <w:t xml:space="preserve"> the </w:t>
      </w:r>
      <w:r w:rsidR="00785804" w:rsidRPr="503CF93E">
        <w:rPr>
          <w:rFonts w:ascii="Times New Roman" w:eastAsia="Arial" w:hAnsi="Times New Roman" w:cs="Times New Roman"/>
          <w:sz w:val="22"/>
          <w:szCs w:val="22"/>
        </w:rPr>
        <w:t xml:space="preserve">instrument </w:t>
      </w:r>
      <w:r w:rsidRPr="503CF93E">
        <w:rPr>
          <w:rFonts w:ascii="Times New Roman" w:eastAsia="Arial" w:hAnsi="Times New Roman" w:cs="Times New Roman"/>
          <w:sz w:val="22"/>
          <w:szCs w:val="22"/>
        </w:rPr>
        <w:t xml:space="preserve">in draft form for public consultation together with a </w:t>
      </w:r>
      <w:r w:rsidR="00966E68" w:rsidRPr="503CF93E">
        <w:rPr>
          <w:rFonts w:ascii="Times New Roman" w:eastAsia="Arial" w:hAnsi="Times New Roman" w:cs="Times New Roman"/>
          <w:sz w:val="22"/>
          <w:szCs w:val="22"/>
        </w:rPr>
        <w:t>consultation</w:t>
      </w:r>
      <w:r w:rsidRPr="503CF93E">
        <w:rPr>
          <w:rFonts w:ascii="Times New Roman" w:eastAsia="Arial" w:hAnsi="Times New Roman" w:cs="Times New Roman"/>
          <w:sz w:val="22"/>
          <w:szCs w:val="22"/>
        </w:rPr>
        <w:t xml:space="preserve"> paper</w:t>
      </w:r>
      <w:r w:rsidR="00EA61B6" w:rsidRPr="503CF93E">
        <w:rPr>
          <w:rFonts w:ascii="Times New Roman" w:eastAsia="Arial" w:hAnsi="Times New Roman" w:cs="Times New Roman"/>
          <w:sz w:val="22"/>
          <w:szCs w:val="22"/>
        </w:rPr>
        <w:t xml:space="preserve"> which proposed remaking the 2015 instrument with minor changes</w:t>
      </w:r>
      <w:r w:rsidR="004637B7" w:rsidRPr="503CF93E">
        <w:rPr>
          <w:rFonts w:ascii="Times New Roman" w:eastAsia="Arial" w:hAnsi="Times New Roman" w:cs="Times New Roman"/>
          <w:sz w:val="22"/>
          <w:szCs w:val="22"/>
        </w:rPr>
        <w:t xml:space="preserve"> as noted above</w:t>
      </w:r>
      <w:r w:rsidRPr="503CF93E">
        <w:rPr>
          <w:rFonts w:ascii="Times New Roman" w:eastAsia="Arial" w:hAnsi="Times New Roman" w:cs="Times New Roman"/>
          <w:sz w:val="22"/>
          <w:szCs w:val="22"/>
        </w:rPr>
        <w:t xml:space="preserve">. </w:t>
      </w:r>
      <w:r w:rsidR="004F54E4">
        <w:rPr>
          <w:rFonts w:ascii="Times New Roman" w:eastAsia="Arial" w:hAnsi="Times New Roman" w:cs="Times New Roman"/>
          <w:sz w:val="22"/>
          <w:szCs w:val="22"/>
        </w:rPr>
        <w:t>T</w:t>
      </w:r>
      <w:r w:rsidR="00494CFA" w:rsidRPr="503CF93E">
        <w:rPr>
          <w:rFonts w:ascii="Times New Roman" w:eastAsia="Arial" w:hAnsi="Times New Roman" w:cs="Times New Roman"/>
          <w:sz w:val="22"/>
          <w:szCs w:val="22"/>
        </w:rPr>
        <w:t>he consultation period spanned for 90 days</w:t>
      </w:r>
      <w:r w:rsidR="00966E68" w:rsidRPr="503CF93E">
        <w:rPr>
          <w:rFonts w:ascii="Times New Roman" w:eastAsia="Arial" w:hAnsi="Times New Roman" w:cs="Times New Roman"/>
          <w:sz w:val="22"/>
          <w:szCs w:val="22"/>
        </w:rPr>
        <w:t xml:space="preserve"> and concluded on 12 February 2025</w:t>
      </w:r>
      <w:r w:rsidR="003D2E60" w:rsidRPr="503CF93E">
        <w:rPr>
          <w:rFonts w:ascii="Times New Roman" w:eastAsia="Arial" w:hAnsi="Times New Roman" w:cs="Times New Roman"/>
          <w:sz w:val="22"/>
          <w:szCs w:val="22"/>
        </w:rPr>
        <w:t>.</w:t>
      </w:r>
      <w:r w:rsidR="00966E68" w:rsidRPr="503CF93E">
        <w:rPr>
          <w:rFonts w:ascii="Times New Roman" w:eastAsia="Arial" w:hAnsi="Times New Roman" w:cs="Times New Roman"/>
          <w:sz w:val="22"/>
          <w:szCs w:val="22"/>
        </w:rPr>
        <w:t xml:space="preserve"> There were </w:t>
      </w:r>
      <w:r w:rsidR="52DD9005" w:rsidRPr="503CF93E">
        <w:rPr>
          <w:rFonts w:ascii="Times New Roman" w:eastAsia="Arial" w:hAnsi="Times New Roman" w:cs="Times New Roman"/>
          <w:sz w:val="22"/>
          <w:szCs w:val="22"/>
        </w:rPr>
        <w:t>15</w:t>
      </w:r>
      <w:r w:rsidR="00966E68" w:rsidRPr="503CF93E">
        <w:rPr>
          <w:rFonts w:ascii="Times New Roman" w:eastAsia="Arial" w:hAnsi="Times New Roman" w:cs="Times New Roman"/>
          <w:sz w:val="22"/>
          <w:szCs w:val="22"/>
        </w:rPr>
        <w:t xml:space="preserve"> submissions provided.</w:t>
      </w:r>
      <w:r w:rsidR="003D2E60" w:rsidRPr="503CF93E">
        <w:rPr>
          <w:rFonts w:ascii="Times New Roman" w:eastAsia="Arial" w:hAnsi="Times New Roman" w:cs="Times New Roman"/>
          <w:sz w:val="22"/>
          <w:szCs w:val="22"/>
        </w:rPr>
        <w:t xml:space="preserve"> Respond</w:t>
      </w:r>
      <w:r w:rsidR="004977DC" w:rsidRPr="503CF93E">
        <w:rPr>
          <w:rFonts w:ascii="Times New Roman" w:eastAsia="Arial" w:hAnsi="Times New Roman" w:cs="Times New Roman"/>
          <w:sz w:val="22"/>
          <w:szCs w:val="22"/>
        </w:rPr>
        <w:t xml:space="preserve">ents </w:t>
      </w:r>
      <w:r w:rsidR="00327FE6" w:rsidRPr="503CF93E">
        <w:rPr>
          <w:rFonts w:ascii="Times New Roman" w:eastAsia="Arial" w:hAnsi="Times New Roman" w:cs="Times New Roman"/>
          <w:sz w:val="22"/>
          <w:szCs w:val="22"/>
        </w:rPr>
        <w:t xml:space="preserve">agreed </w:t>
      </w:r>
      <w:r w:rsidR="004977DC" w:rsidRPr="503CF93E">
        <w:rPr>
          <w:rFonts w:ascii="Times New Roman" w:eastAsia="Arial" w:hAnsi="Times New Roman" w:cs="Times New Roman"/>
          <w:sz w:val="22"/>
          <w:szCs w:val="22"/>
        </w:rPr>
        <w:t xml:space="preserve">that the </w:t>
      </w:r>
      <w:r w:rsidR="00785804" w:rsidRPr="503CF93E">
        <w:rPr>
          <w:rFonts w:ascii="Times New Roman" w:eastAsia="Arial" w:hAnsi="Times New Roman" w:cs="Times New Roman"/>
          <w:sz w:val="22"/>
          <w:szCs w:val="22"/>
        </w:rPr>
        <w:t xml:space="preserve">instrument </w:t>
      </w:r>
      <w:r w:rsidR="00E87FC4" w:rsidRPr="503CF93E">
        <w:rPr>
          <w:rFonts w:ascii="Times New Roman" w:eastAsia="Arial" w:hAnsi="Times New Roman" w:cs="Times New Roman"/>
          <w:sz w:val="22"/>
          <w:szCs w:val="22"/>
        </w:rPr>
        <w:t xml:space="preserve">is operating efficiently and effectively. There were no issues cited with the operation of the </w:t>
      </w:r>
      <w:r w:rsidR="00173876">
        <w:rPr>
          <w:rFonts w:ascii="Times New Roman" w:eastAsia="Arial" w:hAnsi="Times New Roman" w:cs="Times New Roman"/>
          <w:sz w:val="22"/>
          <w:szCs w:val="22"/>
        </w:rPr>
        <w:t>2015 instrument</w:t>
      </w:r>
      <w:r w:rsidR="00F3144D" w:rsidRPr="503CF93E">
        <w:rPr>
          <w:rFonts w:ascii="Times New Roman" w:eastAsia="Arial" w:hAnsi="Times New Roman" w:cs="Times New Roman"/>
          <w:sz w:val="22"/>
          <w:szCs w:val="22"/>
        </w:rPr>
        <w:t xml:space="preserve">, and as such, no substantial changes were proposed for the new instrument. </w:t>
      </w:r>
      <w:r w:rsidR="00BA1087" w:rsidRPr="503CF93E">
        <w:rPr>
          <w:rFonts w:ascii="Times New Roman" w:eastAsia="Arial" w:hAnsi="Times New Roman" w:cs="Times New Roman"/>
          <w:sz w:val="22"/>
          <w:szCs w:val="22"/>
        </w:rPr>
        <w:t xml:space="preserve"> </w:t>
      </w:r>
      <w:r w:rsidR="007B67B0" w:rsidRPr="503CF93E">
        <w:rPr>
          <w:rFonts w:ascii="Times New Roman" w:eastAsia="Arial" w:hAnsi="Times New Roman" w:cs="Times New Roman"/>
          <w:sz w:val="22"/>
          <w:szCs w:val="22"/>
        </w:rPr>
        <w:t>The submissions have been made available on the ACMA’s website.</w:t>
      </w:r>
    </w:p>
    <w:p w14:paraId="26FF6489" w14:textId="0765343E" w:rsidR="00834A72" w:rsidRPr="00806C85" w:rsidRDefault="00834A72" w:rsidP="00806C85">
      <w:pPr>
        <w:rPr>
          <w:sz w:val="22"/>
          <w:szCs w:val="22"/>
        </w:rPr>
      </w:pPr>
      <w:r w:rsidRPr="503CF93E">
        <w:rPr>
          <w:sz w:val="22"/>
          <w:szCs w:val="22"/>
        </w:rPr>
        <w:t>The ACMA had regard to the views of stakeholders during the finalisation of the instrument. No changes were made to the instrument arising from consultation.</w:t>
      </w:r>
    </w:p>
    <w:p w14:paraId="7C1F7BB9" w14:textId="1B44A61F" w:rsidR="00D431A1" w:rsidRPr="0042521D" w:rsidRDefault="00947732" w:rsidP="006C2A0A">
      <w:pPr>
        <w:pStyle w:val="ACMABodyText"/>
        <w:spacing w:before="120" w:after="0"/>
        <w:rPr>
          <w:b/>
          <w:bCs/>
          <w:sz w:val="22"/>
          <w:szCs w:val="22"/>
        </w:rPr>
      </w:pPr>
      <w:r>
        <w:rPr>
          <w:b/>
          <w:bCs/>
          <w:sz w:val="22"/>
          <w:szCs w:val="22"/>
        </w:rPr>
        <w:br/>
      </w:r>
      <w:r w:rsidR="00EF081F" w:rsidRPr="503CF93E">
        <w:rPr>
          <w:b/>
          <w:bCs/>
          <w:sz w:val="22"/>
          <w:szCs w:val="22"/>
        </w:rPr>
        <w:t xml:space="preserve">Regulatory </w:t>
      </w:r>
      <w:r w:rsidR="00AA3262" w:rsidRPr="503CF93E">
        <w:rPr>
          <w:b/>
          <w:bCs/>
          <w:sz w:val="22"/>
          <w:szCs w:val="22"/>
        </w:rPr>
        <w:t xml:space="preserve">impact assessment </w:t>
      </w:r>
      <w:r w:rsidR="0042521D">
        <w:rPr>
          <w:b/>
          <w:bCs/>
          <w:sz w:val="22"/>
          <w:szCs w:val="22"/>
        </w:rPr>
        <w:br/>
      </w:r>
      <w:r w:rsidR="0042521D">
        <w:rPr>
          <w:b/>
          <w:bCs/>
          <w:sz w:val="22"/>
          <w:szCs w:val="22"/>
        </w:rPr>
        <w:br/>
      </w:r>
      <w:r w:rsidR="004C4AE8" w:rsidRPr="00947732">
        <w:rPr>
          <w:rFonts w:eastAsia="Arial"/>
          <w:sz w:val="22"/>
          <w:szCs w:val="22"/>
        </w:rPr>
        <w:t>A preliminary assessment of the proposal to make the instrument was conducted by the Office</w:t>
      </w:r>
      <w:r w:rsidR="004C4AE8" w:rsidRPr="00D2397C">
        <w:rPr>
          <w:sz w:val="22"/>
          <w:szCs w:val="22"/>
        </w:rPr>
        <w:t xml:space="preserve"> of Impact Analysis (</w:t>
      </w:r>
      <w:r w:rsidR="004C4AE8" w:rsidRPr="503CF93E">
        <w:rPr>
          <w:b/>
          <w:bCs/>
        </w:rPr>
        <w:t>OIA</w:t>
      </w:r>
      <w:r w:rsidR="004C4AE8" w:rsidRPr="00D2397C">
        <w:rPr>
          <w:sz w:val="22"/>
          <w:szCs w:val="22"/>
        </w:rPr>
        <w:t>)</w:t>
      </w:r>
      <w:r w:rsidR="004C4AE8">
        <w:rPr>
          <w:sz w:val="22"/>
          <w:szCs w:val="22"/>
        </w:rPr>
        <w:t>, based on information provided by the ACMA, for the purposes of determining whether a Regulation Impact Statement (</w:t>
      </w:r>
      <w:r w:rsidR="004C4AE8" w:rsidRPr="503CF93E">
        <w:rPr>
          <w:b/>
          <w:bCs/>
        </w:rPr>
        <w:t>RIS</w:t>
      </w:r>
      <w:r w:rsidR="004C4AE8">
        <w:rPr>
          <w:sz w:val="22"/>
          <w:szCs w:val="22"/>
        </w:rPr>
        <w:t>) would be required. OIA advised that a RIS would not be required because</w:t>
      </w:r>
      <w:r w:rsidR="004C4AE8" w:rsidRPr="00D2397C">
        <w:rPr>
          <w:sz w:val="22"/>
          <w:szCs w:val="22"/>
        </w:rPr>
        <w:t xml:space="preserve"> the proposed regulatory change is minor or machinery in nature</w:t>
      </w:r>
      <w:r w:rsidR="00603416">
        <w:rPr>
          <w:sz w:val="22"/>
          <w:szCs w:val="22"/>
        </w:rPr>
        <w:t>.</w:t>
      </w:r>
      <w:r w:rsidR="004C4AE8">
        <w:rPr>
          <w:rFonts w:eastAsia="Arial"/>
          <w:sz w:val="22"/>
          <w:szCs w:val="22"/>
        </w:rPr>
        <w:t xml:space="preserve"> </w:t>
      </w:r>
      <w:r w:rsidR="00D431A1" w:rsidRPr="00D431A1">
        <w:rPr>
          <w:rFonts w:eastAsia="Arial"/>
          <w:sz w:val="22"/>
          <w:szCs w:val="22"/>
        </w:rPr>
        <w:t>The OIA reference number is ID OIA</w:t>
      </w:r>
      <w:r w:rsidR="009D33DA">
        <w:rPr>
          <w:rFonts w:eastAsia="Arial"/>
          <w:sz w:val="22"/>
          <w:szCs w:val="22"/>
        </w:rPr>
        <w:t>25</w:t>
      </w:r>
      <w:r w:rsidR="00D431A1" w:rsidRPr="00D431A1">
        <w:rPr>
          <w:rFonts w:eastAsia="Arial"/>
          <w:sz w:val="22"/>
          <w:szCs w:val="22"/>
        </w:rPr>
        <w:t>-08941. </w:t>
      </w:r>
    </w:p>
    <w:p w14:paraId="33F1FED7" w14:textId="55F743C3" w:rsidR="00852DEA" w:rsidRPr="00801D98" w:rsidRDefault="00852DEA" w:rsidP="503CF93E">
      <w:pPr>
        <w:pStyle w:val="ACMABodyText"/>
        <w:spacing w:after="0"/>
        <w:rPr>
          <w:b/>
          <w:bCs/>
          <w:sz w:val="22"/>
          <w:szCs w:val="22"/>
        </w:rPr>
      </w:pPr>
      <w:r>
        <w:br/>
      </w:r>
      <w:r w:rsidRPr="503CF93E">
        <w:rPr>
          <w:b/>
          <w:bCs/>
          <w:sz w:val="22"/>
          <w:szCs w:val="22"/>
        </w:rPr>
        <w:t xml:space="preserve">Statement of compatibility with </w:t>
      </w:r>
      <w:r w:rsidR="00D054C8" w:rsidRPr="503CF93E">
        <w:rPr>
          <w:b/>
          <w:bCs/>
          <w:sz w:val="22"/>
          <w:szCs w:val="22"/>
        </w:rPr>
        <w:t>h</w:t>
      </w:r>
      <w:r w:rsidRPr="503CF93E">
        <w:rPr>
          <w:b/>
          <w:bCs/>
          <w:sz w:val="22"/>
          <w:szCs w:val="22"/>
        </w:rPr>
        <w:t xml:space="preserve">uman </w:t>
      </w:r>
      <w:r w:rsidR="00D054C8" w:rsidRPr="503CF93E">
        <w:rPr>
          <w:b/>
          <w:bCs/>
          <w:sz w:val="22"/>
          <w:szCs w:val="22"/>
        </w:rPr>
        <w:t>r</w:t>
      </w:r>
      <w:r w:rsidRPr="503CF93E">
        <w:rPr>
          <w:b/>
          <w:bCs/>
          <w:sz w:val="22"/>
          <w:szCs w:val="22"/>
        </w:rPr>
        <w:t>ights</w:t>
      </w:r>
      <w:r w:rsidR="006C2A0A">
        <w:rPr>
          <w:b/>
          <w:bCs/>
          <w:sz w:val="22"/>
          <w:szCs w:val="22"/>
        </w:rPr>
        <w:br/>
      </w:r>
    </w:p>
    <w:p w14:paraId="0891B70B" w14:textId="4D93ED5C" w:rsidR="00D71058" w:rsidRPr="00B24FD2" w:rsidRDefault="00D71058" w:rsidP="00D71058">
      <w:pPr>
        <w:rPr>
          <w:sz w:val="22"/>
          <w:szCs w:val="22"/>
        </w:rPr>
      </w:pPr>
      <w:bookmarkStart w:id="3" w:name="OLE_LINK1"/>
      <w:bookmarkStart w:id="4" w:name="OLE_LINK2"/>
      <w:r w:rsidRPr="00B24FD2">
        <w:rPr>
          <w:sz w:val="22"/>
          <w:szCs w:val="22"/>
        </w:rPr>
        <w:t xml:space="preserve">Subsection 9(1) of the </w:t>
      </w:r>
      <w:r w:rsidRPr="00B24FD2">
        <w:rPr>
          <w:i/>
          <w:sz w:val="22"/>
          <w:szCs w:val="22"/>
        </w:rPr>
        <w:t>Human Rights (Parliamentary Scrutiny) Act 2011</w:t>
      </w:r>
      <w:r w:rsidRPr="00B24FD2">
        <w:rPr>
          <w:sz w:val="22"/>
          <w:szCs w:val="22"/>
        </w:rPr>
        <w:t xml:space="preserve"> requires the rule-maker in relation to a legislative instrument to which section 42 (disallowance) of the LA applies to cause a statement of compatibility with human rights to be prepared in respect of that legislative instrument.</w:t>
      </w:r>
    </w:p>
    <w:p w14:paraId="72D0165D" w14:textId="77777777" w:rsidR="006603E8" w:rsidRDefault="006603E8" w:rsidP="00DF3723">
      <w:pPr>
        <w:rPr>
          <w:sz w:val="22"/>
          <w:szCs w:val="22"/>
        </w:rPr>
      </w:pPr>
    </w:p>
    <w:p w14:paraId="36E3A98B" w14:textId="40BA6CF2" w:rsidR="00D71058" w:rsidRPr="00801D98" w:rsidRDefault="004222C9" w:rsidP="00D71058">
      <w:pPr>
        <w:spacing w:line="280" w:lineRule="atLeast"/>
        <w:jc w:val="both"/>
        <w:rPr>
          <w:sz w:val="22"/>
          <w:szCs w:val="22"/>
        </w:rPr>
      </w:pPr>
      <w:r>
        <w:rPr>
          <w:sz w:val="22"/>
          <w:szCs w:val="22"/>
        </w:rPr>
        <w:t xml:space="preserve">The statement of </w:t>
      </w:r>
      <w:r w:rsidR="00312021">
        <w:rPr>
          <w:sz w:val="22"/>
          <w:szCs w:val="22"/>
        </w:rPr>
        <w:t xml:space="preserve">compatibility </w:t>
      </w:r>
      <w:proofErr w:type="gramStart"/>
      <w:r w:rsidR="00173876">
        <w:rPr>
          <w:sz w:val="22"/>
          <w:szCs w:val="22"/>
        </w:rPr>
        <w:t xml:space="preserve">with </w:t>
      </w:r>
      <w:r w:rsidR="00312021">
        <w:rPr>
          <w:sz w:val="22"/>
          <w:szCs w:val="22"/>
        </w:rPr>
        <w:t xml:space="preserve"> human</w:t>
      </w:r>
      <w:proofErr w:type="gramEnd"/>
      <w:r w:rsidR="00312021">
        <w:rPr>
          <w:sz w:val="22"/>
          <w:szCs w:val="22"/>
        </w:rPr>
        <w:t xml:space="preserve"> rights set out below has been prepared to meet </w:t>
      </w:r>
      <w:r w:rsidR="00173876">
        <w:rPr>
          <w:sz w:val="22"/>
          <w:szCs w:val="22"/>
        </w:rPr>
        <w:t xml:space="preserve">that </w:t>
      </w:r>
      <w:r w:rsidR="00312021">
        <w:rPr>
          <w:sz w:val="22"/>
          <w:szCs w:val="22"/>
        </w:rPr>
        <w:t xml:space="preserve">requirement. </w:t>
      </w:r>
    </w:p>
    <w:p w14:paraId="56EBFDFB" w14:textId="77777777" w:rsidR="00D71058" w:rsidRPr="00801D98" w:rsidRDefault="00D71058" w:rsidP="00D71058">
      <w:pPr>
        <w:pStyle w:val="ACMABodyText"/>
        <w:spacing w:before="0" w:after="0"/>
        <w:rPr>
          <w:sz w:val="22"/>
          <w:szCs w:val="22"/>
        </w:rPr>
      </w:pPr>
    </w:p>
    <w:p w14:paraId="367B60C6" w14:textId="4851DB2B" w:rsidR="00D71058" w:rsidRPr="00801D98" w:rsidRDefault="00D71058" w:rsidP="00D71058">
      <w:pPr>
        <w:pStyle w:val="ACMABodyText"/>
        <w:spacing w:before="0" w:after="0"/>
        <w:rPr>
          <w:b/>
          <w:sz w:val="22"/>
          <w:szCs w:val="22"/>
        </w:rPr>
      </w:pPr>
      <w:r w:rsidRPr="00801D98">
        <w:rPr>
          <w:b/>
          <w:sz w:val="22"/>
          <w:szCs w:val="22"/>
        </w:rPr>
        <w:t xml:space="preserve">Overview of the legislative </w:t>
      </w:r>
      <w:r w:rsidR="00D431A1">
        <w:rPr>
          <w:b/>
          <w:sz w:val="22"/>
          <w:szCs w:val="22"/>
        </w:rPr>
        <w:t>i</w:t>
      </w:r>
      <w:r w:rsidRPr="00801D98">
        <w:rPr>
          <w:b/>
          <w:sz w:val="22"/>
          <w:szCs w:val="22"/>
        </w:rPr>
        <w:t>nstrument</w:t>
      </w:r>
    </w:p>
    <w:p w14:paraId="363C568F" w14:textId="77777777" w:rsidR="00D71058" w:rsidRPr="00801D98" w:rsidRDefault="00D71058" w:rsidP="00D71058">
      <w:pPr>
        <w:pStyle w:val="ACMABodyText"/>
        <w:spacing w:before="0" w:after="0"/>
        <w:rPr>
          <w:sz w:val="22"/>
          <w:szCs w:val="22"/>
        </w:rPr>
      </w:pPr>
    </w:p>
    <w:p w14:paraId="43D1827E" w14:textId="3D1401B8" w:rsidR="00D71058" w:rsidRPr="00801D98" w:rsidRDefault="00D71058" w:rsidP="00D71058">
      <w:pPr>
        <w:pStyle w:val="ACMABodyText"/>
        <w:spacing w:before="0" w:after="0"/>
        <w:rPr>
          <w:sz w:val="22"/>
          <w:szCs w:val="22"/>
        </w:rPr>
      </w:pPr>
      <w:r w:rsidRPr="00801D98">
        <w:rPr>
          <w:sz w:val="22"/>
          <w:szCs w:val="22"/>
        </w:rPr>
        <w:t xml:space="preserve">The </w:t>
      </w:r>
      <w:r w:rsidR="00BC2B1F">
        <w:rPr>
          <w:sz w:val="22"/>
          <w:szCs w:val="22"/>
        </w:rPr>
        <w:t>instrument</w:t>
      </w:r>
      <w:r w:rsidR="00BC2B1F" w:rsidRPr="00801D98">
        <w:rPr>
          <w:sz w:val="22"/>
          <w:szCs w:val="22"/>
        </w:rPr>
        <w:t> </w:t>
      </w:r>
      <w:r w:rsidR="00A54EC8">
        <w:rPr>
          <w:sz w:val="22"/>
          <w:szCs w:val="22"/>
        </w:rPr>
        <w:t xml:space="preserve">determines </w:t>
      </w:r>
      <w:r w:rsidRPr="00801D98">
        <w:rPr>
          <w:sz w:val="22"/>
          <w:szCs w:val="22"/>
        </w:rPr>
        <w:t>portability service suppliers as participants in the</w:t>
      </w:r>
      <w:r w:rsidR="00906D18">
        <w:rPr>
          <w:sz w:val="22"/>
          <w:szCs w:val="22"/>
        </w:rPr>
        <w:t xml:space="preserve"> </w:t>
      </w:r>
      <w:r w:rsidRPr="00801D98">
        <w:rPr>
          <w:sz w:val="22"/>
          <w:szCs w:val="22"/>
        </w:rPr>
        <w:t xml:space="preserve">telecommunications industry, allowing them to participate in codes processes under Part 6 of the </w:t>
      </w:r>
      <w:r w:rsidR="00B24FD2">
        <w:rPr>
          <w:iCs/>
          <w:sz w:val="22"/>
          <w:szCs w:val="22"/>
        </w:rPr>
        <w:t>Ac</w:t>
      </w:r>
      <w:r w:rsidR="00A07E83">
        <w:rPr>
          <w:iCs/>
          <w:sz w:val="22"/>
          <w:szCs w:val="22"/>
        </w:rPr>
        <w:t>t</w:t>
      </w:r>
      <w:r w:rsidRPr="00801D98">
        <w:rPr>
          <w:sz w:val="22"/>
          <w:szCs w:val="22"/>
        </w:rPr>
        <w:t xml:space="preserve">.  </w:t>
      </w:r>
    </w:p>
    <w:p w14:paraId="5787EDBE" w14:textId="77777777" w:rsidR="00D71058" w:rsidRPr="00801D98" w:rsidRDefault="00D71058" w:rsidP="00D71058">
      <w:pPr>
        <w:pStyle w:val="ACMABodyText"/>
        <w:spacing w:before="0" w:after="0"/>
        <w:rPr>
          <w:sz w:val="22"/>
          <w:szCs w:val="22"/>
        </w:rPr>
      </w:pPr>
    </w:p>
    <w:p w14:paraId="14B8874A" w14:textId="77777777" w:rsidR="00D71058" w:rsidRDefault="00D71058" w:rsidP="00D71058">
      <w:pPr>
        <w:pStyle w:val="ACMABodyText"/>
        <w:spacing w:before="0" w:after="0"/>
        <w:rPr>
          <w:b/>
          <w:sz w:val="22"/>
          <w:szCs w:val="22"/>
        </w:rPr>
      </w:pPr>
      <w:r w:rsidRPr="00801D98">
        <w:rPr>
          <w:b/>
          <w:sz w:val="22"/>
          <w:szCs w:val="22"/>
        </w:rPr>
        <w:t>Human rights implications</w:t>
      </w:r>
    </w:p>
    <w:p w14:paraId="0EEE6B7A" w14:textId="77777777" w:rsidR="00BA0DD0" w:rsidRPr="00BA0DD0" w:rsidRDefault="00BA0DD0" w:rsidP="00BA0DD0">
      <w:pPr>
        <w:rPr>
          <w:sz w:val="22"/>
          <w:szCs w:val="22"/>
        </w:rPr>
      </w:pPr>
    </w:p>
    <w:p w14:paraId="7A8754AA" w14:textId="6219B2D4" w:rsidR="00BA0DD0" w:rsidRPr="00BA0DD0" w:rsidRDefault="00BA0DD0" w:rsidP="00BA0DD0">
      <w:pPr>
        <w:rPr>
          <w:sz w:val="22"/>
          <w:szCs w:val="22"/>
        </w:rPr>
      </w:pPr>
      <w:r w:rsidRPr="00BA0DD0">
        <w:rPr>
          <w:sz w:val="22"/>
          <w:szCs w:val="22"/>
        </w:rPr>
        <w:t>The ACMA has assessed whether the instrument is compatible with human rights, being the rights and freedoms recognised or declared by the international instruments listed in subsection 3(1) of the</w:t>
      </w:r>
      <w:r w:rsidRPr="00BA0DD0">
        <w:rPr>
          <w:i/>
          <w:sz w:val="22"/>
          <w:szCs w:val="22"/>
        </w:rPr>
        <w:t xml:space="preserve"> Human Rights (Parliamentary Scrutiny) Act 2011 </w:t>
      </w:r>
      <w:r w:rsidRPr="00BA0DD0">
        <w:rPr>
          <w:sz w:val="22"/>
          <w:szCs w:val="22"/>
        </w:rPr>
        <w:t>as they apply to Australia.</w:t>
      </w:r>
    </w:p>
    <w:p w14:paraId="7CA44C01" w14:textId="77777777" w:rsidR="00BA0DD0" w:rsidRPr="00BA0DD0" w:rsidRDefault="00BA0DD0" w:rsidP="00D71058">
      <w:pPr>
        <w:pStyle w:val="ACMABodyText"/>
        <w:spacing w:before="0" w:after="0"/>
        <w:rPr>
          <w:b/>
          <w:sz w:val="22"/>
          <w:szCs w:val="22"/>
        </w:rPr>
      </w:pPr>
    </w:p>
    <w:p w14:paraId="062ADFA1" w14:textId="4AF2472C" w:rsidR="00D71058" w:rsidRPr="00BA0DD0" w:rsidRDefault="007017F7" w:rsidP="00D71058">
      <w:pPr>
        <w:pStyle w:val="ACMABodyText"/>
        <w:spacing w:before="0" w:after="0"/>
        <w:rPr>
          <w:sz w:val="22"/>
          <w:szCs w:val="22"/>
        </w:rPr>
      </w:pPr>
      <w:r>
        <w:rPr>
          <w:sz w:val="22"/>
          <w:szCs w:val="22"/>
        </w:rPr>
        <w:t>Having considered the likely impact of the instrument and the nature of the applicable rights and freedoms, the ACMA has formed the view that the instrument does not engage any of those rights o</w:t>
      </w:r>
      <w:r w:rsidR="006F4F98">
        <w:rPr>
          <w:sz w:val="22"/>
          <w:szCs w:val="22"/>
        </w:rPr>
        <w:t>r</w:t>
      </w:r>
      <w:r>
        <w:rPr>
          <w:sz w:val="22"/>
          <w:szCs w:val="22"/>
        </w:rPr>
        <w:t xml:space="preserve"> freedoms. </w:t>
      </w:r>
    </w:p>
    <w:p w14:paraId="35D1CA61" w14:textId="77777777" w:rsidR="00D71058" w:rsidRPr="00801D98" w:rsidRDefault="00D71058" w:rsidP="00D71058">
      <w:pPr>
        <w:pStyle w:val="ACMABodyText"/>
        <w:spacing w:before="0" w:after="0"/>
        <w:rPr>
          <w:b/>
          <w:sz w:val="22"/>
          <w:szCs w:val="22"/>
        </w:rPr>
      </w:pPr>
    </w:p>
    <w:p w14:paraId="4C4DA921" w14:textId="3C3F6F57" w:rsidR="00D71058" w:rsidRPr="00801D98" w:rsidRDefault="00D71058" w:rsidP="00D71058">
      <w:pPr>
        <w:pStyle w:val="ACMABodyText"/>
        <w:spacing w:before="0" w:after="0"/>
        <w:rPr>
          <w:b/>
          <w:sz w:val="22"/>
          <w:szCs w:val="22"/>
        </w:rPr>
      </w:pPr>
      <w:r w:rsidRPr="00801D98">
        <w:rPr>
          <w:b/>
          <w:sz w:val="22"/>
          <w:szCs w:val="22"/>
        </w:rPr>
        <w:t>Conclusion</w:t>
      </w:r>
      <w:r w:rsidR="00A07E83">
        <w:rPr>
          <w:b/>
          <w:sz w:val="22"/>
          <w:szCs w:val="22"/>
        </w:rPr>
        <w:br/>
      </w:r>
    </w:p>
    <w:p w14:paraId="4B942B63" w14:textId="63D5A620" w:rsidR="00C87366" w:rsidRDefault="00D71058">
      <w:pPr>
        <w:rPr>
          <w:sz w:val="22"/>
          <w:szCs w:val="22"/>
        </w:rPr>
      </w:pPr>
      <w:r w:rsidRPr="00801D98">
        <w:rPr>
          <w:sz w:val="22"/>
          <w:szCs w:val="22"/>
        </w:rPr>
        <w:t xml:space="preserve">This </w:t>
      </w:r>
      <w:r w:rsidR="00785804">
        <w:rPr>
          <w:sz w:val="22"/>
          <w:szCs w:val="22"/>
        </w:rPr>
        <w:t xml:space="preserve">instrument </w:t>
      </w:r>
      <w:r w:rsidRPr="00801D98">
        <w:rPr>
          <w:sz w:val="22"/>
          <w:szCs w:val="22"/>
        </w:rPr>
        <w:t>is compatible with human rights as it does not raise any</w:t>
      </w:r>
      <w:r w:rsidR="00DA643E">
        <w:rPr>
          <w:sz w:val="22"/>
          <w:szCs w:val="22"/>
        </w:rPr>
        <w:t xml:space="preserve"> </w:t>
      </w:r>
      <w:r w:rsidR="006F4F98">
        <w:rPr>
          <w:sz w:val="22"/>
          <w:szCs w:val="22"/>
        </w:rPr>
        <w:t xml:space="preserve">human rights </w:t>
      </w:r>
      <w:r w:rsidR="00DA643E">
        <w:rPr>
          <w:sz w:val="22"/>
          <w:szCs w:val="22"/>
        </w:rPr>
        <w:t>issues.</w:t>
      </w:r>
      <w:r w:rsidRPr="00801D98">
        <w:rPr>
          <w:sz w:val="22"/>
          <w:szCs w:val="22"/>
        </w:rPr>
        <w:t xml:space="preserve"> </w:t>
      </w:r>
    </w:p>
    <w:p w14:paraId="5FAC7E55" w14:textId="519C02CF" w:rsidR="005B39F0" w:rsidRDefault="00515F4D" w:rsidP="00731DC7">
      <w:pPr>
        <w:rPr>
          <w:b/>
          <w:bCs/>
          <w:sz w:val="22"/>
          <w:szCs w:val="22"/>
        </w:rPr>
      </w:pPr>
      <w:r>
        <w:rPr>
          <w:sz w:val="22"/>
          <w:szCs w:val="22"/>
        </w:rPr>
        <w:br w:type="page"/>
      </w:r>
      <w:bookmarkEnd w:id="3"/>
      <w:bookmarkEnd w:id="4"/>
      <w:r w:rsidR="005B39F0">
        <w:rPr>
          <w:b/>
          <w:bCs/>
          <w:sz w:val="22"/>
          <w:szCs w:val="22"/>
        </w:rPr>
        <w:lastRenderedPageBreak/>
        <w:tab/>
      </w:r>
      <w:r w:rsidR="005B39F0">
        <w:rPr>
          <w:b/>
          <w:bCs/>
          <w:sz w:val="22"/>
          <w:szCs w:val="22"/>
        </w:rPr>
        <w:tab/>
      </w:r>
      <w:r w:rsidR="005B39F0">
        <w:rPr>
          <w:b/>
          <w:bCs/>
          <w:sz w:val="22"/>
          <w:szCs w:val="22"/>
        </w:rPr>
        <w:tab/>
      </w:r>
      <w:r w:rsidR="005B39F0">
        <w:rPr>
          <w:b/>
          <w:bCs/>
          <w:sz w:val="22"/>
          <w:szCs w:val="22"/>
        </w:rPr>
        <w:tab/>
      </w:r>
      <w:r w:rsidR="005B39F0">
        <w:rPr>
          <w:b/>
          <w:bCs/>
          <w:sz w:val="22"/>
          <w:szCs w:val="22"/>
        </w:rPr>
        <w:tab/>
      </w:r>
      <w:r w:rsidR="005B39F0">
        <w:rPr>
          <w:b/>
          <w:bCs/>
          <w:sz w:val="22"/>
          <w:szCs w:val="22"/>
        </w:rPr>
        <w:tab/>
      </w:r>
      <w:r w:rsidR="005B39F0">
        <w:rPr>
          <w:b/>
          <w:bCs/>
          <w:sz w:val="22"/>
          <w:szCs w:val="22"/>
        </w:rPr>
        <w:tab/>
      </w:r>
      <w:r w:rsidR="005B39F0">
        <w:rPr>
          <w:b/>
          <w:bCs/>
          <w:sz w:val="22"/>
          <w:szCs w:val="22"/>
        </w:rPr>
        <w:tab/>
      </w:r>
      <w:r w:rsidR="005B39F0">
        <w:rPr>
          <w:b/>
          <w:bCs/>
          <w:sz w:val="22"/>
          <w:szCs w:val="22"/>
        </w:rPr>
        <w:tab/>
        <w:t>Attachment A</w:t>
      </w:r>
      <w:r w:rsidR="005B39F0">
        <w:rPr>
          <w:b/>
          <w:bCs/>
          <w:sz w:val="22"/>
          <w:szCs w:val="22"/>
        </w:rPr>
        <w:tab/>
      </w:r>
    </w:p>
    <w:p w14:paraId="3E3CBAA1" w14:textId="77777777" w:rsidR="005B39F0" w:rsidRDefault="005B39F0" w:rsidP="00731DC7">
      <w:pPr>
        <w:rPr>
          <w:b/>
          <w:bCs/>
          <w:sz w:val="22"/>
          <w:szCs w:val="22"/>
        </w:rPr>
      </w:pPr>
    </w:p>
    <w:p w14:paraId="7D7525B7" w14:textId="3A4683D8" w:rsidR="00B351AA" w:rsidRPr="005B39F0" w:rsidRDefault="005B39F0" w:rsidP="00806C85">
      <w:pPr>
        <w:jc w:val="center"/>
        <w:rPr>
          <w:b/>
          <w:bCs/>
          <w:sz w:val="22"/>
          <w:szCs w:val="22"/>
        </w:rPr>
      </w:pPr>
      <w:r w:rsidRPr="005B39F0">
        <w:rPr>
          <w:b/>
          <w:bCs/>
          <w:sz w:val="22"/>
          <w:szCs w:val="22"/>
        </w:rPr>
        <w:t>Notes to the</w:t>
      </w:r>
      <w:r w:rsidRPr="005B39F0">
        <w:rPr>
          <w:b/>
          <w:bCs/>
          <w:i/>
          <w:iCs/>
          <w:sz w:val="22"/>
          <w:szCs w:val="22"/>
        </w:rPr>
        <w:t xml:space="preserve"> Telecommunications (Section of the Telecommunications Industry – Portability Service Suppliers) Determination 2025</w:t>
      </w:r>
    </w:p>
    <w:p w14:paraId="09DEBC3E" w14:textId="77777777" w:rsidR="00103D7D" w:rsidRDefault="00103D7D" w:rsidP="00103D7D">
      <w:pPr>
        <w:ind w:right="567"/>
        <w:rPr>
          <w:b/>
          <w:sz w:val="22"/>
          <w:szCs w:val="22"/>
        </w:rPr>
      </w:pPr>
    </w:p>
    <w:p w14:paraId="2F4B7E29" w14:textId="3C370AEE" w:rsidR="00731DC7" w:rsidRPr="00801D98" w:rsidRDefault="00103D7D" w:rsidP="00484C0D">
      <w:pPr>
        <w:ind w:right="567"/>
        <w:rPr>
          <w:b/>
          <w:sz w:val="22"/>
          <w:szCs w:val="22"/>
        </w:rPr>
      </w:pPr>
      <w:r>
        <w:rPr>
          <w:b/>
          <w:sz w:val="22"/>
          <w:szCs w:val="22"/>
        </w:rPr>
        <w:t xml:space="preserve">Section </w:t>
      </w:r>
      <w:r w:rsidR="00731DC7" w:rsidRPr="00801D98">
        <w:rPr>
          <w:b/>
          <w:sz w:val="22"/>
          <w:szCs w:val="22"/>
        </w:rPr>
        <w:t>1</w:t>
      </w:r>
      <w:r w:rsidR="000D7B3B">
        <w:rPr>
          <w:b/>
          <w:sz w:val="22"/>
          <w:szCs w:val="22"/>
        </w:rPr>
        <w:tab/>
      </w:r>
      <w:r w:rsidR="00731DC7" w:rsidRPr="00801D98">
        <w:rPr>
          <w:b/>
          <w:sz w:val="22"/>
          <w:szCs w:val="22"/>
        </w:rPr>
        <w:t xml:space="preserve">Name </w:t>
      </w:r>
    </w:p>
    <w:p w14:paraId="7E33BAD7" w14:textId="77777777" w:rsidR="00734777" w:rsidRPr="00801D98" w:rsidRDefault="00734777" w:rsidP="00731DC7">
      <w:pPr>
        <w:rPr>
          <w:b/>
          <w:sz w:val="22"/>
          <w:szCs w:val="22"/>
        </w:rPr>
      </w:pPr>
    </w:p>
    <w:p w14:paraId="2193C30B" w14:textId="331BB8E8" w:rsidR="00731DC7" w:rsidRPr="00801D98" w:rsidRDefault="00DC6163" w:rsidP="001E7082">
      <w:pPr>
        <w:rPr>
          <w:sz w:val="22"/>
          <w:szCs w:val="22"/>
        </w:rPr>
      </w:pPr>
      <w:r>
        <w:rPr>
          <w:sz w:val="22"/>
          <w:szCs w:val="22"/>
        </w:rPr>
        <w:t>This section</w:t>
      </w:r>
      <w:r w:rsidR="00DF3723" w:rsidRPr="00801D98">
        <w:rPr>
          <w:sz w:val="22"/>
          <w:szCs w:val="22"/>
          <w:lang w:val="en-US"/>
        </w:rPr>
        <w:t xml:space="preserve"> provides </w:t>
      </w:r>
      <w:r>
        <w:rPr>
          <w:sz w:val="22"/>
          <w:szCs w:val="22"/>
          <w:lang w:val="en-US"/>
        </w:rPr>
        <w:t xml:space="preserve">that </w:t>
      </w:r>
      <w:r w:rsidR="00DF3723" w:rsidRPr="00801D98">
        <w:rPr>
          <w:sz w:val="22"/>
          <w:szCs w:val="22"/>
          <w:lang w:val="en-US"/>
        </w:rPr>
        <w:t xml:space="preserve">the </w:t>
      </w:r>
      <w:r w:rsidR="00EC329A">
        <w:rPr>
          <w:sz w:val="22"/>
          <w:szCs w:val="22"/>
          <w:lang w:val="en-US"/>
        </w:rPr>
        <w:t xml:space="preserve">name of the instrument is </w:t>
      </w:r>
      <w:r w:rsidR="008D1425" w:rsidRPr="00801D98">
        <w:rPr>
          <w:sz w:val="22"/>
          <w:szCs w:val="22"/>
          <w:lang w:val="en-US"/>
        </w:rPr>
        <w:t>the</w:t>
      </w:r>
      <w:r w:rsidR="00DF0F38" w:rsidRPr="00801D98">
        <w:rPr>
          <w:sz w:val="22"/>
          <w:szCs w:val="22"/>
          <w:lang w:val="en-US"/>
        </w:rPr>
        <w:t xml:space="preserve"> </w:t>
      </w:r>
      <w:r w:rsidR="007E19DB" w:rsidRPr="00801D98">
        <w:rPr>
          <w:i/>
          <w:sz w:val="22"/>
          <w:szCs w:val="22"/>
        </w:rPr>
        <w:t>Telecommunications (Section of the Telecommunications Industry – Portability Service Suppliers) Determination 20</w:t>
      </w:r>
      <w:r w:rsidR="00066C09" w:rsidRPr="00801D98">
        <w:rPr>
          <w:i/>
          <w:sz w:val="22"/>
          <w:szCs w:val="22"/>
        </w:rPr>
        <w:t>2</w:t>
      </w:r>
      <w:r w:rsidR="007E19DB" w:rsidRPr="00801D98">
        <w:rPr>
          <w:i/>
          <w:sz w:val="22"/>
          <w:szCs w:val="22"/>
        </w:rPr>
        <w:t>5.</w:t>
      </w:r>
    </w:p>
    <w:p w14:paraId="335696F7" w14:textId="77777777" w:rsidR="00103D7D" w:rsidRDefault="00103D7D" w:rsidP="00103D7D">
      <w:pPr>
        <w:ind w:right="567"/>
        <w:rPr>
          <w:sz w:val="22"/>
          <w:szCs w:val="22"/>
        </w:rPr>
      </w:pPr>
    </w:p>
    <w:p w14:paraId="02835841" w14:textId="2ED66F68" w:rsidR="00731DC7" w:rsidRPr="00801D98" w:rsidRDefault="00103D7D" w:rsidP="00E60FEC">
      <w:pPr>
        <w:ind w:right="567"/>
        <w:rPr>
          <w:b/>
          <w:sz w:val="22"/>
          <w:szCs w:val="22"/>
        </w:rPr>
      </w:pPr>
      <w:r w:rsidRPr="00103D7D">
        <w:rPr>
          <w:b/>
          <w:bCs/>
          <w:sz w:val="22"/>
          <w:szCs w:val="22"/>
        </w:rPr>
        <w:t>Section</w:t>
      </w:r>
      <w:r>
        <w:rPr>
          <w:sz w:val="22"/>
          <w:szCs w:val="22"/>
        </w:rPr>
        <w:t xml:space="preserve"> </w:t>
      </w:r>
      <w:r w:rsidR="00731DC7" w:rsidRPr="00801D98">
        <w:rPr>
          <w:b/>
          <w:sz w:val="22"/>
          <w:szCs w:val="22"/>
        </w:rPr>
        <w:t>2</w:t>
      </w:r>
      <w:r w:rsidR="00404881">
        <w:rPr>
          <w:b/>
          <w:sz w:val="22"/>
          <w:szCs w:val="22"/>
        </w:rPr>
        <w:tab/>
      </w:r>
      <w:r w:rsidR="00731DC7" w:rsidRPr="00801D98">
        <w:rPr>
          <w:b/>
          <w:sz w:val="22"/>
          <w:szCs w:val="22"/>
        </w:rPr>
        <w:t>Commencement</w:t>
      </w:r>
    </w:p>
    <w:p w14:paraId="03DD5743" w14:textId="77777777" w:rsidR="00A91242" w:rsidRPr="00801D98" w:rsidRDefault="00A91242">
      <w:pPr>
        <w:rPr>
          <w:sz w:val="22"/>
          <w:szCs w:val="22"/>
        </w:rPr>
      </w:pPr>
    </w:p>
    <w:p w14:paraId="4F6FE52C" w14:textId="77777777" w:rsidR="00500BC3" w:rsidRDefault="00500BC3" w:rsidP="001E7082">
      <w:pPr>
        <w:rPr>
          <w:color w:val="000000" w:themeColor="text1"/>
          <w:sz w:val="22"/>
          <w:szCs w:val="22"/>
        </w:rPr>
      </w:pPr>
      <w:r>
        <w:rPr>
          <w:color w:val="000000" w:themeColor="text1"/>
          <w:sz w:val="22"/>
          <w:szCs w:val="22"/>
        </w:rPr>
        <w:t xml:space="preserve">This section </w:t>
      </w:r>
      <w:r w:rsidRPr="00717436">
        <w:rPr>
          <w:color w:val="000000" w:themeColor="text1"/>
          <w:sz w:val="22"/>
          <w:szCs w:val="22"/>
        </w:rPr>
        <w:t xml:space="preserve">provides </w:t>
      </w:r>
      <w:r>
        <w:rPr>
          <w:color w:val="000000" w:themeColor="text1"/>
          <w:sz w:val="22"/>
          <w:szCs w:val="22"/>
        </w:rPr>
        <w:t xml:space="preserve">that </w:t>
      </w:r>
      <w:r w:rsidRPr="00717436">
        <w:rPr>
          <w:color w:val="000000" w:themeColor="text1"/>
          <w:sz w:val="22"/>
          <w:szCs w:val="22"/>
        </w:rPr>
        <w:t xml:space="preserve">the </w:t>
      </w:r>
      <w:r>
        <w:rPr>
          <w:color w:val="000000" w:themeColor="text1"/>
          <w:sz w:val="22"/>
          <w:szCs w:val="22"/>
        </w:rPr>
        <w:t>instrument</w:t>
      </w:r>
      <w:r w:rsidRPr="00717436">
        <w:rPr>
          <w:color w:val="000000" w:themeColor="text1"/>
          <w:sz w:val="22"/>
          <w:szCs w:val="22"/>
        </w:rPr>
        <w:t xml:space="preserve"> commence</w:t>
      </w:r>
      <w:r>
        <w:rPr>
          <w:color w:val="000000" w:themeColor="text1"/>
          <w:sz w:val="22"/>
          <w:szCs w:val="22"/>
        </w:rPr>
        <w:t>s</w:t>
      </w:r>
      <w:r w:rsidRPr="00717436">
        <w:rPr>
          <w:color w:val="000000" w:themeColor="text1"/>
          <w:sz w:val="22"/>
          <w:szCs w:val="22"/>
        </w:rPr>
        <w:t xml:space="preserve"> at the start of the day after the day it is registered on the Federal Register of Legislation.</w:t>
      </w:r>
    </w:p>
    <w:p w14:paraId="2AF4AFF3" w14:textId="77777777" w:rsidR="00183989" w:rsidRPr="00801D98" w:rsidRDefault="00183989" w:rsidP="00731DC7">
      <w:pPr>
        <w:rPr>
          <w:sz w:val="22"/>
          <w:szCs w:val="22"/>
          <w:lang w:val="en-US"/>
        </w:rPr>
      </w:pPr>
    </w:p>
    <w:p w14:paraId="080ECD14" w14:textId="6CA6206E" w:rsidR="00731DC7" w:rsidRPr="00801D98" w:rsidRDefault="00103D7D" w:rsidP="005260DD">
      <w:pPr>
        <w:ind w:left="1077" w:right="567" w:hanging="1077"/>
        <w:rPr>
          <w:b/>
          <w:sz w:val="22"/>
          <w:szCs w:val="22"/>
        </w:rPr>
      </w:pPr>
      <w:r>
        <w:rPr>
          <w:b/>
          <w:sz w:val="22"/>
          <w:szCs w:val="22"/>
        </w:rPr>
        <w:t xml:space="preserve">Section </w:t>
      </w:r>
      <w:r w:rsidR="003872CB" w:rsidRPr="00801D98">
        <w:rPr>
          <w:b/>
          <w:sz w:val="22"/>
          <w:szCs w:val="22"/>
        </w:rPr>
        <w:t>3</w:t>
      </w:r>
      <w:r w:rsidR="003E5B9A">
        <w:rPr>
          <w:b/>
          <w:sz w:val="22"/>
          <w:szCs w:val="22"/>
        </w:rPr>
        <w:tab/>
      </w:r>
      <w:r w:rsidR="000D7B3B">
        <w:rPr>
          <w:b/>
          <w:sz w:val="22"/>
          <w:szCs w:val="22"/>
        </w:rPr>
        <w:tab/>
      </w:r>
      <w:r w:rsidR="00617A1B" w:rsidRPr="00801D98">
        <w:rPr>
          <w:b/>
          <w:sz w:val="22"/>
          <w:szCs w:val="22"/>
        </w:rPr>
        <w:t xml:space="preserve">Authority </w:t>
      </w:r>
    </w:p>
    <w:p w14:paraId="3ADE3CE7" w14:textId="76D9AB69" w:rsidR="00734777" w:rsidRPr="00801D98" w:rsidRDefault="00806C85" w:rsidP="00731DC7">
      <w:pPr>
        <w:rPr>
          <w:sz w:val="22"/>
          <w:szCs w:val="22"/>
        </w:rPr>
      </w:pPr>
      <w:r>
        <w:rPr>
          <w:sz w:val="22"/>
          <w:szCs w:val="22"/>
        </w:rPr>
        <w:tab/>
      </w:r>
    </w:p>
    <w:p w14:paraId="7AD32C14" w14:textId="1E74CC25" w:rsidR="00E73E6C" w:rsidRPr="00801D98" w:rsidRDefault="00EC087B" w:rsidP="001E7082">
      <w:pPr>
        <w:rPr>
          <w:sz w:val="22"/>
          <w:szCs w:val="22"/>
          <w:lang w:val="en-US"/>
        </w:rPr>
      </w:pPr>
      <w:r>
        <w:rPr>
          <w:bCs/>
          <w:color w:val="000000" w:themeColor="text1"/>
          <w:sz w:val="22"/>
          <w:szCs w:val="22"/>
        </w:rPr>
        <w:t>This section identifies the provision which authorise</w:t>
      </w:r>
      <w:r w:rsidR="006F4F98">
        <w:rPr>
          <w:bCs/>
          <w:color w:val="000000" w:themeColor="text1"/>
          <w:sz w:val="22"/>
          <w:szCs w:val="22"/>
        </w:rPr>
        <w:t>s</w:t>
      </w:r>
      <w:r>
        <w:rPr>
          <w:bCs/>
          <w:color w:val="000000" w:themeColor="text1"/>
          <w:sz w:val="22"/>
          <w:szCs w:val="22"/>
        </w:rPr>
        <w:t xml:space="preserve"> the making of the instrument, namely </w:t>
      </w:r>
      <w:r w:rsidR="00B85AF4" w:rsidRPr="00801D98">
        <w:rPr>
          <w:sz w:val="22"/>
          <w:szCs w:val="22"/>
          <w:lang w:val="en-US"/>
        </w:rPr>
        <w:t xml:space="preserve">subsection 110 (3) of the </w:t>
      </w:r>
      <w:r w:rsidR="00E73E6C" w:rsidRPr="00801D98">
        <w:rPr>
          <w:i/>
          <w:sz w:val="22"/>
          <w:szCs w:val="22"/>
          <w:lang w:val="en-US"/>
        </w:rPr>
        <w:t>Telecommunications Act 1997</w:t>
      </w:r>
      <w:r w:rsidR="00B85AF4" w:rsidRPr="00801D98">
        <w:rPr>
          <w:i/>
          <w:sz w:val="22"/>
          <w:szCs w:val="22"/>
          <w:lang w:val="en-US"/>
        </w:rPr>
        <w:t>.</w:t>
      </w:r>
    </w:p>
    <w:p w14:paraId="6B45985D" w14:textId="77777777" w:rsidR="00862B51" w:rsidRPr="00801D98" w:rsidRDefault="00862B51" w:rsidP="00731DC7">
      <w:pPr>
        <w:rPr>
          <w:sz w:val="22"/>
          <w:szCs w:val="22"/>
          <w:lang w:val="en-US"/>
        </w:rPr>
      </w:pPr>
    </w:p>
    <w:p w14:paraId="67F313D5" w14:textId="0EFA68DF" w:rsidR="00862B51" w:rsidRPr="00801D98" w:rsidRDefault="00103D7D" w:rsidP="000D7B3B">
      <w:pPr>
        <w:ind w:left="1440" w:hanging="1440"/>
        <w:rPr>
          <w:b/>
          <w:i/>
          <w:sz w:val="22"/>
          <w:szCs w:val="22"/>
        </w:rPr>
      </w:pPr>
      <w:r>
        <w:rPr>
          <w:b/>
          <w:sz w:val="22"/>
          <w:szCs w:val="22"/>
        </w:rPr>
        <w:t xml:space="preserve">Section </w:t>
      </w:r>
      <w:r w:rsidR="00862B51" w:rsidRPr="00801D98">
        <w:rPr>
          <w:b/>
          <w:sz w:val="22"/>
          <w:szCs w:val="22"/>
        </w:rPr>
        <w:t>4</w:t>
      </w:r>
      <w:r w:rsidR="005260DD" w:rsidRPr="00801D98">
        <w:rPr>
          <w:b/>
          <w:sz w:val="22"/>
          <w:szCs w:val="22"/>
        </w:rPr>
        <w:tab/>
      </w:r>
      <w:r w:rsidR="00617A1B" w:rsidRPr="00801D98">
        <w:rPr>
          <w:b/>
          <w:sz w:val="22"/>
          <w:szCs w:val="22"/>
        </w:rPr>
        <w:t xml:space="preserve">Repeal of </w:t>
      </w:r>
      <w:r w:rsidR="008A4FF9" w:rsidRPr="004F1863">
        <w:rPr>
          <w:b/>
          <w:i/>
          <w:iCs/>
          <w:sz w:val="22"/>
          <w:szCs w:val="22"/>
        </w:rPr>
        <w:t>Telecommunications (Section of the Telecommunications Industry – Portability Service Suppliers) Determination 2015</w:t>
      </w:r>
      <w:r w:rsidR="008A4FF9" w:rsidRPr="00801D98">
        <w:rPr>
          <w:b/>
          <w:sz w:val="22"/>
          <w:szCs w:val="22"/>
        </w:rPr>
        <w:t xml:space="preserve">  </w:t>
      </w:r>
    </w:p>
    <w:p w14:paraId="734CC072" w14:textId="77777777" w:rsidR="00862B51" w:rsidRPr="00801D98" w:rsidRDefault="00862B51" w:rsidP="00862B51">
      <w:pPr>
        <w:rPr>
          <w:sz w:val="22"/>
          <w:szCs w:val="22"/>
        </w:rPr>
      </w:pPr>
    </w:p>
    <w:p w14:paraId="68282808" w14:textId="324D0F72" w:rsidR="008A4FF9" w:rsidRPr="00801D98" w:rsidRDefault="00AB05C8" w:rsidP="001E7082">
      <w:pPr>
        <w:rPr>
          <w:sz w:val="22"/>
          <w:szCs w:val="22"/>
        </w:rPr>
      </w:pPr>
      <w:r>
        <w:rPr>
          <w:color w:val="000000" w:themeColor="text1"/>
          <w:sz w:val="22"/>
          <w:szCs w:val="22"/>
        </w:rPr>
        <w:t xml:space="preserve">This section repeals </w:t>
      </w:r>
      <w:r w:rsidRPr="00717436">
        <w:rPr>
          <w:color w:val="000000" w:themeColor="text1"/>
          <w:sz w:val="22"/>
          <w:szCs w:val="22"/>
        </w:rPr>
        <w:t xml:space="preserve">the </w:t>
      </w:r>
      <w:r w:rsidR="008A4FF9" w:rsidRPr="00806C85">
        <w:rPr>
          <w:i/>
          <w:iCs/>
          <w:sz w:val="22"/>
          <w:szCs w:val="22"/>
        </w:rPr>
        <w:t>Telecommunications (Section of the Telecommunications Industry – Portability Service Suppliers) Determination 2015</w:t>
      </w:r>
      <w:r w:rsidR="006575F3">
        <w:rPr>
          <w:i/>
          <w:iCs/>
          <w:sz w:val="22"/>
          <w:szCs w:val="22"/>
        </w:rPr>
        <w:t xml:space="preserve"> </w:t>
      </w:r>
      <w:r w:rsidR="006575F3" w:rsidRPr="00806C85">
        <w:rPr>
          <w:sz w:val="22"/>
          <w:szCs w:val="22"/>
        </w:rPr>
        <w:t>(Registration No. F2015L00292)</w:t>
      </w:r>
      <w:r w:rsidR="00E63165" w:rsidRPr="00081D05">
        <w:rPr>
          <w:sz w:val="22"/>
          <w:szCs w:val="22"/>
        </w:rPr>
        <w:t>.</w:t>
      </w:r>
      <w:r w:rsidR="008A4FF9" w:rsidRPr="00801D98">
        <w:rPr>
          <w:i/>
          <w:iCs/>
          <w:sz w:val="22"/>
          <w:szCs w:val="22"/>
        </w:rPr>
        <w:t xml:space="preserve">  </w:t>
      </w:r>
    </w:p>
    <w:p w14:paraId="5C38CB52" w14:textId="77777777" w:rsidR="00862B51" w:rsidRPr="00801D98" w:rsidRDefault="00862B51" w:rsidP="00862B51">
      <w:pPr>
        <w:rPr>
          <w:sz w:val="22"/>
          <w:szCs w:val="22"/>
          <w:lang w:val="en-US"/>
        </w:rPr>
      </w:pPr>
    </w:p>
    <w:p w14:paraId="09DCEF72" w14:textId="3795F3AD" w:rsidR="00862B51" w:rsidRPr="00801D98" w:rsidRDefault="00A72C1E" w:rsidP="005260DD">
      <w:pPr>
        <w:ind w:left="1077" w:right="567" w:hanging="1077"/>
        <w:rPr>
          <w:b/>
          <w:sz w:val="22"/>
          <w:szCs w:val="22"/>
        </w:rPr>
      </w:pPr>
      <w:r>
        <w:rPr>
          <w:b/>
          <w:sz w:val="22"/>
          <w:szCs w:val="22"/>
        </w:rPr>
        <w:t xml:space="preserve">Section </w:t>
      </w:r>
      <w:r w:rsidR="00862B51" w:rsidRPr="00801D98">
        <w:rPr>
          <w:b/>
          <w:sz w:val="22"/>
          <w:szCs w:val="22"/>
        </w:rPr>
        <w:t>5</w:t>
      </w:r>
      <w:r w:rsidR="005260DD" w:rsidRPr="00801D98">
        <w:rPr>
          <w:b/>
          <w:sz w:val="22"/>
          <w:szCs w:val="22"/>
        </w:rPr>
        <w:tab/>
      </w:r>
      <w:r w:rsidR="000D7B3B">
        <w:rPr>
          <w:b/>
          <w:sz w:val="22"/>
          <w:szCs w:val="22"/>
        </w:rPr>
        <w:tab/>
      </w:r>
      <w:r w:rsidR="00E63165" w:rsidRPr="00801D98">
        <w:rPr>
          <w:b/>
          <w:sz w:val="22"/>
          <w:szCs w:val="22"/>
        </w:rPr>
        <w:t xml:space="preserve">Definitions </w:t>
      </w:r>
    </w:p>
    <w:p w14:paraId="7BDA960B" w14:textId="77777777" w:rsidR="00862B51" w:rsidRPr="00801D98" w:rsidRDefault="00862B51" w:rsidP="00862B51">
      <w:pPr>
        <w:rPr>
          <w:sz w:val="22"/>
          <w:szCs w:val="22"/>
        </w:rPr>
      </w:pPr>
    </w:p>
    <w:p w14:paraId="08F38597" w14:textId="395AB069" w:rsidR="00452049" w:rsidRPr="00801D98" w:rsidRDefault="00B820CB" w:rsidP="001E7082">
      <w:pPr>
        <w:rPr>
          <w:sz w:val="22"/>
          <w:szCs w:val="22"/>
          <w:lang w:val="en-US"/>
        </w:rPr>
      </w:pPr>
      <w:r>
        <w:rPr>
          <w:color w:val="000000" w:themeColor="text1"/>
          <w:sz w:val="22"/>
          <w:szCs w:val="22"/>
        </w:rPr>
        <w:t xml:space="preserve">This section </w:t>
      </w:r>
      <w:r w:rsidRPr="00717436">
        <w:rPr>
          <w:color w:val="000000" w:themeColor="text1"/>
          <w:sz w:val="22"/>
          <w:szCs w:val="22"/>
        </w:rPr>
        <w:t xml:space="preserve">defines </w:t>
      </w:r>
      <w:proofErr w:type="gramStart"/>
      <w:r>
        <w:rPr>
          <w:color w:val="000000" w:themeColor="text1"/>
          <w:sz w:val="22"/>
          <w:szCs w:val="22"/>
        </w:rPr>
        <w:t>a number of</w:t>
      </w:r>
      <w:proofErr w:type="gramEnd"/>
      <w:r>
        <w:rPr>
          <w:color w:val="000000" w:themeColor="text1"/>
          <w:sz w:val="22"/>
          <w:szCs w:val="22"/>
        </w:rPr>
        <w:t xml:space="preserve"> key </w:t>
      </w:r>
      <w:r w:rsidRPr="00717436">
        <w:rPr>
          <w:color w:val="000000" w:themeColor="text1"/>
          <w:sz w:val="22"/>
          <w:szCs w:val="22"/>
        </w:rPr>
        <w:t xml:space="preserve">terms used </w:t>
      </w:r>
      <w:r>
        <w:rPr>
          <w:color w:val="000000" w:themeColor="text1"/>
          <w:sz w:val="22"/>
          <w:szCs w:val="22"/>
        </w:rPr>
        <w:t xml:space="preserve">throughout </w:t>
      </w:r>
      <w:r w:rsidRPr="00717436">
        <w:rPr>
          <w:color w:val="000000" w:themeColor="text1"/>
          <w:sz w:val="22"/>
          <w:szCs w:val="22"/>
        </w:rPr>
        <w:t xml:space="preserve">the </w:t>
      </w:r>
      <w:r>
        <w:rPr>
          <w:color w:val="000000" w:themeColor="text1"/>
          <w:sz w:val="22"/>
          <w:szCs w:val="22"/>
        </w:rPr>
        <w:t>instrument</w:t>
      </w:r>
      <w:r w:rsidRPr="00717436">
        <w:rPr>
          <w:color w:val="000000" w:themeColor="text1"/>
          <w:sz w:val="22"/>
          <w:szCs w:val="22"/>
        </w:rPr>
        <w:t>.</w:t>
      </w:r>
      <w:r>
        <w:rPr>
          <w:color w:val="000000" w:themeColor="text1"/>
          <w:sz w:val="22"/>
          <w:szCs w:val="22"/>
        </w:rPr>
        <w:t xml:space="preserve"> </w:t>
      </w:r>
      <w:proofErr w:type="gramStart"/>
      <w:r w:rsidR="00D00B48">
        <w:rPr>
          <w:color w:val="000000" w:themeColor="text1"/>
          <w:sz w:val="22"/>
          <w:szCs w:val="22"/>
        </w:rPr>
        <w:t>A number of</w:t>
      </w:r>
      <w:proofErr w:type="gramEnd"/>
      <w:r w:rsidR="00D00B48">
        <w:rPr>
          <w:color w:val="000000" w:themeColor="text1"/>
          <w:sz w:val="22"/>
          <w:szCs w:val="22"/>
        </w:rPr>
        <w:t xml:space="preserve"> other expressions used in the instrument are defined in the </w:t>
      </w:r>
      <w:r w:rsidR="00452049" w:rsidRPr="00801D98">
        <w:rPr>
          <w:i/>
          <w:sz w:val="22"/>
          <w:szCs w:val="22"/>
          <w:lang w:val="en-US"/>
        </w:rPr>
        <w:t>Telecommunications Act 1997</w:t>
      </w:r>
      <w:r w:rsidR="00C951E8" w:rsidRPr="00801D98">
        <w:rPr>
          <w:i/>
          <w:sz w:val="22"/>
          <w:szCs w:val="22"/>
          <w:lang w:val="en-US"/>
        </w:rPr>
        <w:t>.</w:t>
      </w:r>
    </w:p>
    <w:p w14:paraId="0158A8A2" w14:textId="77777777" w:rsidR="00452049" w:rsidRPr="00801D98" w:rsidRDefault="00452049" w:rsidP="00452049">
      <w:pPr>
        <w:rPr>
          <w:sz w:val="22"/>
          <w:szCs w:val="22"/>
          <w:lang w:val="en-US"/>
        </w:rPr>
      </w:pPr>
    </w:p>
    <w:p w14:paraId="2338036B" w14:textId="77777777" w:rsidR="00862B51" w:rsidRPr="00801D98" w:rsidRDefault="00862B51" w:rsidP="00862B51">
      <w:pPr>
        <w:rPr>
          <w:sz w:val="22"/>
          <w:szCs w:val="22"/>
          <w:lang w:val="en-US"/>
        </w:rPr>
      </w:pPr>
    </w:p>
    <w:p w14:paraId="36E7F73D" w14:textId="0EB20453" w:rsidR="00862B51" w:rsidRPr="00801D98" w:rsidRDefault="00A72C1E" w:rsidP="005260DD">
      <w:pPr>
        <w:ind w:left="1077" w:right="567" w:hanging="1077"/>
        <w:rPr>
          <w:b/>
          <w:sz w:val="22"/>
          <w:szCs w:val="22"/>
        </w:rPr>
      </w:pPr>
      <w:r>
        <w:rPr>
          <w:b/>
          <w:sz w:val="22"/>
          <w:szCs w:val="22"/>
        </w:rPr>
        <w:t xml:space="preserve">Section </w:t>
      </w:r>
      <w:r w:rsidR="00862B51" w:rsidRPr="00801D98">
        <w:rPr>
          <w:b/>
          <w:sz w:val="22"/>
          <w:szCs w:val="22"/>
        </w:rPr>
        <w:t>6</w:t>
      </w:r>
      <w:r w:rsidR="005260DD" w:rsidRPr="00801D98">
        <w:rPr>
          <w:b/>
          <w:sz w:val="22"/>
          <w:szCs w:val="22"/>
        </w:rPr>
        <w:tab/>
      </w:r>
      <w:r w:rsidR="000D7B3B">
        <w:rPr>
          <w:b/>
          <w:sz w:val="22"/>
          <w:szCs w:val="22"/>
        </w:rPr>
        <w:tab/>
      </w:r>
      <w:r w:rsidR="00C951E8" w:rsidRPr="00801D98">
        <w:rPr>
          <w:b/>
          <w:sz w:val="22"/>
          <w:szCs w:val="22"/>
        </w:rPr>
        <w:t xml:space="preserve">References to other instruments </w:t>
      </w:r>
    </w:p>
    <w:p w14:paraId="7C04B10E" w14:textId="77777777" w:rsidR="00862B51" w:rsidRPr="00801D98" w:rsidRDefault="00862B51" w:rsidP="00862B51">
      <w:pPr>
        <w:rPr>
          <w:sz w:val="22"/>
          <w:szCs w:val="22"/>
        </w:rPr>
      </w:pPr>
    </w:p>
    <w:p w14:paraId="4929B42B" w14:textId="06BDF04C" w:rsidR="00621244" w:rsidRPr="00621244" w:rsidRDefault="00B92AA4" w:rsidP="001E7082">
      <w:pPr>
        <w:rPr>
          <w:sz w:val="22"/>
          <w:szCs w:val="22"/>
        </w:rPr>
      </w:pPr>
      <w:r>
        <w:rPr>
          <w:color w:val="000000" w:themeColor="text1"/>
          <w:sz w:val="22"/>
          <w:szCs w:val="22"/>
        </w:rPr>
        <w:t xml:space="preserve">This section provides that in the instrument, </w:t>
      </w:r>
      <w:r w:rsidR="00621244" w:rsidRPr="00621244">
        <w:rPr>
          <w:sz w:val="22"/>
          <w:szCs w:val="22"/>
        </w:rPr>
        <w:t>unless the contrary intention appears</w:t>
      </w:r>
      <w:r>
        <w:rPr>
          <w:sz w:val="22"/>
          <w:szCs w:val="22"/>
        </w:rPr>
        <w:t xml:space="preserve">, </w:t>
      </w:r>
      <w:r w:rsidR="00621244" w:rsidRPr="00621244">
        <w:rPr>
          <w:sz w:val="22"/>
          <w:szCs w:val="22"/>
        </w:rPr>
        <w:t>a reference to any other legislative instrument is a reference to that other legislative instrument as in force from time to time</w:t>
      </w:r>
      <w:r>
        <w:rPr>
          <w:sz w:val="22"/>
          <w:szCs w:val="22"/>
        </w:rPr>
        <w:t>.</w:t>
      </w:r>
      <w:r w:rsidR="006A1640">
        <w:rPr>
          <w:sz w:val="22"/>
          <w:szCs w:val="22"/>
        </w:rPr>
        <w:t xml:space="preserve"> </w:t>
      </w:r>
      <w:r>
        <w:rPr>
          <w:sz w:val="22"/>
          <w:szCs w:val="22"/>
        </w:rPr>
        <w:t>A</w:t>
      </w:r>
      <w:r w:rsidR="00621244" w:rsidRPr="00621244">
        <w:rPr>
          <w:sz w:val="22"/>
          <w:szCs w:val="22"/>
        </w:rPr>
        <w:t xml:space="preserve"> reference to any other kind of instrument is a reference to that instrument as in force</w:t>
      </w:r>
      <w:r w:rsidR="00BB4E34">
        <w:rPr>
          <w:sz w:val="22"/>
          <w:szCs w:val="22"/>
        </w:rPr>
        <w:t xml:space="preserve"> or existing from time to time</w:t>
      </w:r>
      <w:r w:rsidR="00621244" w:rsidRPr="00621244">
        <w:rPr>
          <w:sz w:val="22"/>
          <w:szCs w:val="22"/>
        </w:rPr>
        <w:t>.   </w:t>
      </w:r>
    </w:p>
    <w:p w14:paraId="3D538860" w14:textId="77777777" w:rsidR="00621244" w:rsidRDefault="00621244" w:rsidP="00A72C1E">
      <w:pPr>
        <w:ind w:right="567"/>
        <w:rPr>
          <w:b/>
          <w:sz w:val="22"/>
          <w:szCs w:val="22"/>
        </w:rPr>
      </w:pPr>
    </w:p>
    <w:p w14:paraId="47634421" w14:textId="77777777" w:rsidR="00621244" w:rsidRDefault="00621244" w:rsidP="005260DD">
      <w:pPr>
        <w:ind w:left="1077" w:right="567" w:hanging="1077"/>
        <w:rPr>
          <w:b/>
          <w:sz w:val="22"/>
          <w:szCs w:val="22"/>
        </w:rPr>
      </w:pPr>
    </w:p>
    <w:p w14:paraId="1033A31C" w14:textId="5E5C9AC6" w:rsidR="00D449C5" w:rsidRPr="00801D98" w:rsidRDefault="00A72C1E" w:rsidP="005260DD">
      <w:pPr>
        <w:ind w:left="1077" w:right="567" w:hanging="1077"/>
        <w:rPr>
          <w:b/>
          <w:sz w:val="22"/>
          <w:szCs w:val="22"/>
        </w:rPr>
      </w:pPr>
      <w:r>
        <w:rPr>
          <w:b/>
          <w:sz w:val="22"/>
          <w:szCs w:val="22"/>
        </w:rPr>
        <w:t xml:space="preserve">Section </w:t>
      </w:r>
      <w:r w:rsidR="00D449C5" w:rsidRPr="00801D98">
        <w:rPr>
          <w:b/>
          <w:sz w:val="22"/>
          <w:szCs w:val="22"/>
        </w:rPr>
        <w:t>7</w:t>
      </w:r>
      <w:r w:rsidR="005260DD" w:rsidRPr="00801D98">
        <w:rPr>
          <w:b/>
          <w:sz w:val="22"/>
          <w:szCs w:val="22"/>
        </w:rPr>
        <w:tab/>
      </w:r>
      <w:r w:rsidR="000D7B3B">
        <w:rPr>
          <w:b/>
          <w:sz w:val="22"/>
          <w:szCs w:val="22"/>
        </w:rPr>
        <w:tab/>
      </w:r>
      <w:r w:rsidR="00BD6427" w:rsidRPr="00801D98">
        <w:rPr>
          <w:b/>
          <w:sz w:val="22"/>
          <w:szCs w:val="22"/>
        </w:rPr>
        <w:t xml:space="preserve">Application </w:t>
      </w:r>
    </w:p>
    <w:p w14:paraId="28052A96" w14:textId="77777777" w:rsidR="00862B51" w:rsidRPr="00801D98" w:rsidRDefault="00862B51" w:rsidP="00862B51">
      <w:pPr>
        <w:rPr>
          <w:sz w:val="22"/>
          <w:szCs w:val="22"/>
        </w:rPr>
      </w:pPr>
    </w:p>
    <w:p w14:paraId="6953B07F" w14:textId="58328963" w:rsidR="00BD501B" w:rsidRPr="00801D98" w:rsidRDefault="00E5193F" w:rsidP="001E7082">
      <w:pPr>
        <w:pStyle w:val="paragraph0"/>
        <w:spacing w:before="40" w:beforeAutospacing="0" w:after="0" w:afterAutospacing="0"/>
        <w:rPr>
          <w:color w:val="000000"/>
          <w:sz w:val="22"/>
          <w:szCs w:val="22"/>
        </w:rPr>
      </w:pPr>
      <w:r>
        <w:rPr>
          <w:sz w:val="22"/>
          <w:szCs w:val="22"/>
          <w:lang w:val="en-US"/>
        </w:rPr>
        <w:t>This section</w:t>
      </w:r>
      <w:r w:rsidR="00A81E0F" w:rsidRPr="00801D98">
        <w:rPr>
          <w:sz w:val="22"/>
          <w:szCs w:val="22"/>
          <w:lang w:val="en-US"/>
        </w:rPr>
        <w:t xml:space="preserve"> </w:t>
      </w:r>
      <w:r w:rsidR="004A1D0B">
        <w:rPr>
          <w:sz w:val="22"/>
          <w:szCs w:val="22"/>
          <w:lang w:val="en-US"/>
        </w:rPr>
        <w:t xml:space="preserve">specifies </w:t>
      </w:r>
      <w:r w:rsidR="002177A3" w:rsidRPr="00801D98">
        <w:rPr>
          <w:sz w:val="22"/>
          <w:szCs w:val="22"/>
          <w:lang w:val="en-US"/>
        </w:rPr>
        <w:t>that persons carrying on, or proposing to carry on, one or more kinds of telecommunications activity</w:t>
      </w:r>
      <w:r w:rsidR="0094659F">
        <w:rPr>
          <w:sz w:val="22"/>
          <w:szCs w:val="22"/>
          <w:lang w:val="en-US"/>
        </w:rPr>
        <w:t xml:space="preserve"> </w:t>
      </w:r>
      <w:r w:rsidR="00857285">
        <w:rPr>
          <w:sz w:val="22"/>
          <w:szCs w:val="22"/>
          <w:lang w:val="en-US"/>
        </w:rPr>
        <w:t xml:space="preserve">specified </w:t>
      </w:r>
      <w:r w:rsidR="0094659F">
        <w:rPr>
          <w:sz w:val="22"/>
          <w:szCs w:val="22"/>
          <w:lang w:val="en-US"/>
        </w:rPr>
        <w:t xml:space="preserve">in </w:t>
      </w:r>
      <w:r w:rsidR="00857285">
        <w:rPr>
          <w:sz w:val="22"/>
          <w:szCs w:val="22"/>
          <w:lang w:val="en-US"/>
        </w:rPr>
        <w:t xml:space="preserve">section 109 of </w:t>
      </w:r>
      <w:r w:rsidR="0094659F">
        <w:rPr>
          <w:sz w:val="22"/>
          <w:szCs w:val="22"/>
          <w:lang w:val="en-US"/>
        </w:rPr>
        <w:t xml:space="preserve">the </w:t>
      </w:r>
      <w:r w:rsidR="007C4208" w:rsidRPr="00806C85">
        <w:rPr>
          <w:sz w:val="22"/>
          <w:szCs w:val="22"/>
          <w:lang w:val="en-US"/>
        </w:rPr>
        <w:t>Act</w:t>
      </w:r>
      <w:r w:rsidR="002177A3" w:rsidRPr="00801D98">
        <w:rPr>
          <w:sz w:val="22"/>
          <w:szCs w:val="22"/>
          <w:lang w:val="en-US"/>
        </w:rPr>
        <w:t xml:space="preserve"> </w:t>
      </w:r>
      <w:r w:rsidR="007413F8">
        <w:rPr>
          <w:sz w:val="22"/>
          <w:szCs w:val="22"/>
          <w:lang w:val="en-US"/>
        </w:rPr>
        <w:t>and provid</w:t>
      </w:r>
      <w:r w:rsidR="00FC547A">
        <w:rPr>
          <w:sz w:val="22"/>
          <w:szCs w:val="22"/>
          <w:lang w:val="en-US"/>
        </w:rPr>
        <w:t>ing</w:t>
      </w:r>
      <w:r w:rsidR="007413F8">
        <w:rPr>
          <w:sz w:val="22"/>
          <w:szCs w:val="22"/>
          <w:lang w:val="en-US"/>
        </w:rPr>
        <w:t xml:space="preserve"> portability services </w:t>
      </w:r>
      <w:r w:rsidR="002177A3" w:rsidRPr="00801D98">
        <w:rPr>
          <w:sz w:val="22"/>
          <w:szCs w:val="22"/>
          <w:lang w:val="en-US"/>
        </w:rPr>
        <w:t xml:space="preserve">constitute a section of the telecommunications industry for the purposes of Part 6 of the </w:t>
      </w:r>
      <w:r w:rsidR="007C4208">
        <w:rPr>
          <w:sz w:val="22"/>
          <w:szCs w:val="22"/>
          <w:lang w:val="en-US"/>
        </w:rPr>
        <w:t>Act</w:t>
      </w:r>
      <w:r w:rsidR="002177A3" w:rsidRPr="00801D98">
        <w:rPr>
          <w:sz w:val="22"/>
          <w:szCs w:val="22"/>
          <w:lang w:val="en-US"/>
        </w:rPr>
        <w:t>.</w:t>
      </w:r>
      <w:r w:rsidR="00AF2A11">
        <w:rPr>
          <w:sz w:val="22"/>
          <w:szCs w:val="22"/>
          <w:lang w:val="en-US"/>
        </w:rPr>
        <w:t xml:space="preserve"> </w:t>
      </w:r>
      <w:r w:rsidR="00B81A31">
        <w:rPr>
          <w:sz w:val="22"/>
          <w:szCs w:val="22"/>
          <w:lang w:val="en-US"/>
        </w:rPr>
        <w:t xml:space="preserve"> </w:t>
      </w:r>
      <w:r w:rsidR="00EF306F">
        <w:rPr>
          <w:sz w:val="22"/>
          <w:szCs w:val="22"/>
          <w:lang w:val="en-US"/>
        </w:rPr>
        <w:t>Paragraph</w:t>
      </w:r>
      <w:r w:rsidR="00B81A31">
        <w:rPr>
          <w:sz w:val="22"/>
          <w:szCs w:val="22"/>
          <w:lang w:val="en-US"/>
        </w:rPr>
        <w:t>109</w:t>
      </w:r>
      <w:r w:rsidR="00933D74">
        <w:rPr>
          <w:sz w:val="22"/>
          <w:szCs w:val="22"/>
          <w:lang w:val="en-US"/>
        </w:rPr>
        <w:t>(c)</w:t>
      </w:r>
      <w:r w:rsidR="00B81A31">
        <w:rPr>
          <w:sz w:val="22"/>
          <w:szCs w:val="22"/>
          <w:lang w:val="en-US"/>
        </w:rPr>
        <w:t xml:space="preserve"> relevantly </w:t>
      </w:r>
      <w:r w:rsidR="00317013">
        <w:rPr>
          <w:sz w:val="22"/>
          <w:szCs w:val="22"/>
          <w:lang w:val="en-US"/>
        </w:rPr>
        <w:t xml:space="preserve">provides that </w:t>
      </w:r>
      <w:r w:rsidR="007B2273">
        <w:rPr>
          <w:sz w:val="22"/>
          <w:szCs w:val="22"/>
          <w:lang w:val="en-US"/>
        </w:rPr>
        <w:t>telecommunications activities include</w:t>
      </w:r>
      <w:r w:rsidR="00BE55BA">
        <w:rPr>
          <w:sz w:val="22"/>
          <w:szCs w:val="22"/>
          <w:lang w:val="en-US"/>
        </w:rPr>
        <w:t xml:space="preserve"> </w:t>
      </w:r>
      <w:r w:rsidR="00BD501B" w:rsidRPr="00801D98">
        <w:rPr>
          <w:color w:val="000000"/>
          <w:sz w:val="22"/>
          <w:szCs w:val="22"/>
        </w:rPr>
        <w:t>supplying goods or services for use in connection with the supply of a listed carriage service</w:t>
      </w:r>
      <w:r w:rsidR="00857142">
        <w:rPr>
          <w:color w:val="000000"/>
          <w:sz w:val="22"/>
          <w:szCs w:val="22"/>
        </w:rPr>
        <w:t>.</w:t>
      </w:r>
    </w:p>
    <w:p w14:paraId="693F85EB" w14:textId="4AA6E5FB" w:rsidR="00862B51" w:rsidRPr="00643715" w:rsidRDefault="00862B51" w:rsidP="00A72C1E">
      <w:pPr>
        <w:autoSpaceDE w:val="0"/>
        <w:autoSpaceDN w:val="0"/>
        <w:adjustRightInd w:val="0"/>
        <w:ind w:left="720"/>
        <w:rPr>
          <w:b/>
          <w:bCs/>
          <w:sz w:val="22"/>
          <w:szCs w:val="22"/>
          <w:lang w:val="en-US"/>
        </w:rPr>
      </w:pPr>
    </w:p>
    <w:p w14:paraId="3A001D11" w14:textId="77777777" w:rsidR="00F9172C" w:rsidRPr="00801D98" w:rsidRDefault="00F9172C" w:rsidP="00D449C5">
      <w:pPr>
        <w:autoSpaceDE w:val="0"/>
        <w:autoSpaceDN w:val="0"/>
        <w:adjustRightInd w:val="0"/>
        <w:rPr>
          <w:sz w:val="22"/>
          <w:szCs w:val="22"/>
        </w:rPr>
      </w:pPr>
    </w:p>
    <w:p w14:paraId="0B4C644F" w14:textId="1E372268" w:rsidR="00BD6427" w:rsidRPr="00801D98" w:rsidRDefault="00A72C1E" w:rsidP="005260DD">
      <w:pPr>
        <w:ind w:left="1077" w:right="567" w:hanging="1077"/>
        <w:rPr>
          <w:b/>
          <w:sz w:val="22"/>
          <w:szCs w:val="22"/>
        </w:rPr>
      </w:pPr>
      <w:r>
        <w:rPr>
          <w:b/>
          <w:sz w:val="22"/>
          <w:szCs w:val="22"/>
        </w:rPr>
        <w:t xml:space="preserve">Section </w:t>
      </w:r>
      <w:r w:rsidR="000B236C" w:rsidRPr="00801D98">
        <w:rPr>
          <w:b/>
          <w:sz w:val="22"/>
          <w:szCs w:val="22"/>
        </w:rPr>
        <w:t>8</w:t>
      </w:r>
      <w:r w:rsidR="005260DD" w:rsidRPr="00801D98">
        <w:rPr>
          <w:b/>
          <w:sz w:val="22"/>
          <w:szCs w:val="22"/>
        </w:rPr>
        <w:tab/>
      </w:r>
      <w:r w:rsidR="000B236C" w:rsidRPr="00801D98">
        <w:rPr>
          <w:b/>
          <w:sz w:val="22"/>
          <w:szCs w:val="22"/>
        </w:rPr>
        <w:t xml:space="preserve">Section of the telecommunications industry </w:t>
      </w:r>
    </w:p>
    <w:p w14:paraId="1F319303" w14:textId="77777777" w:rsidR="00C174BA" w:rsidRPr="00801D98" w:rsidRDefault="00C174BA" w:rsidP="00DD4E41">
      <w:pPr>
        <w:ind w:right="567"/>
        <w:rPr>
          <w:b/>
          <w:sz w:val="22"/>
          <w:szCs w:val="22"/>
        </w:rPr>
      </w:pPr>
    </w:p>
    <w:p w14:paraId="3DBB0CC5" w14:textId="77777777" w:rsidR="00EF306F" w:rsidRPr="00801D98" w:rsidRDefault="00B47FAD" w:rsidP="00EF306F">
      <w:pPr>
        <w:ind w:right="567"/>
        <w:rPr>
          <w:sz w:val="22"/>
          <w:szCs w:val="22"/>
          <w:lang w:val="en-US"/>
        </w:rPr>
      </w:pPr>
      <w:r>
        <w:rPr>
          <w:sz w:val="22"/>
          <w:szCs w:val="22"/>
          <w:lang w:val="en-US"/>
        </w:rPr>
        <w:t xml:space="preserve">This </w:t>
      </w:r>
      <w:r w:rsidR="000856BC">
        <w:rPr>
          <w:sz w:val="22"/>
          <w:szCs w:val="22"/>
          <w:lang w:val="en-US"/>
        </w:rPr>
        <w:t xml:space="preserve">section </w:t>
      </w:r>
      <w:r w:rsidR="00EF306F">
        <w:rPr>
          <w:sz w:val="22"/>
          <w:szCs w:val="22"/>
          <w:lang w:val="en-US"/>
        </w:rPr>
        <w:t>provides that persons to whom the instrument applies constitute the section of the telecommunications industry identified as “Portability Service Suppliers.”</w:t>
      </w:r>
    </w:p>
    <w:p w14:paraId="450188E0" w14:textId="1D544CAB" w:rsidR="00862B51" w:rsidRPr="00801D98" w:rsidRDefault="00862B51" w:rsidP="00C3197E">
      <w:pPr>
        <w:ind w:right="567"/>
        <w:rPr>
          <w:sz w:val="22"/>
          <w:szCs w:val="22"/>
          <w:lang w:val="en-US"/>
        </w:rPr>
      </w:pPr>
    </w:p>
    <w:sectPr w:rsidR="00862B51" w:rsidRPr="00801D98" w:rsidSect="00130AA3">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38A03" w14:textId="77777777" w:rsidR="009E5FD6" w:rsidRDefault="009E5FD6">
      <w:r>
        <w:separator/>
      </w:r>
    </w:p>
  </w:endnote>
  <w:endnote w:type="continuationSeparator" w:id="0">
    <w:p w14:paraId="274A679E" w14:textId="77777777" w:rsidR="009E5FD6" w:rsidRDefault="009E5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022B" w14:textId="77777777" w:rsidR="00D639E4" w:rsidRDefault="00D639E4" w:rsidP="00BC1D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690683" w14:textId="77777777" w:rsidR="00D639E4" w:rsidRDefault="00D639E4" w:rsidP="00C80F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E9BF" w14:textId="7CF66025" w:rsidR="00D639E4" w:rsidRDefault="00DE383B" w:rsidP="00DE383B">
    <w:pPr>
      <w:pStyle w:val="Footer"/>
      <w:pBdr>
        <w:top w:val="single" w:sz="4" w:space="1" w:color="auto"/>
      </w:pBdr>
      <w:jc w:val="center"/>
      <w:rPr>
        <w:i/>
        <w:sz w:val="20"/>
        <w:szCs w:val="20"/>
      </w:rPr>
    </w:pPr>
    <w:r w:rsidRPr="00DE383B">
      <w:rPr>
        <w:sz w:val="20"/>
        <w:szCs w:val="20"/>
      </w:rPr>
      <w:t>Explanatory</w:t>
    </w:r>
    <w:r w:rsidR="00130AA3" w:rsidRPr="00DE383B">
      <w:rPr>
        <w:sz w:val="20"/>
        <w:szCs w:val="20"/>
      </w:rPr>
      <w:t xml:space="preserve"> Statement to </w:t>
    </w:r>
    <w:r w:rsidRPr="00DE383B">
      <w:rPr>
        <w:sz w:val="20"/>
        <w:szCs w:val="20"/>
      </w:rPr>
      <w:t xml:space="preserve">the </w:t>
    </w:r>
    <w:r w:rsidRPr="00DE383B">
      <w:rPr>
        <w:i/>
        <w:sz w:val="20"/>
        <w:szCs w:val="20"/>
      </w:rPr>
      <w:t>Telecommunications (Section of the Telecommunications Industry – Portability Service Suppliers) Determination 2025</w:t>
    </w:r>
  </w:p>
  <w:p w14:paraId="101392D1" w14:textId="226DA45A" w:rsidR="00DE383B" w:rsidRPr="00DE383B" w:rsidRDefault="00DE383B" w:rsidP="00DE383B">
    <w:pPr>
      <w:pStyle w:val="Footer"/>
      <w:pBdr>
        <w:top w:val="single" w:sz="4" w:space="1" w:color="auto"/>
      </w:pBdr>
      <w:jc w:val="right"/>
      <w:rPr>
        <w:iCs/>
        <w:sz w:val="20"/>
        <w:szCs w:val="20"/>
      </w:rPr>
    </w:pPr>
    <w:r w:rsidRPr="00DE383B">
      <w:rPr>
        <w:iCs/>
        <w:sz w:val="20"/>
        <w:szCs w:val="20"/>
      </w:rPr>
      <w:fldChar w:fldCharType="begin"/>
    </w:r>
    <w:r w:rsidRPr="00DE383B">
      <w:rPr>
        <w:iCs/>
        <w:sz w:val="20"/>
        <w:szCs w:val="20"/>
      </w:rPr>
      <w:instrText xml:space="preserve"> PAGE   \* MERGEFORMAT </w:instrText>
    </w:r>
    <w:r w:rsidRPr="00DE383B">
      <w:rPr>
        <w:iCs/>
        <w:sz w:val="20"/>
        <w:szCs w:val="20"/>
      </w:rPr>
      <w:fldChar w:fldCharType="separate"/>
    </w:r>
    <w:r w:rsidRPr="00DE383B">
      <w:rPr>
        <w:iCs/>
        <w:noProof/>
        <w:sz w:val="20"/>
        <w:szCs w:val="20"/>
      </w:rPr>
      <w:t>1</w:t>
    </w:r>
    <w:r w:rsidRPr="00DE383B">
      <w:rPr>
        <w:iC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A58E8" w14:textId="77777777" w:rsidR="00130AA3" w:rsidRDefault="00130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D94D4" w14:textId="77777777" w:rsidR="009E5FD6" w:rsidRDefault="009E5FD6">
      <w:r>
        <w:separator/>
      </w:r>
    </w:p>
  </w:footnote>
  <w:footnote w:type="continuationSeparator" w:id="0">
    <w:p w14:paraId="0C1A4DD8" w14:textId="77777777" w:rsidR="009E5FD6" w:rsidRDefault="009E5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A84E" w14:textId="77777777" w:rsidR="00130AA3" w:rsidRDefault="00130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EA880" w14:textId="77777777" w:rsidR="00130AA3" w:rsidRDefault="00130A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27D8" w14:textId="77777777" w:rsidR="00130AA3" w:rsidRDefault="00130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pt;height:11.9pt" o:bullet="t">
        <v:imagedata r:id="rId1" o:title=""/>
      </v:shape>
    </w:pict>
  </w:numPicBullet>
  <w:abstractNum w:abstractNumId="0" w15:restartNumberingAfterBreak="0">
    <w:nsid w:val="07C24A13"/>
    <w:multiLevelType w:val="hybridMultilevel"/>
    <w:tmpl w:val="E95CFF62"/>
    <w:lvl w:ilvl="0" w:tplc="D7186CD2">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90661C8"/>
    <w:multiLevelType w:val="hybridMultilevel"/>
    <w:tmpl w:val="EAFC495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2B5AA0"/>
    <w:multiLevelType w:val="hybridMultilevel"/>
    <w:tmpl w:val="E8688F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C542D6C"/>
    <w:multiLevelType w:val="hybridMultilevel"/>
    <w:tmpl w:val="E676CFB8"/>
    <w:lvl w:ilvl="0" w:tplc="481AA3A2">
      <w:start w:val="1"/>
      <w:numFmt w:val="lowerLetter"/>
      <w:lvlText w:val="(%1)"/>
      <w:lvlJc w:val="left"/>
      <w:pPr>
        <w:ind w:left="778" w:hanging="360"/>
      </w:pPr>
      <w:rPr>
        <w:rFonts w:hint="default"/>
      </w:rPr>
    </w:lvl>
    <w:lvl w:ilvl="1" w:tplc="0C090019" w:tentative="1">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abstractNum w:abstractNumId="4" w15:restartNumberingAfterBreak="0">
    <w:nsid w:val="11A346CF"/>
    <w:multiLevelType w:val="hybridMultilevel"/>
    <w:tmpl w:val="59C43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EF1908"/>
    <w:multiLevelType w:val="hybridMultilevel"/>
    <w:tmpl w:val="D54C724C"/>
    <w:lvl w:ilvl="0" w:tplc="604CD0CE">
      <w:start w:val="1"/>
      <w:numFmt w:val="bullet"/>
      <w:lvlText w:val=""/>
      <w:lvlJc w:val="left"/>
      <w:pPr>
        <w:ind w:left="3573" w:hanging="360"/>
      </w:pPr>
      <w:rPr>
        <w:rFonts w:ascii="Symbol" w:hAnsi="Symbol" w:hint="default"/>
      </w:rPr>
    </w:lvl>
    <w:lvl w:ilvl="1" w:tplc="0C090003" w:tentative="1">
      <w:start w:val="1"/>
      <w:numFmt w:val="bullet"/>
      <w:lvlText w:val="o"/>
      <w:lvlJc w:val="left"/>
      <w:pPr>
        <w:ind w:left="4293" w:hanging="360"/>
      </w:pPr>
      <w:rPr>
        <w:rFonts w:ascii="Courier New" w:hAnsi="Courier New" w:cs="Courier New" w:hint="default"/>
      </w:rPr>
    </w:lvl>
    <w:lvl w:ilvl="2" w:tplc="0C090005" w:tentative="1">
      <w:start w:val="1"/>
      <w:numFmt w:val="bullet"/>
      <w:lvlText w:val=""/>
      <w:lvlJc w:val="left"/>
      <w:pPr>
        <w:ind w:left="5013" w:hanging="360"/>
      </w:pPr>
      <w:rPr>
        <w:rFonts w:ascii="Wingdings" w:hAnsi="Wingdings" w:hint="default"/>
      </w:rPr>
    </w:lvl>
    <w:lvl w:ilvl="3" w:tplc="0C090001" w:tentative="1">
      <w:start w:val="1"/>
      <w:numFmt w:val="bullet"/>
      <w:lvlText w:val=""/>
      <w:lvlJc w:val="left"/>
      <w:pPr>
        <w:ind w:left="5733" w:hanging="360"/>
      </w:pPr>
      <w:rPr>
        <w:rFonts w:ascii="Symbol" w:hAnsi="Symbol" w:hint="default"/>
      </w:rPr>
    </w:lvl>
    <w:lvl w:ilvl="4" w:tplc="0C090003" w:tentative="1">
      <w:start w:val="1"/>
      <w:numFmt w:val="bullet"/>
      <w:lvlText w:val="o"/>
      <w:lvlJc w:val="left"/>
      <w:pPr>
        <w:ind w:left="6453" w:hanging="360"/>
      </w:pPr>
      <w:rPr>
        <w:rFonts w:ascii="Courier New" w:hAnsi="Courier New" w:cs="Courier New" w:hint="default"/>
      </w:rPr>
    </w:lvl>
    <w:lvl w:ilvl="5" w:tplc="0C090005" w:tentative="1">
      <w:start w:val="1"/>
      <w:numFmt w:val="bullet"/>
      <w:lvlText w:val=""/>
      <w:lvlJc w:val="left"/>
      <w:pPr>
        <w:ind w:left="7173" w:hanging="360"/>
      </w:pPr>
      <w:rPr>
        <w:rFonts w:ascii="Wingdings" w:hAnsi="Wingdings" w:hint="default"/>
      </w:rPr>
    </w:lvl>
    <w:lvl w:ilvl="6" w:tplc="0C090001" w:tentative="1">
      <w:start w:val="1"/>
      <w:numFmt w:val="bullet"/>
      <w:lvlText w:val=""/>
      <w:lvlJc w:val="left"/>
      <w:pPr>
        <w:ind w:left="7893" w:hanging="360"/>
      </w:pPr>
      <w:rPr>
        <w:rFonts w:ascii="Symbol" w:hAnsi="Symbol" w:hint="default"/>
      </w:rPr>
    </w:lvl>
    <w:lvl w:ilvl="7" w:tplc="0C090003" w:tentative="1">
      <w:start w:val="1"/>
      <w:numFmt w:val="bullet"/>
      <w:lvlText w:val="o"/>
      <w:lvlJc w:val="left"/>
      <w:pPr>
        <w:ind w:left="8613" w:hanging="360"/>
      </w:pPr>
      <w:rPr>
        <w:rFonts w:ascii="Courier New" w:hAnsi="Courier New" w:cs="Courier New" w:hint="default"/>
      </w:rPr>
    </w:lvl>
    <w:lvl w:ilvl="8" w:tplc="0C090005" w:tentative="1">
      <w:start w:val="1"/>
      <w:numFmt w:val="bullet"/>
      <w:lvlText w:val=""/>
      <w:lvlJc w:val="left"/>
      <w:pPr>
        <w:ind w:left="9333" w:hanging="360"/>
      </w:pPr>
      <w:rPr>
        <w:rFonts w:ascii="Wingdings" w:hAnsi="Wingdings" w:hint="default"/>
      </w:rPr>
    </w:lvl>
  </w:abstractNum>
  <w:abstractNum w:abstractNumId="6" w15:restartNumberingAfterBreak="0">
    <w:nsid w:val="14193C3D"/>
    <w:multiLevelType w:val="hybridMultilevel"/>
    <w:tmpl w:val="7A58F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A37EED"/>
    <w:multiLevelType w:val="hybridMultilevel"/>
    <w:tmpl w:val="4E4AF0E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279C467B"/>
    <w:multiLevelType w:val="hybridMultilevel"/>
    <w:tmpl w:val="31887A5A"/>
    <w:lvl w:ilvl="0" w:tplc="481AA3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E02C4F"/>
    <w:multiLevelType w:val="hybridMultilevel"/>
    <w:tmpl w:val="1C6A4EA0"/>
    <w:lvl w:ilvl="0" w:tplc="0C090017">
      <w:start w:val="1"/>
      <w:numFmt w:val="lowerLetter"/>
      <w:lvlText w:val="%1)"/>
      <w:lvlJc w:val="left"/>
      <w:pPr>
        <w:tabs>
          <w:tab w:val="num" w:pos="3252"/>
        </w:tabs>
        <w:ind w:left="3252" w:hanging="360"/>
      </w:pPr>
      <w:rPr>
        <w:rFonts w:hint="default"/>
      </w:rPr>
    </w:lvl>
    <w:lvl w:ilvl="1" w:tplc="EA64821C">
      <w:start w:val="1"/>
      <w:numFmt w:val="bullet"/>
      <w:lvlText w:val=""/>
      <w:lvlJc w:val="left"/>
      <w:pPr>
        <w:tabs>
          <w:tab w:val="num" w:pos="3972"/>
        </w:tabs>
        <w:ind w:left="3972" w:hanging="360"/>
      </w:pPr>
      <w:rPr>
        <w:rFonts w:ascii="Symbol" w:hAnsi="Symbol" w:cs="Symbol" w:hint="default"/>
        <w:color w:val="auto"/>
        <w:sz w:val="22"/>
        <w:szCs w:val="22"/>
      </w:rPr>
    </w:lvl>
    <w:lvl w:ilvl="2" w:tplc="0409001B">
      <w:start w:val="1"/>
      <w:numFmt w:val="lowerRoman"/>
      <w:lvlText w:val="%3."/>
      <w:lvlJc w:val="right"/>
      <w:pPr>
        <w:tabs>
          <w:tab w:val="num" w:pos="4692"/>
        </w:tabs>
        <w:ind w:left="4692" w:hanging="180"/>
      </w:pPr>
    </w:lvl>
    <w:lvl w:ilvl="3" w:tplc="0409000F">
      <w:start w:val="1"/>
      <w:numFmt w:val="decimal"/>
      <w:lvlText w:val="%4."/>
      <w:lvlJc w:val="left"/>
      <w:pPr>
        <w:tabs>
          <w:tab w:val="num" w:pos="5412"/>
        </w:tabs>
        <w:ind w:left="5412" w:hanging="360"/>
      </w:pPr>
    </w:lvl>
    <w:lvl w:ilvl="4" w:tplc="04090019">
      <w:start w:val="1"/>
      <w:numFmt w:val="lowerLetter"/>
      <w:lvlText w:val="%5."/>
      <w:lvlJc w:val="left"/>
      <w:pPr>
        <w:tabs>
          <w:tab w:val="num" w:pos="6132"/>
        </w:tabs>
        <w:ind w:left="6132" w:hanging="360"/>
      </w:pPr>
    </w:lvl>
    <w:lvl w:ilvl="5" w:tplc="0409001B">
      <w:start w:val="1"/>
      <w:numFmt w:val="lowerRoman"/>
      <w:lvlText w:val="%6."/>
      <w:lvlJc w:val="right"/>
      <w:pPr>
        <w:tabs>
          <w:tab w:val="num" w:pos="6852"/>
        </w:tabs>
        <w:ind w:left="6852" w:hanging="180"/>
      </w:pPr>
    </w:lvl>
    <w:lvl w:ilvl="6" w:tplc="0409000F">
      <w:start w:val="1"/>
      <w:numFmt w:val="decimal"/>
      <w:lvlText w:val="%7."/>
      <w:lvlJc w:val="left"/>
      <w:pPr>
        <w:tabs>
          <w:tab w:val="num" w:pos="7572"/>
        </w:tabs>
        <w:ind w:left="7572" w:hanging="360"/>
      </w:pPr>
    </w:lvl>
    <w:lvl w:ilvl="7" w:tplc="04090019">
      <w:start w:val="1"/>
      <w:numFmt w:val="lowerLetter"/>
      <w:lvlText w:val="%8."/>
      <w:lvlJc w:val="left"/>
      <w:pPr>
        <w:tabs>
          <w:tab w:val="num" w:pos="8292"/>
        </w:tabs>
        <w:ind w:left="8292" w:hanging="360"/>
      </w:pPr>
    </w:lvl>
    <w:lvl w:ilvl="8" w:tplc="0409001B">
      <w:start w:val="1"/>
      <w:numFmt w:val="lowerRoman"/>
      <w:lvlText w:val="%9."/>
      <w:lvlJc w:val="right"/>
      <w:pPr>
        <w:tabs>
          <w:tab w:val="num" w:pos="9012"/>
        </w:tabs>
        <w:ind w:left="9012" w:hanging="180"/>
      </w:pPr>
    </w:lvl>
  </w:abstractNum>
  <w:abstractNum w:abstractNumId="10" w15:restartNumberingAfterBreak="0">
    <w:nsid w:val="33016AA7"/>
    <w:multiLevelType w:val="hybridMultilevel"/>
    <w:tmpl w:val="D400C324"/>
    <w:lvl w:ilvl="0" w:tplc="481AA3A2">
      <w:start w:val="1"/>
      <w:numFmt w:val="lowerLetter"/>
      <w:lvlText w:val="(%1)"/>
      <w:lvlJc w:val="left"/>
      <w:pPr>
        <w:ind w:left="778" w:hanging="360"/>
      </w:pPr>
      <w:rPr>
        <w:rFonts w:hint="default"/>
      </w:rPr>
    </w:lvl>
    <w:lvl w:ilvl="1" w:tplc="0C090019" w:tentative="1">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abstractNum w:abstractNumId="11" w15:restartNumberingAfterBreak="0">
    <w:nsid w:val="38044216"/>
    <w:multiLevelType w:val="hybridMultilevel"/>
    <w:tmpl w:val="0406B108"/>
    <w:lvl w:ilvl="0" w:tplc="A77021D4">
      <w:numFmt w:val="bullet"/>
      <w:lvlText w:val="•"/>
      <w:lvlJc w:val="left"/>
      <w:pPr>
        <w:ind w:left="1440" w:hanging="72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A0B7ECF"/>
    <w:multiLevelType w:val="hybridMultilevel"/>
    <w:tmpl w:val="D3B8F8D6"/>
    <w:lvl w:ilvl="0" w:tplc="08447B60">
      <w:start w:val="1"/>
      <w:numFmt w:val="lowerLetter"/>
      <w:lvlText w:val="(%1)"/>
      <w:lvlJc w:val="left"/>
      <w:pPr>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477C172E"/>
    <w:multiLevelType w:val="hybridMultilevel"/>
    <w:tmpl w:val="EA0ECD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9EE5929"/>
    <w:multiLevelType w:val="multilevel"/>
    <w:tmpl w:val="96CE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452EEA"/>
    <w:multiLevelType w:val="hybridMultilevel"/>
    <w:tmpl w:val="40F69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121235"/>
    <w:multiLevelType w:val="hybridMultilevel"/>
    <w:tmpl w:val="60DEB932"/>
    <w:lvl w:ilvl="0" w:tplc="0C090001">
      <w:start w:val="1"/>
      <w:numFmt w:val="bullet"/>
      <w:lvlText w:val=""/>
      <w:lvlJc w:val="left"/>
      <w:pPr>
        <w:tabs>
          <w:tab w:val="num" w:pos="1800"/>
        </w:tabs>
        <w:ind w:left="1800" w:hanging="360"/>
      </w:pPr>
      <w:rPr>
        <w:rFonts w:ascii="Symbol" w:hAnsi="Symbol" w:hint="default"/>
      </w:rPr>
    </w:lvl>
    <w:lvl w:ilvl="1" w:tplc="EA64821C">
      <w:start w:val="1"/>
      <w:numFmt w:val="bullet"/>
      <w:lvlText w:val=""/>
      <w:lvlJc w:val="left"/>
      <w:pPr>
        <w:tabs>
          <w:tab w:val="num" w:pos="2520"/>
        </w:tabs>
        <w:ind w:left="2520" w:hanging="360"/>
      </w:pPr>
      <w:rPr>
        <w:rFonts w:ascii="Symbol" w:hAnsi="Symbol" w:cs="Symbol" w:hint="default"/>
        <w:color w:val="auto"/>
        <w:sz w:val="22"/>
        <w:szCs w:val="22"/>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7" w15:restartNumberingAfterBreak="0">
    <w:nsid w:val="6C11227E"/>
    <w:multiLevelType w:val="hybridMultilevel"/>
    <w:tmpl w:val="4CF491B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EF0F9E"/>
    <w:multiLevelType w:val="hybridMultilevel"/>
    <w:tmpl w:val="AA761DBA"/>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9" w15:restartNumberingAfterBreak="0">
    <w:nsid w:val="71D2450C"/>
    <w:multiLevelType w:val="hybridMultilevel"/>
    <w:tmpl w:val="350ECEFE"/>
    <w:lvl w:ilvl="0" w:tplc="D7186CD2">
      <w:start w:val="1"/>
      <w:numFmt w:val="lowerRoman"/>
      <w:lvlText w:val="(%1)"/>
      <w:lvlJc w:val="left"/>
      <w:pPr>
        <w:ind w:left="1684" w:hanging="72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0" w15:restartNumberingAfterBreak="0">
    <w:nsid w:val="71D715D8"/>
    <w:multiLevelType w:val="hybridMultilevel"/>
    <w:tmpl w:val="E21CE7A6"/>
    <w:lvl w:ilvl="0" w:tplc="53CACB0E">
      <w:start w:val="1"/>
      <w:numFmt w:val="decimal"/>
      <w:lvlText w:val="%1."/>
      <w:lvlJc w:val="left"/>
      <w:pPr>
        <w:ind w:left="1353" w:hanging="360"/>
      </w:pPr>
      <w:rPr>
        <w:b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7726444C"/>
    <w:multiLevelType w:val="multilevel"/>
    <w:tmpl w:val="D790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8037BB"/>
    <w:multiLevelType w:val="hybridMultilevel"/>
    <w:tmpl w:val="FDDEEE7E"/>
    <w:lvl w:ilvl="0" w:tplc="481AA3A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83491334">
    <w:abstractNumId w:val="17"/>
  </w:num>
  <w:num w:numId="2" w16cid:durableId="549221318">
    <w:abstractNumId w:val="13"/>
  </w:num>
  <w:num w:numId="3" w16cid:durableId="13961461">
    <w:abstractNumId w:val="22"/>
  </w:num>
  <w:num w:numId="4" w16cid:durableId="10003555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2926728">
    <w:abstractNumId w:val="5"/>
  </w:num>
  <w:num w:numId="6" w16cid:durableId="807014174">
    <w:abstractNumId w:val="12"/>
  </w:num>
  <w:num w:numId="7" w16cid:durableId="1162504641">
    <w:abstractNumId w:val="7"/>
  </w:num>
  <w:num w:numId="8" w16cid:durableId="630788053">
    <w:abstractNumId w:val="6"/>
  </w:num>
  <w:num w:numId="9" w16cid:durableId="1896164921">
    <w:abstractNumId w:val="2"/>
  </w:num>
  <w:num w:numId="10" w16cid:durableId="1116753137">
    <w:abstractNumId w:val="16"/>
  </w:num>
  <w:num w:numId="11" w16cid:durableId="1218584900">
    <w:abstractNumId w:val="20"/>
  </w:num>
  <w:num w:numId="12" w16cid:durableId="333537196">
    <w:abstractNumId w:val="9"/>
  </w:num>
  <w:num w:numId="13" w16cid:durableId="1815565212">
    <w:abstractNumId w:val="1"/>
  </w:num>
  <w:num w:numId="14" w16cid:durableId="150876335">
    <w:abstractNumId w:val="19"/>
  </w:num>
  <w:num w:numId="15" w16cid:durableId="131020591">
    <w:abstractNumId w:val="10"/>
  </w:num>
  <w:num w:numId="16" w16cid:durableId="1249773230">
    <w:abstractNumId w:val="18"/>
  </w:num>
  <w:num w:numId="17" w16cid:durableId="1747074075">
    <w:abstractNumId w:val="3"/>
  </w:num>
  <w:num w:numId="18" w16cid:durableId="761494970">
    <w:abstractNumId w:val="8"/>
  </w:num>
  <w:num w:numId="19" w16cid:durableId="1583681900">
    <w:abstractNumId w:val="0"/>
  </w:num>
  <w:num w:numId="20" w16cid:durableId="645549904">
    <w:abstractNumId w:val="21"/>
  </w:num>
  <w:num w:numId="21" w16cid:durableId="1014914276">
    <w:abstractNumId w:val="14"/>
  </w:num>
  <w:num w:numId="22" w16cid:durableId="197855891">
    <w:abstractNumId w:val="15"/>
  </w:num>
  <w:num w:numId="23" w16cid:durableId="701976224">
    <w:abstractNumId w:val="4"/>
  </w:num>
  <w:num w:numId="24" w16cid:durableId="1468357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DC7"/>
    <w:rsid w:val="0002033E"/>
    <w:rsid w:val="00025F53"/>
    <w:rsid w:val="00025F70"/>
    <w:rsid w:val="00027E03"/>
    <w:rsid w:val="00027F49"/>
    <w:rsid w:val="0003289D"/>
    <w:rsid w:val="00035E3C"/>
    <w:rsid w:val="00040CC5"/>
    <w:rsid w:val="000423CF"/>
    <w:rsid w:val="00056E18"/>
    <w:rsid w:val="00060F53"/>
    <w:rsid w:val="000627FF"/>
    <w:rsid w:val="000650DB"/>
    <w:rsid w:val="00065182"/>
    <w:rsid w:val="00065D72"/>
    <w:rsid w:val="00066C09"/>
    <w:rsid w:val="00081D05"/>
    <w:rsid w:val="00082E3D"/>
    <w:rsid w:val="0008323E"/>
    <w:rsid w:val="000856BC"/>
    <w:rsid w:val="00086874"/>
    <w:rsid w:val="000961DF"/>
    <w:rsid w:val="00096504"/>
    <w:rsid w:val="00097992"/>
    <w:rsid w:val="000A0F73"/>
    <w:rsid w:val="000A5577"/>
    <w:rsid w:val="000A59BA"/>
    <w:rsid w:val="000A6764"/>
    <w:rsid w:val="000B236C"/>
    <w:rsid w:val="000B6847"/>
    <w:rsid w:val="000B7F58"/>
    <w:rsid w:val="000C0A1E"/>
    <w:rsid w:val="000C2745"/>
    <w:rsid w:val="000D0CDC"/>
    <w:rsid w:val="000D2050"/>
    <w:rsid w:val="000D2A13"/>
    <w:rsid w:val="000D3B0D"/>
    <w:rsid w:val="000D49FF"/>
    <w:rsid w:val="000D60E0"/>
    <w:rsid w:val="000D752C"/>
    <w:rsid w:val="000D7B3B"/>
    <w:rsid w:val="000E587C"/>
    <w:rsid w:val="000E6329"/>
    <w:rsid w:val="000F58B0"/>
    <w:rsid w:val="000F7EDD"/>
    <w:rsid w:val="00103D7D"/>
    <w:rsid w:val="00106363"/>
    <w:rsid w:val="001100ED"/>
    <w:rsid w:val="00120063"/>
    <w:rsid w:val="001237B4"/>
    <w:rsid w:val="00130AA3"/>
    <w:rsid w:val="00135B57"/>
    <w:rsid w:val="00150471"/>
    <w:rsid w:val="0015538D"/>
    <w:rsid w:val="00167247"/>
    <w:rsid w:val="00172AD4"/>
    <w:rsid w:val="00173876"/>
    <w:rsid w:val="00174DDA"/>
    <w:rsid w:val="00175404"/>
    <w:rsid w:val="00182EC0"/>
    <w:rsid w:val="00183989"/>
    <w:rsid w:val="00183AE4"/>
    <w:rsid w:val="0018491D"/>
    <w:rsid w:val="0018661A"/>
    <w:rsid w:val="0019757C"/>
    <w:rsid w:val="001A0048"/>
    <w:rsid w:val="001A13F4"/>
    <w:rsid w:val="001B0C9E"/>
    <w:rsid w:val="001B2351"/>
    <w:rsid w:val="001B27D8"/>
    <w:rsid w:val="001B5BDE"/>
    <w:rsid w:val="001B6BA2"/>
    <w:rsid w:val="001C0E4E"/>
    <w:rsid w:val="001C1B46"/>
    <w:rsid w:val="001C1D37"/>
    <w:rsid w:val="001C74D9"/>
    <w:rsid w:val="001D1545"/>
    <w:rsid w:val="001D18DD"/>
    <w:rsid w:val="001D6BF7"/>
    <w:rsid w:val="001D7632"/>
    <w:rsid w:val="001E516C"/>
    <w:rsid w:val="001E6607"/>
    <w:rsid w:val="001E7082"/>
    <w:rsid w:val="001F03D9"/>
    <w:rsid w:val="001F1091"/>
    <w:rsid w:val="001F24CC"/>
    <w:rsid w:val="001F3110"/>
    <w:rsid w:val="001F6254"/>
    <w:rsid w:val="001F6BEE"/>
    <w:rsid w:val="001F73C2"/>
    <w:rsid w:val="00201E38"/>
    <w:rsid w:val="00212366"/>
    <w:rsid w:val="00212ADE"/>
    <w:rsid w:val="00213608"/>
    <w:rsid w:val="0021648D"/>
    <w:rsid w:val="002177A3"/>
    <w:rsid w:val="0022194F"/>
    <w:rsid w:val="0022308F"/>
    <w:rsid w:val="002249CC"/>
    <w:rsid w:val="00231F4C"/>
    <w:rsid w:val="002357B2"/>
    <w:rsid w:val="00237BA0"/>
    <w:rsid w:val="00243959"/>
    <w:rsid w:val="0024662D"/>
    <w:rsid w:val="002505C7"/>
    <w:rsid w:val="00253A61"/>
    <w:rsid w:val="00255522"/>
    <w:rsid w:val="00256B11"/>
    <w:rsid w:val="00256DB4"/>
    <w:rsid w:val="00261C71"/>
    <w:rsid w:val="00262A04"/>
    <w:rsid w:val="00262AB7"/>
    <w:rsid w:val="00271110"/>
    <w:rsid w:val="00272BF2"/>
    <w:rsid w:val="00275309"/>
    <w:rsid w:val="00276F53"/>
    <w:rsid w:val="00285E12"/>
    <w:rsid w:val="002940E8"/>
    <w:rsid w:val="00294B9C"/>
    <w:rsid w:val="00295C06"/>
    <w:rsid w:val="002A21DD"/>
    <w:rsid w:val="002A27A9"/>
    <w:rsid w:val="002A3892"/>
    <w:rsid w:val="002A4220"/>
    <w:rsid w:val="002A5749"/>
    <w:rsid w:val="002B1073"/>
    <w:rsid w:val="002B1886"/>
    <w:rsid w:val="002B46F9"/>
    <w:rsid w:val="002B53A0"/>
    <w:rsid w:val="002C1096"/>
    <w:rsid w:val="002C2864"/>
    <w:rsid w:val="002C45D2"/>
    <w:rsid w:val="002C59F2"/>
    <w:rsid w:val="002D0309"/>
    <w:rsid w:val="002E06A6"/>
    <w:rsid w:val="002E5D43"/>
    <w:rsid w:val="002E71A6"/>
    <w:rsid w:val="002F2CEA"/>
    <w:rsid w:val="002F3513"/>
    <w:rsid w:val="003015AD"/>
    <w:rsid w:val="00301CA5"/>
    <w:rsid w:val="0030741D"/>
    <w:rsid w:val="00311CC8"/>
    <w:rsid w:val="00312021"/>
    <w:rsid w:val="00313321"/>
    <w:rsid w:val="003143B2"/>
    <w:rsid w:val="00315FDD"/>
    <w:rsid w:val="00317013"/>
    <w:rsid w:val="00320F21"/>
    <w:rsid w:val="0032491B"/>
    <w:rsid w:val="00327CF4"/>
    <w:rsid w:val="00327FE6"/>
    <w:rsid w:val="0033297F"/>
    <w:rsid w:val="00335F52"/>
    <w:rsid w:val="00342595"/>
    <w:rsid w:val="00344765"/>
    <w:rsid w:val="0034670C"/>
    <w:rsid w:val="00347367"/>
    <w:rsid w:val="0036140B"/>
    <w:rsid w:val="0038173E"/>
    <w:rsid w:val="003826C8"/>
    <w:rsid w:val="00382724"/>
    <w:rsid w:val="003829BC"/>
    <w:rsid w:val="003848CD"/>
    <w:rsid w:val="003872CB"/>
    <w:rsid w:val="003909C9"/>
    <w:rsid w:val="00391528"/>
    <w:rsid w:val="0039618A"/>
    <w:rsid w:val="003979F5"/>
    <w:rsid w:val="003A0633"/>
    <w:rsid w:val="003A1382"/>
    <w:rsid w:val="003A4234"/>
    <w:rsid w:val="003B24B4"/>
    <w:rsid w:val="003B56DD"/>
    <w:rsid w:val="003C1C56"/>
    <w:rsid w:val="003C5E1C"/>
    <w:rsid w:val="003C765A"/>
    <w:rsid w:val="003D0090"/>
    <w:rsid w:val="003D08D8"/>
    <w:rsid w:val="003D1EF7"/>
    <w:rsid w:val="003D2E60"/>
    <w:rsid w:val="003E0EE4"/>
    <w:rsid w:val="003E1299"/>
    <w:rsid w:val="003E2585"/>
    <w:rsid w:val="003E55C0"/>
    <w:rsid w:val="003E5B9A"/>
    <w:rsid w:val="003E5F94"/>
    <w:rsid w:val="003F0D05"/>
    <w:rsid w:val="003F1B8D"/>
    <w:rsid w:val="00404881"/>
    <w:rsid w:val="00405C3D"/>
    <w:rsid w:val="00411066"/>
    <w:rsid w:val="00412287"/>
    <w:rsid w:val="00412AB2"/>
    <w:rsid w:val="00417C2E"/>
    <w:rsid w:val="004222C9"/>
    <w:rsid w:val="0042391D"/>
    <w:rsid w:val="0042521D"/>
    <w:rsid w:val="00425ABF"/>
    <w:rsid w:val="00427649"/>
    <w:rsid w:val="00435365"/>
    <w:rsid w:val="00441168"/>
    <w:rsid w:val="00442160"/>
    <w:rsid w:val="00445F7C"/>
    <w:rsid w:val="00447491"/>
    <w:rsid w:val="00452049"/>
    <w:rsid w:val="00452952"/>
    <w:rsid w:val="0045545F"/>
    <w:rsid w:val="0045636B"/>
    <w:rsid w:val="004620E8"/>
    <w:rsid w:val="004637B7"/>
    <w:rsid w:val="00464945"/>
    <w:rsid w:val="0046689D"/>
    <w:rsid w:val="00471901"/>
    <w:rsid w:val="00481DC7"/>
    <w:rsid w:val="00484C0D"/>
    <w:rsid w:val="004863C4"/>
    <w:rsid w:val="00487008"/>
    <w:rsid w:val="004924DA"/>
    <w:rsid w:val="00493430"/>
    <w:rsid w:val="00494CFA"/>
    <w:rsid w:val="004977DC"/>
    <w:rsid w:val="004A1D0B"/>
    <w:rsid w:val="004A1E63"/>
    <w:rsid w:val="004A367D"/>
    <w:rsid w:val="004A745A"/>
    <w:rsid w:val="004A7843"/>
    <w:rsid w:val="004B347B"/>
    <w:rsid w:val="004B4566"/>
    <w:rsid w:val="004B63BC"/>
    <w:rsid w:val="004B7370"/>
    <w:rsid w:val="004C0473"/>
    <w:rsid w:val="004C4AE8"/>
    <w:rsid w:val="004D13DD"/>
    <w:rsid w:val="004D370C"/>
    <w:rsid w:val="004D42AE"/>
    <w:rsid w:val="004D74E2"/>
    <w:rsid w:val="004E238C"/>
    <w:rsid w:val="004E2F9D"/>
    <w:rsid w:val="004E43C1"/>
    <w:rsid w:val="004E5302"/>
    <w:rsid w:val="004F1265"/>
    <w:rsid w:val="004F1863"/>
    <w:rsid w:val="004F54E4"/>
    <w:rsid w:val="004F572D"/>
    <w:rsid w:val="004F6848"/>
    <w:rsid w:val="00500BC3"/>
    <w:rsid w:val="005067FB"/>
    <w:rsid w:val="005118BE"/>
    <w:rsid w:val="00515755"/>
    <w:rsid w:val="00515F4D"/>
    <w:rsid w:val="0052413A"/>
    <w:rsid w:val="005260DD"/>
    <w:rsid w:val="00526207"/>
    <w:rsid w:val="00531940"/>
    <w:rsid w:val="00535915"/>
    <w:rsid w:val="00535F7A"/>
    <w:rsid w:val="00541055"/>
    <w:rsid w:val="00544514"/>
    <w:rsid w:val="0054528C"/>
    <w:rsid w:val="005472A3"/>
    <w:rsid w:val="0055247E"/>
    <w:rsid w:val="00554311"/>
    <w:rsid w:val="00554785"/>
    <w:rsid w:val="0056317F"/>
    <w:rsid w:val="00566F64"/>
    <w:rsid w:val="0057700C"/>
    <w:rsid w:val="00577603"/>
    <w:rsid w:val="005800D8"/>
    <w:rsid w:val="00587720"/>
    <w:rsid w:val="00591962"/>
    <w:rsid w:val="005947FA"/>
    <w:rsid w:val="005973E1"/>
    <w:rsid w:val="005A16AD"/>
    <w:rsid w:val="005A2D54"/>
    <w:rsid w:val="005A4519"/>
    <w:rsid w:val="005A5012"/>
    <w:rsid w:val="005A6770"/>
    <w:rsid w:val="005B2B86"/>
    <w:rsid w:val="005B39F0"/>
    <w:rsid w:val="005B53B0"/>
    <w:rsid w:val="005C151C"/>
    <w:rsid w:val="005C3974"/>
    <w:rsid w:val="005D0C73"/>
    <w:rsid w:val="005D0F4D"/>
    <w:rsid w:val="005D186B"/>
    <w:rsid w:val="005D49EA"/>
    <w:rsid w:val="005D53AE"/>
    <w:rsid w:val="005D6611"/>
    <w:rsid w:val="005E0CD3"/>
    <w:rsid w:val="005E2645"/>
    <w:rsid w:val="005E53AD"/>
    <w:rsid w:val="005F1B5C"/>
    <w:rsid w:val="005F566D"/>
    <w:rsid w:val="0060035F"/>
    <w:rsid w:val="00603416"/>
    <w:rsid w:val="00603D91"/>
    <w:rsid w:val="00607F92"/>
    <w:rsid w:val="00617A1B"/>
    <w:rsid w:val="00621244"/>
    <w:rsid w:val="0062316D"/>
    <w:rsid w:val="0062367A"/>
    <w:rsid w:val="00624943"/>
    <w:rsid w:val="00630FC4"/>
    <w:rsid w:val="00640355"/>
    <w:rsid w:val="00641154"/>
    <w:rsid w:val="00642D35"/>
    <w:rsid w:val="00643715"/>
    <w:rsid w:val="00643DE1"/>
    <w:rsid w:val="00651E04"/>
    <w:rsid w:val="00652E87"/>
    <w:rsid w:val="00654330"/>
    <w:rsid w:val="00655F6E"/>
    <w:rsid w:val="00656795"/>
    <w:rsid w:val="006575F3"/>
    <w:rsid w:val="006576D9"/>
    <w:rsid w:val="0066010F"/>
    <w:rsid w:val="006603E8"/>
    <w:rsid w:val="00660A1A"/>
    <w:rsid w:val="00660FEA"/>
    <w:rsid w:val="00662E9A"/>
    <w:rsid w:val="00672FEC"/>
    <w:rsid w:val="0067577C"/>
    <w:rsid w:val="00687E77"/>
    <w:rsid w:val="006934FF"/>
    <w:rsid w:val="00694A51"/>
    <w:rsid w:val="0069585B"/>
    <w:rsid w:val="006A10E5"/>
    <w:rsid w:val="006A1640"/>
    <w:rsid w:val="006A4BB0"/>
    <w:rsid w:val="006A718A"/>
    <w:rsid w:val="006A7DC3"/>
    <w:rsid w:val="006B4FB6"/>
    <w:rsid w:val="006B5E01"/>
    <w:rsid w:val="006B62B0"/>
    <w:rsid w:val="006B7406"/>
    <w:rsid w:val="006B7589"/>
    <w:rsid w:val="006C0307"/>
    <w:rsid w:val="006C2A0A"/>
    <w:rsid w:val="006D0076"/>
    <w:rsid w:val="006D2C45"/>
    <w:rsid w:val="006D6D23"/>
    <w:rsid w:val="006E7822"/>
    <w:rsid w:val="006F10F6"/>
    <w:rsid w:val="006F3B53"/>
    <w:rsid w:val="006F4F98"/>
    <w:rsid w:val="006F78F2"/>
    <w:rsid w:val="007017F7"/>
    <w:rsid w:val="007030FA"/>
    <w:rsid w:val="0070430F"/>
    <w:rsid w:val="00704883"/>
    <w:rsid w:val="00707362"/>
    <w:rsid w:val="00711BBF"/>
    <w:rsid w:val="00716CD4"/>
    <w:rsid w:val="00720E5F"/>
    <w:rsid w:val="00721422"/>
    <w:rsid w:val="00723846"/>
    <w:rsid w:val="0073084A"/>
    <w:rsid w:val="00731DC7"/>
    <w:rsid w:val="00734777"/>
    <w:rsid w:val="007413F8"/>
    <w:rsid w:val="00741A41"/>
    <w:rsid w:val="00743978"/>
    <w:rsid w:val="0074464A"/>
    <w:rsid w:val="00745CAD"/>
    <w:rsid w:val="007510D6"/>
    <w:rsid w:val="00754269"/>
    <w:rsid w:val="0075573E"/>
    <w:rsid w:val="007561C0"/>
    <w:rsid w:val="007626FD"/>
    <w:rsid w:val="00764F50"/>
    <w:rsid w:val="00772891"/>
    <w:rsid w:val="0077431C"/>
    <w:rsid w:val="0077714D"/>
    <w:rsid w:val="007819DC"/>
    <w:rsid w:val="007822F9"/>
    <w:rsid w:val="007833A7"/>
    <w:rsid w:val="007834BC"/>
    <w:rsid w:val="00783E3E"/>
    <w:rsid w:val="00785804"/>
    <w:rsid w:val="007905D2"/>
    <w:rsid w:val="0079089A"/>
    <w:rsid w:val="00790B30"/>
    <w:rsid w:val="007A3A70"/>
    <w:rsid w:val="007A6658"/>
    <w:rsid w:val="007B2273"/>
    <w:rsid w:val="007B3492"/>
    <w:rsid w:val="007B67B0"/>
    <w:rsid w:val="007C4208"/>
    <w:rsid w:val="007C479F"/>
    <w:rsid w:val="007C54EE"/>
    <w:rsid w:val="007D66DC"/>
    <w:rsid w:val="007E19DB"/>
    <w:rsid w:val="007F4633"/>
    <w:rsid w:val="007F5B1A"/>
    <w:rsid w:val="00801D98"/>
    <w:rsid w:val="00801F0B"/>
    <w:rsid w:val="00804264"/>
    <w:rsid w:val="00806C85"/>
    <w:rsid w:val="00810468"/>
    <w:rsid w:val="00810B3A"/>
    <w:rsid w:val="0081267E"/>
    <w:rsid w:val="00816596"/>
    <w:rsid w:val="00820CF5"/>
    <w:rsid w:val="00834A72"/>
    <w:rsid w:val="008350B5"/>
    <w:rsid w:val="00844446"/>
    <w:rsid w:val="00852DEA"/>
    <w:rsid w:val="008547A9"/>
    <w:rsid w:val="0085559D"/>
    <w:rsid w:val="00857142"/>
    <w:rsid w:val="00857285"/>
    <w:rsid w:val="00862B51"/>
    <w:rsid w:val="00865307"/>
    <w:rsid w:val="00866077"/>
    <w:rsid w:val="00866FBB"/>
    <w:rsid w:val="00870922"/>
    <w:rsid w:val="00871FEE"/>
    <w:rsid w:val="00875AE4"/>
    <w:rsid w:val="0087604A"/>
    <w:rsid w:val="00876509"/>
    <w:rsid w:val="00881011"/>
    <w:rsid w:val="00887F77"/>
    <w:rsid w:val="0089287B"/>
    <w:rsid w:val="0089487C"/>
    <w:rsid w:val="00895326"/>
    <w:rsid w:val="00896DCC"/>
    <w:rsid w:val="008A045F"/>
    <w:rsid w:val="008A4FF9"/>
    <w:rsid w:val="008A63AD"/>
    <w:rsid w:val="008B05F0"/>
    <w:rsid w:val="008B30F8"/>
    <w:rsid w:val="008B41C5"/>
    <w:rsid w:val="008B6CA6"/>
    <w:rsid w:val="008C11D9"/>
    <w:rsid w:val="008D05A1"/>
    <w:rsid w:val="008D1425"/>
    <w:rsid w:val="008D28C1"/>
    <w:rsid w:val="008D48B4"/>
    <w:rsid w:val="008D7312"/>
    <w:rsid w:val="008E0064"/>
    <w:rsid w:val="008E7938"/>
    <w:rsid w:val="008F18C7"/>
    <w:rsid w:val="008F73B4"/>
    <w:rsid w:val="0090187D"/>
    <w:rsid w:val="00904121"/>
    <w:rsid w:val="00906D18"/>
    <w:rsid w:val="009077A1"/>
    <w:rsid w:val="0091111F"/>
    <w:rsid w:val="009154F6"/>
    <w:rsid w:val="00933D74"/>
    <w:rsid w:val="009350CF"/>
    <w:rsid w:val="00936408"/>
    <w:rsid w:val="00937757"/>
    <w:rsid w:val="00940045"/>
    <w:rsid w:val="00941C63"/>
    <w:rsid w:val="009420A3"/>
    <w:rsid w:val="00942C10"/>
    <w:rsid w:val="0094659F"/>
    <w:rsid w:val="00946709"/>
    <w:rsid w:val="00947732"/>
    <w:rsid w:val="00950FF6"/>
    <w:rsid w:val="009515AF"/>
    <w:rsid w:val="00953084"/>
    <w:rsid w:val="0095312D"/>
    <w:rsid w:val="009533FF"/>
    <w:rsid w:val="00954144"/>
    <w:rsid w:val="009556C4"/>
    <w:rsid w:val="00955702"/>
    <w:rsid w:val="00955C03"/>
    <w:rsid w:val="0095770C"/>
    <w:rsid w:val="009643C4"/>
    <w:rsid w:val="0096484F"/>
    <w:rsid w:val="00964DE2"/>
    <w:rsid w:val="00966E68"/>
    <w:rsid w:val="00967640"/>
    <w:rsid w:val="0097408E"/>
    <w:rsid w:val="00980C4D"/>
    <w:rsid w:val="00984FE3"/>
    <w:rsid w:val="00985FF2"/>
    <w:rsid w:val="00986CA0"/>
    <w:rsid w:val="009915E5"/>
    <w:rsid w:val="00991F57"/>
    <w:rsid w:val="00996328"/>
    <w:rsid w:val="00996487"/>
    <w:rsid w:val="009964AA"/>
    <w:rsid w:val="00997745"/>
    <w:rsid w:val="009A1682"/>
    <w:rsid w:val="009B3401"/>
    <w:rsid w:val="009C688A"/>
    <w:rsid w:val="009C694A"/>
    <w:rsid w:val="009C70F2"/>
    <w:rsid w:val="009C74AC"/>
    <w:rsid w:val="009C7DC3"/>
    <w:rsid w:val="009D0644"/>
    <w:rsid w:val="009D1091"/>
    <w:rsid w:val="009D2265"/>
    <w:rsid w:val="009D33DA"/>
    <w:rsid w:val="009D3EAE"/>
    <w:rsid w:val="009D5529"/>
    <w:rsid w:val="009E2F44"/>
    <w:rsid w:val="009E3C0C"/>
    <w:rsid w:val="009E567C"/>
    <w:rsid w:val="009E5FD6"/>
    <w:rsid w:val="009F1369"/>
    <w:rsid w:val="009F6968"/>
    <w:rsid w:val="00A07E83"/>
    <w:rsid w:val="00A14664"/>
    <w:rsid w:val="00A14BE6"/>
    <w:rsid w:val="00A1530D"/>
    <w:rsid w:val="00A208DF"/>
    <w:rsid w:val="00A208F2"/>
    <w:rsid w:val="00A228E6"/>
    <w:rsid w:val="00A2639F"/>
    <w:rsid w:val="00A303F6"/>
    <w:rsid w:val="00A420E5"/>
    <w:rsid w:val="00A42B33"/>
    <w:rsid w:val="00A45AF2"/>
    <w:rsid w:val="00A47161"/>
    <w:rsid w:val="00A5392B"/>
    <w:rsid w:val="00A54EC8"/>
    <w:rsid w:val="00A55543"/>
    <w:rsid w:val="00A613A0"/>
    <w:rsid w:val="00A63713"/>
    <w:rsid w:val="00A65A4D"/>
    <w:rsid w:val="00A67C16"/>
    <w:rsid w:val="00A72C1E"/>
    <w:rsid w:val="00A81E0F"/>
    <w:rsid w:val="00A91242"/>
    <w:rsid w:val="00A91481"/>
    <w:rsid w:val="00A91ABF"/>
    <w:rsid w:val="00A94F01"/>
    <w:rsid w:val="00A95B8A"/>
    <w:rsid w:val="00A95BF3"/>
    <w:rsid w:val="00A96A00"/>
    <w:rsid w:val="00A9768E"/>
    <w:rsid w:val="00AA2355"/>
    <w:rsid w:val="00AA3262"/>
    <w:rsid w:val="00AA57F0"/>
    <w:rsid w:val="00AB05C8"/>
    <w:rsid w:val="00AB0957"/>
    <w:rsid w:val="00AB5D55"/>
    <w:rsid w:val="00AB64EE"/>
    <w:rsid w:val="00AC7E37"/>
    <w:rsid w:val="00AD1631"/>
    <w:rsid w:val="00AE053A"/>
    <w:rsid w:val="00AE2673"/>
    <w:rsid w:val="00AE3460"/>
    <w:rsid w:val="00AE3654"/>
    <w:rsid w:val="00AE3EBC"/>
    <w:rsid w:val="00AF2A11"/>
    <w:rsid w:val="00AF2A1E"/>
    <w:rsid w:val="00AF35BC"/>
    <w:rsid w:val="00AF47BE"/>
    <w:rsid w:val="00AF7591"/>
    <w:rsid w:val="00B038DB"/>
    <w:rsid w:val="00B05B0D"/>
    <w:rsid w:val="00B10E58"/>
    <w:rsid w:val="00B12069"/>
    <w:rsid w:val="00B128D2"/>
    <w:rsid w:val="00B13B0D"/>
    <w:rsid w:val="00B20E3C"/>
    <w:rsid w:val="00B24FD2"/>
    <w:rsid w:val="00B2676B"/>
    <w:rsid w:val="00B27520"/>
    <w:rsid w:val="00B27C5B"/>
    <w:rsid w:val="00B328F3"/>
    <w:rsid w:val="00B351AA"/>
    <w:rsid w:val="00B37533"/>
    <w:rsid w:val="00B40276"/>
    <w:rsid w:val="00B40331"/>
    <w:rsid w:val="00B41453"/>
    <w:rsid w:val="00B47FAD"/>
    <w:rsid w:val="00B536F7"/>
    <w:rsid w:val="00B55ABF"/>
    <w:rsid w:val="00B56381"/>
    <w:rsid w:val="00B6019A"/>
    <w:rsid w:val="00B62809"/>
    <w:rsid w:val="00B63888"/>
    <w:rsid w:val="00B6413B"/>
    <w:rsid w:val="00B64C4B"/>
    <w:rsid w:val="00B73231"/>
    <w:rsid w:val="00B73ACE"/>
    <w:rsid w:val="00B74B2B"/>
    <w:rsid w:val="00B81A31"/>
    <w:rsid w:val="00B820CB"/>
    <w:rsid w:val="00B8276C"/>
    <w:rsid w:val="00B855F1"/>
    <w:rsid w:val="00B85AF4"/>
    <w:rsid w:val="00B860B5"/>
    <w:rsid w:val="00B92AA4"/>
    <w:rsid w:val="00B92B29"/>
    <w:rsid w:val="00B9380E"/>
    <w:rsid w:val="00B93A86"/>
    <w:rsid w:val="00B95E42"/>
    <w:rsid w:val="00BA0DD0"/>
    <w:rsid w:val="00BA1087"/>
    <w:rsid w:val="00BA10BE"/>
    <w:rsid w:val="00BA2DED"/>
    <w:rsid w:val="00BA50C5"/>
    <w:rsid w:val="00BA6034"/>
    <w:rsid w:val="00BA7480"/>
    <w:rsid w:val="00BB217F"/>
    <w:rsid w:val="00BB3799"/>
    <w:rsid w:val="00BB4E34"/>
    <w:rsid w:val="00BB7AD3"/>
    <w:rsid w:val="00BC1DD0"/>
    <w:rsid w:val="00BC2B1F"/>
    <w:rsid w:val="00BC52AA"/>
    <w:rsid w:val="00BD501B"/>
    <w:rsid w:val="00BD6427"/>
    <w:rsid w:val="00BE55BA"/>
    <w:rsid w:val="00BE6210"/>
    <w:rsid w:val="00C03DE2"/>
    <w:rsid w:val="00C0526C"/>
    <w:rsid w:val="00C07912"/>
    <w:rsid w:val="00C10E58"/>
    <w:rsid w:val="00C174BA"/>
    <w:rsid w:val="00C233D7"/>
    <w:rsid w:val="00C25CA6"/>
    <w:rsid w:val="00C307E6"/>
    <w:rsid w:val="00C31089"/>
    <w:rsid w:val="00C313C1"/>
    <w:rsid w:val="00C3197E"/>
    <w:rsid w:val="00C41A9F"/>
    <w:rsid w:val="00C423D9"/>
    <w:rsid w:val="00C42F00"/>
    <w:rsid w:val="00C46458"/>
    <w:rsid w:val="00C52070"/>
    <w:rsid w:val="00C55C35"/>
    <w:rsid w:val="00C57FC4"/>
    <w:rsid w:val="00C612B6"/>
    <w:rsid w:val="00C638B9"/>
    <w:rsid w:val="00C64C47"/>
    <w:rsid w:val="00C70DBC"/>
    <w:rsid w:val="00C80CD4"/>
    <w:rsid w:val="00C80FB4"/>
    <w:rsid w:val="00C8370A"/>
    <w:rsid w:val="00C87366"/>
    <w:rsid w:val="00C92768"/>
    <w:rsid w:val="00C951E8"/>
    <w:rsid w:val="00C95949"/>
    <w:rsid w:val="00CA11C8"/>
    <w:rsid w:val="00CA6C31"/>
    <w:rsid w:val="00CC19C3"/>
    <w:rsid w:val="00CC5EE4"/>
    <w:rsid w:val="00CD01AD"/>
    <w:rsid w:val="00CD2FD3"/>
    <w:rsid w:val="00CE5F9C"/>
    <w:rsid w:val="00CE7A7A"/>
    <w:rsid w:val="00CF2B6D"/>
    <w:rsid w:val="00CF6536"/>
    <w:rsid w:val="00D00B48"/>
    <w:rsid w:val="00D02BC6"/>
    <w:rsid w:val="00D054C8"/>
    <w:rsid w:val="00D05CAD"/>
    <w:rsid w:val="00D06BEB"/>
    <w:rsid w:val="00D1212B"/>
    <w:rsid w:val="00D17E2C"/>
    <w:rsid w:val="00D2232D"/>
    <w:rsid w:val="00D26891"/>
    <w:rsid w:val="00D26AB5"/>
    <w:rsid w:val="00D30108"/>
    <w:rsid w:val="00D32D00"/>
    <w:rsid w:val="00D35684"/>
    <w:rsid w:val="00D35FA6"/>
    <w:rsid w:val="00D37CC5"/>
    <w:rsid w:val="00D431A1"/>
    <w:rsid w:val="00D449C5"/>
    <w:rsid w:val="00D55519"/>
    <w:rsid w:val="00D5552A"/>
    <w:rsid w:val="00D6263B"/>
    <w:rsid w:val="00D62A46"/>
    <w:rsid w:val="00D639E4"/>
    <w:rsid w:val="00D71058"/>
    <w:rsid w:val="00D75C39"/>
    <w:rsid w:val="00D846B2"/>
    <w:rsid w:val="00D861C4"/>
    <w:rsid w:val="00D900CE"/>
    <w:rsid w:val="00D935FB"/>
    <w:rsid w:val="00D961A5"/>
    <w:rsid w:val="00DA2FFD"/>
    <w:rsid w:val="00DA3342"/>
    <w:rsid w:val="00DA3F1A"/>
    <w:rsid w:val="00DA47CB"/>
    <w:rsid w:val="00DA5B75"/>
    <w:rsid w:val="00DA643E"/>
    <w:rsid w:val="00DA75CD"/>
    <w:rsid w:val="00DB1D7F"/>
    <w:rsid w:val="00DB7B29"/>
    <w:rsid w:val="00DC25C0"/>
    <w:rsid w:val="00DC2F2C"/>
    <w:rsid w:val="00DC6163"/>
    <w:rsid w:val="00DC7E93"/>
    <w:rsid w:val="00DD2EBA"/>
    <w:rsid w:val="00DD4E41"/>
    <w:rsid w:val="00DE383B"/>
    <w:rsid w:val="00DE7D83"/>
    <w:rsid w:val="00DF0F38"/>
    <w:rsid w:val="00DF1A10"/>
    <w:rsid w:val="00DF3723"/>
    <w:rsid w:val="00DF3B65"/>
    <w:rsid w:val="00DF5880"/>
    <w:rsid w:val="00DF59BB"/>
    <w:rsid w:val="00DF5A41"/>
    <w:rsid w:val="00E02549"/>
    <w:rsid w:val="00E10361"/>
    <w:rsid w:val="00E16F19"/>
    <w:rsid w:val="00E415FD"/>
    <w:rsid w:val="00E5193F"/>
    <w:rsid w:val="00E51D74"/>
    <w:rsid w:val="00E55BA6"/>
    <w:rsid w:val="00E57770"/>
    <w:rsid w:val="00E60FEC"/>
    <w:rsid w:val="00E63165"/>
    <w:rsid w:val="00E73E6C"/>
    <w:rsid w:val="00E7430E"/>
    <w:rsid w:val="00E8237E"/>
    <w:rsid w:val="00E83C73"/>
    <w:rsid w:val="00E87FC4"/>
    <w:rsid w:val="00E92937"/>
    <w:rsid w:val="00E951D3"/>
    <w:rsid w:val="00E97E52"/>
    <w:rsid w:val="00EA01EA"/>
    <w:rsid w:val="00EA61B6"/>
    <w:rsid w:val="00EB2751"/>
    <w:rsid w:val="00EB3B66"/>
    <w:rsid w:val="00EB3E71"/>
    <w:rsid w:val="00EB5DAA"/>
    <w:rsid w:val="00EC087B"/>
    <w:rsid w:val="00EC329A"/>
    <w:rsid w:val="00EC3CFB"/>
    <w:rsid w:val="00ED7BFC"/>
    <w:rsid w:val="00EE25FD"/>
    <w:rsid w:val="00EE5651"/>
    <w:rsid w:val="00EF081F"/>
    <w:rsid w:val="00EF306F"/>
    <w:rsid w:val="00EF3250"/>
    <w:rsid w:val="00EF5570"/>
    <w:rsid w:val="00EF59B8"/>
    <w:rsid w:val="00EF6596"/>
    <w:rsid w:val="00F00339"/>
    <w:rsid w:val="00F0647C"/>
    <w:rsid w:val="00F07BB1"/>
    <w:rsid w:val="00F13FD9"/>
    <w:rsid w:val="00F14FEA"/>
    <w:rsid w:val="00F17A57"/>
    <w:rsid w:val="00F2337A"/>
    <w:rsid w:val="00F270CF"/>
    <w:rsid w:val="00F3144D"/>
    <w:rsid w:val="00F3234B"/>
    <w:rsid w:val="00F34E3E"/>
    <w:rsid w:val="00F36A82"/>
    <w:rsid w:val="00F375E4"/>
    <w:rsid w:val="00F46E13"/>
    <w:rsid w:val="00F46EDA"/>
    <w:rsid w:val="00F561A1"/>
    <w:rsid w:val="00F6103B"/>
    <w:rsid w:val="00F64177"/>
    <w:rsid w:val="00F65533"/>
    <w:rsid w:val="00F66821"/>
    <w:rsid w:val="00F7354F"/>
    <w:rsid w:val="00F74FFC"/>
    <w:rsid w:val="00F755A4"/>
    <w:rsid w:val="00F813FD"/>
    <w:rsid w:val="00F9172C"/>
    <w:rsid w:val="00F92FBD"/>
    <w:rsid w:val="00F94C1E"/>
    <w:rsid w:val="00F94C84"/>
    <w:rsid w:val="00FA4E28"/>
    <w:rsid w:val="00FA5B8F"/>
    <w:rsid w:val="00FA7830"/>
    <w:rsid w:val="00FB3CC5"/>
    <w:rsid w:val="00FB4DBF"/>
    <w:rsid w:val="00FC547A"/>
    <w:rsid w:val="00FC6274"/>
    <w:rsid w:val="00FC6A02"/>
    <w:rsid w:val="00FD1EEB"/>
    <w:rsid w:val="00FD5F32"/>
    <w:rsid w:val="00FD7979"/>
    <w:rsid w:val="00FE1FD3"/>
    <w:rsid w:val="00FE25D5"/>
    <w:rsid w:val="00FE3741"/>
    <w:rsid w:val="00FF4229"/>
    <w:rsid w:val="156AAECB"/>
    <w:rsid w:val="1D9F169E"/>
    <w:rsid w:val="2E510A1B"/>
    <w:rsid w:val="32D58B31"/>
    <w:rsid w:val="503CF93E"/>
    <w:rsid w:val="529423B1"/>
    <w:rsid w:val="52DD9005"/>
    <w:rsid w:val="6744A51D"/>
    <w:rsid w:val="6D5BC7DA"/>
    <w:rsid w:val="6DD9A6F7"/>
    <w:rsid w:val="78405CF7"/>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0187F02"/>
  <w15:docId w15:val="{FB3B5554-2D45-4F79-812C-2587F92A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F92"/>
    <w:rPr>
      <w:sz w:val="24"/>
      <w:szCs w:val="24"/>
    </w:rPr>
  </w:style>
  <w:style w:type="paragraph" w:styleId="Heading1">
    <w:name w:val="heading 1"/>
    <w:basedOn w:val="Normal"/>
    <w:link w:val="Heading1Char"/>
    <w:uiPriority w:val="9"/>
    <w:qFormat/>
    <w:rsid w:val="00816596"/>
    <w:pPr>
      <w:widowControl w:val="0"/>
      <w:autoSpaceDE w:val="0"/>
      <w:autoSpaceDN w:val="0"/>
      <w:ind w:left="58"/>
      <w:jc w:val="center"/>
      <w:outlineLvl w:val="0"/>
    </w:pPr>
    <w:rPr>
      <w:rFonts w:ascii="Arial" w:eastAsia="Arial" w:hAnsi="Arial" w:cs="Arial"/>
      <w:b/>
      <w:bCs/>
      <w:sz w:val="23"/>
      <w:szCs w:val="23"/>
      <w:lang w:val="en-US" w:eastAsia="en-US"/>
    </w:rPr>
  </w:style>
  <w:style w:type="paragraph" w:styleId="Heading6">
    <w:name w:val="heading 6"/>
    <w:basedOn w:val="Normal"/>
    <w:next w:val="Normal"/>
    <w:link w:val="Heading6Char"/>
    <w:uiPriority w:val="9"/>
    <w:semiHidden/>
    <w:unhideWhenUsed/>
    <w:qFormat/>
    <w:rsid w:val="00C638B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93430"/>
    <w:rPr>
      <w:rFonts w:ascii="Tahoma" w:hAnsi="Tahoma" w:cs="Tahoma"/>
      <w:sz w:val="16"/>
      <w:szCs w:val="16"/>
    </w:rPr>
  </w:style>
  <w:style w:type="paragraph" w:customStyle="1" w:styleId="indenta">
    <w:name w:val="indent(a)"/>
    <w:aliases w:val="a"/>
    <w:basedOn w:val="Normal"/>
    <w:rsid w:val="00A95B8A"/>
    <w:pPr>
      <w:tabs>
        <w:tab w:val="right" w:pos="1531"/>
      </w:tabs>
      <w:spacing w:before="40" w:line="260" w:lineRule="atLeast"/>
      <w:ind w:left="1644" w:hanging="1644"/>
    </w:pPr>
    <w:rPr>
      <w:rFonts w:ascii="Times" w:hAnsi="Times"/>
      <w:sz w:val="22"/>
      <w:szCs w:val="20"/>
      <w:lang w:eastAsia="en-US"/>
    </w:rPr>
  </w:style>
  <w:style w:type="character" w:customStyle="1" w:styleId="CharSectno">
    <w:name w:val="CharSectno"/>
    <w:basedOn w:val="DefaultParagraphFont"/>
    <w:rsid w:val="00A95B8A"/>
  </w:style>
  <w:style w:type="paragraph" w:styleId="BodyText">
    <w:name w:val="Body Text"/>
    <w:basedOn w:val="Normal"/>
    <w:rsid w:val="000D2050"/>
    <w:pPr>
      <w:autoSpaceDE w:val="0"/>
      <w:autoSpaceDN w:val="0"/>
      <w:spacing w:after="120"/>
      <w:jc w:val="both"/>
    </w:pPr>
    <w:rPr>
      <w:sz w:val="26"/>
      <w:szCs w:val="26"/>
    </w:rPr>
  </w:style>
  <w:style w:type="character" w:styleId="CommentReference">
    <w:name w:val="annotation reference"/>
    <w:basedOn w:val="DefaultParagraphFont"/>
    <w:uiPriority w:val="99"/>
    <w:semiHidden/>
    <w:rsid w:val="00447491"/>
    <w:rPr>
      <w:sz w:val="16"/>
      <w:szCs w:val="16"/>
    </w:rPr>
  </w:style>
  <w:style w:type="paragraph" w:styleId="CommentText">
    <w:name w:val="annotation text"/>
    <w:basedOn w:val="Normal"/>
    <w:link w:val="CommentTextChar"/>
    <w:uiPriority w:val="99"/>
    <w:rsid w:val="00447491"/>
    <w:rPr>
      <w:sz w:val="20"/>
      <w:szCs w:val="20"/>
    </w:rPr>
  </w:style>
  <w:style w:type="paragraph" w:styleId="CommentSubject">
    <w:name w:val="annotation subject"/>
    <w:basedOn w:val="CommentText"/>
    <w:next w:val="CommentText"/>
    <w:link w:val="CommentSubjectChar"/>
    <w:uiPriority w:val="99"/>
    <w:semiHidden/>
    <w:rsid w:val="00447491"/>
    <w:rPr>
      <w:b/>
      <w:bCs/>
    </w:rPr>
  </w:style>
  <w:style w:type="paragraph" w:customStyle="1" w:styleId="ACMABodyText">
    <w:name w:val="ACMA Body Text"/>
    <w:link w:val="ACMABodyTextChar"/>
    <w:rsid w:val="00D5552A"/>
    <w:pPr>
      <w:suppressAutoHyphens/>
      <w:spacing w:before="80" w:after="120" w:line="280" w:lineRule="atLeast"/>
    </w:pPr>
    <w:rPr>
      <w:snapToGrid w:val="0"/>
      <w:sz w:val="24"/>
      <w:lang w:eastAsia="en-US"/>
    </w:rPr>
  </w:style>
  <w:style w:type="character" w:customStyle="1" w:styleId="ACMABodyTextChar">
    <w:name w:val="ACMA Body Text Char"/>
    <w:basedOn w:val="DefaultParagraphFont"/>
    <w:link w:val="ACMABodyText"/>
    <w:rsid w:val="00D5552A"/>
    <w:rPr>
      <w:snapToGrid w:val="0"/>
      <w:sz w:val="24"/>
      <w:lang w:val="en-AU" w:eastAsia="en-US" w:bidi="ar-SA"/>
    </w:rPr>
  </w:style>
  <w:style w:type="paragraph" w:customStyle="1" w:styleId="ACMAHeading3">
    <w:name w:val="ACMA Heading 3"/>
    <w:next w:val="ACMABodyText"/>
    <w:link w:val="ACMAHeading3Char"/>
    <w:rsid w:val="00554311"/>
    <w:pPr>
      <w:keepNext/>
      <w:suppressAutoHyphens/>
      <w:spacing w:before="240"/>
      <w:outlineLvl w:val="3"/>
    </w:pPr>
    <w:rPr>
      <w:rFonts w:ascii="Arial" w:hAnsi="Arial"/>
      <w:b/>
      <w:sz w:val="24"/>
      <w:lang w:val="en-US" w:eastAsia="en-US"/>
    </w:rPr>
  </w:style>
  <w:style w:type="character" w:customStyle="1" w:styleId="ACMAHeading3Char">
    <w:name w:val="ACMA Heading 3 Char"/>
    <w:basedOn w:val="DefaultParagraphFont"/>
    <w:link w:val="ACMAHeading3"/>
    <w:rsid w:val="00554311"/>
    <w:rPr>
      <w:rFonts w:ascii="Arial" w:hAnsi="Arial"/>
      <w:b/>
      <w:sz w:val="24"/>
      <w:lang w:val="en-US" w:eastAsia="en-US" w:bidi="ar-SA"/>
    </w:rPr>
  </w:style>
  <w:style w:type="paragraph" w:customStyle="1" w:styleId="R1">
    <w:name w:val="R1"/>
    <w:aliases w:val="1. or 1.(1)"/>
    <w:basedOn w:val="Normal"/>
    <w:next w:val="Normal"/>
    <w:rsid w:val="00986CA0"/>
    <w:pPr>
      <w:keepLines/>
      <w:tabs>
        <w:tab w:val="right" w:pos="794"/>
      </w:tabs>
      <w:spacing w:before="120" w:line="260" w:lineRule="exact"/>
      <w:ind w:left="964" w:hanging="964"/>
      <w:jc w:val="both"/>
    </w:pPr>
  </w:style>
  <w:style w:type="paragraph" w:customStyle="1" w:styleId="P1">
    <w:name w:val="P1"/>
    <w:aliases w:val="(a)"/>
    <w:basedOn w:val="Normal"/>
    <w:rsid w:val="00B860B5"/>
    <w:pPr>
      <w:tabs>
        <w:tab w:val="right" w:pos="1191"/>
      </w:tabs>
      <w:spacing w:before="60" w:line="260" w:lineRule="exact"/>
      <w:ind w:left="1418" w:hanging="1418"/>
      <w:jc w:val="both"/>
    </w:pPr>
  </w:style>
  <w:style w:type="paragraph" w:customStyle="1" w:styleId="ZR2">
    <w:name w:val="ZR2"/>
    <w:basedOn w:val="Normal"/>
    <w:rsid w:val="00B860B5"/>
    <w:pPr>
      <w:keepNext/>
      <w:keepLines/>
      <w:tabs>
        <w:tab w:val="right" w:pos="794"/>
      </w:tabs>
      <w:spacing w:before="180" w:line="260" w:lineRule="exact"/>
      <w:ind w:left="964" w:hanging="964"/>
      <w:jc w:val="both"/>
    </w:pPr>
  </w:style>
  <w:style w:type="paragraph" w:customStyle="1" w:styleId="P2">
    <w:name w:val="P2"/>
    <w:aliases w:val="(i)"/>
    <w:basedOn w:val="Normal"/>
    <w:rsid w:val="00B860B5"/>
    <w:pPr>
      <w:tabs>
        <w:tab w:val="right" w:pos="1758"/>
        <w:tab w:val="left" w:pos="2155"/>
      </w:tabs>
      <w:spacing w:before="60" w:line="260" w:lineRule="exact"/>
      <w:ind w:left="1985" w:hanging="1985"/>
      <w:jc w:val="both"/>
    </w:pPr>
  </w:style>
  <w:style w:type="paragraph" w:customStyle="1" w:styleId="ZP1">
    <w:name w:val="ZP1"/>
    <w:basedOn w:val="P1"/>
    <w:rsid w:val="00B860B5"/>
    <w:pPr>
      <w:keepNext/>
    </w:pPr>
  </w:style>
  <w:style w:type="paragraph" w:customStyle="1" w:styleId="ZR1">
    <w:name w:val="ZR1"/>
    <w:basedOn w:val="R1"/>
    <w:rsid w:val="00B860B5"/>
    <w:pPr>
      <w:keepNext/>
    </w:pPr>
  </w:style>
  <w:style w:type="paragraph" w:customStyle="1" w:styleId="TableText">
    <w:name w:val="TableText"/>
    <w:basedOn w:val="Normal"/>
    <w:rsid w:val="00C80FB4"/>
    <w:pPr>
      <w:spacing w:before="60" w:after="60" w:line="240" w:lineRule="exact"/>
    </w:pPr>
    <w:rPr>
      <w:sz w:val="22"/>
    </w:rPr>
  </w:style>
  <w:style w:type="paragraph" w:styleId="Footer">
    <w:name w:val="footer"/>
    <w:basedOn w:val="Normal"/>
    <w:link w:val="FooterChar"/>
    <w:uiPriority w:val="99"/>
    <w:rsid w:val="00C80FB4"/>
    <w:pPr>
      <w:tabs>
        <w:tab w:val="center" w:pos="4153"/>
        <w:tab w:val="right" w:pos="8306"/>
      </w:tabs>
    </w:pPr>
  </w:style>
  <w:style w:type="character" w:styleId="PageNumber">
    <w:name w:val="page number"/>
    <w:basedOn w:val="DefaultParagraphFont"/>
    <w:rsid w:val="00C80FB4"/>
  </w:style>
  <w:style w:type="paragraph" w:customStyle="1" w:styleId="Zdefinition">
    <w:name w:val="Zdefinition"/>
    <w:basedOn w:val="Normal"/>
    <w:rsid w:val="004D42AE"/>
    <w:pPr>
      <w:keepNext/>
      <w:spacing w:before="80" w:line="260" w:lineRule="exact"/>
      <w:ind w:left="964"/>
      <w:jc w:val="both"/>
    </w:pPr>
  </w:style>
  <w:style w:type="character" w:customStyle="1" w:styleId="ACMABodyTextCharChar">
    <w:name w:val="ACMA Body Text Char Char"/>
    <w:basedOn w:val="DefaultParagraphFont"/>
    <w:rsid w:val="002A21DD"/>
    <w:rPr>
      <w:snapToGrid w:val="0"/>
      <w:sz w:val="24"/>
      <w:lang w:val="en-AU" w:eastAsia="en-US" w:bidi="ar-SA"/>
    </w:rPr>
  </w:style>
  <w:style w:type="character" w:styleId="Hyperlink">
    <w:name w:val="Hyperlink"/>
    <w:basedOn w:val="DefaultParagraphFont"/>
    <w:uiPriority w:val="99"/>
    <w:unhideWhenUsed/>
    <w:rsid w:val="003848CD"/>
    <w:rPr>
      <w:color w:val="0000FF"/>
      <w:u w:val="single"/>
    </w:rPr>
  </w:style>
  <w:style w:type="paragraph" w:customStyle="1" w:styleId="A2">
    <w:name w:val="A2"/>
    <w:aliases w:val="1.1 amendment,Instruction amendment"/>
    <w:basedOn w:val="Normal"/>
    <w:next w:val="Normal"/>
    <w:rsid w:val="00183989"/>
    <w:pPr>
      <w:tabs>
        <w:tab w:val="right" w:pos="794"/>
      </w:tabs>
      <w:spacing w:before="120" w:line="260" w:lineRule="exact"/>
      <w:ind w:left="964" w:hanging="964"/>
      <w:jc w:val="both"/>
    </w:pPr>
  </w:style>
  <w:style w:type="paragraph" w:styleId="Header">
    <w:name w:val="header"/>
    <w:basedOn w:val="Normal"/>
    <w:link w:val="HeaderChar"/>
    <w:uiPriority w:val="99"/>
    <w:unhideWhenUsed/>
    <w:rsid w:val="005E0CD3"/>
    <w:pPr>
      <w:tabs>
        <w:tab w:val="center" w:pos="4513"/>
        <w:tab w:val="right" w:pos="9026"/>
      </w:tabs>
    </w:pPr>
  </w:style>
  <w:style w:type="character" w:customStyle="1" w:styleId="HeaderChar">
    <w:name w:val="Header Char"/>
    <w:basedOn w:val="DefaultParagraphFont"/>
    <w:link w:val="Header"/>
    <w:uiPriority w:val="99"/>
    <w:rsid w:val="005E0CD3"/>
    <w:rPr>
      <w:sz w:val="24"/>
      <w:szCs w:val="24"/>
    </w:rPr>
  </w:style>
  <w:style w:type="character" w:customStyle="1" w:styleId="FooterChar">
    <w:name w:val="Footer Char"/>
    <w:basedOn w:val="DefaultParagraphFont"/>
    <w:link w:val="Footer"/>
    <w:uiPriority w:val="99"/>
    <w:rsid w:val="006C0307"/>
    <w:rPr>
      <w:sz w:val="24"/>
      <w:szCs w:val="24"/>
    </w:rPr>
  </w:style>
  <w:style w:type="character" w:customStyle="1" w:styleId="BalloonTextChar">
    <w:name w:val="Balloon Text Char"/>
    <w:basedOn w:val="DefaultParagraphFont"/>
    <w:link w:val="BalloonText"/>
    <w:uiPriority w:val="99"/>
    <w:semiHidden/>
    <w:rsid w:val="006C0307"/>
    <w:rPr>
      <w:rFonts w:ascii="Tahoma" w:hAnsi="Tahoma" w:cs="Tahoma"/>
      <w:sz w:val="16"/>
      <w:szCs w:val="16"/>
    </w:rPr>
  </w:style>
  <w:style w:type="character" w:customStyle="1" w:styleId="CommentTextChar">
    <w:name w:val="Comment Text Char"/>
    <w:basedOn w:val="DefaultParagraphFont"/>
    <w:link w:val="CommentText"/>
    <w:uiPriority w:val="99"/>
    <w:rsid w:val="006C0307"/>
  </w:style>
  <w:style w:type="character" w:customStyle="1" w:styleId="CommentSubjectChar">
    <w:name w:val="Comment Subject Char"/>
    <w:basedOn w:val="CommentTextChar"/>
    <w:link w:val="CommentSubject"/>
    <w:uiPriority w:val="99"/>
    <w:semiHidden/>
    <w:rsid w:val="006C0307"/>
    <w:rPr>
      <w:b/>
      <w:bCs/>
    </w:rPr>
  </w:style>
  <w:style w:type="paragraph" w:styleId="Revision">
    <w:name w:val="Revision"/>
    <w:hidden/>
    <w:uiPriority w:val="99"/>
    <w:semiHidden/>
    <w:rsid w:val="006C0307"/>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6C0307"/>
    <w:pPr>
      <w:spacing w:line="240" w:lineRule="atLeast"/>
      <w:ind w:left="720"/>
      <w:contextualSpacing/>
    </w:pPr>
    <w:rPr>
      <w:rFonts w:ascii="HelveticaNeueLT Std Lt" w:hAnsi="HelveticaNeueLT Std Lt"/>
      <w:sz w:val="20"/>
    </w:rPr>
  </w:style>
  <w:style w:type="paragraph" w:styleId="FootnoteText">
    <w:name w:val="footnote text"/>
    <w:basedOn w:val="Normal"/>
    <w:link w:val="FootnoteTextChar"/>
    <w:uiPriority w:val="99"/>
    <w:semiHidden/>
    <w:unhideWhenUsed/>
    <w:rsid w:val="006C0307"/>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6C0307"/>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6C0307"/>
    <w:rPr>
      <w:vertAlign w:val="superscript"/>
    </w:rPr>
  </w:style>
  <w:style w:type="paragraph" w:customStyle="1" w:styleId="definition">
    <w:name w:val="definition"/>
    <w:basedOn w:val="Normal"/>
    <w:rsid w:val="00E73E6C"/>
    <w:pPr>
      <w:spacing w:before="80" w:line="260" w:lineRule="exact"/>
      <w:ind w:left="964"/>
      <w:jc w:val="both"/>
    </w:pPr>
    <w:rPr>
      <w:szCs w:val="20"/>
    </w:rPr>
  </w:style>
  <w:style w:type="character" w:customStyle="1" w:styleId="Heading1Char">
    <w:name w:val="Heading 1 Char"/>
    <w:basedOn w:val="DefaultParagraphFont"/>
    <w:link w:val="Heading1"/>
    <w:uiPriority w:val="9"/>
    <w:rsid w:val="00816596"/>
    <w:rPr>
      <w:rFonts w:ascii="Arial" w:eastAsia="Arial" w:hAnsi="Arial" w:cs="Arial"/>
      <w:b/>
      <w:bCs/>
      <w:sz w:val="23"/>
      <w:szCs w:val="23"/>
      <w:lang w:val="en-US" w:eastAsia="en-US"/>
    </w:rPr>
  </w:style>
  <w:style w:type="paragraph" w:customStyle="1" w:styleId="Paragraph">
    <w:name w:val="Paragraph"/>
    <w:basedOn w:val="Normal"/>
    <w:qFormat/>
    <w:rsid w:val="006934FF"/>
    <w:pPr>
      <w:spacing w:after="240" w:line="240" w:lineRule="atLeast"/>
    </w:pPr>
    <w:rPr>
      <w:rFonts w:ascii="Arial" w:hAnsi="Arial" w:cs="Arial"/>
      <w:sz w:val="20"/>
    </w:rPr>
  </w:style>
  <w:style w:type="character" w:customStyle="1" w:styleId="Heading6Char">
    <w:name w:val="Heading 6 Char"/>
    <w:basedOn w:val="DefaultParagraphFont"/>
    <w:link w:val="Heading6"/>
    <w:uiPriority w:val="9"/>
    <w:semiHidden/>
    <w:rsid w:val="00C638B9"/>
    <w:rPr>
      <w:rFonts w:asciiTheme="majorHAnsi" w:eastAsiaTheme="majorEastAsia" w:hAnsiTheme="majorHAnsi" w:cstheme="majorBidi"/>
      <w:color w:val="243F60" w:themeColor="accent1" w:themeShade="7F"/>
      <w:sz w:val="24"/>
      <w:szCs w:val="24"/>
    </w:rPr>
  </w:style>
  <w:style w:type="paragraph" w:customStyle="1" w:styleId="subsection">
    <w:name w:val="subsection"/>
    <w:basedOn w:val="Normal"/>
    <w:rsid w:val="006B7406"/>
    <w:pPr>
      <w:spacing w:before="100" w:beforeAutospacing="1" w:after="100" w:afterAutospacing="1"/>
    </w:pPr>
  </w:style>
  <w:style w:type="paragraph" w:customStyle="1" w:styleId="paragraph0">
    <w:name w:val="paragraph"/>
    <w:basedOn w:val="Normal"/>
    <w:rsid w:val="006B7406"/>
    <w:pPr>
      <w:spacing w:before="100" w:beforeAutospacing="1" w:after="100" w:afterAutospacing="1"/>
    </w:pPr>
  </w:style>
  <w:style w:type="paragraph" w:customStyle="1" w:styleId="paragraphsub">
    <w:name w:val="paragraphsub"/>
    <w:basedOn w:val="Normal"/>
    <w:rsid w:val="006B7406"/>
    <w:pPr>
      <w:spacing w:before="100" w:beforeAutospacing="1" w:after="100" w:afterAutospacing="1"/>
    </w:pPr>
  </w:style>
  <w:style w:type="character" w:styleId="Strong">
    <w:name w:val="Strong"/>
    <w:basedOn w:val="DefaultParagraphFont"/>
    <w:uiPriority w:val="22"/>
    <w:qFormat/>
    <w:rsid w:val="00A2639F"/>
    <w:rPr>
      <w:b/>
      <w:bCs/>
      <w:color w:val="auto"/>
    </w:rPr>
  </w:style>
  <w:style w:type="character" w:styleId="Emphasis">
    <w:name w:val="Emphasis"/>
    <w:basedOn w:val="DefaultParagraphFont"/>
    <w:uiPriority w:val="20"/>
    <w:qFormat/>
    <w:rsid w:val="00EE5651"/>
    <w:rPr>
      <w:i/>
      <w:iCs/>
      <w:color w:val="auto"/>
    </w:rPr>
  </w:style>
  <w:style w:type="paragraph" w:customStyle="1" w:styleId="Definition0">
    <w:name w:val="Definition"/>
    <w:aliases w:val="dd"/>
    <w:basedOn w:val="Normal"/>
    <w:rsid w:val="008C11D9"/>
    <w:pPr>
      <w:spacing w:before="180"/>
      <w:ind w:left="1134"/>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60570">
      <w:bodyDiv w:val="1"/>
      <w:marLeft w:val="0"/>
      <w:marRight w:val="0"/>
      <w:marTop w:val="0"/>
      <w:marBottom w:val="0"/>
      <w:divBdr>
        <w:top w:val="none" w:sz="0" w:space="0" w:color="auto"/>
        <w:left w:val="none" w:sz="0" w:space="0" w:color="auto"/>
        <w:bottom w:val="none" w:sz="0" w:space="0" w:color="auto"/>
        <w:right w:val="none" w:sz="0" w:space="0" w:color="auto"/>
      </w:divBdr>
      <w:divsChild>
        <w:div w:id="204568633">
          <w:marLeft w:val="0"/>
          <w:marRight w:val="0"/>
          <w:marTop w:val="0"/>
          <w:marBottom w:val="0"/>
          <w:divBdr>
            <w:top w:val="none" w:sz="0" w:space="0" w:color="auto"/>
            <w:left w:val="none" w:sz="0" w:space="0" w:color="auto"/>
            <w:bottom w:val="none" w:sz="0" w:space="0" w:color="auto"/>
            <w:right w:val="none" w:sz="0" w:space="0" w:color="auto"/>
          </w:divBdr>
        </w:div>
        <w:div w:id="1259369839">
          <w:marLeft w:val="0"/>
          <w:marRight w:val="0"/>
          <w:marTop w:val="0"/>
          <w:marBottom w:val="0"/>
          <w:divBdr>
            <w:top w:val="none" w:sz="0" w:space="0" w:color="auto"/>
            <w:left w:val="none" w:sz="0" w:space="0" w:color="auto"/>
            <w:bottom w:val="none" w:sz="0" w:space="0" w:color="auto"/>
            <w:right w:val="none" w:sz="0" w:space="0" w:color="auto"/>
          </w:divBdr>
        </w:div>
        <w:div w:id="1584412226">
          <w:marLeft w:val="0"/>
          <w:marRight w:val="0"/>
          <w:marTop w:val="0"/>
          <w:marBottom w:val="0"/>
          <w:divBdr>
            <w:top w:val="none" w:sz="0" w:space="0" w:color="auto"/>
            <w:left w:val="none" w:sz="0" w:space="0" w:color="auto"/>
            <w:bottom w:val="none" w:sz="0" w:space="0" w:color="auto"/>
            <w:right w:val="none" w:sz="0" w:space="0" w:color="auto"/>
          </w:divBdr>
        </w:div>
      </w:divsChild>
    </w:div>
    <w:div w:id="657271992">
      <w:bodyDiv w:val="1"/>
      <w:marLeft w:val="0"/>
      <w:marRight w:val="0"/>
      <w:marTop w:val="0"/>
      <w:marBottom w:val="0"/>
      <w:divBdr>
        <w:top w:val="none" w:sz="0" w:space="0" w:color="auto"/>
        <w:left w:val="none" w:sz="0" w:space="0" w:color="auto"/>
        <w:bottom w:val="none" w:sz="0" w:space="0" w:color="auto"/>
        <w:right w:val="none" w:sz="0" w:space="0" w:color="auto"/>
      </w:divBdr>
    </w:div>
    <w:div w:id="734818114">
      <w:bodyDiv w:val="1"/>
      <w:marLeft w:val="0"/>
      <w:marRight w:val="0"/>
      <w:marTop w:val="0"/>
      <w:marBottom w:val="0"/>
      <w:divBdr>
        <w:top w:val="none" w:sz="0" w:space="0" w:color="auto"/>
        <w:left w:val="none" w:sz="0" w:space="0" w:color="auto"/>
        <w:bottom w:val="none" w:sz="0" w:space="0" w:color="auto"/>
        <w:right w:val="none" w:sz="0" w:space="0" w:color="auto"/>
      </w:divBdr>
    </w:div>
    <w:div w:id="868374134">
      <w:bodyDiv w:val="1"/>
      <w:marLeft w:val="0"/>
      <w:marRight w:val="0"/>
      <w:marTop w:val="0"/>
      <w:marBottom w:val="0"/>
      <w:divBdr>
        <w:top w:val="none" w:sz="0" w:space="0" w:color="auto"/>
        <w:left w:val="none" w:sz="0" w:space="0" w:color="auto"/>
        <w:bottom w:val="none" w:sz="0" w:space="0" w:color="auto"/>
        <w:right w:val="none" w:sz="0" w:space="0" w:color="auto"/>
      </w:divBdr>
      <w:divsChild>
        <w:div w:id="69695292">
          <w:marLeft w:val="0"/>
          <w:marRight w:val="0"/>
          <w:marTop w:val="0"/>
          <w:marBottom w:val="0"/>
          <w:divBdr>
            <w:top w:val="none" w:sz="0" w:space="0" w:color="auto"/>
            <w:left w:val="none" w:sz="0" w:space="0" w:color="auto"/>
            <w:bottom w:val="none" w:sz="0" w:space="0" w:color="auto"/>
            <w:right w:val="none" w:sz="0" w:space="0" w:color="auto"/>
          </w:divBdr>
        </w:div>
        <w:div w:id="658272163">
          <w:marLeft w:val="0"/>
          <w:marRight w:val="0"/>
          <w:marTop w:val="0"/>
          <w:marBottom w:val="0"/>
          <w:divBdr>
            <w:top w:val="none" w:sz="0" w:space="0" w:color="auto"/>
            <w:left w:val="none" w:sz="0" w:space="0" w:color="auto"/>
            <w:bottom w:val="none" w:sz="0" w:space="0" w:color="auto"/>
            <w:right w:val="none" w:sz="0" w:space="0" w:color="auto"/>
          </w:divBdr>
        </w:div>
        <w:div w:id="1451364057">
          <w:marLeft w:val="0"/>
          <w:marRight w:val="0"/>
          <w:marTop w:val="0"/>
          <w:marBottom w:val="0"/>
          <w:divBdr>
            <w:top w:val="none" w:sz="0" w:space="0" w:color="auto"/>
            <w:left w:val="none" w:sz="0" w:space="0" w:color="auto"/>
            <w:bottom w:val="none" w:sz="0" w:space="0" w:color="auto"/>
            <w:right w:val="none" w:sz="0" w:space="0" w:color="auto"/>
          </w:divBdr>
        </w:div>
      </w:divsChild>
    </w:div>
    <w:div w:id="1472557418">
      <w:bodyDiv w:val="1"/>
      <w:marLeft w:val="0"/>
      <w:marRight w:val="0"/>
      <w:marTop w:val="0"/>
      <w:marBottom w:val="0"/>
      <w:divBdr>
        <w:top w:val="none" w:sz="0" w:space="0" w:color="auto"/>
        <w:left w:val="none" w:sz="0" w:space="0" w:color="auto"/>
        <w:bottom w:val="none" w:sz="0" w:space="0" w:color="auto"/>
        <w:right w:val="none" w:sz="0" w:space="0" w:color="auto"/>
      </w:divBdr>
    </w:div>
    <w:div w:id="1643583590">
      <w:bodyDiv w:val="1"/>
      <w:marLeft w:val="0"/>
      <w:marRight w:val="0"/>
      <w:marTop w:val="0"/>
      <w:marBottom w:val="0"/>
      <w:divBdr>
        <w:top w:val="none" w:sz="0" w:space="0" w:color="auto"/>
        <w:left w:val="none" w:sz="0" w:space="0" w:color="auto"/>
        <w:bottom w:val="none" w:sz="0" w:space="0" w:color="auto"/>
        <w:right w:val="none" w:sz="0" w:space="0" w:color="auto"/>
      </w:divBdr>
    </w:div>
    <w:div w:id="1784881802">
      <w:bodyDiv w:val="1"/>
      <w:marLeft w:val="0"/>
      <w:marRight w:val="0"/>
      <w:marTop w:val="0"/>
      <w:marBottom w:val="0"/>
      <w:divBdr>
        <w:top w:val="none" w:sz="0" w:space="0" w:color="auto"/>
        <w:left w:val="none" w:sz="0" w:space="0" w:color="auto"/>
        <w:bottom w:val="none" w:sz="0" w:space="0" w:color="auto"/>
        <w:right w:val="none" w:sz="0" w:space="0" w:color="auto"/>
      </w:divBdr>
      <w:divsChild>
        <w:div w:id="1886604673">
          <w:marLeft w:val="0"/>
          <w:marRight w:val="0"/>
          <w:marTop w:val="0"/>
          <w:marBottom w:val="0"/>
          <w:divBdr>
            <w:top w:val="none" w:sz="0" w:space="0" w:color="auto"/>
            <w:left w:val="none" w:sz="0" w:space="0" w:color="auto"/>
            <w:bottom w:val="none" w:sz="0" w:space="0" w:color="auto"/>
            <w:right w:val="none" w:sz="0" w:space="0" w:color="auto"/>
          </w:divBdr>
          <w:divsChild>
            <w:div w:id="705561586">
              <w:marLeft w:val="0"/>
              <w:marRight w:val="0"/>
              <w:marTop w:val="0"/>
              <w:marBottom w:val="0"/>
              <w:divBdr>
                <w:top w:val="none" w:sz="0" w:space="0" w:color="auto"/>
                <w:left w:val="none" w:sz="0" w:space="0" w:color="auto"/>
                <w:bottom w:val="none" w:sz="0" w:space="0" w:color="auto"/>
                <w:right w:val="none" w:sz="0" w:space="0" w:color="auto"/>
              </w:divBdr>
              <w:divsChild>
                <w:div w:id="979843107">
                  <w:marLeft w:val="0"/>
                  <w:marRight w:val="0"/>
                  <w:marTop w:val="0"/>
                  <w:marBottom w:val="0"/>
                  <w:divBdr>
                    <w:top w:val="none" w:sz="0" w:space="0" w:color="auto"/>
                    <w:left w:val="none" w:sz="0" w:space="0" w:color="auto"/>
                    <w:bottom w:val="none" w:sz="0" w:space="0" w:color="auto"/>
                    <w:right w:val="none" w:sz="0" w:space="0" w:color="auto"/>
                  </w:divBdr>
                  <w:divsChild>
                    <w:div w:id="483665684">
                      <w:marLeft w:val="0"/>
                      <w:marRight w:val="0"/>
                      <w:marTop w:val="0"/>
                      <w:marBottom w:val="0"/>
                      <w:divBdr>
                        <w:top w:val="none" w:sz="0" w:space="0" w:color="auto"/>
                        <w:left w:val="none" w:sz="0" w:space="0" w:color="auto"/>
                        <w:bottom w:val="none" w:sz="0" w:space="0" w:color="auto"/>
                        <w:right w:val="none" w:sz="0" w:space="0" w:color="auto"/>
                      </w:divBdr>
                      <w:divsChild>
                        <w:div w:id="12346245">
                          <w:marLeft w:val="0"/>
                          <w:marRight w:val="0"/>
                          <w:marTop w:val="0"/>
                          <w:marBottom w:val="0"/>
                          <w:divBdr>
                            <w:top w:val="single" w:sz="6" w:space="0" w:color="828282"/>
                            <w:left w:val="single" w:sz="6" w:space="0" w:color="828282"/>
                            <w:bottom w:val="single" w:sz="6" w:space="0" w:color="828282"/>
                            <w:right w:val="single" w:sz="6" w:space="0" w:color="828282"/>
                          </w:divBdr>
                          <w:divsChild>
                            <w:div w:id="639698954">
                              <w:marLeft w:val="0"/>
                              <w:marRight w:val="0"/>
                              <w:marTop w:val="0"/>
                              <w:marBottom w:val="0"/>
                              <w:divBdr>
                                <w:top w:val="none" w:sz="0" w:space="0" w:color="auto"/>
                                <w:left w:val="none" w:sz="0" w:space="0" w:color="auto"/>
                                <w:bottom w:val="none" w:sz="0" w:space="0" w:color="auto"/>
                                <w:right w:val="none" w:sz="0" w:space="0" w:color="auto"/>
                              </w:divBdr>
                              <w:divsChild>
                                <w:div w:id="781418482">
                                  <w:marLeft w:val="0"/>
                                  <w:marRight w:val="0"/>
                                  <w:marTop w:val="0"/>
                                  <w:marBottom w:val="0"/>
                                  <w:divBdr>
                                    <w:top w:val="none" w:sz="0" w:space="0" w:color="auto"/>
                                    <w:left w:val="none" w:sz="0" w:space="0" w:color="auto"/>
                                    <w:bottom w:val="none" w:sz="0" w:space="0" w:color="auto"/>
                                    <w:right w:val="none" w:sz="0" w:space="0" w:color="auto"/>
                                  </w:divBdr>
                                  <w:divsChild>
                                    <w:div w:id="104229001">
                                      <w:marLeft w:val="0"/>
                                      <w:marRight w:val="0"/>
                                      <w:marTop w:val="0"/>
                                      <w:marBottom w:val="0"/>
                                      <w:divBdr>
                                        <w:top w:val="none" w:sz="0" w:space="0" w:color="auto"/>
                                        <w:left w:val="none" w:sz="0" w:space="0" w:color="auto"/>
                                        <w:bottom w:val="none" w:sz="0" w:space="0" w:color="auto"/>
                                        <w:right w:val="none" w:sz="0" w:space="0" w:color="auto"/>
                                      </w:divBdr>
                                      <w:divsChild>
                                        <w:div w:id="1353803503">
                                          <w:marLeft w:val="0"/>
                                          <w:marRight w:val="0"/>
                                          <w:marTop w:val="0"/>
                                          <w:marBottom w:val="0"/>
                                          <w:divBdr>
                                            <w:top w:val="none" w:sz="0" w:space="0" w:color="auto"/>
                                            <w:left w:val="none" w:sz="0" w:space="0" w:color="auto"/>
                                            <w:bottom w:val="none" w:sz="0" w:space="0" w:color="auto"/>
                                            <w:right w:val="none" w:sz="0" w:space="0" w:color="auto"/>
                                          </w:divBdr>
                                          <w:divsChild>
                                            <w:div w:id="2013877096">
                                              <w:marLeft w:val="0"/>
                                              <w:marRight w:val="0"/>
                                              <w:marTop w:val="0"/>
                                              <w:marBottom w:val="0"/>
                                              <w:divBdr>
                                                <w:top w:val="none" w:sz="0" w:space="0" w:color="auto"/>
                                                <w:left w:val="none" w:sz="0" w:space="0" w:color="auto"/>
                                                <w:bottom w:val="none" w:sz="0" w:space="0" w:color="auto"/>
                                                <w:right w:val="none" w:sz="0" w:space="0" w:color="auto"/>
                                              </w:divBdr>
                                              <w:divsChild>
                                                <w:div w:id="18374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76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78be941eded01edea086d18b2bd06645">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c8414b6a4308c208e658ce9fe121cb36"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13BE86-5BAA-4350-A844-4F10CBDBF916}">
  <ds:schemaRefs>
    <ds:schemaRef ds:uri="http://schemas.microsoft.com/sharepoint/v3/contenttype/forms"/>
  </ds:schemaRefs>
</ds:datastoreItem>
</file>

<file path=customXml/itemProps2.xml><?xml version="1.0" encoding="utf-8"?>
<ds:datastoreItem xmlns:ds="http://schemas.openxmlformats.org/officeDocument/2006/customXml" ds:itemID="{96CA3F08-B6DE-4156-8E1A-360344FBA5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9E54E1-C1F4-4C9C-9B1F-2F11185C3BBC}">
  <ds:schemaRefs>
    <ds:schemaRef ds:uri="http://schemas.openxmlformats.org/officeDocument/2006/bibliography"/>
  </ds:schemaRefs>
</ds:datastoreItem>
</file>

<file path=customXml/itemProps4.xml><?xml version="1.0" encoding="utf-8"?>
<ds:datastoreItem xmlns:ds="http://schemas.openxmlformats.org/officeDocument/2006/customXml" ds:itemID="{AE03EB7A-5F09-4BDA-BFFD-4CBE92EF7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1585</Words>
  <Characters>9241</Characters>
  <Application>Microsoft Office Word</Application>
  <DocSecurity>4</DocSecurity>
  <Lines>225</Lines>
  <Paragraphs>154</Paragraphs>
  <ScaleCrop>false</ScaleCrop>
  <Company>Australian Communications and Media Authority</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crobert</dc:creator>
  <cp:keywords/>
  <dc:description/>
  <cp:lastModifiedBy>Graeme McDonald</cp:lastModifiedBy>
  <cp:revision>2</cp:revision>
  <cp:lastPrinted>2025-02-05T05:26:00Z</cp:lastPrinted>
  <dcterms:created xsi:type="dcterms:W3CDTF">2025-03-18T04:29:00Z</dcterms:created>
  <dcterms:modified xsi:type="dcterms:W3CDTF">2025-03-18T04:29:00Z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b1aac30a-4e49-4fe8-93aa-26214646978c</vt:lpwstr>
  </property>
  <property fmtid="{D5CDD505-2E9C-101B-9397-08002B2CF9AE}" pid="3" name="ContentTypeId">
    <vt:lpwstr>0x010100D3E2340547FAB445AD8BF03BE8D7D471</vt:lpwstr>
  </property>
  <property fmtid="{D5CDD505-2E9C-101B-9397-08002B2CF9AE}" pid="4" name="RecordPoint_SubmissionDate">
    <vt:lpwstr/>
  </property>
  <property fmtid="{D5CDD505-2E9C-101B-9397-08002B2CF9AE}" pid="5" name="RecordPoint_ActiveItemSiteId">
    <vt:lpwstr>{7ba5f3c1-1ab9-4cc3-a7c0-334d2b0aec73}</vt:lpwstr>
  </property>
  <property fmtid="{D5CDD505-2E9C-101B-9397-08002B2CF9AE}" pid="6" name="RecordPoint_ActiveItemListId">
    <vt:lpwstr>{aa02821a-f0b7-4f59-9c9d-33ae55ea486f}</vt:lpwstr>
  </property>
  <property fmtid="{D5CDD505-2E9C-101B-9397-08002B2CF9AE}" pid="7" name="RecordPoint_ActiveItemMoved">
    <vt:lpwstr/>
  </property>
  <property fmtid="{D5CDD505-2E9C-101B-9397-08002B2CF9AE}" pid="8" name="RecordPoint_SubmissionCompleted">
    <vt:lpwstr>2014-10-08T17:26:16.3987460+11:00</vt:lpwstr>
  </property>
  <property fmtid="{D5CDD505-2E9C-101B-9397-08002B2CF9AE}" pid="9" name="RecordPoint_ActiveItemUniqueId">
    <vt:lpwstr>{b1aac30a-4e49-4fe8-93aa-26214646978c}</vt:lpwstr>
  </property>
  <property fmtid="{D5CDD505-2E9C-101B-9397-08002B2CF9AE}" pid="10" name="RecordPoint_RecordFormat">
    <vt:lpwstr/>
  </property>
  <property fmtid="{D5CDD505-2E9C-101B-9397-08002B2CF9AE}" pid="11" name="RecordPoint_ActiveItemWebId">
    <vt:lpwstr>{e61cc4da-a431-400f-9f48-bf2ba12a7e9a}</vt:lpwstr>
  </property>
  <property fmtid="{D5CDD505-2E9C-101B-9397-08002B2CF9AE}" pid="12" name="RecordPoint_WorkflowType">
    <vt:lpwstr>ActiveSubmitStub</vt:lpwstr>
  </property>
</Properties>
</file>