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547BD46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618636BA" w14:textId="77777777" w:rsidR="00B66F4F" w:rsidRDefault="00B66F4F" w:rsidP="00B66F4F">
      <w:pPr>
        <w:pStyle w:val="ShortT"/>
      </w:pPr>
      <w:r>
        <w:t>Telecommunications (Section of the</w:t>
      </w:r>
    </w:p>
    <w:p w14:paraId="4DAF9F1F" w14:textId="35CC59B8" w:rsidR="00703828" w:rsidRPr="00E318F7" w:rsidRDefault="00B66F4F" w:rsidP="00B66F4F">
      <w:pPr>
        <w:pStyle w:val="ShortT"/>
      </w:pPr>
      <w:r>
        <w:t>Telecommunications Industry – Portability Service Suppliers) Determination 20</w:t>
      </w:r>
      <w:r w:rsidR="00414137">
        <w:t>2</w:t>
      </w:r>
      <w:r>
        <w:t xml:space="preserve">5 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5E687A83" w:rsidR="00703828" w:rsidRPr="001E45EA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B66F4F">
        <w:rPr>
          <w:szCs w:val="22"/>
        </w:rPr>
        <w:t>determination</w:t>
      </w:r>
      <w:r w:rsidR="001E45EA" w:rsidRPr="001E45EA">
        <w:rPr>
          <w:szCs w:val="22"/>
        </w:rPr>
        <w:t xml:space="preserve"> </w:t>
      </w:r>
      <w:r w:rsidR="001E45EA">
        <w:rPr>
          <w:szCs w:val="22"/>
        </w:rPr>
        <w:t xml:space="preserve">under </w:t>
      </w:r>
      <w:r w:rsidR="00FC6BB5">
        <w:t>s</w:t>
      </w:r>
      <w:r w:rsidR="00483BB2">
        <w:t>ubsection</w:t>
      </w:r>
      <w:r w:rsidR="00FC6BB5">
        <w:t xml:space="preserve"> 110(3)</w:t>
      </w:r>
      <w:r w:rsidR="001E45EA">
        <w:t xml:space="preserve"> of the </w:t>
      </w:r>
      <w:r w:rsidR="00FC6BB5">
        <w:rPr>
          <w:i/>
        </w:rPr>
        <w:t>Telecommunications Act 1997</w:t>
      </w:r>
      <w:r w:rsidR="001E45EA">
        <w:t>.</w:t>
      </w:r>
    </w:p>
    <w:p w14:paraId="5E47FA36" w14:textId="0BD28CD6" w:rsidR="00703828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E77D3E">
        <w:rPr>
          <w:rFonts w:ascii="Times New Roman" w:hAnsi="Times New Roman" w:cs="Times New Roman"/>
        </w:rPr>
        <w:t xml:space="preserve"> 21 March 2025</w:t>
      </w:r>
    </w:p>
    <w:p w14:paraId="7B7B69AE" w14:textId="77777777" w:rsidR="00B66F4F" w:rsidRPr="00E318F7" w:rsidRDefault="00B66F4F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</w:p>
    <w:p w14:paraId="7BA69D3F" w14:textId="77777777" w:rsidR="00E77D3E" w:rsidRPr="00E77D3E" w:rsidRDefault="00E77D3E" w:rsidP="00E77D3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  <w:r w:rsidRPr="00E77D3E">
        <w:rPr>
          <w:rFonts w:ascii="Times New Roman" w:eastAsia="Calibri" w:hAnsi="Times New Roman" w:cs="Times New Roman"/>
          <w:szCs w:val="20"/>
        </w:rPr>
        <w:t>Adam Suckling</w:t>
      </w:r>
    </w:p>
    <w:p w14:paraId="41EB8481" w14:textId="77777777" w:rsidR="00E77D3E" w:rsidRPr="00E77D3E" w:rsidRDefault="00E77D3E" w:rsidP="00E77D3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  <w:r w:rsidRPr="00E77D3E">
        <w:rPr>
          <w:rFonts w:ascii="Times New Roman" w:eastAsia="Calibri" w:hAnsi="Times New Roman" w:cs="Times New Roman"/>
          <w:szCs w:val="20"/>
        </w:rPr>
        <w:t>[signed]</w:t>
      </w:r>
    </w:p>
    <w:p w14:paraId="03472434" w14:textId="77777777" w:rsidR="00E77D3E" w:rsidRPr="00E77D3E" w:rsidRDefault="00E77D3E" w:rsidP="00E77D3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  <w:r w:rsidRPr="00E77D3E">
        <w:rPr>
          <w:rFonts w:ascii="Times New Roman" w:eastAsia="Calibri" w:hAnsi="Times New Roman" w:cs="Times New Roman"/>
          <w:szCs w:val="20"/>
        </w:rPr>
        <w:t>Member</w:t>
      </w:r>
      <w:bookmarkStart w:id="1" w:name="Minister"/>
    </w:p>
    <w:p w14:paraId="5B44A279" w14:textId="77777777" w:rsidR="00E77D3E" w:rsidRPr="00E77D3E" w:rsidRDefault="00E77D3E" w:rsidP="00E77D3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</w:p>
    <w:p w14:paraId="7319F604" w14:textId="77777777" w:rsidR="00E77D3E" w:rsidRPr="00E77D3E" w:rsidRDefault="00E77D3E" w:rsidP="00E77D3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  <w:r w:rsidRPr="00E77D3E">
        <w:rPr>
          <w:rFonts w:ascii="Times New Roman" w:eastAsia="Calibri" w:hAnsi="Times New Roman" w:cs="Times New Roman"/>
          <w:szCs w:val="20"/>
        </w:rPr>
        <w:t>Michael Brealey</w:t>
      </w:r>
    </w:p>
    <w:p w14:paraId="45FFE42D" w14:textId="77777777" w:rsidR="00E77D3E" w:rsidRPr="00E77D3E" w:rsidRDefault="00E77D3E" w:rsidP="00E77D3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  <w:r w:rsidRPr="00E77D3E">
        <w:rPr>
          <w:rFonts w:ascii="Times New Roman" w:eastAsia="Calibri" w:hAnsi="Times New Roman" w:cs="Times New Roman"/>
          <w:szCs w:val="20"/>
        </w:rPr>
        <w:t>[signed</w:t>
      </w:r>
    </w:p>
    <w:p w14:paraId="04E15B68" w14:textId="77777777" w:rsidR="00E77D3E" w:rsidRPr="00E77D3E" w:rsidRDefault="00E77D3E" w:rsidP="00E77D3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  <w:r w:rsidRPr="00E77D3E">
        <w:rPr>
          <w:rFonts w:ascii="Times New Roman" w:eastAsia="Calibri" w:hAnsi="Times New Roman" w:cs="Times New Roman"/>
          <w:szCs w:val="20"/>
        </w:rPr>
        <w:t>General Manager</w:t>
      </w:r>
      <w:bookmarkEnd w:id="1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2CCAF103" w14:textId="1C94B45E" w:rsidR="0017734A" w:rsidRPr="003322AF" w:rsidRDefault="00703828" w:rsidP="003322AF">
      <w:pPr>
        <w:pStyle w:val="SignCoverPageEnd"/>
        <w:rPr>
          <w:szCs w:val="22"/>
        </w:rPr>
        <w:sectPr w:rsidR="0017734A" w:rsidRPr="003322AF" w:rsidSect="00C15A8A">
          <w:headerReference w:type="default" r:id="rId12"/>
          <w:footerReference w:type="default" r:id="rId13"/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E318F7">
        <w:rPr>
          <w:szCs w:val="22"/>
        </w:rPr>
        <w:t>Australian Communications and Media Authorit</w:t>
      </w:r>
      <w:r w:rsidR="00EE2715">
        <w:rPr>
          <w:szCs w:val="22"/>
        </w:rPr>
        <w:t>y</w:t>
      </w:r>
    </w:p>
    <w:p w14:paraId="56D83C93" w14:textId="5BF0963F" w:rsidR="00B7359B" w:rsidRPr="000E4886" w:rsidRDefault="00B7359B" w:rsidP="0091792E">
      <w:pPr>
        <w:pStyle w:val="ActHead5"/>
        <w:spacing w:before="0"/>
        <w:ind w:left="0" w:firstLine="0"/>
      </w:pPr>
      <w:bookmarkStart w:id="2" w:name="_Toc444596031"/>
      <w:r w:rsidRPr="008609FB">
        <w:rPr>
          <w:rStyle w:val="CharPartNo"/>
        </w:rPr>
        <w:lastRenderedPageBreak/>
        <w:t>Part 1</w:t>
      </w:r>
      <w:r w:rsidRPr="0091792E">
        <w:rPr>
          <w:sz w:val="32"/>
          <w:szCs w:val="32"/>
        </w:rPr>
        <w:t>—</w:t>
      </w:r>
      <w:r w:rsidRPr="008609FB">
        <w:rPr>
          <w:rStyle w:val="CharPartText"/>
        </w:rPr>
        <w:t>Preliminary</w:t>
      </w:r>
    </w:p>
    <w:p w14:paraId="5B3FCD21" w14:textId="77777777" w:rsidR="00F31EC9" w:rsidRPr="008E3E51" w:rsidRDefault="00F31EC9" w:rsidP="00F31EC9">
      <w:pPr>
        <w:pStyle w:val="ActHead5"/>
      </w:pPr>
      <w:r w:rsidRPr="008E3E51">
        <w:rPr>
          <w:rStyle w:val="CharSectno"/>
        </w:rPr>
        <w:t>1</w:t>
      </w:r>
      <w:r w:rsidRPr="008E3E51">
        <w:t xml:space="preserve">  Name</w:t>
      </w:r>
    </w:p>
    <w:p w14:paraId="39AD4640" w14:textId="0A136C45" w:rsidR="00F31EC9" w:rsidRPr="008E3E51" w:rsidRDefault="00F31EC9" w:rsidP="00F31EC9">
      <w:pPr>
        <w:pStyle w:val="subsection"/>
      </w:pPr>
      <w:r w:rsidRPr="008E3E51">
        <w:tab/>
      </w:r>
      <w:r w:rsidR="00D06CE4">
        <w:tab/>
      </w:r>
      <w:r w:rsidRPr="008E3E51">
        <w:t>This</w:t>
      </w:r>
      <w:r w:rsidR="00E0206A">
        <w:t xml:space="preserve"> </w:t>
      </w:r>
      <w:r w:rsidRPr="008E3E51">
        <w:t xml:space="preserve">is the </w:t>
      </w:r>
      <w:bookmarkStart w:id="3" w:name="BKCheck15B_3"/>
      <w:bookmarkEnd w:id="3"/>
      <w:r w:rsidR="00483BB2" w:rsidRPr="00483BB2">
        <w:rPr>
          <w:i/>
          <w:iCs/>
        </w:rPr>
        <w:t>Telecommunications (Section of the Telecommunications Industry – Portability Service Suppliers) Determination 2025</w:t>
      </w:r>
      <w:r w:rsidR="00483BB2">
        <w:rPr>
          <w:i/>
        </w:rPr>
        <w:t>.</w:t>
      </w:r>
    </w:p>
    <w:p w14:paraId="476CE83B" w14:textId="77777777" w:rsidR="00F31EC9" w:rsidRPr="008E3E51" w:rsidRDefault="00F31EC9" w:rsidP="00F31EC9">
      <w:pPr>
        <w:pStyle w:val="ActHead5"/>
      </w:pPr>
      <w:bookmarkStart w:id="4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</w:p>
    <w:p w14:paraId="3815F740" w14:textId="14B59A24" w:rsidR="00F31EC9" w:rsidRPr="00663541" w:rsidRDefault="00F31EC9" w:rsidP="0095098B">
      <w:pPr>
        <w:pStyle w:val="subsection"/>
        <w:ind w:firstLine="0"/>
      </w:pPr>
      <w:r w:rsidRPr="00663541">
        <w:t xml:space="preserve">This </w:t>
      </w:r>
      <w:r w:rsidR="00581B55">
        <w:t>determination</w:t>
      </w:r>
      <w:r w:rsidRPr="00663541">
        <w:t xml:space="preserve"> commences at the start of the day after</w:t>
      </w:r>
      <w:r w:rsidR="00CA202A" w:rsidRPr="00663541">
        <w:t xml:space="preserve"> the day</w:t>
      </w:r>
      <w:r w:rsidRPr="00663541">
        <w:t xml:space="preserve"> it is registered</w:t>
      </w:r>
      <w:r w:rsidR="00BC30F7" w:rsidRPr="00663541">
        <w:t xml:space="preserve"> on the Federal Register of Legislation</w:t>
      </w:r>
      <w:r w:rsidRPr="00663541">
        <w:t xml:space="preserve">. </w:t>
      </w:r>
    </w:p>
    <w:p w14:paraId="3DBB2798" w14:textId="268F56DA" w:rsidR="00F31EC9" w:rsidRPr="00663541" w:rsidRDefault="00F31EC9" w:rsidP="000F68CC">
      <w:pPr>
        <w:pStyle w:val="LI-BodyTextNote"/>
        <w:spacing w:before="122"/>
        <w:ind w:left="1985" w:hanging="851"/>
      </w:pPr>
      <w:r w:rsidRPr="00663541">
        <w:t>Note:</w:t>
      </w:r>
      <w:r w:rsidRPr="00663541">
        <w:tab/>
      </w:r>
      <w:r w:rsidR="00BC30F7" w:rsidRPr="00663541">
        <w:t>T</w:t>
      </w:r>
      <w:r w:rsidRPr="00663541">
        <w:t xml:space="preserve">he Federal Register of Legislation may be accessed </w:t>
      </w:r>
      <w:r w:rsidR="00592905" w:rsidRPr="00663541">
        <w:t xml:space="preserve">free of charge </w:t>
      </w:r>
      <w:r w:rsidRPr="00663541">
        <w:t xml:space="preserve">at </w:t>
      </w:r>
      <w:bookmarkStart w:id="5" w:name="_Hlk143175925"/>
      <w:r w:rsidR="001C3477" w:rsidRPr="00057A81">
        <w:rPr>
          <w:rFonts w:eastAsiaTheme="majorEastAsia"/>
        </w:rPr>
        <w:t>www.legislation.gov.au</w:t>
      </w:r>
      <w:r w:rsidRPr="00663541">
        <w:t>.</w:t>
      </w:r>
      <w:bookmarkEnd w:id="5"/>
    </w:p>
    <w:p w14:paraId="4FEAC7C9" w14:textId="77777777" w:rsidR="00F31EC9" w:rsidRPr="008E3E51" w:rsidRDefault="00F31EC9" w:rsidP="00F31EC9">
      <w:pPr>
        <w:pStyle w:val="ActHead5"/>
      </w:pPr>
      <w:bookmarkStart w:id="6" w:name="_Toc444596033"/>
      <w:r w:rsidRPr="008E3E51">
        <w:rPr>
          <w:rStyle w:val="CharSectno"/>
        </w:rPr>
        <w:t>3</w:t>
      </w:r>
      <w:r w:rsidRPr="008E3E51">
        <w:t xml:space="preserve">  Authority</w:t>
      </w:r>
      <w:bookmarkEnd w:id="6"/>
    </w:p>
    <w:p w14:paraId="7CFF547D" w14:textId="5A986640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</w:t>
      </w:r>
      <w:r w:rsidR="00581B55">
        <w:t>determination</w:t>
      </w:r>
      <w:r>
        <w:t xml:space="preserve"> is made under </w:t>
      </w:r>
      <w:r w:rsidR="009C7E5A" w:rsidRPr="009C7E5A">
        <w:t xml:space="preserve">subsection 110(3) of the </w:t>
      </w:r>
      <w:r w:rsidR="009C7E5A" w:rsidRPr="00DD37CF">
        <w:rPr>
          <w:i/>
          <w:iCs/>
        </w:rPr>
        <w:t>Telecommunications Act 1997</w:t>
      </w:r>
      <w:r w:rsidR="00DD37CF">
        <w:t>.</w:t>
      </w:r>
    </w:p>
    <w:p w14:paraId="6A5943E2" w14:textId="026C0B5F" w:rsidR="00F31EC9" w:rsidRPr="00D06CE4" w:rsidRDefault="00F31EC9" w:rsidP="00D06CE4">
      <w:pPr>
        <w:pStyle w:val="ActHead5"/>
        <w:spacing w:before="360"/>
        <w:rPr>
          <w:i/>
          <w:iCs/>
        </w:rPr>
      </w:pPr>
      <w:bookmarkStart w:id="7" w:name="_Toc444596034"/>
      <w:r w:rsidRPr="0027056F">
        <w:rPr>
          <w:rStyle w:val="CharSectno"/>
        </w:rPr>
        <w:t>4</w:t>
      </w:r>
      <w:r w:rsidRPr="008E3E51">
        <w:t xml:space="preserve">  </w:t>
      </w:r>
      <w:r w:rsidR="001E45EA">
        <w:t>Repeal</w:t>
      </w:r>
      <w:r w:rsidR="00044E44">
        <w:t xml:space="preserve"> of </w:t>
      </w:r>
      <w:r w:rsidR="000D6066">
        <w:t>the</w:t>
      </w:r>
      <w:r w:rsidR="00D46D11">
        <w:t xml:space="preserve"> </w:t>
      </w:r>
      <w:r w:rsidR="00D46D11" w:rsidRPr="009A262C">
        <w:rPr>
          <w:i/>
          <w:iCs/>
        </w:rPr>
        <w:t>Telecommunications (Section of the Telecommunications Industry</w:t>
      </w:r>
      <w:r w:rsidR="009A262C" w:rsidRPr="009A262C">
        <w:rPr>
          <w:i/>
          <w:iCs/>
        </w:rPr>
        <w:t xml:space="preserve"> –</w:t>
      </w:r>
      <w:r w:rsidR="00D06CE4">
        <w:rPr>
          <w:i/>
          <w:iCs/>
        </w:rPr>
        <w:t xml:space="preserve"> </w:t>
      </w:r>
      <w:r w:rsidR="009A262C" w:rsidRPr="009A262C">
        <w:rPr>
          <w:i/>
          <w:iCs/>
        </w:rPr>
        <w:t>Portability Service Suppliers) Determination 2015</w:t>
      </w:r>
      <w:r w:rsidR="000D6066">
        <w:t xml:space="preserve"> </w:t>
      </w:r>
      <w:r w:rsidR="00D46D11" w:rsidRPr="00D46D11">
        <w:rPr>
          <w:i/>
        </w:rPr>
        <w:t xml:space="preserve"> </w:t>
      </w:r>
    </w:p>
    <w:p w14:paraId="7D8E1455" w14:textId="0CE6FAB1" w:rsidR="00F31EC9" w:rsidRPr="000E4886" w:rsidRDefault="00A32B36" w:rsidP="00C26996">
      <w:pPr>
        <w:pStyle w:val="subsection"/>
      </w:pPr>
      <w:r>
        <w:tab/>
      </w:r>
      <w:r>
        <w:tab/>
      </w:r>
      <w:r w:rsidR="00E618B6">
        <w:t>The</w:t>
      </w:r>
      <w:r w:rsidR="001A2B69">
        <w:t xml:space="preserve"> </w:t>
      </w:r>
      <w:r w:rsidR="00F00098">
        <w:rPr>
          <w:i/>
        </w:rPr>
        <w:t xml:space="preserve">Telecommunications (Section of the Telecommunications Industry </w:t>
      </w:r>
      <w:r w:rsidR="00F00098" w:rsidRPr="009A262C">
        <w:rPr>
          <w:i/>
          <w:iCs/>
        </w:rPr>
        <w:t>–</w:t>
      </w:r>
      <w:r w:rsidR="00F00098">
        <w:rPr>
          <w:i/>
          <w:iCs/>
        </w:rPr>
        <w:t xml:space="preserve"> </w:t>
      </w:r>
      <w:r w:rsidR="00F00098">
        <w:rPr>
          <w:i/>
        </w:rPr>
        <w:t xml:space="preserve">Portability Service Suppliers) Determination 2015 </w:t>
      </w:r>
      <w:r w:rsidR="00DA578C">
        <w:t>(Registration No</w:t>
      </w:r>
      <w:r w:rsidR="00C26996">
        <w:t>. F2015L00292</w:t>
      </w:r>
      <w:r w:rsidR="001E45EA">
        <w:t>)</w:t>
      </w:r>
      <w:r w:rsidR="001A2B69">
        <w:t xml:space="preserve"> is repealed</w:t>
      </w:r>
      <w:r w:rsidR="006437D6">
        <w:t>.</w:t>
      </w:r>
      <w:r w:rsidR="00FB1145">
        <w:t xml:space="preserve"> </w:t>
      </w:r>
    </w:p>
    <w:p w14:paraId="4FBF1CA6" w14:textId="0090CB6C" w:rsidR="00F31EC9" w:rsidRPr="008E3E51" w:rsidRDefault="00891174" w:rsidP="00F31EC9">
      <w:pPr>
        <w:pStyle w:val="ActHead5"/>
      </w:pPr>
      <w:r>
        <w:rPr>
          <w:rStyle w:val="CharSectno"/>
        </w:rPr>
        <w:t>5</w:t>
      </w:r>
      <w:r w:rsidR="00F31EC9" w:rsidRPr="008E3E51">
        <w:t xml:space="preserve">  Definitions</w:t>
      </w:r>
      <w:bookmarkEnd w:id="7"/>
    </w:p>
    <w:p w14:paraId="71BADECC" w14:textId="719C22C8" w:rsidR="00F31EC9" w:rsidRPr="008E3E51" w:rsidRDefault="00D06CE4" w:rsidP="00F31EC9">
      <w:pPr>
        <w:pStyle w:val="subsection"/>
      </w:pPr>
      <w:r>
        <w:tab/>
      </w:r>
      <w:r>
        <w:tab/>
      </w:r>
      <w:r w:rsidR="00F31EC9" w:rsidRPr="008E3E51">
        <w:t>In this instrument:</w:t>
      </w:r>
    </w:p>
    <w:p w14:paraId="2A9C0786" w14:textId="3B3AD10D" w:rsidR="009458E7" w:rsidRDefault="00F31EC9" w:rsidP="009458E7">
      <w:pPr>
        <w:pStyle w:val="Definition"/>
        <w:rPr>
          <w:i/>
        </w:rPr>
      </w:pPr>
      <w:r w:rsidRPr="008E3E51">
        <w:rPr>
          <w:b/>
          <w:i/>
        </w:rPr>
        <w:t>Act</w:t>
      </w:r>
      <w:r>
        <w:t xml:space="preserve"> means</w:t>
      </w:r>
      <w:r w:rsidR="008823E9">
        <w:t xml:space="preserve"> the</w:t>
      </w:r>
      <w:r>
        <w:t xml:space="preserve"> </w:t>
      </w:r>
      <w:r w:rsidR="00F42240" w:rsidRPr="00F42240">
        <w:rPr>
          <w:i/>
        </w:rPr>
        <w:t>Telecommunications Act 1997.</w:t>
      </w:r>
    </w:p>
    <w:p w14:paraId="48D1E637" w14:textId="68454D95" w:rsidR="009458E7" w:rsidRDefault="009458E7" w:rsidP="009458E7">
      <w:pPr>
        <w:pStyle w:val="Definition"/>
      </w:pPr>
      <w:r>
        <w:rPr>
          <w:b/>
          <w:i/>
        </w:rPr>
        <w:t>number portability</w:t>
      </w:r>
      <w:r>
        <w:t xml:space="preserve"> </w:t>
      </w:r>
      <w:r w:rsidR="00337F7E">
        <w:rPr>
          <w:color w:val="000000"/>
          <w:szCs w:val="22"/>
        </w:rPr>
        <w:t>means the right of a customer receiving a service in relation to a portable number to change the carriage service provider involved in providing the service, the carrier network involved in providing the service, or both, and retain the same telephone number</w:t>
      </w:r>
      <w:r>
        <w:t>.</w:t>
      </w:r>
    </w:p>
    <w:p w14:paraId="31268099" w14:textId="49DB8F7D" w:rsidR="00755F1E" w:rsidRDefault="00337F7E" w:rsidP="00D06CE4">
      <w:pPr>
        <w:pStyle w:val="Definition"/>
        <w:tabs>
          <w:tab w:val="left" w:pos="1701"/>
        </w:tabs>
        <w:ind w:left="1700" w:hanging="566"/>
        <w:rPr>
          <w:sz w:val="18"/>
          <w:szCs w:val="16"/>
        </w:rPr>
      </w:pPr>
      <w:r w:rsidRPr="00EB43AE">
        <w:rPr>
          <w:sz w:val="18"/>
          <w:szCs w:val="16"/>
        </w:rPr>
        <w:t>Note</w:t>
      </w:r>
      <w:r w:rsidR="00000D10">
        <w:rPr>
          <w:sz w:val="18"/>
          <w:szCs w:val="16"/>
        </w:rPr>
        <w:t>:</w:t>
      </w:r>
      <w:r w:rsidR="00D06CE4">
        <w:rPr>
          <w:sz w:val="18"/>
          <w:szCs w:val="16"/>
        </w:rPr>
        <w:tab/>
      </w:r>
      <w:r>
        <w:rPr>
          <w:sz w:val="18"/>
          <w:szCs w:val="16"/>
        </w:rPr>
        <w:t xml:space="preserve">Rules for number portability are set out in the </w:t>
      </w:r>
      <w:r w:rsidRPr="00ED0A3F">
        <w:rPr>
          <w:i/>
          <w:iCs/>
          <w:sz w:val="18"/>
          <w:szCs w:val="16"/>
        </w:rPr>
        <w:t xml:space="preserve">Telecommunications </w:t>
      </w:r>
      <w:r w:rsidR="00EE53AF" w:rsidRPr="00ED0A3F">
        <w:rPr>
          <w:i/>
          <w:iCs/>
          <w:sz w:val="18"/>
          <w:szCs w:val="16"/>
        </w:rPr>
        <w:t>Numbering Plan 20</w:t>
      </w:r>
      <w:r w:rsidR="003C45E7" w:rsidRPr="00ED0A3F">
        <w:rPr>
          <w:i/>
          <w:iCs/>
          <w:sz w:val="18"/>
          <w:szCs w:val="16"/>
        </w:rPr>
        <w:t>2</w:t>
      </w:r>
      <w:r w:rsidR="00EE53AF" w:rsidRPr="00ED0A3F">
        <w:rPr>
          <w:i/>
          <w:iCs/>
          <w:sz w:val="18"/>
          <w:szCs w:val="16"/>
        </w:rPr>
        <w:t>5</w:t>
      </w:r>
      <w:r>
        <w:rPr>
          <w:sz w:val="18"/>
          <w:szCs w:val="16"/>
        </w:rPr>
        <w:t xml:space="preserve">, which is available on the Federal Register of Legislation. </w:t>
      </w:r>
    </w:p>
    <w:p w14:paraId="0097404F" w14:textId="7A638E6D" w:rsidR="00EB43AE" w:rsidRPr="00EB43AE" w:rsidRDefault="00700C73" w:rsidP="00EB43AE">
      <w:pPr>
        <w:pStyle w:val="Definition"/>
      </w:pPr>
      <w:r>
        <w:rPr>
          <w:b/>
          <w:bCs/>
          <w:i/>
          <w:iCs/>
        </w:rPr>
        <w:t>p</w:t>
      </w:r>
      <w:r w:rsidR="001753C3" w:rsidRPr="00700C73">
        <w:rPr>
          <w:b/>
          <w:bCs/>
          <w:i/>
          <w:iCs/>
        </w:rPr>
        <w:t>ortability service</w:t>
      </w:r>
      <w:r w:rsidR="00581B55">
        <w:rPr>
          <w:b/>
          <w:bCs/>
          <w:i/>
          <w:iCs/>
        </w:rPr>
        <w:t>s</w:t>
      </w:r>
      <w:r w:rsidR="00EB43AE">
        <w:rPr>
          <w:b/>
          <w:bCs/>
          <w:i/>
          <w:iCs/>
        </w:rPr>
        <w:t xml:space="preserve"> </w:t>
      </w:r>
      <w:r w:rsidR="00EB43AE" w:rsidRPr="00EB43AE">
        <w:t xml:space="preserve">are supporting services provided </w:t>
      </w:r>
      <w:r w:rsidR="00545F1B">
        <w:t xml:space="preserve">by or </w:t>
      </w:r>
      <w:r w:rsidR="00EB43AE" w:rsidRPr="00EB43AE">
        <w:t>to carriers or carriage service providers in relation to the provision and operation of number portability. These services include:</w:t>
      </w:r>
    </w:p>
    <w:p w14:paraId="458AC83A" w14:textId="47944633" w:rsidR="00EB43AE" w:rsidRPr="00EB43AE" w:rsidRDefault="00EB43AE" w:rsidP="00D06CE4">
      <w:pPr>
        <w:pStyle w:val="Definition"/>
        <w:numPr>
          <w:ilvl w:val="0"/>
          <w:numId w:val="5"/>
        </w:numPr>
        <w:spacing w:before="40"/>
        <w:ind w:hanging="720"/>
      </w:pPr>
      <w:r w:rsidRPr="00EB43AE">
        <w:t xml:space="preserve">port administration services; </w:t>
      </w:r>
    </w:p>
    <w:p w14:paraId="78303561" w14:textId="72AA96F3" w:rsidR="00EB43AE" w:rsidRPr="00EB43AE" w:rsidRDefault="00EB43AE" w:rsidP="00D06CE4">
      <w:pPr>
        <w:pStyle w:val="Definition"/>
        <w:numPr>
          <w:ilvl w:val="0"/>
          <w:numId w:val="5"/>
        </w:numPr>
        <w:spacing w:before="40"/>
        <w:ind w:hanging="720"/>
      </w:pPr>
      <w:r w:rsidRPr="00EB43AE">
        <w:t xml:space="preserve">ported number register database maintenance or provision; and </w:t>
      </w:r>
    </w:p>
    <w:p w14:paraId="6C7CCD83" w14:textId="0834E0A3" w:rsidR="00EB43AE" w:rsidRPr="00EB43AE" w:rsidRDefault="00EB43AE" w:rsidP="00D06CE4">
      <w:pPr>
        <w:pStyle w:val="Definition"/>
        <w:numPr>
          <w:ilvl w:val="0"/>
          <w:numId w:val="5"/>
        </w:numPr>
        <w:spacing w:before="40"/>
        <w:ind w:hanging="720"/>
      </w:pPr>
      <w:r w:rsidRPr="00EB43AE">
        <w:t>the provision of network information services, or intelligent network database</w:t>
      </w:r>
      <w:r w:rsidR="00D06CE4">
        <w:t xml:space="preserve"> </w:t>
      </w:r>
      <w:r w:rsidRPr="00EB43AE">
        <w:t>services, for call routing.</w:t>
      </w:r>
    </w:p>
    <w:p w14:paraId="0AE4FD6D" w14:textId="48B17BF1" w:rsidR="00EB43AE" w:rsidRPr="00EB43AE" w:rsidRDefault="00EB43AE" w:rsidP="00D06CE4">
      <w:pPr>
        <w:pStyle w:val="Definition"/>
        <w:tabs>
          <w:tab w:val="left" w:pos="1701"/>
        </w:tabs>
        <w:spacing w:before="120"/>
        <w:ind w:left="1700" w:hanging="566"/>
        <w:rPr>
          <w:sz w:val="18"/>
          <w:szCs w:val="16"/>
        </w:rPr>
      </w:pPr>
      <w:r w:rsidRPr="00EB43AE">
        <w:rPr>
          <w:sz w:val="18"/>
          <w:szCs w:val="16"/>
        </w:rPr>
        <w:t>Note</w:t>
      </w:r>
      <w:r w:rsidR="00A32B36">
        <w:rPr>
          <w:sz w:val="18"/>
          <w:szCs w:val="16"/>
        </w:rPr>
        <w:t>:</w:t>
      </w:r>
      <w:r w:rsidR="00D06CE4">
        <w:rPr>
          <w:sz w:val="18"/>
          <w:szCs w:val="16"/>
        </w:rPr>
        <w:tab/>
      </w:r>
      <w:r w:rsidRPr="00EB43AE">
        <w:rPr>
          <w:sz w:val="18"/>
          <w:szCs w:val="16"/>
        </w:rPr>
        <w:t xml:space="preserve">The following expressions used in this </w:t>
      </w:r>
      <w:r w:rsidR="00581B55">
        <w:rPr>
          <w:sz w:val="18"/>
          <w:szCs w:val="16"/>
        </w:rPr>
        <w:t>d</w:t>
      </w:r>
      <w:r w:rsidRPr="00EB43AE">
        <w:rPr>
          <w:sz w:val="18"/>
          <w:szCs w:val="16"/>
        </w:rPr>
        <w:t>etermination have the same meanings which they have in the</w:t>
      </w:r>
      <w:r w:rsidR="00D06CE4">
        <w:rPr>
          <w:sz w:val="18"/>
          <w:szCs w:val="16"/>
        </w:rPr>
        <w:t xml:space="preserve"> </w:t>
      </w:r>
      <w:r w:rsidRPr="00EB43AE">
        <w:rPr>
          <w:sz w:val="18"/>
          <w:szCs w:val="16"/>
        </w:rPr>
        <w:t>Act (see in particular, sections 7</w:t>
      </w:r>
      <w:r w:rsidR="00A563B3">
        <w:rPr>
          <w:sz w:val="18"/>
          <w:szCs w:val="16"/>
        </w:rPr>
        <w:t xml:space="preserve">, </w:t>
      </w:r>
      <w:r w:rsidR="00D04DF0">
        <w:rPr>
          <w:sz w:val="18"/>
          <w:szCs w:val="16"/>
        </w:rPr>
        <w:t>87</w:t>
      </w:r>
      <w:r w:rsidRPr="00EB43AE">
        <w:rPr>
          <w:sz w:val="18"/>
          <w:szCs w:val="16"/>
        </w:rPr>
        <w:t xml:space="preserve"> and 109):</w:t>
      </w:r>
    </w:p>
    <w:p w14:paraId="0DDAE231" w14:textId="77777777" w:rsidR="00EB43AE" w:rsidRPr="00EB43AE" w:rsidRDefault="00EB43AE" w:rsidP="00D06CE4">
      <w:pPr>
        <w:pStyle w:val="Definition"/>
        <w:spacing w:before="40"/>
        <w:ind w:left="1854"/>
        <w:rPr>
          <w:sz w:val="18"/>
          <w:szCs w:val="16"/>
        </w:rPr>
      </w:pPr>
      <w:r w:rsidRPr="00EB43AE">
        <w:rPr>
          <w:sz w:val="18"/>
          <w:szCs w:val="16"/>
        </w:rPr>
        <w:t>•</w:t>
      </w:r>
      <w:r w:rsidRPr="00EB43AE">
        <w:rPr>
          <w:sz w:val="18"/>
          <w:szCs w:val="16"/>
        </w:rPr>
        <w:tab/>
        <w:t>carriage service provider;</w:t>
      </w:r>
    </w:p>
    <w:p w14:paraId="21242FFE" w14:textId="77777777" w:rsidR="00EB43AE" w:rsidRPr="00EB43AE" w:rsidRDefault="00EB43AE" w:rsidP="00D06CE4">
      <w:pPr>
        <w:pStyle w:val="Definition"/>
        <w:spacing w:before="40"/>
        <w:ind w:left="1548" w:firstLine="306"/>
        <w:rPr>
          <w:sz w:val="18"/>
          <w:szCs w:val="16"/>
        </w:rPr>
      </w:pPr>
      <w:r w:rsidRPr="00EB43AE">
        <w:rPr>
          <w:sz w:val="18"/>
          <w:szCs w:val="16"/>
        </w:rPr>
        <w:t>•</w:t>
      </w:r>
      <w:r w:rsidRPr="00EB43AE">
        <w:rPr>
          <w:sz w:val="18"/>
          <w:szCs w:val="16"/>
        </w:rPr>
        <w:tab/>
        <w:t>carrier;</w:t>
      </w:r>
    </w:p>
    <w:p w14:paraId="0BD8730B" w14:textId="2B80A625" w:rsidR="009458E7" w:rsidRPr="00EB43AE" w:rsidRDefault="00EB43AE" w:rsidP="00D06CE4">
      <w:pPr>
        <w:pStyle w:val="Definition"/>
        <w:spacing w:before="40"/>
        <w:ind w:left="1548" w:firstLine="306"/>
        <w:rPr>
          <w:sz w:val="18"/>
          <w:szCs w:val="16"/>
        </w:rPr>
      </w:pPr>
      <w:r w:rsidRPr="00EB43AE">
        <w:rPr>
          <w:sz w:val="18"/>
          <w:szCs w:val="16"/>
        </w:rPr>
        <w:t>•</w:t>
      </w:r>
      <w:r w:rsidRPr="00EB43AE">
        <w:rPr>
          <w:sz w:val="18"/>
          <w:szCs w:val="16"/>
        </w:rPr>
        <w:tab/>
        <w:t>telecommunications activity</w:t>
      </w:r>
      <w:r w:rsidR="00957FD5">
        <w:rPr>
          <w:sz w:val="18"/>
          <w:szCs w:val="16"/>
        </w:rPr>
        <w:t>.</w:t>
      </w:r>
    </w:p>
    <w:p w14:paraId="0CAC5183" w14:textId="4917CAD4" w:rsidR="00BE4BC7" w:rsidRPr="008E3E51" w:rsidRDefault="00545F1B" w:rsidP="00D06CE4">
      <w:pPr>
        <w:pStyle w:val="ActHead5"/>
      </w:pPr>
      <w:r>
        <w:rPr>
          <w:rStyle w:val="CharSectno"/>
        </w:rPr>
        <w:lastRenderedPageBreak/>
        <w:t>6</w:t>
      </w:r>
      <w:r w:rsidR="00BE4BC7">
        <w:t xml:space="preserve">  References to other instruments</w:t>
      </w:r>
    </w:p>
    <w:p w14:paraId="49BFD446" w14:textId="30CCF757" w:rsidR="00BE4BC7" w:rsidRPr="009B3E70" w:rsidRDefault="00BE4BC7" w:rsidP="00D06CE4">
      <w:pPr>
        <w:pStyle w:val="subsection"/>
        <w:keepNext/>
        <w:ind w:left="2268"/>
      </w:pPr>
      <w:r>
        <w:t>In this instrument, unless the contrary intention appears</w:t>
      </w:r>
      <w:r w:rsidRPr="009B3E70">
        <w:t>:</w:t>
      </w:r>
    </w:p>
    <w:p w14:paraId="2A25414A" w14:textId="0D25C8DE" w:rsidR="00077B2F" w:rsidRDefault="00BE4BC7" w:rsidP="00524D4D">
      <w:pPr>
        <w:pStyle w:val="paragraph"/>
        <w:keepNext/>
        <w:numPr>
          <w:ilvl w:val="0"/>
          <w:numId w:val="2"/>
        </w:numPr>
        <w:tabs>
          <w:tab w:val="clear" w:pos="1531"/>
        </w:tabs>
        <w:spacing w:before="60"/>
        <w:ind w:left="1560" w:hanging="426"/>
      </w:pPr>
      <w:r>
        <w:t xml:space="preserve">a reference to </w:t>
      </w:r>
      <w:r w:rsidR="00434B53">
        <w:t xml:space="preserve">any </w:t>
      </w:r>
      <w:r w:rsidR="00F87D34">
        <w:t xml:space="preserve">other </w:t>
      </w:r>
      <w:r>
        <w:t xml:space="preserve">legislative instrument is a reference to that </w:t>
      </w:r>
      <w:r w:rsidR="00F87D34">
        <w:t>other</w:t>
      </w:r>
      <w:r w:rsidR="00D06CE4">
        <w:t xml:space="preserve"> </w:t>
      </w:r>
      <w:r>
        <w:t>legislative instrument as in force from time to time; and</w:t>
      </w:r>
    </w:p>
    <w:p w14:paraId="1C2FFCA8" w14:textId="58CF471E" w:rsidR="00BE4BC7" w:rsidRPr="009B3E70" w:rsidRDefault="00BE4BC7" w:rsidP="00D06CE4">
      <w:pPr>
        <w:pStyle w:val="paragraph"/>
        <w:numPr>
          <w:ilvl w:val="0"/>
          <w:numId w:val="2"/>
        </w:numPr>
        <w:tabs>
          <w:tab w:val="clear" w:pos="1531"/>
        </w:tabs>
        <w:ind w:left="1560" w:hanging="426"/>
      </w:pPr>
      <w:r>
        <w:t xml:space="preserve">a reference to any other </w:t>
      </w:r>
      <w:r w:rsidR="00F87D34">
        <w:t xml:space="preserve">kind of </w:t>
      </w:r>
      <w:r>
        <w:t xml:space="preserve">instrument is a reference to that </w:t>
      </w:r>
      <w:r w:rsidR="00F87D34">
        <w:t xml:space="preserve">other </w:t>
      </w:r>
      <w:r>
        <w:t xml:space="preserve">instrument as in force </w:t>
      </w:r>
      <w:r w:rsidR="00D744E3">
        <w:t xml:space="preserve">or existing </w:t>
      </w:r>
      <w:r w:rsidR="00581B55">
        <w:t>from time to time</w:t>
      </w:r>
      <w:r w:rsidRPr="009B3E70">
        <w:t>.</w:t>
      </w:r>
      <w:bookmarkStart w:id="8" w:name="_Hlk124770938"/>
    </w:p>
    <w:p w14:paraId="77FC6F34" w14:textId="77777777" w:rsidR="00BE4BC7" w:rsidRDefault="00BE4BC7" w:rsidP="00BE4BC7">
      <w:pPr>
        <w:pStyle w:val="notetext"/>
      </w:pPr>
      <w:r w:rsidRPr="008E3E51">
        <w:t>Note</w:t>
      </w:r>
      <w:r>
        <w:t xml:space="preserve"> 1</w:t>
      </w:r>
      <w:r w:rsidRPr="008E3E51">
        <w:t>:</w:t>
      </w:r>
      <w:r w:rsidRPr="008E3E51">
        <w:tab/>
      </w:r>
      <w:r w:rsidRPr="00696F3B">
        <w:t xml:space="preserve">For references to Commonwealth Acts, see section 10 of the </w:t>
      </w:r>
      <w:r w:rsidRPr="00696F3B">
        <w:rPr>
          <w:i/>
        </w:rPr>
        <w:t>Acts Interpretation Act 1901</w:t>
      </w:r>
      <w:r w:rsidRPr="00696F3B">
        <w:t xml:space="preserve">; and see also subsection 13(1) of the </w:t>
      </w:r>
      <w:r>
        <w:rPr>
          <w:i/>
        </w:rPr>
        <w:t>Legislation</w:t>
      </w:r>
      <w:r w:rsidRPr="00696F3B">
        <w:rPr>
          <w:i/>
        </w:rPr>
        <w:t xml:space="preserve"> Act 2003</w:t>
      </w:r>
      <w:r w:rsidRPr="00696F3B">
        <w:t xml:space="preserve"> for the application of the </w:t>
      </w:r>
      <w:r w:rsidRPr="00696F3B">
        <w:rPr>
          <w:i/>
        </w:rPr>
        <w:t>Acts Interpretation Act 1901</w:t>
      </w:r>
      <w:r w:rsidRPr="00696F3B">
        <w:t xml:space="preserve"> to legislative instruments.</w:t>
      </w:r>
    </w:p>
    <w:p w14:paraId="186BF7F5" w14:textId="77777777" w:rsidR="00A32B36" w:rsidRDefault="00BE4BC7" w:rsidP="00057A81">
      <w:pPr>
        <w:pStyle w:val="notetext"/>
      </w:pPr>
      <w:r w:rsidRPr="008E3E51">
        <w:t>Note</w:t>
      </w:r>
      <w:r>
        <w:t xml:space="preserve"> 2</w:t>
      </w:r>
      <w:r w:rsidRPr="008E3E51">
        <w:t>:</w:t>
      </w:r>
      <w:r w:rsidRPr="008E3E51">
        <w:tab/>
      </w:r>
      <w:r>
        <w:t>All</w:t>
      </w:r>
      <w:r w:rsidRPr="00696F3B">
        <w:t xml:space="preserve"> Commonwealth Acts</w:t>
      </w:r>
      <w:r>
        <w:t xml:space="preserve"> and legislative instruments are registered on the Federal Register of Legislation.</w:t>
      </w:r>
    </w:p>
    <w:p w14:paraId="56E94AEA" w14:textId="50109608" w:rsidR="00891174" w:rsidRDefault="00891174" w:rsidP="00057A81">
      <w:pPr>
        <w:pStyle w:val="notetext"/>
        <w:rPr>
          <w:b/>
          <w:kern w:val="28"/>
          <w:sz w:val="24"/>
        </w:rPr>
      </w:pPr>
      <w:r>
        <w:t>Note 3:</w:t>
      </w:r>
      <w:r>
        <w:tab/>
      </w:r>
      <w:r w:rsidR="00C21CB8">
        <w:t>See section 589 of the Act.</w:t>
      </w:r>
    </w:p>
    <w:p w14:paraId="74B82035" w14:textId="096F7190" w:rsidR="00B7359B" w:rsidRPr="00C0160A" w:rsidRDefault="00545F1B" w:rsidP="00077B2F">
      <w:pPr>
        <w:pStyle w:val="ActHead5"/>
        <w:ind w:left="0" w:firstLine="0"/>
      </w:pPr>
      <w:bookmarkStart w:id="9" w:name="_Toc444596036"/>
      <w:bookmarkEnd w:id="2"/>
      <w:bookmarkEnd w:id="8"/>
      <w:r>
        <w:rPr>
          <w:rStyle w:val="CharSectno"/>
        </w:rPr>
        <w:t>7</w:t>
      </w:r>
      <w:r w:rsidR="00B7359B" w:rsidRPr="00C0160A">
        <w:t xml:space="preserve">  </w:t>
      </w:r>
      <w:bookmarkEnd w:id="9"/>
      <w:r w:rsidR="008F3B36" w:rsidRPr="00C0160A">
        <w:t>Application</w:t>
      </w:r>
    </w:p>
    <w:p w14:paraId="63E0113C" w14:textId="7AA667AA" w:rsidR="00545F1B" w:rsidRPr="00D06CE4" w:rsidRDefault="00545F1B" w:rsidP="00ED0A3F">
      <w:pPr>
        <w:pStyle w:val="R1"/>
        <w:numPr>
          <w:ilvl w:val="0"/>
          <w:numId w:val="3"/>
        </w:numPr>
        <w:tabs>
          <w:tab w:val="clear" w:pos="794"/>
          <w:tab w:val="clear" w:pos="964"/>
        </w:tabs>
        <w:spacing w:before="180"/>
        <w:ind w:left="1134" w:hanging="425"/>
        <w:jc w:val="left"/>
        <w:rPr>
          <w:sz w:val="22"/>
          <w:szCs w:val="22"/>
        </w:rPr>
      </w:pPr>
      <w:r w:rsidRPr="00D06CE4">
        <w:rPr>
          <w:sz w:val="22"/>
          <w:szCs w:val="22"/>
        </w:rPr>
        <w:t>The ACMA may determine that persons carrying on, or proposing to carry on, one or more specified kinds of telecommunications activity, constitute a section of the telecommunications industry for the purposes of Part 6 of the Act.</w:t>
      </w:r>
    </w:p>
    <w:p w14:paraId="044027EB" w14:textId="2BDD6330" w:rsidR="00545F1B" w:rsidRPr="00A32B36" w:rsidRDefault="00545F1B" w:rsidP="00D06CE4">
      <w:pPr>
        <w:pStyle w:val="R1"/>
        <w:tabs>
          <w:tab w:val="clear" w:pos="794"/>
          <w:tab w:val="clear" w:pos="964"/>
        </w:tabs>
        <w:ind w:left="1134" w:hanging="425"/>
        <w:rPr>
          <w:sz w:val="22"/>
          <w:szCs w:val="22"/>
        </w:rPr>
      </w:pPr>
      <w:r w:rsidRPr="00A32B36">
        <w:rPr>
          <w:sz w:val="22"/>
          <w:szCs w:val="22"/>
        </w:rPr>
        <w:t>(2)</w:t>
      </w:r>
      <w:r w:rsidR="00D06CE4">
        <w:rPr>
          <w:sz w:val="22"/>
          <w:szCs w:val="22"/>
        </w:rPr>
        <w:tab/>
      </w:r>
      <w:r w:rsidR="00FB08F0" w:rsidRPr="00A32B36">
        <w:rPr>
          <w:sz w:val="22"/>
          <w:szCs w:val="22"/>
        </w:rPr>
        <w:t xml:space="preserve">This </w:t>
      </w:r>
      <w:r w:rsidR="00C21CB8" w:rsidRPr="00A32B36">
        <w:rPr>
          <w:sz w:val="22"/>
          <w:szCs w:val="22"/>
        </w:rPr>
        <w:t>d</w:t>
      </w:r>
      <w:r w:rsidR="00FB08F0" w:rsidRPr="00A32B36">
        <w:rPr>
          <w:sz w:val="22"/>
          <w:szCs w:val="22"/>
        </w:rPr>
        <w:t xml:space="preserve">etermination applies to persons </w:t>
      </w:r>
      <w:r w:rsidRPr="00A32B36">
        <w:rPr>
          <w:sz w:val="22"/>
          <w:szCs w:val="22"/>
        </w:rPr>
        <w:t>who are:</w:t>
      </w:r>
    </w:p>
    <w:p w14:paraId="7D8D0BB9" w14:textId="4B7D5771" w:rsidR="00077B2F" w:rsidRPr="00D06CE4" w:rsidRDefault="00545F1B" w:rsidP="00D06CE4">
      <w:pPr>
        <w:pStyle w:val="R1"/>
        <w:numPr>
          <w:ilvl w:val="0"/>
          <w:numId w:val="7"/>
        </w:numPr>
        <w:spacing w:before="40"/>
        <w:ind w:left="1560" w:hanging="426"/>
        <w:rPr>
          <w:sz w:val="22"/>
          <w:szCs w:val="22"/>
        </w:rPr>
      </w:pPr>
      <w:r w:rsidRPr="00A32B36">
        <w:rPr>
          <w:sz w:val="22"/>
          <w:szCs w:val="22"/>
        </w:rPr>
        <w:t>carrying on a telecommunications activity as defined in section 109 of the Act;</w:t>
      </w:r>
      <w:r w:rsidR="00D06CE4">
        <w:rPr>
          <w:sz w:val="22"/>
          <w:szCs w:val="22"/>
        </w:rPr>
        <w:t xml:space="preserve"> </w:t>
      </w:r>
      <w:r w:rsidR="00077B2F" w:rsidRPr="00D06CE4">
        <w:rPr>
          <w:sz w:val="22"/>
          <w:szCs w:val="22"/>
        </w:rPr>
        <w:t>a</w:t>
      </w:r>
      <w:r w:rsidRPr="00D06CE4">
        <w:rPr>
          <w:sz w:val="22"/>
          <w:szCs w:val="22"/>
        </w:rPr>
        <w:t>nd</w:t>
      </w:r>
    </w:p>
    <w:p w14:paraId="3C1009A9" w14:textId="66AFA91F" w:rsidR="00410279" w:rsidRPr="00D06CE4" w:rsidRDefault="00FB08F0" w:rsidP="00D06CE4">
      <w:pPr>
        <w:pStyle w:val="R1"/>
        <w:numPr>
          <w:ilvl w:val="0"/>
          <w:numId w:val="7"/>
        </w:numPr>
        <w:spacing w:before="40"/>
        <w:ind w:left="1560" w:hanging="426"/>
        <w:rPr>
          <w:sz w:val="22"/>
          <w:szCs w:val="22"/>
        </w:rPr>
      </w:pPr>
      <w:r w:rsidRPr="00A32B36">
        <w:rPr>
          <w:sz w:val="22"/>
          <w:szCs w:val="22"/>
        </w:rPr>
        <w:t>providing portability services.</w:t>
      </w:r>
      <w:bookmarkStart w:id="10" w:name="_Toc444596038"/>
    </w:p>
    <w:bookmarkEnd w:id="10"/>
    <w:p w14:paraId="01332066" w14:textId="61E3D8F1" w:rsidR="002332A2" w:rsidRDefault="00545F1B" w:rsidP="00D06CE4">
      <w:pPr>
        <w:pStyle w:val="ActHead5"/>
        <w:ind w:left="720" w:hanging="720"/>
      </w:pPr>
      <w:r>
        <w:t xml:space="preserve">8 </w:t>
      </w:r>
      <w:r w:rsidR="00D06CE4">
        <w:t xml:space="preserve"> </w:t>
      </w:r>
      <w:r w:rsidR="00C0160A">
        <w:t xml:space="preserve">Section of </w:t>
      </w:r>
      <w:r w:rsidR="00D744E3">
        <w:t xml:space="preserve">the </w:t>
      </w:r>
      <w:r w:rsidR="00C21CB8">
        <w:t>t</w:t>
      </w:r>
      <w:r w:rsidR="00C0160A">
        <w:t xml:space="preserve">elecommunications </w:t>
      </w:r>
      <w:r w:rsidR="00C21CB8">
        <w:t>i</w:t>
      </w:r>
      <w:r w:rsidR="00C0160A">
        <w:t>ndustry</w:t>
      </w:r>
    </w:p>
    <w:p w14:paraId="7DC5B75D" w14:textId="77777777" w:rsidR="00077B2F" w:rsidRDefault="007D5DCB" w:rsidP="00077B2F">
      <w:pPr>
        <w:pStyle w:val="subsection"/>
        <w:tabs>
          <w:tab w:val="clear" w:pos="1021"/>
          <w:tab w:val="right" w:pos="993"/>
        </w:tabs>
        <w:spacing w:before="120"/>
        <w:ind w:left="1275" w:hanging="141"/>
        <w:rPr>
          <w:szCs w:val="22"/>
        </w:rPr>
      </w:pPr>
      <w:r w:rsidRPr="00337F7E">
        <w:rPr>
          <w:szCs w:val="22"/>
        </w:rPr>
        <w:t xml:space="preserve">Persons to whom this </w:t>
      </w:r>
      <w:r w:rsidR="00C21CB8" w:rsidRPr="00337F7E">
        <w:rPr>
          <w:szCs w:val="22"/>
        </w:rPr>
        <w:t>d</w:t>
      </w:r>
      <w:r w:rsidRPr="00337F7E">
        <w:rPr>
          <w:szCs w:val="22"/>
        </w:rPr>
        <w:t>etermination applies constitute the section of the</w:t>
      </w:r>
    </w:p>
    <w:p w14:paraId="1D69FA1A" w14:textId="1A5D0641" w:rsidR="00C0160A" w:rsidRPr="00337F7E" w:rsidRDefault="00C21CB8" w:rsidP="00077B2F">
      <w:pPr>
        <w:pStyle w:val="subsection"/>
        <w:tabs>
          <w:tab w:val="clear" w:pos="1021"/>
          <w:tab w:val="right" w:pos="993"/>
        </w:tabs>
        <w:spacing w:before="0"/>
        <w:ind w:left="1275" w:hanging="141"/>
        <w:rPr>
          <w:szCs w:val="22"/>
        </w:rPr>
      </w:pPr>
      <w:r w:rsidRPr="00337F7E">
        <w:rPr>
          <w:szCs w:val="22"/>
        </w:rPr>
        <w:t>telecommunications industry identified as “Portability Service Suppliers.”</w:t>
      </w:r>
    </w:p>
    <w:p w14:paraId="72F94BDE" w14:textId="77777777" w:rsidR="00F3731C" w:rsidRPr="00337F7E" w:rsidRDefault="00F3731C" w:rsidP="00F42CFF">
      <w:pPr>
        <w:pStyle w:val="subsection"/>
        <w:spacing w:before="0"/>
        <w:rPr>
          <w:szCs w:val="22"/>
        </w:rPr>
      </w:pPr>
    </w:p>
    <w:p w14:paraId="60037EBB" w14:textId="77777777" w:rsidR="00F3731C" w:rsidRDefault="00F3731C" w:rsidP="00F42CFF">
      <w:pPr>
        <w:pStyle w:val="subsection"/>
        <w:spacing w:before="0"/>
      </w:pPr>
    </w:p>
    <w:p w14:paraId="24113932" w14:textId="77777777" w:rsidR="00F3731C" w:rsidRPr="00C0160A" w:rsidRDefault="00F3731C" w:rsidP="00F3731C">
      <w:pPr>
        <w:pStyle w:val="subsection"/>
        <w:spacing w:before="0"/>
        <w:ind w:left="0" w:firstLine="0"/>
      </w:pPr>
    </w:p>
    <w:sectPr w:rsidR="00F3731C" w:rsidRPr="00C0160A" w:rsidSect="00C15A8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CA7E" w14:textId="77777777" w:rsidR="005F038F" w:rsidRDefault="005F038F" w:rsidP="0017734A">
      <w:pPr>
        <w:spacing w:after="0" w:line="240" w:lineRule="auto"/>
      </w:pPr>
      <w:r>
        <w:separator/>
      </w:r>
    </w:p>
  </w:endnote>
  <w:endnote w:type="continuationSeparator" w:id="0">
    <w:p w14:paraId="3263DDC7" w14:textId="77777777" w:rsidR="005F038F" w:rsidRDefault="005F038F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004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816CE" w14:textId="13851C7B" w:rsidR="002F0E3F" w:rsidRDefault="002F0E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FBA20" w14:textId="77777777" w:rsidR="0017734A" w:rsidRDefault="0017734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141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1840A5AA" w14:textId="5959F11E" w:rsidR="000E4886" w:rsidRPr="00703828" w:rsidRDefault="00F3731C" w:rsidP="000E4886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18"/>
            <w:szCs w:val="18"/>
          </w:rPr>
        </w:pPr>
        <w:r>
          <w:rPr>
            <w:rFonts w:ascii="Times New Roman" w:hAnsi="Times New Roman" w:cs="Times New Roman"/>
            <w:i/>
            <w:sz w:val="18"/>
            <w:szCs w:val="18"/>
          </w:rPr>
          <w:t>Telecommunications (Section of the Telecommunications Industry – Portability Service Suppliers) Determination 2025</w:t>
        </w:r>
      </w:p>
      <w:p w14:paraId="49431571" w14:textId="77777777" w:rsidR="00D06CE4" w:rsidRDefault="000E4886" w:rsidP="000E4886">
        <w:pPr>
          <w:pStyle w:val="Footer"/>
          <w:jc w:val="right"/>
          <w:rPr>
            <w:rFonts w:ascii="Times New Roman" w:hAnsi="Times New Roman" w:cs="Times New Roman"/>
            <w:noProof/>
            <w:sz w:val="18"/>
            <w:szCs w:val="18"/>
          </w:rPr>
        </w:pPr>
        <w:r w:rsidRPr="000E4886">
          <w:rPr>
            <w:rFonts w:ascii="Times New Roman" w:hAnsi="Times New Roman" w:cs="Times New Roman"/>
            <w:noProof/>
            <w:sz w:val="18"/>
            <w:szCs w:val="18"/>
          </w:rPr>
          <w:fldChar w:fldCharType="begin"/>
        </w:r>
        <w:r w:rsidRPr="000E4886">
          <w:rPr>
            <w:rFonts w:ascii="Times New Roman" w:hAnsi="Times New Roman" w:cs="Times New Roman"/>
            <w:noProof/>
            <w:sz w:val="18"/>
            <w:szCs w:val="18"/>
          </w:rPr>
          <w:instrText xml:space="preserve"> PAGE   \* MERGEFORMAT </w:instrText>
        </w:r>
        <w:r w:rsidRPr="000E4886">
          <w:rPr>
            <w:rFonts w:ascii="Times New Roman" w:hAnsi="Times New Roman" w:cs="Times New Roman"/>
            <w:noProof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0E4886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  <w:p w14:paraId="6CC5691A" w14:textId="735F8880" w:rsidR="00A41E9B" w:rsidRPr="008D642E" w:rsidRDefault="00E77D3E" w:rsidP="00D06CE4">
        <w:pPr>
          <w:pStyle w:val="Footer"/>
          <w:jc w:val="center"/>
          <w:rPr>
            <w:rFonts w:ascii="Times New Roman" w:hAnsi="Times New Roman" w:cs="Times New Roman"/>
            <w:noProof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ACAB" w14:textId="77777777" w:rsidR="005F038F" w:rsidRDefault="005F038F" w:rsidP="0017734A">
      <w:pPr>
        <w:spacing w:after="0" w:line="240" w:lineRule="auto"/>
      </w:pPr>
      <w:r>
        <w:separator/>
      </w:r>
    </w:p>
  </w:footnote>
  <w:footnote w:type="continuationSeparator" w:id="0">
    <w:p w14:paraId="6E08B842" w14:textId="77777777" w:rsidR="005F038F" w:rsidRDefault="005F038F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46B3" w14:textId="6080A24F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BAAD" w14:textId="0B40617E" w:rsidR="00F85ED9" w:rsidRDefault="00F85ED9" w:rsidP="00E7332E">
    <w:pPr>
      <w:pStyle w:val="Header"/>
    </w:pPr>
  </w:p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613E" w14:textId="3C420EB9" w:rsidR="00EB387F" w:rsidRDefault="00EB387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78B9" w14:textId="08D452DE" w:rsidR="000E4886" w:rsidRPr="000E4886" w:rsidRDefault="000E4886" w:rsidP="000E488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E4886">
      <w:rPr>
        <w:rFonts w:ascii="Times New Roman" w:hAnsi="Times New Roman" w:cs="Times New Roman"/>
        <w:sz w:val="20"/>
        <w:szCs w:val="20"/>
      </w:rPr>
      <w:t xml:space="preserve">Section </w:t>
    </w:r>
    <w:r w:rsidRPr="000E4886">
      <w:rPr>
        <w:rFonts w:ascii="Times New Roman" w:hAnsi="Times New Roman" w:cs="Times New Roman"/>
        <w:sz w:val="20"/>
        <w:szCs w:val="20"/>
      </w:rPr>
      <w:fldChar w:fldCharType="begin"/>
    </w:r>
    <w:r w:rsidRPr="000E4886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0E4886">
      <w:rPr>
        <w:rFonts w:ascii="Times New Roman" w:hAnsi="Times New Roman" w:cs="Times New Roman"/>
        <w:sz w:val="20"/>
        <w:szCs w:val="20"/>
      </w:rPr>
      <w:fldChar w:fldCharType="separate"/>
    </w:r>
    <w:r w:rsidR="00E77D3E">
      <w:rPr>
        <w:rFonts w:ascii="Times New Roman" w:hAnsi="Times New Roman" w:cs="Times New Roman"/>
        <w:noProof/>
        <w:sz w:val="20"/>
        <w:szCs w:val="20"/>
      </w:rPr>
      <w:t>1</w:t>
    </w:r>
    <w:r w:rsidRPr="000E4886">
      <w:rPr>
        <w:rFonts w:ascii="Times New Roman" w:hAnsi="Times New Roman" w:cs="Times New Roman"/>
        <w:sz w:val="20"/>
        <w:szCs w:val="20"/>
      </w:rPr>
      <w:fldChar w:fldCharType="end"/>
    </w:r>
  </w:p>
  <w:p w14:paraId="600ACE46" w14:textId="0D613864" w:rsidR="00E43CFB" w:rsidRPr="000E4886" w:rsidRDefault="00E43CFB" w:rsidP="000E488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18A1" w14:textId="41DFA823" w:rsidR="00EB387F" w:rsidRDefault="00EB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8EE"/>
    <w:multiLevelType w:val="hybridMultilevel"/>
    <w:tmpl w:val="8D8CC96C"/>
    <w:lvl w:ilvl="0" w:tplc="6EEA62CA">
      <w:start w:val="1"/>
      <w:numFmt w:val="lowerRoman"/>
      <w:lvlText w:val="(%1)"/>
      <w:lvlJc w:val="left"/>
      <w:pPr>
        <w:ind w:left="1854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35025E"/>
    <w:multiLevelType w:val="hybridMultilevel"/>
    <w:tmpl w:val="F8A0DB52"/>
    <w:lvl w:ilvl="0" w:tplc="4BF2DEAE">
      <w:start w:val="1"/>
      <w:numFmt w:val="lowerLetter"/>
      <w:lvlText w:val="(%1)"/>
      <w:lvlJc w:val="left"/>
      <w:pPr>
        <w:ind w:left="196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687" w:hanging="360"/>
      </w:pPr>
    </w:lvl>
    <w:lvl w:ilvl="2" w:tplc="0C09001B" w:tentative="1">
      <w:start w:val="1"/>
      <w:numFmt w:val="lowerRoman"/>
      <w:lvlText w:val="%3."/>
      <w:lvlJc w:val="right"/>
      <w:pPr>
        <w:ind w:left="3407" w:hanging="180"/>
      </w:pPr>
    </w:lvl>
    <w:lvl w:ilvl="3" w:tplc="0C09000F" w:tentative="1">
      <w:start w:val="1"/>
      <w:numFmt w:val="decimal"/>
      <w:lvlText w:val="%4."/>
      <w:lvlJc w:val="left"/>
      <w:pPr>
        <w:ind w:left="4127" w:hanging="360"/>
      </w:pPr>
    </w:lvl>
    <w:lvl w:ilvl="4" w:tplc="0C090019" w:tentative="1">
      <w:start w:val="1"/>
      <w:numFmt w:val="lowerLetter"/>
      <w:lvlText w:val="%5."/>
      <w:lvlJc w:val="left"/>
      <w:pPr>
        <w:ind w:left="4847" w:hanging="360"/>
      </w:pPr>
    </w:lvl>
    <w:lvl w:ilvl="5" w:tplc="0C09001B" w:tentative="1">
      <w:start w:val="1"/>
      <w:numFmt w:val="lowerRoman"/>
      <w:lvlText w:val="%6."/>
      <w:lvlJc w:val="right"/>
      <w:pPr>
        <w:ind w:left="5567" w:hanging="180"/>
      </w:pPr>
    </w:lvl>
    <w:lvl w:ilvl="6" w:tplc="0C09000F" w:tentative="1">
      <w:start w:val="1"/>
      <w:numFmt w:val="decimal"/>
      <w:lvlText w:val="%7."/>
      <w:lvlJc w:val="left"/>
      <w:pPr>
        <w:ind w:left="6287" w:hanging="360"/>
      </w:pPr>
    </w:lvl>
    <w:lvl w:ilvl="7" w:tplc="0C090019" w:tentative="1">
      <w:start w:val="1"/>
      <w:numFmt w:val="lowerLetter"/>
      <w:lvlText w:val="%8."/>
      <w:lvlJc w:val="left"/>
      <w:pPr>
        <w:ind w:left="7007" w:hanging="360"/>
      </w:pPr>
    </w:lvl>
    <w:lvl w:ilvl="8" w:tplc="0C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" w15:restartNumberingAfterBreak="0">
    <w:nsid w:val="459224D2"/>
    <w:multiLevelType w:val="hybridMultilevel"/>
    <w:tmpl w:val="F6CC9102"/>
    <w:lvl w:ilvl="0" w:tplc="8F68068E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1956CCA"/>
    <w:multiLevelType w:val="hybridMultilevel"/>
    <w:tmpl w:val="5D20F1B0"/>
    <w:lvl w:ilvl="0" w:tplc="19B0D53E">
      <w:start w:val="1"/>
      <w:numFmt w:val="lowerLetter"/>
      <w:lvlText w:val="(%1)"/>
      <w:lvlJc w:val="left"/>
      <w:pPr>
        <w:ind w:left="20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47" w:hanging="360"/>
      </w:pPr>
    </w:lvl>
    <w:lvl w:ilvl="2" w:tplc="0C09001B" w:tentative="1">
      <w:start w:val="1"/>
      <w:numFmt w:val="lowerRoman"/>
      <w:lvlText w:val="%3."/>
      <w:lvlJc w:val="right"/>
      <w:pPr>
        <w:ind w:left="3467" w:hanging="180"/>
      </w:pPr>
    </w:lvl>
    <w:lvl w:ilvl="3" w:tplc="0C09000F" w:tentative="1">
      <w:start w:val="1"/>
      <w:numFmt w:val="decimal"/>
      <w:lvlText w:val="%4."/>
      <w:lvlJc w:val="left"/>
      <w:pPr>
        <w:ind w:left="4187" w:hanging="360"/>
      </w:pPr>
    </w:lvl>
    <w:lvl w:ilvl="4" w:tplc="0C090019" w:tentative="1">
      <w:start w:val="1"/>
      <w:numFmt w:val="lowerLetter"/>
      <w:lvlText w:val="%5."/>
      <w:lvlJc w:val="left"/>
      <w:pPr>
        <w:ind w:left="4907" w:hanging="360"/>
      </w:pPr>
    </w:lvl>
    <w:lvl w:ilvl="5" w:tplc="0C09001B" w:tentative="1">
      <w:start w:val="1"/>
      <w:numFmt w:val="lowerRoman"/>
      <w:lvlText w:val="%6."/>
      <w:lvlJc w:val="right"/>
      <w:pPr>
        <w:ind w:left="5627" w:hanging="180"/>
      </w:pPr>
    </w:lvl>
    <w:lvl w:ilvl="6" w:tplc="0C09000F" w:tentative="1">
      <w:start w:val="1"/>
      <w:numFmt w:val="decimal"/>
      <w:lvlText w:val="%7."/>
      <w:lvlJc w:val="left"/>
      <w:pPr>
        <w:ind w:left="6347" w:hanging="360"/>
      </w:pPr>
    </w:lvl>
    <w:lvl w:ilvl="7" w:tplc="0C090019" w:tentative="1">
      <w:start w:val="1"/>
      <w:numFmt w:val="lowerLetter"/>
      <w:lvlText w:val="%8."/>
      <w:lvlJc w:val="left"/>
      <w:pPr>
        <w:ind w:left="7067" w:hanging="360"/>
      </w:pPr>
    </w:lvl>
    <w:lvl w:ilvl="8" w:tplc="0C0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5" w15:restartNumberingAfterBreak="0">
    <w:nsid w:val="6A4769F0"/>
    <w:multiLevelType w:val="hybridMultilevel"/>
    <w:tmpl w:val="F92227F2"/>
    <w:lvl w:ilvl="0" w:tplc="6C8831D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E1C09CF"/>
    <w:multiLevelType w:val="hybridMultilevel"/>
    <w:tmpl w:val="F7809B86"/>
    <w:lvl w:ilvl="0" w:tplc="00BED06A">
      <w:start w:val="1"/>
      <w:numFmt w:val="decimal"/>
      <w:lvlText w:val="%1)"/>
      <w:lvlJc w:val="left"/>
      <w:pPr>
        <w:ind w:left="720" w:hanging="360"/>
      </w:pPr>
    </w:lvl>
    <w:lvl w:ilvl="1" w:tplc="F32682E8">
      <w:start w:val="1"/>
      <w:numFmt w:val="decimal"/>
      <w:lvlText w:val="%2)"/>
      <w:lvlJc w:val="left"/>
      <w:pPr>
        <w:ind w:left="720" w:hanging="360"/>
      </w:pPr>
    </w:lvl>
    <w:lvl w:ilvl="2" w:tplc="72603808">
      <w:start w:val="1"/>
      <w:numFmt w:val="decimal"/>
      <w:lvlText w:val="%3)"/>
      <w:lvlJc w:val="left"/>
      <w:pPr>
        <w:ind w:left="720" w:hanging="360"/>
      </w:pPr>
    </w:lvl>
    <w:lvl w:ilvl="3" w:tplc="18F6F3BE">
      <w:start w:val="1"/>
      <w:numFmt w:val="decimal"/>
      <w:lvlText w:val="%4)"/>
      <w:lvlJc w:val="left"/>
      <w:pPr>
        <w:ind w:left="720" w:hanging="360"/>
      </w:pPr>
    </w:lvl>
    <w:lvl w:ilvl="4" w:tplc="78A84B58">
      <w:start w:val="1"/>
      <w:numFmt w:val="decimal"/>
      <w:lvlText w:val="%5)"/>
      <w:lvlJc w:val="left"/>
      <w:pPr>
        <w:ind w:left="720" w:hanging="360"/>
      </w:pPr>
    </w:lvl>
    <w:lvl w:ilvl="5" w:tplc="E87EEA20">
      <w:start w:val="1"/>
      <w:numFmt w:val="decimal"/>
      <w:lvlText w:val="%6)"/>
      <w:lvlJc w:val="left"/>
      <w:pPr>
        <w:ind w:left="720" w:hanging="360"/>
      </w:pPr>
    </w:lvl>
    <w:lvl w:ilvl="6" w:tplc="668EAC6E">
      <w:start w:val="1"/>
      <w:numFmt w:val="decimal"/>
      <w:lvlText w:val="%7)"/>
      <w:lvlJc w:val="left"/>
      <w:pPr>
        <w:ind w:left="720" w:hanging="360"/>
      </w:pPr>
    </w:lvl>
    <w:lvl w:ilvl="7" w:tplc="6A582A14">
      <w:start w:val="1"/>
      <w:numFmt w:val="decimal"/>
      <w:lvlText w:val="%8)"/>
      <w:lvlJc w:val="left"/>
      <w:pPr>
        <w:ind w:left="720" w:hanging="360"/>
      </w:pPr>
    </w:lvl>
    <w:lvl w:ilvl="8" w:tplc="887A49A6">
      <w:start w:val="1"/>
      <w:numFmt w:val="decimal"/>
      <w:lvlText w:val="%9)"/>
      <w:lvlJc w:val="left"/>
      <w:pPr>
        <w:ind w:left="720" w:hanging="360"/>
      </w:pPr>
    </w:lvl>
  </w:abstractNum>
  <w:abstractNum w:abstractNumId="7" w15:restartNumberingAfterBreak="0">
    <w:nsid w:val="7C843540"/>
    <w:multiLevelType w:val="hybridMultilevel"/>
    <w:tmpl w:val="40963492"/>
    <w:lvl w:ilvl="0" w:tplc="4BF2DEAE">
      <w:start w:val="1"/>
      <w:numFmt w:val="lowerLetter"/>
      <w:lvlText w:val="(%1)"/>
      <w:lvlJc w:val="left"/>
      <w:pPr>
        <w:ind w:left="20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0" w:hanging="360"/>
      </w:pPr>
    </w:lvl>
    <w:lvl w:ilvl="2" w:tplc="0C09001B" w:tentative="1">
      <w:start w:val="1"/>
      <w:numFmt w:val="lowerRoman"/>
      <w:lvlText w:val="%3."/>
      <w:lvlJc w:val="right"/>
      <w:pPr>
        <w:ind w:left="3440" w:hanging="180"/>
      </w:pPr>
    </w:lvl>
    <w:lvl w:ilvl="3" w:tplc="0C09000F" w:tentative="1">
      <w:start w:val="1"/>
      <w:numFmt w:val="decimal"/>
      <w:lvlText w:val="%4."/>
      <w:lvlJc w:val="left"/>
      <w:pPr>
        <w:ind w:left="4160" w:hanging="360"/>
      </w:pPr>
    </w:lvl>
    <w:lvl w:ilvl="4" w:tplc="0C090019" w:tentative="1">
      <w:start w:val="1"/>
      <w:numFmt w:val="lowerLetter"/>
      <w:lvlText w:val="%5."/>
      <w:lvlJc w:val="left"/>
      <w:pPr>
        <w:ind w:left="4880" w:hanging="360"/>
      </w:pPr>
    </w:lvl>
    <w:lvl w:ilvl="5" w:tplc="0C09001B" w:tentative="1">
      <w:start w:val="1"/>
      <w:numFmt w:val="lowerRoman"/>
      <w:lvlText w:val="%6."/>
      <w:lvlJc w:val="right"/>
      <w:pPr>
        <w:ind w:left="5600" w:hanging="180"/>
      </w:pPr>
    </w:lvl>
    <w:lvl w:ilvl="6" w:tplc="0C09000F" w:tentative="1">
      <w:start w:val="1"/>
      <w:numFmt w:val="decimal"/>
      <w:lvlText w:val="%7."/>
      <w:lvlJc w:val="left"/>
      <w:pPr>
        <w:ind w:left="6320" w:hanging="360"/>
      </w:pPr>
    </w:lvl>
    <w:lvl w:ilvl="7" w:tplc="0C090019" w:tentative="1">
      <w:start w:val="1"/>
      <w:numFmt w:val="lowerLetter"/>
      <w:lvlText w:val="%8."/>
      <w:lvlJc w:val="left"/>
      <w:pPr>
        <w:ind w:left="7040" w:hanging="360"/>
      </w:pPr>
    </w:lvl>
    <w:lvl w:ilvl="8" w:tplc="0C09001B" w:tentative="1">
      <w:start w:val="1"/>
      <w:numFmt w:val="lowerRoman"/>
      <w:lvlText w:val="%9."/>
      <w:lvlJc w:val="right"/>
      <w:pPr>
        <w:ind w:left="7760" w:hanging="180"/>
      </w:pPr>
    </w:lvl>
  </w:abstractNum>
  <w:num w:numId="1" w16cid:durableId="1899854391">
    <w:abstractNumId w:val="1"/>
  </w:num>
  <w:num w:numId="2" w16cid:durableId="865097103">
    <w:abstractNumId w:val="7"/>
  </w:num>
  <w:num w:numId="3" w16cid:durableId="977420927">
    <w:abstractNumId w:val="5"/>
  </w:num>
  <w:num w:numId="4" w16cid:durableId="1995989513">
    <w:abstractNumId w:val="6"/>
  </w:num>
  <w:num w:numId="5" w16cid:durableId="93672453">
    <w:abstractNumId w:val="0"/>
  </w:num>
  <w:num w:numId="6" w16cid:durableId="816652965">
    <w:abstractNumId w:val="3"/>
  </w:num>
  <w:num w:numId="7" w16cid:durableId="1637637713">
    <w:abstractNumId w:val="2"/>
  </w:num>
  <w:num w:numId="8" w16cid:durableId="74144147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D10"/>
    <w:rsid w:val="00001C4A"/>
    <w:rsid w:val="00025F70"/>
    <w:rsid w:val="000340E0"/>
    <w:rsid w:val="00041E04"/>
    <w:rsid w:val="00044E44"/>
    <w:rsid w:val="00046526"/>
    <w:rsid w:val="00046948"/>
    <w:rsid w:val="00046F3B"/>
    <w:rsid w:val="00057A81"/>
    <w:rsid w:val="00063D71"/>
    <w:rsid w:val="000660D8"/>
    <w:rsid w:val="000673C0"/>
    <w:rsid w:val="00072E4C"/>
    <w:rsid w:val="00077B2F"/>
    <w:rsid w:val="00082469"/>
    <w:rsid w:val="00083862"/>
    <w:rsid w:val="00087F5A"/>
    <w:rsid w:val="0009016D"/>
    <w:rsid w:val="00097890"/>
    <w:rsid w:val="000B2639"/>
    <w:rsid w:val="000C175F"/>
    <w:rsid w:val="000D3030"/>
    <w:rsid w:val="000D32A3"/>
    <w:rsid w:val="000D4B43"/>
    <w:rsid w:val="000D6066"/>
    <w:rsid w:val="000E35B9"/>
    <w:rsid w:val="000E4886"/>
    <w:rsid w:val="000F1010"/>
    <w:rsid w:val="000F1CE3"/>
    <w:rsid w:val="000F2057"/>
    <w:rsid w:val="000F6006"/>
    <w:rsid w:val="000F68CC"/>
    <w:rsid w:val="001267A5"/>
    <w:rsid w:val="00127AB6"/>
    <w:rsid w:val="001358D6"/>
    <w:rsid w:val="00137824"/>
    <w:rsid w:val="00150566"/>
    <w:rsid w:val="00150A96"/>
    <w:rsid w:val="00152614"/>
    <w:rsid w:val="00152CE6"/>
    <w:rsid w:val="00160F8E"/>
    <w:rsid w:val="0017060D"/>
    <w:rsid w:val="001706C3"/>
    <w:rsid w:val="001733AE"/>
    <w:rsid w:val="001753C3"/>
    <w:rsid w:val="0017734A"/>
    <w:rsid w:val="00183F81"/>
    <w:rsid w:val="00192B55"/>
    <w:rsid w:val="001A153E"/>
    <w:rsid w:val="001A2B69"/>
    <w:rsid w:val="001A4B39"/>
    <w:rsid w:val="001B2574"/>
    <w:rsid w:val="001C3477"/>
    <w:rsid w:val="001D4807"/>
    <w:rsid w:val="001D4BC6"/>
    <w:rsid w:val="001E0709"/>
    <w:rsid w:val="001E45EA"/>
    <w:rsid w:val="001F6141"/>
    <w:rsid w:val="00204655"/>
    <w:rsid w:val="002332A2"/>
    <w:rsid w:val="002359DE"/>
    <w:rsid w:val="00235F81"/>
    <w:rsid w:val="002418CE"/>
    <w:rsid w:val="002461E1"/>
    <w:rsid w:val="002527DB"/>
    <w:rsid w:val="002569B5"/>
    <w:rsid w:val="002669FB"/>
    <w:rsid w:val="0027056F"/>
    <w:rsid w:val="00284791"/>
    <w:rsid w:val="00291C8D"/>
    <w:rsid w:val="0029515A"/>
    <w:rsid w:val="002A2A1D"/>
    <w:rsid w:val="002A73A3"/>
    <w:rsid w:val="002A7723"/>
    <w:rsid w:val="002B4EE5"/>
    <w:rsid w:val="002B550E"/>
    <w:rsid w:val="002B73D8"/>
    <w:rsid w:val="002C0311"/>
    <w:rsid w:val="002C2F59"/>
    <w:rsid w:val="002C3D06"/>
    <w:rsid w:val="002C44E7"/>
    <w:rsid w:val="002C6776"/>
    <w:rsid w:val="002D434A"/>
    <w:rsid w:val="002D6F69"/>
    <w:rsid w:val="002E5625"/>
    <w:rsid w:val="002E5B01"/>
    <w:rsid w:val="002E7DC2"/>
    <w:rsid w:val="002F0E3F"/>
    <w:rsid w:val="002F7598"/>
    <w:rsid w:val="003001C6"/>
    <w:rsid w:val="00301138"/>
    <w:rsid w:val="00312D41"/>
    <w:rsid w:val="0031617C"/>
    <w:rsid w:val="003166CF"/>
    <w:rsid w:val="00326C59"/>
    <w:rsid w:val="003322AF"/>
    <w:rsid w:val="003365A6"/>
    <w:rsid w:val="003365F2"/>
    <w:rsid w:val="00337041"/>
    <w:rsid w:val="00337F7E"/>
    <w:rsid w:val="003464DD"/>
    <w:rsid w:val="003555A9"/>
    <w:rsid w:val="00355697"/>
    <w:rsid w:val="00372D68"/>
    <w:rsid w:val="00380EFE"/>
    <w:rsid w:val="0038323A"/>
    <w:rsid w:val="00386198"/>
    <w:rsid w:val="003863E3"/>
    <w:rsid w:val="00391BAA"/>
    <w:rsid w:val="00395204"/>
    <w:rsid w:val="0039609D"/>
    <w:rsid w:val="003973D0"/>
    <w:rsid w:val="003A107E"/>
    <w:rsid w:val="003A1DCC"/>
    <w:rsid w:val="003A3E8B"/>
    <w:rsid w:val="003B2C48"/>
    <w:rsid w:val="003B6376"/>
    <w:rsid w:val="003B64CF"/>
    <w:rsid w:val="003C0096"/>
    <w:rsid w:val="003C45E7"/>
    <w:rsid w:val="003D2F72"/>
    <w:rsid w:val="003D7C80"/>
    <w:rsid w:val="00410279"/>
    <w:rsid w:val="00410F75"/>
    <w:rsid w:val="00414137"/>
    <w:rsid w:val="00416E07"/>
    <w:rsid w:val="00417B8B"/>
    <w:rsid w:val="00420958"/>
    <w:rsid w:val="00420C9B"/>
    <w:rsid w:val="00424038"/>
    <w:rsid w:val="004243F9"/>
    <w:rsid w:val="00430B49"/>
    <w:rsid w:val="00434B53"/>
    <w:rsid w:val="00434EDB"/>
    <w:rsid w:val="004361D9"/>
    <w:rsid w:val="00440610"/>
    <w:rsid w:val="00440A5B"/>
    <w:rsid w:val="00442740"/>
    <w:rsid w:val="004546B3"/>
    <w:rsid w:val="00483BB2"/>
    <w:rsid w:val="00494EFC"/>
    <w:rsid w:val="004A6851"/>
    <w:rsid w:val="004B4796"/>
    <w:rsid w:val="004B6042"/>
    <w:rsid w:val="004B7465"/>
    <w:rsid w:val="004C0576"/>
    <w:rsid w:val="004C5C24"/>
    <w:rsid w:val="004C6A19"/>
    <w:rsid w:val="004D47A6"/>
    <w:rsid w:val="004D6B79"/>
    <w:rsid w:val="004E3164"/>
    <w:rsid w:val="004F1ACC"/>
    <w:rsid w:val="004F28C9"/>
    <w:rsid w:val="00502445"/>
    <w:rsid w:val="00507D03"/>
    <w:rsid w:val="00511366"/>
    <w:rsid w:val="00520668"/>
    <w:rsid w:val="00524D4D"/>
    <w:rsid w:val="00530E95"/>
    <w:rsid w:val="00540928"/>
    <w:rsid w:val="0054194A"/>
    <w:rsid w:val="00545F1B"/>
    <w:rsid w:val="00551672"/>
    <w:rsid w:val="00565B1B"/>
    <w:rsid w:val="005671E6"/>
    <w:rsid w:val="00567991"/>
    <w:rsid w:val="005764F6"/>
    <w:rsid w:val="00577043"/>
    <w:rsid w:val="00580054"/>
    <w:rsid w:val="00581B55"/>
    <w:rsid w:val="00583F0E"/>
    <w:rsid w:val="005851E2"/>
    <w:rsid w:val="0059020B"/>
    <w:rsid w:val="00592905"/>
    <w:rsid w:val="005957A6"/>
    <w:rsid w:val="005974FB"/>
    <w:rsid w:val="005A3582"/>
    <w:rsid w:val="005A615E"/>
    <w:rsid w:val="005B05FE"/>
    <w:rsid w:val="005B5478"/>
    <w:rsid w:val="005C0555"/>
    <w:rsid w:val="005C5C6D"/>
    <w:rsid w:val="005D43B5"/>
    <w:rsid w:val="005E5778"/>
    <w:rsid w:val="005E5F95"/>
    <w:rsid w:val="005F038F"/>
    <w:rsid w:val="005F474D"/>
    <w:rsid w:val="0060422C"/>
    <w:rsid w:val="006143DB"/>
    <w:rsid w:val="0061676B"/>
    <w:rsid w:val="0062761C"/>
    <w:rsid w:val="00634EE0"/>
    <w:rsid w:val="00640849"/>
    <w:rsid w:val="006437D6"/>
    <w:rsid w:val="006453A3"/>
    <w:rsid w:val="00656103"/>
    <w:rsid w:val="00663541"/>
    <w:rsid w:val="00670970"/>
    <w:rsid w:val="00672AF5"/>
    <w:rsid w:val="00672FD4"/>
    <w:rsid w:val="0067442F"/>
    <w:rsid w:val="00681361"/>
    <w:rsid w:val="0068177C"/>
    <w:rsid w:val="00685A87"/>
    <w:rsid w:val="00692BF5"/>
    <w:rsid w:val="00692E24"/>
    <w:rsid w:val="00693D4F"/>
    <w:rsid w:val="00697F0F"/>
    <w:rsid w:val="006A17EC"/>
    <w:rsid w:val="006A6496"/>
    <w:rsid w:val="006A766C"/>
    <w:rsid w:val="006B6058"/>
    <w:rsid w:val="006C0251"/>
    <w:rsid w:val="006C21F8"/>
    <w:rsid w:val="006C3B4C"/>
    <w:rsid w:val="006C51B3"/>
    <w:rsid w:val="006C53C4"/>
    <w:rsid w:val="006D36DE"/>
    <w:rsid w:val="006D4D05"/>
    <w:rsid w:val="006D7EC0"/>
    <w:rsid w:val="006E091C"/>
    <w:rsid w:val="006E7859"/>
    <w:rsid w:val="006F5CF2"/>
    <w:rsid w:val="006F5E78"/>
    <w:rsid w:val="006F662B"/>
    <w:rsid w:val="00700C73"/>
    <w:rsid w:val="00703828"/>
    <w:rsid w:val="0071142C"/>
    <w:rsid w:val="00716C96"/>
    <w:rsid w:val="0071742E"/>
    <w:rsid w:val="00721966"/>
    <w:rsid w:val="00723D2D"/>
    <w:rsid w:val="00727493"/>
    <w:rsid w:val="00733FB0"/>
    <w:rsid w:val="007372EA"/>
    <w:rsid w:val="007418DF"/>
    <w:rsid w:val="00755F1E"/>
    <w:rsid w:val="00763880"/>
    <w:rsid w:val="00763D47"/>
    <w:rsid w:val="00764571"/>
    <w:rsid w:val="00770264"/>
    <w:rsid w:val="00774F00"/>
    <w:rsid w:val="00782ADA"/>
    <w:rsid w:val="007A2171"/>
    <w:rsid w:val="007A4D43"/>
    <w:rsid w:val="007A4D54"/>
    <w:rsid w:val="007B435A"/>
    <w:rsid w:val="007B5F89"/>
    <w:rsid w:val="007C2698"/>
    <w:rsid w:val="007C39E2"/>
    <w:rsid w:val="007D093E"/>
    <w:rsid w:val="007D5862"/>
    <w:rsid w:val="007D5C7F"/>
    <w:rsid w:val="007D5DCB"/>
    <w:rsid w:val="007E264A"/>
    <w:rsid w:val="007E605E"/>
    <w:rsid w:val="007F03B9"/>
    <w:rsid w:val="007F4220"/>
    <w:rsid w:val="007F6B67"/>
    <w:rsid w:val="00800926"/>
    <w:rsid w:val="0081244E"/>
    <w:rsid w:val="00812A22"/>
    <w:rsid w:val="0081469F"/>
    <w:rsid w:val="00814838"/>
    <w:rsid w:val="00814C5D"/>
    <w:rsid w:val="00815470"/>
    <w:rsid w:val="0082543E"/>
    <w:rsid w:val="00841FF6"/>
    <w:rsid w:val="008452A3"/>
    <w:rsid w:val="008462F6"/>
    <w:rsid w:val="00854E86"/>
    <w:rsid w:val="008609FB"/>
    <w:rsid w:val="0086239F"/>
    <w:rsid w:val="00873C7A"/>
    <w:rsid w:val="008823E9"/>
    <w:rsid w:val="00885D4B"/>
    <w:rsid w:val="00891020"/>
    <w:rsid w:val="00891174"/>
    <w:rsid w:val="00892659"/>
    <w:rsid w:val="0089278F"/>
    <w:rsid w:val="00895EE2"/>
    <w:rsid w:val="00896A23"/>
    <w:rsid w:val="008A50DD"/>
    <w:rsid w:val="008B081E"/>
    <w:rsid w:val="008B7067"/>
    <w:rsid w:val="008C14BB"/>
    <w:rsid w:val="008C25A7"/>
    <w:rsid w:val="008C3024"/>
    <w:rsid w:val="008D080B"/>
    <w:rsid w:val="008D0BED"/>
    <w:rsid w:val="008D1D18"/>
    <w:rsid w:val="008D31DD"/>
    <w:rsid w:val="008D575C"/>
    <w:rsid w:val="008D642E"/>
    <w:rsid w:val="008F015D"/>
    <w:rsid w:val="008F0D09"/>
    <w:rsid w:val="008F3B36"/>
    <w:rsid w:val="008F570E"/>
    <w:rsid w:val="0090106E"/>
    <w:rsid w:val="00903870"/>
    <w:rsid w:val="009050F0"/>
    <w:rsid w:val="009062AA"/>
    <w:rsid w:val="009128E4"/>
    <w:rsid w:val="00913403"/>
    <w:rsid w:val="0091792E"/>
    <w:rsid w:val="00917C85"/>
    <w:rsid w:val="00922DC1"/>
    <w:rsid w:val="009364E5"/>
    <w:rsid w:val="00936E66"/>
    <w:rsid w:val="00937510"/>
    <w:rsid w:val="00945500"/>
    <w:rsid w:val="009458E7"/>
    <w:rsid w:val="0095098B"/>
    <w:rsid w:val="00954745"/>
    <w:rsid w:val="00955757"/>
    <w:rsid w:val="00956E50"/>
    <w:rsid w:val="00957210"/>
    <w:rsid w:val="00957FD5"/>
    <w:rsid w:val="009611D1"/>
    <w:rsid w:val="00964350"/>
    <w:rsid w:val="00966602"/>
    <w:rsid w:val="00966DA5"/>
    <w:rsid w:val="00973EEE"/>
    <w:rsid w:val="009839E4"/>
    <w:rsid w:val="00985B3D"/>
    <w:rsid w:val="00987A5F"/>
    <w:rsid w:val="00991779"/>
    <w:rsid w:val="009922B0"/>
    <w:rsid w:val="009A262C"/>
    <w:rsid w:val="009A7D0E"/>
    <w:rsid w:val="009B3E70"/>
    <w:rsid w:val="009B5728"/>
    <w:rsid w:val="009B6EB4"/>
    <w:rsid w:val="009C3A18"/>
    <w:rsid w:val="009C7E5A"/>
    <w:rsid w:val="009D4307"/>
    <w:rsid w:val="009E2417"/>
    <w:rsid w:val="009E2C40"/>
    <w:rsid w:val="009F6097"/>
    <w:rsid w:val="009F78F3"/>
    <w:rsid w:val="00A0040A"/>
    <w:rsid w:val="00A02BCE"/>
    <w:rsid w:val="00A113BD"/>
    <w:rsid w:val="00A13754"/>
    <w:rsid w:val="00A23B81"/>
    <w:rsid w:val="00A25ECB"/>
    <w:rsid w:val="00A32B36"/>
    <w:rsid w:val="00A33E8E"/>
    <w:rsid w:val="00A366F7"/>
    <w:rsid w:val="00A41E9B"/>
    <w:rsid w:val="00A52417"/>
    <w:rsid w:val="00A533E4"/>
    <w:rsid w:val="00A5461A"/>
    <w:rsid w:val="00A563B3"/>
    <w:rsid w:val="00A56946"/>
    <w:rsid w:val="00A6222E"/>
    <w:rsid w:val="00A81E1B"/>
    <w:rsid w:val="00A87309"/>
    <w:rsid w:val="00A965A3"/>
    <w:rsid w:val="00AA215A"/>
    <w:rsid w:val="00AA5D43"/>
    <w:rsid w:val="00AA66AE"/>
    <w:rsid w:val="00AC0205"/>
    <w:rsid w:val="00AC5FC8"/>
    <w:rsid w:val="00AD14AA"/>
    <w:rsid w:val="00AD1EEA"/>
    <w:rsid w:val="00AE1ECA"/>
    <w:rsid w:val="00AE50D5"/>
    <w:rsid w:val="00AE7B7A"/>
    <w:rsid w:val="00B01374"/>
    <w:rsid w:val="00B13B65"/>
    <w:rsid w:val="00B13F4C"/>
    <w:rsid w:val="00B17BFD"/>
    <w:rsid w:val="00B22FA4"/>
    <w:rsid w:val="00B3165B"/>
    <w:rsid w:val="00B34A4D"/>
    <w:rsid w:val="00B364A5"/>
    <w:rsid w:val="00B41453"/>
    <w:rsid w:val="00B4370C"/>
    <w:rsid w:val="00B63F24"/>
    <w:rsid w:val="00B65859"/>
    <w:rsid w:val="00B66F4F"/>
    <w:rsid w:val="00B72DEA"/>
    <w:rsid w:val="00B7359B"/>
    <w:rsid w:val="00B85AC1"/>
    <w:rsid w:val="00B85AFF"/>
    <w:rsid w:val="00B875C4"/>
    <w:rsid w:val="00B90D49"/>
    <w:rsid w:val="00B90F17"/>
    <w:rsid w:val="00B94518"/>
    <w:rsid w:val="00B9794A"/>
    <w:rsid w:val="00BA4326"/>
    <w:rsid w:val="00BA764D"/>
    <w:rsid w:val="00BA7DB7"/>
    <w:rsid w:val="00BC165A"/>
    <w:rsid w:val="00BC16FE"/>
    <w:rsid w:val="00BC30F7"/>
    <w:rsid w:val="00BC7E41"/>
    <w:rsid w:val="00BD0B02"/>
    <w:rsid w:val="00BD185F"/>
    <w:rsid w:val="00BD4759"/>
    <w:rsid w:val="00BD62B5"/>
    <w:rsid w:val="00BD77C9"/>
    <w:rsid w:val="00BE095C"/>
    <w:rsid w:val="00BE3411"/>
    <w:rsid w:val="00BE4BC7"/>
    <w:rsid w:val="00BF774B"/>
    <w:rsid w:val="00C0160A"/>
    <w:rsid w:val="00C03AD5"/>
    <w:rsid w:val="00C04BC4"/>
    <w:rsid w:val="00C13A36"/>
    <w:rsid w:val="00C1444A"/>
    <w:rsid w:val="00C15A8A"/>
    <w:rsid w:val="00C21CB8"/>
    <w:rsid w:val="00C227FB"/>
    <w:rsid w:val="00C25DB4"/>
    <w:rsid w:val="00C26996"/>
    <w:rsid w:val="00C34595"/>
    <w:rsid w:val="00C34CDB"/>
    <w:rsid w:val="00C36F3B"/>
    <w:rsid w:val="00C45114"/>
    <w:rsid w:val="00C5197A"/>
    <w:rsid w:val="00C5287B"/>
    <w:rsid w:val="00C53901"/>
    <w:rsid w:val="00C56ABC"/>
    <w:rsid w:val="00C56F58"/>
    <w:rsid w:val="00C71375"/>
    <w:rsid w:val="00C7151B"/>
    <w:rsid w:val="00C72929"/>
    <w:rsid w:val="00C76D9C"/>
    <w:rsid w:val="00C9448D"/>
    <w:rsid w:val="00CA1914"/>
    <w:rsid w:val="00CA202A"/>
    <w:rsid w:val="00CA5B36"/>
    <w:rsid w:val="00CA68A0"/>
    <w:rsid w:val="00CB7288"/>
    <w:rsid w:val="00CB7353"/>
    <w:rsid w:val="00CB7F1F"/>
    <w:rsid w:val="00CC2CD6"/>
    <w:rsid w:val="00CC64DD"/>
    <w:rsid w:val="00CD1261"/>
    <w:rsid w:val="00CD2FCD"/>
    <w:rsid w:val="00CD32A0"/>
    <w:rsid w:val="00CD47EB"/>
    <w:rsid w:val="00CD494A"/>
    <w:rsid w:val="00CE6962"/>
    <w:rsid w:val="00CE7050"/>
    <w:rsid w:val="00CF20C2"/>
    <w:rsid w:val="00CF37FD"/>
    <w:rsid w:val="00CF4A41"/>
    <w:rsid w:val="00D04DF0"/>
    <w:rsid w:val="00D0529F"/>
    <w:rsid w:val="00D06CE4"/>
    <w:rsid w:val="00D15825"/>
    <w:rsid w:val="00D210F4"/>
    <w:rsid w:val="00D21AD7"/>
    <w:rsid w:val="00D23BD7"/>
    <w:rsid w:val="00D31F3F"/>
    <w:rsid w:val="00D349E8"/>
    <w:rsid w:val="00D42523"/>
    <w:rsid w:val="00D42A08"/>
    <w:rsid w:val="00D449A6"/>
    <w:rsid w:val="00D46D11"/>
    <w:rsid w:val="00D510ED"/>
    <w:rsid w:val="00D552F2"/>
    <w:rsid w:val="00D56CC1"/>
    <w:rsid w:val="00D56CCA"/>
    <w:rsid w:val="00D62C5E"/>
    <w:rsid w:val="00D62DCD"/>
    <w:rsid w:val="00D65F59"/>
    <w:rsid w:val="00D70208"/>
    <w:rsid w:val="00D744E3"/>
    <w:rsid w:val="00D759B7"/>
    <w:rsid w:val="00D823A2"/>
    <w:rsid w:val="00D8470A"/>
    <w:rsid w:val="00D925D7"/>
    <w:rsid w:val="00D95127"/>
    <w:rsid w:val="00DA3F1E"/>
    <w:rsid w:val="00DA578C"/>
    <w:rsid w:val="00DB166D"/>
    <w:rsid w:val="00DB2214"/>
    <w:rsid w:val="00DB515E"/>
    <w:rsid w:val="00DC0CDF"/>
    <w:rsid w:val="00DC0FD7"/>
    <w:rsid w:val="00DC2CE3"/>
    <w:rsid w:val="00DC31AF"/>
    <w:rsid w:val="00DD37CF"/>
    <w:rsid w:val="00DD3D44"/>
    <w:rsid w:val="00DD7082"/>
    <w:rsid w:val="00DE1D24"/>
    <w:rsid w:val="00DE2BF7"/>
    <w:rsid w:val="00DE596C"/>
    <w:rsid w:val="00DF736B"/>
    <w:rsid w:val="00E0206A"/>
    <w:rsid w:val="00E1191F"/>
    <w:rsid w:val="00E13491"/>
    <w:rsid w:val="00E15A22"/>
    <w:rsid w:val="00E16062"/>
    <w:rsid w:val="00E2062A"/>
    <w:rsid w:val="00E25384"/>
    <w:rsid w:val="00E25DF3"/>
    <w:rsid w:val="00E26727"/>
    <w:rsid w:val="00E30AF0"/>
    <w:rsid w:val="00E318F7"/>
    <w:rsid w:val="00E33916"/>
    <w:rsid w:val="00E43CFB"/>
    <w:rsid w:val="00E458FD"/>
    <w:rsid w:val="00E469AF"/>
    <w:rsid w:val="00E5140F"/>
    <w:rsid w:val="00E548C5"/>
    <w:rsid w:val="00E618B6"/>
    <w:rsid w:val="00E66BB5"/>
    <w:rsid w:val="00E702EA"/>
    <w:rsid w:val="00E70DB5"/>
    <w:rsid w:val="00E71067"/>
    <w:rsid w:val="00E7332E"/>
    <w:rsid w:val="00E77D3E"/>
    <w:rsid w:val="00E84FBE"/>
    <w:rsid w:val="00E90B30"/>
    <w:rsid w:val="00E934DA"/>
    <w:rsid w:val="00EA5A8C"/>
    <w:rsid w:val="00EB387F"/>
    <w:rsid w:val="00EB43AE"/>
    <w:rsid w:val="00EC4AEE"/>
    <w:rsid w:val="00EC54C3"/>
    <w:rsid w:val="00EC5740"/>
    <w:rsid w:val="00EC5B10"/>
    <w:rsid w:val="00EC5B45"/>
    <w:rsid w:val="00ED0A3F"/>
    <w:rsid w:val="00ED1DBF"/>
    <w:rsid w:val="00ED2E8B"/>
    <w:rsid w:val="00ED667C"/>
    <w:rsid w:val="00ED7088"/>
    <w:rsid w:val="00EE1216"/>
    <w:rsid w:val="00EE2715"/>
    <w:rsid w:val="00EE53AF"/>
    <w:rsid w:val="00EE59E0"/>
    <w:rsid w:val="00EF3FBC"/>
    <w:rsid w:val="00F00098"/>
    <w:rsid w:val="00F039FC"/>
    <w:rsid w:val="00F07A2C"/>
    <w:rsid w:val="00F1042B"/>
    <w:rsid w:val="00F1448E"/>
    <w:rsid w:val="00F168DE"/>
    <w:rsid w:val="00F31EC9"/>
    <w:rsid w:val="00F342BD"/>
    <w:rsid w:val="00F34481"/>
    <w:rsid w:val="00F352DD"/>
    <w:rsid w:val="00F36D99"/>
    <w:rsid w:val="00F3731C"/>
    <w:rsid w:val="00F41352"/>
    <w:rsid w:val="00F42240"/>
    <w:rsid w:val="00F42CFF"/>
    <w:rsid w:val="00F62C1E"/>
    <w:rsid w:val="00F63280"/>
    <w:rsid w:val="00F66C39"/>
    <w:rsid w:val="00F66D30"/>
    <w:rsid w:val="00F72E61"/>
    <w:rsid w:val="00F73E88"/>
    <w:rsid w:val="00F77DB5"/>
    <w:rsid w:val="00F81C3F"/>
    <w:rsid w:val="00F856A6"/>
    <w:rsid w:val="00F85ED9"/>
    <w:rsid w:val="00F863D6"/>
    <w:rsid w:val="00F87D34"/>
    <w:rsid w:val="00F90642"/>
    <w:rsid w:val="00FA29DC"/>
    <w:rsid w:val="00FA59F3"/>
    <w:rsid w:val="00FA61E5"/>
    <w:rsid w:val="00FA766A"/>
    <w:rsid w:val="00FB04F6"/>
    <w:rsid w:val="00FB08F0"/>
    <w:rsid w:val="00FB1145"/>
    <w:rsid w:val="00FB59C1"/>
    <w:rsid w:val="00FB5BA6"/>
    <w:rsid w:val="00FC2DCF"/>
    <w:rsid w:val="00FC69E6"/>
    <w:rsid w:val="00FC6BB5"/>
    <w:rsid w:val="00FD0C5A"/>
    <w:rsid w:val="00FD1649"/>
    <w:rsid w:val="00FD1678"/>
    <w:rsid w:val="00FD323F"/>
    <w:rsid w:val="00FD5A55"/>
    <w:rsid w:val="00FD7C67"/>
    <w:rsid w:val="00FF020D"/>
    <w:rsid w:val="00FF16D6"/>
    <w:rsid w:val="00FF65AC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qFormat/>
    <w:rsid w:val="008609FB"/>
    <w:rPr>
      <w:sz w:val="32"/>
      <w:szCs w:val="32"/>
    </w:rPr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CharPartText"/>
    <w:qFormat/>
    <w:rsid w:val="008609FB"/>
    <w:rPr>
      <w:sz w:val="32"/>
      <w:szCs w:val="32"/>
    </w:rPr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1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A5A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81E"/>
    <w:rPr>
      <w:color w:val="605E5C"/>
      <w:shd w:val="clear" w:color="auto" w:fill="E1DFDD"/>
    </w:rPr>
  </w:style>
  <w:style w:type="character" w:customStyle="1" w:styleId="charpartno0">
    <w:name w:val="charpartno"/>
    <w:basedOn w:val="DefaultParagraphFont"/>
    <w:rsid w:val="007C2698"/>
  </w:style>
  <w:style w:type="paragraph" w:customStyle="1" w:styleId="li-bodytextnote0">
    <w:name w:val="li-bodytextnote"/>
    <w:basedOn w:val="Normal"/>
    <w:rsid w:val="007C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9458E7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R1">
    <w:name w:val="R1"/>
    <w:aliases w:val="1. or 1.(1)"/>
    <w:basedOn w:val="Normal"/>
    <w:next w:val="Normal"/>
    <w:rsid w:val="00FB08F0"/>
    <w:pPr>
      <w:tabs>
        <w:tab w:val="right" w:pos="794"/>
        <w:tab w:val="left" w:pos="96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HR">
    <w:name w:val="HR"/>
    <w:aliases w:val="Regulation Heading"/>
    <w:basedOn w:val="Normal"/>
    <w:next w:val="R1"/>
    <w:rsid w:val="007A4D43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8BEAE-725A-41A8-B588-357ECF9EA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3BBED-36B7-4F69-A6EA-45DEAA65F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B9186-019F-4285-8535-5A5C19801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F28253-F11D-421B-99C0-F1D235B19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Vella</dc:creator>
  <cp:keywords/>
  <dc:description/>
  <cp:lastModifiedBy>Morgan Vaudrey</cp:lastModifiedBy>
  <cp:revision>3</cp:revision>
  <cp:lastPrinted>2016-10-19T01:54:00Z</cp:lastPrinted>
  <dcterms:created xsi:type="dcterms:W3CDTF">2025-03-18T04:30:00Z</dcterms:created>
  <dcterms:modified xsi:type="dcterms:W3CDTF">2025-03-21T04:26:00Z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e4c28bde-d957-4cf1-99eb-78cbcd1423f9</vt:lpwstr>
  </property>
</Properties>
</file>