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6CC59" w14:textId="77777777" w:rsidR="005B2022" w:rsidRPr="004B569A" w:rsidRDefault="005B2022" w:rsidP="005B20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9A">
        <w:rPr>
          <w:rFonts w:ascii="Times New Roman" w:hAnsi="Times New Roman" w:cs="Times New Roman"/>
          <w:b/>
          <w:sz w:val="28"/>
          <w:szCs w:val="28"/>
        </w:rPr>
        <w:t>EXPLANATORY STATEMENT</w:t>
      </w:r>
    </w:p>
    <w:p w14:paraId="14EA5457" w14:textId="11A624EB" w:rsidR="005B2022" w:rsidRPr="004B569A" w:rsidRDefault="00357836" w:rsidP="005B2022">
      <w:pPr>
        <w:jc w:val="center"/>
        <w:rPr>
          <w:rFonts w:ascii="Times New Roman" w:hAnsi="Times New Roman" w:cs="Times New Roman"/>
          <w:bCs/>
        </w:rPr>
      </w:pPr>
      <w:r w:rsidRPr="004B569A">
        <w:rPr>
          <w:rFonts w:ascii="Times New Roman" w:hAnsi="Times New Roman" w:cs="Times New Roman"/>
          <w:bCs/>
        </w:rPr>
        <w:t xml:space="preserve">Approved </w:t>
      </w:r>
      <w:r w:rsidR="005B2022" w:rsidRPr="004B569A">
        <w:rPr>
          <w:rFonts w:ascii="Times New Roman" w:hAnsi="Times New Roman" w:cs="Times New Roman"/>
          <w:bCs/>
        </w:rPr>
        <w:t>by the Australian Communications and Media Authority</w:t>
      </w:r>
    </w:p>
    <w:p w14:paraId="01F5D29C" w14:textId="77777777" w:rsidR="00357836" w:rsidRPr="004B569A" w:rsidRDefault="00357836" w:rsidP="00357836">
      <w:pPr>
        <w:jc w:val="center"/>
        <w:rPr>
          <w:rFonts w:ascii="Times New Roman" w:hAnsi="Times New Roman" w:cs="Times New Roman"/>
          <w:bCs/>
          <w:i/>
        </w:rPr>
      </w:pPr>
      <w:r w:rsidRPr="004B569A">
        <w:rPr>
          <w:rFonts w:ascii="Times New Roman" w:hAnsi="Times New Roman" w:cs="Times New Roman"/>
          <w:bCs/>
          <w:i/>
        </w:rPr>
        <w:t>Telecommunications (Numbering Charges) Act 1997</w:t>
      </w:r>
    </w:p>
    <w:p w14:paraId="7CB2578E" w14:textId="50448FF4" w:rsidR="005B2022" w:rsidRPr="004B569A" w:rsidRDefault="005B2022" w:rsidP="005B2022">
      <w:pPr>
        <w:jc w:val="center"/>
        <w:rPr>
          <w:rFonts w:ascii="Times New Roman" w:hAnsi="Times New Roman" w:cs="Times New Roman"/>
          <w:b/>
          <w:i/>
        </w:rPr>
      </w:pPr>
      <w:r w:rsidRPr="004B569A">
        <w:rPr>
          <w:rFonts w:ascii="Times New Roman" w:hAnsi="Times New Roman" w:cs="Times New Roman"/>
          <w:b/>
          <w:i/>
        </w:rPr>
        <w:t>Telecommunications (Numbering Charges</w:t>
      </w:r>
      <w:r w:rsidR="003D1549" w:rsidRPr="004B569A">
        <w:rPr>
          <w:rFonts w:ascii="Times New Roman" w:hAnsi="Times New Roman" w:cs="Times New Roman"/>
          <w:b/>
          <w:i/>
        </w:rPr>
        <w:t>) (Allocation Charge</w:t>
      </w:r>
      <w:r w:rsidR="00A00012" w:rsidRPr="004B569A">
        <w:rPr>
          <w:rFonts w:ascii="Times New Roman" w:hAnsi="Times New Roman" w:cs="Times New Roman"/>
          <w:b/>
          <w:i/>
        </w:rPr>
        <w:t xml:space="preserve">) </w:t>
      </w:r>
      <w:r w:rsidRPr="004B569A">
        <w:rPr>
          <w:rFonts w:ascii="Times New Roman" w:hAnsi="Times New Roman" w:cs="Times New Roman"/>
          <w:b/>
          <w:i/>
        </w:rPr>
        <w:t xml:space="preserve">Determination </w:t>
      </w:r>
      <w:r w:rsidR="003D1549" w:rsidRPr="004B569A">
        <w:rPr>
          <w:rFonts w:ascii="Times New Roman" w:hAnsi="Times New Roman" w:cs="Times New Roman"/>
          <w:b/>
          <w:i/>
        </w:rPr>
        <w:t>20</w:t>
      </w:r>
      <w:r w:rsidR="00764F70" w:rsidRPr="004B569A">
        <w:rPr>
          <w:rFonts w:ascii="Times New Roman" w:hAnsi="Times New Roman" w:cs="Times New Roman"/>
          <w:b/>
          <w:i/>
        </w:rPr>
        <w:t>2</w:t>
      </w:r>
      <w:r w:rsidR="003D1549" w:rsidRPr="004B569A">
        <w:rPr>
          <w:rFonts w:ascii="Times New Roman" w:hAnsi="Times New Roman" w:cs="Times New Roman"/>
          <w:b/>
          <w:i/>
        </w:rPr>
        <w:t>5</w:t>
      </w:r>
    </w:p>
    <w:p w14:paraId="0A053EB7" w14:textId="47DB429E" w:rsidR="00A00012" w:rsidRPr="004B569A" w:rsidRDefault="00357836" w:rsidP="00D7253D">
      <w:pPr>
        <w:spacing w:after="120" w:line="240" w:lineRule="auto"/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  <w:i/>
          <w:sz w:val="20"/>
          <w:szCs w:val="20"/>
        </w:rPr>
        <w:br/>
      </w:r>
      <w:r w:rsidR="0006630F" w:rsidRPr="004B569A">
        <w:rPr>
          <w:rFonts w:ascii="Times New Roman" w:hAnsi="Times New Roman" w:cs="Times New Roman"/>
          <w:b/>
        </w:rPr>
        <w:t xml:space="preserve">Authority </w:t>
      </w:r>
    </w:p>
    <w:p w14:paraId="3F7B9BF9" w14:textId="2C04E6C3" w:rsidR="00BF462C" w:rsidRPr="009B4BDB" w:rsidRDefault="0006630F" w:rsidP="004B569A">
      <w:pPr>
        <w:spacing w:after="240" w:line="240" w:lineRule="auto"/>
        <w:rPr>
          <w:rFonts w:ascii="Times New Roman" w:hAnsi="Times New Roman" w:cs="Times New Roman"/>
          <w:iCs/>
        </w:rPr>
      </w:pPr>
      <w:r w:rsidRPr="009B4BDB">
        <w:rPr>
          <w:rFonts w:ascii="Times New Roman" w:hAnsi="Times New Roman" w:cs="Times New Roman"/>
        </w:rPr>
        <w:t xml:space="preserve">The Australian Communications and Media Authority (the </w:t>
      </w:r>
      <w:r w:rsidRPr="001353E8">
        <w:rPr>
          <w:rFonts w:ascii="Times New Roman" w:hAnsi="Times New Roman" w:cs="Times New Roman"/>
          <w:b/>
        </w:rPr>
        <w:t>ACMA</w:t>
      </w:r>
      <w:r w:rsidRPr="009B4BDB">
        <w:rPr>
          <w:rFonts w:ascii="Times New Roman" w:hAnsi="Times New Roman" w:cs="Times New Roman"/>
        </w:rPr>
        <w:t xml:space="preserve">) has made the </w:t>
      </w:r>
      <w:r w:rsidRPr="009B4BDB">
        <w:rPr>
          <w:rFonts w:ascii="Times New Roman" w:hAnsi="Times New Roman" w:cs="Times New Roman"/>
          <w:i/>
        </w:rPr>
        <w:t>Telecommunications (Numbering Charges) (Allocation Charge) Determination 2025 (</w:t>
      </w:r>
      <w:r w:rsidRPr="009B4BDB">
        <w:rPr>
          <w:rFonts w:ascii="Times New Roman" w:hAnsi="Times New Roman" w:cs="Times New Roman"/>
          <w:iCs/>
        </w:rPr>
        <w:t xml:space="preserve">the </w:t>
      </w:r>
      <w:r w:rsidR="002F7E02" w:rsidRPr="001353E8">
        <w:rPr>
          <w:rFonts w:ascii="Times New Roman" w:hAnsi="Times New Roman" w:cs="Times New Roman"/>
          <w:b/>
        </w:rPr>
        <w:t>instrument</w:t>
      </w:r>
      <w:r w:rsidRPr="009B4BDB">
        <w:rPr>
          <w:rFonts w:ascii="Times New Roman" w:hAnsi="Times New Roman" w:cs="Times New Roman"/>
          <w:iCs/>
        </w:rPr>
        <w:t xml:space="preserve">) under </w:t>
      </w:r>
      <w:r w:rsidR="00BF462C" w:rsidRPr="009B4BDB">
        <w:rPr>
          <w:rFonts w:ascii="Times New Roman" w:hAnsi="Times New Roman" w:cs="Times New Roman"/>
        </w:rPr>
        <w:t xml:space="preserve">subsection 13(1) of the </w:t>
      </w:r>
      <w:r w:rsidR="00BF462C" w:rsidRPr="009B4BDB">
        <w:rPr>
          <w:rFonts w:ascii="Times New Roman" w:hAnsi="Times New Roman" w:cs="Times New Roman"/>
          <w:i/>
        </w:rPr>
        <w:t xml:space="preserve">Telecommunications (Numbering Charges) Act 1997 </w:t>
      </w:r>
      <w:r w:rsidR="00BF462C" w:rsidRPr="009B4BDB">
        <w:rPr>
          <w:rFonts w:ascii="Times New Roman" w:hAnsi="Times New Roman" w:cs="Times New Roman"/>
        </w:rPr>
        <w:t>(</w:t>
      </w:r>
      <w:r w:rsidR="00EB71E9">
        <w:rPr>
          <w:rFonts w:ascii="Times New Roman" w:hAnsi="Times New Roman" w:cs="Times New Roman"/>
        </w:rPr>
        <w:t xml:space="preserve">the </w:t>
      </w:r>
      <w:r w:rsidR="00BF462C" w:rsidRPr="001353E8">
        <w:rPr>
          <w:rFonts w:ascii="Times New Roman" w:hAnsi="Times New Roman" w:cs="Times New Roman"/>
          <w:b/>
        </w:rPr>
        <w:t>Numbering Charges Act</w:t>
      </w:r>
      <w:r w:rsidR="00BF462C" w:rsidRPr="009B4BDB">
        <w:rPr>
          <w:rFonts w:ascii="Times New Roman" w:hAnsi="Times New Roman" w:cs="Times New Roman"/>
        </w:rPr>
        <w:t xml:space="preserve">) and in accordance with subsection 33(3) of the </w:t>
      </w:r>
      <w:r w:rsidR="00BF462C" w:rsidRPr="009B4BDB">
        <w:rPr>
          <w:rFonts w:ascii="Times New Roman" w:hAnsi="Times New Roman" w:cs="Times New Roman"/>
          <w:i/>
        </w:rPr>
        <w:t>Acts Interpretation Act 1901</w:t>
      </w:r>
      <w:r w:rsidR="00BF462C" w:rsidRPr="009B4BDB">
        <w:rPr>
          <w:rFonts w:ascii="Times New Roman" w:hAnsi="Times New Roman" w:cs="Times New Roman"/>
        </w:rPr>
        <w:t xml:space="preserve"> (</w:t>
      </w:r>
      <w:r w:rsidR="00BF462C" w:rsidRPr="001353E8">
        <w:rPr>
          <w:rFonts w:ascii="Times New Roman" w:hAnsi="Times New Roman" w:cs="Times New Roman"/>
          <w:b/>
        </w:rPr>
        <w:t>AIA</w:t>
      </w:r>
      <w:r w:rsidR="00BF462C" w:rsidRPr="009B4BDB">
        <w:rPr>
          <w:rFonts w:ascii="Times New Roman" w:hAnsi="Times New Roman" w:cs="Times New Roman"/>
        </w:rPr>
        <w:t>).</w:t>
      </w:r>
    </w:p>
    <w:p w14:paraId="0C46AB28" w14:textId="4FB0ED36" w:rsidR="00D93DF1" w:rsidRPr="009B4BDB" w:rsidRDefault="00D93DF1" w:rsidP="004B569A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Subsection </w:t>
      </w:r>
      <w:r w:rsidR="006C56FD">
        <w:rPr>
          <w:rFonts w:ascii="Times New Roman" w:eastAsia="Times New Roman" w:hAnsi="Times New Roman" w:cs="Times New Roman"/>
          <w:color w:val="000000" w:themeColor="text1"/>
          <w:lang w:eastAsia="en-AU"/>
        </w:rPr>
        <w:t>13</w:t>
      </w: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>(1) of the Numbering Cha</w:t>
      </w:r>
      <w:r w:rsidR="008B41FE">
        <w:rPr>
          <w:rFonts w:ascii="Times New Roman" w:eastAsia="Times New Roman" w:hAnsi="Times New Roman" w:cs="Times New Roman"/>
          <w:color w:val="000000" w:themeColor="text1"/>
          <w:lang w:eastAsia="en-AU"/>
        </w:rPr>
        <w:t>r</w:t>
      </w:r>
      <w:r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ges Act provides that the </w:t>
      </w:r>
      <w:r w:rsidR="00152E8F">
        <w:rPr>
          <w:rFonts w:ascii="Times New Roman" w:eastAsia="Times New Roman" w:hAnsi="Times New Roman" w:cs="Times New Roman"/>
          <w:color w:val="000000" w:themeColor="text1"/>
          <w:lang w:eastAsia="en-AU"/>
        </w:rPr>
        <w:t xml:space="preserve">amount of charge imposed on the allocation of a number is the amount ascertained in accordance with a written determination made by the ACMA. </w:t>
      </w:r>
    </w:p>
    <w:p w14:paraId="4D08B84F" w14:textId="75B08B6B" w:rsidR="00BF462C" w:rsidRPr="009B4BDB" w:rsidRDefault="00BF462C" w:rsidP="004B569A">
      <w:pPr>
        <w:spacing w:after="240" w:line="240" w:lineRule="auto"/>
        <w:rPr>
          <w:rFonts w:ascii="Times New Roman" w:hAnsi="Times New Roman" w:cs="Times New Roman"/>
        </w:rPr>
      </w:pPr>
      <w:r w:rsidRPr="009B4BDB">
        <w:rPr>
          <w:rFonts w:ascii="Times New Roman" w:hAnsi="Times New Roman" w:cs="Times New Roman"/>
        </w:rPr>
        <w:t>Subsection 33(3) of the AIA relevantly provides that</w:t>
      </w:r>
      <w:r w:rsidR="00BC4ACE" w:rsidRPr="009B4BDB">
        <w:rPr>
          <w:rFonts w:ascii="Times New Roman" w:hAnsi="Times New Roman" w:cs="Times New Roman"/>
        </w:rPr>
        <w:t>,</w:t>
      </w:r>
      <w:r w:rsidRPr="009B4BDB">
        <w:rPr>
          <w:rFonts w:ascii="Times New Roman" w:hAnsi="Times New Roman" w:cs="Times New Roman"/>
        </w:rPr>
        <w:t xml:space="preserve"> where an Act confers a power to make a legislative instrument, the power shall be construed as including a power exercisable in the like manner, and subject to the like conditions (if any), to repeal, rescind, revoke, amend or vary any such instrument.  </w:t>
      </w:r>
    </w:p>
    <w:p w14:paraId="6C341A52" w14:textId="4197739A" w:rsidR="00A00012" w:rsidRPr="004B569A" w:rsidRDefault="003D6918" w:rsidP="00D7253D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Pur</w:t>
      </w:r>
      <w:r w:rsidR="00A77812">
        <w:rPr>
          <w:rFonts w:ascii="Times New Roman" w:hAnsi="Times New Roman" w:cs="Times New Roman"/>
          <w:b/>
        </w:rPr>
        <w:t xml:space="preserve">pose and operation of the instrument </w:t>
      </w:r>
    </w:p>
    <w:p w14:paraId="19B6F2A6" w14:textId="0368316A" w:rsidR="007B7A34" w:rsidRPr="00A77812" w:rsidRDefault="007B7A34" w:rsidP="009B4BDB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purpose of th</w:t>
      </w:r>
      <w:r w:rsidR="00B505C7">
        <w:rPr>
          <w:rFonts w:ascii="Times New Roman" w:hAnsi="Times New Roman" w:cs="Times New Roman"/>
        </w:rPr>
        <w:t xml:space="preserve">e instrument is to continue the established arrangements for </w:t>
      </w:r>
      <w:r w:rsidR="000A262F">
        <w:rPr>
          <w:rFonts w:ascii="Times New Roman" w:hAnsi="Times New Roman" w:cs="Times New Roman"/>
        </w:rPr>
        <w:t>imposing charges on the allocation of numbers</w:t>
      </w:r>
      <w:r w:rsidR="00103ADE">
        <w:rPr>
          <w:rFonts w:ascii="Times New Roman" w:hAnsi="Times New Roman" w:cs="Times New Roman"/>
        </w:rPr>
        <w:t xml:space="preserve"> to carriage service providers (</w:t>
      </w:r>
      <w:r w:rsidR="00103ADE">
        <w:rPr>
          <w:rFonts w:ascii="Times New Roman" w:hAnsi="Times New Roman" w:cs="Times New Roman"/>
          <w:b/>
          <w:bCs/>
        </w:rPr>
        <w:t>CSPs)</w:t>
      </w:r>
      <w:r w:rsidR="002C6D27">
        <w:rPr>
          <w:rFonts w:ascii="Times New Roman" w:hAnsi="Times New Roman" w:cs="Times New Roman"/>
        </w:rPr>
        <w:t xml:space="preserve">, with some minor </w:t>
      </w:r>
      <w:r w:rsidR="00232D75">
        <w:rPr>
          <w:rFonts w:ascii="Times New Roman" w:hAnsi="Times New Roman" w:cs="Times New Roman"/>
        </w:rPr>
        <w:t>alterations to ensure that the instrument reflects the terminology and number types which are specified in the Telecommunications Nu</w:t>
      </w:r>
      <w:r w:rsidR="0057433F">
        <w:rPr>
          <w:rFonts w:ascii="Times New Roman" w:hAnsi="Times New Roman" w:cs="Times New Roman"/>
        </w:rPr>
        <w:t xml:space="preserve">mbering Plan 2025 (the </w:t>
      </w:r>
      <w:r w:rsidR="0057433F" w:rsidRPr="001353E8">
        <w:rPr>
          <w:rFonts w:ascii="Times New Roman" w:hAnsi="Times New Roman" w:cs="Times New Roman"/>
          <w:b/>
          <w:bCs/>
        </w:rPr>
        <w:t>Numbering Plan</w:t>
      </w:r>
      <w:r w:rsidR="0057433F">
        <w:rPr>
          <w:rFonts w:ascii="Times New Roman" w:hAnsi="Times New Roman" w:cs="Times New Roman"/>
        </w:rPr>
        <w:t>).</w:t>
      </w:r>
    </w:p>
    <w:p w14:paraId="631E7864" w14:textId="30E5D3E8" w:rsidR="009E0012" w:rsidRDefault="00EA0D40" w:rsidP="009B4BDB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 2 of t</w:t>
      </w:r>
      <w:r w:rsidR="009E0012">
        <w:rPr>
          <w:rFonts w:ascii="Times New Roman" w:hAnsi="Times New Roman" w:cs="Times New Roman"/>
        </w:rPr>
        <w:t>he Numbering Charges Act</w:t>
      </w:r>
      <w:r>
        <w:rPr>
          <w:rFonts w:ascii="Times New Roman" w:hAnsi="Times New Roman" w:cs="Times New Roman"/>
        </w:rPr>
        <w:t xml:space="preserve"> </w:t>
      </w:r>
      <w:r w:rsidR="00B86B4E">
        <w:rPr>
          <w:rFonts w:ascii="Times New Roman" w:hAnsi="Times New Roman" w:cs="Times New Roman"/>
        </w:rPr>
        <w:t xml:space="preserve">provides </w:t>
      </w:r>
      <w:r w:rsidR="009C2302">
        <w:rPr>
          <w:rFonts w:ascii="Times New Roman" w:hAnsi="Times New Roman" w:cs="Times New Roman"/>
        </w:rPr>
        <w:t xml:space="preserve">that charges are </w:t>
      </w:r>
      <w:r w:rsidR="00B44E74">
        <w:rPr>
          <w:rFonts w:ascii="Times New Roman" w:hAnsi="Times New Roman" w:cs="Times New Roman"/>
        </w:rPr>
        <w:t>imposed on the allocation of a number</w:t>
      </w:r>
      <w:r w:rsidR="00FD03B9">
        <w:rPr>
          <w:rFonts w:ascii="Times New Roman" w:hAnsi="Times New Roman" w:cs="Times New Roman"/>
        </w:rPr>
        <w:t xml:space="preserve"> and sets out </w:t>
      </w:r>
      <w:r w:rsidR="00840A58">
        <w:rPr>
          <w:rFonts w:ascii="Times New Roman" w:hAnsi="Times New Roman" w:cs="Times New Roman"/>
        </w:rPr>
        <w:t>how</w:t>
      </w:r>
      <w:r w:rsidR="00B44E74">
        <w:rPr>
          <w:rFonts w:ascii="Times New Roman" w:hAnsi="Times New Roman" w:cs="Times New Roman"/>
        </w:rPr>
        <w:t xml:space="preserve"> </w:t>
      </w:r>
      <w:r w:rsidR="0082454A">
        <w:rPr>
          <w:rFonts w:ascii="Times New Roman" w:hAnsi="Times New Roman" w:cs="Times New Roman"/>
        </w:rPr>
        <w:t>c</w:t>
      </w:r>
      <w:r w:rsidR="007C286C">
        <w:rPr>
          <w:rFonts w:ascii="Times New Roman" w:hAnsi="Times New Roman" w:cs="Times New Roman"/>
        </w:rPr>
        <w:t xml:space="preserve">harges may be imposed </w:t>
      </w:r>
      <w:r w:rsidR="006D7C2C">
        <w:rPr>
          <w:rFonts w:ascii="Times New Roman" w:hAnsi="Times New Roman" w:cs="Times New Roman"/>
        </w:rPr>
        <w:t xml:space="preserve">in accordance with an allocation system, or otherwise than in accordance with an allocation system. </w:t>
      </w:r>
    </w:p>
    <w:p w14:paraId="715D184A" w14:textId="7453A6F7" w:rsidR="0069217D" w:rsidRDefault="003A11BE" w:rsidP="001353E8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Division 1</w:t>
      </w:r>
      <w:r w:rsidR="002A675B" w:rsidRPr="001353E8">
        <w:rPr>
          <w:rFonts w:ascii="Times New Roman" w:hAnsi="Times New Roman" w:cs="Times New Roman"/>
        </w:rPr>
        <w:t xml:space="preserve"> of</w:t>
      </w:r>
      <w:r w:rsidR="00495F63">
        <w:rPr>
          <w:rFonts w:ascii="Times New Roman" w:hAnsi="Times New Roman" w:cs="Times New Roman"/>
        </w:rPr>
        <w:t xml:space="preserve"> Part 2 of</w:t>
      </w:r>
      <w:r w:rsidR="002A675B" w:rsidRPr="001353E8">
        <w:rPr>
          <w:rFonts w:ascii="Times New Roman" w:hAnsi="Times New Roman" w:cs="Times New Roman"/>
        </w:rPr>
        <w:t xml:space="preserve"> the Numbering Charges Act sets out </w:t>
      </w:r>
      <w:r w:rsidR="00EA08DD">
        <w:rPr>
          <w:rFonts w:ascii="Times New Roman" w:hAnsi="Times New Roman" w:cs="Times New Roman"/>
        </w:rPr>
        <w:t>how</w:t>
      </w:r>
      <w:r w:rsidR="001D5BC9">
        <w:rPr>
          <w:rFonts w:ascii="Times New Roman" w:hAnsi="Times New Roman" w:cs="Times New Roman"/>
        </w:rPr>
        <w:t xml:space="preserve"> numbering allocation</w:t>
      </w:r>
      <w:r w:rsidR="00D32B7B" w:rsidRPr="001353E8">
        <w:rPr>
          <w:rFonts w:ascii="Times New Roman" w:hAnsi="Times New Roman" w:cs="Times New Roman"/>
        </w:rPr>
        <w:t xml:space="preserve"> charges</w:t>
      </w:r>
      <w:r w:rsidR="00EA08DD">
        <w:rPr>
          <w:rFonts w:ascii="Times New Roman" w:hAnsi="Times New Roman" w:cs="Times New Roman"/>
        </w:rPr>
        <w:t xml:space="preserve"> </w:t>
      </w:r>
      <w:r w:rsidR="00495F63">
        <w:rPr>
          <w:rFonts w:ascii="Times New Roman" w:hAnsi="Times New Roman" w:cs="Times New Roman"/>
        </w:rPr>
        <w:t>are to</w:t>
      </w:r>
      <w:r w:rsidR="00484989">
        <w:rPr>
          <w:rFonts w:ascii="Times New Roman" w:hAnsi="Times New Roman" w:cs="Times New Roman"/>
        </w:rPr>
        <w:t xml:space="preserve"> be imposed </w:t>
      </w:r>
      <w:r w:rsidR="001057F3">
        <w:rPr>
          <w:rFonts w:ascii="Times New Roman" w:hAnsi="Times New Roman" w:cs="Times New Roman"/>
        </w:rPr>
        <w:t xml:space="preserve">where numbers are allocated </w:t>
      </w:r>
      <w:r w:rsidR="000711FF">
        <w:rPr>
          <w:rFonts w:ascii="Times New Roman" w:hAnsi="Times New Roman" w:cs="Times New Roman"/>
        </w:rPr>
        <w:t>to CSPs</w:t>
      </w:r>
      <w:r w:rsidR="001D5BC9">
        <w:rPr>
          <w:rFonts w:ascii="Times New Roman" w:hAnsi="Times New Roman" w:cs="Times New Roman"/>
        </w:rPr>
        <w:t xml:space="preserve"> </w:t>
      </w:r>
      <w:r w:rsidR="00D32B7B" w:rsidRPr="001353E8">
        <w:rPr>
          <w:rFonts w:ascii="Times New Roman" w:hAnsi="Times New Roman" w:cs="Times New Roman"/>
        </w:rPr>
        <w:t xml:space="preserve">in accordance with an allocation system, </w:t>
      </w:r>
      <w:r w:rsidR="000572F4" w:rsidRPr="001353E8">
        <w:rPr>
          <w:rFonts w:ascii="Times New Roman" w:hAnsi="Times New Roman" w:cs="Times New Roman"/>
        </w:rPr>
        <w:t xml:space="preserve">including </w:t>
      </w:r>
      <w:r w:rsidR="00161EFF" w:rsidRPr="001353E8">
        <w:rPr>
          <w:rFonts w:ascii="Times New Roman" w:hAnsi="Times New Roman" w:cs="Times New Roman"/>
        </w:rPr>
        <w:t>by whom the charge is payable and</w:t>
      </w:r>
      <w:r w:rsidR="001C0E5C" w:rsidRPr="001353E8">
        <w:rPr>
          <w:rFonts w:ascii="Times New Roman" w:hAnsi="Times New Roman" w:cs="Times New Roman"/>
        </w:rPr>
        <w:t xml:space="preserve"> </w:t>
      </w:r>
      <w:r w:rsidR="00161EFF" w:rsidRPr="001353E8">
        <w:rPr>
          <w:rFonts w:ascii="Times New Roman" w:hAnsi="Times New Roman" w:cs="Times New Roman"/>
        </w:rPr>
        <w:t>the amount t</w:t>
      </w:r>
      <w:r w:rsidR="00495F63">
        <w:rPr>
          <w:rFonts w:ascii="Times New Roman" w:hAnsi="Times New Roman" w:cs="Times New Roman"/>
        </w:rPr>
        <w:t>o</w:t>
      </w:r>
      <w:r w:rsidR="00161EFF" w:rsidRPr="001353E8">
        <w:rPr>
          <w:rFonts w:ascii="Times New Roman" w:hAnsi="Times New Roman" w:cs="Times New Roman"/>
        </w:rPr>
        <w:t xml:space="preserve"> be charged</w:t>
      </w:r>
      <w:r w:rsidR="00495F63">
        <w:rPr>
          <w:rFonts w:ascii="Times New Roman" w:hAnsi="Times New Roman" w:cs="Times New Roman"/>
        </w:rPr>
        <w:t>,</w:t>
      </w:r>
      <w:r w:rsidR="001C0E5C" w:rsidRPr="001353E8">
        <w:rPr>
          <w:rFonts w:ascii="Times New Roman" w:hAnsi="Times New Roman" w:cs="Times New Roman"/>
        </w:rPr>
        <w:t xml:space="preserve"> </w:t>
      </w:r>
      <w:r w:rsidR="00495F63">
        <w:rPr>
          <w:rFonts w:ascii="Times New Roman" w:hAnsi="Times New Roman" w:cs="Times New Roman"/>
        </w:rPr>
        <w:t xml:space="preserve">as </w:t>
      </w:r>
      <w:r w:rsidR="00C545D5" w:rsidRPr="001353E8">
        <w:rPr>
          <w:rFonts w:ascii="Times New Roman" w:hAnsi="Times New Roman" w:cs="Times New Roman"/>
        </w:rPr>
        <w:t>determined</w:t>
      </w:r>
      <w:r w:rsidR="001D1620">
        <w:rPr>
          <w:rFonts w:ascii="Times New Roman" w:hAnsi="Times New Roman" w:cs="Times New Roman"/>
        </w:rPr>
        <w:t xml:space="preserve"> under </w:t>
      </w:r>
      <w:r w:rsidR="00564352">
        <w:rPr>
          <w:rFonts w:ascii="Times New Roman" w:hAnsi="Times New Roman" w:cs="Times New Roman"/>
        </w:rPr>
        <w:t xml:space="preserve">section 463 of the </w:t>
      </w:r>
      <w:r w:rsidR="00FE3BD9" w:rsidRPr="00970663">
        <w:rPr>
          <w:rFonts w:ascii="Times New Roman" w:hAnsi="Times New Roman" w:cs="Times New Roman"/>
          <w:i/>
          <w:iCs/>
        </w:rPr>
        <w:t xml:space="preserve">Telecommunications </w:t>
      </w:r>
      <w:r w:rsidR="00564352" w:rsidRPr="00970663">
        <w:rPr>
          <w:rFonts w:ascii="Times New Roman" w:hAnsi="Times New Roman" w:cs="Times New Roman"/>
          <w:i/>
          <w:iCs/>
        </w:rPr>
        <w:t>Act</w:t>
      </w:r>
      <w:r w:rsidR="00FE3BD9" w:rsidRPr="00970663">
        <w:rPr>
          <w:rFonts w:ascii="Times New Roman" w:hAnsi="Times New Roman" w:cs="Times New Roman"/>
          <w:i/>
          <w:iCs/>
        </w:rPr>
        <w:t xml:space="preserve"> 1997</w:t>
      </w:r>
      <w:r w:rsidR="00FE3BD9">
        <w:rPr>
          <w:rFonts w:ascii="Times New Roman" w:hAnsi="Times New Roman" w:cs="Times New Roman"/>
        </w:rPr>
        <w:t xml:space="preserve"> (the </w:t>
      </w:r>
      <w:r w:rsidR="00FE3BD9">
        <w:rPr>
          <w:rFonts w:ascii="Times New Roman" w:hAnsi="Times New Roman" w:cs="Times New Roman"/>
          <w:b/>
          <w:bCs/>
        </w:rPr>
        <w:t>Act</w:t>
      </w:r>
      <w:r w:rsidR="00FE3BD9">
        <w:rPr>
          <w:rFonts w:ascii="Times New Roman" w:hAnsi="Times New Roman" w:cs="Times New Roman"/>
        </w:rPr>
        <w:t>)</w:t>
      </w:r>
      <w:r w:rsidR="00161EFF" w:rsidRPr="001353E8">
        <w:rPr>
          <w:rFonts w:ascii="Times New Roman" w:hAnsi="Times New Roman" w:cs="Times New Roman"/>
        </w:rPr>
        <w:t>.</w:t>
      </w:r>
      <w:r w:rsidR="0043589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Division 2</w:t>
      </w:r>
      <w:r w:rsidR="001D5BC9">
        <w:rPr>
          <w:rFonts w:ascii="Times New Roman" w:hAnsi="Times New Roman" w:cs="Times New Roman"/>
        </w:rPr>
        <w:t xml:space="preserve"> sets </w:t>
      </w:r>
      <w:r w:rsidR="00B43AC3">
        <w:rPr>
          <w:rFonts w:ascii="Times New Roman" w:hAnsi="Times New Roman" w:cs="Times New Roman"/>
        </w:rPr>
        <w:t>out</w:t>
      </w:r>
      <w:r w:rsidR="001D5BC9">
        <w:rPr>
          <w:rFonts w:ascii="Times New Roman" w:hAnsi="Times New Roman" w:cs="Times New Roman"/>
        </w:rPr>
        <w:t xml:space="preserve"> how numbering allocation charges can be </w:t>
      </w:r>
      <w:r w:rsidR="00150D2F" w:rsidRPr="0021176A">
        <w:rPr>
          <w:rFonts w:ascii="Times New Roman" w:hAnsi="Times New Roman" w:cs="Times New Roman"/>
        </w:rPr>
        <w:t>impose</w:t>
      </w:r>
      <w:r w:rsidR="001D5BC9">
        <w:rPr>
          <w:rFonts w:ascii="Times New Roman" w:hAnsi="Times New Roman" w:cs="Times New Roman"/>
        </w:rPr>
        <w:t>d</w:t>
      </w:r>
      <w:r w:rsidR="00150D2F" w:rsidRPr="0021176A">
        <w:rPr>
          <w:rFonts w:ascii="Times New Roman" w:hAnsi="Times New Roman" w:cs="Times New Roman"/>
        </w:rPr>
        <w:t xml:space="preserve"> where that allocation occurs otherwise than in accordance with an allocation system</w:t>
      </w:r>
      <w:r w:rsidR="009E79C1">
        <w:rPr>
          <w:rFonts w:ascii="Times New Roman" w:hAnsi="Times New Roman" w:cs="Times New Roman"/>
        </w:rPr>
        <w:t>.</w:t>
      </w:r>
      <w:r w:rsidR="001A38D1">
        <w:rPr>
          <w:rFonts w:ascii="Times New Roman" w:hAnsi="Times New Roman" w:cs="Times New Roman"/>
        </w:rPr>
        <w:t xml:space="preserve"> </w:t>
      </w:r>
      <w:r w:rsidR="009E79C1" w:rsidRPr="0077265F">
        <w:rPr>
          <w:rFonts w:ascii="Times New Roman" w:hAnsi="Times New Roman" w:cs="Times New Roman"/>
        </w:rPr>
        <w:t>It</w:t>
      </w:r>
      <w:r w:rsidR="003449EF" w:rsidRPr="0077265F">
        <w:rPr>
          <w:rFonts w:ascii="Times New Roman" w:hAnsi="Times New Roman" w:cs="Times New Roman"/>
        </w:rPr>
        <w:t xml:space="preserve"> provides that </w:t>
      </w:r>
      <w:r w:rsidR="00150D2F" w:rsidRPr="001353E8">
        <w:rPr>
          <w:rFonts w:ascii="Times New Roman" w:hAnsi="Times New Roman" w:cs="Times New Roman"/>
        </w:rPr>
        <w:t xml:space="preserve">that the amount of the </w:t>
      </w:r>
      <w:r w:rsidR="008C074E">
        <w:rPr>
          <w:rFonts w:ascii="Times New Roman" w:hAnsi="Times New Roman" w:cs="Times New Roman"/>
        </w:rPr>
        <w:t>a</w:t>
      </w:r>
      <w:r w:rsidR="00150D2F" w:rsidRPr="001353E8">
        <w:rPr>
          <w:rFonts w:ascii="Times New Roman" w:hAnsi="Times New Roman" w:cs="Times New Roman"/>
        </w:rPr>
        <w:t xml:space="preserve">llocation </w:t>
      </w:r>
      <w:r w:rsidR="008C074E">
        <w:rPr>
          <w:rFonts w:ascii="Times New Roman" w:hAnsi="Times New Roman" w:cs="Times New Roman"/>
        </w:rPr>
        <w:t>c</w:t>
      </w:r>
      <w:r w:rsidR="00150D2F" w:rsidRPr="001353E8">
        <w:rPr>
          <w:rFonts w:ascii="Times New Roman" w:hAnsi="Times New Roman" w:cs="Times New Roman"/>
        </w:rPr>
        <w:t xml:space="preserve">harge is to be </w:t>
      </w:r>
      <w:r w:rsidR="003D37F9">
        <w:rPr>
          <w:rFonts w:ascii="Times New Roman" w:hAnsi="Times New Roman" w:cs="Times New Roman"/>
        </w:rPr>
        <w:t>imposed</w:t>
      </w:r>
      <w:r w:rsidR="003D37F9" w:rsidRPr="001353E8">
        <w:rPr>
          <w:rFonts w:ascii="Times New Roman" w:hAnsi="Times New Roman" w:cs="Times New Roman"/>
        </w:rPr>
        <w:t xml:space="preserve"> </w:t>
      </w:r>
      <w:r w:rsidR="00150D2F" w:rsidRPr="001353E8">
        <w:rPr>
          <w:rFonts w:ascii="Times New Roman" w:hAnsi="Times New Roman" w:cs="Times New Roman"/>
        </w:rPr>
        <w:t xml:space="preserve">in accordance with a determination made by the </w:t>
      </w:r>
      <w:proofErr w:type="gramStart"/>
      <w:r w:rsidR="00150D2F" w:rsidRPr="001353E8">
        <w:rPr>
          <w:rFonts w:ascii="Times New Roman" w:hAnsi="Times New Roman" w:cs="Times New Roman"/>
        </w:rPr>
        <w:t>ACMA</w:t>
      </w:r>
      <w:r w:rsidR="009D1AD5">
        <w:rPr>
          <w:rFonts w:ascii="Times New Roman" w:hAnsi="Times New Roman" w:cs="Times New Roman"/>
        </w:rPr>
        <w:t>, but</w:t>
      </w:r>
      <w:proofErr w:type="gramEnd"/>
      <w:r w:rsidR="009D1AD5">
        <w:rPr>
          <w:rFonts w:ascii="Times New Roman" w:hAnsi="Times New Roman" w:cs="Times New Roman"/>
        </w:rPr>
        <w:t xml:space="preserve"> is not to exceed $100,000</w:t>
      </w:r>
      <w:r w:rsidR="00150D2F" w:rsidRPr="001353E8">
        <w:rPr>
          <w:rFonts w:ascii="Times New Roman" w:hAnsi="Times New Roman" w:cs="Times New Roman"/>
        </w:rPr>
        <w:t>.</w:t>
      </w:r>
      <w:r w:rsidR="006F7836">
        <w:rPr>
          <w:rFonts w:ascii="Times New Roman" w:hAnsi="Times New Roman" w:cs="Times New Roman"/>
        </w:rPr>
        <w:t xml:space="preserve"> </w:t>
      </w:r>
      <w:r w:rsidR="00A56D19">
        <w:rPr>
          <w:rFonts w:ascii="Times New Roman" w:hAnsi="Times New Roman" w:cs="Times New Roman"/>
        </w:rPr>
        <w:t>G</w:t>
      </w:r>
      <w:r w:rsidR="003E0AB7" w:rsidRPr="0077265F">
        <w:rPr>
          <w:rFonts w:ascii="Times New Roman" w:hAnsi="Times New Roman" w:cs="Times New Roman"/>
        </w:rPr>
        <w:t xml:space="preserve">eographic </w:t>
      </w:r>
      <w:r w:rsidR="005F4B37" w:rsidRPr="0077265F">
        <w:rPr>
          <w:rFonts w:ascii="Times New Roman" w:hAnsi="Times New Roman" w:cs="Times New Roman"/>
        </w:rPr>
        <w:t>numbers are exempt from charge</w:t>
      </w:r>
      <w:r w:rsidR="001A2A1F">
        <w:rPr>
          <w:rFonts w:ascii="Times New Roman" w:hAnsi="Times New Roman" w:cs="Times New Roman"/>
        </w:rPr>
        <w:t>s</w:t>
      </w:r>
      <w:r w:rsidR="005F4B37" w:rsidRPr="0077265F">
        <w:rPr>
          <w:rFonts w:ascii="Times New Roman" w:hAnsi="Times New Roman" w:cs="Times New Roman"/>
        </w:rPr>
        <w:t>.</w:t>
      </w:r>
    </w:p>
    <w:p w14:paraId="462F48C9" w14:textId="40F152F7" w:rsidR="0066766D" w:rsidRPr="00A77812" w:rsidRDefault="0066766D" w:rsidP="0066766D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463 of the </w:t>
      </w:r>
      <w:r w:rsidRPr="00970663">
        <w:rPr>
          <w:rFonts w:ascii="Times New Roman" w:hAnsi="Times New Roman" w:cs="Times New Roman"/>
        </w:rPr>
        <w:t>Act</w:t>
      </w:r>
      <w:r>
        <w:rPr>
          <w:rFonts w:ascii="Times New Roman" w:hAnsi="Times New Roman" w:cs="Times New Roman"/>
        </w:rPr>
        <w:t xml:space="preserve"> gives the ACMA powers to determine an allocation system for allocating</w:t>
      </w:r>
      <w:r w:rsidRPr="00C749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specified numbers to carriage service providers</w:t>
      </w:r>
      <w:r w:rsidR="00103ADE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F0814B9" w14:textId="77777777" w:rsidR="0066766D" w:rsidRDefault="0066766D" w:rsidP="0066766D">
      <w:pPr>
        <w:spacing w:after="240" w:line="240" w:lineRule="auto"/>
        <w:rPr>
          <w:rFonts w:ascii="Times New Roman" w:hAnsi="Times New Roman" w:cs="Times New Roman"/>
        </w:rPr>
      </w:pPr>
      <w:r w:rsidRPr="00A77812">
        <w:rPr>
          <w:rFonts w:ascii="Times New Roman" w:hAnsi="Times New Roman" w:cs="Times New Roman"/>
        </w:rPr>
        <w:t>Subsection 46</w:t>
      </w:r>
      <w:r>
        <w:rPr>
          <w:rFonts w:ascii="Times New Roman" w:hAnsi="Times New Roman" w:cs="Times New Roman"/>
        </w:rPr>
        <w:t xml:space="preserve">3(8) </w:t>
      </w:r>
      <w:r w:rsidRPr="00A77812">
        <w:rPr>
          <w:rFonts w:ascii="Times New Roman" w:hAnsi="Times New Roman" w:cs="Times New Roman"/>
        </w:rPr>
        <w:t>of the Act provides that the ACMA may</w:t>
      </w:r>
      <w:r>
        <w:rPr>
          <w:rFonts w:ascii="Times New Roman" w:hAnsi="Times New Roman" w:cs="Times New Roman"/>
        </w:rPr>
        <w:t xml:space="preserve"> </w:t>
      </w:r>
      <w:r w:rsidRPr="00A77812">
        <w:rPr>
          <w:rFonts w:ascii="Times New Roman" w:hAnsi="Times New Roman" w:cs="Times New Roman"/>
        </w:rPr>
        <w:t xml:space="preserve">delegate all or any of the powers conferred on the ACMA </w:t>
      </w:r>
      <w:r>
        <w:rPr>
          <w:rFonts w:ascii="Times New Roman" w:hAnsi="Times New Roman" w:cs="Times New Roman"/>
        </w:rPr>
        <w:t>to the numbering scheme manager or another person</w:t>
      </w:r>
      <w:r w:rsidRPr="00A77812">
        <w:rPr>
          <w:rFonts w:ascii="Times New Roman" w:hAnsi="Times New Roman" w:cs="Times New Roman"/>
        </w:rPr>
        <w:t xml:space="preserve">.  </w:t>
      </w:r>
    </w:p>
    <w:p w14:paraId="37C56F31" w14:textId="3CBCFEA5" w:rsidR="0066766D" w:rsidRPr="0077265F" w:rsidRDefault="0066766D" w:rsidP="001353E8">
      <w:pPr>
        <w:spacing w:after="240" w:line="240" w:lineRule="auto"/>
        <w:rPr>
          <w:rFonts w:ascii="Times New Roman" w:hAnsi="Times New Roman" w:cs="Times New Roman"/>
        </w:rPr>
      </w:pPr>
      <w:r w:rsidRPr="00A77812">
        <w:rPr>
          <w:rFonts w:ascii="Times New Roman" w:hAnsi="Times New Roman" w:cs="Times New Roman"/>
        </w:rPr>
        <w:t>The ACMA has delegated powers relating to number allocation and administration to ZOAK Pty Ltd (</w:t>
      </w:r>
      <w:r w:rsidRPr="001353E8">
        <w:rPr>
          <w:rFonts w:ascii="Times New Roman" w:hAnsi="Times New Roman" w:cs="Times New Roman"/>
          <w:b/>
        </w:rPr>
        <w:t>ZOAK</w:t>
      </w:r>
      <w:r w:rsidRPr="00A77812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Pr="00A77812">
        <w:rPr>
          <w:rFonts w:ascii="Times New Roman" w:hAnsi="Times New Roman" w:cs="Times New Roman"/>
        </w:rPr>
        <w:t xml:space="preserve"> ZOAK </w:t>
      </w:r>
      <w:r>
        <w:rPr>
          <w:rFonts w:ascii="Times New Roman" w:hAnsi="Times New Roman" w:cs="Times New Roman"/>
        </w:rPr>
        <w:t>commenced providing</w:t>
      </w:r>
      <w:r w:rsidRPr="00A77812">
        <w:rPr>
          <w:rFonts w:ascii="Times New Roman" w:hAnsi="Times New Roman" w:cs="Times New Roman"/>
        </w:rPr>
        <w:t xml:space="preserve"> number allocation and administration services </w:t>
      </w:r>
      <w:r>
        <w:rPr>
          <w:rFonts w:ascii="Times New Roman" w:hAnsi="Times New Roman" w:cs="Times New Roman"/>
        </w:rPr>
        <w:t xml:space="preserve">in August 2015. </w:t>
      </w:r>
      <w:r w:rsidRPr="00A77812">
        <w:rPr>
          <w:rFonts w:ascii="Times New Roman" w:hAnsi="Times New Roman" w:cs="Times New Roman"/>
        </w:rPr>
        <w:t xml:space="preserve"> </w:t>
      </w:r>
    </w:p>
    <w:p w14:paraId="2220B506" w14:textId="48393D8D" w:rsidR="00FB658A" w:rsidRPr="003B0BA3" w:rsidRDefault="00FB658A" w:rsidP="00FB658A">
      <w:pPr>
        <w:rPr>
          <w:rFonts w:ascii="Times New Roman" w:hAnsi="Times New Roman" w:cs="Times New Roman"/>
        </w:rPr>
      </w:pPr>
      <w:r w:rsidRPr="00F41754">
        <w:rPr>
          <w:rFonts w:ascii="Times New Roman" w:hAnsi="Times New Roman" w:cs="Times New Roman"/>
        </w:rPr>
        <w:lastRenderedPageBreak/>
        <w:t xml:space="preserve">The instrument replaces the </w:t>
      </w:r>
      <w:r>
        <w:rPr>
          <w:rStyle w:val="Emphasis"/>
          <w:rFonts w:ascii="Times New Roman" w:hAnsi="Times New Roman" w:cs="Times New Roman"/>
        </w:rPr>
        <w:t>Telecommunications (Numbering Charges)</w:t>
      </w:r>
      <w:r w:rsidR="009019BA">
        <w:rPr>
          <w:rStyle w:val="Emphasis"/>
          <w:rFonts w:ascii="Times New Roman" w:hAnsi="Times New Roman" w:cs="Times New Roman"/>
        </w:rPr>
        <w:t xml:space="preserve"> </w:t>
      </w:r>
      <w:r w:rsidR="00865DF0">
        <w:rPr>
          <w:rStyle w:val="Emphasis"/>
          <w:rFonts w:ascii="Times New Roman" w:hAnsi="Times New Roman" w:cs="Times New Roman"/>
        </w:rPr>
        <w:t>(Allocation Charge)</w:t>
      </w:r>
      <w:r>
        <w:rPr>
          <w:rStyle w:val="Emphasis"/>
          <w:rFonts w:ascii="Times New Roman" w:hAnsi="Times New Roman" w:cs="Times New Roman"/>
        </w:rPr>
        <w:t xml:space="preserve"> Determination</w:t>
      </w:r>
      <w:r w:rsidRPr="00F41754">
        <w:rPr>
          <w:rStyle w:val="Emphasis"/>
          <w:rFonts w:ascii="Times New Roman" w:hAnsi="Times New Roman" w:cs="Times New Roman"/>
        </w:rPr>
        <w:t xml:space="preserve"> 201</w:t>
      </w:r>
      <w:r w:rsidR="00175967">
        <w:rPr>
          <w:rStyle w:val="Emphasis"/>
          <w:rFonts w:ascii="Times New Roman" w:hAnsi="Times New Roman" w:cs="Times New Roman"/>
        </w:rPr>
        <w:t>5</w:t>
      </w:r>
      <w:r w:rsidRPr="00F41754">
        <w:rPr>
          <w:rStyle w:val="Emphasis"/>
          <w:rFonts w:ascii="Times New Roman" w:hAnsi="Times New Roman" w:cs="Times New Roman"/>
        </w:rPr>
        <w:t xml:space="preserve"> 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>(</w:t>
      </w:r>
      <w:r w:rsidRPr="001353E8">
        <w:rPr>
          <w:rStyle w:val="Emphasis"/>
          <w:rFonts w:ascii="Times New Roman" w:hAnsi="Times New Roman" w:cs="Times New Roman"/>
          <w:b/>
          <w:bCs/>
          <w:i w:val="0"/>
          <w:iCs w:val="0"/>
        </w:rPr>
        <w:t>the 201</w:t>
      </w:r>
      <w:r w:rsidR="00175967">
        <w:rPr>
          <w:rStyle w:val="Emphasis"/>
          <w:rFonts w:ascii="Times New Roman" w:hAnsi="Times New Roman" w:cs="Times New Roman"/>
          <w:b/>
          <w:bCs/>
          <w:i w:val="0"/>
          <w:iCs w:val="0"/>
        </w:rPr>
        <w:t>5</w:t>
      </w:r>
      <w:r w:rsidRPr="001353E8">
        <w:rPr>
          <w:rStyle w:val="Emphasis"/>
          <w:rFonts w:ascii="Times New Roman" w:hAnsi="Times New Roman" w:cs="Times New Roman"/>
          <w:b/>
          <w:bCs/>
          <w:i w:val="0"/>
          <w:iCs w:val="0"/>
        </w:rPr>
        <w:t xml:space="preserve"> instrument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>) and continues the arrangements in the 201</w:t>
      </w:r>
      <w:r w:rsidR="00175967">
        <w:rPr>
          <w:rStyle w:val="Emphasis"/>
          <w:rFonts w:ascii="Times New Roman" w:hAnsi="Times New Roman" w:cs="Times New Roman"/>
          <w:i w:val="0"/>
          <w:iCs w:val="0"/>
        </w:rPr>
        <w:t>5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instrument for </w:t>
      </w:r>
      <w:r w:rsidR="00865DF0" w:rsidRPr="001353E8">
        <w:rPr>
          <w:rStyle w:val="Emphasis"/>
          <w:rFonts w:ascii="Times New Roman" w:hAnsi="Times New Roman" w:cs="Times New Roman"/>
          <w:i w:val="0"/>
          <w:iCs w:val="0"/>
        </w:rPr>
        <w:t>imposing a charge for the allocation of numbers</w:t>
      </w:r>
      <w:r w:rsidR="00F20BA1">
        <w:rPr>
          <w:rStyle w:val="Emphasis"/>
          <w:rFonts w:ascii="Times New Roman" w:hAnsi="Times New Roman" w:cs="Times New Roman"/>
          <w:i w:val="0"/>
          <w:iCs w:val="0"/>
        </w:rPr>
        <w:t xml:space="preserve"> in accordance with a numbering allocation system</w:t>
      </w:r>
      <w:r w:rsidR="00DF42E3">
        <w:rPr>
          <w:rStyle w:val="Emphasis"/>
          <w:rFonts w:ascii="Times New Roman" w:hAnsi="Times New Roman" w:cs="Times New Roman"/>
          <w:i w:val="0"/>
          <w:iCs w:val="0"/>
        </w:rPr>
        <w:t xml:space="preserve">. </w:t>
      </w:r>
      <w:r w:rsidR="006F7836">
        <w:rPr>
          <w:rStyle w:val="Emphasis"/>
          <w:rFonts w:ascii="Times New Roman" w:hAnsi="Times New Roman" w:cs="Times New Roman"/>
          <w:i w:val="0"/>
          <w:iCs w:val="0"/>
        </w:rPr>
        <w:t xml:space="preserve">The instrument has been made, in part, because the 2015 instrument was due to “sunset” under Part 4 of Chapter 3 of the </w:t>
      </w:r>
      <w:r w:rsidR="006F7836" w:rsidRPr="00EE02E1">
        <w:rPr>
          <w:rStyle w:val="Emphasis"/>
          <w:rFonts w:ascii="Times New Roman" w:hAnsi="Times New Roman" w:cs="Times New Roman"/>
        </w:rPr>
        <w:t>Legislation Act 2003</w:t>
      </w:r>
      <w:r w:rsidR="00407966">
        <w:rPr>
          <w:rStyle w:val="Emphasis"/>
          <w:rFonts w:ascii="Times New Roman" w:hAnsi="Times New Roman" w:cs="Times New Roman"/>
        </w:rPr>
        <w:t xml:space="preserve"> </w:t>
      </w:r>
      <w:r w:rsidR="006F7836">
        <w:rPr>
          <w:rStyle w:val="Emphasis"/>
          <w:rFonts w:ascii="Times New Roman" w:hAnsi="Times New Roman" w:cs="Times New Roman"/>
          <w:i w:val="0"/>
          <w:iCs w:val="0"/>
        </w:rPr>
        <w:t>(</w:t>
      </w:r>
      <w:r w:rsidR="00265FA8">
        <w:rPr>
          <w:rStyle w:val="Emphasis"/>
          <w:rFonts w:ascii="Times New Roman" w:hAnsi="Times New Roman" w:cs="Times New Roman"/>
          <w:i w:val="0"/>
          <w:iCs w:val="0"/>
        </w:rPr>
        <w:t xml:space="preserve">the </w:t>
      </w:r>
      <w:r w:rsidR="00265FA8" w:rsidRPr="00EE02E1">
        <w:rPr>
          <w:rStyle w:val="Emphasis"/>
          <w:rFonts w:ascii="Times New Roman" w:hAnsi="Times New Roman" w:cs="Times New Roman"/>
          <w:b/>
          <w:bCs/>
          <w:i w:val="0"/>
          <w:iCs w:val="0"/>
        </w:rPr>
        <w:t>LA</w:t>
      </w:r>
      <w:r w:rsidR="00265FA8">
        <w:rPr>
          <w:rStyle w:val="Emphasis"/>
          <w:rFonts w:ascii="Times New Roman" w:hAnsi="Times New Roman" w:cs="Times New Roman"/>
          <w:i w:val="0"/>
          <w:iCs w:val="0"/>
        </w:rPr>
        <w:t xml:space="preserve">) on 1 October 2025. </w:t>
      </w:r>
      <w:r w:rsidR="00DF42E3">
        <w:rPr>
          <w:rStyle w:val="Emphasis"/>
          <w:rFonts w:ascii="Times New Roman" w:hAnsi="Times New Roman" w:cs="Times New Roman"/>
          <w:i w:val="0"/>
          <w:iCs w:val="0"/>
        </w:rPr>
        <w:t>The instrument includes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minor updates to reflect updated terms used in the Numbering </w:t>
      </w:r>
      <w:r w:rsidR="00A36CE9" w:rsidRPr="001353E8">
        <w:rPr>
          <w:rStyle w:val="Emphasis"/>
          <w:rFonts w:ascii="Times New Roman" w:hAnsi="Times New Roman" w:cs="Times New Roman"/>
          <w:i w:val="0"/>
          <w:iCs w:val="0"/>
        </w:rPr>
        <w:t>Plan and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DF42E3">
        <w:rPr>
          <w:rStyle w:val="Emphasis"/>
          <w:rFonts w:ascii="Times New Roman" w:hAnsi="Times New Roman" w:cs="Times New Roman"/>
          <w:i w:val="0"/>
          <w:iCs w:val="0"/>
        </w:rPr>
        <w:t>imposes</w:t>
      </w:r>
      <w:r w:rsidR="001B1D46"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charge</w:t>
      </w:r>
      <w:r w:rsidR="00DF42E3">
        <w:rPr>
          <w:rStyle w:val="Emphasis"/>
          <w:rFonts w:ascii="Times New Roman" w:hAnsi="Times New Roman" w:cs="Times New Roman"/>
          <w:i w:val="0"/>
          <w:iCs w:val="0"/>
        </w:rPr>
        <w:t>s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for</w:t>
      </w:r>
      <w:r w:rsidR="005B66A6">
        <w:rPr>
          <w:rStyle w:val="Emphasis"/>
          <w:rFonts w:ascii="Times New Roman" w:hAnsi="Times New Roman" w:cs="Times New Roman"/>
          <w:i w:val="0"/>
          <w:iCs w:val="0"/>
        </w:rPr>
        <w:t xml:space="preserve"> the allocation of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numbers specified for use with an internet of things (IoT) service</w:t>
      </w:r>
      <w:r w:rsidR="001B1D46"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, and for </w:t>
      </w:r>
      <w:r w:rsidR="002E3D47" w:rsidRPr="001353E8">
        <w:rPr>
          <w:rStyle w:val="Emphasis"/>
          <w:rFonts w:ascii="Times New Roman" w:hAnsi="Times New Roman" w:cs="Times New Roman"/>
          <w:i w:val="0"/>
          <w:iCs w:val="0"/>
        </w:rPr>
        <w:t>public safety numbers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. The Numbering </w:t>
      </w:r>
      <w:proofErr w:type="gramStart"/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Plan </w:t>
      </w:r>
      <w:r w:rsidR="009F4B46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>introduces</w:t>
      </w:r>
      <w:proofErr w:type="gramEnd"/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 </w:t>
      </w:r>
      <w:r w:rsidR="009F4B46">
        <w:rPr>
          <w:rStyle w:val="Emphasis"/>
          <w:rFonts w:ascii="Times New Roman" w:hAnsi="Times New Roman" w:cs="Times New Roman"/>
          <w:i w:val="0"/>
          <w:iCs w:val="0"/>
        </w:rPr>
        <w:t xml:space="preserve">a 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number range for IoT services </w:t>
      </w:r>
      <w:r w:rsidR="002E3D47" w:rsidRPr="001353E8">
        <w:rPr>
          <w:rStyle w:val="Emphasis"/>
          <w:rFonts w:ascii="Times New Roman" w:hAnsi="Times New Roman" w:cs="Times New Roman"/>
          <w:i w:val="0"/>
          <w:iCs w:val="0"/>
        </w:rPr>
        <w:t xml:space="preserve">and </w:t>
      </w:r>
      <w:r w:rsidR="009019BA" w:rsidRPr="001353E8">
        <w:rPr>
          <w:rStyle w:val="Emphasis"/>
          <w:rFonts w:ascii="Times New Roman" w:hAnsi="Times New Roman" w:cs="Times New Roman"/>
          <w:i w:val="0"/>
          <w:iCs w:val="0"/>
        </w:rPr>
        <w:t>public safety numbers</w:t>
      </w:r>
      <w:r w:rsidRPr="001353E8">
        <w:rPr>
          <w:rStyle w:val="Emphasis"/>
          <w:rFonts w:ascii="Times New Roman" w:hAnsi="Times New Roman" w:cs="Times New Roman"/>
          <w:i w:val="0"/>
          <w:iCs w:val="0"/>
        </w:rPr>
        <w:t>.</w:t>
      </w:r>
      <w:r w:rsidRPr="00F41754">
        <w:rPr>
          <w:rFonts w:ascii="Times New Roman" w:hAnsi="Times New Roman" w:cs="Times New Roman"/>
        </w:rPr>
        <w:t xml:space="preserve"> </w:t>
      </w:r>
      <w:r w:rsidR="00756C01">
        <w:rPr>
          <w:rFonts w:ascii="Times New Roman" w:hAnsi="Times New Roman" w:cs="Times New Roman"/>
        </w:rPr>
        <w:t>Charges in the 2015 in</w:t>
      </w:r>
      <w:r w:rsidR="00030939">
        <w:rPr>
          <w:rFonts w:ascii="Times New Roman" w:hAnsi="Times New Roman" w:cs="Times New Roman"/>
        </w:rPr>
        <w:t>strument for calling card, paging and premium rate numbers have been remov</w:t>
      </w:r>
      <w:r w:rsidR="00E46092">
        <w:rPr>
          <w:rFonts w:ascii="Times New Roman" w:hAnsi="Times New Roman" w:cs="Times New Roman"/>
        </w:rPr>
        <w:t xml:space="preserve">ed from the current instrument, as these number types have been removed from the Numbering Plan. </w:t>
      </w:r>
    </w:p>
    <w:p w14:paraId="1694B72D" w14:textId="7B29C519" w:rsidR="00FB658A" w:rsidRPr="001353E8" w:rsidRDefault="00FB658A" w:rsidP="001353E8">
      <w:pPr>
        <w:rPr>
          <w:rFonts w:ascii="Times New Roman" w:hAnsi="Times New Roman" w:cs="Times New Roman"/>
        </w:rPr>
      </w:pPr>
      <w:r w:rsidRPr="00F41754">
        <w:rPr>
          <w:rFonts w:ascii="Times New Roman" w:hAnsi="Times New Roman" w:cs="Times New Roman"/>
        </w:rPr>
        <w:t xml:space="preserve">The ACMA considered that there is an ongoing requirement for an instrument to facilitate </w:t>
      </w:r>
      <w:r w:rsidR="00922923">
        <w:rPr>
          <w:rFonts w:ascii="Times New Roman" w:hAnsi="Times New Roman" w:cs="Times New Roman"/>
        </w:rPr>
        <w:t>the imposition of charges for the allocation of numbers</w:t>
      </w:r>
      <w:r w:rsidRPr="00B029EA">
        <w:rPr>
          <w:rFonts w:ascii="Times New Roman" w:hAnsi="Times New Roman" w:cs="Times New Roman"/>
        </w:rPr>
        <w:t xml:space="preserve"> as intended by the Numbering Charges Act</w:t>
      </w:r>
      <w:r w:rsidRPr="00F41754">
        <w:rPr>
          <w:rFonts w:ascii="Times New Roman" w:hAnsi="Times New Roman" w:cs="Times New Roman"/>
        </w:rPr>
        <w:t xml:space="preserve">. </w:t>
      </w:r>
    </w:p>
    <w:p w14:paraId="3EA0C95E" w14:textId="06C997BD" w:rsidR="007047A7" w:rsidRDefault="007047A7" w:rsidP="007047A7">
      <w:pPr>
        <w:spacing w:after="120" w:line="240" w:lineRule="auto"/>
        <w:rPr>
          <w:rFonts w:ascii="Times New Roman" w:hAnsi="Times New Roman" w:cs="Times New Roman"/>
          <w:i/>
          <w:iCs/>
        </w:rPr>
      </w:pPr>
      <w:r w:rsidRPr="004B569A">
        <w:rPr>
          <w:rFonts w:ascii="Times New Roman" w:hAnsi="Times New Roman" w:cs="Times New Roman"/>
        </w:rPr>
        <w:t xml:space="preserve">The </w:t>
      </w:r>
      <w:r w:rsidR="0026366C">
        <w:rPr>
          <w:rFonts w:ascii="Times New Roman" w:hAnsi="Times New Roman" w:cs="Times New Roman"/>
        </w:rPr>
        <w:t>instrument</w:t>
      </w:r>
      <w:r w:rsidR="0026366C" w:rsidRPr="004B569A">
        <w:rPr>
          <w:rFonts w:ascii="Times New Roman" w:hAnsi="Times New Roman" w:cs="Times New Roman"/>
        </w:rPr>
        <w:t xml:space="preserve"> </w:t>
      </w:r>
      <w:r w:rsidRPr="004B569A">
        <w:rPr>
          <w:rFonts w:ascii="Times New Roman" w:hAnsi="Times New Roman" w:cs="Times New Roman"/>
        </w:rPr>
        <w:t xml:space="preserve">sets the amount of charge imposed on the allocation of numbers under </w:t>
      </w:r>
      <w:r w:rsidR="00531B0E">
        <w:rPr>
          <w:rFonts w:ascii="Times New Roman" w:hAnsi="Times New Roman" w:cs="Times New Roman"/>
        </w:rPr>
        <w:t xml:space="preserve">the </w:t>
      </w:r>
      <w:r w:rsidR="00531B0E" w:rsidRPr="00360C39">
        <w:rPr>
          <w:rFonts w:ascii="Times New Roman" w:hAnsi="Times New Roman" w:cs="Times New Roman"/>
        </w:rPr>
        <w:t>Numbering Plan</w:t>
      </w:r>
      <w:r w:rsidRPr="001353E8">
        <w:rPr>
          <w:rFonts w:ascii="Times New Roman" w:hAnsi="Times New Roman" w:cs="Times New Roman"/>
          <w:i/>
          <w:iCs/>
        </w:rPr>
        <w:t>.</w:t>
      </w:r>
    </w:p>
    <w:p w14:paraId="312D4CBB" w14:textId="77777777" w:rsidR="00E65C2A" w:rsidRDefault="00E65C2A" w:rsidP="00E65C2A">
      <w:pPr>
        <w:pStyle w:val="ACMABodyText"/>
        <w:spacing w:before="120" w:after="240"/>
        <w:rPr>
          <w:sz w:val="22"/>
          <w:szCs w:val="22"/>
        </w:rPr>
      </w:pPr>
      <w:r w:rsidRPr="00F41754">
        <w:rPr>
          <w:sz w:val="22"/>
          <w:szCs w:val="22"/>
        </w:rPr>
        <w:t>The instrument commences on the day after it is registered.</w:t>
      </w:r>
    </w:p>
    <w:p w14:paraId="31E5758E" w14:textId="77777777" w:rsidR="00E65C2A" w:rsidRPr="00B029EA" w:rsidRDefault="00E65C2A" w:rsidP="00E65C2A">
      <w:pPr>
        <w:pStyle w:val="ACMABodyText"/>
        <w:spacing w:before="120" w:after="240"/>
        <w:rPr>
          <w:color w:val="000000" w:themeColor="text1"/>
          <w:sz w:val="22"/>
          <w:szCs w:val="22"/>
        </w:rPr>
      </w:pPr>
      <w:r w:rsidRPr="00B029EA">
        <w:rPr>
          <w:color w:val="000000" w:themeColor="text1"/>
          <w:sz w:val="22"/>
          <w:szCs w:val="22"/>
        </w:rPr>
        <w:t xml:space="preserve">A provision-by-provision description of the instrument is set out at </w:t>
      </w:r>
      <w:r w:rsidRPr="00F41754">
        <w:rPr>
          <w:b/>
          <w:bCs/>
          <w:color w:val="000000" w:themeColor="text1"/>
          <w:sz w:val="22"/>
          <w:szCs w:val="22"/>
        </w:rPr>
        <w:t>Attachment A</w:t>
      </w:r>
      <w:r w:rsidRPr="00B029EA">
        <w:rPr>
          <w:color w:val="000000" w:themeColor="text1"/>
          <w:sz w:val="22"/>
          <w:szCs w:val="22"/>
        </w:rPr>
        <w:t>.</w:t>
      </w:r>
    </w:p>
    <w:p w14:paraId="7F14F566" w14:textId="4C06F3F4" w:rsidR="008F3995" w:rsidRPr="00116E8A" w:rsidRDefault="00E65C2A" w:rsidP="00970663">
      <w:pPr>
        <w:pStyle w:val="ACMABodyText"/>
        <w:spacing w:before="120" w:after="240"/>
      </w:pPr>
      <w:r w:rsidRPr="00F41754">
        <w:rPr>
          <w:sz w:val="22"/>
          <w:szCs w:val="22"/>
        </w:rPr>
        <w:t xml:space="preserve">The instrument </w:t>
      </w:r>
      <w:r>
        <w:rPr>
          <w:sz w:val="22"/>
          <w:szCs w:val="22"/>
        </w:rPr>
        <w:t xml:space="preserve">is a disallowable instrument under Part 2 of Chapter 3 of the LA and </w:t>
      </w:r>
      <w:r w:rsidRPr="00F41754">
        <w:rPr>
          <w:sz w:val="22"/>
          <w:szCs w:val="22"/>
        </w:rPr>
        <w:t>is subject to the sunsetting provisions in Part 4 of Chapter 3 of the LA.</w:t>
      </w:r>
    </w:p>
    <w:p w14:paraId="49199528" w14:textId="77777777" w:rsidR="009066A8" w:rsidRDefault="009066A8" w:rsidP="009066A8">
      <w:pPr>
        <w:rPr>
          <w:rFonts w:ascii="Times New Roman" w:hAnsi="Times New Roman" w:cs="Times New Roman"/>
          <w:b/>
          <w:bCs/>
        </w:rPr>
      </w:pPr>
      <w:r w:rsidRPr="00427E85">
        <w:rPr>
          <w:rFonts w:ascii="Times New Roman" w:hAnsi="Times New Roman" w:cs="Times New Roman"/>
          <w:b/>
          <w:bCs/>
        </w:rPr>
        <w:t xml:space="preserve">Documents incorporated by reference </w:t>
      </w:r>
    </w:p>
    <w:p w14:paraId="33672BA0" w14:textId="77777777" w:rsidR="003859EF" w:rsidRPr="002030D4" w:rsidRDefault="003859EF" w:rsidP="003859EF">
      <w:pPr>
        <w:spacing w:line="254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Under section 14 of the LA, unless there is a contrary intention, a legislative instrument may incorporate by reference, as in force from time to time, the provisions of an Act or of a legislative instrument which is not subject to disallowance.</w:t>
      </w:r>
    </w:p>
    <w:p w14:paraId="32FD41F3" w14:textId="0AC03028" w:rsidR="009066A8" w:rsidRPr="00427E85" w:rsidRDefault="00F65124" w:rsidP="009066A8">
      <w:pPr>
        <w:pStyle w:val="ACMABodyText"/>
        <w:rPr>
          <w:sz w:val="22"/>
          <w:szCs w:val="22"/>
          <w:lang w:val="en-US"/>
        </w:rPr>
      </w:pPr>
      <w:r>
        <w:t xml:space="preserve"> </w:t>
      </w:r>
      <w:r w:rsidR="009066A8" w:rsidRPr="00427E85">
        <w:rPr>
          <w:sz w:val="22"/>
          <w:szCs w:val="22"/>
        </w:rPr>
        <w:t>The instrument incorporates the following Acts</w:t>
      </w:r>
      <w:r w:rsidR="009066A8">
        <w:rPr>
          <w:sz w:val="22"/>
          <w:szCs w:val="22"/>
        </w:rPr>
        <w:t xml:space="preserve"> </w:t>
      </w:r>
      <w:r w:rsidR="009066A8" w:rsidRPr="00427E85">
        <w:rPr>
          <w:sz w:val="22"/>
          <w:szCs w:val="22"/>
          <w:lang w:val="en-US"/>
        </w:rPr>
        <w:t>or otherwise refers to them:</w:t>
      </w:r>
    </w:p>
    <w:p w14:paraId="190A4675" w14:textId="0A043471" w:rsidR="00E65C2A" w:rsidRPr="00427E85" w:rsidRDefault="00E65C2A" w:rsidP="00E65C2A">
      <w:pPr>
        <w:pStyle w:val="ACMABodyText"/>
        <w:numPr>
          <w:ilvl w:val="0"/>
          <w:numId w:val="6"/>
        </w:numPr>
        <w:suppressAutoHyphens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the </w:t>
      </w:r>
      <w:proofErr w:type="gramStart"/>
      <w:r w:rsidRPr="001353E8">
        <w:rPr>
          <w:iCs/>
          <w:sz w:val="22"/>
          <w:szCs w:val="22"/>
        </w:rPr>
        <w:t>Act</w:t>
      </w:r>
      <w:r w:rsidR="0083538A">
        <w:rPr>
          <w:iCs/>
          <w:sz w:val="22"/>
          <w:szCs w:val="22"/>
        </w:rPr>
        <w:t>;</w:t>
      </w:r>
      <w:proofErr w:type="gramEnd"/>
    </w:p>
    <w:p w14:paraId="38D7C971" w14:textId="77777777" w:rsidR="009066A8" w:rsidRPr="00427E85" w:rsidRDefault="009066A8" w:rsidP="009066A8">
      <w:pPr>
        <w:pStyle w:val="ACMABodyText"/>
        <w:numPr>
          <w:ilvl w:val="0"/>
          <w:numId w:val="6"/>
        </w:numPr>
        <w:suppressAutoHyphens/>
        <w:rPr>
          <w:iCs/>
          <w:sz w:val="22"/>
          <w:szCs w:val="22"/>
        </w:rPr>
      </w:pPr>
      <w:r w:rsidRPr="00427E85">
        <w:rPr>
          <w:iCs/>
          <w:sz w:val="22"/>
          <w:szCs w:val="22"/>
        </w:rPr>
        <w:t xml:space="preserve">the </w:t>
      </w:r>
      <w:proofErr w:type="gramStart"/>
      <w:r w:rsidRPr="00427E85">
        <w:rPr>
          <w:iCs/>
          <w:sz w:val="22"/>
          <w:szCs w:val="22"/>
        </w:rPr>
        <w:t>AIA;</w:t>
      </w:r>
      <w:proofErr w:type="gramEnd"/>
    </w:p>
    <w:p w14:paraId="365A9885" w14:textId="227C6A3C" w:rsidR="006E5D4D" w:rsidRPr="00830526" w:rsidRDefault="009066A8" w:rsidP="00830526">
      <w:pPr>
        <w:pStyle w:val="ACMABodyText"/>
        <w:numPr>
          <w:ilvl w:val="0"/>
          <w:numId w:val="6"/>
        </w:numPr>
        <w:suppressAutoHyphens/>
        <w:rPr>
          <w:iCs/>
          <w:sz w:val="22"/>
          <w:szCs w:val="22"/>
        </w:rPr>
      </w:pPr>
      <w:r w:rsidRPr="00427E85">
        <w:rPr>
          <w:iCs/>
          <w:sz w:val="22"/>
          <w:szCs w:val="22"/>
        </w:rPr>
        <w:t>the LA;</w:t>
      </w:r>
      <w:r>
        <w:rPr>
          <w:iCs/>
          <w:sz w:val="22"/>
          <w:szCs w:val="22"/>
        </w:rPr>
        <w:t xml:space="preserve"> </w:t>
      </w:r>
      <w:r w:rsidR="00E65C2A">
        <w:rPr>
          <w:iCs/>
          <w:sz w:val="22"/>
          <w:szCs w:val="22"/>
        </w:rPr>
        <w:t>and</w:t>
      </w:r>
    </w:p>
    <w:p w14:paraId="532371C9" w14:textId="73FBA381" w:rsidR="004953C3" w:rsidRPr="004953C3" w:rsidRDefault="009066A8" w:rsidP="004953C3">
      <w:pPr>
        <w:pStyle w:val="ACMABodyText"/>
        <w:numPr>
          <w:ilvl w:val="0"/>
          <w:numId w:val="6"/>
        </w:numPr>
        <w:suppressAutoHyphens/>
        <w:rPr>
          <w:iCs/>
          <w:sz w:val="22"/>
          <w:szCs w:val="22"/>
        </w:rPr>
      </w:pPr>
      <w:r w:rsidRPr="004953C3">
        <w:rPr>
          <w:iCs/>
          <w:sz w:val="22"/>
          <w:szCs w:val="22"/>
        </w:rPr>
        <w:t>the Numbering Charges</w:t>
      </w:r>
      <w:r w:rsidRPr="00830526">
        <w:rPr>
          <w:iCs/>
          <w:sz w:val="22"/>
          <w:szCs w:val="22"/>
        </w:rPr>
        <w:t xml:space="preserve"> Act</w:t>
      </w:r>
      <w:r w:rsidR="004953C3" w:rsidRPr="008767F5">
        <w:rPr>
          <w:iCs/>
          <w:sz w:val="22"/>
          <w:szCs w:val="22"/>
        </w:rPr>
        <w:t>.</w:t>
      </w:r>
    </w:p>
    <w:p w14:paraId="385C5197" w14:textId="77777777" w:rsidR="009066A8" w:rsidRPr="00427E85" w:rsidRDefault="009066A8" w:rsidP="00970663">
      <w:pPr>
        <w:pStyle w:val="ACMABodyText"/>
        <w:suppressAutoHyphens/>
        <w:rPr>
          <w:sz w:val="22"/>
          <w:szCs w:val="22"/>
        </w:rPr>
      </w:pPr>
      <w:r w:rsidRPr="00427E85">
        <w:rPr>
          <w:sz w:val="22"/>
          <w:szCs w:val="22"/>
        </w:rPr>
        <w:t xml:space="preserve">The </w:t>
      </w:r>
      <w:r w:rsidRPr="00427E85">
        <w:rPr>
          <w:sz w:val="22"/>
          <w:szCs w:val="22"/>
          <w:lang w:val="en-US"/>
        </w:rPr>
        <w:t xml:space="preserve">Acts </w:t>
      </w:r>
      <w:r w:rsidRPr="00427E85">
        <w:rPr>
          <w:sz w:val="22"/>
          <w:szCs w:val="22"/>
        </w:rPr>
        <w:t>listed above may be obtained, free of charge, from the Federal Register of Legislation (www.legislation.gov.au).</w:t>
      </w:r>
    </w:p>
    <w:p w14:paraId="6AA0FDC6" w14:textId="2562B366" w:rsidR="008F3995" w:rsidRPr="008B3FFC" w:rsidRDefault="009066A8" w:rsidP="008B3FFC">
      <w:pPr>
        <w:pStyle w:val="ACMABodyText"/>
        <w:spacing w:after="200"/>
        <w:rPr>
          <w:sz w:val="22"/>
          <w:szCs w:val="22"/>
        </w:rPr>
      </w:pPr>
      <w:r w:rsidRPr="00427E85">
        <w:rPr>
          <w:sz w:val="22"/>
          <w:szCs w:val="22"/>
        </w:rPr>
        <w:t xml:space="preserve">The instrument also incorporates by reference the </w:t>
      </w:r>
      <w:r>
        <w:rPr>
          <w:sz w:val="22"/>
          <w:szCs w:val="22"/>
        </w:rPr>
        <w:t xml:space="preserve">Numbering Plan </w:t>
      </w:r>
      <w:r w:rsidRPr="00427E85">
        <w:rPr>
          <w:sz w:val="22"/>
          <w:szCs w:val="22"/>
        </w:rPr>
        <w:t>as in force from time to time</w:t>
      </w:r>
      <w:r>
        <w:rPr>
          <w:sz w:val="22"/>
          <w:szCs w:val="22"/>
        </w:rPr>
        <w:t xml:space="preserve">. The Numbering Plan </w:t>
      </w:r>
      <w:r w:rsidRPr="00427E85">
        <w:rPr>
          <w:sz w:val="22"/>
          <w:szCs w:val="22"/>
        </w:rPr>
        <w:t>may be obtained, free of charge, from the Federal Register of Legislation.</w:t>
      </w:r>
    </w:p>
    <w:p w14:paraId="35D08581" w14:textId="77777777" w:rsidR="008E32D9" w:rsidRPr="004B569A" w:rsidRDefault="008E32D9" w:rsidP="00FC6AB9">
      <w:pPr>
        <w:spacing w:line="240" w:lineRule="auto"/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</w:rPr>
        <w:t>Consultation</w:t>
      </w:r>
    </w:p>
    <w:p w14:paraId="1A61A5E8" w14:textId="77777777" w:rsidR="00DF60D7" w:rsidRDefault="00DF60D7" w:rsidP="00DF60D7">
      <w:pPr>
        <w:spacing w:before="80" w:after="120" w:line="280" w:lineRule="atLeast"/>
        <w:rPr>
          <w:rFonts w:ascii="Times New Roman" w:eastAsia="Times New Roman" w:hAnsi="Times New Roman" w:cs="Times New Roman"/>
          <w:snapToGrid w:val="0"/>
          <w:color w:val="000000" w:themeColor="text1"/>
          <w:lang w:eastAsia="en-AU"/>
        </w:rPr>
      </w:pPr>
      <w:r w:rsidRPr="00717436">
        <w:rPr>
          <w:rFonts w:ascii="Times New Roman" w:eastAsia="Times New Roman" w:hAnsi="Times New Roman" w:cs="Times New Roman"/>
          <w:snapToGrid w:val="0"/>
          <w:color w:val="000000" w:themeColor="text1"/>
          <w:lang w:eastAsia="en-AU"/>
        </w:rPr>
        <w:t>Subsection 17(1) of the LA requires that, before the ACMA makes a legislative instrument, it must be satisfied that any consultation that the ACMA considers is appropriate and reasonably practicable to undertake, has been undertaken.</w:t>
      </w:r>
    </w:p>
    <w:p w14:paraId="1B9E6614" w14:textId="626D3487" w:rsidR="001342EB" w:rsidRPr="009B4BDB" w:rsidRDefault="001C3CC9" w:rsidP="004B569A">
      <w:pPr>
        <w:spacing w:after="240" w:line="240" w:lineRule="auto"/>
        <w:rPr>
          <w:rFonts w:ascii="Times New Roman" w:hAnsi="Times New Roman" w:cs="Times New Roman"/>
        </w:rPr>
      </w:pPr>
      <w:r w:rsidRPr="468227B9">
        <w:rPr>
          <w:rFonts w:ascii="Times New Roman" w:eastAsia="Times New Roman" w:hAnsi="Times New Roman" w:cs="Times New Roman"/>
          <w:snapToGrid w:val="0"/>
          <w:color w:val="000000" w:themeColor="text1"/>
        </w:rPr>
        <w:t xml:space="preserve">The ACMA consulted publicly between 16 December 2024 and 12 February 2025 by means of a consultation paper published on its website. </w:t>
      </w:r>
      <w:r w:rsidR="0096350E">
        <w:rPr>
          <w:rFonts w:ascii="Times New Roman" w:hAnsi="Times New Roman" w:cs="Times New Roman"/>
        </w:rPr>
        <w:t>T</w:t>
      </w:r>
      <w:r w:rsidR="001342EB" w:rsidRPr="009B4BDB">
        <w:rPr>
          <w:rFonts w:ascii="Times New Roman" w:hAnsi="Times New Roman" w:cs="Times New Roman"/>
        </w:rPr>
        <w:t xml:space="preserve">he consultation paper was </w:t>
      </w:r>
      <w:r w:rsidR="00332D56">
        <w:rPr>
          <w:rFonts w:ascii="Times New Roman" w:hAnsi="Times New Roman" w:cs="Times New Roman"/>
        </w:rPr>
        <w:t xml:space="preserve">also </w:t>
      </w:r>
      <w:r w:rsidR="001342EB" w:rsidRPr="009B4BDB">
        <w:rPr>
          <w:rFonts w:ascii="Times New Roman" w:hAnsi="Times New Roman" w:cs="Times New Roman"/>
        </w:rPr>
        <w:t>provided to the Numbering Advisory Committee</w:t>
      </w:r>
      <w:r w:rsidR="00F4369D">
        <w:rPr>
          <w:rFonts w:ascii="Times New Roman" w:hAnsi="Times New Roman" w:cs="Times New Roman"/>
        </w:rPr>
        <w:t xml:space="preserve"> (</w:t>
      </w:r>
      <w:r w:rsidR="00F4369D" w:rsidRPr="00970663">
        <w:rPr>
          <w:rFonts w:ascii="Times New Roman" w:hAnsi="Times New Roman" w:cs="Times New Roman"/>
          <w:b/>
          <w:bCs/>
        </w:rPr>
        <w:t>NAC</w:t>
      </w:r>
      <w:r w:rsidR="00F4369D">
        <w:rPr>
          <w:rFonts w:ascii="Times New Roman" w:hAnsi="Times New Roman" w:cs="Times New Roman"/>
        </w:rPr>
        <w:t>)</w:t>
      </w:r>
      <w:r w:rsidR="00A30FDC" w:rsidRPr="009B4BDB">
        <w:rPr>
          <w:rFonts w:ascii="Times New Roman" w:hAnsi="Times New Roman" w:cs="Times New Roman"/>
        </w:rPr>
        <w:t>,</w:t>
      </w:r>
      <w:r w:rsidR="001342EB" w:rsidRPr="009B4BDB">
        <w:rPr>
          <w:rFonts w:ascii="Times New Roman" w:hAnsi="Times New Roman" w:cs="Times New Roman"/>
        </w:rPr>
        <w:t xml:space="preserve"> which includes</w:t>
      </w:r>
      <w:r w:rsidR="00C46496" w:rsidRPr="009B4BDB">
        <w:rPr>
          <w:rFonts w:ascii="Times New Roman" w:hAnsi="Times New Roman" w:cs="Times New Roman"/>
        </w:rPr>
        <w:t xml:space="preserve"> representatives from government, consumer </w:t>
      </w:r>
      <w:r w:rsidR="00C46496" w:rsidRPr="009B4BDB">
        <w:rPr>
          <w:rFonts w:ascii="Times New Roman" w:hAnsi="Times New Roman" w:cs="Times New Roman"/>
        </w:rPr>
        <w:lastRenderedPageBreak/>
        <w:t>organisations, the peak communications organisation (Communications Alliance) and telecommun</w:t>
      </w:r>
      <w:r w:rsidR="007047A7" w:rsidRPr="009B4BDB">
        <w:rPr>
          <w:rFonts w:ascii="Times New Roman" w:hAnsi="Times New Roman" w:cs="Times New Roman"/>
        </w:rPr>
        <w:t>i</w:t>
      </w:r>
      <w:r w:rsidR="00C46496" w:rsidRPr="009B4BDB">
        <w:rPr>
          <w:rFonts w:ascii="Times New Roman" w:hAnsi="Times New Roman" w:cs="Times New Roman"/>
        </w:rPr>
        <w:t>cations</w:t>
      </w:r>
      <w:r w:rsidR="001342EB" w:rsidRPr="009B4BDB">
        <w:rPr>
          <w:rFonts w:ascii="Times New Roman" w:hAnsi="Times New Roman" w:cs="Times New Roman"/>
        </w:rPr>
        <w:t xml:space="preserve"> carriers and </w:t>
      </w:r>
      <w:r w:rsidR="00BC4ACE" w:rsidRPr="009B4BDB">
        <w:rPr>
          <w:rFonts w:ascii="Times New Roman" w:hAnsi="Times New Roman" w:cs="Times New Roman"/>
        </w:rPr>
        <w:t>CSPs</w:t>
      </w:r>
      <w:r w:rsidR="00445A04">
        <w:rPr>
          <w:rFonts w:ascii="Times New Roman" w:hAnsi="Times New Roman" w:cs="Times New Roman"/>
        </w:rPr>
        <w:t xml:space="preserve">, </w:t>
      </w:r>
      <w:r w:rsidR="00322173">
        <w:rPr>
          <w:rFonts w:ascii="Times New Roman" w:hAnsi="Times New Roman" w:cs="Times New Roman"/>
        </w:rPr>
        <w:t xml:space="preserve">and </w:t>
      </w:r>
      <w:r w:rsidR="00445A04">
        <w:rPr>
          <w:rFonts w:ascii="Times New Roman" w:hAnsi="Times New Roman" w:cs="Times New Roman"/>
        </w:rPr>
        <w:t>advise</w:t>
      </w:r>
      <w:r w:rsidR="00322173">
        <w:rPr>
          <w:rFonts w:ascii="Times New Roman" w:hAnsi="Times New Roman" w:cs="Times New Roman"/>
        </w:rPr>
        <w:t>s</w:t>
      </w:r>
      <w:r w:rsidR="00445A04">
        <w:rPr>
          <w:rFonts w:ascii="Times New Roman" w:hAnsi="Times New Roman" w:cs="Times New Roman"/>
        </w:rPr>
        <w:t xml:space="preserve"> the ACMA on number</w:t>
      </w:r>
      <w:r w:rsidR="00382949">
        <w:rPr>
          <w:rFonts w:ascii="Times New Roman" w:hAnsi="Times New Roman" w:cs="Times New Roman"/>
        </w:rPr>
        <w:t>ing policy issues</w:t>
      </w:r>
      <w:r w:rsidR="001342EB" w:rsidRPr="009B4BDB">
        <w:rPr>
          <w:rFonts w:ascii="Times New Roman" w:hAnsi="Times New Roman" w:cs="Times New Roman"/>
        </w:rPr>
        <w:t xml:space="preserve">.  </w:t>
      </w:r>
    </w:p>
    <w:p w14:paraId="2D6BCD12" w14:textId="78E1A752" w:rsidR="007918C0" w:rsidRPr="004B569A" w:rsidRDefault="00607E33" w:rsidP="004B569A">
      <w:pPr>
        <w:spacing w:after="24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7918C0" w:rsidRPr="009B4BDB">
        <w:rPr>
          <w:rFonts w:ascii="Times New Roman" w:hAnsi="Times New Roman" w:cs="Times New Roman"/>
        </w:rPr>
        <w:t xml:space="preserve">he ACMA received </w:t>
      </w:r>
      <w:r w:rsidR="00EA148A">
        <w:rPr>
          <w:rFonts w:ascii="Times New Roman" w:hAnsi="Times New Roman" w:cs="Times New Roman"/>
        </w:rPr>
        <w:t>4</w:t>
      </w:r>
      <w:r w:rsidR="00EA148A" w:rsidRPr="009B4BDB">
        <w:rPr>
          <w:rFonts w:ascii="Times New Roman" w:hAnsi="Times New Roman" w:cs="Times New Roman"/>
        </w:rPr>
        <w:t xml:space="preserve"> </w:t>
      </w:r>
      <w:r w:rsidR="007918C0" w:rsidRPr="009B4BDB">
        <w:rPr>
          <w:rFonts w:ascii="Times New Roman" w:hAnsi="Times New Roman" w:cs="Times New Roman"/>
        </w:rPr>
        <w:t>written submissions</w:t>
      </w:r>
      <w:r w:rsidR="002C1D52">
        <w:rPr>
          <w:rFonts w:ascii="Times New Roman" w:hAnsi="Times New Roman" w:cs="Times New Roman"/>
        </w:rPr>
        <w:t xml:space="preserve"> </w:t>
      </w:r>
      <w:r w:rsidR="007918C0" w:rsidRPr="009B4BDB">
        <w:rPr>
          <w:rFonts w:ascii="Times New Roman" w:hAnsi="Times New Roman" w:cs="Times New Roman"/>
        </w:rPr>
        <w:t xml:space="preserve">in response to the consultation paper and all relevant issues were considered when making the </w:t>
      </w:r>
      <w:r w:rsidR="0000049E">
        <w:rPr>
          <w:rFonts w:ascii="Times New Roman" w:hAnsi="Times New Roman" w:cs="Times New Roman"/>
        </w:rPr>
        <w:t>instrument</w:t>
      </w:r>
      <w:r w:rsidR="007918C0" w:rsidRPr="009B4BDB">
        <w:rPr>
          <w:rFonts w:ascii="Times New Roman" w:hAnsi="Times New Roman" w:cs="Times New Roman"/>
        </w:rPr>
        <w:t xml:space="preserve">. </w:t>
      </w:r>
      <w:r w:rsidR="004178E2">
        <w:rPr>
          <w:rFonts w:ascii="Times New Roman" w:hAnsi="Times New Roman" w:cs="Times New Roman"/>
        </w:rPr>
        <w:t xml:space="preserve">There was support </w:t>
      </w:r>
      <w:r w:rsidR="00F57B94">
        <w:rPr>
          <w:rFonts w:ascii="Times New Roman" w:hAnsi="Times New Roman" w:cs="Times New Roman"/>
        </w:rPr>
        <w:t xml:space="preserve">for the proposed changes, with most respondents noting that these were minor and consequential. </w:t>
      </w:r>
      <w:r w:rsidR="007209F6">
        <w:rPr>
          <w:rFonts w:ascii="Times New Roman" w:hAnsi="Times New Roman" w:cs="Times New Roman"/>
        </w:rPr>
        <w:t xml:space="preserve">Two respondents noted that they considered there </w:t>
      </w:r>
      <w:r w:rsidR="005A1C01">
        <w:rPr>
          <w:rFonts w:ascii="Times New Roman" w:hAnsi="Times New Roman" w:cs="Times New Roman"/>
        </w:rPr>
        <w:t>s</w:t>
      </w:r>
      <w:r w:rsidR="007209F6">
        <w:rPr>
          <w:rFonts w:ascii="Times New Roman" w:hAnsi="Times New Roman" w:cs="Times New Roman"/>
        </w:rPr>
        <w:t xml:space="preserve">hould be a </w:t>
      </w:r>
      <w:r w:rsidR="005A1C01">
        <w:rPr>
          <w:rFonts w:ascii="Times New Roman" w:hAnsi="Times New Roman" w:cs="Times New Roman"/>
        </w:rPr>
        <w:t xml:space="preserve">review of the numbering charging framework </w:t>
      </w:r>
      <w:proofErr w:type="gramStart"/>
      <w:r w:rsidR="005A1C01">
        <w:rPr>
          <w:rFonts w:ascii="Times New Roman" w:hAnsi="Times New Roman" w:cs="Times New Roman"/>
        </w:rPr>
        <w:t xml:space="preserve">in </w:t>
      </w:r>
      <w:r w:rsidR="00E1617C">
        <w:rPr>
          <w:rFonts w:ascii="Times New Roman" w:hAnsi="Times New Roman" w:cs="Times New Roman"/>
        </w:rPr>
        <w:t>the near future</w:t>
      </w:r>
      <w:proofErr w:type="gramEnd"/>
      <w:r w:rsidR="00E1617C">
        <w:rPr>
          <w:rFonts w:ascii="Times New Roman" w:hAnsi="Times New Roman" w:cs="Times New Roman"/>
        </w:rPr>
        <w:t>.</w:t>
      </w:r>
      <w:r w:rsidR="000E6C89">
        <w:rPr>
          <w:rFonts w:ascii="Times New Roman" w:hAnsi="Times New Roman" w:cs="Times New Roman"/>
        </w:rPr>
        <w:t xml:space="preserve"> </w:t>
      </w:r>
      <w:r w:rsidR="007918C0" w:rsidRPr="005B0CB0">
        <w:rPr>
          <w:rFonts w:ascii="Times New Roman" w:hAnsi="Times New Roman" w:cs="Times New Roman"/>
        </w:rPr>
        <w:t xml:space="preserve">Copies of the submissions can be found </w:t>
      </w:r>
      <w:r w:rsidR="005B0CB0" w:rsidRPr="001353E8">
        <w:rPr>
          <w:rFonts w:ascii="Times New Roman" w:hAnsi="Times New Roman" w:cs="Times New Roman"/>
        </w:rPr>
        <w:t>on the ACMA website</w:t>
      </w:r>
      <w:r w:rsidR="0001349D" w:rsidRPr="005B0CB0">
        <w:rPr>
          <w:rFonts w:ascii="Times New Roman" w:hAnsi="Times New Roman" w:cs="Times New Roman"/>
        </w:rPr>
        <w:t>.</w:t>
      </w:r>
      <w:r w:rsidR="0001349D" w:rsidRPr="009B4BDB">
        <w:rPr>
          <w:rFonts w:ascii="Times New Roman" w:hAnsi="Times New Roman" w:cs="Times New Roman"/>
        </w:rPr>
        <w:t xml:space="preserve"> </w:t>
      </w:r>
      <w:r w:rsidR="008D202F">
        <w:rPr>
          <w:rFonts w:ascii="Times New Roman" w:hAnsi="Times New Roman" w:cs="Times New Roman"/>
        </w:rPr>
        <w:t xml:space="preserve">Following closure of the initial consultation, the ACMA published submissions and opened a brief reply-to-comment period. No further submissions were </w:t>
      </w:r>
      <w:r w:rsidR="001D2B0F">
        <w:rPr>
          <w:rFonts w:ascii="Times New Roman" w:hAnsi="Times New Roman" w:cs="Times New Roman"/>
        </w:rPr>
        <w:t xml:space="preserve">provided to the ACMA. </w:t>
      </w:r>
    </w:p>
    <w:p w14:paraId="34B1E146" w14:textId="63BF7434" w:rsidR="00531298" w:rsidRPr="004B569A" w:rsidRDefault="00531298" w:rsidP="00531298">
      <w:pPr>
        <w:pStyle w:val="Heading1"/>
        <w:spacing w:before="240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4B56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Statement of </w:t>
      </w:r>
      <w:r w:rsidR="0029176A">
        <w:rPr>
          <w:rFonts w:ascii="Times New Roman" w:hAnsi="Times New Roman" w:cs="Times New Roman"/>
          <w:color w:val="000000" w:themeColor="text1"/>
          <w:sz w:val="22"/>
          <w:szCs w:val="22"/>
        </w:rPr>
        <w:t>c</w:t>
      </w:r>
      <w:r w:rsidRPr="004B56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ompatibility with </w:t>
      </w:r>
      <w:r w:rsidR="0029176A">
        <w:rPr>
          <w:rFonts w:ascii="Times New Roman" w:hAnsi="Times New Roman" w:cs="Times New Roman"/>
          <w:color w:val="000000" w:themeColor="text1"/>
          <w:sz w:val="22"/>
          <w:szCs w:val="22"/>
        </w:rPr>
        <w:t>h</w:t>
      </w:r>
      <w:r w:rsidRPr="004B56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uman </w:t>
      </w:r>
      <w:r w:rsidR="0029176A">
        <w:rPr>
          <w:rFonts w:ascii="Times New Roman" w:hAnsi="Times New Roman" w:cs="Times New Roman"/>
          <w:color w:val="000000" w:themeColor="text1"/>
          <w:sz w:val="22"/>
          <w:szCs w:val="22"/>
        </w:rPr>
        <w:t>r</w:t>
      </w:r>
      <w:r w:rsidRPr="004B569A">
        <w:rPr>
          <w:rFonts w:ascii="Times New Roman" w:hAnsi="Times New Roman" w:cs="Times New Roman"/>
          <w:color w:val="000000" w:themeColor="text1"/>
          <w:sz w:val="22"/>
          <w:szCs w:val="22"/>
        </w:rPr>
        <w:t>ights</w:t>
      </w:r>
    </w:p>
    <w:p w14:paraId="4754B5CB" w14:textId="6744591B" w:rsidR="00F77067" w:rsidRPr="004B569A" w:rsidRDefault="00F77067" w:rsidP="004B569A">
      <w:pPr>
        <w:spacing w:before="120" w:after="120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 xml:space="preserve">Subsection 9(1) of the </w:t>
      </w:r>
      <w:r w:rsidRPr="004B569A">
        <w:rPr>
          <w:rFonts w:ascii="Times New Roman" w:hAnsi="Times New Roman" w:cs="Times New Roman"/>
          <w:i/>
        </w:rPr>
        <w:t>Human Rights (Parliamentary Scrutiny) Act 2011</w:t>
      </w:r>
      <w:r w:rsidRPr="004B569A">
        <w:rPr>
          <w:rFonts w:ascii="Times New Roman" w:hAnsi="Times New Roman" w:cs="Times New Roman"/>
        </w:rPr>
        <w:t xml:space="preserve"> requires the rule</w:t>
      </w:r>
      <w:r w:rsidR="00005B62">
        <w:rPr>
          <w:rFonts w:ascii="Times New Roman" w:hAnsi="Times New Roman" w:cs="Times New Roman"/>
        </w:rPr>
        <w:t>-</w:t>
      </w:r>
      <w:r w:rsidRPr="004B569A">
        <w:rPr>
          <w:rFonts w:ascii="Times New Roman" w:hAnsi="Times New Roman" w:cs="Times New Roman"/>
        </w:rPr>
        <w:t xml:space="preserve">maker in relation to a legislative instrument to which section 42 (disallowance) of the LA applies to cause a statement of compatibility </w:t>
      </w:r>
      <w:r w:rsidR="00E674E8">
        <w:rPr>
          <w:rFonts w:ascii="Times New Roman" w:hAnsi="Times New Roman" w:cs="Times New Roman"/>
        </w:rPr>
        <w:t xml:space="preserve">with human rights </w:t>
      </w:r>
      <w:r w:rsidRPr="004B569A">
        <w:rPr>
          <w:rFonts w:ascii="Times New Roman" w:hAnsi="Times New Roman" w:cs="Times New Roman"/>
        </w:rPr>
        <w:t>to be prepared in respect of that legislative instrument.</w:t>
      </w:r>
    </w:p>
    <w:p w14:paraId="7D767BE6" w14:textId="01C385B8" w:rsidR="009236A2" w:rsidRPr="004B569A" w:rsidRDefault="009236A2" w:rsidP="00F77067">
      <w:pPr>
        <w:spacing w:before="120" w:after="120"/>
        <w:jc w:val="both"/>
        <w:rPr>
          <w:rFonts w:ascii="Times New Roman" w:hAnsi="Times New Roman" w:cs="Times New Roman"/>
          <w:bCs/>
          <w:iCs/>
        </w:rPr>
      </w:pPr>
      <w:r w:rsidRPr="004B569A">
        <w:rPr>
          <w:rFonts w:ascii="Times New Roman" w:hAnsi="Times New Roman" w:cs="Times New Roman"/>
          <w:bCs/>
          <w:iCs/>
        </w:rPr>
        <w:t xml:space="preserve">The statement of compatibility set out below has been prepared to meet </w:t>
      </w:r>
      <w:r w:rsidR="00703782">
        <w:rPr>
          <w:rFonts w:ascii="Times New Roman" w:hAnsi="Times New Roman" w:cs="Times New Roman"/>
          <w:bCs/>
          <w:iCs/>
        </w:rPr>
        <w:t xml:space="preserve">this </w:t>
      </w:r>
      <w:r w:rsidRPr="004B569A">
        <w:rPr>
          <w:rFonts w:ascii="Times New Roman" w:hAnsi="Times New Roman" w:cs="Times New Roman"/>
          <w:bCs/>
          <w:iCs/>
        </w:rPr>
        <w:t>requirement.</w:t>
      </w:r>
    </w:p>
    <w:p w14:paraId="79AFF785" w14:textId="290EFF0F" w:rsidR="00F77067" w:rsidRPr="004B569A" w:rsidRDefault="00F77067" w:rsidP="004B569A">
      <w:pPr>
        <w:spacing w:before="120" w:after="120"/>
        <w:rPr>
          <w:rFonts w:ascii="Times New Roman" w:hAnsi="Times New Roman" w:cs="Times New Roman"/>
          <w:b/>
          <w:i/>
          <w:iCs/>
        </w:rPr>
      </w:pPr>
      <w:r w:rsidRPr="004B569A">
        <w:rPr>
          <w:rFonts w:ascii="Times New Roman" w:hAnsi="Times New Roman" w:cs="Times New Roman"/>
          <w:b/>
          <w:i/>
          <w:iCs/>
        </w:rPr>
        <w:t>Overview</w:t>
      </w:r>
      <w:r w:rsidR="00005B62">
        <w:rPr>
          <w:rFonts w:ascii="Times New Roman" w:hAnsi="Times New Roman" w:cs="Times New Roman"/>
          <w:b/>
          <w:i/>
          <w:iCs/>
        </w:rPr>
        <w:t xml:space="preserve"> of the instrument </w:t>
      </w:r>
      <w:r w:rsidRPr="004B569A">
        <w:rPr>
          <w:rFonts w:ascii="Times New Roman" w:hAnsi="Times New Roman" w:cs="Times New Roman"/>
          <w:b/>
          <w:i/>
          <w:iCs/>
        </w:rPr>
        <w:t xml:space="preserve"> </w:t>
      </w:r>
    </w:p>
    <w:p w14:paraId="6EB79177" w14:textId="448298B7" w:rsidR="00F77067" w:rsidRPr="004B569A" w:rsidRDefault="00F77067" w:rsidP="004B569A">
      <w:pPr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 xml:space="preserve">The </w:t>
      </w:r>
      <w:r w:rsidR="00954ED9">
        <w:rPr>
          <w:rFonts w:ascii="Times New Roman" w:hAnsi="Times New Roman" w:cs="Times New Roman"/>
          <w:iCs/>
        </w:rPr>
        <w:t>instrument</w:t>
      </w:r>
      <w:r w:rsidRPr="004B569A">
        <w:rPr>
          <w:rFonts w:ascii="Times New Roman" w:hAnsi="Times New Roman" w:cs="Times New Roman"/>
        </w:rPr>
        <w:t xml:space="preserve"> set the amount of charge imposed on the allocation of numbers to </w:t>
      </w:r>
      <w:r w:rsidR="00195B26">
        <w:rPr>
          <w:rFonts w:ascii="Times New Roman" w:hAnsi="Times New Roman" w:cs="Times New Roman"/>
        </w:rPr>
        <w:t xml:space="preserve">CSPs under the Numbering Charges Act. </w:t>
      </w:r>
    </w:p>
    <w:p w14:paraId="13546EA8" w14:textId="77777777" w:rsidR="00F77067" w:rsidRPr="004B569A" w:rsidRDefault="00F77067" w:rsidP="004B569A">
      <w:pPr>
        <w:spacing w:before="120" w:after="120"/>
        <w:rPr>
          <w:rFonts w:ascii="Times New Roman" w:hAnsi="Times New Roman" w:cs="Times New Roman"/>
          <w:b/>
          <w:i/>
          <w:iCs/>
        </w:rPr>
      </w:pPr>
      <w:r w:rsidRPr="004B569A">
        <w:rPr>
          <w:rFonts w:ascii="Times New Roman" w:hAnsi="Times New Roman" w:cs="Times New Roman"/>
          <w:b/>
          <w:i/>
          <w:iCs/>
        </w:rPr>
        <w:t>Human rights implications</w:t>
      </w:r>
    </w:p>
    <w:p w14:paraId="2C113709" w14:textId="77777777" w:rsidR="00D33537" w:rsidRDefault="00D33537" w:rsidP="00D33537">
      <w:pPr>
        <w:pStyle w:val="Heading1"/>
        <w:spacing w:before="240"/>
        <w:rPr>
          <w:rFonts w:ascii="Times New Roman" w:hAnsi="Times New Roman" w:cs="Times New Roman"/>
          <w:b w:val="0"/>
          <w:sz w:val="22"/>
          <w:szCs w:val="22"/>
        </w:rPr>
      </w:pP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The ACMA has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>assessed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 whether the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>instrument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 </w:t>
      </w:r>
      <w:r w:rsidRPr="00204F84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is compatible with </w:t>
      </w:r>
      <w:r w:rsidRPr="00427E85">
        <w:rPr>
          <w:rFonts w:ascii="Times New Roman" w:hAnsi="Times New Roman" w:cs="Times New Roman"/>
          <w:b w:val="0"/>
          <w:sz w:val="22"/>
          <w:szCs w:val="22"/>
        </w:rPr>
        <w:t xml:space="preserve">human rights, being the rights and freedoms recognised or declared by the international instruments listed in subsection 3(1) of the </w:t>
      </w:r>
      <w:r w:rsidRPr="00427E85">
        <w:rPr>
          <w:rStyle w:val="Emphasis"/>
          <w:rFonts w:ascii="Times New Roman" w:hAnsi="Times New Roman" w:cs="Times New Roman"/>
          <w:b w:val="0"/>
          <w:sz w:val="22"/>
          <w:szCs w:val="22"/>
        </w:rPr>
        <w:t>Human Rights (Parliamentary Scrutiny) Act 2011</w:t>
      </w:r>
      <w:r w:rsidRPr="00427E85">
        <w:rPr>
          <w:rFonts w:ascii="Times New Roman" w:hAnsi="Times New Roman" w:cs="Times New Roman"/>
          <w:b w:val="0"/>
          <w:sz w:val="22"/>
          <w:szCs w:val="22"/>
        </w:rPr>
        <w:t xml:space="preserve"> as they apply to Australia</w:t>
      </w:r>
      <w:r>
        <w:rPr>
          <w:rFonts w:ascii="Times New Roman" w:hAnsi="Times New Roman" w:cs="Times New Roman"/>
          <w:b w:val="0"/>
          <w:sz w:val="22"/>
          <w:szCs w:val="22"/>
        </w:rPr>
        <w:t>.</w:t>
      </w:r>
    </w:p>
    <w:p w14:paraId="2B79154F" w14:textId="77777777" w:rsidR="00D33537" w:rsidRPr="00717436" w:rsidRDefault="00D33537" w:rsidP="00D33537">
      <w:pPr>
        <w:pStyle w:val="Heading1"/>
        <w:spacing w:before="240"/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Having considered the likely impact of the instrument and the nature of the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applicable rights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and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>freedoms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>,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the ACMA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has formed the view that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the instrument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>does not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 engage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any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of those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rights </w:t>
      </w:r>
      <w:r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 xml:space="preserve">or </w:t>
      </w:r>
      <w:r w:rsidRPr="00717436">
        <w:rPr>
          <w:rFonts w:ascii="Times New Roman" w:eastAsia="Times New Roman" w:hAnsi="Times New Roman" w:cs="Times New Roman"/>
          <w:b w:val="0"/>
          <w:color w:val="000000" w:themeColor="text1"/>
          <w:sz w:val="22"/>
          <w:szCs w:val="22"/>
          <w:lang w:eastAsia="en-AU"/>
        </w:rPr>
        <w:t>freedoms.</w:t>
      </w:r>
    </w:p>
    <w:p w14:paraId="2AB195C3" w14:textId="6006C429" w:rsidR="00F77067" w:rsidRPr="004B569A" w:rsidRDefault="00F77067" w:rsidP="004B569A">
      <w:pPr>
        <w:spacing w:before="120" w:after="120"/>
        <w:rPr>
          <w:rFonts w:ascii="Times New Roman" w:hAnsi="Times New Roman" w:cs="Times New Roman"/>
          <w:b/>
          <w:i/>
          <w:iCs/>
        </w:rPr>
      </w:pPr>
      <w:r w:rsidRPr="004B569A">
        <w:rPr>
          <w:rFonts w:ascii="Times New Roman" w:hAnsi="Times New Roman" w:cs="Times New Roman"/>
          <w:b/>
          <w:i/>
          <w:iCs/>
        </w:rPr>
        <w:t>Conclusion</w:t>
      </w:r>
    </w:p>
    <w:p w14:paraId="0FC8EA7B" w14:textId="4FC6743E" w:rsidR="00E05A54" w:rsidRDefault="0048266F" w:rsidP="00CF3313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The instrument is compatible with human rights as it does not raise any human rights issues.</w:t>
      </w:r>
      <w:r w:rsidR="00E05A54">
        <w:rPr>
          <w:rFonts w:ascii="Times New Roman" w:hAnsi="Times New Roman" w:cs="Times New Roman"/>
        </w:rPr>
        <w:br w:type="page"/>
      </w:r>
    </w:p>
    <w:p w14:paraId="0B6656FA" w14:textId="77777777" w:rsidR="00071713" w:rsidRDefault="00071713" w:rsidP="00CF331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86DBD1" w14:textId="3FFF755E" w:rsidR="00DA0B63" w:rsidRPr="004B569A" w:rsidRDefault="00FA5D90" w:rsidP="00E05A54">
      <w:pPr>
        <w:spacing w:after="120" w:line="240" w:lineRule="auto"/>
        <w:ind w:left="64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70663">
        <w:rPr>
          <w:rFonts w:ascii="Times New Roman" w:hAnsi="Times New Roman" w:cs="Times New Roman"/>
          <w:b/>
          <w:sz w:val="28"/>
          <w:szCs w:val="28"/>
        </w:rPr>
        <w:t>A</w:t>
      </w:r>
      <w:r w:rsidR="00DA0B63" w:rsidRPr="004B569A">
        <w:rPr>
          <w:rFonts w:ascii="Times New Roman" w:hAnsi="Times New Roman" w:cs="Times New Roman"/>
          <w:b/>
          <w:sz w:val="28"/>
          <w:szCs w:val="28"/>
        </w:rPr>
        <w:t xml:space="preserve">ttachment A </w:t>
      </w:r>
    </w:p>
    <w:p w14:paraId="7D7334C4" w14:textId="231455EA" w:rsidR="006346FA" w:rsidRPr="004B569A" w:rsidRDefault="00EB175D" w:rsidP="004B569A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569A">
        <w:rPr>
          <w:rFonts w:ascii="Times New Roman" w:hAnsi="Times New Roman" w:cs="Times New Roman"/>
          <w:b/>
          <w:sz w:val="28"/>
          <w:szCs w:val="28"/>
        </w:rPr>
        <w:br/>
      </w:r>
      <w:r w:rsidR="00B462BC" w:rsidRPr="004B569A">
        <w:rPr>
          <w:rFonts w:ascii="Times New Roman" w:hAnsi="Times New Roman" w:cs="Times New Roman"/>
          <w:b/>
          <w:sz w:val="28"/>
          <w:szCs w:val="28"/>
        </w:rPr>
        <w:t xml:space="preserve">Notes to the </w:t>
      </w:r>
      <w:r w:rsidR="00B462BC" w:rsidRPr="004B569A">
        <w:rPr>
          <w:rFonts w:ascii="Times New Roman" w:hAnsi="Times New Roman" w:cs="Times New Roman"/>
          <w:b/>
          <w:i/>
          <w:iCs/>
          <w:sz w:val="28"/>
          <w:szCs w:val="28"/>
        </w:rPr>
        <w:t>Telecommunications (Numbering Charges) (Allocation Charge) Determination 2025</w:t>
      </w:r>
      <w:r w:rsidR="00B462BC" w:rsidRPr="004B56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569A">
        <w:rPr>
          <w:rFonts w:ascii="Times New Roman" w:hAnsi="Times New Roman" w:cs="Times New Roman"/>
          <w:b/>
          <w:sz w:val="28"/>
          <w:szCs w:val="28"/>
        </w:rPr>
        <w:br/>
      </w:r>
    </w:p>
    <w:p w14:paraId="47BC4475" w14:textId="0A6CD771" w:rsidR="006346FA" w:rsidRPr="004B569A" w:rsidRDefault="006346FA" w:rsidP="00C80D83">
      <w:pPr>
        <w:spacing w:after="120" w:line="240" w:lineRule="auto"/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</w:rPr>
        <w:t>Section 1</w:t>
      </w:r>
      <w:r w:rsidR="00F77067" w:rsidRPr="004B569A">
        <w:rPr>
          <w:rFonts w:ascii="Times New Roman" w:hAnsi="Times New Roman" w:cs="Times New Roman"/>
          <w:b/>
        </w:rPr>
        <w:tab/>
      </w:r>
      <w:r w:rsidRPr="004B569A">
        <w:rPr>
          <w:rFonts w:ascii="Times New Roman" w:hAnsi="Times New Roman" w:cs="Times New Roman"/>
          <w:b/>
        </w:rPr>
        <w:t xml:space="preserve">Name </w:t>
      </w:r>
      <w:r w:rsidR="00D853F4">
        <w:rPr>
          <w:rFonts w:ascii="Times New Roman" w:hAnsi="Times New Roman" w:cs="Times New Roman"/>
          <w:b/>
        </w:rPr>
        <w:t>of Determination</w:t>
      </w:r>
      <w:r w:rsidRPr="004B569A">
        <w:rPr>
          <w:rFonts w:ascii="Times New Roman" w:hAnsi="Times New Roman" w:cs="Times New Roman"/>
          <w:b/>
        </w:rPr>
        <w:t xml:space="preserve"> </w:t>
      </w:r>
    </w:p>
    <w:p w14:paraId="044D844D" w14:textId="3706D13E" w:rsidR="005F7AFA" w:rsidRPr="004B569A" w:rsidRDefault="00940DEE" w:rsidP="00C80D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</w:t>
      </w:r>
      <w:r w:rsidR="006346FA" w:rsidRPr="004B569A">
        <w:rPr>
          <w:rFonts w:ascii="Times New Roman" w:hAnsi="Times New Roman" w:cs="Times New Roman"/>
        </w:rPr>
        <w:t xml:space="preserve"> provides </w:t>
      </w:r>
      <w:r w:rsidR="00447631" w:rsidRPr="004B569A">
        <w:rPr>
          <w:rFonts w:ascii="Times New Roman" w:hAnsi="Times New Roman" w:cs="Times New Roman"/>
        </w:rPr>
        <w:t xml:space="preserve">that </w:t>
      </w:r>
      <w:r w:rsidR="006346FA" w:rsidRPr="004B569A">
        <w:rPr>
          <w:rFonts w:ascii="Times New Roman" w:hAnsi="Times New Roman" w:cs="Times New Roman"/>
        </w:rPr>
        <w:t xml:space="preserve">the </w:t>
      </w:r>
      <w:r w:rsidR="00447631" w:rsidRPr="004B569A">
        <w:rPr>
          <w:rFonts w:ascii="Times New Roman" w:hAnsi="Times New Roman" w:cs="Times New Roman"/>
        </w:rPr>
        <w:t xml:space="preserve">name of the </w:t>
      </w:r>
      <w:r w:rsidR="00BD367D">
        <w:rPr>
          <w:rFonts w:ascii="Times New Roman" w:hAnsi="Times New Roman" w:cs="Times New Roman"/>
        </w:rPr>
        <w:t>instrument</w:t>
      </w:r>
      <w:r w:rsidR="00BD367D" w:rsidRPr="004B569A">
        <w:rPr>
          <w:rFonts w:ascii="Times New Roman" w:hAnsi="Times New Roman" w:cs="Times New Roman"/>
        </w:rPr>
        <w:t xml:space="preserve"> </w:t>
      </w:r>
      <w:r w:rsidR="00447631" w:rsidRPr="004B569A">
        <w:rPr>
          <w:rFonts w:ascii="Times New Roman" w:hAnsi="Times New Roman" w:cs="Times New Roman"/>
        </w:rPr>
        <w:t xml:space="preserve">is </w:t>
      </w:r>
      <w:r w:rsidR="006346FA" w:rsidRPr="004B569A">
        <w:rPr>
          <w:rFonts w:ascii="Times New Roman" w:hAnsi="Times New Roman" w:cs="Times New Roman"/>
        </w:rPr>
        <w:t>the</w:t>
      </w:r>
      <w:r w:rsidR="003448B2" w:rsidRPr="004B569A">
        <w:rPr>
          <w:rFonts w:ascii="Times New Roman" w:hAnsi="Times New Roman" w:cs="Times New Roman"/>
        </w:rPr>
        <w:t xml:space="preserve"> </w:t>
      </w:r>
      <w:r w:rsidR="00BC401C" w:rsidRPr="004B569A">
        <w:rPr>
          <w:rFonts w:ascii="Times New Roman" w:hAnsi="Times New Roman" w:cs="Times New Roman"/>
          <w:i/>
        </w:rPr>
        <w:t>Telecommunications (Numbering Charges) (Allocation Charge) Determination 20</w:t>
      </w:r>
      <w:r w:rsidR="00872170" w:rsidRPr="004B569A">
        <w:rPr>
          <w:rFonts w:ascii="Times New Roman" w:hAnsi="Times New Roman" w:cs="Times New Roman"/>
          <w:i/>
        </w:rPr>
        <w:t>2</w:t>
      </w:r>
      <w:r w:rsidR="00BC401C" w:rsidRPr="004B569A">
        <w:rPr>
          <w:rFonts w:ascii="Times New Roman" w:hAnsi="Times New Roman" w:cs="Times New Roman"/>
          <w:i/>
        </w:rPr>
        <w:t>5</w:t>
      </w:r>
      <w:r w:rsidR="003448B2" w:rsidRPr="004B569A">
        <w:rPr>
          <w:rFonts w:ascii="Times New Roman" w:hAnsi="Times New Roman" w:cs="Times New Roman"/>
          <w:i/>
        </w:rPr>
        <w:t>.</w:t>
      </w:r>
      <w:r w:rsidR="00187D9C">
        <w:rPr>
          <w:rFonts w:ascii="Times New Roman" w:hAnsi="Times New Roman" w:cs="Times New Roman"/>
          <w:i/>
        </w:rPr>
        <w:br/>
      </w:r>
      <w:r w:rsidR="00187D9C">
        <w:rPr>
          <w:rFonts w:ascii="Times New Roman" w:hAnsi="Times New Roman" w:cs="Times New Roman"/>
          <w:b/>
        </w:rPr>
        <w:br/>
      </w:r>
      <w:r w:rsidR="005F7AFA" w:rsidRPr="004B569A">
        <w:rPr>
          <w:rFonts w:ascii="Times New Roman" w:hAnsi="Times New Roman" w:cs="Times New Roman"/>
          <w:b/>
        </w:rPr>
        <w:t>Section 2</w:t>
      </w:r>
      <w:r w:rsidR="00F77067" w:rsidRPr="004B569A">
        <w:rPr>
          <w:rFonts w:ascii="Times New Roman" w:hAnsi="Times New Roman" w:cs="Times New Roman"/>
          <w:b/>
        </w:rPr>
        <w:tab/>
      </w:r>
      <w:r w:rsidR="005F7AFA" w:rsidRPr="004B569A">
        <w:rPr>
          <w:rFonts w:ascii="Times New Roman" w:hAnsi="Times New Roman" w:cs="Times New Roman"/>
          <w:b/>
        </w:rPr>
        <w:t>Commencement</w:t>
      </w:r>
    </w:p>
    <w:p w14:paraId="004DF43F" w14:textId="4E78E867" w:rsidR="00D178B7" w:rsidRDefault="00D178B7" w:rsidP="00D178B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This section</w:t>
      </w:r>
      <w:r w:rsidRPr="000E3E11">
        <w:rPr>
          <w:rFonts w:ascii="Times New Roman" w:hAnsi="Times New Roman" w:cs="Times New Roman"/>
          <w:color w:val="000000" w:themeColor="text1"/>
        </w:rPr>
        <w:t xml:space="preserve"> provides that the instrument commences </w:t>
      </w:r>
      <w:r w:rsidR="00426163">
        <w:rPr>
          <w:rFonts w:ascii="Times New Roman" w:hAnsi="Times New Roman" w:cs="Times New Roman"/>
          <w:color w:val="000000" w:themeColor="text1"/>
        </w:rPr>
        <w:t>at</w:t>
      </w:r>
      <w:r w:rsidRPr="000E3E11">
        <w:rPr>
          <w:rFonts w:ascii="Times New Roman" w:hAnsi="Times New Roman" w:cs="Times New Roman"/>
          <w:color w:val="000000" w:themeColor="text1"/>
        </w:rPr>
        <w:t xml:space="preserve"> the start of the day </w:t>
      </w:r>
      <w:r w:rsidR="00426163">
        <w:rPr>
          <w:rFonts w:ascii="Times New Roman" w:hAnsi="Times New Roman" w:cs="Times New Roman"/>
          <w:color w:val="000000" w:themeColor="text1"/>
        </w:rPr>
        <w:t>after the day that</w:t>
      </w:r>
      <w:r w:rsidR="00426163" w:rsidRPr="000E3E11">
        <w:rPr>
          <w:rFonts w:ascii="Times New Roman" w:hAnsi="Times New Roman" w:cs="Times New Roman"/>
          <w:color w:val="000000" w:themeColor="text1"/>
        </w:rPr>
        <w:t xml:space="preserve"> </w:t>
      </w:r>
      <w:r w:rsidRPr="000E3E11">
        <w:rPr>
          <w:rFonts w:ascii="Times New Roman" w:hAnsi="Times New Roman" w:cs="Times New Roman"/>
          <w:color w:val="000000" w:themeColor="text1"/>
        </w:rPr>
        <w:t xml:space="preserve">it is registered on the Federal Register of Legislation. </w:t>
      </w:r>
    </w:p>
    <w:p w14:paraId="22762405" w14:textId="6E9D3760" w:rsidR="005F7AFA" w:rsidRPr="004B569A" w:rsidRDefault="005F7AFA" w:rsidP="00C80D83">
      <w:pPr>
        <w:spacing w:after="120" w:line="240" w:lineRule="auto"/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</w:rPr>
        <w:t>Section 3</w:t>
      </w:r>
      <w:r w:rsidR="00F77067" w:rsidRPr="004B569A">
        <w:rPr>
          <w:rFonts w:ascii="Times New Roman" w:hAnsi="Times New Roman" w:cs="Times New Roman"/>
          <w:b/>
        </w:rPr>
        <w:tab/>
      </w:r>
      <w:r w:rsidR="00CD3A32" w:rsidRPr="004B569A">
        <w:rPr>
          <w:rFonts w:ascii="Times New Roman" w:hAnsi="Times New Roman" w:cs="Times New Roman"/>
          <w:b/>
        </w:rPr>
        <w:t>Authority</w:t>
      </w:r>
    </w:p>
    <w:p w14:paraId="517E1BCB" w14:textId="38E9FFA3" w:rsidR="00CD3A32" w:rsidRPr="004B569A" w:rsidRDefault="00940DEE" w:rsidP="00C80D83">
      <w:pPr>
        <w:spacing w:after="12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This section</w:t>
      </w:r>
      <w:r w:rsidRPr="004B569A">
        <w:rPr>
          <w:rFonts w:ascii="Times New Roman" w:hAnsi="Times New Roman" w:cs="Times New Roman"/>
        </w:rPr>
        <w:t xml:space="preserve"> </w:t>
      </w:r>
      <w:r w:rsidR="008A46FD">
        <w:rPr>
          <w:rFonts w:ascii="Times New Roman" w:hAnsi="Times New Roman" w:cs="Times New Roman"/>
          <w:bCs/>
          <w:color w:val="000000" w:themeColor="text1"/>
        </w:rPr>
        <w:t xml:space="preserve">identifies the provision which authorise the making of the instrument, namely </w:t>
      </w:r>
      <w:r w:rsidR="0018044B" w:rsidRPr="004B569A">
        <w:rPr>
          <w:rFonts w:ascii="Times New Roman" w:hAnsi="Times New Roman" w:cs="Times New Roman"/>
          <w:bCs/>
        </w:rPr>
        <w:t xml:space="preserve">subsection 13(1) of the Numbering Charges Act. </w:t>
      </w:r>
    </w:p>
    <w:p w14:paraId="6944D467" w14:textId="404AF6E5" w:rsidR="00CD3A32" w:rsidRPr="00970663" w:rsidRDefault="00CD3A32" w:rsidP="00C80D83">
      <w:pPr>
        <w:spacing w:after="120" w:line="240" w:lineRule="auto"/>
        <w:rPr>
          <w:rFonts w:ascii="Times New Roman" w:hAnsi="Times New Roman" w:cs="Times New Roman"/>
          <w:b/>
          <w:i/>
          <w:iCs/>
        </w:rPr>
      </w:pPr>
      <w:r w:rsidRPr="004B569A">
        <w:rPr>
          <w:rFonts w:ascii="Times New Roman" w:hAnsi="Times New Roman" w:cs="Times New Roman"/>
          <w:b/>
        </w:rPr>
        <w:t>Section 4</w:t>
      </w:r>
      <w:r w:rsidR="00F77067" w:rsidRPr="004B569A">
        <w:rPr>
          <w:rFonts w:ascii="Times New Roman" w:hAnsi="Times New Roman" w:cs="Times New Roman"/>
          <w:b/>
        </w:rPr>
        <w:tab/>
      </w:r>
      <w:r w:rsidR="00A432BA" w:rsidRPr="004B569A">
        <w:rPr>
          <w:rFonts w:ascii="Times New Roman" w:hAnsi="Times New Roman" w:cs="Times New Roman"/>
          <w:b/>
        </w:rPr>
        <w:t>Repea</w:t>
      </w:r>
      <w:r w:rsidR="00E217D8" w:rsidRPr="004B569A">
        <w:rPr>
          <w:rFonts w:ascii="Times New Roman" w:hAnsi="Times New Roman" w:cs="Times New Roman"/>
          <w:b/>
        </w:rPr>
        <w:t xml:space="preserve">l of the </w:t>
      </w:r>
      <w:r w:rsidR="00E217D8" w:rsidRPr="00970663">
        <w:rPr>
          <w:rFonts w:ascii="Times New Roman" w:hAnsi="Times New Roman" w:cs="Times New Roman"/>
          <w:b/>
          <w:i/>
          <w:iCs/>
        </w:rPr>
        <w:t>Telecommunications (Numbering Charges) (Allo</w:t>
      </w:r>
      <w:r w:rsidR="00B22C6D" w:rsidRPr="00970663">
        <w:rPr>
          <w:rFonts w:ascii="Times New Roman" w:hAnsi="Times New Roman" w:cs="Times New Roman"/>
          <w:b/>
          <w:i/>
          <w:iCs/>
        </w:rPr>
        <w:t xml:space="preserve">cation </w:t>
      </w:r>
      <w:r w:rsidR="004757F4" w:rsidRPr="00970663">
        <w:rPr>
          <w:rFonts w:ascii="Times New Roman" w:hAnsi="Times New Roman" w:cs="Times New Roman"/>
          <w:b/>
          <w:i/>
          <w:iCs/>
        </w:rPr>
        <w:t>Charge)</w:t>
      </w:r>
      <w:r w:rsidR="004757F4">
        <w:rPr>
          <w:rFonts w:ascii="Times New Roman" w:hAnsi="Times New Roman" w:cs="Times New Roman"/>
          <w:b/>
          <w:i/>
          <w:iCs/>
        </w:rPr>
        <w:t xml:space="preserve"> Determination</w:t>
      </w:r>
      <w:r w:rsidR="00B22C6D" w:rsidRPr="00970663">
        <w:rPr>
          <w:rFonts w:ascii="Times New Roman" w:hAnsi="Times New Roman" w:cs="Times New Roman"/>
          <w:b/>
          <w:i/>
          <w:iCs/>
        </w:rPr>
        <w:t xml:space="preserve"> 2015 </w:t>
      </w:r>
    </w:p>
    <w:p w14:paraId="2950AB42" w14:textId="3D61103C" w:rsidR="005F7AFA" w:rsidRPr="004B569A" w:rsidRDefault="00940DEE" w:rsidP="00C80D83">
      <w:pPr>
        <w:spacing w:after="12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This section</w:t>
      </w:r>
      <w:r w:rsidRPr="004B569A">
        <w:rPr>
          <w:rFonts w:ascii="Times New Roman" w:hAnsi="Times New Roman" w:cs="Times New Roman"/>
        </w:rPr>
        <w:t xml:space="preserve"> </w:t>
      </w:r>
      <w:r w:rsidR="000E250E">
        <w:rPr>
          <w:rFonts w:ascii="Times New Roman" w:hAnsi="Times New Roman" w:cs="Times New Roman"/>
        </w:rPr>
        <w:t>repeals the</w:t>
      </w:r>
      <w:r w:rsidR="005F7AFA" w:rsidRPr="004B569A">
        <w:rPr>
          <w:rFonts w:ascii="Times New Roman" w:hAnsi="Times New Roman" w:cs="Times New Roman"/>
        </w:rPr>
        <w:t xml:space="preserve"> </w:t>
      </w:r>
      <w:r w:rsidR="00EF7C4F" w:rsidRPr="00970663">
        <w:rPr>
          <w:rFonts w:ascii="Times New Roman" w:hAnsi="Times New Roman" w:cs="Times New Roman"/>
          <w:i/>
          <w:iCs/>
        </w:rPr>
        <w:t>Telecommunications (Numbering Charges) (Allocation Charge) Determination 2015</w:t>
      </w:r>
      <w:r w:rsidR="006A3438">
        <w:rPr>
          <w:rFonts w:ascii="Times New Roman" w:hAnsi="Times New Roman" w:cs="Times New Roman"/>
        </w:rPr>
        <w:t xml:space="preserve"> (</w:t>
      </w:r>
      <w:r w:rsidR="00930977" w:rsidRPr="00930977">
        <w:rPr>
          <w:rFonts w:ascii="Times New Roman" w:hAnsi="Times New Roman" w:cs="Times New Roman"/>
        </w:rPr>
        <w:t>F2015L01152</w:t>
      </w:r>
      <w:r w:rsidR="006A3438">
        <w:rPr>
          <w:rFonts w:ascii="Times New Roman" w:hAnsi="Times New Roman" w:cs="Times New Roman"/>
        </w:rPr>
        <w:t>)</w:t>
      </w:r>
      <w:r w:rsidR="00E5742B" w:rsidRPr="004B569A">
        <w:rPr>
          <w:rFonts w:ascii="Times New Roman" w:hAnsi="Times New Roman" w:cs="Times New Roman"/>
          <w:i/>
        </w:rPr>
        <w:t>.</w:t>
      </w:r>
    </w:p>
    <w:p w14:paraId="1BEDA16E" w14:textId="22B3D143" w:rsidR="00712749" w:rsidRPr="004B569A" w:rsidRDefault="00C1236C" w:rsidP="00C80D83">
      <w:pPr>
        <w:spacing w:after="120" w:line="240" w:lineRule="auto"/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</w:rPr>
        <w:t xml:space="preserve">Section </w:t>
      </w:r>
      <w:r w:rsidR="00DD050A" w:rsidRPr="004B569A">
        <w:rPr>
          <w:rFonts w:ascii="Times New Roman" w:hAnsi="Times New Roman" w:cs="Times New Roman"/>
          <w:b/>
        </w:rPr>
        <w:t>5</w:t>
      </w:r>
      <w:r w:rsidR="00F77067" w:rsidRPr="004B569A">
        <w:rPr>
          <w:rFonts w:ascii="Times New Roman" w:hAnsi="Times New Roman" w:cs="Times New Roman"/>
          <w:b/>
        </w:rPr>
        <w:tab/>
      </w:r>
      <w:r w:rsidR="00712749" w:rsidRPr="004B569A">
        <w:rPr>
          <w:rFonts w:ascii="Times New Roman" w:hAnsi="Times New Roman" w:cs="Times New Roman"/>
          <w:b/>
        </w:rPr>
        <w:t xml:space="preserve">Definitions </w:t>
      </w:r>
    </w:p>
    <w:p w14:paraId="65ECB147" w14:textId="32CE9F7B" w:rsidR="00C1236C" w:rsidRPr="004B569A" w:rsidRDefault="00940DEE" w:rsidP="00C80D83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section</w:t>
      </w:r>
      <w:r w:rsidRPr="004B569A">
        <w:rPr>
          <w:rFonts w:ascii="Times New Roman" w:hAnsi="Times New Roman" w:cs="Times New Roman"/>
        </w:rPr>
        <w:t xml:space="preserve"> </w:t>
      </w:r>
      <w:r w:rsidR="00885281" w:rsidRPr="004B569A">
        <w:rPr>
          <w:rFonts w:ascii="Times New Roman" w:hAnsi="Times New Roman" w:cs="Times New Roman"/>
        </w:rPr>
        <w:t>defines</w:t>
      </w:r>
      <w:r w:rsidR="008302AF">
        <w:rPr>
          <w:rFonts w:ascii="Times New Roman" w:hAnsi="Times New Roman" w:cs="Times New Roman"/>
        </w:rPr>
        <w:t xml:space="preserve"> key</w:t>
      </w:r>
      <w:r w:rsidR="00885281" w:rsidRPr="004B569A">
        <w:rPr>
          <w:rFonts w:ascii="Times New Roman" w:hAnsi="Times New Roman" w:cs="Times New Roman"/>
        </w:rPr>
        <w:t xml:space="preserve"> terms </w:t>
      </w:r>
      <w:r w:rsidR="00C1236C" w:rsidRPr="004B569A">
        <w:rPr>
          <w:rFonts w:ascii="Times New Roman" w:hAnsi="Times New Roman" w:cs="Times New Roman"/>
        </w:rPr>
        <w:t xml:space="preserve">used in the </w:t>
      </w:r>
      <w:r w:rsidR="00BD367D">
        <w:rPr>
          <w:rFonts w:ascii="Times New Roman" w:hAnsi="Times New Roman" w:cs="Times New Roman"/>
        </w:rPr>
        <w:t>instrument</w:t>
      </w:r>
      <w:r w:rsidR="00C1236C" w:rsidRPr="004B569A">
        <w:rPr>
          <w:rFonts w:ascii="Times New Roman" w:hAnsi="Times New Roman" w:cs="Times New Roman"/>
        </w:rPr>
        <w:t>.</w:t>
      </w:r>
      <w:r w:rsidR="0047586E" w:rsidRPr="004B569A">
        <w:rPr>
          <w:rFonts w:ascii="Times New Roman" w:hAnsi="Times New Roman" w:cs="Times New Roman"/>
        </w:rPr>
        <w:t xml:space="preserve">  It also adopts the definition of terms</w:t>
      </w:r>
      <w:r w:rsidR="00821B65" w:rsidRPr="004B569A">
        <w:rPr>
          <w:rFonts w:ascii="Times New Roman" w:hAnsi="Times New Roman" w:cs="Times New Roman"/>
        </w:rPr>
        <w:t xml:space="preserve"> used </w:t>
      </w:r>
      <w:r w:rsidR="0047586E" w:rsidRPr="004B569A">
        <w:rPr>
          <w:rFonts w:ascii="Times New Roman" w:hAnsi="Times New Roman" w:cs="Times New Roman"/>
        </w:rPr>
        <w:t xml:space="preserve">by the Numbering Plan, for use in the </w:t>
      </w:r>
      <w:r w:rsidR="00BD367D">
        <w:rPr>
          <w:rFonts w:ascii="Times New Roman" w:hAnsi="Times New Roman" w:cs="Times New Roman"/>
        </w:rPr>
        <w:t>instrument</w:t>
      </w:r>
      <w:r w:rsidR="0047586E" w:rsidRPr="004B569A">
        <w:rPr>
          <w:rFonts w:ascii="Times New Roman" w:hAnsi="Times New Roman" w:cs="Times New Roman"/>
        </w:rPr>
        <w:t>.</w:t>
      </w:r>
    </w:p>
    <w:p w14:paraId="60DF3102" w14:textId="5F7EE6C0" w:rsidR="00033D21" w:rsidRPr="004B569A" w:rsidRDefault="00033D21" w:rsidP="00970663">
      <w:pPr>
        <w:spacing w:after="120"/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</w:rPr>
        <w:t>Section 6</w:t>
      </w:r>
      <w:r w:rsidR="00F77067" w:rsidRPr="004B569A">
        <w:rPr>
          <w:rFonts w:ascii="Times New Roman" w:hAnsi="Times New Roman" w:cs="Times New Roman"/>
          <w:b/>
        </w:rPr>
        <w:tab/>
      </w:r>
      <w:r w:rsidRPr="004B569A">
        <w:rPr>
          <w:rFonts w:ascii="Times New Roman" w:hAnsi="Times New Roman" w:cs="Times New Roman"/>
          <w:b/>
        </w:rPr>
        <w:t xml:space="preserve">References to other instruments </w:t>
      </w:r>
    </w:p>
    <w:p w14:paraId="11720F3E" w14:textId="767F7E87" w:rsidR="00C76B48" w:rsidRPr="00C76B48" w:rsidRDefault="00C76B48" w:rsidP="00970663">
      <w:pPr>
        <w:pStyle w:val="ListParagraph"/>
        <w:spacing w:after="120"/>
        <w:ind w:left="0"/>
        <w:rPr>
          <w:rFonts w:ascii="Times New Roman" w:hAnsi="Times New Roman" w:cs="Times New Roman"/>
          <w:color w:val="000000" w:themeColor="text1"/>
        </w:rPr>
      </w:pPr>
      <w:r w:rsidRPr="00C76B48">
        <w:rPr>
          <w:rFonts w:ascii="Times New Roman" w:hAnsi="Times New Roman" w:cs="Times New Roman"/>
          <w:color w:val="000000" w:themeColor="text1"/>
        </w:rPr>
        <w:t xml:space="preserve">This section provides that in the instrument, unless the contrary intention appears, a reference to any other legislative instrument is a reference to that other legislative instrument as in force from time to time. A reference to any other kind of instrument or writing is a reference to that other instrument or writing as in force </w:t>
      </w:r>
      <w:r w:rsidR="00F67595">
        <w:rPr>
          <w:rFonts w:ascii="Times New Roman" w:hAnsi="Times New Roman" w:cs="Times New Roman"/>
          <w:color w:val="000000" w:themeColor="text1"/>
        </w:rPr>
        <w:t xml:space="preserve">or existing </w:t>
      </w:r>
      <w:r w:rsidRPr="00C76B48">
        <w:rPr>
          <w:rFonts w:ascii="Times New Roman" w:hAnsi="Times New Roman" w:cs="Times New Roman"/>
          <w:color w:val="000000" w:themeColor="text1"/>
        </w:rPr>
        <w:t xml:space="preserve">at the commencement of the instrument. </w:t>
      </w:r>
    </w:p>
    <w:p w14:paraId="4459D965" w14:textId="52F7A41E" w:rsidR="0076281B" w:rsidRPr="004B569A" w:rsidRDefault="0076281B" w:rsidP="005419FA">
      <w:pPr>
        <w:rPr>
          <w:rFonts w:ascii="Times New Roman" w:hAnsi="Times New Roman" w:cs="Times New Roman"/>
          <w:b/>
        </w:rPr>
      </w:pPr>
      <w:r w:rsidRPr="004B569A">
        <w:rPr>
          <w:rFonts w:ascii="Times New Roman" w:hAnsi="Times New Roman" w:cs="Times New Roman"/>
          <w:b/>
        </w:rPr>
        <w:t>Section</w:t>
      </w:r>
      <w:r w:rsidR="00476D67" w:rsidRPr="004B569A">
        <w:rPr>
          <w:rFonts w:ascii="Times New Roman" w:hAnsi="Times New Roman" w:cs="Times New Roman"/>
          <w:b/>
        </w:rPr>
        <w:t xml:space="preserve"> </w:t>
      </w:r>
      <w:r w:rsidR="00033D21" w:rsidRPr="004B569A">
        <w:rPr>
          <w:rFonts w:ascii="Times New Roman" w:hAnsi="Times New Roman" w:cs="Times New Roman"/>
          <w:b/>
        </w:rPr>
        <w:t>7</w:t>
      </w:r>
      <w:r w:rsidR="00F77067" w:rsidRPr="004B569A">
        <w:rPr>
          <w:rFonts w:ascii="Times New Roman" w:hAnsi="Times New Roman" w:cs="Times New Roman"/>
          <w:b/>
        </w:rPr>
        <w:tab/>
      </w:r>
      <w:r w:rsidRPr="004B569A">
        <w:rPr>
          <w:rFonts w:ascii="Times New Roman" w:hAnsi="Times New Roman" w:cs="Times New Roman"/>
          <w:b/>
        </w:rPr>
        <w:t>Determination of charges</w:t>
      </w:r>
    </w:p>
    <w:p w14:paraId="13BAFD46" w14:textId="51013D64" w:rsidR="00BC4ACE" w:rsidRPr="004B569A" w:rsidRDefault="00BB605B" w:rsidP="00BC4ACE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 xml:space="preserve">Subsection (1) gives effect to Table 1.  </w:t>
      </w:r>
      <w:r w:rsidR="00D12E8A" w:rsidRPr="004B569A">
        <w:rPr>
          <w:rFonts w:ascii="Times New Roman" w:hAnsi="Times New Roman" w:cs="Times New Roman"/>
        </w:rPr>
        <w:t xml:space="preserve">Table 1 </w:t>
      </w:r>
      <w:r w:rsidR="00C1236C" w:rsidRPr="004B569A">
        <w:rPr>
          <w:rFonts w:ascii="Times New Roman" w:hAnsi="Times New Roman" w:cs="Times New Roman"/>
        </w:rPr>
        <w:t xml:space="preserve">sets out the </w:t>
      </w:r>
      <w:r w:rsidR="00D84286">
        <w:rPr>
          <w:rFonts w:ascii="Times New Roman" w:hAnsi="Times New Roman" w:cs="Times New Roman"/>
        </w:rPr>
        <w:t xml:space="preserve">allocation charge for </w:t>
      </w:r>
      <w:r w:rsidR="00D12E8A" w:rsidRPr="004B569A">
        <w:rPr>
          <w:rFonts w:ascii="Times New Roman" w:hAnsi="Times New Roman" w:cs="Times New Roman"/>
        </w:rPr>
        <w:t xml:space="preserve">freephone </w:t>
      </w:r>
      <w:r w:rsidR="00A60387" w:rsidRPr="004B569A">
        <w:rPr>
          <w:rFonts w:ascii="Times New Roman" w:hAnsi="Times New Roman" w:cs="Times New Roman"/>
        </w:rPr>
        <w:t>(</w:t>
      </w:r>
      <w:r w:rsidR="00BC4ACE" w:rsidRPr="004B569A">
        <w:rPr>
          <w:rFonts w:ascii="Times New Roman" w:hAnsi="Times New Roman" w:cs="Times New Roman"/>
        </w:rPr>
        <w:t xml:space="preserve">7 </w:t>
      </w:r>
      <w:r w:rsidR="00A60387" w:rsidRPr="004B569A">
        <w:rPr>
          <w:rFonts w:ascii="Times New Roman" w:hAnsi="Times New Roman" w:cs="Times New Roman"/>
        </w:rPr>
        <w:t xml:space="preserve">or </w:t>
      </w:r>
      <w:r w:rsidR="00BC4ACE" w:rsidRPr="004B569A">
        <w:rPr>
          <w:rFonts w:ascii="Times New Roman" w:hAnsi="Times New Roman" w:cs="Times New Roman"/>
        </w:rPr>
        <w:t xml:space="preserve">10 </w:t>
      </w:r>
      <w:r w:rsidR="00A60387" w:rsidRPr="004B569A">
        <w:rPr>
          <w:rFonts w:ascii="Times New Roman" w:hAnsi="Times New Roman" w:cs="Times New Roman"/>
        </w:rPr>
        <w:t>digit</w:t>
      </w:r>
      <w:r w:rsidR="00BC4ACE" w:rsidRPr="004B569A">
        <w:rPr>
          <w:rFonts w:ascii="Times New Roman" w:hAnsi="Times New Roman" w:cs="Times New Roman"/>
        </w:rPr>
        <w:t>s,</w:t>
      </w:r>
      <w:r w:rsidR="00A60387" w:rsidRPr="004B569A">
        <w:rPr>
          <w:rFonts w:ascii="Times New Roman" w:hAnsi="Times New Roman" w:cs="Times New Roman"/>
        </w:rPr>
        <w:t xml:space="preserve"> with the prefix 180)</w:t>
      </w:r>
      <w:r w:rsidR="00FE2D22" w:rsidRPr="004B569A">
        <w:rPr>
          <w:rFonts w:ascii="Times New Roman" w:hAnsi="Times New Roman" w:cs="Times New Roman"/>
        </w:rPr>
        <w:t xml:space="preserve">, and </w:t>
      </w:r>
      <w:r w:rsidR="00A60387" w:rsidRPr="004B569A">
        <w:rPr>
          <w:rFonts w:ascii="Times New Roman" w:hAnsi="Times New Roman" w:cs="Times New Roman"/>
        </w:rPr>
        <w:t xml:space="preserve">local rate </w:t>
      </w:r>
      <w:r w:rsidR="00F813F8">
        <w:rPr>
          <w:rFonts w:ascii="Times New Roman" w:hAnsi="Times New Roman" w:cs="Times New Roman"/>
        </w:rPr>
        <w:t xml:space="preserve">numbers </w:t>
      </w:r>
      <w:r w:rsidR="00A60387" w:rsidRPr="004B569A">
        <w:rPr>
          <w:rFonts w:ascii="Times New Roman" w:hAnsi="Times New Roman" w:cs="Times New Roman"/>
        </w:rPr>
        <w:t>(</w:t>
      </w:r>
      <w:r w:rsidR="00BC4ACE" w:rsidRPr="004B569A">
        <w:rPr>
          <w:rFonts w:ascii="Times New Roman" w:hAnsi="Times New Roman" w:cs="Times New Roman"/>
        </w:rPr>
        <w:t xml:space="preserve">6, 8 or 10 </w:t>
      </w:r>
      <w:r w:rsidR="00A60387" w:rsidRPr="004B569A">
        <w:rPr>
          <w:rFonts w:ascii="Times New Roman" w:hAnsi="Times New Roman" w:cs="Times New Roman"/>
        </w:rPr>
        <w:t>digit</w:t>
      </w:r>
      <w:r w:rsidR="00BC4ACE" w:rsidRPr="004B569A">
        <w:rPr>
          <w:rFonts w:ascii="Times New Roman" w:hAnsi="Times New Roman" w:cs="Times New Roman"/>
        </w:rPr>
        <w:t>s,</w:t>
      </w:r>
      <w:r w:rsidR="0028460E" w:rsidRPr="004B569A">
        <w:rPr>
          <w:rFonts w:ascii="Times New Roman" w:hAnsi="Times New Roman" w:cs="Times New Roman"/>
        </w:rPr>
        <w:t xml:space="preserve"> </w:t>
      </w:r>
      <w:r w:rsidR="00A60387" w:rsidRPr="004B569A">
        <w:rPr>
          <w:rFonts w:ascii="Times New Roman" w:hAnsi="Times New Roman" w:cs="Times New Roman"/>
        </w:rPr>
        <w:t>with the prefix 13)</w:t>
      </w:r>
      <w:r w:rsidR="00E44184" w:rsidRPr="004B569A">
        <w:rPr>
          <w:rFonts w:ascii="Times New Roman" w:hAnsi="Times New Roman" w:cs="Times New Roman"/>
        </w:rPr>
        <w:t>.</w:t>
      </w:r>
      <w:r w:rsidR="006A24A9" w:rsidRPr="004B569A">
        <w:rPr>
          <w:rFonts w:ascii="Times New Roman" w:hAnsi="Times New Roman" w:cs="Times New Roman"/>
        </w:rPr>
        <w:t xml:space="preserve"> </w:t>
      </w:r>
      <w:r w:rsidR="00BC4ACE" w:rsidRPr="004B569A">
        <w:rPr>
          <w:rFonts w:ascii="Times New Roman" w:hAnsi="Times New Roman" w:cs="Times New Roman"/>
        </w:rPr>
        <w:t>In each case, the amount of charge is $</w:t>
      </w:r>
      <w:r w:rsidR="00FE2D22" w:rsidRPr="004B569A">
        <w:rPr>
          <w:rFonts w:ascii="Times New Roman" w:hAnsi="Times New Roman" w:cs="Times New Roman"/>
        </w:rPr>
        <w:t>57</w:t>
      </w:r>
      <w:r w:rsidR="00BC4ACE" w:rsidRPr="004B569A">
        <w:rPr>
          <w:rFonts w:ascii="Times New Roman" w:hAnsi="Times New Roman" w:cs="Times New Roman"/>
        </w:rPr>
        <w:t xml:space="preserve"> per number.</w:t>
      </w:r>
    </w:p>
    <w:p w14:paraId="137DD158" w14:textId="7580D2B3" w:rsidR="00BC4ACE" w:rsidRPr="004B569A" w:rsidRDefault="006A24A9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Table 1 specifically excludes freephone and local rate num</w:t>
      </w:r>
      <w:r w:rsidR="009E47FD" w:rsidRPr="004B569A">
        <w:rPr>
          <w:rFonts w:ascii="Times New Roman" w:hAnsi="Times New Roman" w:cs="Times New Roman"/>
        </w:rPr>
        <w:t xml:space="preserve">bers </w:t>
      </w:r>
      <w:r w:rsidR="00D125C9" w:rsidRPr="004B569A">
        <w:rPr>
          <w:rFonts w:ascii="Times New Roman" w:hAnsi="Times New Roman" w:cs="Times New Roman"/>
        </w:rPr>
        <w:t>specified</w:t>
      </w:r>
      <w:r w:rsidR="009E47FD" w:rsidRPr="004B569A">
        <w:rPr>
          <w:rFonts w:ascii="Times New Roman" w:hAnsi="Times New Roman" w:cs="Times New Roman"/>
        </w:rPr>
        <w:t xml:space="preserve"> as </w:t>
      </w:r>
      <w:proofErr w:type="spellStart"/>
      <w:r w:rsidR="009E47FD" w:rsidRPr="004B569A">
        <w:rPr>
          <w:rFonts w:ascii="Times New Roman" w:hAnsi="Times New Roman" w:cs="Times New Roman"/>
        </w:rPr>
        <w:t>smartnumbers</w:t>
      </w:r>
      <w:proofErr w:type="spellEnd"/>
      <w:r w:rsidR="00D125C9" w:rsidRPr="004B569A">
        <w:rPr>
          <w:rFonts w:ascii="Times New Roman" w:hAnsi="Times New Roman" w:cs="Times New Roman"/>
        </w:rPr>
        <w:t xml:space="preserve"> under the Numbering Plan</w:t>
      </w:r>
      <w:r w:rsidR="009E47FD" w:rsidRPr="004B569A">
        <w:rPr>
          <w:rFonts w:ascii="Times New Roman" w:hAnsi="Times New Roman" w:cs="Times New Roman"/>
        </w:rPr>
        <w:t xml:space="preserve">. </w:t>
      </w:r>
      <w:r w:rsidR="00BC4ACE" w:rsidRPr="004B569A">
        <w:rPr>
          <w:rFonts w:ascii="Times New Roman" w:hAnsi="Times New Roman" w:cs="Times New Roman"/>
        </w:rPr>
        <w:t xml:space="preserve">The amount of </w:t>
      </w:r>
      <w:r w:rsidR="00E94DEC">
        <w:rPr>
          <w:rFonts w:ascii="Times New Roman" w:hAnsi="Times New Roman" w:cs="Times New Roman"/>
        </w:rPr>
        <w:t>a</w:t>
      </w:r>
      <w:r w:rsidR="009E47FD" w:rsidRPr="004B569A">
        <w:rPr>
          <w:rFonts w:ascii="Times New Roman" w:hAnsi="Times New Roman" w:cs="Times New Roman"/>
        </w:rPr>
        <w:t xml:space="preserve">llocation </w:t>
      </w:r>
      <w:r w:rsidR="00E94DEC">
        <w:rPr>
          <w:rFonts w:ascii="Times New Roman" w:hAnsi="Times New Roman" w:cs="Times New Roman"/>
        </w:rPr>
        <w:t>c</w:t>
      </w:r>
      <w:r w:rsidR="009E47FD" w:rsidRPr="004B569A">
        <w:rPr>
          <w:rFonts w:ascii="Times New Roman" w:hAnsi="Times New Roman" w:cs="Times New Roman"/>
        </w:rPr>
        <w:t xml:space="preserve">harge for </w:t>
      </w:r>
      <w:proofErr w:type="spellStart"/>
      <w:r w:rsidR="009E47FD" w:rsidRPr="004B569A">
        <w:rPr>
          <w:rFonts w:ascii="Times New Roman" w:hAnsi="Times New Roman" w:cs="Times New Roman"/>
        </w:rPr>
        <w:t>smartnumbers</w:t>
      </w:r>
      <w:proofErr w:type="spellEnd"/>
      <w:r w:rsidR="009E47FD" w:rsidRPr="004B569A">
        <w:rPr>
          <w:rFonts w:ascii="Times New Roman" w:hAnsi="Times New Roman" w:cs="Times New Roman"/>
        </w:rPr>
        <w:t xml:space="preserve"> </w:t>
      </w:r>
      <w:r w:rsidR="00BC4ACE" w:rsidRPr="004B569A">
        <w:rPr>
          <w:rFonts w:ascii="Times New Roman" w:hAnsi="Times New Roman" w:cs="Times New Roman"/>
        </w:rPr>
        <w:t xml:space="preserve">is set </w:t>
      </w:r>
      <w:r w:rsidR="009E47FD" w:rsidRPr="004B569A">
        <w:rPr>
          <w:rFonts w:ascii="Times New Roman" w:hAnsi="Times New Roman" w:cs="Times New Roman"/>
        </w:rPr>
        <w:t xml:space="preserve">in Table 3 of the </w:t>
      </w:r>
      <w:r w:rsidR="00561C96">
        <w:rPr>
          <w:rFonts w:ascii="Times New Roman" w:hAnsi="Times New Roman" w:cs="Times New Roman"/>
        </w:rPr>
        <w:t>instrument</w:t>
      </w:r>
      <w:r w:rsidR="009E47FD" w:rsidRPr="004B569A">
        <w:rPr>
          <w:rFonts w:ascii="Times New Roman" w:hAnsi="Times New Roman" w:cs="Times New Roman"/>
        </w:rPr>
        <w:t>.</w:t>
      </w:r>
    </w:p>
    <w:p w14:paraId="7D2FA6B8" w14:textId="3F07EF6E" w:rsidR="000A1BF7" w:rsidRPr="004B569A" w:rsidRDefault="00BB605B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 xml:space="preserve">Subsection (2) gives effect to Table 2.  </w:t>
      </w:r>
      <w:r w:rsidR="00232FD4" w:rsidRPr="004B569A">
        <w:rPr>
          <w:rFonts w:ascii="Times New Roman" w:hAnsi="Times New Roman" w:cs="Times New Roman"/>
        </w:rPr>
        <w:t>Table 2 sets the charges to be imposed</w:t>
      </w:r>
      <w:r w:rsidR="00A60387" w:rsidRPr="004B569A">
        <w:rPr>
          <w:rFonts w:ascii="Times New Roman" w:hAnsi="Times New Roman" w:cs="Times New Roman"/>
        </w:rPr>
        <w:t xml:space="preserve"> </w:t>
      </w:r>
      <w:r w:rsidR="00143FCE" w:rsidRPr="004B569A">
        <w:rPr>
          <w:rFonts w:ascii="Times New Roman" w:hAnsi="Times New Roman" w:cs="Times New Roman"/>
        </w:rPr>
        <w:t xml:space="preserve">on </w:t>
      </w:r>
      <w:r w:rsidR="00C1236C" w:rsidRPr="004B569A">
        <w:rPr>
          <w:rFonts w:ascii="Times New Roman" w:hAnsi="Times New Roman" w:cs="Times New Roman"/>
        </w:rPr>
        <w:t xml:space="preserve">various </w:t>
      </w:r>
      <w:r w:rsidR="009D44A2" w:rsidRPr="004B569A">
        <w:rPr>
          <w:rFonts w:ascii="Times New Roman" w:hAnsi="Times New Roman" w:cs="Times New Roman"/>
        </w:rPr>
        <w:t>access codes, special services number</w:t>
      </w:r>
      <w:r w:rsidR="000A1BF7" w:rsidRPr="004B569A">
        <w:rPr>
          <w:rFonts w:ascii="Times New Roman" w:hAnsi="Times New Roman" w:cs="Times New Roman"/>
        </w:rPr>
        <w:t>s</w:t>
      </w:r>
      <w:r w:rsidR="009D44A2" w:rsidRPr="004B569A">
        <w:rPr>
          <w:rFonts w:ascii="Times New Roman" w:hAnsi="Times New Roman" w:cs="Times New Roman"/>
        </w:rPr>
        <w:t>,</w:t>
      </w:r>
      <w:r w:rsidR="000A1BF7" w:rsidRPr="004B569A">
        <w:rPr>
          <w:rFonts w:ascii="Times New Roman" w:hAnsi="Times New Roman" w:cs="Times New Roman"/>
        </w:rPr>
        <w:t xml:space="preserve"> </w:t>
      </w:r>
      <w:r w:rsidR="009D44A2" w:rsidRPr="004B569A">
        <w:rPr>
          <w:rFonts w:ascii="Times New Roman" w:hAnsi="Times New Roman" w:cs="Times New Roman"/>
        </w:rPr>
        <w:t>and international numbering resources</w:t>
      </w:r>
      <w:r w:rsidR="00561C96">
        <w:rPr>
          <w:rFonts w:ascii="Times New Roman" w:hAnsi="Times New Roman" w:cs="Times New Roman"/>
        </w:rPr>
        <w:t>.</w:t>
      </w:r>
      <w:r w:rsidR="009D44A2" w:rsidRPr="004B569A">
        <w:rPr>
          <w:rFonts w:ascii="Times New Roman" w:hAnsi="Times New Roman" w:cs="Times New Roman"/>
        </w:rPr>
        <w:t xml:space="preserve"> </w:t>
      </w:r>
      <w:r w:rsidR="00DA3977" w:rsidRPr="004B569A">
        <w:rPr>
          <w:rFonts w:ascii="Times New Roman" w:hAnsi="Times New Roman" w:cs="Times New Roman"/>
        </w:rPr>
        <w:t xml:space="preserve">It also sets the charge imposed on the allocation of assigned unallocated </w:t>
      </w:r>
      <w:proofErr w:type="spellStart"/>
      <w:r w:rsidR="00DA3977" w:rsidRPr="004B569A">
        <w:rPr>
          <w:rFonts w:ascii="Times New Roman" w:hAnsi="Times New Roman" w:cs="Times New Roman"/>
        </w:rPr>
        <w:t>smartnumbers</w:t>
      </w:r>
      <w:proofErr w:type="spellEnd"/>
      <w:r w:rsidR="00DA3977" w:rsidRPr="004B569A">
        <w:rPr>
          <w:rFonts w:ascii="Times New Roman" w:hAnsi="Times New Roman" w:cs="Times New Roman"/>
        </w:rPr>
        <w:t xml:space="preserve">, which are those </w:t>
      </w:r>
      <w:proofErr w:type="spellStart"/>
      <w:r w:rsidR="00DA3977" w:rsidRPr="004B569A">
        <w:rPr>
          <w:rFonts w:ascii="Times New Roman" w:hAnsi="Times New Roman" w:cs="Times New Roman"/>
        </w:rPr>
        <w:t>smartnumbers</w:t>
      </w:r>
      <w:proofErr w:type="spellEnd"/>
      <w:r w:rsidR="00DA3977" w:rsidRPr="004B569A">
        <w:rPr>
          <w:rFonts w:ascii="Times New Roman" w:hAnsi="Times New Roman" w:cs="Times New Roman"/>
        </w:rPr>
        <w:t xml:space="preserve"> </w:t>
      </w:r>
      <w:r w:rsidR="00B85555" w:rsidRPr="004B569A">
        <w:rPr>
          <w:rFonts w:ascii="Times New Roman" w:hAnsi="Times New Roman" w:cs="Times New Roman"/>
        </w:rPr>
        <w:t xml:space="preserve">which are </w:t>
      </w:r>
      <w:r w:rsidR="00DA3977" w:rsidRPr="004B569A">
        <w:rPr>
          <w:rFonts w:ascii="Times New Roman" w:hAnsi="Times New Roman" w:cs="Times New Roman"/>
        </w:rPr>
        <w:t xml:space="preserve">not allocated to a CSP, but </w:t>
      </w:r>
      <w:r w:rsidR="00B85555" w:rsidRPr="004B569A">
        <w:rPr>
          <w:rFonts w:ascii="Times New Roman" w:hAnsi="Times New Roman" w:cs="Times New Roman"/>
        </w:rPr>
        <w:t xml:space="preserve">for which </w:t>
      </w:r>
      <w:r w:rsidR="00DA3977" w:rsidRPr="004B569A">
        <w:rPr>
          <w:rFonts w:ascii="Times New Roman" w:hAnsi="Times New Roman" w:cs="Times New Roman"/>
        </w:rPr>
        <w:t>the enhanced rights of use (EROU) are held by a person, as permitted by the Numbering Plan</w:t>
      </w:r>
      <w:r w:rsidR="004A6511">
        <w:rPr>
          <w:rFonts w:ascii="Times New Roman" w:hAnsi="Times New Roman" w:cs="Times New Roman"/>
        </w:rPr>
        <w:t xml:space="preserve"> (see </w:t>
      </w:r>
      <w:r w:rsidR="000520D6">
        <w:rPr>
          <w:rFonts w:ascii="Times New Roman" w:hAnsi="Times New Roman" w:cs="Times New Roman"/>
        </w:rPr>
        <w:t>Chapter 7</w:t>
      </w:r>
      <w:r w:rsidR="00896AD9">
        <w:rPr>
          <w:rFonts w:ascii="Times New Roman" w:hAnsi="Times New Roman" w:cs="Times New Roman"/>
        </w:rPr>
        <w:t xml:space="preserve"> of the Plan</w:t>
      </w:r>
      <w:r w:rsidR="004A6511">
        <w:rPr>
          <w:rFonts w:ascii="Times New Roman" w:hAnsi="Times New Roman" w:cs="Times New Roman"/>
        </w:rPr>
        <w:t>)</w:t>
      </w:r>
      <w:r w:rsidR="00DA3977" w:rsidRPr="004B569A">
        <w:rPr>
          <w:rFonts w:ascii="Times New Roman" w:hAnsi="Times New Roman" w:cs="Times New Roman"/>
        </w:rPr>
        <w:t>.</w:t>
      </w:r>
    </w:p>
    <w:p w14:paraId="281BE17F" w14:textId="1C84A24C" w:rsidR="006B3496" w:rsidRPr="004B569A" w:rsidRDefault="000A1BF7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The</w:t>
      </w:r>
      <w:r w:rsidR="00C1236C" w:rsidRPr="004B569A">
        <w:rPr>
          <w:rFonts w:ascii="Times New Roman" w:hAnsi="Times New Roman" w:cs="Times New Roman"/>
        </w:rPr>
        <w:t xml:space="preserve"> </w:t>
      </w:r>
      <w:r w:rsidRPr="004B569A">
        <w:rPr>
          <w:rFonts w:ascii="Times New Roman" w:hAnsi="Times New Roman" w:cs="Times New Roman"/>
        </w:rPr>
        <w:t>table provides that $</w:t>
      </w:r>
      <w:r w:rsidR="0012073F" w:rsidRPr="004B569A">
        <w:rPr>
          <w:rFonts w:ascii="Times New Roman" w:hAnsi="Times New Roman" w:cs="Times New Roman"/>
        </w:rPr>
        <w:t>57</w:t>
      </w:r>
      <w:r w:rsidRPr="004B569A">
        <w:rPr>
          <w:rFonts w:ascii="Times New Roman" w:hAnsi="Times New Roman" w:cs="Times New Roman"/>
        </w:rPr>
        <w:t xml:space="preserve"> is the base amount for allocation</w:t>
      </w:r>
      <w:r w:rsidR="00C05D57" w:rsidRPr="004B569A">
        <w:rPr>
          <w:rFonts w:ascii="Times New Roman" w:hAnsi="Times New Roman" w:cs="Times New Roman"/>
        </w:rPr>
        <w:t xml:space="preserve"> and it is noted that, consistent with the Numbering Plan, numbers are generally allocated in multiples of standard units.</w:t>
      </w:r>
      <w:r w:rsidR="00D125C9" w:rsidRPr="004B569A">
        <w:rPr>
          <w:rFonts w:ascii="Times New Roman" w:hAnsi="Times New Roman" w:cs="Times New Roman"/>
        </w:rPr>
        <w:t xml:space="preserve"> Depending on the </w:t>
      </w:r>
      <w:r w:rsidR="00D125C9" w:rsidRPr="004B569A">
        <w:rPr>
          <w:rFonts w:ascii="Times New Roman" w:hAnsi="Times New Roman" w:cs="Times New Roman"/>
        </w:rPr>
        <w:lastRenderedPageBreak/>
        <w:t>type of number, a standard unit may involve anywhere between 100 or 10,000 numbers</w:t>
      </w:r>
      <w:r w:rsidR="004A6511">
        <w:rPr>
          <w:rFonts w:ascii="Times New Roman" w:hAnsi="Times New Roman" w:cs="Times New Roman"/>
        </w:rPr>
        <w:t xml:space="preserve"> (see</w:t>
      </w:r>
      <w:r w:rsidR="00013A12">
        <w:rPr>
          <w:rFonts w:ascii="Times New Roman" w:hAnsi="Times New Roman" w:cs="Times New Roman"/>
        </w:rPr>
        <w:t xml:space="preserve"> </w:t>
      </w:r>
      <w:r w:rsidR="004A6511">
        <w:rPr>
          <w:rFonts w:ascii="Times New Roman" w:hAnsi="Times New Roman" w:cs="Times New Roman"/>
        </w:rPr>
        <w:t>Schedule 7 of the Numbering Plan)</w:t>
      </w:r>
      <w:r w:rsidR="00D125C9" w:rsidRPr="004B569A">
        <w:rPr>
          <w:rFonts w:ascii="Times New Roman" w:hAnsi="Times New Roman" w:cs="Times New Roman"/>
        </w:rPr>
        <w:t>.</w:t>
      </w:r>
      <w:r w:rsidRPr="004B569A">
        <w:rPr>
          <w:rFonts w:ascii="Times New Roman" w:hAnsi="Times New Roman" w:cs="Times New Roman"/>
        </w:rPr>
        <w:t xml:space="preserve"> </w:t>
      </w:r>
      <w:r w:rsidR="00C05D57" w:rsidRPr="004B569A">
        <w:rPr>
          <w:rFonts w:ascii="Times New Roman" w:hAnsi="Times New Roman" w:cs="Times New Roman"/>
        </w:rPr>
        <w:t xml:space="preserve"> </w:t>
      </w:r>
      <w:r w:rsidR="006B3496" w:rsidRPr="004B569A">
        <w:rPr>
          <w:rFonts w:ascii="Times New Roman" w:hAnsi="Times New Roman" w:cs="Times New Roman"/>
        </w:rPr>
        <w:t xml:space="preserve">The table </w:t>
      </w:r>
      <w:r w:rsidR="00143FCE" w:rsidRPr="004B569A">
        <w:rPr>
          <w:rFonts w:ascii="Times New Roman" w:hAnsi="Times New Roman" w:cs="Times New Roman"/>
        </w:rPr>
        <w:t>contemplates that there may be</w:t>
      </w:r>
      <w:r w:rsidR="006B3496" w:rsidRPr="004B569A">
        <w:rPr>
          <w:rFonts w:ascii="Times New Roman" w:hAnsi="Times New Roman" w:cs="Times New Roman"/>
        </w:rPr>
        <w:t xml:space="preserve"> applications </w:t>
      </w:r>
      <w:r w:rsidR="00143FCE" w:rsidRPr="004B569A">
        <w:rPr>
          <w:rFonts w:ascii="Times New Roman" w:hAnsi="Times New Roman" w:cs="Times New Roman"/>
        </w:rPr>
        <w:t>for multiple</w:t>
      </w:r>
      <w:r w:rsidR="006B3496" w:rsidRPr="004B569A">
        <w:rPr>
          <w:rFonts w:ascii="Times New Roman" w:hAnsi="Times New Roman" w:cs="Times New Roman"/>
        </w:rPr>
        <w:t xml:space="preserve"> standard units</w:t>
      </w:r>
      <w:r w:rsidR="00143FCE" w:rsidRPr="004B569A">
        <w:rPr>
          <w:rFonts w:ascii="Times New Roman" w:hAnsi="Times New Roman" w:cs="Times New Roman"/>
        </w:rPr>
        <w:t>.</w:t>
      </w:r>
      <w:r w:rsidR="006B3496" w:rsidRPr="004B569A">
        <w:rPr>
          <w:rFonts w:ascii="Times New Roman" w:hAnsi="Times New Roman" w:cs="Times New Roman"/>
        </w:rPr>
        <w:t xml:space="preserve"> </w:t>
      </w:r>
      <w:r w:rsidR="00143FCE" w:rsidRPr="004B569A">
        <w:rPr>
          <w:rFonts w:ascii="Times New Roman" w:hAnsi="Times New Roman" w:cs="Times New Roman"/>
        </w:rPr>
        <w:t>T</w:t>
      </w:r>
      <w:r w:rsidR="006B3496" w:rsidRPr="004B569A">
        <w:rPr>
          <w:rFonts w:ascii="Times New Roman" w:hAnsi="Times New Roman" w:cs="Times New Roman"/>
        </w:rPr>
        <w:t xml:space="preserve">he allocation charge </w:t>
      </w:r>
      <w:r w:rsidR="00143FCE" w:rsidRPr="004B569A">
        <w:rPr>
          <w:rFonts w:ascii="Times New Roman" w:hAnsi="Times New Roman" w:cs="Times New Roman"/>
        </w:rPr>
        <w:t xml:space="preserve">for each </w:t>
      </w:r>
      <w:r w:rsidR="006B3496" w:rsidRPr="004B569A">
        <w:rPr>
          <w:rFonts w:ascii="Times New Roman" w:hAnsi="Times New Roman" w:cs="Times New Roman"/>
        </w:rPr>
        <w:t xml:space="preserve">individual number in the application </w:t>
      </w:r>
      <w:r w:rsidR="00143FCE" w:rsidRPr="004B569A">
        <w:rPr>
          <w:rFonts w:ascii="Times New Roman" w:hAnsi="Times New Roman" w:cs="Times New Roman"/>
        </w:rPr>
        <w:t xml:space="preserve">is </w:t>
      </w:r>
      <w:r w:rsidR="005B6AE0" w:rsidRPr="004B569A">
        <w:rPr>
          <w:rFonts w:ascii="Times New Roman" w:hAnsi="Times New Roman" w:cs="Times New Roman"/>
        </w:rPr>
        <w:t>calculated</w:t>
      </w:r>
      <w:r w:rsidR="00143FCE" w:rsidRPr="004B569A">
        <w:rPr>
          <w:rFonts w:ascii="Times New Roman" w:hAnsi="Times New Roman" w:cs="Times New Roman"/>
        </w:rPr>
        <w:t xml:space="preserve"> by dividing $</w:t>
      </w:r>
      <w:r w:rsidR="005B6AE0" w:rsidRPr="004B569A">
        <w:rPr>
          <w:rFonts w:ascii="Times New Roman" w:hAnsi="Times New Roman" w:cs="Times New Roman"/>
        </w:rPr>
        <w:t>57</w:t>
      </w:r>
      <w:r w:rsidR="00143FCE" w:rsidRPr="004B569A">
        <w:rPr>
          <w:rFonts w:ascii="Times New Roman" w:hAnsi="Times New Roman" w:cs="Times New Roman"/>
        </w:rPr>
        <w:t xml:space="preserve"> </w:t>
      </w:r>
      <w:r w:rsidR="006B3496" w:rsidRPr="004B569A">
        <w:rPr>
          <w:rFonts w:ascii="Times New Roman" w:hAnsi="Times New Roman" w:cs="Times New Roman"/>
        </w:rPr>
        <w:t xml:space="preserve">by </w:t>
      </w:r>
      <w:r w:rsidR="00C05D57" w:rsidRPr="004B569A">
        <w:rPr>
          <w:rFonts w:ascii="Times New Roman" w:hAnsi="Times New Roman" w:cs="Times New Roman"/>
        </w:rPr>
        <w:t>the quantity of numbers in the application</w:t>
      </w:r>
      <w:r w:rsidRPr="004B569A">
        <w:rPr>
          <w:rFonts w:ascii="Times New Roman" w:hAnsi="Times New Roman" w:cs="Times New Roman"/>
        </w:rPr>
        <w:t>.</w:t>
      </w:r>
    </w:p>
    <w:p w14:paraId="626F0473" w14:textId="61856C67" w:rsidR="00BB605B" w:rsidRPr="004B569A" w:rsidRDefault="00BB605B" w:rsidP="00E64318">
      <w:pPr>
        <w:spacing w:after="120" w:line="240" w:lineRule="auto"/>
        <w:rPr>
          <w:rFonts w:ascii="Times New Roman" w:hAnsi="Times New Roman" w:cs="Times New Roman"/>
        </w:rPr>
      </w:pPr>
      <w:r w:rsidRPr="001353E8">
        <w:rPr>
          <w:rFonts w:ascii="Times New Roman" w:hAnsi="Times New Roman" w:cs="Times New Roman"/>
        </w:rPr>
        <w:t xml:space="preserve">For example, if a standard unit for a particular type of number is 100, then an application for one standard unit will involve an </w:t>
      </w:r>
      <w:r w:rsidR="00043FBB">
        <w:rPr>
          <w:rFonts w:ascii="Times New Roman" w:hAnsi="Times New Roman" w:cs="Times New Roman"/>
        </w:rPr>
        <w:t>a</w:t>
      </w:r>
      <w:r w:rsidRPr="001353E8">
        <w:rPr>
          <w:rFonts w:ascii="Times New Roman" w:hAnsi="Times New Roman" w:cs="Times New Roman"/>
        </w:rPr>
        <w:t xml:space="preserve">llocation </w:t>
      </w:r>
      <w:r w:rsidR="00043FBB">
        <w:rPr>
          <w:rFonts w:ascii="Times New Roman" w:hAnsi="Times New Roman" w:cs="Times New Roman"/>
        </w:rPr>
        <w:t>c</w:t>
      </w:r>
      <w:r w:rsidRPr="001353E8">
        <w:rPr>
          <w:rFonts w:ascii="Times New Roman" w:hAnsi="Times New Roman" w:cs="Times New Roman"/>
        </w:rPr>
        <w:t>harge on each number in that standard unit of $0.</w:t>
      </w:r>
      <w:r w:rsidR="00E418C3" w:rsidRPr="001353E8">
        <w:rPr>
          <w:rFonts w:ascii="Times New Roman" w:hAnsi="Times New Roman" w:cs="Times New Roman"/>
        </w:rPr>
        <w:t>57</w:t>
      </w:r>
      <w:r w:rsidRPr="001353E8">
        <w:rPr>
          <w:rFonts w:ascii="Times New Roman" w:hAnsi="Times New Roman" w:cs="Times New Roman"/>
        </w:rPr>
        <w:t xml:space="preserve">.  The total </w:t>
      </w:r>
      <w:r w:rsidR="00E94DEC">
        <w:rPr>
          <w:rFonts w:ascii="Times New Roman" w:hAnsi="Times New Roman" w:cs="Times New Roman"/>
        </w:rPr>
        <w:t>a</w:t>
      </w:r>
      <w:r w:rsidRPr="001353E8">
        <w:rPr>
          <w:rFonts w:ascii="Times New Roman" w:hAnsi="Times New Roman" w:cs="Times New Roman"/>
        </w:rPr>
        <w:t xml:space="preserve">llocation </w:t>
      </w:r>
      <w:r w:rsidR="00E94DEC">
        <w:rPr>
          <w:rFonts w:ascii="Times New Roman" w:hAnsi="Times New Roman" w:cs="Times New Roman"/>
        </w:rPr>
        <w:t>c</w:t>
      </w:r>
      <w:r w:rsidRPr="001353E8">
        <w:rPr>
          <w:rFonts w:ascii="Times New Roman" w:hAnsi="Times New Roman" w:cs="Times New Roman"/>
        </w:rPr>
        <w:t>harge, in relation to the entire application, will be $</w:t>
      </w:r>
      <w:r w:rsidR="00320341" w:rsidRPr="001353E8">
        <w:rPr>
          <w:rFonts w:ascii="Times New Roman" w:hAnsi="Times New Roman" w:cs="Times New Roman"/>
        </w:rPr>
        <w:t>57.00</w:t>
      </w:r>
      <w:r w:rsidRPr="001353E8">
        <w:rPr>
          <w:rFonts w:ascii="Times New Roman" w:hAnsi="Times New Roman" w:cs="Times New Roman"/>
        </w:rPr>
        <w:t>.</w:t>
      </w:r>
    </w:p>
    <w:p w14:paraId="50A69A54" w14:textId="790049E4" w:rsidR="006362EC" w:rsidRPr="004B569A" w:rsidRDefault="00C514C2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Subsection (</w:t>
      </w:r>
      <w:r w:rsidR="00BB605B" w:rsidRPr="004B569A">
        <w:rPr>
          <w:rFonts w:ascii="Times New Roman" w:hAnsi="Times New Roman" w:cs="Times New Roman"/>
        </w:rPr>
        <w:t>3</w:t>
      </w:r>
      <w:r w:rsidRPr="004B569A">
        <w:rPr>
          <w:rFonts w:ascii="Times New Roman" w:hAnsi="Times New Roman" w:cs="Times New Roman"/>
        </w:rPr>
        <w:t>)</w:t>
      </w:r>
      <w:r w:rsidR="006362EC" w:rsidRPr="004B569A">
        <w:rPr>
          <w:rFonts w:ascii="Times New Roman" w:hAnsi="Times New Roman" w:cs="Times New Roman"/>
        </w:rPr>
        <w:t xml:space="preserve"> explains that a special service number is specified for use with a type of service if the type of service is mentioned for the number in column 3 of a table in Schedule 5 to the </w:t>
      </w:r>
      <w:r w:rsidR="00BB605B" w:rsidRPr="004B569A">
        <w:rPr>
          <w:rFonts w:ascii="Times New Roman" w:hAnsi="Times New Roman" w:cs="Times New Roman"/>
        </w:rPr>
        <w:t xml:space="preserve">Numbering </w:t>
      </w:r>
      <w:r w:rsidR="006362EC" w:rsidRPr="004B569A">
        <w:rPr>
          <w:rFonts w:ascii="Times New Roman" w:hAnsi="Times New Roman" w:cs="Times New Roman"/>
        </w:rPr>
        <w:t>Plan.</w:t>
      </w:r>
      <w:r w:rsidR="00BB605B" w:rsidRPr="004B569A">
        <w:rPr>
          <w:rFonts w:ascii="Times New Roman" w:hAnsi="Times New Roman" w:cs="Times New Roman"/>
        </w:rPr>
        <w:t xml:space="preserve">  Certain special services numbers may only be used for certain purposes under the Numbering Plan.</w:t>
      </w:r>
    </w:p>
    <w:p w14:paraId="227B7683" w14:textId="22E18D21" w:rsidR="00CE0133" w:rsidRPr="004B569A" w:rsidRDefault="00C514C2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Subsection (3)</w:t>
      </w:r>
      <w:r w:rsidR="006362EC" w:rsidRPr="004B569A">
        <w:rPr>
          <w:rFonts w:ascii="Times New Roman" w:hAnsi="Times New Roman" w:cs="Times New Roman"/>
        </w:rPr>
        <w:t xml:space="preserve"> further explains that an access code is specified for use with a type of service if the type of service is mentioned for the number in column 3 of a table in Schedule 6 to the </w:t>
      </w:r>
      <w:r w:rsidR="00BB605B" w:rsidRPr="004B569A">
        <w:rPr>
          <w:rFonts w:ascii="Times New Roman" w:hAnsi="Times New Roman" w:cs="Times New Roman"/>
        </w:rPr>
        <w:t xml:space="preserve">Numbering </w:t>
      </w:r>
      <w:r w:rsidR="006362EC" w:rsidRPr="004B569A">
        <w:rPr>
          <w:rFonts w:ascii="Times New Roman" w:hAnsi="Times New Roman" w:cs="Times New Roman"/>
        </w:rPr>
        <w:t>Plan</w:t>
      </w:r>
      <w:r w:rsidR="001342EB" w:rsidRPr="004B569A">
        <w:rPr>
          <w:rFonts w:ascii="Times New Roman" w:hAnsi="Times New Roman" w:cs="Times New Roman"/>
        </w:rPr>
        <w:t>.</w:t>
      </w:r>
      <w:r w:rsidR="0011331C" w:rsidRPr="004B569A">
        <w:rPr>
          <w:rFonts w:ascii="Times New Roman" w:hAnsi="Times New Roman" w:cs="Times New Roman"/>
        </w:rPr>
        <w:t xml:space="preserve"> </w:t>
      </w:r>
      <w:r w:rsidR="00BB605B" w:rsidRPr="004B569A">
        <w:rPr>
          <w:rFonts w:ascii="Times New Roman" w:hAnsi="Times New Roman" w:cs="Times New Roman"/>
        </w:rPr>
        <w:t xml:space="preserve"> Certain access codes may only be used for certain purposes under the Numbering Plan.</w:t>
      </w:r>
    </w:p>
    <w:p w14:paraId="757E4BF0" w14:textId="79B76B49" w:rsidR="00D87CFE" w:rsidRPr="004B569A" w:rsidRDefault="00C514C2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 xml:space="preserve">Subsection (4) </w:t>
      </w:r>
      <w:r w:rsidR="00221FDF" w:rsidRPr="004B569A">
        <w:rPr>
          <w:rFonts w:ascii="Times New Roman" w:hAnsi="Times New Roman" w:cs="Times New Roman"/>
        </w:rPr>
        <w:t xml:space="preserve">gives effect to Table 3, which </w:t>
      </w:r>
      <w:r w:rsidRPr="004B569A">
        <w:rPr>
          <w:rFonts w:ascii="Times New Roman" w:hAnsi="Times New Roman" w:cs="Times New Roman"/>
        </w:rPr>
        <w:t xml:space="preserve">specifies </w:t>
      </w:r>
      <w:r w:rsidR="00D87CFE" w:rsidRPr="004B569A">
        <w:rPr>
          <w:rFonts w:ascii="Times New Roman" w:hAnsi="Times New Roman" w:cs="Times New Roman"/>
        </w:rPr>
        <w:t>the</w:t>
      </w:r>
      <w:r w:rsidR="00221FDF" w:rsidRPr="004B569A">
        <w:rPr>
          <w:rFonts w:ascii="Times New Roman" w:hAnsi="Times New Roman" w:cs="Times New Roman"/>
        </w:rPr>
        <w:t xml:space="preserve"> amount of</w:t>
      </w:r>
      <w:r w:rsidR="00D87CFE" w:rsidRPr="004B569A">
        <w:rPr>
          <w:rFonts w:ascii="Times New Roman" w:hAnsi="Times New Roman" w:cs="Times New Roman"/>
        </w:rPr>
        <w:t xml:space="preserve"> </w:t>
      </w:r>
      <w:r w:rsidR="00561C96">
        <w:rPr>
          <w:rFonts w:ascii="Times New Roman" w:hAnsi="Times New Roman" w:cs="Times New Roman"/>
        </w:rPr>
        <w:t>a</w:t>
      </w:r>
      <w:r w:rsidR="00D87CFE" w:rsidRPr="004B569A">
        <w:rPr>
          <w:rFonts w:ascii="Times New Roman" w:hAnsi="Times New Roman" w:cs="Times New Roman"/>
        </w:rPr>
        <w:t xml:space="preserve">llocation </w:t>
      </w:r>
      <w:r w:rsidR="00561C96">
        <w:rPr>
          <w:rFonts w:ascii="Times New Roman" w:hAnsi="Times New Roman" w:cs="Times New Roman"/>
        </w:rPr>
        <w:t>c</w:t>
      </w:r>
      <w:r w:rsidR="00D87CFE" w:rsidRPr="004B569A">
        <w:rPr>
          <w:rFonts w:ascii="Times New Roman" w:hAnsi="Times New Roman" w:cs="Times New Roman"/>
        </w:rPr>
        <w:t>harge for</w:t>
      </w:r>
      <w:r w:rsidRPr="004B569A">
        <w:rPr>
          <w:rFonts w:ascii="Times New Roman" w:hAnsi="Times New Roman" w:cs="Times New Roman"/>
        </w:rPr>
        <w:t xml:space="preserve"> an unassigned unallocated </w:t>
      </w:r>
      <w:proofErr w:type="spellStart"/>
      <w:r w:rsidRPr="004B569A">
        <w:rPr>
          <w:rFonts w:ascii="Times New Roman" w:hAnsi="Times New Roman" w:cs="Times New Roman"/>
        </w:rPr>
        <w:t>smartnumber</w:t>
      </w:r>
      <w:proofErr w:type="spellEnd"/>
      <w:r w:rsidR="00DA3977" w:rsidRPr="004B569A">
        <w:rPr>
          <w:rFonts w:ascii="Times New Roman" w:hAnsi="Times New Roman" w:cs="Times New Roman"/>
        </w:rPr>
        <w:t xml:space="preserve">.  These are </w:t>
      </w:r>
      <w:r w:rsidR="00243F76" w:rsidRPr="004B569A">
        <w:rPr>
          <w:rFonts w:ascii="Times New Roman" w:hAnsi="Times New Roman" w:cs="Times New Roman"/>
        </w:rPr>
        <w:t xml:space="preserve">those </w:t>
      </w:r>
      <w:proofErr w:type="spellStart"/>
      <w:r w:rsidR="00243F76" w:rsidRPr="004B569A">
        <w:rPr>
          <w:rFonts w:ascii="Times New Roman" w:hAnsi="Times New Roman" w:cs="Times New Roman"/>
        </w:rPr>
        <w:t>smartnumbers</w:t>
      </w:r>
      <w:proofErr w:type="spellEnd"/>
      <w:r w:rsidR="00243F76" w:rsidRPr="004B569A">
        <w:rPr>
          <w:rFonts w:ascii="Times New Roman" w:hAnsi="Times New Roman" w:cs="Times New Roman"/>
        </w:rPr>
        <w:t xml:space="preserve"> not allocated to a CSP</w:t>
      </w:r>
      <w:r w:rsidR="00DA3977" w:rsidRPr="004B569A">
        <w:rPr>
          <w:rFonts w:ascii="Times New Roman" w:hAnsi="Times New Roman" w:cs="Times New Roman"/>
        </w:rPr>
        <w:t>, and in relation to which no person holds the EROU</w:t>
      </w:r>
      <w:r w:rsidR="00243F76" w:rsidRPr="004B569A">
        <w:rPr>
          <w:rFonts w:ascii="Times New Roman" w:hAnsi="Times New Roman" w:cs="Times New Roman"/>
        </w:rPr>
        <w:t xml:space="preserve">.  </w:t>
      </w:r>
    </w:p>
    <w:p w14:paraId="4AABF8DD" w14:textId="7CDA0EB6" w:rsidR="00E57328" w:rsidRPr="004B569A" w:rsidRDefault="00D87CFE" w:rsidP="00E64318">
      <w:p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Table 3 sets out the</w:t>
      </w:r>
      <w:r w:rsidR="00221FDF" w:rsidRPr="004B569A">
        <w:rPr>
          <w:rFonts w:ascii="Times New Roman" w:hAnsi="Times New Roman" w:cs="Times New Roman"/>
        </w:rPr>
        <w:t xml:space="preserve"> amount of</w:t>
      </w:r>
      <w:r w:rsidRPr="004B569A">
        <w:rPr>
          <w:rFonts w:ascii="Times New Roman" w:hAnsi="Times New Roman" w:cs="Times New Roman"/>
        </w:rPr>
        <w:t xml:space="preserve"> allocation charge for an unassigned allocated </w:t>
      </w:r>
      <w:proofErr w:type="spellStart"/>
      <w:r w:rsidRPr="004B569A">
        <w:rPr>
          <w:rFonts w:ascii="Times New Roman" w:hAnsi="Times New Roman" w:cs="Times New Roman"/>
        </w:rPr>
        <w:t>smartnumber</w:t>
      </w:r>
      <w:proofErr w:type="spellEnd"/>
      <w:r w:rsidRPr="004B569A">
        <w:rPr>
          <w:rFonts w:ascii="Times New Roman" w:hAnsi="Times New Roman" w:cs="Times New Roman"/>
        </w:rPr>
        <w:t xml:space="preserve">, according to the relevant </w:t>
      </w:r>
      <w:proofErr w:type="spellStart"/>
      <w:r w:rsidRPr="004B569A">
        <w:rPr>
          <w:rFonts w:ascii="Times New Roman" w:hAnsi="Times New Roman" w:cs="Times New Roman"/>
        </w:rPr>
        <w:t>smartnumber</w:t>
      </w:r>
      <w:proofErr w:type="spellEnd"/>
      <w:r w:rsidRPr="004B569A">
        <w:rPr>
          <w:rFonts w:ascii="Times New Roman" w:hAnsi="Times New Roman" w:cs="Times New Roman"/>
        </w:rPr>
        <w:t xml:space="preserve"> </w:t>
      </w:r>
      <w:r w:rsidR="00993212" w:rsidRPr="004B569A">
        <w:rPr>
          <w:rFonts w:ascii="Times New Roman" w:hAnsi="Times New Roman" w:cs="Times New Roman"/>
        </w:rPr>
        <w:t>classification</w:t>
      </w:r>
      <w:r w:rsidRPr="004B569A">
        <w:rPr>
          <w:rFonts w:ascii="Times New Roman" w:hAnsi="Times New Roman" w:cs="Times New Roman"/>
        </w:rPr>
        <w:t xml:space="preserve"> (platinum, diamond, gold, opal</w:t>
      </w:r>
      <w:r w:rsidR="00143FCE" w:rsidRPr="004B569A">
        <w:rPr>
          <w:rFonts w:ascii="Times New Roman" w:hAnsi="Times New Roman" w:cs="Times New Roman"/>
        </w:rPr>
        <w:t>,</w:t>
      </w:r>
      <w:r w:rsidRPr="004B569A">
        <w:rPr>
          <w:rFonts w:ascii="Times New Roman" w:hAnsi="Times New Roman" w:cs="Times New Roman"/>
        </w:rPr>
        <w:t xml:space="preserve"> silver</w:t>
      </w:r>
      <w:r w:rsidR="00993212" w:rsidRPr="004B569A">
        <w:rPr>
          <w:rFonts w:ascii="Times New Roman" w:hAnsi="Times New Roman" w:cs="Times New Roman"/>
        </w:rPr>
        <w:t>, and standard</w:t>
      </w:r>
      <w:r w:rsidRPr="004B569A">
        <w:rPr>
          <w:rFonts w:ascii="Times New Roman" w:hAnsi="Times New Roman" w:cs="Times New Roman"/>
        </w:rPr>
        <w:t>).</w:t>
      </w:r>
      <w:r w:rsidR="00022EEA" w:rsidRPr="004B569A">
        <w:rPr>
          <w:rFonts w:ascii="Times New Roman" w:hAnsi="Times New Roman" w:cs="Times New Roman"/>
        </w:rPr>
        <w:t xml:space="preserve"> </w:t>
      </w:r>
      <w:r w:rsidR="0063756A" w:rsidRPr="004B569A">
        <w:rPr>
          <w:rFonts w:ascii="Times New Roman" w:hAnsi="Times New Roman" w:cs="Times New Roman"/>
        </w:rPr>
        <w:t xml:space="preserve">For an unassigned unallocated </w:t>
      </w:r>
      <w:proofErr w:type="spellStart"/>
      <w:r w:rsidR="0063756A" w:rsidRPr="004B569A">
        <w:rPr>
          <w:rFonts w:ascii="Times New Roman" w:hAnsi="Times New Roman" w:cs="Times New Roman"/>
        </w:rPr>
        <w:t>smartnumber</w:t>
      </w:r>
      <w:proofErr w:type="spellEnd"/>
      <w:r w:rsidR="0063756A" w:rsidRPr="004B569A">
        <w:rPr>
          <w:rFonts w:ascii="Times New Roman" w:hAnsi="Times New Roman" w:cs="Times New Roman"/>
        </w:rPr>
        <w:t xml:space="preserve"> that </w:t>
      </w:r>
      <w:r w:rsidR="00E57328" w:rsidRPr="004B569A">
        <w:rPr>
          <w:rFonts w:ascii="Times New Roman" w:hAnsi="Times New Roman" w:cs="Times New Roman"/>
        </w:rPr>
        <w:t>is:</w:t>
      </w:r>
    </w:p>
    <w:p w14:paraId="42771D16" w14:textId="77777777" w:rsidR="00E57328" w:rsidRPr="004B569A" w:rsidRDefault="0063756A" w:rsidP="00E6431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mentioned in column 1 of Table 3</w:t>
      </w:r>
      <w:r w:rsidR="00E57328" w:rsidRPr="004B569A">
        <w:rPr>
          <w:rFonts w:ascii="Times New Roman" w:hAnsi="Times New Roman" w:cs="Times New Roman"/>
        </w:rPr>
        <w:t>;</w:t>
      </w:r>
      <w:r w:rsidRPr="004B569A">
        <w:rPr>
          <w:rFonts w:ascii="Times New Roman" w:hAnsi="Times New Roman" w:cs="Times New Roman"/>
        </w:rPr>
        <w:t xml:space="preserve"> and </w:t>
      </w:r>
    </w:p>
    <w:p w14:paraId="6EA3B6EC" w14:textId="07F68803" w:rsidR="00E57328" w:rsidRPr="004B569A" w:rsidRDefault="0063756A" w:rsidP="00E6431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has the prefix set out in column 2 of Table 3</w:t>
      </w:r>
      <w:r w:rsidR="00E57328" w:rsidRPr="004B569A">
        <w:rPr>
          <w:rFonts w:ascii="Times New Roman" w:hAnsi="Times New Roman" w:cs="Times New Roman"/>
        </w:rPr>
        <w:t xml:space="preserve">; </w:t>
      </w:r>
      <w:r w:rsidR="00993212" w:rsidRPr="004B569A">
        <w:rPr>
          <w:rFonts w:ascii="Times New Roman" w:hAnsi="Times New Roman" w:cs="Times New Roman"/>
        </w:rPr>
        <w:t>and</w:t>
      </w:r>
    </w:p>
    <w:p w14:paraId="19AD6516" w14:textId="68A0DAD3" w:rsidR="00E57328" w:rsidRPr="004B569A" w:rsidRDefault="00993212" w:rsidP="00E64318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 xml:space="preserve">has the </w:t>
      </w:r>
      <w:r w:rsidR="0063756A" w:rsidRPr="004B569A">
        <w:rPr>
          <w:rFonts w:ascii="Times New Roman" w:hAnsi="Times New Roman" w:cs="Times New Roman"/>
        </w:rPr>
        <w:t>digit length specified in column 3</w:t>
      </w:r>
      <w:r w:rsidR="00143FCE" w:rsidRPr="004B569A">
        <w:rPr>
          <w:rFonts w:ascii="Times New Roman" w:hAnsi="Times New Roman" w:cs="Times New Roman"/>
        </w:rPr>
        <w:t xml:space="preserve"> of Table </w:t>
      </w:r>
      <w:proofErr w:type="gramStart"/>
      <w:r w:rsidR="00143FCE" w:rsidRPr="004B569A">
        <w:rPr>
          <w:rFonts w:ascii="Times New Roman" w:hAnsi="Times New Roman" w:cs="Times New Roman"/>
        </w:rPr>
        <w:t>3</w:t>
      </w:r>
      <w:r w:rsidRPr="004B569A">
        <w:rPr>
          <w:rFonts w:ascii="Times New Roman" w:hAnsi="Times New Roman" w:cs="Times New Roman"/>
        </w:rPr>
        <w:t>;</w:t>
      </w:r>
      <w:proofErr w:type="gramEnd"/>
    </w:p>
    <w:p w14:paraId="2C0BBF75" w14:textId="547352F4" w:rsidR="009E781C" w:rsidRPr="004B569A" w:rsidRDefault="0063756A" w:rsidP="00E64318">
      <w:pPr>
        <w:spacing w:after="120" w:line="240" w:lineRule="auto"/>
        <w:ind w:left="55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the allocation charge for that number is the amount imposed by column 4 of Table 3</w:t>
      </w:r>
      <w:r w:rsidR="00E57328" w:rsidRPr="004B569A">
        <w:rPr>
          <w:rFonts w:ascii="Times New Roman" w:hAnsi="Times New Roman" w:cs="Times New Roman"/>
        </w:rPr>
        <w:t>.</w:t>
      </w:r>
    </w:p>
    <w:p w14:paraId="59BCA366" w14:textId="0C9BDB0A" w:rsidR="00CE0133" w:rsidRPr="004B569A" w:rsidRDefault="009E781C" w:rsidP="00E64318">
      <w:pPr>
        <w:spacing w:after="120" w:line="240" w:lineRule="auto"/>
        <w:ind w:left="55"/>
        <w:rPr>
          <w:rFonts w:ascii="Times New Roman" w:hAnsi="Times New Roman" w:cs="Times New Roman"/>
        </w:rPr>
      </w:pPr>
      <w:r w:rsidRPr="004B569A">
        <w:rPr>
          <w:rFonts w:ascii="Times New Roman" w:hAnsi="Times New Roman" w:cs="Times New Roman"/>
        </w:rPr>
        <w:t>Subsection (5) provides that</w:t>
      </w:r>
      <w:r w:rsidR="00653D8C" w:rsidRPr="004B569A">
        <w:rPr>
          <w:rFonts w:ascii="Times New Roman" w:hAnsi="Times New Roman" w:cs="Times New Roman"/>
        </w:rPr>
        <w:t>,</w:t>
      </w:r>
      <w:r w:rsidRPr="004B569A">
        <w:rPr>
          <w:rFonts w:ascii="Times New Roman" w:hAnsi="Times New Roman" w:cs="Times New Roman"/>
        </w:rPr>
        <w:t xml:space="preserve"> </w:t>
      </w:r>
      <w:r w:rsidR="00653D8C" w:rsidRPr="004B569A">
        <w:rPr>
          <w:rFonts w:ascii="Times New Roman" w:hAnsi="Times New Roman" w:cs="Times New Roman"/>
        </w:rPr>
        <w:t xml:space="preserve">for </w:t>
      </w:r>
      <w:r w:rsidRPr="004B569A">
        <w:rPr>
          <w:rFonts w:ascii="Times New Roman" w:hAnsi="Times New Roman" w:cs="Times New Roman"/>
        </w:rPr>
        <w:t>any number not mentioned in subsection</w:t>
      </w:r>
      <w:r w:rsidR="00143FCE" w:rsidRPr="004B569A">
        <w:rPr>
          <w:rFonts w:ascii="Times New Roman" w:hAnsi="Times New Roman" w:cs="Times New Roman"/>
        </w:rPr>
        <w:t>s</w:t>
      </w:r>
      <w:r w:rsidRPr="004B569A">
        <w:rPr>
          <w:rFonts w:ascii="Times New Roman" w:hAnsi="Times New Roman" w:cs="Times New Roman"/>
        </w:rPr>
        <w:t xml:space="preserve"> (1) to (4) of section </w:t>
      </w:r>
      <w:r w:rsidR="00561C96">
        <w:rPr>
          <w:rFonts w:ascii="Times New Roman" w:hAnsi="Times New Roman" w:cs="Times New Roman"/>
        </w:rPr>
        <w:t>7</w:t>
      </w:r>
      <w:r w:rsidRPr="004B569A">
        <w:rPr>
          <w:rFonts w:ascii="Times New Roman" w:hAnsi="Times New Roman" w:cs="Times New Roman"/>
        </w:rPr>
        <w:t>, the amount of charge imposed on the allocation of the number is zero.</w:t>
      </w:r>
    </w:p>
    <w:p w14:paraId="34D56D3A" w14:textId="5EDC6ABD" w:rsidR="007C20F1" w:rsidRPr="004B569A" w:rsidRDefault="00BE4BFF" w:rsidP="00BE4BFF">
      <w:pPr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br/>
      </w:r>
      <w:r w:rsidR="00E41672" w:rsidRPr="004B569A">
        <w:rPr>
          <w:rFonts w:ascii="Times New Roman" w:hAnsi="Times New Roman" w:cs="Times New Roman"/>
          <w:b/>
        </w:rPr>
        <w:t>Section</w:t>
      </w:r>
      <w:r w:rsidR="004E144E" w:rsidRPr="004B569A">
        <w:rPr>
          <w:rFonts w:ascii="Times New Roman" w:hAnsi="Times New Roman" w:cs="Times New Roman"/>
          <w:b/>
        </w:rPr>
        <w:t xml:space="preserve"> 8</w:t>
      </w:r>
      <w:r w:rsidR="00F77067" w:rsidRPr="004B569A">
        <w:rPr>
          <w:rFonts w:ascii="Times New Roman" w:hAnsi="Times New Roman" w:cs="Times New Roman"/>
        </w:rPr>
        <w:tab/>
      </w:r>
      <w:r w:rsidR="007C20F1" w:rsidRPr="004B569A">
        <w:rPr>
          <w:rFonts w:ascii="Times New Roman" w:hAnsi="Times New Roman" w:cs="Times New Roman"/>
          <w:b/>
        </w:rPr>
        <w:t>Transitional</w:t>
      </w:r>
    </w:p>
    <w:p w14:paraId="2F227655" w14:textId="01456A60" w:rsidR="00DA0B63" w:rsidRPr="004B569A" w:rsidRDefault="00940DEE" w:rsidP="00E4464E">
      <w:pPr>
        <w:spacing w:after="12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This section</w:t>
      </w:r>
      <w:r w:rsidRPr="004B569A">
        <w:rPr>
          <w:rFonts w:ascii="Times New Roman" w:hAnsi="Times New Roman" w:cs="Times New Roman"/>
        </w:rPr>
        <w:t xml:space="preserve"> </w:t>
      </w:r>
      <w:r w:rsidR="007C20F1" w:rsidRPr="004B569A">
        <w:rPr>
          <w:rFonts w:ascii="Times New Roman" w:hAnsi="Times New Roman" w:cs="Times New Roman"/>
        </w:rPr>
        <w:t>sets out the transitional arrangements that apply</w:t>
      </w:r>
      <w:r w:rsidR="00686ABB" w:rsidRPr="004B569A">
        <w:rPr>
          <w:rFonts w:ascii="Times New Roman" w:hAnsi="Times New Roman" w:cs="Times New Roman"/>
        </w:rPr>
        <w:t xml:space="preserve"> to </w:t>
      </w:r>
      <w:r w:rsidR="00753F9A" w:rsidRPr="004B569A">
        <w:rPr>
          <w:rFonts w:ascii="Times New Roman" w:hAnsi="Times New Roman" w:cs="Times New Roman"/>
        </w:rPr>
        <w:t xml:space="preserve">an application made for the allocation of a </w:t>
      </w:r>
      <w:proofErr w:type="gramStart"/>
      <w:r w:rsidR="00753F9A" w:rsidRPr="004B569A">
        <w:rPr>
          <w:rFonts w:ascii="Times New Roman" w:hAnsi="Times New Roman" w:cs="Times New Roman"/>
        </w:rPr>
        <w:t>number  where</w:t>
      </w:r>
      <w:proofErr w:type="gramEnd"/>
      <w:r w:rsidR="00753F9A" w:rsidRPr="004B569A">
        <w:rPr>
          <w:rFonts w:ascii="Times New Roman" w:hAnsi="Times New Roman" w:cs="Times New Roman"/>
        </w:rPr>
        <w:t xml:space="preserve"> section </w:t>
      </w:r>
      <w:r w:rsidR="00637F2D" w:rsidRPr="004B569A">
        <w:rPr>
          <w:rFonts w:ascii="Times New Roman" w:hAnsi="Times New Roman" w:cs="Times New Roman"/>
        </w:rPr>
        <w:t xml:space="preserve">127 </w:t>
      </w:r>
      <w:r w:rsidR="00753F9A" w:rsidRPr="004B569A">
        <w:rPr>
          <w:rFonts w:ascii="Times New Roman" w:hAnsi="Times New Roman" w:cs="Times New Roman"/>
        </w:rPr>
        <w:t>of the</w:t>
      </w:r>
      <w:r w:rsidR="00B85555" w:rsidRPr="004B569A">
        <w:rPr>
          <w:rFonts w:ascii="Times New Roman" w:hAnsi="Times New Roman" w:cs="Times New Roman"/>
        </w:rPr>
        <w:t xml:space="preserve"> Numbering</w:t>
      </w:r>
      <w:r w:rsidR="00753F9A" w:rsidRPr="004B569A">
        <w:rPr>
          <w:rFonts w:ascii="Times New Roman" w:hAnsi="Times New Roman" w:cs="Times New Roman"/>
        </w:rPr>
        <w:t xml:space="preserve"> Plan requires the application to be dealt with in accordance with the </w:t>
      </w:r>
      <w:r w:rsidR="00673BAD">
        <w:rPr>
          <w:rFonts w:ascii="Times New Roman" w:hAnsi="Times New Roman" w:cs="Times New Roman"/>
        </w:rPr>
        <w:t xml:space="preserve">preceding version of the Numbering </w:t>
      </w:r>
      <w:r w:rsidR="00637F2D" w:rsidRPr="004B569A">
        <w:rPr>
          <w:rFonts w:ascii="Times New Roman" w:hAnsi="Times New Roman" w:cs="Times New Roman"/>
        </w:rPr>
        <w:t xml:space="preserve"> </w:t>
      </w:r>
      <w:r w:rsidR="00753F9A" w:rsidRPr="004B569A">
        <w:rPr>
          <w:rFonts w:ascii="Times New Roman" w:hAnsi="Times New Roman" w:cs="Times New Roman"/>
        </w:rPr>
        <w:t>Plan</w:t>
      </w:r>
      <w:r w:rsidR="00673BAD">
        <w:rPr>
          <w:rFonts w:ascii="Times New Roman" w:hAnsi="Times New Roman" w:cs="Times New Roman"/>
        </w:rPr>
        <w:t xml:space="preserve">. In that case the 2015 instrument applies to the allocation rather than the instrument. </w:t>
      </w:r>
    </w:p>
    <w:p w14:paraId="4A996ED8" w14:textId="77777777" w:rsidR="00DA0B63" w:rsidRPr="004B569A" w:rsidRDefault="00DA0B63" w:rsidP="00E4464E">
      <w:pPr>
        <w:spacing w:after="120" w:line="240" w:lineRule="auto"/>
        <w:rPr>
          <w:rFonts w:ascii="Times New Roman" w:hAnsi="Times New Roman" w:cs="Times New Roman"/>
          <w:b/>
        </w:rPr>
      </w:pPr>
    </w:p>
    <w:p w14:paraId="1F72D2C3" w14:textId="2C9EE06B" w:rsidR="00624A79" w:rsidRPr="004B569A" w:rsidRDefault="00624A79" w:rsidP="004B569A">
      <w:pPr>
        <w:spacing w:after="120" w:line="240" w:lineRule="auto"/>
        <w:rPr>
          <w:rFonts w:ascii="Times New Roman" w:hAnsi="Times New Roman" w:cs="Times New Roman"/>
          <w:b/>
        </w:rPr>
      </w:pPr>
    </w:p>
    <w:sectPr w:rsidR="00624A79" w:rsidRPr="004B569A" w:rsidSect="00D14ACD">
      <w:headerReference w:type="default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BD571" w14:textId="77777777" w:rsidR="00D67DAC" w:rsidRDefault="00D67DAC" w:rsidP="00436CAC">
      <w:pPr>
        <w:spacing w:after="0" w:line="240" w:lineRule="auto"/>
      </w:pPr>
      <w:r>
        <w:separator/>
      </w:r>
    </w:p>
  </w:endnote>
  <w:endnote w:type="continuationSeparator" w:id="0">
    <w:p w14:paraId="470D41D5" w14:textId="77777777" w:rsidR="00D67DAC" w:rsidRDefault="00D67DAC" w:rsidP="00436CAC">
      <w:pPr>
        <w:spacing w:after="0" w:line="240" w:lineRule="auto"/>
      </w:pPr>
      <w:r>
        <w:continuationSeparator/>
      </w:r>
    </w:p>
  </w:endnote>
  <w:endnote w:type="continuationNotice" w:id="1">
    <w:p w14:paraId="3015DA5D" w14:textId="77777777" w:rsidR="00D67DAC" w:rsidRDefault="00D67D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D320" w14:textId="47ECA493" w:rsidR="00E05A54" w:rsidRDefault="00E05A54" w:rsidP="00E05A54">
    <w:pPr>
      <w:pBdr>
        <w:top w:val="single" w:sz="4" w:space="1" w:color="auto"/>
      </w:pBdr>
      <w:spacing w:after="0"/>
      <w:jc w:val="center"/>
      <w:rPr>
        <w:rFonts w:ascii="Times New Roman" w:hAnsi="Times New Roman" w:cs="Times New Roman"/>
        <w:i/>
        <w:noProof/>
        <w:sz w:val="20"/>
        <w:szCs w:val="20"/>
      </w:rPr>
    </w:pPr>
    <w:r w:rsidRPr="00D14ACD">
      <w:rPr>
        <w:rFonts w:ascii="Times New Roman" w:hAnsi="Times New Roman" w:cs="Times New Roman"/>
        <w:sz w:val="20"/>
        <w:szCs w:val="20"/>
      </w:rPr>
      <w:t xml:space="preserve">Explanatory Statement to the </w:t>
    </w:r>
    <w:r w:rsidRPr="00D14ACD">
      <w:rPr>
        <w:rFonts w:ascii="Times New Roman" w:hAnsi="Times New Roman" w:cs="Times New Roman"/>
        <w:i/>
        <w:sz w:val="20"/>
        <w:szCs w:val="20"/>
      </w:rPr>
      <w:t>Telecommunications (Numbering Charges) (Allocation Charge)</w:t>
    </w:r>
    <w:r>
      <w:rPr>
        <w:rFonts w:ascii="Times New Roman" w:hAnsi="Times New Roman" w:cs="Times New Roman"/>
        <w:i/>
        <w:sz w:val="20"/>
        <w:szCs w:val="20"/>
      </w:rPr>
      <w:br/>
    </w:r>
    <w:r w:rsidRPr="00D14ACD">
      <w:rPr>
        <w:rFonts w:ascii="Times New Roman" w:hAnsi="Times New Roman" w:cs="Times New Roman"/>
        <w:i/>
        <w:sz w:val="20"/>
        <w:szCs w:val="20"/>
      </w:rPr>
      <w:t xml:space="preserve"> Determination 202</w:t>
    </w:r>
    <w:r w:rsidR="001731E9">
      <w:rPr>
        <w:rFonts w:ascii="Times New Roman" w:hAnsi="Times New Roman" w:cs="Times New Roman"/>
        <w:i/>
        <w:sz w:val="20"/>
        <w:szCs w:val="20"/>
      </w:rPr>
      <w:t>5</w:t>
    </w:r>
  </w:p>
  <w:p w14:paraId="2D7FAAE8" w14:textId="5384137D" w:rsidR="00145182" w:rsidRPr="00E05A54" w:rsidRDefault="00E05A54" w:rsidP="00E05A54">
    <w:pPr>
      <w:spacing w:after="0"/>
      <w:jc w:val="right"/>
      <w:rPr>
        <w:rFonts w:ascii="Times New Roman" w:hAnsi="Times New Roman" w:cs="Times New Roman"/>
        <w:iCs/>
        <w:sz w:val="20"/>
        <w:szCs w:val="20"/>
      </w:rPr>
    </w:pPr>
    <w:r w:rsidRPr="00E05A54">
      <w:rPr>
        <w:rFonts w:ascii="Times New Roman" w:hAnsi="Times New Roman" w:cs="Times New Roman"/>
        <w:iCs/>
        <w:sz w:val="20"/>
        <w:szCs w:val="20"/>
      </w:rPr>
      <w:fldChar w:fldCharType="begin"/>
    </w:r>
    <w:r w:rsidRPr="00E05A54">
      <w:rPr>
        <w:rFonts w:ascii="Times New Roman" w:hAnsi="Times New Roman" w:cs="Times New Roman"/>
        <w:iCs/>
        <w:sz w:val="20"/>
        <w:szCs w:val="20"/>
      </w:rPr>
      <w:instrText xml:space="preserve"> PAGE   \* MERGEFORMAT </w:instrText>
    </w:r>
    <w:r w:rsidRPr="00E05A54">
      <w:rPr>
        <w:rFonts w:ascii="Times New Roman" w:hAnsi="Times New Roman" w:cs="Times New Roman"/>
        <w:iCs/>
        <w:sz w:val="20"/>
        <w:szCs w:val="20"/>
      </w:rPr>
      <w:fldChar w:fldCharType="separate"/>
    </w:r>
    <w:r w:rsidRPr="00E05A54">
      <w:rPr>
        <w:rFonts w:ascii="Times New Roman" w:hAnsi="Times New Roman" w:cs="Times New Roman"/>
        <w:iCs/>
        <w:noProof/>
        <w:sz w:val="20"/>
        <w:szCs w:val="20"/>
      </w:rPr>
      <w:t>1</w:t>
    </w:r>
    <w:r w:rsidRPr="00E05A54">
      <w:rPr>
        <w:rFonts w:ascii="Times New Roman" w:hAnsi="Times New Roman" w:cs="Times New Roman"/>
        <w:iCs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6896C" w14:textId="4B012576" w:rsidR="00E05A54" w:rsidRPr="00E05A54" w:rsidRDefault="00E05A54" w:rsidP="00E05A54">
    <w:pPr>
      <w:spacing w:after="0"/>
      <w:jc w:val="right"/>
      <w:rPr>
        <w:rFonts w:ascii="Times New Roman" w:hAnsi="Times New Roman" w:cs="Times New Roman"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E8E02" w14:textId="77777777" w:rsidR="00D67DAC" w:rsidRDefault="00D67DAC" w:rsidP="00436CAC">
      <w:pPr>
        <w:spacing w:after="0" w:line="240" w:lineRule="auto"/>
      </w:pPr>
      <w:r>
        <w:separator/>
      </w:r>
    </w:p>
  </w:footnote>
  <w:footnote w:type="continuationSeparator" w:id="0">
    <w:p w14:paraId="3AFBFC8F" w14:textId="77777777" w:rsidR="00D67DAC" w:rsidRDefault="00D67DAC" w:rsidP="00436CAC">
      <w:pPr>
        <w:spacing w:after="0" w:line="240" w:lineRule="auto"/>
      </w:pPr>
      <w:r>
        <w:continuationSeparator/>
      </w:r>
    </w:p>
  </w:footnote>
  <w:footnote w:type="continuationNotice" w:id="1">
    <w:p w14:paraId="6A6F79A8" w14:textId="77777777" w:rsidR="00D67DAC" w:rsidRDefault="00D67D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DE7F4" w14:textId="368A81D0" w:rsidR="00436CAC" w:rsidRPr="000232F8" w:rsidRDefault="00436CAC" w:rsidP="00436CAC">
    <w:pPr>
      <w:pStyle w:val="Header"/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A47"/>
    <w:multiLevelType w:val="hybridMultilevel"/>
    <w:tmpl w:val="78EEB15A"/>
    <w:lvl w:ilvl="0" w:tplc="CF28AE20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84B"/>
    <w:multiLevelType w:val="hybridMultilevel"/>
    <w:tmpl w:val="39F032DC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EB817EA"/>
    <w:multiLevelType w:val="hybridMultilevel"/>
    <w:tmpl w:val="2CECDC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F517E8"/>
    <w:multiLevelType w:val="hybridMultilevel"/>
    <w:tmpl w:val="F042AC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338A0"/>
    <w:multiLevelType w:val="hybridMultilevel"/>
    <w:tmpl w:val="26388C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F12DD"/>
    <w:multiLevelType w:val="hybridMultilevel"/>
    <w:tmpl w:val="99B07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833AF2"/>
    <w:multiLevelType w:val="hybridMultilevel"/>
    <w:tmpl w:val="18E8F232"/>
    <w:lvl w:ilvl="0" w:tplc="0C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535116875">
    <w:abstractNumId w:val="6"/>
  </w:num>
  <w:num w:numId="2" w16cid:durableId="980160889">
    <w:abstractNumId w:val="1"/>
  </w:num>
  <w:num w:numId="3" w16cid:durableId="303238055">
    <w:abstractNumId w:val="0"/>
  </w:num>
  <w:num w:numId="4" w16cid:durableId="514854857">
    <w:abstractNumId w:val="4"/>
  </w:num>
  <w:num w:numId="5" w16cid:durableId="1483817560">
    <w:abstractNumId w:val="5"/>
  </w:num>
  <w:num w:numId="6" w16cid:durableId="1560050125">
    <w:abstractNumId w:val="3"/>
  </w:num>
  <w:num w:numId="7" w16cid:durableId="2070308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022"/>
    <w:rsid w:val="0000049E"/>
    <w:rsid w:val="00003115"/>
    <w:rsid w:val="00005B62"/>
    <w:rsid w:val="00006C4F"/>
    <w:rsid w:val="000119E9"/>
    <w:rsid w:val="00011A92"/>
    <w:rsid w:val="00011FDC"/>
    <w:rsid w:val="00012813"/>
    <w:rsid w:val="0001349D"/>
    <w:rsid w:val="00013A12"/>
    <w:rsid w:val="00022AF4"/>
    <w:rsid w:val="00022EEA"/>
    <w:rsid w:val="000232F8"/>
    <w:rsid w:val="00030939"/>
    <w:rsid w:val="000326EB"/>
    <w:rsid w:val="00032C5E"/>
    <w:rsid w:val="00033D21"/>
    <w:rsid w:val="000369F6"/>
    <w:rsid w:val="00036E4D"/>
    <w:rsid w:val="000378FE"/>
    <w:rsid w:val="00043524"/>
    <w:rsid w:val="00043FBB"/>
    <w:rsid w:val="0004418D"/>
    <w:rsid w:val="00047561"/>
    <w:rsid w:val="0005048D"/>
    <w:rsid w:val="00051925"/>
    <w:rsid w:val="000520D6"/>
    <w:rsid w:val="000530D8"/>
    <w:rsid w:val="000535C4"/>
    <w:rsid w:val="00054777"/>
    <w:rsid w:val="00055303"/>
    <w:rsid w:val="000572F4"/>
    <w:rsid w:val="00063A18"/>
    <w:rsid w:val="0006630F"/>
    <w:rsid w:val="000673AD"/>
    <w:rsid w:val="000711FF"/>
    <w:rsid w:val="000716C7"/>
    <w:rsid w:val="00071713"/>
    <w:rsid w:val="00072D6A"/>
    <w:rsid w:val="00076919"/>
    <w:rsid w:val="00083EEF"/>
    <w:rsid w:val="000A051F"/>
    <w:rsid w:val="000A1BF7"/>
    <w:rsid w:val="000A262F"/>
    <w:rsid w:val="000B10BF"/>
    <w:rsid w:val="000B6672"/>
    <w:rsid w:val="000C2DC0"/>
    <w:rsid w:val="000C39A9"/>
    <w:rsid w:val="000C552B"/>
    <w:rsid w:val="000C6FD7"/>
    <w:rsid w:val="000D243A"/>
    <w:rsid w:val="000D4382"/>
    <w:rsid w:val="000D6A1A"/>
    <w:rsid w:val="000E250E"/>
    <w:rsid w:val="000E6C89"/>
    <w:rsid w:val="000E7E5B"/>
    <w:rsid w:val="000F0F05"/>
    <w:rsid w:val="000F2325"/>
    <w:rsid w:val="000F47F8"/>
    <w:rsid w:val="000F563D"/>
    <w:rsid w:val="000F57FC"/>
    <w:rsid w:val="00103ADE"/>
    <w:rsid w:val="0010400F"/>
    <w:rsid w:val="001057F3"/>
    <w:rsid w:val="0011331C"/>
    <w:rsid w:val="00115BB7"/>
    <w:rsid w:val="0011668B"/>
    <w:rsid w:val="00116E8A"/>
    <w:rsid w:val="00117832"/>
    <w:rsid w:val="0012073F"/>
    <w:rsid w:val="00121A55"/>
    <w:rsid w:val="00122E7B"/>
    <w:rsid w:val="00124EBA"/>
    <w:rsid w:val="0013106C"/>
    <w:rsid w:val="001342EB"/>
    <w:rsid w:val="001353E8"/>
    <w:rsid w:val="00137CAE"/>
    <w:rsid w:val="00143FCE"/>
    <w:rsid w:val="00145182"/>
    <w:rsid w:val="00150D2F"/>
    <w:rsid w:val="00152E8F"/>
    <w:rsid w:val="00154794"/>
    <w:rsid w:val="001556A3"/>
    <w:rsid w:val="00156209"/>
    <w:rsid w:val="00160965"/>
    <w:rsid w:val="00161EFF"/>
    <w:rsid w:val="00164B5F"/>
    <w:rsid w:val="00164DE3"/>
    <w:rsid w:val="00165F8A"/>
    <w:rsid w:val="00171A3B"/>
    <w:rsid w:val="001731E9"/>
    <w:rsid w:val="00173DD6"/>
    <w:rsid w:val="00175967"/>
    <w:rsid w:val="0018044B"/>
    <w:rsid w:val="0018099E"/>
    <w:rsid w:val="00183EC5"/>
    <w:rsid w:val="00184D35"/>
    <w:rsid w:val="00184F83"/>
    <w:rsid w:val="00186B0F"/>
    <w:rsid w:val="00187D9C"/>
    <w:rsid w:val="00195B26"/>
    <w:rsid w:val="00197A5C"/>
    <w:rsid w:val="001A2A1F"/>
    <w:rsid w:val="001A38D1"/>
    <w:rsid w:val="001B1D46"/>
    <w:rsid w:val="001B2169"/>
    <w:rsid w:val="001B531D"/>
    <w:rsid w:val="001B76C6"/>
    <w:rsid w:val="001B7B89"/>
    <w:rsid w:val="001C0E5C"/>
    <w:rsid w:val="001C3CC9"/>
    <w:rsid w:val="001C699F"/>
    <w:rsid w:val="001D1620"/>
    <w:rsid w:val="001D2B0F"/>
    <w:rsid w:val="001D48B8"/>
    <w:rsid w:val="001D52AA"/>
    <w:rsid w:val="001D5BC9"/>
    <w:rsid w:val="001E524F"/>
    <w:rsid w:val="001E6753"/>
    <w:rsid w:val="001E6E61"/>
    <w:rsid w:val="001E79FA"/>
    <w:rsid w:val="001F2FB5"/>
    <w:rsid w:val="001F39B2"/>
    <w:rsid w:val="001F42A3"/>
    <w:rsid w:val="001F7D9A"/>
    <w:rsid w:val="00201104"/>
    <w:rsid w:val="00201945"/>
    <w:rsid w:val="0021176A"/>
    <w:rsid w:val="00212053"/>
    <w:rsid w:val="002176FD"/>
    <w:rsid w:val="00221FDF"/>
    <w:rsid w:val="002229DA"/>
    <w:rsid w:val="00223728"/>
    <w:rsid w:val="0022543A"/>
    <w:rsid w:val="0023060A"/>
    <w:rsid w:val="00232D75"/>
    <w:rsid w:val="00232FD4"/>
    <w:rsid w:val="00233121"/>
    <w:rsid w:val="0023579E"/>
    <w:rsid w:val="00242207"/>
    <w:rsid w:val="002433A5"/>
    <w:rsid w:val="00243F76"/>
    <w:rsid w:val="00245ED1"/>
    <w:rsid w:val="002514DC"/>
    <w:rsid w:val="0025395D"/>
    <w:rsid w:val="00255294"/>
    <w:rsid w:val="0025676B"/>
    <w:rsid w:val="00256CB7"/>
    <w:rsid w:val="0026366C"/>
    <w:rsid w:val="00265FA8"/>
    <w:rsid w:val="002666FF"/>
    <w:rsid w:val="00272974"/>
    <w:rsid w:val="002736C5"/>
    <w:rsid w:val="00276F75"/>
    <w:rsid w:val="0028460E"/>
    <w:rsid w:val="002859A2"/>
    <w:rsid w:val="002862EC"/>
    <w:rsid w:val="0029176A"/>
    <w:rsid w:val="00294647"/>
    <w:rsid w:val="00295F8A"/>
    <w:rsid w:val="00297F67"/>
    <w:rsid w:val="002A1EF8"/>
    <w:rsid w:val="002A5AAE"/>
    <w:rsid w:val="002A675B"/>
    <w:rsid w:val="002B0EF6"/>
    <w:rsid w:val="002B2D1A"/>
    <w:rsid w:val="002B2DEC"/>
    <w:rsid w:val="002B49AB"/>
    <w:rsid w:val="002B5585"/>
    <w:rsid w:val="002B6028"/>
    <w:rsid w:val="002C04E5"/>
    <w:rsid w:val="002C1D52"/>
    <w:rsid w:val="002C20E5"/>
    <w:rsid w:val="002C22FA"/>
    <w:rsid w:val="002C3BFE"/>
    <w:rsid w:val="002C451F"/>
    <w:rsid w:val="002C6D27"/>
    <w:rsid w:val="002D08EC"/>
    <w:rsid w:val="002D2155"/>
    <w:rsid w:val="002D5AFC"/>
    <w:rsid w:val="002E3383"/>
    <w:rsid w:val="002E3D47"/>
    <w:rsid w:val="002E715E"/>
    <w:rsid w:val="002F088F"/>
    <w:rsid w:val="002F0EF9"/>
    <w:rsid w:val="002F3A64"/>
    <w:rsid w:val="002F4094"/>
    <w:rsid w:val="002F7E02"/>
    <w:rsid w:val="00300B14"/>
    <w:rsid w:val="0030112C"/>
    <w:rsid w:val="0030570E"/>
    <w:rsid w:val="00306760"/>
    <w:rsid w:val="00310D7F"/>
    <w:rsid w:val="00310EC8"/>
    <w:rsid w:val="0031795D"/>
    <w:rsid w:val="00320341"/>
    <w:rsid w:val="003205E8"/>
    <w:rsid w:val="00322173"/>
    <w:rsid w:val="00325983"/>
    <w:rsid w:val="003269C8"/>
    <w:rsid w:val="00332D56"/>
    <w:rsid w:val="0033501A"/>
    <w:rsid w:val="00335BBA"/>
    <w:rsid w:val="00340DFE"/>
    <w:rsid w:val="003445EA"/>
    <w:rsid w:val="003448B2"/>
    <w:rsid w:val="003449EF"/>
    <w:rsid w:val="00350922"/>
    <w:rsid w:val="0035399B"/>
    <w:rsid w:val="00357836"/>
    <w:rsid w:val="00360C39"/>
    <w:rsid w:val="00361D27"/>
    <w:rsid w:val="00364735"/>
    <w:rsid w:val="003652C3"/>
    <w:rsid w:val="003668F6"/>
    <w:rsid w:val="00370C3C"/>
    <w:rsid w:val="00372AFD"/>
    <w:rsid w:val="003753A0"/>
    <w:rsid w:val="00375AE1"/>
    <w:rsid w:val="003828DC"/>
    <w:rsid w:val="00382949"/>
    <w:rsid w:val="003859EF"/>
    <w:rsid w:val="00393E1D"/>
    <w:rsid w:val="00394D27"/>
    <w:rsid w:val="0039789B"/>
    <w:rsid w:val="003A088E"/>
    <w:rsid w:val="003A11BE"/>
    <w:rsid w:val="003B57C6"/>
    <w:rsid w:val="003C3057"/>
    <w:rsid w:val="003D1549"/>
    <w:rsid w:val="003D37F9"/>
    <w:rsid w:val="003D6876"/>
    <w:rsid w:val="003D6918"/>
    <w:rsid w:val="003E0AB7"/>
    <w:rsid w:val="003E17A1"/>
    <w:rsid w:val="003E7FE0"/>
    <w:rsid w:val="003F095B"/>
    <w:rsid w:val="003F7721"/>
    <w:rsid w:val="00405631"/>
    <w:rsid w:val="00407966"/>
    <w:rsid w:val="00417222"/>
    <w:rsid w:val="004178E2"/>
    <w:rsid w:val="00420F83"/>
    <w:rsid w:val="00426163"/>
    <w:rsid w:val="00432668"/>
    <w:rsid w:val="004354E3"/>
    <w:rsid w:val="0043589D"/>
    <w:rsid w:val="00436AE0"/>
    <w:rsid w:val="00436CAC"/>
    <w:rsid w:val="0044034B"/>
    <w:rsid w:val="00442701"/>
    <w:rsid w:val="004430E9"/>
    <w:rsid w:val="004459DA"/>
    <w:rsid w:val="00445A04"/>
    <w:rsid w:val="00447631"/>
    <w:rsid w:val="00453AA0"/>
    <w:rsid w:val="00453D70"/>
    <w:rsid w:val="00453E47"/>
    <w:rsid w:val="00453EC7"/>
    <w:rsid w:val="00454875"/>
    <w:rsid w:val="00460472"/>
    <w:rsid w:val="00463E42"/>
    <w:rsid w:val="0046457C"/>
    <w:rsid w:val="00472770"/>
    <w:rsid w:val="004757F4"/>
    <w:rsid w:val="0047586E"/>
    <w:rsid w:val="00476D67"/>
    <w:rsid w:val="0048266F"/>
    <w:rsid w:val="00483302"/>
    <w:rsid w:val="00483467"/>
    <w:rsid w:val="00484989"/>
    <w:rsid w:val="0049177D"/>
    <w:rsid w:val="004947DC"/>
    <w:rsid w:val="004953C3"/>
    <w:rsid w:val="00495F63"/>
    <w:rsid w:val="00496681"/>
    <w:rsid w:val="00497BB5"/>
    <w:rsid w:val="00497D06"/>
    <w:rsid w:val="004A22C8"/>
    <w:rsid w:val="004A29BF"/>
    <w:rsid w:val="004A40F3"/>
    <w:rsid w:val="004A6511"/>
    <w:rsid w:val="004B1CB9"/>
    <w:rsid w:val="004B569A"/>
    <w:rsid w:val="004B6149"/>
    <w:rsid w:val="004B66E9"/>
    <w:rsid w:val="004B78B3"/>
    <w:rsid w:val="004C498B"/>
    <w:rsid w:val="004D08FB"/>
    <w:rsid w:val="004D1E4F"/>
    <w:rsid w:val="004D3A07"/>
    <w:rsid w:val="004E047C"/>
    <w:rsid w:val="004E144E"/>
    <w:rsid w:val="004E2722"/>
    <w:rsid w:val="004E3563"/>
    <w:rsid w:val="004E3829"/>
    <w:rsid w:val="004E42FC"/>
    <w:rsid w:val="004E5EC6"/>
    <w:rsid w:val="004F7C16"/>
    <w:rsid w:val="005020EC"/>
    <w:rsid w:val="00502681"/>
    <w:rsid w:val="00502A27"/>
    <w:rsid w:val="00504476"/>
    <w:rsid w:val="0050660C"/>
    <w:rsid w:val="00510457"/>
    <w:rsid w:val="00510D18"/>
    <w:rsid w:val="00512088"/>
    <w:rsid w:val="00514E9E"/>
    <w:rsid w:val="005152DA"/>
    <w:rsid w:val="00521587"/>
    <w:rsid w:val="005222E8"/>
    <w:rsid w:val="00523409"/>
    <w:rsid w:val="00525B94"/>
    <w:rsid w:val="00526D76"/>
    <w:rsid w:val="00531298"/>
    <w:rsid w:val="00531532"/>
    <w:rsid w:val="00531B0E"/>
    <w:rsid w:val="00531DF3"/>
    <w:rsid w:val="005418D9"/>
    <w:rsid w:val="005419FA"/>
    <w:rsid w:val="0054288D"/>
    <w:rsid w:val="0054526C"/>
    <w:rsid w:val="005473C1"/>
    <w:rsid w:val="005500FA"/>
    <w:rsid w:val="00561C96"/>
    <w:rsid w:val="00564352"/>
    <w:rsid w:val="00564C16"/>
    <w:rsid w:val="0056527E"/>
    <w:rsid w:val="0057195C"/>
    <w:rsid w:val="005740D7"/>
    <w:rsid w:val="0057433F"/>
    <w:rsid w:val="0058261A"/>
    <w:rsid w:val="005853BE"/>
    <w:rsid w:val="00593077"/>
    <w:rsid w:val="0059784D"/>
    <w:rsid w:val="005A1C01"/>
    <w:rsid w:val="005A6998"/>
    <w:rsid w:val="005A6A2E"/>
    <w:rsid w:val="005B0CB0"/>
    <w:rsid w:val="005B2022"/>
    <w:rsid w:val="005B2948"/>
    <w:rsid w:val="005B66A6"/>
    <w:rsid w:val="005B68EA"/>
    <w:rsid w:val="005B6AE0"/>
    <w:rsid w:val="005C305C"/>
    <w:rsid w:val="005C55EF"/>
    <w:rsid w:val="005C5C25"/>
    <w:rsid w:val="005C5F63"/>
    <w:rsid w:val="005D79C7"/>
    <w:rsid w:val="005E0F3A"/>
    <w:rsid w:val="005E2BEC"/>
    <w:rsid w:val="005E4A6D"/>
    <w:rsid w:val="005F1B1F"/>
    <w:rsid w:val="005F34EE"/>
    <w:rsid w:val="005F4B37"/>
    <w:rsid w:val="005F5390"/>
    <w:rsid w:val="005F5AC5"/>
    <w:rsid w:val="005F7AFA"/>
    <w:rsid w:val="00607E33"/>
    <w:rsid w:val="0061560B"/>
    <w:rsid w:val="00617CB7"/>
    <w:rsid w:val="006222BD"/>
    <w:rsid w:val="00622A5C"/>
    <w:rsid w:val="00624A79"/>
    <w:rsid w:val="006315FE"/>
    <w:rsid w:val="006346FA"/>
    <w:rsid w:val="006362EC"/>
    <w:rsid w:val="0063756A"/>
    <w:rsid w:val="00637F2D"/>
    <w:rsid w:val="00641FCF"/>
    <w:rsid w:val="0064655A"/>
    <w:rsid w:val="00650707"/>
    <w:rsid w:val="00651A7E"/>
    <w:rsid w:val="00651FC0"/>
    <w:rsid w:val="00653D8C"/>
    <w:rsid w:val="0065633B"/>
    <w:rsid w:val="00656755"/>
    <w:rsid w:val="00657D83"/>
    <w:rsid w:val="006601C5"/>
    <w:rsid w:val="00663894"/>
    <w:rsid w:val="00664C20"/>
    <w:rsid w:val="006650D6"/>
    <w:rsid w:val="0066766D"/>
    <w:rsid w:val="00670135"/>
    <w:rsid w:val="00673BAD"/>
    <w:rsid w:val="00686ABB"/>
    <w:rsid w:val="00687E25"/>
    <w:rsid w:val="00691F32"/>
    <w:rsid w:val="0069217D"/>
    <w:rsid w:val="00695815"/>
    <w:rsid w:val="006A24A9"/>
    <w:rsid w:val="006A3438"/>
    <w:rsid w:val="006A4DAA"/>
    <w:rsid w:val="006A7D8C"/>
    <w:rsid w:val="006B3496"/>
    <w:rsid w:val="006B6320"/>
    <w:rsid w:val="006C0810"/>
    <w:rsid w:val="006C2149"/>
    <w:rsid w:val="006C56FD"/>
    <w:rsid w:val="006C57F0"/>
    <w:rsid w:val="006D0AE2"/>
    <w:rsid w:val="006D0B67"/>
    <w:rsid w:val="006D297A"/>
    <w:rsid w:val="006D3824"/>
    <w:rsid w:val="006D7C2C"/>
    <w:rsid w:val="006E3993"/>
    <w:rsid w:val="006E59DA"/>
    <w:rsid w:val="006E5D4D"/>
    <w:rsid w:val="006E7964"/>
    <w:rsid w:val="006F0F70"/>
    <w:rsid w:val="006F18EF"/>
    <w:rsid w:val="006F72F8"/>
    <w:rsid w:val="006F7836"/>
    <w:rsid w:val="006F79B7"/>
    <w:rsid w:val="00701E26"/>
    <w:rsid w:val="00702372"/>
    <w:rsid w:val="00703782"/>
    <w:rsid w:val="007041C4"/>
    <w:rsid w:val="007047A7"/>
    <w:rsid w:val="0070643F"/>
    <w:rsid w:val="00706539"/>
    <w:rsid w:val="00712749"/>
    <w:rsid w:val="00713A8E"/>
    <w:rsid w:val="007161D5"/>
    <w:rsid w:val="00716B25"/>
    <w:rsid w:val="007209F6"/>
    <w:rsid w:val="007268BA"/>
    <w:rsid w:val="007328EF"/>
    <w:rsid w:val="007329A5"/>
    <w:rsid w:val="00733542"/>
    <w:rsid w:val="007367D2"/>
    <w:rsid w:val="00740D55"/>
    <w:rsid w:val="00747867"/>
    <w:rsid w:val="00753F9A"/>
    <w:rsid w:val="00754CB9"/>
    <w:rsid w:val="00756C01"/>
    <w:rsid w:val="0076281B"/>
    <w:rsid w:val="00764918"/>
    <w:rsid w:val="00764F70"/>
    <w:rsid w:val="00765218"/>
    <w:rsid w:val="00765B67"/>
    <w:rsid w:val="0077265F"/>
    <w:rsid w:val="00773BE9"/>
    <w:rsid w:val="00780B27"/>
    <w:rsid w:val="00785FBA"/>
    <w:rsid w:val="007918C0"/>
    <w:rsid w:val="00792A93"/>
    <w:rsid w:val="007A240C"/>
    <w:rsid w:val="007A62B2"/>
    <w:rsid w:val="007A65D9"/>
    <w:rsid w:val="007B1835"/>
    <w:rsid w:val="007B6C79"/>
    <w:rsid w:val="007B7A34"/>
    <w:rsid w:val="007C20F1"/>
    <w:rsid w:val="007C286C"/>
    <w:rsid w:val="007D0291"/>
    <w:rsid w:val="007E50F6"/>
    <w:rsid w:val="007E6423"/>
    <w:rsid w:val="007F1364"/>
    <w:rsid w:val="00803B33"/>
    <w:rsid w:val="00804F1C"/>
    <w:rsid w:val="00807D9E"/>
    <w:rsid w:val="008149D5"/>
    <w:rsid w:val="00817722"/>
    <w:rsid w:val="00817760"/>
    <w:rsid w:val="00817E5F"/>
    <w:rsid w:val="00820B17"/>
    <w:rsid w:val="00821B65"/>
    <w:rsid w:val="0082310B"/>
    <w:rsid w:val="0082454A"/>
    <w:rsid w:val="008302AF"/>
    <w:rsid w:val="00830526"/>
    <w:rsid w:val="00830528"/>
    <w:rsid w:val="00832FB8"/>
    <w:rsid w:val="008333AD"/>
    <w:rsid w:val="0083538A"/>
    <w:rsid w:val="00840A58"/>
    <w:rsid w:val="00845802"/>
    <w:rsid w:val="0085655C"/>
    <w:rsid w:val="00865109"/>
    <w:rsid w:val="00865DF0"/>
    <w:rsid w:val="0086798F"/>
    <w:rsid w:val="00872170"/>
    <w:rsid w:val="008767F5"/>
    <w:rsid w:val="00881A46"/>
    <w:rsid w:val="008828F2"/>
    <w:rsid w:val="00885281"/>
    <w:rsid w:val="00885E51"/>
    <w:rsid w:val="00893003"/>
    <w:rsid w:val="0089330B"/>
    <w:rsid w:val="00896AD9"/>
    <w:rsid w:val="008A0AAE"/>
    <w:rsid w:val="008A29DE"/>
    <w:rsid w:val="008A386A"/>
    <w:rsid w:val="008A46FD"/>
    <w:rsid w:val="008A471E"/>
    <w:rsid w:val="008B2ED6"/>
    <w:rsid w:val="008B3ABD"/>
    <w:rsid w:val="008B3FFC"/>
    <w:rsid w:val="008B41FE"/>
    <w:rsid w:val="008B7954"/>
    <w:rsid w:val="008C074E"/>
    <w:rsid w:val="008C4538"/>
    <w:rsid w:val="008C4884"/>
    <w:rsid w:val="008D0EFB"/>
    <w:rsid w:val="008D1CB1"/>
    <w:rsid w:val="008D202F"/>
    <w:rsid w:val="008D210D"/>
    <w:rsid w:val="008D3387"/>
    <w:rsid w:val="008D4DD3"/>
    <w:rsid w:val="008D56A1"/>
    <w:rsid w:val="008E32D9"/>
    <w:rsid w:val="008E5DF2"/>
    <w:rsid w:val="008E7AA5"/>
    <w:rsid w:val="008F3995"/>
    <w:rsid w:val="008F6E58"/>
    <w:rsid w:val="008F7489"/>
    <w:rsid w:val="00901844"/>
    <w:rsid w:val="009019BA"/>
    <w:rsid w:val="00903A2D"/>
    <w:rsid w:val="009066A8"/>
    <w:rsid w:val="00910B00"/>
    <w:rsid w:val="00911C10"/>
    <w:rsid w:val="00913F01"/>
    <w:rsid w:val="00913F67"/>
    <w:rsid w:val="00922923"/>
    <w:rsid w:val="00923133"/>
    <w:rsid w:val="009236A2"/>
    <w:rsid w:val="00924CFD"/>
    <w:rsid w:val="00926097"/>
    <w:rsid w:val="0093059D"/>
    <w:rsid w:val="00930977"/>
    <w:rsid w:val="0093253A"/>
    <w:rsid w:val="00935D7E"/>
    <w:rsid w:val="00940DEE"/>
    <w:rsid w:val="00941F9B"/>
    <w:rsid w:val="009422F9"/>
    <w:rsid w:val="00953ED2"/>
    <w:rsid w:val="00954AD7"/>
    <w:rsid w:val="00954D62"/>
    <w:rsid w:val="00954ED9"/>
    <w:rsid w:val="00957EF5"/>
    <w:rsid w:val="0096350E"/>
    <w:rsid w:val="00965B57"/>
    <w:rsid w:val="00970663"/>
    <w:rsid w:val="00970981"/>
    <w:rsid w:val="009851DD"/>
    <w:rsid w:val="00986607"/>
    <w:rsid w:val="00991429"/>
    <w:rsid w:val="00993212"/>
    <w:rsid w:val="009969EA"/>
    <w:rsid w:val="009A391B"/>
    <w:rsid w:val="009A4078"/>
    <w:rsid w:val="009A50BA"/>
    <w:rsid w:val="009B09A1"/>
    <w:rsid w:val="009B4BDB"/>
    <w:rsid w:val="009B5D59"/>
    <w:rsid w:val="009B6C79"/>
    <w:rsid w:val="009B7D3F"/>
    <w:rsid w:val="009C1519"/>
    <w:rsid w:val="009C2302"/>
    <w:rsid w:val="009C23BE"/>
    <w:rsid w:val="009C4BA6"/>
    <w:rsid w:val="009C6A63"/>
    <w:rsid w:val="009D1AD5"/>
    <w:rsid w:val="009D1C31"/>
    <w:rsid w:val="009D39C2"/>
    <w:rsid w:val="009D44A2"/>
    <w:rsid w:val="009D58F7"/>
    <w:rsid w:val="009D6FD2"/>
    <w:rsid w:val="009E0012"/>
    <w:rsid w:val="009E41C0"/>
    <w:rsid w:val="009E47FD"/>
    <w:rsid w:val="009E781C"/>
    <w:rsid w:val="009E79C1"/>
    <w:rsid w:val="009F4B46"/>
    <w:rsid w:val="00A00012"/>
    <w:rsid w:val="00A04593"/>
    <w:rsid w:val="00A056EF"/>
    <w:rsid w:val="00A057DE"/>
    <w:rsid w:val="00A05B0F"/>
    <w:rsid w:val="00A07855"/>
    <w:rsid w:val="00A11C23"/>
    <w:rsid w:val="00A22D41"/>
    <w:rsid w:val="00A23790"/>
    <w:rsid w:val="00A24598"/>
    <w:rsid w:val="00A25279"/>
    <w:rsid w:val="00A30FDC"/>
    <w:rsid w:val="00A3645B"/>
    <w:rsid w:val="00A36CE9"/>
    <w:rsid w:val="00A40DD2"/>
    <w:rsid w:val="00A432BA"/>
    <w:rsid w:val="00A434A6"/>
    <w:rsid w:val="00A437B7"/>
    <w:rsid w:val="00A4518D"/>
    <w:rsid w:val="00A56C43"/>
    <w:rsid w:val="00A56D19"/>
    <w:rsid w:val="00A60387"/>
    <w:rsid w:val="00A632B7"/>
    <w:rsid w:val="00A722F3"/>
    <w:rsid w:val="00A741D0"/>
    <w:rsid w:val="00A77812"/>
    <w:rsid w:val="00A813EE"/>
    <w:rsid w:val="00A8437C"/>
    <w:rsid w:val="00A84D23"/>
    <w:rsid w:val="00A87E13"/>
    <w:rsid w:val="00A92EE3"/>
    <w:rsid w:val="00AB0FBC"/>
    <w:rsid w:val="00AB2DEB"/>
    <w:rsid w:val="00AC681A"/>
    <w:rsid w:val="00AD4364"/>
    <w:rsid w:val="00AE0738"/>
    <w:rsid w:val="00AE61BF"/>
    <w:rsid w:val="00AE75FA"/>
    <w:rsid w:val="00AF59E5"/>
    <w:rsid w:val="00B04711"/>
    <w:rsid w:val="00B068AA"/>
    <w:rsid w:val="00B156DC"/>
    <w:rsid w:val="00B216E6"/>
    <w:rsid w:val="00B22C6D"/>
    <w:rsid w:val="00B23B9E"/>
    <w:rsid w:val="00B2623B"/>
    <w:rsid w:val="00B31B47"/>
    <w:rsid w:val="00B3411F"/>
    <w:rsid w:val="00B34D0E"/>
    <w:rsid w:val="00B43AC3"/>
    <w:rsid w:val="00B441C0"/>
    <w:rsid w:val="00B44E74"/>
    <w:rsid w:val="00B462BC"/>
    <w:rsid w:val="00B505C7"/>
    <w:rsid w:val="00B52D05"/>
    <w:rsid w:val="00B55AB0"/>
    <w:rsid w:val="00B573C2"/>
    <w:rsid w:val="00B61B4E"/>
    <w:rsid w:val="00B6335F"/>
    <w:rsid w:val="00B65EB2"/>
    <w:rsid w:val="00B67483"/>
    <w:rsid w:val="00B71499"/>
    <w:rsid w:val="00B72E49"/>
    <w:rsid w:val="00B73D70"/>
    <w:rsid w:val="00B81AB9"/>
    <w:rsid w:val="00B84E0A"/>
    <w:rsid w:val="00B85555"/>
    <w:rsid w:val="00B86B4E"/>
    <w:rsid w:val="00B86C7E"/>
    <w:rsid w:val="00B91EC0"/>
    <w:rsid w:val="00B95C87"/>
    <w:rsid w:val="00BA0C18"/>
    <w:rsid w:val="00BA4CBF"/>
    <w:rsid w:val="00BB0289"/>
    <w:rsid w:val="00BB605B"/>
    <w:rsid w:val="00BC401C"/>
    <w:rsid w:val="00BC4ACE"/>
    <w:rsid w:val="00BC5B8C"/>
    <w:rsid w:val="00BD367D"/>
    <w:rsid w:val="00BE17F9"/>
    <w:rsid w:val="00BE4480"/>
    <w:rsid w:val="00BE44AA"/>
    <w:rsid w:val="00BE4BFF"/>
    <w:rsid w:val="00BF3329"/>
    <w:rsid w:val="00BF462C"/>
    <w:rsid w:val="00BF6588"/>
    <w:rsid w:val="00C03610"/>
    <w:rsid w:val="00C03EEE"/>
    <w:rsid w:val="00C05D57"/>
    <w:rsid w:val="00C1236C"/>
    <w:rsid w:val="00C1391D"/>
    <w:rsid w:val="00C2278B"/>
    <w:rsid w:val="00C25EBA"/>
    <w:rsid w:val="00C26CC3"/>
    <w:rsid w:val="00C302E1"/>
    <w:rsid w:val="00C35377"/>
    <w:rsid w:val="00C41D97"/>
    <w:rsid w:val="00C439DD"/>
    <w:rsid w:val="00C45C65"/>
    <w:rsid w:val="00C46496"/>
    <w:rsid w:val="00C46D16"/>
    <w:rsid w:val="00C50980"/>
    <w:rsid w:val="00C514C2"/>
    <w:rsid w:val="00C52AD4"/>
    <w:rsid w:val="00C545D5"/>
    <w:rsid w:val="00C54F13"/>
    <w:rsid w:val="00C574F9"/>
    <w:rsid w:val="00C6387A"/>
    <w:rsid w:val="00C749FB"/>
    <w:rsid w:val="00C7548E"/>
    <w:rsid w:val="00C76B48"/>
    <w:rsid w:val="00C77F5B"/>
    <w:rsid w:val="00C80D83"/>
    <w:rsid w:val="00C82445"/>
    <w:rsid w:val="00C83070"/>
    <w:rsid w:val="00C906DD"/>
    <w:rsid w:val="00C95F86"/>
    <w:rsid w:val="00C96C1B"/>
    <w:rsid w:val="00C9744E"/>
    <w:rsid w:val="00CA0149"/>
    <w:rsid w:val="00CA4D98"/>
    <w:rsid w:val="00CA52AC"/>
    <w:rsid w:val="00CA5348"/>
    <w:rsid w:val="00CB14BB"/>
    <w:rsid w:val="00CB7B84"/>
    <w:rsid w:val="00CC4440"/>
    <w:rsid w:val="00CD0797"/>
    <w:rsid w:val="00CD110F"/>
    <w:rsid w:val="00CD2A04"/>
    <w:rsid w:val="00CD3A32"/>
    <w:rsid w:val="00CD5D61"/>
    <w:rsid w:val="00CD726F"/>
    <w:rsid w:val="00CE0133"/>
    <w:rsid w:val="00CF3313"/>
    <w:rsid w:val="00CF353C"/>
    <w:rsid w:val="00CF49D2"/>
    <w:rsid w:val="00D000A9"/>
    <w:rsid w:val="00D0145C"/>
    <w:rsid w:val="00D021A9"/>
    <w:rsid w:val="00D04221"/>
    <w:rsid w:val="00D07495"/>
    <w:rsid w:val="00D125C9"/>
    <w:rsid w:val="00D12E8A"/>
    <w:rsid w:val="00D14ACD"/>
    <w:rsid w:val="00D15ED3"/>
    <w:rsid w:val="00D178B7"/>
    <w:rsid w:val="00D2084F"/>
    <w:rsid w:val="00D3149F"/>
    <w:rsid w:val="00D32B7B"/>
    <w:rsid w:val="00D33537"/>
    <w:rsid w:val="00D34BEA"/>
    <w:rsid w:val="00D35169"/>
    <w:rsid w:val="00D37D37"/>
    <w:rsid w:val="00D4033D"/>
    <w:rsid w:val="00D40F5C"/>
    <w:rsid w:val="00D477D1"/>
    <w:rsid w:val="00D54F7B"/>
    <w:rsid w:val="00D563AC"/>
    <w:rsid w:val="00D57F26"/>
    <w:rsid w:val="00D67DAC"/>
    <w:rsid w:val="00D70FE1"/>
    <w:rsid w:val="00D723AF"/>
    <w:rsid w:val="00D7253D"/>
    <w:rsid w:val="00D73E82"/>
    <w:rsid w:val="00D75588"/>
    <w:rsid w:val="00D80104"/>
    <w:rsid w:val="00D83E5F"/>
    <w:rsid w:val="00D84286"/>
    <w:rsid w:val="00D85105"/>
    <w:rsid w:val="00D853F4"/>
    <w:rsid w:val="00D8583A"/>
    <w:rsid w:val="00D87CFE"/>
    <w:rsid w:val="00D91C91"/>
    <w:rsid w:val="00D93DF1"/>
    <w:rsid w:val="00D94E9E"/>
    <w:rsid w:val="00D955C5"/>
    <w:rsid w:val="00D97A5C"/>
    <w:rsid w:val="00DA0B63"/>
    <w:rsid w:val="00DA3977"/>
    <w:rsid w:val="00DA5212"/>
    <w:rsid w:val="00DA6CC8"/>
    <w:rsid w:val="00DB0002"/>
    <w:rsid w:val="00DB0AFA"/>
    <w:rsid w:val="00DB1EE5"/>
    <w:rsid w:val="00DB27C3"/>
    <w:rsid w:val="00DB63B3"/>
    <w:rsid w:val="00DC2A47"/>
    <w:rsid w:val="00DD050A"/>
    <w:rsid w:val="00DD433E"/>
    <w:rsid w:val="00DE1486"/>
    <w:rsid w:val="00DE63E0"/>
    <w:rsid w:val="00DE64A6"/>
    <w:rsid w:val="00DF112A"/>
    <w:rsid w:val="00DF42E3"/>
    <w:rsid w:val="00DF56CF"/>
    <w:rsid w:val="00DF60D7"/>
    <w:rsid w:val="00E05A54"/>
    <w:rsid w:val="00E06032"/>
    <w:rsid w:val="00E06AB1"/>
    <w:rsid w:val="00E10335"/>
    <w:rsid w:val="00E113C5"/>
    <w:rsid w:val="00E128BC"/>
    <w:rsid w:val="00E14706"/>
    <w:rsid w:val="00E15A96"/>
    <w:rsid w:val="00E1617C"/>
    <w:rsid w:val="00E1697C"/>
    <w:rsid w:val="00E20AFD"/>
    <w:rsid w:val="00E217D8"/>
    <w:rsid w:val="00E21C78"/>
    <w:rsid w:val="00E222D4"/>
    <w:rsid w:val="00E2576D"/>
    <w:rsid w:val="00E26249"/>
    <w:rsid w:val="00E325FA"/>
    <w:rsid w:val="00E32B2C"/>
    <w:rsid w:val="00E34C67"/>
    <w:rsid w:val="00E4059F"/>
    <w:rsid w:val="00E4097C"/>
    <w:rsid w:val="00E415FD"/>
    <w:rsid w:val="00E41672"/>
    <w:rsid w:val="00E418C3"/>
    <w:rsid w:val="00E44184"/>
    <w:rsid w:val="00E4464E"/>
    <w:rsid w:val="00E4580C"/>
    <w:rsid w:val="00E45F83"/>
    <w:rsid w:val="00E46092"/>
    <w:rsid w:val="00E46B92"/>
    <w:rsid w:val="00E4707A"/>
    <w:rsid w:val="00E47093"/>
    <w:rsid w:val="00E516A4"/>
    <w:rsid w:val="00E52DA1"/>
    <w:rsid w:val="00E536F5"/>
    <w:rsid w:val="00E56232"/>
    <w:rsid w:val="00E57328"/>
    <w:rsid w:val="00E5742B"/>
    <w:rsid w:val="00E57770"/>
    <w:rsid w:val="00E620A7"/>
    <w:rsid w:val="00E64318"/>
    <w:rsid w:val="00E643F2"/>
    <w:rsid w:val="00E64F4E"/>
    <w:rsid w:val="00E65C2A"/>
    <w:rsid w:val="00E674E8"/>
    <w:rsid w:val="00E679F2"/>
    <w:rsid w:val="00E70E5B"/>
    <w:rsid w:val="00E71DD9"/>
    <w:rsid w:val="00E72446"/>
    <w:rsid w:val="00E74070"/>
    <w:rsid w:val="00E76DE6"/>
    <w:rsid w:val="00E84647"/>
    <w:rsid w:val="00E84DE3"/>
    <w:rsid w:val="00E92A21"/>
    <w:rsid w:val="00E94ABF"/>
    <w:rsid w:val="00E94DEC"/>
    <w:rsid w:val="00E9530C"/>
    <w:rsid w:val="00EA08DD"/>
    <w:rsid w:val="00EA0D40"/>
    <w:rsid w:val="00EA148A"/>
    <w:rsid w:val="00EA4FB5"/>
    <w:rsid w:val="00EA61EF"/>
    <w:rsid w:val="00EA7791"/>
    <w:rsid w:val="00EB175D"/>
    <w:rsid w:val="00EB5AF3"/>
    <w:rsid w:val="00EB71E9"/>
    <w:rsid w:val="00EC013D"/>
    <w:rsid w:val="00EC0EFC"/>
    <w:rsid w:val="00EC2E6A"/>
    <w:rsid w:val="00EC4AD8"/>
    <w:rsid w:val="00ED3A1A"/>
    <w:rsid w:val="00ED4087"/>
    <w:rsid w:val="00ED47BE"/>
    <w:rsid w:val="00ED5565"/>
    <w:rsid w:val="00ED7678"/>
    <w:rsid w:val="00EE018A"/>
    <w:rsid w:val="00EE02E1"/>
    <w:rsid w:val="00EE4EE9"/>
    <w:rsid w:val="00EF1727"/>
    <w:rsid w:val="00EF355C"/>
    <w:rsid w:val="00EF7C4F"/>
    <w:rsid w:val="00F0444E"/>
    <w:rsid w:val="00F04A5E"/>
    <w:rsid w:val="00F1123C"/>
    <w:rsid w:val="00F15BF6"/>
    <w:rsid w:val="00F20BA1"/>
    <w:rsid w:val="00F23352"/>
    <w:rsid w:val="00F2778B"/>
    <w:rsid w:val="00F301F7"/>
    <w:rsid w:val="00F32552"/>
    <w:rsid w:val="00F32D8D"/>
    <w:rsid w:val="00F36BC9"/>
    <w:rsid w:val="00F4369D"/>
    <w:rsid w:val="00F4413F"/>
    <w:rsid w:val="00F51009"/>
    <w:rsid w:val="00F5172A"/>
    <w:rsid w:val="00F56029"/>
    <w:rsid w:val="00F574C2"/>
    <w:rsid w:val="00F57B94"/>
    <w:rsid w:val="00F6275A"/>
    <w:rsid w:val="00F65124"/>
    <w:rsid w:val="00F66348"/>
    <w:rsid w:val="00F67595"/>
    <w:rsid w:val="00F77067"/>
    <w:rsid w:val="00F813F8"/>
    <w:rsid w:val="00F84650"/>
    <w:rsid w:val="00F87092"/>
    <w:rsid w:val="00F946F2"/>
    <w:rsid w:val="00F97119"/>
    <w:rsid w:val="00FA0B74"/>
    <w:rsid w:val="00FA1816"/>
    <w:rsid w:val="00FA24BE"/>
    <w:rsid w:val="00FA2FD8"/>
    <w:rsid w:val="00FA5C2B"/>
    <w:rsid w:val="00FA5D90"/>
    <w:rsid w:val="00FA74E8"/>
    <w:rsid w:val="00FB13C4"/>
    <w:rsid w:val="00FB34D2"/>
    <w:rsid w:val="00FB658A"/>
    <w:rsid w:val="00FB672C"/>
    <w:rsid w:val="00FB78FA"/>
    <w:rsid w:val="00FC1B16"/>
    <w:rsid w:val="00FC6AB9"/>
    <w:rsid w:val="00FD03B9"/>
    <w:rsid w:val="00FD0939"/>
    <w:rsid w:val="00FE0673"/>
    <w:rsid w:val="00FE2D22"/>
    <w:rsid w:val="00FE36C9"/>
    <w:rsid w:val="00FE3BD9"/>
    <w:rsid w:val="00FE44E7"/>
    <w:rsid w:val="00FE6533"/>
    <w:rsid w:val="00FE6649"/>
    <w:rsid w:val="00FF0282"/>
    <w:rsid w:val="167476B2"/>
    <w:rsid w:val="249061D4"/>
    <w:rsid w:val="3B19F183"/>
    <w:rsid w:val="4682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815BC"/>
  <w15:docId w15:val="{2BB3F705-1FB7-46A2-AF89-6944A58C7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A27"/>
  </w:style>
  <w:style w:type="paragraph" w:styleId="Heading1">
    <w:name w:val="heading 1"/>
    <w:basedOn w:val="Normal"/>
    <w:next w:val="Normal"/>
    <w:link w:val="Heading1Char"/>
    <w:uiPriority w:val="9"/>
    <w:qFormat/>
    <w:rsid w:val="00531298"/>
    <w:pPr>
      <w:outlineLvl w:val="0"/>
    </w:pPr>
    <w:rPr>
      <w:rFonts w:ascii="Arial" w:hAnsi="Arial" w:cs="Arial"/>
      <w:b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5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F8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24A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4A7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4A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A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4A79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6CAC"/>
  </w:style>
  <w:style w:type="paragraph" w:styleId="Footer">
    <w:name w:val="footer"/>
    <w:basedOn w:val="Normal"/>
    <w:link w:val="FooterChar"/>
    <w:uiPriority w:val="99"/>
    <w:unhideWhenUsed/>
    <w:rsid w:val="00436C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6CAC"/>
  </w:style>
  <w:style w:type="paragraph" w:customStyle="1" w:styleId="ACMABodyText">
    <w:name w:val="ACMA Body Text"/>
    <w:basedOn w:val="Normal"/>
    <w:link w:val="ACMABodyTextChar1"/>
    <w:rsid w:val="00442701"/>
    <w:pPr>
      <w:snapToGrid w:val="0"/>
      <w:spacing w:before="80" w:after="120" w:line="280" w:lineRule="atLeast"/>
    </w:pPr>
    <w:rPr>
      <w:rFonts w:ascii="Times New Roman" w:hAnsi="Times New Roman" w:cs="Times New Roman"/>
      <w:sz w:val="24"/>
      <w:szCs w:val="24"/>
      <w:lang w:eastAsia="en-AU"/>
    </w:rPr>
  </w:style>
  <w:style w:type="paragraph" w:styleId="Revision">
    <w:name w:val="Revision"/>
    <w:hidden/>
    <w:uiPriority w:val="99"/>
    <w:semiHidden/>
    <w:rsid w:val="00442701"/>
    <w:pPr>
      <w:spacing w:after="0" w:line="240" w:lineRule="auto"/>
    </w:pPr>
  </w:style>
  <w:style w:type="character" w:styleId="Hyperlink">
    <w:name w:val="Hyperlink"/>
    <w:basedOn w:val="DefaultParagraphFont"/>
    <w:uiPriority w:val="99"/>
    <w:qFormat/>
    <w:rsid w:val="00AB0FBC"/>
    <w:rPr>
      <w:color w:val="0000FF"/>
      <w:u w:val="single"/>
    </w:rPr>
  </w:style>
  <w:style w:type="character" w:styleId="FootnoteReference">
    <w:name w:val="footnote reference"/>
    <w:basedOn w:val="DefaultParagraphFont"/>
    <w:rsid w:val="00AB0FBC"/>
    <w:rPr>
      <w:rFonts w:ascii="Arial" w:hAnsi="Arial"/>
      <w:vertAlign w:val="superscript"/>
    </w:rPr>
  </w:style>
  <w:style w:type="paragraph" w:styleId="FootnoteText">
    <w:name w:val="footnote text"/>
    <w:aliases w:val="ACMA Footnote Text,ABA Footnote Text"/>
    <w:basedOn w:val="Normal"/>
    <w:link w:val="FootnoteTextChar"/>
    <w:rsid w:val="00AB0FBC"/>
    <w:pPr>
      <w:spacing w:after="240" w:line="240" w:lineRule="atLeast"/>
    </w:pPr>
    <w:rPr>
      <w:rFonts w:ascii="Arial" w:eastAsia="Times New Roman" w:hAnsi="Arial" w:cs="Times New Roman"/>
      <w:sz w:val="16"/>
      <w:szCs w:val="16"/>
      <w:lang w:eastAsia="en-AU"/>
    </w:rPr>
  </w:style>
  <w:style w:type="character" w:customStyle="1" w:styleId="FootnoteTextChar">
    <w:name w:val="Footnote Text Char"/>
    <w:aliases w:val="ACMA Footnote Text Char,ABA Footnote Text Char"/>
    <w:basedOn w:val="DefaultParagraphFont"/>
    <w:link w:val="FootnoteText"/>
    <w:rsid w:val="00AB0FBC"/>
    <w:rPr>
      <w:rFonts w:ascii="Arial" w:eastAsia="Times New Roman" w:hAnsi="Arial" w:cs="Times New Roman"/>
      <w:sz w:val="16"/>
      <w:szCs w:val="16"/>
      <w:lang w:eastAsia="en-AU"/>
    </w:rPr>
  </w:style>
  <w:style w:type="paragraph" w:styleId="ListParagraph">
    <w:name w:val="List Paragraph"/>
    <w:basedOn w:val="Normal"/>
    <w:uiPriority w:val="34"/>
    <w:qFormat/>
    <w:rsid w:val="008E7AA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5048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48D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754CB9"/>
  </w:style>
  <w:style w:type="character" w:customStyle="1" w:styleId="Heading1Char">
    <w:name w:val="Heading 1 Char"/>
    <w:basedOn w:val="DefaultParagraphFont"/>
    <w:link w:val="Heading1"/>
    <w:uiPriority w:val="9"/>
    <w:rsid w:val="00531298"/>
    <w:rPr>
      <w:rFonts w:ascii="Arial" w:hAnsi="Arial" w:cs="Arial"/>
      <w:b/>
      <w:sz w:val="19"/>
      <w:szCs w:val="19"/>
    </w:rPr>
  </w:style>
  <w:style w:type="character" w:styleId="Emphasis">
    <w:name w:val="Emphasis"/>
    <w:basedOn w:val="DefaultParagraphFont"/>
    <w:uiPriority w:val="20"/>
    <w:qFormat/>
    <w:rsid w:val="00D33537"/>
    <w:rPr>
      <w:i/>
      <w:iCs/>
      <w:color w:val="auto"/>
    </w:rPr>
  </w:style>
  <w:style w:type="character" w:customStyle="1" w:styleId="ACMABodyTextChar1">
    <w:name w:val="ACMA Body Text Char1"/>
    <w:basedOn w:val="DefaultParagraphFont"/>
    <w:link w:val="ACMABodyText"/>
    <w:rsid w:val="009066A8"/>
    <w:rPr>
      <w:rFonts w:ascii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20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5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1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E2340547FAB445AD8BF03BE8D7D471" ma:contentTypeVersion="6" ma:contentTypeDescription="Create a new document." ma:contentTypeScope="" ma:versionID="78be941eded01edea086d18b2bd06645">
  <xsd:schema xmlns:xsd="http://www.w3.org/2001/XMLSchema" xmlns:xs="http://www.w3.org/2001/XMLSchema" xmlns:p="http://schemas.microsoft.com/office/2006/metadata/properties" xmlns:ns2="544c9cba-c354-40af-b1ac-14745551a1f7" xmlns:ns3="3e7efae7-2842-4a60-bcbb-34e466379ff1" targetNamespace="http://schemas.microsoft.com/office/2006/metadata/properties" ma:root="true" ma:fieldsID="c8414b6a4308c208e658ce9fe121cb36" ns2:_="" ns3:_="">
    <xsd:import namespace="544c9cba-c354-40af-b1ac-14745551a1f7"/>
    <xsd:import namespace="3e7efae7-2842-4a60-bcbb-34e466379f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c9cba-c354-40af-b1ac-14745551a1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efae7-2842-4a60-bcbb-34e466379ff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04BC2-1342-4031-87A3-88737B03C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FEB40-C400-4412-A099-BE4919AFC6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06E7F4-96B6-4314-8789-241556A9AD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c9cba-c354-40af-b1ac-14745551a1f7"/>
    <ds:schemaRef ds:uri="3e7efae7-2842-4a60-bcbb-34e466379f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E79F0F-37F6-445E-82FB-70BDFBD54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2015</Words>
  <Characters>10729</Characters>
  <Application>Microsoft Office Word</Application>
  <DocSecurity>0</DocSecurity>
  <Lines>181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Communications and Media Authority</Company>
  <LinksUpToDate>false</LinksUpToDate>
  <CharactersWithSpaces>12727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PSanderc</dc:creator>
  <cp:keywords/>
  <cp:lastModifiedBy>Graeme McDonald</cp:lastModifiedBy>
  <cp:revision>7</cp:revision>
  <cp:lastPrinted>2011-05-26T21:02:00Z</cp:lastPrinted>
  <dcterms:created xsi:type="dcterms:W3CDTF">2025-03-18T03:04:00Z</dcterms:created>
  <dcterms:modified xsi:type="dcterms:W3CDTF">2025-03-19T01:17:00Z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270e46fb-ab1b-47db-aa00-5cb8dc6c293d</vt:lpwstr>
  </property>
  <property fmtid="{D5CDD505-2E9C-101B-9397-08002B2CF9AE}" pid="3" name="ContentTypeId">
    <vt:lpwstr>0x010100D3E2340547FAB445AD8BF03BE8D7D471</vt:lpwstr>
  </property>
  <property fmtid="{D5CDD505-2E9C-101B-9397-08002B2CF9AE}" pid="4" name="RecordPoint_SubmissionDate">
    <vt:lpwstr/>
  </property>
  <property fmtid="{D5CDD505-2E9C-101B-9397-08002B2CF9AE}" pid="5" name="RecordPoint_ActiveItemSiteId">
    <vt:lpwstr>{7ba5f3c1-1ab9-4cc3-a7c0-334d2b0aec73}</vt:lpwstr>
  </property>
  <property fmtid="{D5CDD505-2E9C-101B-9397-08002B2CF9AE}" pid="6" name="RecordPoint_ActiveItemListId">
    <vt:lpwstr>{f1c3c3d6-c421-46f6-a621-f79f6b29635f}</vt:lpwstr>
  </property>
  <property fmtid="{D5CDD505-2E9C-101B-9397-08002B2CF9AE}" pid="7" name="RecordPoint_RecordFormat">
    <vt:lpwstr/>
  </property>
  <property fmtid="{D5CDD505-2E9C-101B-9397-08002B2CF9AE}" pid="8" name="RecordPoint_ActiveItemUniqueId">
    <vt:lpwstr>{270e46fb-ab1b-47db-aa00-5cb8dc6c293d}</vt:lpwstr>
  </property>
  <property fmtid="{D5CDD505-2E9C-101B-9397-08002B2CF9AE}" pid="9" name="RecordPoint_SubmissionCompleted">
    <vt:lpwstr>2015-06-18T15:28:28.6608374+10:00</vt:lpwstr>
  </property>
  <property fmtid="{D5CDD505-2E9C-101B-9397-08002B2CF9AE}" pid="10" name="RecordPoint_ActiveItemMoved">
    <vt:lpwstr/>
  </property>
  <property fmtid="{D5CDD505-2E9C-101B-9397-08002B2CF9AE}" pid="11" name="RecordPoint_ActiveItemWebId">
    <vt:lpwstr>{e61cc4da-a431-400f-9f48-bf2ba12a7e9a}</vt:lpwstr>
  </property>
  <property fmtid="{D5CDD505-2E9C-101B-9397-08002B2CF9AE}" pid="12" name="RecordPoint_WorkflowType">
    <vt:lpwstr>ActiveSubmitStub</vt:lpwstr>
  </property>
</Properties>
</file>