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Default="00FC6D88" w:rsidP="00E2168B">
      <w:pPr>
        <w:spacing w:before="280" w:after="240"/>
        <w:rPr>
          <w:b/>
          <w:sz w:val="32"/>
          <w:szCs w:val="32"/>
        </w:rPr>
      </w:pP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D56313" w:rsidRDefault="00955175" w:rsidP="00955175">
      <w:pPr>
        <w:pStyle w:val="LI-Title"/>
        <w:pBdr>
          <w:top w:val="none" w:sz="0" w:space="0" w:color="auto"/>
        </w:pBdr>
        <w:jc w:val="center"/>
      </w:pPr>
      <w:r w:rsidRPr="00D56313">
        <w:t>Explanatory Statement</w:t>
      </w:r>
    </w:p>
    <w:p w14:paraId="54F0DD85" w14:textId="77777777" w:rsidR="00955175" w:rsidRPr="00D56313" w:rsidRDefault="00955175" w:rsidP="00955175">
      <w:pPr>
        <w:rPr>
          <w:lang w:eastAsia="en-AU"/>
        </w:rPr>
      </w:pPr>
    </w:p>
    <w:p w14:paraId="376F21CA" w14:textId="3EEF333A" w:rsidR="00C4170B" w:rsidRPr="00D56313" w:rsidRDefault="0073021E" w:rsidP="00C4170B">
      <w:pPr>
        <w:jc w:val="center"/>
        <w:rPr>
          <w:b/>
          <w:i/>
          <w:sz w:val="28"/>
          <w:szCs w:val="28"/>
          <w:lang w:eastAsia="en-AU"/>
        </w:rPr>
      </w:pPr>
      <w:r w:rsidRPr="00D56313">
        <w:rPr>
          <w:b/>
          <w:i/>
          <w:sz w:val="28"/>
          <w:szCs w:val="28"/>
          <w:lang w:eastAsia="en-AU"/>
        </w:rPr>
        <w:t>ASIC Corporations (Employee Incentive Schemes</w:t>
      </w:r>
      <w:r w:rsidR="00574744" w:rsidRPr="00D56313">
        <w:rPr>
          <w:i/>
          <w:szCs w:val="24"/>
        </w:rPr>
        <w:t>—</w:t>
      </w:r>
      <w:r w:rsidRPr="00D56313">
        <w:rPr>
          <w:b/>
          <w:i/>
          <w:sz w:val="28"/>
          <w:szCs w:val="28"/>
          <w:lang w:eastAsia="en-AU"/>
        </w:rPr>
        <w:t>Ongoing Relief) Instrument 2025/</w:t>
      </w:r>
      <w:r w:rsidR="005E4EB3" w:rsidRPr="00D56313">
        <w:rPr>
          <w:b/>
          <w:i/>
          <w:sz w:val="28"/>
          <w:szCs w:val="28"/>
          <w:lang w:eastAsia="en-AU"/>
        </w:rPr>
        <w:t>169</w:t>
      </w:r>
    </w:p>
    <w:p w14:paraId="3D70207E" w14:textId="1CE4E1C8" w:rsidR="00863657" w:rsidRPr="00D56313" w:rsidRDefault="00F800C9" w:rsidP="00F800C9">
      <w:pPr>
        <w:pStyle w:val="LI-BodyTextParaa"/>
        <w:ind w:left="0" w:firstLine="0"/>
      </w:pPr>
      <w:bookmarkStart w:id="0" w:name="BK_S3P1L1C1"/>
      <w:bookmarkEnd w:id="0"/>
      <w:r w:rsidRPr="00D56313">
        <w:t xml:space="preserve">This is the Explanatory Statement for </w:t>
      </w:r>
      <w:r w:rsidR="0073021E" w:rsidRPr="00D56313">
        <w:rPr>
          <w:i/>
          <w:iCs/>
        </w:rPr>
        <w:t>ASIC Corporations (Employee Incentive Schemes</w:t>
      </w:r>
      <w:r w:rsidR="00574744" w:rsidRPr="00D56313">
        <w:rPr>
          <w:i/>
        </w:rPr>
        <w:t>—</w:t>
      </w:r>
      <w:r w:rsidR="0073021E" w:rsidRPr="00D56313">
        <w:rPr>
          <w:i/>
          <w:iCs/>
        </w:rPr>
        <w:t>Ongoing Relief) Instrument 2025/</w:t>
      </w:r>
      <w:r w:rsidR="005E4EB3" w:rsidRPr="00D56313">
        <w:rPr>
          <w:i/>
          <w:iCs/>
        </w:rPr>
        <w:t>169</w:t>
      </w:r>
      <w:r w:rsidR="0073021E" w:rsidRPr="00D56313">
        <w:t>.</w:t>
      </w:r>
    </w:p>
    <w:p w14:paraId="119B6103" w14:textId="77777777" w:rsidR="00F800C9" w:rsidRPr="00D56313" w:rsidRDefault="00863657" w:rsidP="00F800C9">
      <w:pPr>
        <w:pStyle w:val="LI-BodyTextParaa"/>
        <w:ind w:left="0" w:firstLine="0"/>
      </w:pPr>
      <w:r w:rsidRPr="00D56313">
        <w:t>Th</w:t>
      </w:r>
      <w:r w:rsidR="00F800C9" w:rsidRPr="00D56313">
        <w:t>e</w:t>
      </w:r>
      <w:r w:rsidRPr="00D56313">
        <w:t xml:space="preserve"> </w:t>
      </w:r>
      <w:r w:rsidR="00F800C9" w:rsidRPr="00D56313">
        <w:t>Explanatory Statement is approved by the Australian Securities and Investments Commission (</w:t>
      </w:r>
      <w:r w:rsidR="00F800C9" w:rsidRPr="00D56313">
        <w:rPr>
          <w:b/>
          <w:i/>
        </w:rPr>
        <w:t>ASIC</w:t>
      </w:r>
      <w:r w:rsidR="00F800C9" w:rsidRPr="00D56313">
        <w:t>).</w:t>
      </w:r>
    </w:p>
    <w:p w14:paraId="10E55E66" w14:textId="77777777" w:rsidR="00F800C9" w:rsidRPr="00D56313" w:rsidRDefault="005D1FEA" w:rsidP="006D6079">
      <w:pPr>
        <w:pStyle w:val="LI-BodyTextNumbered"/>
        <w:keepNext/>
        <w:ind w:left="0" w:firstLine="0"/>
        <w:rPr>
          <w:b/>
        </w:rPr>
      </w:pPr>
      <w:r w:rsidRPr="00D56313">
        <w:rPr>
          <w:b/>
        </w:rPr>
        <w:t>Summary</w:t>
      </w:r>
    </w:p>
    <w:p w14:paraId="4A632C45" w14:textId="097B3024" w:rsidR="00F800C9" w:rsidRPr="00D56313" w:rsidRDefault="00F800C9" w:rsidP="00F800C9">
      <w:pPr>
        <w:pStyle w:val="LI-BodyTextParaa"/>
        <w:ind w:left="567"/>
        <w:rPr>
          <w:bCs/>
        </w:rPr>
      </w:pPr>
      <w:r w:rsidRPr="00D56313">
        <w:t>1</w:t>
      </w:r>
      <w:r w:rsidR="005D1FEA" w:rsidRPr="00D56313">
        <w:t>.</w:t>
      </w:r>
      <w:r w:rsidRPr="00D56313">
        <w:tab/>
      </w:r>
      <w:r w:rsidR="00A20A4F" w:rsidRPr="00D56313">
        <w:t xml:space="preserve">We are making </w:t>
      </w:r>
      <w:r w:rsidR="00150F49" w:rsidRPr="00D56313">
        <w:rPr>
          <w:i/>
          <w:iCs/>
        </w:rPr>
        <w:t>ASIC Corporations (Employee Incentive Schemes</w:t>
      </w:r>
      <w:r w:rsidR="00DC4BF5" w:rsidRPr="00D56313">
        <w:rPr>
          <w:i/>
        </w:rPr>
        <w:t>—</w:t>
      </w:r>
      <w:r w:rsidR="00150F49" w:rsidRPr="00D56313">
        <w:rPr>
          <w:i/>
          <w:iCs/>
        </w:rPr>
        <w:t>Ongoing Relief) Instrument 2025/</w:t>
      </w:r>
      <w:r w:rsidR="005E4EB3" w:rsidRPr="00D56313">
        <w:rPr>
          <w:i/>
          <w:iCs/>
        </w:rPr>
        <w:t>169</w:t>
      </w:r>
      <w:r w:rsidR="00FE103B" w:rsidRPr="00D56313">
        <w:t xml:space="preserve"> </w:t>
      </w:r>
      <w:r w:rsidR="000B61E1" w:rsidRPr="00D56313">
        <w:t>(</w:t>
      </w:r>
      <w:r w:rsidR="000B61E1" w:rsidRPr="00D56313">
        <w:rPr>
          <w:b/>
          <w:bCs/>
        </w:rPr>
        <w:t>Instrument</w:t>
      </w:r>
      <w:r w:rsidR="000B61E1" w:rsidRPr="00D56313">
        <w:t xml:space="preserve">) </w:t>
      </w:r>
      <w:r w:rsidR="00FE103B" w:rsidRPr="00D56313">
        <w:t xml:space="preserve">to assist entities that </w:t>
      </w:r>
      <w:r w:rsidR="00170C92" w:rsidRPr="00D56313">
        <w:t>have obligations in relation to employee incentive schemes</w:t>
      </w:r>
      <w:r w:rsidR="00261487" w:rsidRPr="00D56313">
        <w:t xml:space="preserve"> </w:t>
      </w:r>
      <w:r w:rsidR="00755E1E" w:rsidRPr="00D56313">
        <w:t>(</w:t>
      </w:r>
      <w:r w:rsidR="00755E1E" w:rsidRPr="00D56313">
        <w:rPr>
          <w:b/>
          <w:bCs/>
        </w:rPr>
        <w:t>legacy schemes</w:t>
      </w:r>
      <w:r w:rsidR="00755E1E" w:rsidRPr="00D56313">
        <w:t xml:space="preserve">) </w:t>
      </w:r>
      <w:r w:rsidR="00170C92" w:rsidRPr="00D56313">
        <w:t xml:space="preserve">that were established </w:t>
      </w:r>
      <w:r w:rsidR="00755E1E" w:rsidRPr="00D56313">
        <w:t xml:space="preserve">in reliance on </w:t>
      </w:r>
      <w:r w:rsidR="0028393C" w:rsidRPr="00D56313">
        <w:t>Class Order [CO 14/1000] </w:t>
      </w:r>
      <w:r w:rsidR="0028393C" w:rsidRPr="00D56313">
        <w:rPr>
          <w:i/>
          <w:iCs/>
        </w:rPr>
        <w:t>Employee incentive schemes: Listed bodies</w:t>
      </w:r>
      <w:r w:rsidR="0028393C" w:rsidRPr="00D56313">
        <w:t> and Class Order [CO 14/1001] </w:t>
      </w:r>
      <w:r w:rsidR="0028393C" w:rsidRPr="00D56313">
        <w:rPr>
          <w:i/>
          <w:iCs/>
        </w:rPr>
        <w:t>Employee incentive schemes: Unlisted bodies</w:t>
      </w:r>
      <w:r w:rsidR="0028393C" w:rsidRPr="00D56313">
        <w:t> (</w:t>
      </w:r>
      <w:r w:rsidR="0028393C" w:rsidRPr="00D56313">
        <w:rPr>
          <w:b/>
          <w:bCs/>
        </w:rPr>
        <w:t>EIS class orders</w:t>
      </w:r>
      <w:r w:rsidR="0028393C" w:rsidRPr="00D56313">
        <w:t>)</w:t>
      </w:r>
    </w:p>
    <w:p w14:paraId="59A63C44" w14:textId="77777777" w:rsidR="005D1FEA" w:rsidRPr="00D56313" w:rsidRDefault="005D1FEA" w:rsidP="006D6079">
      <w:pPr>
        <w:pStyle w:val="LI-BodyTextNumbered"/>
        <w:keepNext/>
        <w:ind w:left="0" w:firstLine="0"/>
        <w:rPr>
          <w:b/>
        </w:rPr>
      </w:pPr>
      <w:r w:rsidRPr="00D56313">
        <w:rPr>
          <w:b/>
        </w:rPr>
        <w:t>Purpose of the instrument</w:t>
      </w:r>
    </w:p>
    <w:p w14:paraId="7A1AC13E" w14:textId="1FA8A16E" w:rsidR="00261487" w:rsidRPr="00D56313" w:rsidRDefault="00863657" w:rsidP="005D1FEA">
      <w:pPr>
        <w:pStyle w:val="LI-BodyTextParaa"/>
        <w:ind w:left="567"/>
      </w:pPr>
      <w:r w:rsidRPr="00D56313">
        <w:t>2</w:t>
      </w:r>
      <w:r w:rsidR="00F03BB5" w:rsidRPr="00D56313">
        <w:t>.</w:t>
      </w:r>
      <w:r w:rsidR="005D1FEA" w:rsidRPr="00D56313">
        <w:tab/>
      </w:r>
      <w:r w:rsidR="004A3F99" w:rsidRPr="00D56313">
        <w:t xml:space="preserve">Since 1 October 2022, the </w:t>
      </w:r>
      <w:r w:rsidR="000849CF" w:rsidRPr="00D56313">
        <w:rPr>
          <w:i/>
          <w:iCs/>
        </w:rPr>
        <w:t xml:space="preserve">Corporations </w:t>
      </w:r>
      <w:r w:rsidR="004A3F99" w:rsidRPr="00D56313">
        <w:rPr>
          <w:i/>
          <w:iCs/>
        </w:rPr>
        <w:t>Act</w:t>
      </w:r>
      <w:r w:rsidR="000849CF" w:rsidRPr="00D56313">
        <w:rPr>
          <w:i/>
          <w:iCs/>
        </w:rPr>
        <w:t xml:space="preserve"> 2001</w:t>
      </w:r>
      <w:r w:rsidR="000849CF" w:rsidRPr="00D56313">
        <w:t xml:space="preserve"> (</w:t>
      </w:r>
      <w:r w:rsidR="000849CF" w:rsidRPr="00D56313">
        <w:rPr>
          <w:b/>
          <w:bCs/>
        </w:rPr>
        <w:t>Act</w:t>
      </w:r>
      <w:r w:rsidR="000849CF" w:rsidRPr="00D56313">
        <w:t>)</w:t>
      </w:r>
      <w:r w:rsidR="004A3F99" w:rsidRPr="00D56313">
        <w:t xml:space="preserve"> has </w:t>
      </w:r>
      <w:r w:rsidR="00A03FB4" w:rsidRPr="00D56313">
        <w:t xml:space="preserve">provided </w:t>
      </w:r>
      <w:r w:rsidR="004A3F99" w:rsidRPr="00D56313">
        <w:t xml:space="preserve">broad exemptions </w:t>
      </w:r>
      <w:r w:rsidR="00A20B6F" w:rsidRPr="00D56313">
        <w:t>for offers of financial products to employees and other employee share scheme participants</w:t>
      </w:r>
      <w:r w:rsidR="000849CF" w:rsidRPr="00D56313">
        <w:t xml:space="preserve">: Div 1A, Pt 7.12 </w:t>
      </w:r>
      <w:r w:rsidR="00202148" w:rsidRPr="00D56313">
        <w:t>(</w:t>
      </w:r>
      <w:r w:rsidR="00202148" w:rsidRPr="00D56313">
        <w:rPr>
          <w:b/>
          <w:bCs/>
        </w:rPr>
        <w:t>ESS provisions</w:t>
      </w:r>
      <w:r w:rsidR="00202148" w:rsidRPr="00D56313">
        <w:t>)</w:t>
      </w:r>
      <w:r w:rsidR="00A20B6F" w:rsidRPr="00D56313">
        <w:t>. The ESS provisions replaced similar relief in the EIS class order</w:t>
      </w:r>
      <w:r w:rsidR="006903D7" w:rsidRPr="00D56313">
        <w:t>s</w:t>
      </w:r>
      <w:r w:rsidR="00CD0A5E" w:rsidRPr="00D56313">
        <w:t xml:space="preserve"> and m</w:t>
      </w:r>
      <w:r w:rsidR="009A27BF" w:rsidRPr="00D56313">
        <w:t xml:space="preserve">ost </w:t>
      </w:r>
      <w:r w:rsidR="00BF0B80" w:rsidRPr="00D56313">
        <w:t>entities</w:t>
      </w:r>
      <w:r w:rsidR="0016525A" w:rsidRPr="00D56313">
        <w:t xml:space="preserve"> now</w:t>
      </w:r>
      <w:r w:rsidR="00BF0B80" w:rsidRPr="00D56313">
        <w:t xml:space="preserve"> operate their </w:t>
      </w:r>
      <w:r w:rsidR="009A27BF" w:rsidRPr="00D56313">
        <w:t>employee share schemes in Australia under the</w:t>
      </w:r>
      <w:r w:rsidR="00210CC1" w:rsidRPr="00D56313">
        <w:t xml:space="preserve"> Act</w:t>
      </w:r>
      <w:r w:rsidR="00261487" w:rsidRPr="00D56313">
        <w:t xml:space="preserve">. </w:t>
      </w:r>
    </w:p>
    <w:p w14:paraId="4C0438F4" w14:textId="74DF1DFA" w:rsidR="006903D7" w:rsidRPr="00D56313" w:rsidRDefault="00261487" w:rsidP="005B78C5">
      <w:pPr>
        <w:pStyle w:val="LI-BodyTextParaa"/>
        <w:ind w:left="567"/>
      </w:pPr>
      <w:r w:rsidRPr="00D56313">
        <w:t>3.</w:t>
      </w:r>
      <w:r w:rsidRPr="00D56313">
        <w:tab/>
      </w:r>
      <w:r w:rsidR="00611C47" w:rsidRPr="00D56313">
        <w:t xml:space="preserve">The EIS class orders </w:t>
      </w:r>
      <w:r w:rsidR="009247AB" w:rsidRPr="00D56313">
        <w:t xml:space="preserve">and related </w:t>
      </w:r>
      <w:r w:rsidR="00A901D4" w:rsidRPr="00D56313">
        <w:rPr>
          <w:rFonts w:ascii="Tahoma" w:eastAsia="Calibri" w:hAnsi="Tahoma" w:cs="Tahoma"/>
          <w:color w:val="253746"/>
          <w:sz w:val="22"/>
          <w:szCs w:val="20"/>
          <w:shd w:val="clear" w:color="auto" w:fill="FFFFFF"/>
          <w:lang w:eastAsia="en-US"/>
        </w:rPr>
        <w:t> </w:t>
      </w:r>
      <w:r w:rsidR="00A901D4" w:rsidRPr="00D56313">
        <w:t>Class Order</w:t>
      </w:r>
      <w:r w:rsidR="00A901D4" w:rsidRPr="00D56313">
        <w:rPr>
          <w:rFonts w:ascii="Tahoma" w:eastAsia="Calibri" w:hAnsi="Tahoma" w:cs="Tahoma"/>
          <w:color w:val="253746"/>
          <w:sz w:val="22"/>
          <w:szCs w:val="20"/>
          <w:shd w:val="clear" w:color="auto" w:fill="FFFFFF"/>
          <w:lang w:eastAsia="en-US"/>
        </w:rPr>
        <w:t xml:space="preserve"> [</w:t>
      </w:r>
      <w:r w:rsidR="00A901D4" w:rsidRPr="00D56313">
        <w:t>CO 14/978</w:t>
      </w:r>
      <w:r w:rsidR="00A901D4" w:rsidRPr="00D56313">
        <w:rPr>
          <w:rFonts w:ascii="Tahoma" w:eastAsia="Calibri" w:hAnsi="Tahoma" w:cs="Tahoma"/>
          <w:color w:val="253746"/>
          <w:sz w:val="22"/>
          <w:szCs w:val="20"/>
          <w:shd w:val="clear" w:color="auto" w:fill="FFFFFF"/>
          <w:lang w:eastAsia="en-US"/>
        </w:rPr>
        <w:t>] </w:t>
      </w:r>
      <w:r w:rsidR="00A901D4" w:rsidRPr="00D56313">
        <w:rPr>
          <w:i/>
          <w:iCs/>
        </w:rPr>
        <w:t xml:space="preserve">Employee incentive schemes: Personal offers  </w:t>
      </w:r>
      <w:r w:rsidR="005E4EB3" w:rsidRPr="00D56313">
        <w:t>were repealed by ASIC Corporations (Repeal) Instrument 2025/170 before their expiry on</w:t>
      </w:r>
      <w:r w:rsidR="00611C47" w:rsidRPr="00D56313">
        <w:t xml:space="preserve"> 1 April </w:t>
      </w:r>
      <w:r w:rsidR="009247AB" w:rsidRPr="00D56313">
        <w:t>2025 under s</w:t>
      </w:r>
      <w:r w:rsidR="00776D54" w:rsidRPr="00D56313">
        <w:t xml:space="preserve">ection </w:t>
      </w:r>
      <w:r w:rsidR="009247AB" w:rsidRPr="00D56313">
        <w:t xml:space="preserve">50 of the </w:t>
      </w:r>
      <w:r w:rsidR="009247AB" w:rsidRPr="00D56313">
        <w:rPr>
          <w:i/>
          <w:iCs/>
        </w:rPr>
        <w:t>Legislation Act 2003</w:t>
      </w:r>
      <w:r w:rsidR="00C94666" w:rsidRPr="00D56313">
        <w:t>. T</w:t>
      </w:r>
      <w:r w:rsidR="009247AB" w:rsidRPr="00D56313">
        <w:t>he Instrument</w:t>
      </w:r>
      <w:r w:rsidR="00C94666" w:rsidRPr="00D56313">
        <w:t xml:space="preserve"> combines the three class orders and provides </w:t>
      </w:r>
      <w:r w:rsidR="00592409" w:rsidRPr="00D56313">
        <w:t>relief</w:t>
      </w:r>
      <w:r w:rsidR="000C1E73" w:rsidRPr="00D56313">
        <w:t xml:space="preserve"> to assist entities </w:t>
      </w:r>
      <w:r w:rsidR="00547E5F" w:rsidRPr="00D56313">
        <w:t>with their obligations under legacy schemes</w:t>
      </w:r>
      <w:r w:rsidR="00624316" w:rsidRPr="00D56313">
        <w:t>.</w:t>
      </w:r>
    </w:p>
    <w:p w14:paraId="3FEFE29E" w14:textId="77777777" w:rsidR="009A3F74" w:rsidRPr="00D56313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 w:rsidRPr="00D56313">
        <w:rPr>
          <w:b/>
        </w:rPr>
        <w:t>Consultation</w:t>
      </w:r>
    </w:p>
    <w:p w14:paraId="70D595B2" w14:textId="088678CF" w:rsidR="009A3F74" w:rsidRPr="00D56313" w:rsidRDefault="00604A4E" w:rsidP="009A3F74">
      <w:pPr>
        <w:pStyle w:val="LI-BodyTextParaa"/>
        <w:ind w:left="567"/>
        <w:rPr>
          <w:bCs/>
        </w:rPr>
      </w:pPr>
      <w:r w:rsidRPr="00D56313">
        <w:t>4</w:t>
      </w:r>
      <w:r w:rsidR="009A3F74" w:rsidRPr="00D56313">
        <w:t>.</w:t>
      </w:r>
      <w:r w:rsidR="009A3F74" w:rsidRPr="00D56313">
        <w:tab/>
      </w:r>
      <w:r w:rsidR="00497A19" w:rsidRPr="00D56313">
        <w:t xml:space="preserve">ASIC </w:t>
      </w:r>
      <w:r w:rsidR="00103BB9" w:rsidRPr="00D56313">
        <w:t xml:space="preserve">did targeted consultation with </w:t>
      </w:r>
      <w:r w:rsidR="00226ECF" w:rsidRPr="00D56313">
        <w:t>lawyers who advise on employee incentive schemes and received technical feedback that was incorporated in</w:t>
      </w:r>
      <w:r w:rsidR="00F80A5E" w:rsidRPr="00D56313">
        <w:t>to the Instrument</w:t>
      </w:r>
      <w:r w:rsidR="00226ECF" w:rsidRPr="00D56313">
        <w:t xml:space="preserve">. We also </w:t>
      </w:r>
      <w:r w:rsidR="00893478" w:rsidRPr="00D56313">
        <w:t xml:space="preserve">publicly consulted </w:t>
      </w:r>
      <w:r w:rsidR="00226ECF" w:rsidRPr="00D56313">
        <w:t xml:space="preserve">through a </w:t>
      </w:r>
      <w:r w:rsidR="00F37D2B" w:rsidRPr="00D56313">
        <w:t xml:space="preserve">simple consultation </w:t>
      </w:r>
      <w:r w:rsidR="005C21E5" w:rsidRPr="00D56313">
        <w:t>published on 20 January 2025</w:t>
      </w:r>
      <w:r w:rsidR="00081C9D" w:rsidRPr="00D56313">
        <w:t xml:space="preserve">: CS 14 </w:t>
      </w:r>
      <w:r w:rsidR="00081C9D" w:rsidRPr="00D56313">
        <w:rPr>
          <w:i/>
          <w:iCs/>
        </w:rPr>
        <w:t>Proposed remake of relief for employee incentive schemes</w:t>
      </w:r>
      <w:r w:rsidR="00081C9D" w:rsidRPr="00D56313">
        <w:t>.</w:t>
      </w:r>
      <w:r w:rsidR="00CA6C93" w:rsidRPr="00D56313">
        <w:t xml:space="preserve"> We received </w:t>
      </w:r>
      <w:r w:rsidR="005E4EB3" w:rsidRPr="00D56313">
        <w:t>one</w:t>
      </w:r>
      <w:r w:rsidR="00CA6C93" w:rsidRPr="00D56313">
        <w:t xml:space="preserve"> submission in response to CS 14, which supported our proposal to provide ongoing relief for legacy schemes.</w:t>
      </w:r>
    </w:p>
    <w:p w14:paraId="4CDCC6BF" w14:textId="63BBEF41" w:rsidR="005D1FEA" w:rsidRPr="00D56313" w:rsidRDefault="005D1FEA" w:rsidP="006D6079">
      <w:pPr>
        <w:pStyle w:val="LI-BodyTextNumbered"/>
        <w:keepNext/>
        <w:ind w:left="0" w:firstLine="0"/>
        <w:rPr>
          <w:b/>
        </w:rPr>
      </w:pPr>
      <w:r w:rsidRPr="00D56313">
        <w:rPr>
          <w:b/>
        </w:rPr>
        <w:lastRenderedPageBreak/>
        <w:t xml:space="preserve">Operation of the </w:t>
      </w:r>
      <w:r w:rsidR="002A54E5" w:rsidRPr="00D56313">
        <w:rPr>
          <w:b/>
        </w:rPr>
        <w:t>I</w:t>
      </w:r>
      <w:r w:rsidRPr="00D56313">
        <w:rPr>
          <w:b/>
        </w:rPr>
        <w:t>nstrument</w:t>
      </w:r>
    </w:p>
    <w:p w14:paraId="00068B67" w14:textId="15ACB69E" w:rsidR="006B2A7C" w:rsidRPr="00D56313" w:rsidRDefault="006B2A7C" w:rsidP="005D1FEA">
      <w:pPr>
        <w:pStyle w:val="LI-BodyTextParaa"/>
        <w:ind w:left="567"/>
        <w:rPr>
          <w:b/>
          <w:bCs/>
          <w:i/>
          <w:iCs/>
        </w:rPr>
      </w:pPr>
      <w:r w:rsidRPr="00D56313">
        <w:rPr>
          <w:b/>
          <w:bCs/>
          <w:i/>
          <w:iCs/>
        </w:rPr>
        <w:t>Part 1 of the Instrument</w:t>
      </w:r>
      <w:r w:rsidR="00314D74" w:rsidRPr="00D56313">
        <w:rPr>
          <w:b/>
          <w:bCs/>
          <w:i/>
          <w:iCs/>
        </w:rPr>
        <w:t xml:space="preserve"> – commencement and definitions</w:t>
      </w:r>
    </w:p>
    <w:p w14:paraId="364CF91A" w14:textId="398A3500" w:rsidR="00314D74" w:rsidRPr="00D56313" w:rsidRDefault="00604A4E" w:rsidP="00F216DF">
      <w:pPr>
        <w:pStyle w:val="LI-BodyTextParaa"/>
        <w:ind w:left="567"/>
      </w:pPr>
      <w:r w:rsidRPr="00D56313">
        <w:t>5</w:t>
      </w:r>
      <w:r w:rsidR="00F62272" w:rsidRPr="00D56313">
        <w:t>.</w:t>
      </w:r>
      <w:r w:rsidR="00A56ED8" w:rsidRPr="00D56313">
        <w:tab/>
        <w:t>The Instrument commences on the day after it is registered on the Federal Register of Legislation</w:t>
      </w:r>
      <w:r w:rsidR="00BF59CD" w:rsidRPr="00D56313">
        <w:t xml:space="preserve">: </w:t>
      </w:r>
      <w:r w:rsidR="00B12441" w:rsidRPr="00D56313">
        <w:t>section</w:t>
      </w:r>
      <w:r w:rsidR="00BF59CD" w:rsidRPr="00D56313">
        <w:t xml:space="preserve"> 2.</w:t>
      </w:r>
    </w:p>
    <w:p w14:paraId="5D909CE1" w14:textId="50A3F130" w:rsidR="0047600E" w:rsidRPr="00D56313" w:rsidRDefault="00604A4E" w:rsidP="00F216DF">
      <w:pPr>
        <w:pStyle w:val="LI-BodyTextParaa"/>
        <w:ind w:left="567"/>
      </w:pPr>
      <w:r w:rsidRPr="00D56313">
        <w:t>6</w:t>
      </w:r>
      <w:r w:rsidR="00BF59CD" w:rsidRPr="00D56313">
        <w:t>.</w:t>
      </w:r>
      <w:r w:rsidR="00BF59CD" w:rsidRPr="00D56313">
        <w:tab/>
      </w:r>
      <w:r w:rsidR="00B12441" w:rsidRPr="00D56313">
        <w:t>Section</w:t>
      </w:r>
      <w:r w:rsidR="00F62272" w:rsidRPr="00D56313">
        <w:t xml:space="preserve"> of the Instrument contains definitions</w:t>
      </w:r>
      <w:r w:rsidR="00086BD8" w:rsidRPr="00D56313">
        <w:t>. The definitions are similar to definitions that were contained in the EIS class orders</w:t>
      </w:r>
      <w:r w:rsidR="00C32784" w:rsidRPr="00D56313">
        <w:t xml:space="preserve">, with </w:t>
      </w:r>
      <w:r w:rsidR="00725944" w:rsidRPr="00D56313">
        <w:t xml:space="preserve">some </w:t>
      </w:r>
      <w:r w:rsidR="00C32784" w:rsidRPr="00D56313">
        <w:t>changes to reflect</w:t>
      </w:r>
      <w:r w:rsidR="00AC76BE" w:rsidRPr="00D56313">
        <w:t xml:space="preserve"> the fact</w:t>
      </w:r>
      <w:r w:rsidR="00C32784" w:rsidRPr="00D56313">
        <w:t xml:space="preserve"> that th</w:t>
      </w:r>
      <w:r w:rsidR="00E46925" w:rsidRPr="00D56313">
        <w:t>e</w:t>
      </w:r>
      <w:r w:rsidR="00C32784" w:rsidRPr="00D56313">
        <w:t xml:space="preserve"> Instrument replaces the class orders</w:t>
      </w:r>
      <w:r w:rsidR="00086BD8" w:rsidRPr="00D56313">
        <w:t>.</w:t>
      </w:r>
      <w:r w:rsidR="0047600E" w:rsidRPr="00D56313">
        <w:t xml:space="preserve"> For example</w:t>
      </w:r>
      <w:r w:rsidR="00F216DF" w:rsidRPr="00D56313">
        <w:t xml:space="preserve">, </w:t>
      </w:r>
      <w:r w:rsidR="00880AD7" w:rsidRPr="00D56313">
        <w:rPr>
          <w:iCs/>
        </w:rPr>
        <w:t xml:space="preserve">employee incentive scheme is defined as an arrangement under which eligible products were offered to eligible participants under the EIS class orders or an individual instrument </w:t>
      </w:r>
      <w:r w:rsidR="00A9253F" w:rsidRPr="00D56313">
        <w:rPr>
          <w:iCs/>
        </w:rPr>
        <w:t>(</w:t>
      </w:r>
      <w:r w:rsidR="00A9253F" w:rsidRPr="00D56313">
        <w:rPr>
          <w:b/>
          <w:bCs/>
          <w:i/>
        </w:rPr>
        <w:t>individual instrument</w:t>
      </w:r>
      <w:r w:rsidR="00A9253F" w:rsidRPr="00D56313">
        <w:rPr>
          <w:iCs/>
        </w:rPr>
        <w:t xml:space="preserve">) </w:t>
      </w:r>
      <w:r w:rsidR="00880AD7" w:rsidRPr="00D56313">
        <w:rPr>
          <w:iCs/>
        </w:rPr>
        <w:t>that is not a legislative instrument but is on similar terms to the EIS class orders.</w:t>
      </w:r>
      <w:r w:rsidR="00886579" w:rsidRPr="00D56313">
        <w:rPr>
          <w:iCs/>
        </w:rPr>
        <w:t xml:space="preserve"> Th</w:t>
      </w:r>
      <w:r w:rsidR="00F82EFA" w:rsidRPr="00D56313">
        <w:rPr>
          <w:iCs/>
        </w:rPr>
        <w:t>e definition of employee incentive scheme</w:t>
      </w:r>
      <w:r w:rsidR="00886579" w:rsidRPr="00D56313">
        <w:rPr>
          <w:iCs/>
        </w:rPr>
        <w:t xml:space="preserve"> means that </w:t>
      </w:r>
      <w:r w:rsidR="00A9253F" w:rsidRPr="00D56313">
        <w:rPr>
          <w:iCs/>
        </w:rPr>
        <w:t xml:space="preserve">the Instrument continues to </w:t>
      </w:r>
      <w:r w:rsidR="00486B79" w:rsidRPr="00D56313">
        <w:rPr>
          <w:iCs/>
        </w:rPr>
        <w:t xml:space="preserve">support </w:t>
      </w:r>
      <w:r w:rsidR="00063CBA" w:rsidRPr="00D56313">
        <w:rPr>
          <w:iCs/>
        </w:rPr>
        <w:t xml:space="preserve">entities </w:t>
      </w:r>
      <w:r w:rsidR="00DA6A7C" w:rsidRPr="00D56313">
        <w:rPr>
          <w:iCs/>
        </w:rPr>
        <w:t>that</w:t>
      </w:r>
      <w:r w:rsidR="00063CBA" w:rsidRPr="00D56313">
        <w:rPr>
          <w:iCs/>
        </w:rPr>
        <w:t xml:space="preserve"> have an individual instrument </w:t>
      </w:r>
      <w:r w:rsidR="006558B1" w:rsidRPr="00D56313">
        <w:rPr>
          <w:iCs/>
        </w:rPr>
        <w:t>that relie</w:t>
      </w:r>
      <w:r w:rsidR="00D74595" w:rsidRPr="00D56313">
        <w:rPr>
          <w:iCs/>
        </w:rPr>
        <w:t>d</w:t>
      </w:r>
      <w:r w:rsidR="006558B1" w:rsidRPr="00D56313">
        <w:rPr>
          <w:iCs/>
        </w:rPr>
        <w:t xml:space="preserve"> on </w:t>
      </w:r>
      <w:r w:rsidR="00D74595" w:rsidRPr="00D56313">
        <w:rPr>
          <w:iCs/>
        </w:rPr>
        <w:t xml:space="preserve">the EIS class orders </w:t>
      </w:r>
      <w:r w:rsidR="004A7351" w:rsidRPr="00D56313">
        <w:rPr>
          <w:iCs/>
        </w:rPr>
        <w:t>for the activities of trustees and financial services licensees.</w:t>
      </w:r>
    </w:p>
    <w:p w14:paraId="13CAFBA1" w14:textId="5B22E2F2" w:rsidR="0048254A" w:rsidRPr="00D56313" w:rsidRDefault="00C10B2A" w:rsidP="005D1FEA">
      <w:pPr>
        <w:pStyle w:val="LI-BodyTextParaa"/>
        <w:ind w:left="567"/>
        <w:rPr>
          <w:b/>
          <w:bCs/>
          <w:i/>
          <w:iCs/>
        </w:rPr>
      </w:pPr>
      <w:r w:rsidRPr="00D56313">
        <w:rPr>
          <w:b/>
          <w:bCs/>
          <w:i/>
          <w:iCs/>
        </w:rPr>
        <w:t>Part 2</w:t>
      </w:r>
      <w:r w:rsidR="006B2A7C" w:rsidRPr="00D56313">
        <w:rPr>
          <w:b/>
          <w:bCs/>
          <w:i/>
          <w:iCs/>
        </w:rPr>
        <w:t xml:space="preserve"> of the Instrument</w:t>
      </w:r>
      <w:r w:rsidR="00314D74" w:rsidRPr="00D56313">
        <w:rPr>
          <w:b/>
          <w:bCs/>
          <w:i/>
          <w:iCs/>
        </w:rPr>
        <w:t xml:space="preserve"> – exemptions for legacy schemes</w:t>
      </w:r>
    </w:p>
    <w:p w14:paraId="368CE9D3" w14:textId="0542882E" w:rsidR="002A54E5" w:rsidRPr="00D56313" w:rsidRDefault="00604A4E" w:rsidP="005D1FEA">
      <w:pPr>
        <w:pStyle w:val="LI-BodyTextParaa"/>
        <w:ind w:left="567"/>
      </w:pPr>
      <w:r w:rsidRPr="00D56313">
        <w:t>7</w:t>
      </w:r>
      <w:r w:rsidR="0048254A" w:rsidRPr="00D56313">
        <w:t>.</w:t>
      </w:r>
      <w:r w:rsidR="0048254A" w:rsidRPr="00D56313">
        <w:tab/>
      </w:r>
      <w:r w:rsidR="000C123C" w:rsidRPr="00D56313">
        <w:t>Pa</w:t>
      </w:r>
      <w:r w:rsidR="00B32EFA" w:rsidRPr="00D56313">
        <w:t>rt 2</w:t>
      </w:r>
      <w:r w:rsidR="000C123C" w:rsidRPr="00D56313">
        <w:t xml:space="preserve"> of t</w:t>
      </w:r>
      <w:r w:rsidR="002A54E5" w:rsidRPr="00D56313">
        <w:t>he Instrument</w:t>
      </w:r>
      <w:r w:rsidR="00B64105" w:rsidRPr="00D56313">
        <w:t xml:space="preserve"> </w:t>
      </w:r>
      <w:r w:rsidR="000C123C" w:rsidRPr="00D56313">
        <w:t xml:space="preserve">provides exemptions </w:t>
      </w:r>
      <w:r w:rsidR="009F11FE" w:rsidRPr="00D56313">
        <w:t xml:space="preserve">for </w:t>
      </w:r>
      <w:r w:rsidR="00F3587A" w:rsidRPr="00D56313">
        <w:t>entities who have remaining obligations under</w:t>
      </w:r>
      <w:r w:rsidR="00CA6C93" w:rsidRPr="00D56313">
        <w:t xml:space="preserve"> legacy schemes</w:t>
      </w:r>
      <w:r w:rsidR="0086240D" w:rsidRPr="00D56313">
        <w:t xml:space="preserve">. </w:t>
      </w:r>
      <w:r w:rsidR="009D2205" w:rsidRPr="00D56313">
        <w:t xml:space="preserve">Entities were able to offer </w:t>
      </w:r>
      <w:r w:rsidR="00C13F9E" w:rsidRPr="00D56313">
        <w:t xml:space="preserve">eligible products to their employees and </w:t>
      </w:r>
      <w:r w:rsidR="004D3ED4" w:rsidRPr="00D56313">
        <w:t xml:space="preserve">other </w:t>
      </w:r>
      <w:r w:rsidR="00C13F9E" w:rsidRPr="00D56313">
        <w:t>eligible participants</w:t>
      </w:r>
      <w:r w:rsidR="006F3F93" w:rsidRPr="00D56313">
        <w:t xml:space="preserve"> </w:t>
      </w:r>
      <w:r w:rsidR="00B37F41" w:rsidRPr="00D56313">
        <w:t xml:space="preserve">under these schemes </w:t>
      </w:r>
      <w:r w:rsidR="006B718A" w:rsidRPr="00D56313">
        <w:t xml:space="preserve">until </w:t>
      </w:r>
      <w:r w:rsidR="00E676FB" w:rsidRPr="00D56313">
        <w:t>1 March 2023</w:t>
      </w:r>
      <w:r w:rsidR="0001647C" w:rsidRPr="00D56313">
        <w:t xml:space="preserve"> (which offers could remain open until 1 April 2024)</w:t>
      </w:r>
      <w:r w:rsidR="00E8511A" w:rsidRPr="00D56313">
        <w:t>. Entities should no longer need to issue</w:t>
      </w:r>
      <w:r w:rsidR="00402E60" w:rsidRPr="00D56313">
        <w:t xml:space="preserve"> further </w:t>
      </w:r>
      <w:r w:rsidR="00E8511A" w:rsidRPr="00D56313">
        <w:t>‘overlying eligible products</w:t>
      </w:r>
      <w:r w:rsidR="007136E6" w:rsidRPr="00D56313">
        <w:t>’</w:t>
      </w:r>
      <w:r w:rsidR="00A43CBB" w:rsidRPr="00D56313">
        <w:t xml:space="preserve"> as a result of these offers</w:t>
      </w:r>
      <w:r w:rsidR="00E8511A" w:rsidRPr="00D56313">
        <w:t xml:space="preserve"> </w:t>
      </w:r>
      <w:r w:rsidR="007136E6" w:rsidRPr="00D56313">
        <w:t xml:space="preserve">but they </w:t>
      </w:r>
      <w:r w:rsidR="0069581C" w:rsidRPr="00D56313">
        <w:t xml:space="preserve">may </w:t>
      </w:r>
      <w:r w:rsidR="0086240D" w:rsidRPr="00D56313">
        <w:t xml:space="preserve">need to issue </w:t>
      </w:r>
      <w:r w:rsidR="00D04428" w:rsidRPr="00D56313">
        <w:t>‘underlying eligible products’</w:t>
      </w:r>
      <w:r w:rsidR="0086240D" w:rsidRPr="00D56313">
        <w:t xml:space="preserve"> to participants </w:t>
      </w:r>
      <w:r w:rsidR="00C17507" w:rsidRPr="00D56313">
        <w:t xml:space="preserve">for some years. For example, a company may need to issue shares to a participant </w:t>
      </w:r>
      <w:r w:rsidR="0086240D" w:rsidRPr="00D56313">
        <w:t xml:space="preserve">when </w:t>
      </w:r>
      <w:r w:rsidR="008517D2" w:rsidRPr="00D56313">
        <w:t xml:space="preserve">an </w:t>
      </w:r>
      <w:r w:rsidR="0086240D" w:rsidRPr="00D56313">
        <w:t xml:space="preserve">‘overlying </w:t>
      </w:r>
      <w:r w:rsidR="00D04428" w:rsidRPr="00D56313">
        <w:t xml:space="preserve">eligible </w:t>
      </w:r>
      <w:r w:rsidR="0086240D" w:rsidRPr="00D56313">
        <w:t>product’</w:t>
      </w:r>
      <w:r w:rsidR="008517D2" w:rsidRPr="00D56313">
        <w:t>,</w:t>
      </w:r>
      <w:r w:rsidR="0086240D" w:rsidRPr="00D56313">
        <w:t xml:space="preserve"> such a</w:t>
      </w:r>
      <w:r w:rsidR="00282592" w:rsidRPr="00D56313">
        <w:t>s an</w:t>
      </w:r>
      <w:r w:rsidR="0086240D" w:rsidRPr="00D56313">
        <w:t xml:space="preserve"> option</w:t>
      </w:r>
      <w:r w:rsidR="008517D2" w:rsidRPr="00D56313">
        <w:t>,</w:t>
      </w:r>
      <w:r w:rsidR="0086240D" w:rsidRPr="00D56313">
        <w:t xml:space="preserve"> </w:t>
      </w:r>
      <w:r w:rsidR="00A3477B" w:rsidRPr="00D56313">
        <w:t>is</w:t>
      </w:r>
      <w:r w:rsidR="0086240D" w:rsidRPr="00D56313">
        <w:t xml:space="preserve"> exercised</w:t>
      </w:r>
      <w:r w:rsidR="0076258C" w:rsidRPr="00D56313">
        <w:t xml:space="preserve">. For this reason, many of the exemptions </w:t>
      </w:r>
      <w:r w:rsidR="004B0332" w:rsidRPr="00D56313">
        <w:t xml:space="preserve">in Part 2 of the Instrument </w:t>
      </w:r>
      <w:r w:rsidR="00AE6D8A" w:rsidRPr="00D56313">
        <w:t xml:space="preserve">only </w:t>
      </w:r>
      <w:r w:rsidR="00F277EC" w:rsidRPr="00D56313">
        <w:t>relate to underlying eligible products.</w:t>
      </w:r>
    </w:p>
    <w:p w14:paraId="16184CAF" w14:textId="7316ED6C" w:rsidR="000829C2" w:rsidRPr="00D56313" w:rsidRDefault="00604A4E" w:rsidP="005D1FEA">
      <w:pPr>
        <w:pStyle w:val="LI-BodyTextParaa"/>
        <w:ind w:left="567"/>
      </w:pPr>
      <w:r w:rsidRPr="00D56313">
        <w:t>8</w:t>
      </w:r>
      <w:r w:rsidR="000829C2" w:rsidRPr="00D56313">
        <w:t>.</w:t>
      </w:r>
      <w:r w:rsidR="000829C2" w:rsidRPr="00D56313">
        <w:tab/>
        <w:t xml:space="preserve">Entities that rely on </w:t>
      </w:r>
      <w:r w:rsidR="000302CD" w:rsidRPr="00D56313">
        <w:t xml:space="preserve">the exemptions in Part 2 of the Instrument must comply with the conditions </w:t>
      </w:r>
      <w:r w:rsidR="00C7408C" w:rsidRPr="00D56313">
        <w:t xml:space="preserve">in </w:t>
      </w:r>
      <w:r w:rsidR="00B609DB" w:rsidRPr="00D56313">
        <w:t>section</w:t>
      </w:r>
      <w:r w:rsidR="00C7408C" w:rsidRPr="00D56313">
        <w:t xml:space="preserve"> 7</w:t>
      </w:r>
      <w:r w:rsidR="00FF0BA1" w:rsidRPr="00D56313">
        <w:t xml:space="preserve"> of the Instrument</w:t>
      </w:r>
      <w:r w:rsidR="00C7408C" w:rsidRPr="00D56313">
        <w:t>.</w:t>
      </w:r>
      <w:r w:rsidR="00216D43" w:rsidRPr="00D56313">
        <w:t xml:space="preserve"> In addition, the</w:t>
      </w:r>
      <w:r w:rsidR="00EF13D4" w:rsidRPr="00D56313">
        <w:t xml:space="preserve"> repeal of the EIS class orders does not affect any right, privilege, obligation or liability acquired, accrued or incurred under the</w:t>
      </w:r>
      <w:r w:rsidR="008D4AF8" w:rsidRPr="00D56313">
        <w:t>m</w:t>
      </w:r>
      <w:r w:rsidR="00181229" w:rsidRPr="00D56313">
        <w:t>: s</w:t>
      </w:r>
      <w:r w:rsidR="001F165E" w:rsidRPr="00D56313">
        <w:t xml:space="preserve">ection </w:t>
      </w:r>
      <w:r w:rsidR="00181229" w:rsidRPr="00D56313">
        <w:t xml:space="preserve">7 of the </w:t>
      </w:r>
      <w:r w:rsidR="00181229" w:rsidRPr="00D56313">
        <w:rPr>
          <w:i/>
          <w:iCs/>
        </w:rPr>
        <w:t>Acts Interpretation Act</w:t>
      </w:r>
      <w:r w:rsidR="00382830" w:rsidRPr="00D56313">
        <w:rPr>
          <w:i/>
          <w:iCs/>
        </w:rPr>
        <w:t xml:space="preserve"> 1901</w:t>
      </w:r>
      <w:r w:rsidR="00181229" w:rsidRPr="00D56313">
        <w:t xml:space="preserve">, applicable to the EIS class orders due to </w:t>
      </w:r>
      <w:r w:rsidR="00382830" w:rsidRPr="00D56313">
        <w:t>s</w:t>
      </w:r>
      <w:r w:rsidR="001F165E" w:rsidRPr="00D56313">
        <w:t xml:space="preserve">ection </w:t>
      </w:r>
      <w:r w:rsidR="00382830" w:rsidRPr="00D56313">
        <w:t xml:space="preserve">13 of the </w:t>
      </w:r>
      <w:r w:rsidR="00382830" w:rsidRPr="00D56313">
        <w:rPr>
          <w:i/>
          <w:iCs/>
        </w:rPr>
        <w:t>Legislation Act 2003</w:t>
      </w:r>
      <w:r w:rsidR="00382830" w:rsidRPr="00D56313">
        <w:t>)</w:t>
      </w:r>
      <w:r w:rsidR="008D4AF8" w:rsidRPr="00D56313">
        <w:t>. This means that entitie</w:t>
      </w:r>
      <w:r w:rsidR="00C86D73" w:rsidRPr="00D56313">
        <w:t>s may need to comply with conditions in the EIS class orders</w:t>
      </w:r>
      <w:r w:rsidR="00041842" w:rsidRPr="00D56313">
        <w:t xml:space="preserve"> </w:t>
      </w:r>
      <w:r w:rsidR="00E1478F" w:rsidRPr="00D56313">
        <w:t>for so long as they have obligations under their legacy schemes</w:t>
      </w:r>
      <w:r w:rsidR="00305AB8" w:rsidRPr="00D56313">
        <w:t>.</w:t>
      </w:r>
    </w:p>
    <w:p w14:paraId="4B34739D" w14:textId="4E65E848" w:rsidR="005A1DCE" w:rsidRPr="00D56313" w:rsidRDefault="005B1A3C" w:rsidP="00F91A64">
      <w:pPr>
        <w:pStyle w:val="LI-BodyTextParaa"/>
        <w:keepNext/>
        <w:ind w:left="567"/>
        <w:rPr>
          <w:i/>
          <w:iCs/>
        </w:rPr>
      </w:pPr>
      <w:r w:rsidRPr="00D56313">
        <w:rPr>
          <w:i/>
          <w:iCs/>
        </w:rPr>
        <w:t xml:space="preserve">Secondary sales </w:t>
      </w:r>
      <w:r w:rsidR="005A1DCE" w:rsidRPr="00D56313">
        <w:rPr>
          <w:i/>
          <w:iCs/>
        </w:rPr>
        <w:t>relief</w:t>
      </w:r>
    </w:p>
    <w:p w14:paraId="371517CE" w14:textId="52E12D9F" w:rsidR="003A6E07" w:rsidRPr="00D56313" w:rsidRDefault="00604A4E" w:rsidP="00F91A64">
      <w:pPr>
        <w:pStyle w:val="LI-BodyTextParaa"/>
        <w:keepNext/>
        <w:ind w:left="567"/>
      </w:pPr>
      <w:r w:rsidRPr="00D56313">
        <w:t>9</w:t>
      </w:r>
      <w:r w:rsidR="005D1FEA" w:rsidRPr="00D56313">
        <w:t>.</w:t>
      </w:r>
      <w:r w:rsidR="005D1FEA" w:rsidRPr="00D56313">
        <w:tab/>
      </w:r>
      <w:r w:rsidR="00290CFC" w:rsidRPr="00D56313">
        <w:t>The EIS class orders</w:t>
      </w:r>
      <w:r w:rsidR="00B66851" w:rsidRPr="00D56313">
        <w:t xml:space="preserve"> originally</w:t>
      </w:r>
      <w:r w:rsidR="00290CFC" w:rsidRPr="00D56313">
        <w:t xml:space="preserve"> provided relief so that entities could offer </w:t>
      </w:r>
      <w:r w:rsidR="009D48F2" w:rsidRPr="00D56313">
        <w:t xml:space="preserve">eligible </w:t>
      </w:r>
      <w:r w:rsidR="00576E06" w:rsidRPr="00D56313">
        <w:t>products to eligible participants without providing disclosure</w:t>
      </w:r>
      <w:r w:rsidR="007F0DD0" w:rsidRPr="00D56313">
        <w:t xml:space="preserve"> under the Act</w:t>
      </w:r>
      <w:r w:rsidR="00880814" w:rsidRPr="00D56313">
        <w:t>.</w:t>
      </w:r>
      <w:r w:rsidR="00B7630A" w:rsidRPr="00D56313">
        <w:t xml:space="preserve"> The sale of financial products issued without disclosure </w:t>
      </w:r>
      <w:r w:rsidR="00A47EA8" w:rsidRPr="00D56313">
        <w:t>is</w:t>
      </w:r>
      <w:r w:rsidR="00B7630A" w:rsidRPr="00D56313">
        <w:t xml:space="preserve"> potentially subject to </w:t>
      </w:r>
      <w:r w:rsidR="00D206E9" w:rsidRPr="00D56313">
        <w:t>s</w:t>
      </w:r>
      <w:r w:rsidR="009D0A74" w:rsidRPr="00D56313">
        <w:t xml:space="preserve">ection </w:t>
      </w:r>
      <w:r w:rsidR="00D206E9" w:rsidRPr="00D56313">
        <w:t xml:space="preserve">707 </w:t>
      </w:r>
      <w:r w:rsidR="003A412E" w:rsidRPr="00D56313">
        <w:t>or</w:t>
      </w:r>
      <w:r w:rsidR="000604AA" w:rsidRPr="00D56313">
        <w:t xml:space="preserve"> </w:t>
      </w:r>
      <w:r w:rsidR="008F2443" w:rsidRPr="00D56313">
        <w:t xml:space="preserve">subsection </w:t>
      </w:r>
      <w:r w:rsidR="000604AA" w:rsidRPr="00D56313">
        <w:t>1012</w:t>
      </w:r>
      <w:r w:rsidR="00A8092C" w:rsidRPr="00D56313">
        <w:t>C(6)</w:t>
      </w:r>
      <w:r w:rsidR="00AD1A7B" w:rsidRPr="00D56313">
        <w:t xml:space="preserve"> of the Act</w:t>
      </w:r>
      <w:r w:rsidR="003A412E" w:rsidRPr="00D56313">
        <w:t>, if the sale occur</w:t>
      </w:r>
      <w:r w:rsidR="001E16D2" w:rsidRPr="00D56313">
        <w:t>s within 12 months after the product was first issued</w:t>
      </w:r>
      <w:r w:rsidR="00D206E9" w:rsidRPr="00D56313">
        <w:t xml:space="preserve">. The EIS class orders </w:t>
      </w:r>
      <w:r w:rsidR="00D824C3" w:rsidRPr="00D56313">
        <w:t xml:space="preserve">therefore </w:t>
      </w:r>
      <w:r w:rsidR="00D206E9" w:rsidRPr="00D56313">
        <w:t xml:space="preserve">also provided an </w:t>
      </w:r>
      <w:r w:rsidR="005A1DCE" w:rsidRPr="00D56313">
        <w:t xml:space="preserve">exemption </w:t>
      </w:r>
      <w:r w:rsidR="002A6EBD" w:rsidRPr="00D56313">
        <w:t xml:space="preserve">to ensure that participants were able to sell products </w:t>
      </w:r>
      <w:r w:rsidR="009D16CD" w:rsidRPr="00D56313">
        <w:t>without the need for a disclosure document or cleansing notice</w:t>
      </w:r>
      <w:r w:rsidR="005A1DCE" w:rsidRPr="00D56313">
        <w:t xml:space="preserve">. </w:t>
      </w:r>
    </w:p>
    <w:p w14:paraId="4CC17B9B" w14:textId="03BD5FCD" w:rsidR="00474B52" w:rsidRPr="00D56313" w:rsidRDefault="00F91A64" w:rsidP="005D1FEA">
      <w:pPr>
        <w:pStyle w:val="LI-BodyTextParaa"/>
        <w:ind w:left="567"/>
        <w:rPr>
          <w:iCs/>
        </w:rPr>
      </w:pPr>
      <w:r w:rsidRPr="00D56313">
        <w:t>1</w:t>
      </w:r>
      <w:r w:rsidR="00C86495" w:rsidRPr="00D56313">
        <w:t>0</w:t>
      </w:r>
      <w:r w:rsidR="003A6E07" w:rsidRPr="00D56313">
        <w:t>.</w:t>
      </w:r>
      <w:r w:rsidR="003A6E07" w:rsidRPr="00D56313">
        <w:tab/>
      </w:r>
      <w:r w:rsidR="005F15B0" w:rsidRPr="00D56313">
        <w:t xml:space="preserve">Similarly, </w:t>
      </w:r>
      <w:r w:rsidR="00D241A4" w:rsidRPr="00D56313">
        <w:t>subsection</w:t>
      </w:r>
      <w:r w:rsidR="002F20CE" w:rsidRPr="00D56313">
        <w:t xml:space="preserve"> 5(1) of the Instrument provides</w:t>
      </w:r>
      <w:r w:rsidR="00142DE5" w:rsidRPr="00D56313">
        <w:t xml:space="preserve"> a secondary sales exemption. </w:t>
      </w:r>
      <w:r w:rsidR="003B6F96" w:rsidRPr="00D56313">
        <w:t>A</w:t>
      </w:r>
      <w:r w:rsidR="00031F0D" w:rsidRPr="00D56313">
        <w:rPr>
          <w:iCs/>
        </w:rPr>
        <w:t xml:space="preserve"> person can sell a</w:t>
      </w:r>
      <w:r w:rsidR="00383463" w:rsidRPr="00D56313">
        <w:rPr>
          <w:iCs/>
        </w:rPr>
        <w:t xml:space="preserve">n underlying eligible </w:t>
      </w:r>
      <w:r w:rsidR="00031F0D" w:rsidRPr="00D56313">
        <w:rPr>
          <w:iCs/>
        </w:rPr>
        <w:t xml:space="preserve">product </w:t>
      </w:r>
      <w:r w:rsidR="0033768B" w:rsidRPr="00D56313">
        <w:rPr>
          <w:iCs/>
        </w:rPr>
        <w:t>issued by reason of</w:t>
      </w:r>
      <w:r w:rsidR="00A8092C" w:rsidRPr="00D56313">
        <w:rPr>
          <w:iCs/>
        </w:rPr>
        <w:t xml:space="preserve"> </w:t>
      </w:r>
      <w:r w:rsidR="0033768B" w:rsidRPr="00D56313">
        <w:rPr>
          <w:iCs/>
        </w:rPr>
        <w:lastRenderedPageBreak/>
        <w:t xml:space="preserve">the exercise or vesting of an eligible product </w:t>
      </w:r>
      <w:r w:rsidR="009B057D" w:rsidRPr="00D56313">
        <w:rPr>
          <w:iCs/>
        </w:rPr>
        <w:t>(</w:t>
      </w:r>
      <w:r w:rsidR="009B057D" w:rsidRPr="00D56313">
        <w:rPr>
          <w:b/>
          <w:bCs/>
          <w:iCs/>
        </w:rPr>
        <w:t>original eligible product</w:t>
      </w:r>
      <w:r w:rsidR="009B057D" w:rsidRPr="00D56313">
        <w:rPr>
          <w:iCs/>
        </w:rPr>
        <w:t xml:space="preserve">) </w:t>
      </w:r>
      <w:r w:rsidR="001F11F1" w:rsidRPr="00D56313">
        <w:rPr>
          <w:iCs/>
        </w:rPr>
        <w:t xml:space="preserve">without </w:t>
      </w:r>
      <w:r w:rsidR="005E5A25" w:rsidRPr="00D56313">
        <w:rPr>
          <w:iCs/>
        </w:rPr>
        <w:t xml:space="preserve">the need for a disclosure document or cleansing notice. </w:t>
      </w:r>
      <w:r w:rsidR="00E66EC1" w:rsidRPr="00D56313">
        <w:rPr>
          <w:iCs/>
        </w:rPr>
        <w:t>The original eligible product must have</w:t>
      </w:r>
      <w:r w:rsidR="00F9363C" w:rsidRPr="00D56313">
        <w:rPr>
          <w:iCs/>
        </w:rPr>
        <w:t xml:space="preserve"> been</w:t>
      </w:r>
      <w:r w:rsidR="00E66EC1" w:rsidRPr="00D56313">
        <w:rPr>
          <w:iCs/>
        </w:rPr>
        <w:t xml:space="preserve"> issued or otherwise granted to </w:t>
      </w:r>
      <w:r w:rsidR="00F9363C" w:rsidRPr="00D56313">
        <w:rPr>
          <w:iCs/>
        </w:rPr>
        <w:t xml:space="preserve">(a) </w:t>
      </w:r>
      <w:r w:rsidR="00E66EC1" w:rsidRPr="00D56313">
        <w:rPr>
          <w:iCs/>
        </w:rPr>
        <w:t>an eligible participant under an employee incentive scheme</w:t>
      </w:r>
      <w:r w:rsidR="00F9363C" w:rsidRPr="00D56313">
        <w:rPr>
          <w:iCs/>
        </w:rPr>
        <w:t xml:space="preserve"> or (b) a trustee in connection with an employee incentive scheme.</w:t>
      </w:r>
      <w:r w:rsidR="006F3952" w:rsidRPr="00D56313">
        <w:rPr>
          <w:iCs/>
        </w:rPr>
        <w:t xml:space="preserve"> </w:t>
      </w:r>
    </w:p>
    <w:p w14:paraId="794B7191" w14:textId="10295F93" w:rsidR="001879EE" w:rsidRPr="00D56313" w:rsidRDefault="00DD1671" w:rsidP="005D1FEA">
      <w:pPr>
        <w:pStyle w:val="LI-BodyTextParaa"/>
        <w:ind w:left="567"/>
        <w:rPr>
          <w:i/>
        </w:rPr>
      </w:pPr>
      <w:r w:rsidRPr="00D56313">
        <w:rPr>
          <w:i/>
        </w:rPr>
        <w:t>Disclosure exemption for financial advice</w:t>
      </w:r>
    </w:p>
    <w:p w14:paraId="0D9500BC" w14:textId="0DE09B2A" w:rsidR="00EC4E64" w:rsidRPr="00D56313" w:rsidRDefault="00F91A64" w:rsidP="005D1FEA">
      <w:pPr>
        <w:pStyle w:val="LI-BodyTextParaa"/>
        <w:ind w:left="567"/>
        <w:rPr>
          <w:iCs/>
        </w:rPr>
      </w:pPr>
      <w:r w:rsidRPr="00D56313">
        <w:rPr>
          <w:iCs/>
        </w:rPr>
        <w:t>1</w:t>
      </w:r>
      <w:r w:rsidR="00C86495" w:rsidRPr="00D56313">
        <w:rPr>
          <w:iCs/>
        </w:rPr>
        <w:t>1</w:t>
      </w:r>
      <w:r w:rsidR="006F3C30" w:rsidRPr="00D56313">
        <w:rPr>
          <w:iCs/>
        </w:rPr>
        <w:t>.</w:t>
      </w:r>
      <w:r w:rsidR="006F3C30" w:rsidRPr="00D56313">
        <w:rPr>
          <w:iCs/>
        </w:rPr>
        <w:tab/>
      </w:r>
      <w:r w:rsidR="004823D1" w:rsidRPr="00D56313">
        <w:rPr>
          <w:iCs/>
        </w:rPr>
        <w:t>Subsection</w:t>
      </w:r>
      <w:r w:rsidR="006F3C30" w:rsidRPr="00D56313">
        <w:rPr>
          <w:iCs/>
        </w:rPr>
        <w:t xml:space="preserve"> 5(2) of the Instrument provides relief from s</w:t>
      </w:r>
      <w:r w:rsidR="0014187E" w:rsidRPr="00D56313">
        <w:rPr>
          <w:iCs/>
        </w:rPr>
        <w:t xml:space="preserve">ection </w:t>
      </w:r>
      <w:r w:rsidR="006F3C30" w:rsidRPr="00D56313">
        <w:rPr>
          <w:iCs/>
        </w:rPr>
        <w:t>1012A of the Act so tha</w:t>
      </w:r>
      <w:r w:rsidR="00CC4DAC" w:rsidRPr="00D56313">
        <w:rPr>
          <w:iCs/>
        </w:rPr>
        <w:t xml:space="preserve">t a financial services licensee (or their authorised representative) who gives advice to an eligible participant </w:t>
      </w:r>
      <w:r w:rsidR="00B9198C" w:rsidRPr="00D56313">
        <w:rPr>
          <w:iCs/>
        </w:rPr>
        <w:t>that includes a recommendation</w:t>
      </w:r>
      <w:r w:rsidR="00C608CF" w:rsidRPr="00D56313">
        <w:rPr>
          <w:iCs/>
        </w:rPr>
        <w:t xml:space="preserve"> to</w:t>
      </w:r>
      <w:r w:rsidR="00CC4DAC" w:rsidRPr="00D56313">
        <w:rPr>
          <w:iCs/>
        </w:rPr>
        <w:t xml:space="preserve"> acquire an ‘underlying</w:t>
      </w:r>
      <w:r w:rsidR="002A54E5" w:rsidRPr="00D56313">
        <w:rPr>
          <w:iCs/>
        </w:rPr>
        <w:t xml:space="preserve"> eligible</w:t>
      </w:r>
      <w:r w:rsidR="00CC4DAC" w:rsidRPr="00D56313">
        <w:rPr>
          <w:iCs/>
        </w:rPr>
        <w:t xml:space="preserve"> product’ </w:t>
      </w:r>
      <w:r w:rsidR="00130037" w:rsidRPr="00D56313">
        <w:rPr>
          <w:iCs/>
        </w:rPr>
        <w:t>in connection with an employee incentive scheme does not have to provide a Product Disclosure Statement.</w:t>
      </w:r>
    </w:p>
    <w:p w14:paraId="0621DA71" w14:textId="5D4EE8FD" w:rsidR="00C608CF" w:rsidRPr="00D56313" w:rsidRDefault="00C608CF" w:rsidP="005D1FEA">
      <w:pPr>
        <w:pStyle w:val="LI-BodyTextParaa"/>
        <w:ind w:left="567"/>
        <w:rPr>
          <w:i/>
        </w:rPr>
      </w:pPr>
      <w:r w:rsidRPr="00D56313">
        <w:rPr>
          <w:i/>
        </w:rPr>
        <w:t>Licensing relief</w:t>
      </w:r>
      <w:r w:rsidR="00A41CE2" w:rsidRPr="00D56313">
        <w:rPr>
          <w:i/>
        </w:rPr>
        <w:t xml:space="preserve"> and other incidental relief</w:t>
      </w:r>
    </w:p>
    <w:p w14:paraId="35AFCA91" w14:textId="72C59A4B" w:rsidR="00D20A4B" w:rsidRPr="00D56313" w:rsidRDefault="00F91A64" w:rsidP="005D1FEA">
      <w:pPr>
        <w:pStyle w:val="LI-BodyTextParaa"/>
        <w:ind w:left="567"/>
        <w:rPr>
          <w:iCs/>
        </w:rPr>
      </w:pPr>
      <w:r w:rsidRPr="00D56313">
        <w:t>1</w:t>
      </w:r>
      <w:r w:rsidR="00C86495" w:rsidRPr="00D56313">
        <w:t>2</w:t>
      </w:r>
      <w:r w:rsidR="00474B52" w:rsidRPr="00D56313">
        <w:t>.</w:t>
      </w:r>
      <w:r w:rsidR="00474B52" w:rsidRPr="00D56313">
        <w:rPr>
          <w:i/>
        </w:rPr>
        <w:tab/>
      </w:r>
      <w:r w:rsidR="00C537A7" w:rsidRPr="00D56313">
        <w:rPr>
          <w:iCs/>
        </w:rPr>
        <w:t xml:space="preserve">Subsections </w:t>
      </w:r>
      <w:r w:rsidR="008F0747" w:rsidRPr="00D56313">
        <w:rPr>
          <w:iCs/>
        </w:rPr>
        <w:t>6</w:t>
      </w:r>
      <w:r w:rsidR="00AC58CC" w:rsidRPr="00D56313">
        <w:rPr>
          <w:iCs/>
        </w:rPr>
        <w:t>(1) to (3)</w:t>
      </w:r>
      <w:r w:rsidR="008F0747" w:rsidRPr="00D56313">
        <w:rPr>
          <w:iCs/>
        </w:rPr>
        <w:t xml:space="preserve"> of the Instrument provide incidental</w:t>
      </w:r>
      <w:r w:rsidR="00964D24" w:rsidRPr="00D56313">
        <w:rPr>
          <w:iCs/>
        </w:rPr>
        <w:t xml:space="preserve"> licensing</w:t>
      </w:r>
      <w:r w:rsidR="008F0747" w:rsidRPr="00D56313">
        <w:rPr>
          <w:iCs/>
        </w:rPr>
        <w:t xml:space="preserve"> relief to assist </w:t>
      </w:r>
      <w:r w:rsidR="00964D24" w:rsidRPr="00D56313">
        <w:rPr>
          <w:iCs/>
        </w:rPr>
        <w:t>entities to operate</w:t>
      </w:r>
      <w:r w:rsidR="00A43C58" w:rsidRPr="00D56313">
        <w:rPr>
          <w:iCs/>
        </w:rPr>
        <w:t xml:space="preserve"> legacy schemes</w:t>
      </w:r>
      <w:r w:rsidR="00964D24" w:rsidRPr="00D56313">
        <w:rPr>
          <w:iCs/>
        </w:rPr>
        <w:t>. This includes relief for general advice</w:t>
      </w:r>
      <w:r w:rsidR="00D20660" w:rsidRPr="00D56313">
        <w:rPr>
          <w:iCs/>
        </w:rPr>
        <w:t xml:space="preserve">, </w:t>
      </w:r>
      <w:r w:rsidR="00F70591" w:rsidRPr="00D56313">
        <w:rPr>
          <w:iCs/>
        </w:rPr>
        <w:t xml:space="preserve">dealing </w:t>
      </w:r>
      <w:r w:rsidR="00D20660" w:rsidRPr="00D56313">
        <w:rPr>
          <w:iCs/>
        </w:rPr>
        <w:t>and custodial or depository services.</w:t>
      </w:r>
    </w:p>
    <w:p w14:paraId="70610842" w14:textId="0D3B73A3" w:rsidR="00AC58CC" w:rsidRPr="00D56313" w:rsidRDefault="00F91A64" w:rsidP="005D1FEA">
      <w:pPr>
        <w:pStyle w:val="LI-BodyTextParaa"/>
        <w:ind w:left="567"/>
        <w:rPr>
          <w:iCs/>
        </w:rPr>
      </w:pPr>
      <w:r w:rsidRPr="00D56313">
        <w:rPr>
          <w:iCs/>
        </w:rPr>
        <w:t>1</w:t>
      </w:r>
      <w:r w:rsidR="00C86495" w:rsidRPr="00D56313">
        <w:rPr>
          <w:iCs/>
        </w:rPr>
        <w:t>3</w:t>
      </w:r>
      <w:r w:rsidR="00922A41" w:rsidRPr="00D56313">
        <w:rPr>
          <w:iCs/>
        </w:rPr>
        <w:t>.</w:t>
      </w:r>
      <w:r w:rsidR="00922A41" w:rsidRPr="00D56313">
        <w:rPr>
          <w:iCs/>
        </w:rPr>
        <w:tab/>
      </w:r>
      <w:r w:rsidR="00074872" w:rsidRPr="00D56313">
        <w:rPr>
          <w:iCs/>
        </w:rPr>
        <w:t>Subsecti</w:t>
      </w:r>
      <w:r w:rsidR="00AA04F8" w:rsidRPr="00D56313">
        <w:rPr>
          <w:iCs/>
        </w:rPr>
        <w:t>o</w:t>
      </w:r>
      <w:r w:rsidR="00074872" w:rsidRPr="00D56313">
        <w:rPr>
          <w:iCs/>
        </w:rPr>
        <w:t>n</w:t>
      </w:r>
      <w:r w:rsidR="00922A41" w:rsidRPr="00D56313">
        <w:rPr>
          <w:iCs/>
        </w:rPr>
        <w:t xml:space="preserve"> 6(4) of the Instrument provides relief so that an entity that advertises or publishes a statement that </w:t>
      </w:r>
      <w:r w:rsidR="000717BF" w:rsidRPr="00D56313">
        <w:rPr>
          <w:iCs/>
        </w:rPr>
        <w:t xml:space="preserve">is reasonably likely to induce eligible participants to acquire an underlying eligible product </w:t>
      </w:r>
      <w:r w:rsidR="002651EA" w:rsidRPr="00D56313">
        <w:rPr>
          <w:iCs/>
        </w:rPr>
        <w:t>does not have to comply with s</w:t>
      </w:r>
      <w:r w:rsidR="0014187E" w:rsidRPr="00D56313">
        <w:rPr>
          <w:iCs/>
        </w:rPr>
        <w:t xml:space="preserve">ection </w:t>
      </w:r>
      <w:r w:rsidR="002651EA" w:rsidRPr="00D56313">
        <w:rPr>
          <w:iCs/>
        </w:rPr>
        <w:t>1018A</w:t>
      </w:r>
      <w:r w:rsidR="00C72715" w:rsidRPr="00D56313">
        <w:rPr>
          <w:iCs/>
        </w:rPr>
        <w:t xml:space="preserve"> of the Act</w:t>
      </w:r>
      <w:r w:rsidR="002651EA" w:rsidRPr="00D56313">
        <w:rPr>
          <w:iCs/>
        </w:rPr>
        <w:t xml:space="preserve">, which </w:t>
      </w:r>
      <w:r w:rsidR="0042260E" w:rsidRPr="00D56313">
        <w:rPr>
          <w:iCs/>
        </w:rPr>
        <w:t xml:space="preserve">may </w:t>
      </w:r>
      <w:r w:rsidR="002651EA" w:rsidRPr="00D56313">
        <w:rPr>
          <w:iCs/>
        </w:rPr>
        <w:t>otherwise require</w:t>
      </w:r>
      <w:r w:rsidR="004D0555" w:rsidRPr="00D56313">
        <w:rPr>
          <w:iCs/>
        </w:rPr>
        <w:t xml:space="preserve"> the advertisement or publication to refer to</w:t>
      </w:r>
      <w:r w:rsidR="002651EA" w:rsidRPr="00D56313">
        <w:rPr>
          <w:iCs/>
        </w:rPr>
        <w:t xml:space="preserve"> </w:t>
      </w:r>
      <w:r w:rsidR="0042260E" w:rsidRPr="00D56313">
        <w:rPr>
          <w:iCs/>
        </w:rPr>
        <w:t>a Product Disclosure Statement.</w:t>
      </w:r>
    </w:p>
    <w:p w14:paraId="5FC31D8C" w14:textId="42B5E299" w:rsidR="00FE13DE" w:rsidRPr="00D56313" w:rsidRDefault="00F91A64" w:rsidP="001B16BF">
      <w:pPr>
        <w:pStyle w:val="LI-BodyTextParaa"/>
        <w:ind w:left="567"/>
      </w:pPr>
      <w:r w:rsidRPr="00D56313">
        <w:rPr>
          <w:iCs/>
        </w:rPr>
        <w:t>1</w:t>
      </w:r>
      <w:r w:rsidR="00C86495" w:rsidRPr="00D56313">
        <w:rPr>
          <w:iCs/>
        </w:rPr>
        <w:t>4</w:t>
      </w:r>
      <w:r w:rsidR="00DF6755" w:rsidRPr="00D56313">
        <w:rPr>
          <w:iCs/>
        </w:rPr>
        <w:t>.</w:t>
      </w:r>
      <w:r w:rsidR="00DF6755" w:rsidRPr="00D56313">
        <w:rPr>
          <w:iCs/>
        </w:rPr>
        <w:tab/>
      </w:r>
      <w:r w:rsidR="00AA04F8" w:rsidRPr="00D56313">
        <w:rPr>
          <w:iCs/>
        </w:rPr>
        <w:t>Subsection</w:t>
      </w:r>
      <w:r w:rsidR="00DF6755" w:rsidRPr="00D56313">
        <w:rPr>
          <w:iCs/>
        </w:rPr>
        <w:t xml:space="preserve"> 6(5) </w:t>
      </w:r>
      <w:r w:rsidR="006F6B34" w:rsidRPr="00D56313">
        <w:rPr>
          <w:iCs/>
        </w:rPr>
        <w:t xml:space="preserve">of the Instrument </w:t>
      </w:r>
      <w:r w:rsidR="00C72715" w:rsidRPr="00D56313">
        <w:rPr>
          <w:iCs/>
        </w:rPr>
        <w:t>gives relief from the requirement in s</w:t>
      </w:r>
      <w:r w:rsidR="0014187E" w:rsidRPr="00D56313">
        <w:rPr>
          <w:iCs/>
        </w:rPr>
        <w:t xml:space="preserve">ection </w:t>
      </w:r>
      <w:r w:rsidR="00C72715" w:rsidRPr="00D56313">
        <w:rPr>
          <w:iCs/>
        </w:rPr>
        <w:t>601ED of the Act</w:t>
      </w:r>
      <w:r w:rsidR="000F5A10" w:rsidRPr="00D56313">
        <w:rPr>
          <w:iCs/>
        </w:rPr>
        <w:t xml:space="preserve"> </w:t>
      </w:r>
      <w:r w:rsidR="00520EC5" w:rsidRPr="00D56313">
        <w:rPr>
          <w:iCs/>
        </w:rPr>
        <w:t>to register a managed investment scheme</w:t>
      </w:r>
      <w:r w:rsidR="003F12B4" w:rsidRPr="00D56313">
        <w:rPr>
          <w:iCs/>
        </w:rPr>
        <w:t xml:space="preserve"> </w:t>
      </w:r>
      <w:r w:rsidR="00CB5FAA" w:rsidRPr="00D56313">
        <w:rPr>
          <w:iCs/>
        </w:rPr>
        <w:t xml:space="preserve">if </w:t>
      </w:r>
      <w:r w:rsidR="00CA02AC" w:rsidRPr="00D56313">
        <w:rPr>
          <w:iCs/>
        </w:rPr>
        <w:t>an</w:t>
      </w:r>
      <w:r w:rsidR="00CB5FAA" w:rsidRPr="00D56313">
        <w:rPr>
          <w:iCs/>
        </w:rPr>
        <w:t xml:space="preserve"> entity </w:t>
      </w:r>
      <w:r w:rsidR="00CA02AC" w:rsidRPr="00D56313">
        <w:rPr>
          <w:iCs/>
        </w:rPr>
        <w:t xml:space="preserve">or trustee </w:t>
      </w:r>
      <w:r w:rsidR="00CB5FAA" w:rsidRPr="00D56313">
        <w:rPr>
          <w:iCs/>
        </w:rPr>
        <w:t>is operat</w:t>
      </w:r>
      <w:r w:rsidR="009B483D" w:rsidRPr="00D56313">
        <w:rPr>
          <w:iCs/>
        </w:rPr>
        <w:t xml:space="preserve">ing a contribution </w:t>
      </w:r>
      <w:r w:rsidR="008B58BE" w:rsidRPr="00D56313">
        <w:rPr>
          <w:iCs/>
        </w:rPr>
        <w:t>plan</w:t>
      </w:r>
      <w:r w:rsidR="00750225" w:rsidRPr="00D56313">
        <w:rPr>
          <w:iCs/>
        </w:rPr>
        <w:t xml:space="preserve"> in connection with</w:t>
      </w:r>
      <w:r w:rsidR="000A5237" w:rsidRPr="00D56313">
        <w:rPr>
          <w:iCs/>
        </w:rPr>
        <w:t xml:space="preserve"> a legacy scheme</w:t>
      </w:r>
      <w:r w:rsidR="00750225" w:rsidRPr="00D56313">
        <w:rPr>
          <w:iCs/>
        </w:rPr>
        <w:t>.</w:t>
      </w:r>
      <w:r w:rsidR="00AB1D3E" w:rsidRPr="00D56313">
        <w:rPr>
          <w:iCs/>
        </w:rPr>
        <w:t xml:space="preserve"> </w:t>
      </w:r>
      <w:r w:rsidR="00425508" w:rsidRPr="00D56313">
        <w:rPr>
          <w:iCs/>
        </w:rPr>
        <w:t>T</w:t>
      </w:r>
      <w:r w:rsidR="00C7567F" w:rsidRPr="00D56313">
        <w:rPr>
          <w:iCs/>
        </w:rPr>
        <w:t xml:space="preserve">his exemption </w:t>
      </w:r>
      <w:r w:rsidR="00062B34" w:rsidRPr="00D56313">
        <w:rPr>
          <w:iCs/>
        </w:rPr>
        <w:t>cannot be used by an unlisted body</w:t>
      </w:r>
      <w:r w:rsidR="002B6DBE" w:rsidRPr="00D56313">
        <w:rPr>
          <w:iCs/>
        </w:rPr>
        <w:t xml:space="preserve">: </w:t>
      </w:r>
      <w:r w:rsidR="007525A7" w:rsidRPr="00D56313">
        <w:rPr>
          <w:iCs/>
        </w:rPr>
        <w:t>subsection</w:t>
      </w:r>
      <w:r w:rsidR="002B6DBE" w:rsidRPr="00D56313">
        <w:rPr>
          <w:iCs/>
        </w:rPr>
        <w:t xml:space="preserve"> 7(3). Further conditions that apply to contribution plans are set out in </w:t>
      </w:r>
      <w:r w:rsidR="007525A7" w:rsidRPr="00D56313">
        <w:rPr>
          <w:iCs/>
        </w:rPr>
        <w:t>subsection</w:t>
      </w:r>
      <w:r w:rsidR="002B6DBE" w:rsidRPr="00D56313">
        <w:rPr>
          <w:iCs/>
        </w:rPr>
        <w:t xml:space="preserve"> 7(1)</w:t>
      </w:r>
      <w:r w:rsidR="001B16BF" w:rsidRPr="00D56313">
        <w:rPr>
          <w:iCs/>
        </w:rPr>
        <w:t xml:space="preserve"> to (2). </w:t>
      </w:r>
    </w:p>
    <w:p w14:paraId="27CB831C" w14:textId="14A64E45" w:rsidR="00574551" w:rsidRPr="00D56313" w:rsidRDefault="00574551" w:rsidP="00DA6A7C">
      <w:pPr>
        <w:pStyle w:val="LI-BodyTextParaa"/>
        <w:ind w:left="567"/>
        <w:rPr>
          <w:b/>
          <w:bCs/>
          <w:i/>
          <w:iCs/>
        </w:rPr>
      </w:pPr>
      <w:r w:rsidRPr="00D56313">
        <w:rPr>
          <w:b/>
          <w:bCs/>
          <w:i/>
          <w:iCs/>
        </w:rPr>
        <w:t xml:space="preserve">Part </w:t>
      </w:r>
      <w:r w:rsidR="00F67E15" w:rsidRPr="00D56313">
        <w:rPr>
          <w:b/>
          <w:bCs/>
          <w:i/>
          <w:iCs/>
        </w:rPr>
        <w:t>3 – declaration re small scale offer exclusion in s</w:t>
      </w:r>
      <w:r w:rsidR="00E007B3" w:rsidRPr="00D56313">
        <w:rPr>
          <w:b/>
          <w:bCs/>
          <w:i/>
          <w:iCs/>
        </w:rPr>
        <w:t xml:space="preserve">ection </w:t>
      </w:r>
      <w:r w:rsidR="00F67E15" w:rsidRPr="00D56313">
        <w:rPr>
          <w:b/>
          <w:bCs/>
          <w:i/>
          <w:iCs/>
        </w:rPr>
        <w:t>708</w:t>
      </w:r>
    </w:p>
    <w:p w14:paraId="590DF564" w14:textId="68B40E83" w:rsidR="00206D46" w:rsidRPr="00D56313" w:rsidRDefault="00F91A64" w:rsidP="00DA6A7C">
      <w:pPr>
        <w:pStyle w:val="LI-BodyTextParaa"/>
        <w:ind w:left="567"/>
      </w:pPr>
      <w:r w:rsidRPr="00D56313">
        <w:t>1</w:t>
      </w:r>
      <w:r w:rsidR="00C86495" w:rsidRPr="00D56313">
        <w:t>5</w:t>
      </w:r>
      <w:r w:rsidR="00F631F9" w:rsidRPr="00D56313">
        <w:t>.</w:t>
      </w:r>
      <w:r w:rsidR="00F631F9" w:rsidRPr="00D56313">
        <w:tab/>
      </w:r>
      <w:r w:rsidR="00E97EE8" w:rsidRPr="00D56313">
        <w:t>S</w:t>
      </w:r>
      <w:r w:rsidR="004330C7" w:rsidRPr="00D56313">
        <w:t>ubs</w:t>
      </w:r>
      <w:r w:rsidR="00E97EE8" w:rsidRPr="00D56313">
        <w:t>ection 708(1) of the Act provides a disclosure exemption for personal offers</w:t>
      </w:r>
      <w:r w:rsidR="00AB2179" w:rsidRPr="00D56313">
        <w:t xml:space="preserve"> if certain limits apply – that is, none of the offers results in a breach of the 20 investors ceiling and none of the offers results in </w:t>
      </w:r>
      <w:r w:rsidR="00CF7DED" w:rsidRPr="00D56313">
        <w:t xml:space="preserve">a breach of the $2 million ceiling. </w:t>
      </w:r>
      <w:r w:rsidR="00286A34" w:rsidRPr="00D56313">
        <w:t>These limits are calculat</w:t>
      </w:r>
      <w:r w:rsidR="00E5434C" w:rsidRPr="00D56313">
        <w:t xml:space="preserve">ed over a </w:t>
      </w:r>
      <w:proofErr w:type="gramStart"/>
      <w:r w:rsidR="00E5434C" w:rsidRPr="00D56313">
        <w:t>12 month</w:t>
      </w:r>
      <w:proofErr w:type="gramEnd"/>
      <w:r w:rsidR="00E5434C" w:rsidRPr="00D56313">
        <w:t xml:space="preserve"> period based on the securities actually issued</w:t>
      </w:r>
      <w:r w:rsidR="0070254E" w:rsidRPr="00D56313">
        <w:t xml:space="preserve"> </w:t>
      </w:r>
      <w:r w:rsidR="00817133" w:rsidRPr="00D56313">
        <w:t>or transferred and disregarding certain offers: s</w:t>
      </w:r>
      <w:r w:rsidR="0014187E" w:rsidRPr="00D56313">
        <w:t xml:space="preserve">ubsection </w:t>
      </w:r>
      <w:r w:rsidR="00817133" w:rsidRPr="00D56313">
        <w:t>708(3), 4 and (5)</w:t>
      </w:r>
      <w:r w:rsidR="00465D93" w:rsidRPr="00D56313">
        <w:t xml:space="preserve">. </w:t>
      </w:r>
    </w:p>
    <w:p w14:paraId="4A27A8AD" w14:textId="7322C2D9" w:rsidR="00F67E15" w:rsidRPr="00D56313" w:rsidRDefault="00F91A64" w:rsidP="00DA6A7C">
      <w:pPr>
        <w:pStyle w:val="LI-BodyTextParaa"/>
        <w:ind w:left="567"/>
      </w:pPr>
      <w:r w:rsidRPr="00D56313">
        <w:t>1</w:t>
      </w:r>
      <w:r w:rsidR="00C86495" w:rsidRPr="00D56313">
        <w:t>6</w:t>
      </w:r>
      <w:r w:rsidRPr="00D56313">
        <w:t>.</w:t>
      </w:r>
      <w:r w:rsidRPr="00D56313">
        <w:tab/>
      </w:r>
      <w:r w:rsidR="00F330B8" w:rsidRPr="00D56313">
        <w:t>Section</w:t>
      </w:r>
      <w:r w:rsidR="00F631F9" w:rsidRPr="00D56313">
        <w:t xml:space="preserve"> 8 of the Instrument </w:t>
      </w:r>
      <w:r w:rsidR="00C212E0" w:rsidRPr="00D56313">
        <w:t xml:space="preserve">adds a </w:t>
      </w:r>
      <w:r w:rsidR="004102C8" w:rsidRPr="00D56313">
        <w:t xml:space="preserve">further exclusion </w:t>
      </w:r>
      <w:r w:rsidR="0034269F" w:rsidRPr="00D56313">
        <w:t>for</w:t>
      </w:r>
      <w:r w:rsidR="007F24CE" w:rsidRPr="00D56313">
        <w:t xml:space="preserve"> offers that did not need a disclosure document because of the EIS class orders</w:t>
      </w:r>
      <w:r w:rsidR="0063461F" w:rsidRPr="00D56313">
        <w:t>: notional paragraph 708(5)(aa)</w:t>
      </w:r>
      <w:r w:rsidR="007F24CE" w:rsidRPr="00D56313">
        <w:t>.</w:t>
      </w:r>
      <w:r w:rsidR="0034269F" w:rsidRPr="00D56313">
        <w:t xml:space="preserve"> Although primary offers made under the EIS class orders could only remain open </w:t>
      </w:r>
      <w:r w:rsidR="0063461F" w:rsidRPr="00D56313">
        <w:t>until 1 April 2024</w:t>
      </w:r>
      <w:r w:rsidR="00564784" w:rsidRPr="00D56313">
        <w:t>, entities may need to continue to issue securities pursuant to ‘overlying eligible products’</w:t>
      </w:r>
      <w:r w:rsidR="00A81ABA" w:rsidRPr="00D56313">
        <w:t xml:space="preserve"> offered under their legacy schemes</w:t>
      </w:r>
      <w:r w:rsidR="006C74E7" w:rsidRPr="00D56313">
        <w:t xml:space="preserve">. The issue of these securities is covered by the disclosure exemption in the EIS class orders. The notional modification to </w:t>
      </w:r>
      <w:r w:rsidR="0052577C" w:rsidRPr="00D56313">
        <w:t xml:space="preserve">paragraph </w:t>
      </w:r>
      <w:r w:rsidR="006C74E7" w:rsidRPr="00D56313">
        <w:t xml:space="preserve">708(5)(aa) means that </w:t>
      </w:r>
      <w:r w:rsidR="003F4CAE" w:rsidRPr="00D56313">
        <w:t xml:space="preserve">these securities do not reduce an entity’s ability to rely on the </w:t>
      </w:r>
      <w:proofErr w:type="gramStart"/>
      <w:r w:rsidR="00FF77D2" w:rsidRPr="00D56313">
        <w:t>small scale</w:t>
      </w:r>
      <w:proofErr w:type="gramEnd"/>
      <w:r w:rsidR="00FF77D2" w:rsidRPr="00D56313">
        <w:t xml:space="preserve"> offer exemption in </w:t>
      </w:r>
      <w:r w:rsidR="005A205B" w:rsidRPr="00D56313">
        <w:t>sub</w:t>
      </w:r>
      <w:r w:rsidR="00FF77D2" w:rsidRPr="00D56313">
        <w:t>s</w:t>
      </w:r>
      <w:r w:rsidR="00293E1B" w:rsidRPr="00D56313">
        <w:t xml:space="preserve">ection </w:t>
      </w:r>
      <w:r w:rsidR="00FF77D2" w:rsidRPr="00D56313">
        <w:t xml:space="preserve">708(1). </w:t>
      </w:r>
    </w:p>
    <w:p w14:paraId="50EBD214" w14:textId="7F67EF3E" w:rsidR="005D1770" w:rsidRPr="00D56313" w:rsidRDefault="00E352C0" w:rsidP="00317293">
      <w:pPr>
        <w:pStyle w:val="LI-BodyTextParaa"/>
        <w:ind w:left="567"/>
        <w:rPr>
          <w:i/>
          <w:iCs/>
          <w:u w:val="single"/>
        </w:rPr>
      </w:pPr>
      <w:r w:rsidRPr="00D56313">
        <w:rPr>
          <w:b/>
          <w:bCs/>
          <w:i/>
          <w:iCs/>
        </w:rPr>
        <w:lastRenderedPageBreak/>
        <w:t xml:space="preserve">Part 4 - </w:t>
      </w:r>
      <w:r w:rsidR="00F61A66" w:rsidRPr="00D56313">
        <w:rPr>
          <w:b/>
          <w:bCs/>
          <w:i/>
          <w:iCs/>
        </w:rPr>
        <w:t>Duration</w:t>
      </w:r>
      <w:r w:rsidR="009A2319" w:rsidRPr="00D56313">
        <w:rPr>
          <w:b/>
          <w:bCs/>
          <w:i/>
          <w:iCs/>
        </w:rPr>
        <w:t xml:space="preserve"> of the instrument</w:t>
      </w:r>
      <w:r w:rsidR="00F61A66" w:rsidRPr="00D56313">
        <w:rPr>
          <w:i/>
          <w:iCs/>
          <w:u w:val="single"/>
        </w:rPr>
        <w:t xml:space="preserve"> </w:t>
      </w:r>
    </w:p>
    <w:p w14:paraId="1D375D98" w14:textId="6347F2F0" w:rsidR="00F61A66" w:rsidRPr="00D56313" w:rsidRDefault="00F61A66" w:rsidP="00F61A66">
      <w:pPr>
        <w:pStyle w:val="LI-BodyTextParaa"/>
        <w:ind w:left="567"/>
      </w:pPr>
      <w:r w:rsidRPr="00D56313">
        <w:t>1</w:t>
      </w:r>
      <w:r w:rsidR="00C86495" w:rsidRPr="00D56313">
        <w:t>7</w:t>
      </w:r>
      <w:r w:rsidRPr="00D56313">
        <w:t>.</w:t>
      </w:r>
      <w:r w:rsidRPr="00D56313">
        <w:tab/>
      </w:r>
      <w:r w:rsidR="00F25415" w:rsidRPr="00D56313">
        <w:t>The Instrument</w:t>
      </w:r>
      <w:r w:rsidR="000F79DC" w:rsidRPr="00D56313">
        <w:t xml:space="preserve"> is </w:t>
      </w:r>
      <w:r w:rsidR="0077554F" w:rsidRPr="00D56313">
        <w:t>repealed at the start of 1 April 2030</w:t>
      </w:r>
      <w:r w:rsidR="00E42FFE" w:rsidRPr="00D56313">
        <w:t xml:space="preserve">: </w:t>
      </w:r>
      <w:r w:rsidR="003E4A32" w:rsidRPr="00D56313">
        <w:t>section</w:t>
      </w:r>
      <w:r w:rsidR="00E42FFE" w:rsidRPr="00D56313">
        <w:t xml:space="preserve"> </w:t>
      </w:r>
      <w:r w:rsidR="006F211B" w:rsidRPr="00D56313">
        <w:t>9</w:t>
      </w:r>
      <w:r w:rsidR="00B93A93" w:rsidRPr="00D56313">
        <w:t>.</w:t>
      </w:r>
      <w:r w:rsidR="00786AC2" w:rsidRPr="00D56313">
        <w:t xml:space="preserve"> Th</w:t>
      </w:r>
      <w:r w:rsidR="004D0AE7" w:rsidRPr="00D56313">
        <w:t>e Instrument does not have a shorter duration because entities may have obl</w:t>
      </w:r>
      <w:r w:rsidR="0021258D" w:rsidRPr="00D56313">
        <w:t xml:space="preserve">igations under their </w:t>
      </w:r>
      <w:r w:rsidR="00D90215" w:rsidRPr="00D56313">
        <w:t xml:space="preserve">legacy </w:t>
      </w:r>
      <w:r w:rsidR="0021258D" w:rsidRPr="00D56313">
        <w:t>schemes for more than 3 years.</w:t>
      </w:r>
    </w:p>
    <w:bookmarkEnd w:id="1"/>
    <w:p w14:paraId="51456924" w14:textId="77777777" w:rsidR="00E352C0" w:rsidRPr="00D56313" w:rsidRDefault="00E352C0" w:rsidP="00E352C0">
      <w:pPr>
        <w:pStyle w:val="LI-BodyTextParaa"/>
        <w:ind w:left="567"/>
        <w:rPr>
          <w:b/>
          <w:bCs/>
        </w:rPr>
      </w:pPr>
      <w:r w:rsidRPr="00D56313">
        <w:rPr>
          <w:b/>
          <w:bCs/>
        </w:rPr>
        <w:t xml:space="preserve">Legislative instrument and primary legislation  </w:t>
      </w:r>
    </w:p>
    <w:p w14:paraId="0BA718EF" w14:textId="4B056ADB" w:rsidR="00E352C0" w:rsidRPr="00D56313" w:rsidRDefault="00E352C0" w:rsidP="00E42FFE">
      <w:pPr>
        <w:pStyle w:val="LI-BodyTextParaa"/>
        <w:ind w:left="567"/>
      </w:pPr>
      <w:r w:rsidRPr="00D56313">
        <w:t>1</w:t>
      </w:r>
      <w:r w:rsidR="00C86495" w:rsidRPr="00D56313">
        <w:t>8</w:t>
      </w:r>
      <w:r w:rsidRPr="00D56313">
        <w:t>.</w:t>
      </w:r>
      <w:r w:rsidRPr="00D56313">
        <w:tab/>
        <w:t xml:space="preserve">The subject matter and policy implemented by this Instrument is more appropriate for a legislative instrument rather than primary legislation </w:t>
      </w:r>
      <w:r w:rsidR="00E42FFE" w:rsidRPr="00D56313">
        <w:t xml:space="preserve">because the relief is </w:t>
      </w:r>
      <w:r w:rsidRPr="00D56313">
        <w:t>only required temporarily to enable entities to deal with their remaining obligations under</w:t>
      </w:r>
      <w:r w:rsidR="00E42FFE" w:rsidRPr="00D56313">
        <w:t xml:space="preserve"> legacy schemes</w:t>
      </w:r>
      <w:r w:rsidRPr="00D56313">
        <w:t xml:space="preserve">. </w:t>
      </w:r>
    </w:p>
    <w:p w14:paraId="24743F73" w14:textId="7D766A4D" w:rsidR="00E352C0" w:rsidRPr="00D56313" w:rsidRDefault="00C86495" w:rsidP="00E352C0">
      <w:pPr>
        <w:pStyle w:val="LI-BodyTextParaa"/>
        <w:ind w:left="567"/>
      </w:pPr>
      <w:r w:rsidRPr="00D56313">
        <w:t>19</w:t>
      </w:r>
      <w:r w:rsidR="00E352C0" w:rsidRPr="00D56313">
        <w:t>.</w:t>
      </w:r>
      <w:r w:rsidR="00E352C0" w:rsidRPr="00D56313">
        <w:tab/>
        <w:t xml:space="preserve">The relief provided by the Instrument will only be required on a temporary basis. Amendments to the Act are unnecessary.  </w:t>
      </w:r>
    </w:p>
    <w:p w14:paraId="6E228E05" w14:textId="1FF8D722" w:rsidR="00F03BB5" w:rsidRPr="00D56313" w:rsidRDefault="00474B52" w:rsidP="0021258D">
      <w:pPr>
        <w:pStyle w:val="LI-BodyTextParaa"/>
        <w:ind w:left="567"/>
        <w:rPr>
          <w:b/>
        </w:rPr>
      </w:pPr>
      <w:r w:rsidRPr="00D56313">
        <w:rPr>
          <w:b/>
        </w:rPr>
        <w:t>Legislative authority</w:t>
      </w:r>
    </w:p>
    <w:p w14:paraId="3EAF355A" w14:textId="1AF454B0" w:rsidR="009A3F74" w:rsidRPr="00D56313" w:rsidRDefault="00F91A64" w:rsidP="00F03BB5">
      <w:pPr>
        <w:pStyle w:val="LI-BodyTextParaa"/>
        <w:ind w:left="567"/>
      </w:pPr>
      <w:r w:rsidRPr="00D56313">
        <w:t>2</w:t>
      </w:r>
      <w:r w:rsidR="00C86495" w:rsidRPr="00D56313">
        <w:t>0</w:t>
      </w:r>
      <w:r w:rsidR="00F03BB5" w:rsidRPr="00D56313">
        <w:t>.</w:t>
      </w:r>
      <w:r w:rsidR="00F03BB5" w:rsidRPr="00D56313">
        <w:tab/>
      </w:r>
      <w:r w:rsidR="008A75DB" w:rsidRPr="00D56313">
        <w:t>The Instrument is made under subsections 283GA(1), 601QA(1),741(1), 926A(2), 992B(1) and 1020F(1) of the Act. The Instrument is a disallowable instrument.</w:t>
      </w:r>
    </w:p>
    <w:p w14:paraId="4D930F2D" w14:textId="4D320D6A" w:rsidR="00EA17A6" w:rsidRPr="00D56313" w:rsidRDefault="00EA17A6" w:rsidP="008A75DB">
      <w:pPr>
        <w:pStyle w:val="LI-BodyTextParaa"/>
        <w:ind w:left="567"/>
        <w:rPr>
          <w:b/>
        </w:rPr>
      </w:pPr>
      <w:r w:rsidRPr="00D56313">
        <w:rPr>
          <w:b/>
        </w:rPr>
        <w:t xml:space="preserve">Statement of Compatibility with Human Rights  </w:t>
      </w:r>
    </w:p>
    <w:p w14:paraId="1DBA07BE" w14:textId="7E0BA2E4" w:rsidR="00223DCF" w:rsidRPr="00D56313" w:rsidRDefault="00F91A64" w:rsidP="00435EEF">
      <w:pPr>
        <w:pStyle w:val="LI-BodyTextParaa"/>
        <w:ind w:left="567"/>
      </w:pPr>
      <w:r w:rsidRPr="00D56313">
        <w:t>2</w:t>
      </w:r>
      <w:r w:rsidR="00C86495" w:rsidRPr="00D56313">
        <w:t>1</w:t>
      </w:r>
      <w:r w:rsidR="00223DCF" w:rsidRPr="00D56313">
        <w:t>.</w:t>
      </w:r>
      <w:r w:rsidR="00223DCF" w:rsidRPr="00D56313">
        <w:tab/>
        <w:t xml:space="preserve">The Explanatory Statement for a disallowable legislative instrument must contain a Statement of Compatibility with Human Rights under subsection 9(1) of the </w:t>
      </w:r>
      <w:r w:rsidR="00223DCF" w:rsidRPr="00D56313">
        <w:rPr>
          <w:i/>
          <w:iCs/>
        </w:rPr>
        <w:t>Human Rights (Parliamentary Scrutiny) Act 2011.</w:t>
      </w:r>
      <w:r w:rsidR="00223DCF" w:rsidRPr="00D56313">
        <w:rPr>
          <w:iCs/>
        </w:rPr>
        <w:t xml:space="preserve"> </w:t>
      </w:r>
      <w:r w:rsidR="00223DCF" w:rsidRPr="00D56313">
        <w:t xml:space="preserve">A Statement of Compatibility with Human Rights is in the </w:t>
      </w:r>
      <w:r w:rsidR="00223DCF" w:rsidRPr="00D56313">
        <w:rPr>
          <w:u w:val="single"/>
        </w:rPr>
        <w:t>Attachment</w:t>
      </w:r>
      <w:r w:rsidR="00223DCF" w:rsidRPr="00D56313">
        <w:t xml:space="preserve">. </w:t>
      </w:r>
    </w:p>
    <w:p w14:paraId="04C7C810" w14:textId="77777777" w:rsidR="00223DCF" w:rsidRPr="00D56313" w:rsidRDefault="00223DCF" w:rsidP="00223DCF">
      <w:pPr>
        <w:pStyle w:val="LI-BodyTextParaa"/>
        <w:ind w:left="567"/>
        <w:jc w:val="right"/>
        <w:rPr>
          <w:u w:val="single"/>
        </w:rPr>
      </w:pPr>
      <w:r w:rsidRPr="00D56313">
        <w:rPr>
          <w:color w:val="FF0000"/>
        </w:rPr>
        <w:br w:type="page"/>
      </w:r>
      <w:r w:rsidRPr="00D56313">
        <w:rPr>
          <w:u w:val="single"/>
        </w:rPr>
        <w:lastRenderedPageBreak/>
        <w:t xml:space="preserve">Attachment </w:t>
      </w:r>
    </w:p>
    <w:p w14:paraId="7F52BE96" w14:textId="77777777" w:rsidR="00A15512" w:rsidRPr="00D56313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D56313">
        <w:rPr>
          <w:b/>
          <w:sz w:val="28"/>
          <w:szCs w:val="28"/>
        </w:rPr>
        <w:t xml:space="preserve">Statement of </w:t>
      </w:r>
      <w:r w:rsidR="00223DCF" w:rsidRPr="00D56313">
        <w:rPr>
          <w:b/>
          <w:sz w:val="28"/>
          <w:szCs w:val="28"/>
        </w:rPr>
        <w:t>C</w:t>
      </w:r>
      <w:r w:rsidRPr="00D56313">
        <w:rPr>
          <w:b/>
          <w:sz w:val="28"/>
          <w:szCs w:val="28"/>
        </w:rPr>
        <w:t xml:space="preserve">ompatibility with </w:t>
      </w:r>
      <w:r w:rsidR="00223DCF" w:rsidRPr="00D56313">
        <w:rPr>
          <w:b/>
          <w:sz w:val="28"/>
          <w:szCs w:val="28"/>
        </w:rPr>
        <w:t>H</w:t>
      </w:r>
      <w:r w:rsidRPr="00D56313">
        <w:rPr>
          <w:b/>
          <w:sz w:val="28"/>
          <w:szCs w:val="28"/>
        </w:rPr>
        <w:t xml:space="preserve">uman </w:t>
      </w:r>
      <w:r w:rsidR="00223DCF" w:rsidRPr="00D56313">
        <w:rPr>
          <w:b/>
          <w:sz w:val="28"/>
          <w:szCs w:val="28"/>
        </w:rPr>
        <w:t>R</w:t>
      </w:r>
      <w:r w:rsidRPr="00D56313">
        <w:rPr>
          <w:b/>
          <w:sz w:val="28"/>
          <w:szCs w:val="28"/>
        </w:rPr>
        <w:t>ights</w:t>
      </w:r>
    </w:p>
    <w:p w14:paraId="24668A36" w14:textId="77777777" w:rsidR="00AE787B" w:rsidRPr="00D56313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Default="00223DCF" w:rsidP="00223DCF">
      <w:pPr>
        <w:pStyle w:val="LI-BodyTextNumbered"/>
        <w:ind w:left="0" w:firstLine="0"/>
        <w:rPr>
          <w:iCs/>
        </w:rPr>
      </w:pPr>
      <w:r w:rsidRPr="00D56313">
        <w:rPr>
          <w:iCs/>
        </w:rPr>
        <w:t xml:space="preserve">This Statement of Compatibility with Human Rights is prepared in accordance with Part 3 of </w:t>
      </w:r>
      <w:bookmarkStart w:id="3" w:name="_Hlk4054932"/>
      <w:r w:rsidRPr="00D56313">
        <w:rPr>
          <w:iCs/>
        </w:rPr>
        <w:t xml:space="preserve">the </w:t>
      </w:r>
      <w:r w:rsidRPr="00D56313">
        <w:rPr>
          <w:i/>
          <w:iCs/>
        </w:rPr>
        <w:t>Human Rights (Parliamentary Scrutiny) Act 2011</w:t>
      </w:r>
      <w:bookmarkEnd w:id="3"/>
      <w:r w:rsidRPr="00D56313">
        <w:rPr>
          <w:iCs/>
        </w:rPr>
        <w:t>.</w:t>
      </w:r>
      <w:r w:rsidRPr="00EA17A6">
        <w:rPr>
          <w:iCs/>
        </w:rPr>
        <w:t xml:space="preserve">   </w:t>
      </w:r>
    </w:p>
    <w:p w14:paraId="263EF1F1" w14:textId="77777777" w:rsidR="00F367F9" w:rsidRDefault="00F367F9" w:rsidP="00F367F9">
      <w:pPr>
        <w:jc w:val="center"/>
        <w:rPr>
          <w:b/>
          <w:i/>
          <w:sz w:val="28"/>
          <w:szCs w:val="28"/>
          <w:lang w:eastAsia="en-AU"/>
        </w:rPr>
      </w:pPr>
    </w:p>
    <w:p w14:paraId="32C589A6" w14:textId="644C0F7B" w:rsidR="00F367F9" w:rsidRPr="00C4170B" w:rsidRDefault="00F367F9" w:rsidP="00F367F9">
      <w:pPr>
        <w:jc w:val="center"/>
        <w:rPr>
          <w:b/>
          <w:i/>
          <w:sz w:val="28"/>
          <w:szCs w:val="28"/>
          <w:lang w:eastAsia="en-AU"/>
        </w:rPr>
      </w:pPr>
      <w:r>
        <w:rPr>
          <w:b/>
          <w:i/>
          <w:sz w:val="28"/>
          <w:szCs w:val="28"/>
          <w:lang w:eastAsia="en-AU"/>
        </w:rPr>
        <w:t>ASIC Corporations (Employee Incentive Schemes–Ongoing Relief) Instrument 2025/</w:t>
      </w:r>
      <w:r w:rsidR="005E4EB3">
        <w:rPr>
          <w:b/>
          <w:i/>
          <w:sz w:val="28"/>
          <w:szCs w:val="28"/>
          <w:lang w:eastAsia="en-AU"/>
        </w:rPr>
        <w:t>169</w:t>
      </w:r>
    </w:p>
    <w:p w14:paraId="0AD76C9D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056E764A" w14:textId="5F996D70" w:rsidR="00CB2D96" w:rsidRPr="00EA17A6" w:rsidRDefault="00CB2D96" w:rsidP="00CB2D96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672008">
        <w:rPr>
          <w:rFonts w:eastAsia="Times New Roman"/>
          <w:sz w:val="24"/>
          <w:szCs w:val="24"/>
          <w:lang w:eastAsia="en-AU"/>
        </w:rPr>
        <w:t xml:space="preserve">This instrument replaces </w:t>
      </w:r>
      <w:r w:rsidR="00672008" w:rsidRPr="00E056B9">
        <w:rPr>
          <w:rFonts w:eastAsia="Times New Roman"/>
          <w:sz w:val="24"/>
          <w:szCs w:val="24"/>
          <w:lang w:eastAsia="en-AU"/>
        </w:rPr>
        <w:t>Class Order [CO 14/1000] Employee incentive schemes: Listed bodies , Class Order [CO 14/1001] Employee incentive schemes: Unlisted bodies </w:t>
      </w:r>
      <w:r w:rsidR="00672008">
        <w:rPr>
          <w:rFonts w:eastAsia="Times New Roman"/>
          <w:sz w:val="24"/>
          <w:szCs w:val="24"/>
          <w:lang w:eastAsia="en-AU"/>
        </w:rPr>
        <w:t xml:space="preserve"> and </w:t>
      </w:r>
      <w:r w:rsidR="00672008" w:rsidRPr="00E056B9">
        <w:rPr>
          <w:rFonts w:eastAsia="Times New Roman"/>
          <w:sz w:val="24"/>
          <w:szCs w:val="24"/>
          <w:lang w:eastAsia="en-AU"/>
        </w:rPr>
        <w:t>Class Order [CO 14/978] Employee incentive schemes: Personal offers </w:t>
      </w:r>
      <w:r w:rsidR="000326F8" w:rsidRPr="00E056B9">
        <w:rPr>
          <w:rFonts w:eastAsia="Times New Roman"/>
          <w:sz w:val="24"/>
          <w:szCs w:val="24"/>
          <w:lang w:eastAsia="en-AU"/>
        </w:rPr>
        <w:t>, which</w:t>
      </w:r>
      <w:r w:rsidR="00672008" w:rsidRPr="00E056B9">
        <w:rPr>
          <w:rFonts w:eastAsia="Times New Roman"/>
          <w:sz w:val="24"/>
          <w:szCs w:val="24"/>
          <w:lang w:eastAsia="en-AU"/>
        </w:rPr>
        <w:t xml:space="preserve"> </w:t>
      </w:r>
      <w:r w:rsidR="005E4EB3">
        <w:rPr>
          <w:rFonts w:eastAsia="Times New Roman"/>
          <w:sz w:val="24"/>
          <w:szCs w:val="24"/>
          <w:lang w:eastAsia="en-AU"/>
        </w:rPr>
        <w:t xml:space="preserve">were repealed by </w:t>
      </w:r>
      <w:r w:rsidR="005E4EB3" w:rsidRPr="005E4EB3">
        <w:rPr>
          <w:rFonts w:eastAsia="Times New Roman"/>
          <w:i/>
          <w:iCs/>
          <w:sz w:val="24"/>
          <w:szCs w:val="24"/>
          <w:lang w:eastAsia="en-AU"/>
        </w:rPr>
        <w:t>ASIC Corporations (Repeal) Instrument 2025/170</w:t>
      </w:r>
      <w:r w:rsidR="005E4EB3">
        <w:rPr>
          <w:rFonts w:eastAsia="Times New Roman"/>
          <w:sz w:val="24"/>
          <w:szCs w:val="24"/>
          <w:lang w:eastAsia="en-AU"/>
        </w:rPr>
        <w:t xml:space="preserve"> and were due to expire </w:t>
      </w:r>
      <w:r w:rsidR="00672008" w:rsidRPr="00E056B9">
        <w:rPr>
          <w:rFonts w:eastAsia="Times New Roman"/>
          <w:sz w:val="24"/>
          <w:szCs w:val="24"/>
          <w:lang w:eastAsia="en-AU"/>
        </w:rPr>
        <w:t>on 1 April 2025 under s</w:t>
      </w:r>
      <w:r w:rsidR="000950AE">
        <w:rPr>
          <w:rFonts w:eastAsia="Times New Roman"/>
          <w:sz w:val="24"/>
          <w:szCs w:val="24"/>
          <w:lang w:eastAsia="en-AU"/>
        </w:rPr>
        <w:t xml:space="preserve">ection </w:t>
      </w:r>
      <w:r w:rsidR="00672008" w:rsidRPr="00E056B9">
        <w:rPr>
          <w:rFonts w:eastAsia="Times New Roman"/>
          <w:sz w:val="24"/>
          <w:szCs w:val="24"/>
          <w:lang w:eastAsia="en-AU"/>
        </w:rPr>
        <w:t xml:space="preserve">50 of the </w:t>
      </w:r>
      <w:r w:rsidR="00672008" w:rsidRPr="00AF569B">
        <w:rPr>
          <w:rFonts w:eastAsia="Times New Roman"/>
          <w:i/>
          <w:iCs/>
          <w:sz w:val="24"/>
          <w:szCs w:val="24"/>
          <w:lang w:eastAsia="en-AU"/>
        </w:rPr>
        <w:t>Legislation Act 2003</w:t>
      </w:r>
      <w:r w:rsidR="00672008" w:rsidRPr="00E056B9">
        <w:rPr>
          <w:rFonts w:eastAsia="Times New Roman"/>
          <w:sz w:val="24"/>
          <w:szCs w:val="24"/>
          <w:lang w:eastAsia="en-AU"/>
        </w:rPr>
        <w:t>.</w:t>
      </w:r>
      <w:r w:rsidR="00356BCD">
        <w:rPr>
          <w:rFonts w:eastAsia="Times New Roman"/>
          <w:sz w:val="24"/>
          <w:szCs w:val="24"/>
          <w:lang w:eastAsia="en-AU"/>
        </w:rPr>
        <w:t>T</w:t>
      </w:r>
      <w:r w:rsidR="005D67F3">
        <w:rPr>
          <w:rFonts w:eastAsia="Times New Roman"/>
          <w:sz w:val="24"/>
          <w:szCs w:val="24"/>
          <w:lang w:eastAsia="en-AU"/>
        </w:rPr>
        <w:t>his i</w:t>
      </w:r>
      <w:r w:rsidR="00356BCD">
        <w:rPr>
          <w:rFonts w:eastAsia="Times New Roman"/>
          <w:sz w:val="24"/>
          <w:szCs w:val="24"/>
          <w:lang w:eastAsia="en-AU"/>
        </w:rPr>
        <w:t xml:space="preserve">nstrument provides </w:t>
      </w:r>
      <w:r w:rsidR="00A3125C">
        <w:rPr>
          <w:rFonts w:eastAsia="Times New Roman"/>
          <w:sz w:val="24"/>
          <w:szCs w:val="24"/>
          <w:lang w:eastAsia="en-AU"/>
        </w:rPr>
        <w:t>relief</w:t>
      </w:r>
      <w:r w:rsidR="00AF569B">
        <w:rPr>
          <w:rFonts w:eastAsia="Times New Roman"/>
          <w:sz w:val="24"/>
          <w:szCs w:val="24"/>
          <w:lang w:eastAsia="en-AU"/>
        </w:rPr>
        <w:t xml:space="preserve"> from requirements under the </w:t>
      </w:r>
      <w:r w:rsidR="00AF569B" w:rsidRPr="00AF569B">
        <w:rPr>
          <w:rFonts w:eastAsia="Times New Roman"/>
          <w:i/>
          <w:iCs/>
          <w:sz w:val="24"/>
          <w:szCs w:val="24"/>
          <w:lang w:eastAsia="en-AU"/>
        </w:rPr>
        <w:t>Corporations Act 2001</w:t>
      </w:r>
      <w:r w:rsidR="00E27A30">
        <w:rPr>
          <w:rFonts w:eastAsia="Times New Roman"/>
          <w:sz w:val="24"/>
          <w:szCs w:val="24"/>
          <w:lang w:eastAsia="en-AU"/>
        </w:rPr>
        <w:t xml:space="preserve"> </w:t>
      </w:r>
      <w:r w:rsidR="009562AF">
        <w:rPr>
          <w:rFonts w:eastAsia="Times New Roman"/>
          <w:sz w:val="24"/>
          <w:szCs w:val="24"/>
          <w:lang w:eastAsia="en-AU"/>
        </w:rPr>
        <w:t>to assist entities</w:t>
      </w:r>
      <w:r w:rsidR="00D755B4">
        <w:rPr>
          <w:rFonts w:eastAsia="Times New Roman"/>
          <w:sz w:val="24"/>
          <w:szCs w:val="24"/>
          <w:lang w:eastAsia="en-AU"/>
        </w:rPr>
        <w:t xml:space="preserve"> to</w:t>
      </w:r>
      <w:r w:rsidR="009562AF">
        <w:rPr>
          <w:rFonts w:eastAsia="Times New Roman"/>
          <w:sz w:val="24"/>
          <w:szCs w:val="24"/>
          <w:lang w:eastAsia="en-AU"/>
        </w:rPr>
        <w:t xml:space="preserve"> meet their </w:t>
      </w:r>
      <w:r w:rsidR="005D67F3">
        <w:rPr>
          <w:rFonts w:eastAsia="Times New Roman"/>
          <w:sz w:val="24"/>
          <w:szCs w:val="24"/>
          <w:lang w:eastAsia="en-AU"/>
        </w:rPr>
        <w:t xml:space="preserve">remaining </w:t>
      </w:r>
      <w:r w:rsidR="009562AF">
        <w:rPr>
          <w:rFonts w:eastAsia="Times New Roman"/>
          <w:sz w:val="24"/>
          <w:szCs w:val="24"/>
          <w:lang w:eastAsia="en-AU"/>
        </w:rPr>
        <w:t xml:space="preserve">obligations under employee incentive schemes established in reliance on </w:t>
      </w:r>
      <w:r w:rsidR="005E4EB3">
        <w:rPr>
          <w:rFonts w:eastAsia="Times New Roman"/>
          <w:sz w:val="24"/>
          <w:szCs w:val="24"/>
          <w:lang w:eastAsia="en-AU"/>
        </w:rPr>
        <w:t>[</w:t>
      </w:r>
      <w:r w:rsidR="005D67F3">
        <w:rPr>
          <w:rFonts w:eastAsia="Times New Roman"/>
          <w:sz w:val="24"/>
          <w:szCs w:val="24"/>
          <w:lang w:eastAsia="en-AU"/>
        </w:rPr>
        <w:t>CO 14/1000</w:t>
      </w:r>
      <w:r w:rsidR="005E4EB3">
        <w:rPr>
          <w:rFonts w:eastAsia="Times New Roman"/>
          <w:sz w:val="24"/>
          <w:szCs w:val="24"/>
          <w:lang w:eastAsia="en-AU"/>
        </w:rPr>
        <w:t>]</w:t>
      </w:r>
      <w:r w:rsidR="005D67F3">
        <w:rPr>
          <w:rFonts w:eastAsia="Times New Roman"/>
          <w:sz w:val="24"/>
          <w:szCs w:val="24"/>
          <w:lang w:eastAsia="en-AU"/>
        </w:rPr>
        <w:t xml:space="preserve"> and </w:t>
      </w:r>
      <w:r w:rsidR="005E4EB3">
        <w:rPr>
          <w:rFonts w:eastAsia="Times New Roman"/>
          <w:sz w:val="24"/>
          <w:szCs w:val="24"/>
          <w:lang w:eastAsia="en-AU"/>
        </w:rPr>
        <w:t>[</w:t>
      </w:r>
      <w:r w:rsidR="005D67F3">
        <w:rPr>
          <w:rFonts w:eastAsia="Times New Roman"/>
          <w:sz w:val="24"/>
          <w:szCs w:val="24"/>
          <w:lang w:eastAsia="en-AU"/>
        </w:rPr>
        <w:t>CO 14/1001</w:t>
      </w:r>
      <w:r w:rsidR="005E4EB3">
        <w:rPr>
          <w:rFonts w:eastAsia="Times New Roman"/>
          <w:sz w:val="24"/>
          <w:szCs w:val="24"/>
          <w:lang w:eastAsia="en-AU"/>
        </w:rPr>
        <w:t>]</w:t>
      </w:r>
      <w:r w:rsidR="005D67F3">
        <w:rPr>
          <w:rFonts w:eastAsia="Times New Roman"/>
          <w:sz w:val="24"/>
          <w:szCs w:val="24"/>
          <w:lang w:eastAsia="en-AU"/>
        </w:rPr>
        <w:t>.</w:t>
      </w:r>
    </w:p>
    <w:p w14:paraId="79BCB1A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56F8130E" w14:textId="3E4E6A5A" w:rsidR="00946759" w:rsidRPr="00EA17A6" w:rsidRDefault="00CB2D96" w:rsidP="00D306F8">
      <w:pPr>
        <w:pStyle w:val="LI-BodyTextNumbered"/>
        <w:ind w:left="567"/>
      </w:pPr>
      <w:r w:rsidRPr="00EA17A6">
        <w:t>2</w:t>
      </w:r>
      <w:r w:rsidR="001872DC" w:rsidRPr="00EA17A6">
        <w:t>.</w:t>
      </w:r>
      <w:r w:rsidR="001872DC" w:rsidRPr="00EA17A6">
        <w:tab/>
      </w:r>
      <w:bookmarkEnd w:id="4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5D67F3">
        <w:t>.</w:t>
      </w:r>
      <w:r w:rsidR="00435EEF" w:rsidRPr="00EA17A6">
        <w:t xml:space="preserve"> </w:t>
      </w:r>
      <w:r w:rsidRPr="00EA17A6">
        <w:br/>
      </w:r>
      <w:r w:rsidR="00946759" w:rsidRPr="00EA17A6">
        <w:t xml:space="preserve"> 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77777777" w:rsidR="00CB2D96" w:rsidRPr="00EA17A6" w:rsidRDefault="00CB2D96" w:rsidP="00CB2D96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3FE3" w14:textId="77777777" w:rsidR="002262C3" w:rsidRDefault="002262C3" w:rsidP="00715914">
      <w:pPr>
        <w:spacing w:line="240" w:lineRule="auto"/>
      </w:pPr>
      <w:r>
        <w:separator/>
      </w:r>
    </w:p>
  </w:endnote>
  <w:endnote w:type="continuationSeparator" w:id="0">
    <w:p w14:paraId="1951C450" w14:textId="77777777" w:rsidR="002262C3" w:rsidRDefault="002262C3" w:rsidP="00715914">
      <w:pPr>
        <w:spacing w:line="240" w:lineRule="auto"/>
      </w:pPr>
      <w:r>
        <w:continuationSeparator/>
      </w:r>
    </w:p>
  </w:endnote>
  <w:endnote w:type="continuationNotice" w:id="1">
    <w:p w14:paraId="1A6219D0" w14:textId="77777777" w:rsidR="002262C3" w:rsidRDefault="002262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2942B09C-451F-4AC1-8AF5-371798822132}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7D7B" w14:textId="77777777" w:rsidR="002262C3" w:rsidRDefault="002262C3" w:rsidP="00715914">
      <w:pPr>
        <w:spacing w:line="240" w:lineRule="auto"/>
      </w:pPr>
      <w:r>
        <w:separator/>
      </w:r>
    </w:p>
  </w:footnote>
  <w:footnote w:type="continuationSeparator" w:id="0">
    <w:p w14:paraId="4D124905" w14:textId="77777777" w:rsidR="002262C3" w:rsidRDefault="002262C3" w:rsidP="00715914">
      <w:pPr>
        <w:spacing w:line="240" w:lineRule="auto"/>
      </w:pPr>
      <w:r>
        <w:continuationSeparator/>
      </w:r>
    </w:p>
  </w:footnote>
  <w:footnote w:type="continuationNotice" w:id="1">
    <w:p w14:paraId="71515F11" w14:textId="77777777" w:rsidR="002262C3" w:rsidRDefault="002262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2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0027"/>
    <w:rsid w:val="00002293"/>
    <w:rsid w:val="00002C64"/>
    <w:rsid w:val="00004470"/>
    <w:rsid w:val="00005068"/>
    <w:rsid w:val="00005446"/>
    <w:rsid w:val="000136AF"/>
    <w:rsid w:val="00013B8D"/>
    <w:rsid w:val="0001519A"/>
    <w:rsid w:val="00015719"/>
    <w:rsid w:val="0001647C"/>
    <w:rsid w:val="00020FD5"/>
    <w:rsid w:val="00023D53"/>
    <w:rsid w:val="000302CD"/>
    <w:rsid w:val="000302D9"/>
    <w:rsid w:val="00031F0D"/>
    <w:rsid w:val="000326F8"/>
    <w:rsid w:val="00041842"/>
    <w:rsid w:val="000437C1"/>
    <w:rsid w:val="0005106A"/>
    <w:rsid w:val="000524F7"/>
    <w:rsid w:val="0005365D"/>
    <w:rsid w:val="000604AA"/>
    <w:rsid w:val="000614BF"/>
    <w:rsid w:val="000621C4"/>
    <w:rsid w:val="0006250C"/>
    <w:rsid w:val="00062B34"/>
    <w:rsid w:val="00063CBA"/>
    <w:rsid w:val="000702D7"/>
    <w:rsid w:val="000717BF"/>
    <w:rsid w:val="0007225A"/>
    <w:rsid w:val="00074872"/>
    <w:rsid w:val="00075392"/>
    <w:rsid w:val="00081673"/>
    <w:rsid w:val="00081794"/>
    <w:rsid w:val="00081C9D"/>
    <w:rsid w:val="000829C2"/>
    <w:rsid w:val="000849CF"/>
    <w:rsid w:val="00084FF4"/>
    <w:rsid w:val="00086852"/>
    <w:rsid w:val="00086BD8"/>
    <w:rsid w:val="000950AE"/>
    <w:rsid w:val="000A142F"/>
    <w:rsid w:val="000A5237"/>
    <w:rsid w:val="000A6C39"/>
    <w:rsid w:val="000B16E0"/>
    <w:rsid w:val="000B58FA"/>
    <w:rsid w:val="000B5BC4"/>
    <w:rsid w:val="000B61E1"/>
    <w:rsid w:val="000B654F"/>
    <w:rsid w:val="000C0DA8"/>
    <w:rsid w:val="000C0E09"/>
    <w:rsid w:val="000C123C"/>
    <w:rsid w:val="000C1E73"/>
    <w:rsid w:val="000C55A0"/>
    <w:rsid w:val="000D041F"/>
    <w:rsid w:val="000D05EF"/>
    <w:rsid w:val="000E2261"/>
    <w:rsid w:val="000E3C2E"/>
    <w:rsid w:val="000E4DFD"/>
    <w:rsid w:val="000F21C1"/>
    <w:rsid w:val="000F5A10"/>
    <w:rsid w:val="000F5AC6"/>
    <w:rsid w:val="000F6075"/>
    <w:rsid w:val="000F79DC"/>
    <w:rsid w:val="0010269D"/>
    <w:rsid w:val="00102CA6"/>
    <w:rsid w:val="00103BB9"/>
    <w:rsid w:val="0010745C"/>
    <w:rsid w:val="00115B93"/>
    <w:rsid w:val="00125141"/>
    <w:rsid w:val="00130037"/>
    <w:rsid w:val="00132CEB"/>
    <w:rsid w:val="00136AFF"/>
    <w:rsid w:val="0014187E"/>
    <w:rsid w:val="0014220D"/>
    <w:rsid w:val="00142B62"/>
    <w:rsid w:val="00142DE5"/>
    <w:rsid w:val="00146B41"/>
    <w:rsid w:val="001508A6"/>
    <w:rsid w:val="00150B42"/>
    <w:rsid w:val="00150F49"/>
    <w:rsid w:val="00153B32"/>
    <w:rsid w:val="00155470"/>
    <w:rsid w:val="00157B8B"/>
    <w:rsid w:val="0016208D"/>
    <w:rsid w:val="001624E1"/>
    <w:rsid w:val="0016525A"/>
    <w:rsid w:val="00166C2F"/>
    <w:rsid w:val="00170C92"/>
    <w:rsid w:val="00171A6E"/>
    <w:rsid w:val="00173692"/>
    <w:rsid w:val="0017722B"/>
    <w:rsid w:val="00177EF0"/>
    <w:rsid w:val="001805C6"/>
    <w:rsid w:val="001809D7"/>
    <w:rsid w:val="00181229"/>
    <w:rsid w:val="001812CD"/>
    <w:rsid w:val="00181F93"/>
    <w:rsid w:val="001853E5"/>
    <w:rsid w:val="001863C3"/>
    <w:rsid w:val="0018659E"/>
    <w:rsid w:val="001872DC"/>
    <w:rsid w:val="001879EE"/>
    <w:rsid w:val="001939E1"/>
    <w:rsid w:val="00194C3E"/>
    <w:rsid w:val="00195382"/>
    <w:rsid w:val="00195BD4"/>
    <w:rsid w:val="001A52F3"/>
    <w:rsid w:val="001A5E96"/>
    <w:rsid w:val="001A65FD"/>
    <w:rsid w:val="001B16BF"/>
    <w:rsid w:val="001B2CE9"/>
    <w:rsid w:val="001B3FDA"/>
    <w:rsid w:val="001C0D49"/>
    <w:rsid w:val="001C4EFD"/>
    <w:rsid w:val="001C61C5"/>
    <w:rsid w:val="001C69C4"/>
    <w:rsid w:val="001C786C"/>
    <w:rsid w:val="001D11B1"/>
    <w:rsid w:val="001D37EF"/>
    <w:rsid w:val="001D7567"/>
    <w:rsid w:val="001E0522"/>
    <w:rsid w:val="001E16D2"/>
    <w:rsid w:val="001E1B7C"/>
    <w:rsid w:val="001E3590"/>
    <w:rsid w:val="001E7407"/>
    <w:rsid w:val="001E77ED"/>
    <w:rsid w:val="001E7A3F"/>
    <w:rsid w:val="001E7E2B"/>
    <w:rsid w:val="001F02B1"/>
    <w:rsid w:val="001F11F1"/>
    <w:rsid w:val="001F165E"/>
    <w:rsid w:val="001F5D5E"/>
    <w:rsid w:val="001F6219"/>
    <w:rsid w:val="001F6CD4"/>
    <w:rsid w:val="00202148"/>
    <w:rsid w:val="00206C4D"/>
    <w:rsid w:val="00206D46"/>
    <w:rsid w:val="00206DBC"/>
    <w:rsid w:val="0021053C"/>
    <w:rsid w:val="00210CC1"/>
    <w:rsid w:val="0021258D"/>
    <w:rsid w:val="00213784"/>
    <w:rsid w:val="00215AF1"/>
    <w:rsid w:val="00216D43"/>
    <w:rsid w:val="0022087F"/>
    <w:rsid w:val="00220A36"/>
    <w:rsid w:val="002239BF"/>
    <w:rsid w:val="00223DCF"/>
    <w:rsid w:val="002262C3"/>
    <w:rsid w:val="00226ECF"/>
    <w:rsid w:val="002321E8"/>
    <w:rsid w:val="002359A8"/>
    <w:rsid w:val="00236EEC"/>
    <w:rsid w:val="0024010F"/>
    <w:rsid w:val="00240749"/>
    <w:rsid w:val="00240F09"/>
    <w:rsid w:val="00243018"/>
    <w:rsid w:val="00243EC0"/>
    <w:rsid w:val="00244742"/>
    <w:rsid w:val="00246D09"/>
    <w:rsid w:val="00247BC9"/>
    <w:rsid w:val="00247D5F"/>
    <w:rsid w:val="00255561"/>
    <w:rsid w:val="002564A4"/>
    <w:rsid w:val="002605EF"/>
    <w:rsid w:val="00261487"/>
    <w:rsid w:val="0026421B"/>
    <w:rsid w:val="002651EA"/>
    <w:rsid w:val="0026736C"/>
    <w:rsid w:val="00274B10"/>
    <w:rsid w:val="00274BAA"/>
    <w:rsid w:val="00281308"/>
    <w:rsid w:val="002813D1"/>
    <w:rsid w:val="00281813"/>
    <w:rsid w:val="00282592"/>
    <w:rsid w:val="0028393C"/>
    <w:rsid w:val="00284059"/>
    <w:rsid w:val="00284719"/>
    <w:rsid w:val="00286A34"/>
    <w:rsid w:val="00290CFC"/>
    <w:rsid w:val="00293121"/>
    <w:rsid w:val="00293E1B"/>
    <w:rsid w:val="00297ECB"/>
    <w:rsid w:val="002A296A"/>
    <w:rsid w:val="002A54E5"/>
    <w:rsid w:val="002A5B08"/>
    <w:rsid w:val="002A6EBD"/>
    <w:rsid w:val="002A7328"/>
    <w:rsid w:val="002A7BCF"/>
    <w:rsid w:val="002B19F3"/>
    <w:rsid w:val="002B1A91"/>
    <w:rsid w:val="002B4A0D"/>
    <w:rsid w:val="002B6DBE"/>
    <w:rsid w:val="002C0164"/>
    <w:rsid w:val="002C4033"/>
    <w:rsid w:val="002C7B6F"/>
    <w:rsid w:val="002D043A"/>
    <w:rsid w:val="002D475D"/>
    <w:rsid w:val="002D6224"/>
    <w:rsid w:val="002D7785"/>
    <w:rsid w:val="002E3F4B"/>
    <w:rsid w:val="002F1FD5"/>
    <w:rsid w:val="002F20CE"/>
    <w:rsid w:val="00304F8B"/>
    <w:rsid w:val="00305AB8"/>
    <w:rsid w:val="003134F1"/>
    <w:rsid w:val="00314D74"/>
    <w:rsid w:val="003161B5"/>
    <w:rsid w:val="00317293"/>
    <w:rsid w:val="00327DDF"/>
    <w:rsid w:val="00330552"/>
    <w:rsid w:val="003354D2"/>
    <w:rsid w:val="00335BC6"/>
    <w:rsid w:val="0033768B"/>
    <w:rsid w:val="003415D3"/>
    <w:rsid w:val="0034269F"/>
    <w:rsid w:val="00344701"/>
    <w:rsid w:val="003528DA"/>
    <w:rsid w:val="00352B0F"/>
    <w:rsid w:val="00353871"/>
    <w:rsid w:val="0035425E"/>
    <w:rsid w:val="00355A09"/>
    <w:rsid w:val="00356690"/>
    <w:rsid w:val="00356BCD"/>
    <w:rsid w:val="00357DD0"/>
    <w:rsid w:val="00360459"/>
    <w:rsid w:val="00365497"/>
    <w:rsid w:val="00380742"/>
    <w:rsid w:val="00382830"/>
    <w:rsid w:val="00383463"/>
    <w:rsid w:val="00387A96"/>
    <w:rsid w:val="003A2178"/>
    <w:rsid w:val="003A2A48"/>
    <w:rsid w:val="003A310E"/>
    <w:rsid w:val="003A412E"/>
    <w:rsid w:val="003A6E07"/>
    <w:rsid w:val="003B05B5"/>
    <w:rsid w:val="003B28C3"/>
    <w:rsid w:val="003B2A0E"/>
    <w:rsid w:val="003B2BD4"/>
    <w:rsid w:val="003B3E54"/>
    <w:rsid w:val="003B6F96"/>
    <w:rsid w:val="003B732F"/>
    <w:rsid w:val="003C1E9C"/>
    <w:rsid w:val="003C6231"/>
    <w:rsid w:val="003D0BFE"/>
    <w:rsid w:val="003D5700"/>
    <w:rsid w:val="003E0F99"/>
    <w:rsid w:val="003E341B"/>
    <w:rsid w:val="003E4A32"/>
    <w:rsid w:val="003E64F2"/>
    <w:rsid w:val="003F12B4"/>
    <w:rsid w:val="003F3EFD"/>
    <w:rsid w:val="003F42C6"/>
    <w:rsid w:val="003F4385"/>
    <w:rsid w:val="003F4CAE"/>
    <w:rsid w:val="0040053F"/>
    <w:rsid w:val="00402E60"/>
    <w:rsid w:val="004102C8"/>
    <w:rsid w:val="004116CD"/>
    <w:rsid w:val="00413A60"/>
    <w:rsid w:val="004144EC"/>
    <w:rsid w:val="00417EB9"/>
    <w:rsid w:val="00420D98"/>
    <w:rsid w:val="0042260E"/>
    <w:rsid w:val="00424CA9"/>
    <w:rsid w:val="00425508"/>
    <w:rsid w:val="00426EC7"/>
    <w:rsid w:val="0042756D"/>
    <w:rsid w:val="00427B60"/>
    <w:rsid w:val="00431E9B"/>
    <w:rsid w:val="004330C7"/>
    <w:rsid w:val="00435EEF"/>
    <w:rsid w:val="00436857"/>
    <w:rsid w:val="004379E3"/>
    <w:rsid w:val="0044015E"/>
    <w:rsid w:val="0044291A"/>
    <w:rsid w:val="00444ABD"/>
    <w:rsid w:val="004459AF"/>
    <w:rsid w:val="004459EB"/>
    <w:rsid w:val="00447DB4"/>
    <w:rsid w:val="0045007F"/>
    <w:rsid w:val="0045059E"/>
    <w:rsid w:val="00451344"/>
    <w:rsid w:val="00452CE1"/>
    <w:rsid w:val="00454D4F"/>
    <w:rsid w:val="00460F1D"/>
    <w:rsid w:val="00465D93"/>
    <w:rsid w:val="00465DC1"/>
    <w:rsid w:val="00467661"/>
    <w:rsid w:val="004705B7"/>
    <w:rsid w:val="00472DBE"/>
    <w:rsid w:val="00474A19"/>
    <w:rsid w:val="00474B52"/>
    <w:rsid w:val="0047569C"/>
    <w:rsid w:val="0047600E"/>
    <w:rsid w:val="00481C24"/>
    <w:rsid w:val="00481F6A"/>
    <w:rsid w:val="004823C0"/>
    <w:rsid w:val="004823D1"/>
    <w:rsid w:val="0048254A"/>
    <w:rsid w:val="0048276B"/>
    <w:rsid w:val="00486B79"/>
    <w:rsid w:val="00495D4D"/>
    <w:rsid w:val="00496B5F"/>
    <w:rsid w:val="00496F97"/>
    <w:rsid w:val="00497A19"/>
    <w:rsid w:val="004A0EA7"/>
    <w:rsid w:val="004A3F99"/>
    <w:rsid w:val="004A44FC"/>
    <w:rsid w:val="004A7351"/>
    <w:rsid w:val="004B0332"/>
    <w:rsid w:val="004B58FB"/>
    <w:rsid w:val="004B5B44"/>
    <w:rsid w:val="004C1CB1"/>
    <w:rsid w:val="004D0555"/>
    <w:rsid w:val="004D0AE7"/>
    <w:rsid w:val="004D3ED4"/>
    <w:rsid w:val="004D7E7F"/>
    <w:rsid w:val="004E063A"/>
    <w:rsid w:val="004E2DFB"/>
    <w:rsid w:val="004E7BEC"/>
    <w:rsid w:val="0050044F"/>
    <w:rsid w:val="00501C91"/>
    <w:rsid w:val="00503AA7"/>
    <w:rsid w:val="00504154"/>
    <w:rsid w:val="00505D3D"/>
    <w:rsid w:val="00506AF6"/>
    <w:rsid w:val="00507335"/>
    <w:rsid w:val="00513BDD"/>
    <w:rsid w:val="00516B8D"/>
    <w:rsid w:val="005176DA"/>
    <w:rsid w:val="00517E56"/>
    <w:rsid w:val="00520EC5"/>
    <w:rsid w:val="0052577C"/>
    <w:rsid w:val="00532049"/>
    <w:rsid w:val="005333F0"/>
    <w:rsid w:val="00533582"/>
    <w:rsid w:val="0053466C"/>
    <w:rsid w:val="005356A7"/>
    <w:rsid w:val="00536184"/>
    <w:rsid w:val="00537741"/>
    <w:rsid w:val="00537FBC"/>
    <w:rsid w:val="00543D15"/>
    <w:rsid w:val="00546430"/>
    <w:rsid w:val="0054684A"/>
    <w:rsid w:val="0054694B"/>
    <w:rsid w:val="00547D7D"/>
    <w:rsid w:val="00547E5F"/>
    <w:rsid w:val="005574D1"/>
    <w:rsid w:val="0056177A"/>
    <w:rsid w:val="00561ABB"/>
    <w:rsid w:val="00563A66"/>
    <w:rsid w:val="00563AC9"/>
    <w:rsid w:val="00564784"/>
    <w:rsid w:val="005657FE"/>
    <w:rsid w:val="00571020"/>
    <w:rsid w:val="00572BB1"/>
    <w:rsid w:val="00574551"/>
    <w:rsid w:val="00574744"/>
    <w:rsid w:val="0057670F"/>
    <w:rsid w:val="00576E06"/>
    <w:rsid w:val="00580856"/>
    <w:rsid w:val="00584811"/>
    <w:rsid w:val="00585784"/>
    <w:rsid w:val="00592409"/>
    <w:rsid w:val="00593AA6"/>
    <w:rsid w:val="00594161"/>
    <w:rsid w:val="00594749"/>
    <w:rsid w:val="005A05EA"/>
    <w:rsid w:val="005A1DCE"/>
    <w:rsid w:val="005A1E16"/>
    <w:rsid w:val="005A205B"/>
    <w:rsid w:val="005B1A3C"/>
    <w:rsid w:val="005B32D1"/>
    <w:rsid w:val="005B4067"/>
    <w:rsid w:val="005B780C"/>
    <w:rsid w:val="005B78C5"/>
    <w:rsid w:val="005C21E5"/>
    <w:rsid w:val="005C3C31"/>
    <w:rsid w:val="005C3F41"/>
    <w:rsid w:val="005D0096"/>
    <w:rsid w:val="005D01A4"/>
    <w:rsid w:val="005D0489"/>
    <w:rsid w:val="005D1770"/>
    <w:rsid w:val="005D1B81"/>
    <w:rsid w:val="005D1FEA"/>
    <w:rsid w:val="005D2D09"/>
    <w:rsid w:val="005D3D41"/>
    <w:rsid w:val="005D53F5"/>
    <w:rsid w:val="005D67F3"/>
    <w:rsid w:val="005D6AE0"/>
    <w:rsid w:val="005D7050"/>
    <w:rsid w:val="005E4810"/>
    <w:rsid w:val="005E4EB3"/>
    <w:rsid w:val="005E5A25"/>
    <w:rsid w:val="005F15B0"/>
    <w:rsid w:val="005F1DB6"/>
    <w:rsid w:val="005F4140"/>
    <w:rsid w:val="005F65CD"/>
    <w:rsid w:val="005F76BE"/>
    <w:rsid w:val="00600219"/>
    <w:rsid w:val="00601955"/>
    <w:rsid w:val="00603DC4"/>
    <w:rsid w:val="00604A4E"/>
    <w:rsid w:val="006067B8"/>
    <w:rsid w:val="00607A71"/>
    <w:rsid w:val="00610709"/>
    <w:rsid w:val="006117CB"/>
    <w:rsid w:val="00611C47"/>
    <w:rsid w:val="006167E9"/>
    <w:rsid w:val="00620076"/>
    <w:rsid w:val="00624316"/>
    <w:rsid w:val="00627D59"/>
    <w:rsid w:val="00631D3D"/>
    <w:rsid w:val="00632C57"/>
    <w:rsid w:val="00634044"/>
    <w:rsid w:val="0063461F"/>
    <w:rsid w:val="00635377"/>
    <w:rsid w:val="00640161"/>
    <w:rsid w:val="00643B39"/>
    <w:rsid w:val="00650FE5"/>
    <w:rsid w:val="00652769"/>
    <w:rsid w:val="0065542F"/>
    <w:rsid w:val="006554FF"/>
    <w:rsid w:val="006558B1"/>
    <w:rsid w:val="006704A2"/>
    <w:rsid w:val="00670752"/>
    <w:rsid w:val="00670EA1"/>
    <w:rsid w:val="006716E8"/>
    <w:rsid w:val="00672008"/>
    <w:rsid w:val="00677CC2"/>
    <w:rsid w:val="00681E89"/>
    <w:rsid w:val="0068300B"/>
    <w:rsid w:val="006903D7"/>
    <w:rsid w:val="006905DE"/>
    <w:rsid w:val="0069207B"/>
    <w:rsid w:val="00693F29"/>
    <w:rsid w:val="0069581C"/>
    <w:rsid w:val="006B2A7C"/>
    <w:rsid w:val="006B5789"/>
    <w:rsid w:val="006B718A"/>
    <w:rsid w:val="006C30C5"/>
    <w:rsid w:val="006C48FA"/>
    <w:rsid w:val="006C74E7"/>
    <w:rsid w:val="006C7F8C"/>
    <w:rsid w:val="006C7FD0"/>
    <w:rsid w:val="006D2D50"/>
    <w:rsid w:val="006D6079"/>
    <w:rsid w:val="006E5320"/>
    <w:rsid w:val="006E6121"/>
    <w:rsid w:val="006E6246"/>
    <w:rsid w:val="006F211B"/>
    <w:rsid w:val="006F318F"/>
    <w:rsid w:val="006F3952"/>
    <w:rsid w:val="006F3C30"/>
    <w:rsid w:val="006F3F93"/>
    <w:rsid w:val="006F4226"/>
    <w:rsid w:val="006F6B34"/>
    <w:rsid w:val="0070017E"/>
    <w:rsid w:val="00700B2C"/>
    <w:rsid w:val="0070254E"/>
    <w:rsid w:val="00702EFD"/>
    <w:rsid w:val="00703056"/>
    <w:rsid w:val="007050A2"/>
    <w:rsid w:val="00713084"/>
    <w:rsid w:val="007136E6"/>
    <w:rsid w:val="0071399B"/>
    <w:rsid w:val="00714543"/>
    <w:rsid w:val="00714F20"/>
    <w:rsid w:val="0071590F"/>
    <w:rsid w:val="00715914"/>
    <w:rsid w:val="00725944"/>
    <w:rsid w:val="0073021E"/>
    <w:rsid w:val="00731E00"/>
    <w:rsid w:val="00741EE8"/>
    <w:rsid w:val="007440B7"/>
    <w:rsid w:val="007500C8"/>
    <w:rsid w:val="00750225"/>
    <w:rsid w:val="007525A7"/>
    <w:rsid w:val="00755E1E"/>
    <w:rsid w:val="00756272"/>
    <w:rsid w:val="0076258C"/>
    <w:rsid w:val="00763E5B"/>
    <w:rsid w:val="00765001"/>
    <w:rsid w:val="007662B5"/>
    <w:rsid w:val="0076681A"/>
    <w:rsid w:val="00766B22"/>
    <w:rsid w:val="00767B73"/>
    <w:rsid w:val="0077106C"/>
    <w:rsid w:val="007715C9"/>
    <w:rsid w:val="00771613"/>
    <w:rsid w:val="00774EDD"/>
    <w:rsid w:val="0077506D"/>
    <w:rsid w:val="0077554F"/>
    <w:rsid w:val="007757EC"/>
    <w:rsid w:val="00776D54"/>
    <w:rsid w:val="007838B8"/>
    <w:rsid w:val="00783E89"/>
    <w:rsid w:val="007842CE"/>
    <w:rsid w:val="0078440B"/>
    <w:rsid w:val="00785A9E"/>
    <w:rsid w:val="00786AC2"/>
    <w:rsid w:val="00793915"/>
    <w:rsid w:val="007941B2"/>
    <w:rsid w:val="007A5241"/>
    <w:rsid w:val="007B2128"/>
    <w:rsid w:val="007B4C4F"/>
    <w:rsid w:val="007B6483"/>
    <w:rsid w:val="007C2253"/>
    <w:rsid w:val="007C27DB"/>
    <w:rsid w:val="007D1F66"/>
    <w:rsid w:val="007D230B"/>
    <w:rsid w:val="007E163D"/>
    <w:rsid w:val="007E667A"/>
    <w:rsid w:val="007F0DD0"/>
    <w:rsid w:val="007F24CE"/>
    <w:rsid w:val="007F28C9"/>
    <w:rsid w:val="0080312D"/>
    <w:rsid w:val="00803587"/>
    <w:rsid w:val="008062F2"/>
    <w:rsid w:val="008117E9"/>
    <w:rsid w:val="00811CAF"/>
    <w:rsid w:val="00815862"/>
    <w:rsid w:val="00817133"/>
    <w:rsid w:val="00824498"/>
    <w:rsid w:val="008346A0"/>
    <w:rsid w:val="00835179"/>
    <w:rsid w:val="008356AC"/>
    <w:rsid w:val="00840442"/>
    <w:rsid w:val="00842476"/>
    <w:rsid w:val="008517D2"/>
    <w:rsid w:val="008527C0"/>
    <w:rsid w:val="00856A31"/>
    <w:rsid w:val="00856B36"/>
    <w:rsid w:val="00860B58"/>
    <w:rsid w:val="00860C87"/>
    <w:rsid w:val="0086240D"/>
    <w:rsid w:val="00863657"/>
    <w:rsid w:val="00867B37"/>
    <w:rsid w:val="008718DD"/>
    <w:rsid w:val="008754D0"/>
    <w:rsid w:val="00880814"/>
    <w:rsid w:val="00880AD7"/>
    <w:rsid w:val="00882610"/>
    <w:rsid w:val="008855C9"/>
    <w:rsid w:val="00886456"/>
    <w:rsid w:val="00886579"/>
    <w:rsid w:val="008867C1"/>
    <w:rsid w:val="00886FA8"/>
    <w:rsid w:val="008925B6"/>
    <w:rsid w:val="00893478"/>
    <w:rsid w:val="00894526"/>
    <w:rsid w:val="008945E0"/>
    <w:rsid w:val="0089527F"/>
    <w:rsid w:val="008A362B"/>
    <w:rsid w:val="008A434C"/>
    <w:rsid w:val="008A46E1"/>
    <w:rsid w:val="008A4F43"/>
    <w:rsid w:val="008A5B49"/>
    <w:rsid w:val="008A75DB"/>
    <w:rsid w:val="008B13D4"/>
    <w:rsid w:val="008B2706"/>
    <w:rsid w:val="008B58BE"/>
    <w:rsid w:val="008C0F29"/>
    <w:rsid w:val="008C2C26"/>
    <w:rsid w:val="008C6CFD"/>
    <w:rsid w:val="008D0B74"/>
    <w:rsid w:val="008D0EE0"/>
    <w:rsid w:val="008D191B"/>
    <w:rsid w:val="008D2E57"/>
    <w:rsid w:val="008D3422"/>
    <w:rsid w:val="008D4AF8"/>
    <w:rsid w:val="008D6E67"/>
    <w:rsid w:val="008E1A43"/>
    <w:rsid w:val="008E6067"/>
    <w:rsid w:val="008E7519"/>
    <w:rsid w:val="008E7A44"/>
    <w:rsid w:val="008E7E7B"/>
    <w:rsid w:val="008E7F50"/>
    <w:rsid w:val="008F0747"/>
    <w:rsid w:val="008F2443"/>
    <w:rsid w:val="008F54E7"/>
    <w:rsid w:val="009016BE"/>
    <w:rsid w:val="00901AFB"/>
    <w:rsid w:val="00903422"/>
    <w:rsid w:val="009043CC"/>
    <w:rsid w:val="00904D94"/>
    <w:rsid w:val="00912A58"/>
    <w:rsid w:val="009157B9"/>
    <w:rsid w:val="00915DF9"/>
    <w:rsid w:val="00922A41"/>
    <w:rsid w:val="009247AB"/>
    <w:rsid w:val="009254C3"/>
    <w:rsid w:val="009258DE"/>
    <w:rsid w:val="00926940"/>
    <w:rsid w:val="00930A0A"/>
    <w:rsid w:val="00932377"/>
    <w:rsid w:val="00940DA5"/>
    <w:rsid w:val="00945AB3"/>
    <w:rsid w:val="009460DC"/>
    <w:rsid w:val="00946759"/>
    <w:rsid w:val="00947D5A"/>
    <w:rsid w:val="009532A5"/>
    <w:rsid w:val="00955175"/>
    <w:rsid w:val="0095528E"/>
    <w:rsid w:val="009562AF"/>
    <w:rsid w:val="00956462"/>
    <w:rsid w:val="00956F2A"/>
    <w:rsid w:val="00964D24"/>
    <w:rsid w:val="0096753E"/>
    <w:rsid w:val="00967FE7"/>
    <w:rsid w:val="00982242"/>
    <w:rsid w:val="00983D9C"/>
    <w:rsid w:val="009868E9"/>
    <w:rsid w:val="00992676"/>
    <w:rsid w:val="009944E6"/>
    <w:rsid w:val="009A2319"/>
    <w:rsid w:val="009A27BF"/>
    <w:rsid w:val="009A30A0"/>
    <w:rsid w:val="009A3A6F"/>
    <w:rsid w:val="009A3F74"/>
    <w:rsid w:val="009A49C9"/>
    <w:rsid w:val="009B057D"/>
    <w:rsid w:val="009B2CF8"/>
    <w:rsid w:val="009B3E29"/>
    <w:rsid w:val="009B483D"/>
    <w:rsid w:val="009C2791"/>
    <w:rsid w:val="009D0343"/>
    <w:rsid w:val="009D09C5"/>
    <w:rsid w:val="009D0A74"/>
    <w:rsid w:val="009D16CD"/>
    <w:rsid w:val="009D1818"/>
    <w:rsid w:val="009D195A"/>
    <w:rsid w:val="009D2205"/>
    <w:rsid w:val="009D24F7"/>
    <w:rsid w:val="009D48F2"/>
    <w:rsid w:val="009D7993"/>
    <w:rsid w:val="009E09FC"/>
    <w:rsid w:val="009E2B38"/>
    <w:rsid w:val="009E5CFC"/>
    <w:rsid w:val="009E75A7"/>
    <w:rsid w:val="009F11FE"/>
    <w:rsid w:val="009F511B"/>
    <w:rsid w:val="00A02CD3"/>
    <w:rsid w:val="00A03AF1"/>
    <w:rsid w:val="00A03FB4"/>
    <w:rsid w:val="00A076E5"/>
    <w:rsid w:val="00A079BE"/>
    <w:rsid w:val="00A079CB"/>
    <w:rsid w:val="00A12128"/>
    <w:rsid w:val="00A12F48"/>
    <w:rsid w:val="00A14F6A"/>
    <w:rsid w:val="00A15512"/>
    <w:rsid w:val="00A161D6"/>
    <w:rsid w:val="00A20A4F"/>
    <w:rsid w:val="00A20B6F"/>
    <w:rsid w:val="00A22C98"/>
    <w:rsid w:val="00A231E2"/>
    <w:rsid w:val="00A24E45"/>
    <w:rsid w:val="00A3125C"/>
    <w:rsid w:val="00A33D55"/>
    <w:rsid w:val="00A34412"/>
    <w:rsid w:val="00A3477B"/>
    <w:rsid w:val="00A40424"/>
    <w:rsid w:val="00A41CE2"/>
    <w:rsid w:val="00A43C58"/>
    <w:rsid w:val="00A43CBB"/>
    <w:rsid w:val="00A44C99"/>
    <w:rsid w:val="00A47EA8"/>
    <w:rsid w:val="00A52B0F"/>
    <w:rsid w:val="00A559B3"/>
    <w:rsid w:val="00A56025"/>
    <w:rsid w:val="00A5632E"/>
    <w:rsid w:val="00A566A5"/>
    <w:rsid w:val="00A56ED8"/>
    <w:rsid w:val="00A64912"/>
    <w:rsid w:val="00A659E4"/>
    <w:rsid w:val="00A70A74"/>
    <w:rsid w:val="00A75B39"/>
    <w:rsid w:val="00A8092C"/>
    <w:rsid w:val="00A81ABA"/>
    <w:rsid w:val="00A901D4"/>
    <w:rsid w:val="00A91966"/>
    <w:rsid w:val="00A9253F"/>
    <w:rsid w:val="00A96CEB"/>
    <w:rsid w:val="00AA04F8"/>
    <w:rsid w:val="00AA4AD2"/>
    <w:rsid w:val="00AA66AC"/>
    <w:rsid w:val="00AB1D3E"/>
    <w:rsid w:val="00AB1DE8"/>
    <w:rsid w:val="00AB2179"/>
    <w:rsid w:val="00AB69D9"/>
    <w:rsid w:val="00AC0886"/>
    <w:rsid w:val="00AC20BB"/>
    <w:rsid w:val="00AC58CC"/>
    <w:rsid w:val="00AC76BE"/>
    <w:rsid w:val="00AD02B8"/>
    <w:rsid w:val="00AD1A7B"/>
    <w:rsid w:val="00AD1F73"/>
    <w:rsid w:val="00AD4542"/>
    <w:rsid w:val="00AD476E"/>
    <w:rsid w:val="00AD5315"/>
    <w:rsid w:val="00AD5641"/>
    <w:rsid w:val="00AD57D1"/>
    <w:rsid w:val="00AD7889"/>
    <w:rsid w:val="00AE4257"/>
    <w:rsid w:val="00AE6D8A"/>
    <w:rsid w:val="00AE787B"/>
    <w:rsid w:val="00AF021B"/>
    <w:rsid w:val="00AF06CF"/>
    <w:rsid w:val="00AF569B"/>
    <w:rsid w:val="00B0049A"/>
    <w:rsid w:val="00B04305"/>
    <w:rsid w:val="00B06FDE"/>
    <w:rsid w:val="00B07CDB"/>
    <w:rsid w:val="00B12441"/>
    <w:rsid w:val="00B16A31"/>
    <w:rsid w:val="00B17DFD"/>
    <w:rsid w:val="00B24A9C"/>
    <w:rsid w:val="00B2799D"/>
    <w:rsid w:val="00B308FE"/>
    <w:rsid w:val="00B30AEA"/>
    <w:rsid w:val="00B32EFA"/>
    <w:rsid w:val="00B33709"/>
    <w:rsid w:val="00B33B3C"/>
    <w:rsid w:val="00B33BD1"/>
    <w:rsid w:val="00B37F41"/>
    <w:rsid w:val="00B436FB"/>
    <w:rsid w:val="00B44DC8"/>
    <w:rsid w:val="00B472FB"/>
    <w:rsid w:val="00B50ADC"/>
    <w:rsid w:val="00B51338"/>
    <w:rsid w:val="00B54744"/>
    <w:rsid w:val="00B5628C"/>
    <w:rsid w:val="00B566B1"/>
    <w:rsid w:val="00B5686B"/>
    <w:rsid w:val="00B574EC"/>
    <w:rsid w:val="00B577C8"/>
    <w:rsid w:val="00B609DB"/>
    <w:rsid w:val="00B63834"/>
    <w:rsid w:val="00B64105"/>
    <w:rsid w:val="00B66851"/>
    <w:rsid w:val="00B6789D"/>
    <w:rsid w:val="00B72734"/>
    <w:rsid w:val="00B73292"/>
    <w:rsid w:val="00B743B2"/>
    <w:rsid w:val="00B7630A"/>
    <w:rsid w:val="00B7748D"/>
    <w:rsid w:val="00B80199"/>
    <w:rsid w:val="00B82D81"/>
    <w:rsid w:val="00B83204"/>
    <w:rsid w:val="00B877E6"/>
    <w:rsid w:val="00B9126E"/>
    <w:rsid w:val="00B9198C"/>
    <w:rsid w:val="00B93A93"/>
    <w:rsid w:val="00BA220B"/>
    <w:rsid w:val="00BA3A57"/>
    <w:rsid w:val="00BB4DB6"/>
    <w:rsid w:val="00BB4E1A"/>
    <w:rsid w:val="00BB5C17"/>
    <w:rsid w:val="00BC015E"/>
    <w:rsid w:val="00BC1E6A"/>
    <w:rsid w:val="00BC428F"/>
    <w:rsid w:val="00BC5986"/>
    <w:rsid w:val="00BC7183"/>
    <w:rsid w:val="00BC76AC"/>
    <w:rsid w:val="00BD0ECB"/>
    <w:rsid w:val="00BE12BE"/>
    <w:rsid w:val="00BE2155"/>
    <w:rsid w:val="00BE2213"/>
    <w:rsid w:val="00BE2B2C"/>
    <w:rsid w:val="00BE6EF9"/>
    <w:rsid w:val="00BE719A"/>
    <w:rsid w:val="00BE720A"/>
    <w:rsid w:val="00BF0B80"/>
    <w:rsid w:val="00BF0D73"/>
    <w:rsid w:val="00BF2465"/>
    <w:rsid w:val="00BF59CD"/>
    <w:rsid w:val="00BF75C9"/>
    <w:rsid w:val="00C01F03"/>
    <w:rsid w:val="00C0544A"/>
    <w:rsid w:val="00C06AC9"/>
    <w:rsid w:val="00C10B2A"/>
    <w:rsid w:val="00C11452"/>
    <w:rsid w:val="00C13F9E"/>
    <w:rsid w:val="00C17457"/>
    <w:rsid w:val="00C17507"/>
    <w:rsid w:val="00C212E0"/>
    <w:rsid w:val="00C21C08"/>
    <w:rsid w:val="00C25E7F"/>
    <w:rsid w:val="00C2746F"/>
    <w:rsid w:val="00C324A0"/>
    <w:rsid w:val="00C32784"/>
    <w:rsid w:val="00C3300F"/>
    <w:rsid w:val="00C334B1"/>
    <w:rsid w:val="00C34E77"/>
    <w:rsid w:val="00C35875"/>
    <w:rsid w:val="00C35DAF"/>
    <w:rsid w:val="00C4170B"/>
    <w:rsid w:val="00C42BF8"/>
    <w:rsid w:val="00C45171"/>
    <w:rsid w:val="00C45B6A"/>
    <w:rsid w:val="00C47D01"/>
    <w:rsid w:val="00C50043"/>
    <w:rsid w:val="00C50B97"/>
    <w:rsid w:val="00C52E7C"/>
    <w:rsid w:val="00C537A7"/>
    <w:rsid w:val="00C5569E"/>
    <w:rsid w:val="00C56217"/>
    <w:rsid w:val="00C608CF"/>
    <w:rsid w:val="00C61A1A"/>
    <w:rsid w:val="00C6434E"/>
    <w:rsid w:val="00C70CA8"/>
    <w:rsid w:val="00C72715"/>
    <w:rsid w:val="00C73347"/>
    <w:rsid w:val="00C7408C"/>
    <w:rsid w:val="00C7567F"/>
    <w:rsid w:val="00C7573B"/>
    <w:rsid w:val="00C7761F"/>
    <w:rsid w:val="00C86495"/>
    <w:rsid w:val="00C86B32"/>
    <w:rsid w:val="00C86D73"/>
    <w:rsid w:val="00C92539"/>
    <w:rsid w:val="00C93C03"/>
    <w:rsid w:val="00C94666"/>
    <w:rsid w:val="00CA02AC"/>
    <w:rsid w:val="00CA07E7"/>
    <w:rsid w:val="00CA271C"/>
    <w:rsid w:val="00CA344A"/>
    <w:rsid w:val="00CA4BD2"/>
    <w:rsid w:val="00CA66DC"/>
    <w:rsid w:val="00CA6C93"/>
    <w:rsid w:val="00CB1483"/>
    <w:rsid w:val="00CB2C8E"/>
    <w:rsid w:val="00CB2D96"/>
    <w:rsid w:val="00CB5FAA"/>
    <w:rsid w:val="00CB602E"/>
    <w:rsid w:val="00CB6E7A"/>
    <w:rsid w:val="00CC3AEC"/>
    <w:rsid w:val="00CC4DAC"/>
    <w:rsid w:val="00CD0A5E"/>
    <w:rsid w:val="00CD2E90"/>
    <w:rsid w:val="00CE0149"/>
    <w:rsid w:val="00CE051D"/>
    <w:rsid w:val="00CE1335"/>
    <w:rsid w:val="00CE3D2A"/>
    <w:rsid w:val="00CE493D"/>
    <w:rsid w:val="00CE541A"/>
    <w:rsid w:val="00CE6D42"/>
    <w:rsid w:val="00CE71AB"/>
    <w:rsid w:val="00CF07FA"/>
    <w:rsid w:val="00CF0BB2"/>
    <w:rsid w:val="00CF3EE8"/>
    <w:rsid w:val="00CF5313"/>
    <w:rsid w:val="00CF7DED"/>
    <w:rsid w:val="00D04428"/>
    <w:rsid w:val="00D050E6"/>
    <w:rsid w:val="00D10506"/>
    <w:rsid w:val="00D13441"/>
    <w:rsid w:val="00D150E7"/>
    <w:rsid w:val="00D17AB3"/>
    <w:rsid w:val="00D20660"/>
    <w:rsid w:val="00D206E9"/>
    <w:rsid w:val="00D20A4B"/>
    <w:rsid w:val="00D21805"/>
    <w:rsid w:val="00D228C7"/>
    <w:rsid w:val="00D2299C"/>
    <w:rsid w:val="00D2343C"/>
    <w:rsid w:val="00D241A4"/>
    <w:rsid w:val="00D25F3C"/>
    <w:rsid w:val="00D306F8"/>
    <w:rsid w:val="00D32F65"/>
    <w:rsid w:val="00D33233"/>
    <w:rsid w:val="00D341C4"/>
    <w:rsid w:val="00D36D8E"/>
    <w:rsid w:val="00D41A47"/>
    <w:rsid w:val="00D442A2"/>
    <w:rsid w:val="00D52DC2"/>
    <w:rsid w:val="00D53BCC"/>
    <w:rsid w:val="00D56313"/>
    <w:rsid w:val="00D639C2"/>
    <w:rsid w:val="00D648BB"/>
    <w:rsid w:val="00D660DB"/>
    <w:rsid w:val="00D702DE"/>
    <w:rsid w:val="00D70DFB"/>
    <w:rsid w:val="00D732EC"/>
    <w:rsid w:val="00D73C22"/>
    <w:rsid w:val="00D74595"/>
    <w:rsid w:val="00D755B4"/>
    <w:rsid w:val="00D766DF"/>
    <w:rsid w:val="00D824C3"/>
    <w:rsid w:val="00D90215"/>
    <w:rsid w:val="00D92480"/>
    <w:rsid w:val="00DA186E"/>
    <w:rsid w:val="00DA4116"/>
    <w:rsid w:val="00DA4E14"/>
    <w:rsid w:val="00DA6A7C"/>
    <w:rsid w:val="00DA793A"/>
    <w:rsid w:val="00DB0445"/>
    <w:rsid w:val="00DB1623"/>
    <w:rsid w:val="00DB251C"/>
    <w:rsid w:val="00DB38AD"/>
    <w:rsid w:val="00DB4630"/>
    <w:rsid w:val="00DB51FD"/>
    <w:rsid w:val="00DC1135"/>
    <w:rsid w:val="00DC3FCA"/>
    <w:rsid w:val="00DC4445"/>
    <w:rsid w:val="00DC4BF5"/>
    <w:rsid w:val="00DC4E78"/>
    <w:rsid w:val="00DC4F88"/>
    <w:rsid w:val="00DC7567"/>
    <w:rsid w:val="00DD1671"/>
    <w:rsid w:val="00DD237E"/>
    <w:rsid w:val="00DD3696"/>
    <w:rsid w:val="00DD596E"/>
    <w:rsid w:val="00DE0A85"/>
    <w:rsid w:val="00DE79F9"/>
    <w:rsid w:val="00DF2FBE"/>
    <w:rsid w:val="00DF40AB"/>
    <w:rsid w:val="00DF6755"/>
    <w:rsid w:val="00E007B3"/>
    <w:rsid w:val="00E0316F"/>
    <w:rsid w:val="00E052E7"/>
    <w:rsid w:val="00E056B9"/>
    <w:rsid w:val="00E05704"/>
    <w:rsid w:val="00E06CC3"/>
    <w:rsid w:val="00E11E44"/>
    <w:rsid w:val="00E13AFA"/>
    <w:rsid w:val="00E1478F"/>
    <w:rsid w:val="00E2168B"/>
    <w:rsid w:val="00E21F03"/>
    <w:rsid w:val="00E2404F"/>
    <w:rsid w:val="00E27A30"/>
    <w:rsid w:val="00E27AB5"/>
    <w:rsid w:val="00E32A64"/>
    <w:rsid w:val="00E338EF"/>
    <w:rsid w:val="00E352C0"/>
    <w:rsid w:val="00E40FF8"/>
    <w:rsid w:val="00E42FFE"/>
    <w:rsid w:val="00E4395D"/>
    <w:rsid w:val="00E4551D"/>
    <w:rsid w:val="00E4673C"/>
    <w:rsid w:val="00E46925"/>
    <w:rsid w:val="00E529AA"/>
    <w:rsid w:val="00E5434C"/>
    <w:rsid w:val="00E544BB"/>
    <w:rsid w:val="00E578EC"/>
    <w:rsid w:val="00E60423"/>
    <w:rsid w:val="00E649D7"/>
    <w:rsid w:val="00E662CB"/>
    <w:rsid w:val="00E66EC1"/>
    <w:rsid w:val="00E676FB"/>
    <w:rsid w:val="00E74DC7"/>
    <w:rsid w:val="00E8075A"/>
    <w:rsid w:val="00E813B1"/>
    <w:rsid w:val="00E818A6"/>
    <w:rsid w:val="00E8199E"/>
    <w:rsid w:val="00E8511A"/>
    <w:rsid w:val="00E85A91"/>
    <w:rsid w:val="00E860A2"/>
    <w:rsid w:val="00E87718"/>
    <w:rsid w:val="00E94D5E"/>
    <w:rsid w:val="00E97EE8"/>
    <w:rsid w:val="00EA0BF6"/>
    <w:rsid w:val="00EA17A6"/>
    <w:rsid w:val="00EA40E4"/>
    <w:rsid w:val="00EA5712"/>
    <w:rsid w:val="00EA7100"/>
    <w:rsid w:val="00EA7947"/>
    <w:rsid w:val="00EA7F9F"/>
    <w:rsid w:val="00EB0E70"/>
    <w:rsid w:val="00EB1274"/>
    <w:rsid w:val="00EC3922"/>
    <w:rsid w:val="00EC4757"/>
    <w:rsid w:val="00EC4E64"/>
    <w:rsid w:val="00EC563E"/>
    <w:rsid w:val="00EC7EDB"/>
    <w:rsid w:val="00ED14FB"/>
    <w:rsid w:val="00ED2BB6"/>
    <w:rsid w:val="00ED34E1"/>
    <w:rsid w:val="00ED3B8D"/>
    <w:rsid w:val="00ED646D"/>
    <w:rsid w:val="00ED726A"/>
    <w:rsid w:val="00ED796D"/>
    <w:rsid w:val="00EF13D4"/>
    <w:rsid w:val="00EF15D3"/>
    <w:rsid w:val="00EF2308"/>
    <w:rsid w:val="00EF2E3A"/>
    <w:rsid w:val="00F02EF9"/>
    <w:rsid w:val="00F03BB5"/>
    <w:rsid w:val="00F047D8"/>
    <w:rsid w:val="00F054D4"/>
    <w:rsid w:val="00F072A7"/>
    <w:rsid w:val="00F078DC"/>
    <w:rsid w:val="00F07FE9"/>
    <w:rsid w:val="00F14593"/>
    <w:rsid w:val="00F16525"/>
    <w:rsid w:val="00F171A1"/>
    <w:rsid w:val="00F216DF"/>
    <w:rsid w:val="00F229AC"/>
    <w:rsid w:val="00F2434A"/>
    <w:rsid w:val="00F25415"/>
    <w:rsid w:val="00F277EC"/>
    <w:rsid w:val="00F27A5E"/>
    <w:rsid w:val="00F32BA8"/>
    <w:rsid w:val="00F330B8"/>
    <w:rsid w:val="00F349F1"/>
    <w:rsid w:val="00F3587A"/>
    <w:rsid w:val="00F367F9"/>
    <w:rsid w:val="00F37D2B"/>
    <w:rsid w:val="00F4215A"/>
    <w:rsid w:val="00F4350D"/>
    <w:rsid w:val="00F454E8"/>
    <w:rsid w:val="00F45C97"/>
    <w:rsid w:val="00F46947"/>
    <w:rsid w:val="00F472A9"/>
    <w:rsid w:val="00F50532"/>
    <w:rsid w:val="00F51038"/>
    <w:rsid w:val="00F52CA6"/>
    <w:rsid w:val="00F552A7"/>
    <w:rsid w:val="00F552F6"/>
    <w:rsid w:val="00F567F7"/>
    <w:rsid w:val="00F61A66"/>
    <w:rsid w:val="00F61B09"/>
    <w:rsid w:val="00F62036"/>
    <w:rsid w:val="00F62272"/>
    <w:rsid w:val="00F631F9"/>
    <w:rsid w:val="00F65B52"/>
    <w:rsid w:val="00F67BCA"/>
    <w:rsid w:val="00F67E15"/>
    <w:rsid w:val="00F70591"/>
    <w:rsid w:val="00F73BD6"/>
    <w:rsid w:val="00F800C9"/>
    <w:rsid w:val="00F80A5E"/>
    <w:rsid w:val="00F824D9"/>
    <w:rsid w:val="00F82EFA"/>
    <w:rsid w:val="00F83989"/>
    <w:rsid w:val="00F83D16"/>
    <w:rsid w:val="00F85099"/>
    <w:rsid w:val="00F862D9"/>
    <w:rsid w:val="00F87E83"/>
    <w:rsid w:val="00F91A64"/>
    <w:rsid w:val="00F9363C"/>
    <w:rsid w:val="00F9379C"/>
    <w:rsid w:val="00F9632C"/>
    <w:rsid w:val="00FA13A8"/>
    <w:rsid w:val="00FA1E52"/>
    <w:rsid w:val="00FA31DE"/>
    <w:rsid w:val="00FA7D17"/>
    <w:rsid w:val="00FB1F04"/>
    <w:rsid w:val="00FB5D4F"/>
    <w:rsid w:val="00FC3EB8"/>
    <w:rsid w:val="00FC6D88"/>
    <w:rsid w:val="00FC7288"/>
    <w:rsid w:val="00FC7D25"/>
    <w:rsid w:val="00FD13CC"/>
    <w:rsid w:val="00FD2C4A"/>
    <w:rsid w:val="00FD2E53"/>
    <w:rsid w:val="00FD61B3"/>
    <w:rsid w:val="00FE103B"/>
    <w:rsid w:val="00FE13DE"/>
    <w:rsid w:val="00FE2FB8"/>
    <w:rsid w:val="00FE4688"/>
    <w:rsid w:val="00FE72D6"/>
    <w:rsid w:val="00FE79D0"/>
    <w:rsid w:val="00FF0BA1"/>
    <w:rsid w:val="00FF3858"/>
    <w:rsid w:val="00FF77D2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D7E3E35A-9B2E-4858-8C8E-EC3C6B87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839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5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010950-264367034-525</_dlc_DocId>
    <_dlc_DocIdUrl xmlns="6d01ba57-bcb9-4c1f-9f73-80759da4b854">
      <Url>https://asiclink.sharepoint.com/teams/010950/_layouts/15/DocIdRedir.aspx?ID=010950-264367034-525</Url>
      <Description>010950-264367034-525</Description>
    </_dlc_DocIdUrl>
    <TaxCatchAll xmlns="db2b92ca-6ed0-4085-802d-4c686a2e8c3f">
      <Value>5</Value>
    </TaxCatchAll>
  </documentManagement>
</p:properties>
</file>

<file path=customXml/item4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F3E387F25A7AA42B489789693BEBD2F" ma:contentTypeVersion="29" ma:contentTypeDescription="Create a new document." ma:contentTypeScope="" ma:versionID="c3fd02fc185abdf827997c8e1ee708a4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102de1d9ffc61deb747296a8570d54b2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4CD4F-4ADE-45EC-8760-0728E2692B4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01ba57-bcb9-4c1f-9f73-80759da4b854"/>
    <ds:schemaRef ds:uri="http://purl.org/dc/elements/1.1/"/>
    <ds:schemaRef ds:uri="http://schemas.microsoft.com/office/2006/metadata/properties"/>
    <ds:schemaRef ds:uri="http://purl.org/dc/terms/"/>
    <ds:schemaRef ds:uri="db2b92ca-6ed0-4085-802d-4c686a2e8c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DB812F-44B5-4140-894C-6223A3A204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1818A3A-A550-459F-8C6C-407B98593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42</TotalTime>
  <Pages>5</Pages>
  <Words>1558</Words>
  <Characters>8887</Characters>
  <Application>Microsoft Office Word</Application>
  <DocSecurity>0</DocSecurity>
  <PresentationFormat/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10425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74</cp:revision>
  <cp:lastPrinted>2019-01-03T21:56:00Z</cp:lastPrinted>
  <dcterms:created xsi:type="dcterms:W3CDTF">2025-03-18T18:28:00Z</dcterms:created>
  <dcterms:modified xsi:type="dcterms:W3CDTF">2025-03-24T00:34:00Z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5;#Sensitive|19fd2cb8-3e97-4464-ae71-8c2c2095d028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b57488dc-3d17-4213-b2f8-cb67648969d1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0x010100B5F685A1365F544391EF8C813B164F3A007F3E387F25A7AA42B489789693BEBD2F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</Properties>
</file>