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BEB3D" w14:textId="77777777" w:rsidR="00955175" w:rsidRDefault="00955175" w:rsidP="00E2168B">
      <w:pPr>
        <w:spacing w:before="280" w:after="240"/>
        <w:rPr>
          <w:b/>
          <w:sz w:val="32"/>
          <w:szCs w:val="32"/>
        </w:rPr>
      </w:pPr>
    </w:p>
    <w:p w14:paraId="0AAC3FC8" w14:textId="781C253F" w:rsidR="00955175" w:rsidRPr="003709FA" w:rsidRDefault="00FC6D88" w:rsidP="00E2168B">
      <w:pPr>
        <w:spacing w:before="280" w:after="240"/>
        <w:rPr>
          <w:b/>
          <w:sz w:val="32"/>
          <w:szCs w:val="32"/>
        </w:rPr>
      </w:pPr>
      <w:r w:rsidRPr="003709FA">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3709FA" w:rsidRDefault="00955175" w:rsidP="00955175">
      <w:pPr>
        <w:pStyle w:val="LI-Title"/>
        <w:pBdr>
          <w:top w:val="none" w:sz="0" w:space="0" w:color="auto"/>
        </w:pBdr>
        <w:jc w:val="center"/>
      </w:pPr>
    </w:p>
    <w:p w14:paraId="5B8D4084" w14:textId="77777777" w:rsidR="00955175" w:rsidRPr="003709FA" w:rsidRDefault="00955175" w:rsidP="00955175">
      <w:pPr>
        <w:pStyle w:val="LI-Title"/>
        <w:pBdr>
          <w:top w:val="none" w:sz="0" w:space="0" w:color="auto"/>
        </w:pBdr>
        <w:jc w:val="center"/>
      </w:pPr>
      <w:r w:rsidRPr="003709FA">
        <w:t>Explanatory Statement</w:t>
      </w:r>
    </w:p>
    <w:p w14:paraId="54F0DD85" w14:textId="77777777" w:rsidR="00955175" w:rsidRPr="003709FA" w:rsidRDefault="00955175" w:rsidP="00955175">
      <w:pPr>
        <w:rPr>
          <w:lang w:eastAsia="en-AU"/>
        </w:rPr>
      </w:pPr>
    </w:p>
    <w:p w14:paraId="376F21CA" w14:textId="2AF05CD1" w:rsidR="00C4170B" w:rsidRPr="003709FA" w:rsidRDefault="00B64DA3" w:rsidP="00C4170B">
      <w:pPr>
        <w:jc w:val="center"/>
        <w:rPr>
          <w:b/>
          <w:i/>
          <w:sz w:val="28"/>
          <w:szCs w:val="28"/>
          <w:lang w:eastAsia="en-AU"/>
        </w:rPr>
      </w:pPr>
      <w:r w:rsidRPr="003709FA">
        <w:rPr>
          <w:b/>
          <w:i/>
          <w:sz w:val="28"/>
          <w:szCs w:val="28"/>
          <w:lang w:eastAsia="en-AU"/>
        </w:rPr>
        <w:t>ASIC Corporations (31</w:t>
      </w:r>
      <w:r w:rsidR="003C6F0E" w:rsidRPr="003709FA">
        <w:rPr>
          <w:b/>
          <w:i/>
          <w:sz w:val="28"/>
          <w:szCs w:val="28"/>
          <w:lang w:eastAsia="en-AU"/>
        </w:rPr>
        <w:t>-d</w:t>
      </w:r>
      <w:r w:rsidRPr="003709FA">
        <w:rPr>
          <w:b/>
          <w:i/>
          <w:sz w:val="28"/>
          <w:szCs w:val="28"/>
          <w:lang w:eastAsia="en-AU"/>
        </w:rPr>
        <w:t>ay Term Deposits) Instrument 2025/</w:t>
      </w:r>
      <w:r w:rsidR="00FC2F80" w:rsidRPr="003709FA">
        <w:rPr>
          <w:b/>
          <w:i/>
          <w:sz w:val="28"/>
          <w:szCs w:val="28"/>
          <w:lang w:eastAsia="en-AU"/>
        </w:rPr>
        <w:t>172</w:t>
      </w:r>
      <w:r w:rsidR="00E301E6" w:rsidRPr="003709FA">
        <w:rPr>
          <w:b/>
          <w:i/>
          <w:sz w:val="28"/>
          <w:szCs w:val="28"/>
          <w:lang w:eastAsia="en-AU"/>
        </w:rPr>
        <w:t xml:space="preserve"> </w:t>
      </w:r>
      <w:r w:rsidR="00E301E6" w:rsidRPr="003709FA">
        <w:rPr>
          <w:b/>
          <w:iCs/>
          <w:sz w:val="28"/>
          <w:szCs w:val="28"/>
          <w:lang w:eastAsia="en-AU"/>
        </w:rPr>
        <w:t xml:space="preserve">and </w:t>
      </w:r>
      <w:r w:rsidR="00E301E6" w:rsidRPr="003709FA">
        <w:rPr>
          <w:b/>
          <w:i/>
          <w:sz w:val="28"/>
          <w:szCs w:val="28"/>
          <w:lang w:eastAsia="en-AU"/>
        </w:rPr>
        <w:t>ASIC Corporations (Repeal) Instrument 2025/182</w:t>
      </w:r>
    </w:p>
    <w:p w14:paraId="3D70207E" w14:textId="64129444" w:rsidR="00863657" w:rsidRPr="003709FA" w:rsidRDefault="00F800C9" w:rsidP="00F800C9">
      <w:pPr>
        <w:pStyle w:val="LI-BodyTextParaa"/>
        <w:ind w:left="0" w:firstLine="0"/>
      </w:pPr>
      <w:bookmarkStart w:id="0" w:name="BK_S3P1L1C1"/>
      <w:bookmarkEnd w:id="0"/>
      <w:r w:rsidRPr="003709FA">
        <w:t xml:space="preserve">This is the Explanatory Statement for </w:t>
      </w:r>
      <w:r w:rsidR="00B64DA3" w:rsidRPr="003709FA">
        <w:rPr>
          <w:i/>
          <w:iCs/>
        </w:rPr>
        <w:t>ASIC Corporations (31</w:t>
      </w:r>
      <w:r w:rsidR="00B916FC" w:rsidRPr="003709FA">
        <w:rPr>
          <w:i/>
          <w:iCs/>
        </w:rPr>
        <w:t>-d</w:t>
      </w:r>
      <w:r w:rsidR="00B64DA3" w:rsidRPr="003709FA">
        <w:rPr>
          <w:i/>
          <w:iCs/>
        </w:rPr>
        <w:t xml:space="preserve">ay </w:t>
      </w:r>
      <w:r w:rsidR="00E33B6B" w:rsidRPr="003709FA">
        <w:rPr>
          <w:i/>
          <w:iCs/>
        </w:rPr>
        <w:t xml:space="preserve">Notice </w:t>
      </w:r>
      <w:r w:rsidR="00B64DA3" w:rsidRPr="003709FA">
        <w:rPr>
          <w:i/>
          <w:iCs/>
        </w:rPr>
        <w:t>Term Deposits) Instrument 2025/</w:t>
      </w:r>
      <w:r w:rsidR="00FC2F80" w:rsidRPr="003709FA">
        <w:rPr>
          <w:i/>
          <w:iCs/>
        </w:rPr>
        <w:t>172</w:t>
      </w:r>
      <w:r w:rsidR="00FC2F80" w:rsidRPr="003709FA">
        <w:t xml:space="preserve"> </w:t>
      </w:r>
      <w:r w:rsidR="00164EAC" w:rsidRPr="003709FA">
        <w:t xml:space="preserve">and </w:t>
      </w:r>
      <w:r w:rsidR="00573774" w:rsidRPr="003709FA">
        <w:rPr>
          <w:i/>
          <w:iCs/>
        </w:rPr>
        <w:t>ASIC Corporations (Repeal) Instrument 2025/182</w:t>
      </w:r>
      <w:r w:rsidR="00B64DA3" w:rsidRPr="003709FA">
        <w:t xml:space="preserve">. </w:t>
      </w:r>
    </w:p>
    <w:p w14:paraId="119B6103" w14:textId="77777777" w:rsidR="00F800C9" w:rsidRPr="003709FA" w:rsidRDefault="00863657" w:rsidP="00F800C9">
      <w:pPr>
        <w:pStyle w:val="LI-BodyTextParaa"/>
        <w:ind w:left="0" w:firstLine="0"/>
      </w:pPr>
      <w:r w:rsidRPr="003709FA">
        <w:t>Th</w:t>
      </w:r>
      <w:r w:rsidR="00F800C9" w:rsidRPr="003709FA">
        <w:t>e</w:t>
      </w:r>
      <w:r w:rsidRPr="003709FA">
        <w:t xml:space="preserve"> </w:t>
      </w:r>
      <w:r w:rsidR="00F800C9" w:rsidRPr="003709FA">
        <w:t>Explanatory Statement is approved by the Australian Securities and Investments Commission (</w:t>
      </w:r>
      <w:r w:rsidR="00F800C9" w:rsidRPr="003709FA">
        <w:rPr>
          <w:b/>
          <w:i/>
        </w:rPr>
        <w:t>ASIC</w:t>
      </w:r>
      <w:r w:rsidR="00F800C9" w:rsidRPr="003709FA">
        <w:t>).</w:t>
      </w:r>
    </w:p>
    <w:p w14:paraId="10E55E66" w14:textId="77777777" w:rsidR="00F800C9" w:rsidRPr="003709FA" w:rsidRDefault="005D1FEA" w:rsidP="006D6079">
      <w:pPr>
        <w:pStyle w:val="LI-BodyTextNumbered"/>
        <w:keepNext/>
        <w:ind w:left="0" w:firstLine="0"/>
        <w:rPr>
          <w:b/>
        </w:rPr>
      </w:pPr>
      <w:r w:rsidRPr="003709FA">
        <w:rPr>
          <w:b/>
        </w:rPr>
        <w:t>Summary</w:t>
      </w:r>
    </w:p>
    <w:p w14:paraId="6F3FDF43" w14:textId="4E6C65D5" w:rsidR="004F3FA8" w:rsidRPr="003709FA" w:rsidRDefault="008F4D54" w:rsidP="004F3FA8">
      <w:pPr>
        <w:pStyle w:val="LI-BodyTextParaa"/>
        <w:numPr>
          <w:ilvl w:val="0"/>
          <w:numId w:val="16"/>
        </w:numPr>
        <w:ind w:left="567" w:hanging="567"/>
      </w:pPr>
      <w:r w:rsidRPr="003709FA">
        <w:rPr>
          <w:i/>
          <w:iCs/>
        </w:rPr>
        <w:t xml:space="preserve">ASIC Corporations (31-day </w:t>
      </w:r>
      <w:r w:rsidR="00184648" w:rsidRPr="003709FA">
        <w:rPr>
          <w:i/>
          <w:iCs/>
        </w:rPr>
        <w:t xml:space="preserve">Notice </w:t>
      </w:r>
      <w:r w:rsidRPr="003709FA">
        <w:rPr>
          <w:i/>
          <w:iCs/>
        </w:rPr>
        <w:t xml:space="preserve">Term Deposits) </w:t>
      </w:r>
      <w:r w:rsidR="00C10E5B" w:rsidRPr="003709FA">
        <w:rPr>
          <w:i/>
          <w:iCs/>
        </w:rPr>
        <w:t>Instrument 2025/</w:t>
      </w:r>
      <w:r w:rsidR="00A9272B" w:rsidRPr="003709FA">
        <w:rPr>
          <w:i/>
          <w:iCs/>
        </w:rPr>
        <w:t>172</w:t>
      </w:r>
      <w:r w:rsidR="00A9272B" w:rsidRPr="003709FA">
        <w:t xml:space="preserve"> </w:t>
      </w:r>
      <w:r w:rsidRPr="003709FA">
        <w:t>(Instrument</w:t>
      </w:r>
      <w:r w:rsidR="00184648" w:rsidRPr="003709FA">
        <w:t xml:space="preserve"> </w:t>
      </w:r>
      <w:r w:rsidR="00525AEC" w:rsidRPr="003709FA">
        <w:t>2025/172</w:t>
      </w:r>
      <w:r w:rsidRPr="003709FA">
        <w:t xml:space="preserve">) </w:t>
      </w:r>
      <w:r w:rsidR="004F3FA8" w:rsidRPr="003709FA">
        <w:t>provide</w:t>
      </w:r>
      <w:r w:rsidR="00A728D0" w:rsidRPr="003709FA">
        <w:t>s</w:t>
      </w:r>
      <w:r w:rsidR="004F3FA8" w:rsidRPr="003709FA">
        <w:t xml:space="preserve"> </w:t>
      </w:r>
      <w:r w:rsidR="006E33CC" w:rsidRPr="003709FA">
        <w:t>concessiona</w:t>
      </w:r>
      <w:r w:rsidR="005124B4" w:rsidRPr="003709FA">
        <w:t>l</w:t>
      </w:r>
      <w:r w:rsidR="006E33CC" w:rsidRPr="003709FA">
        <w:t xml:space="preserve"> regulatory treatment </w:t>
      </w:r>
      <w:r w:rsidR="00327A25" w:rsidRPr="003709FA">
        <w:t>for</w:t>
      </w:r>
      <w:r w:rsidR="00E45B09" w:rsidRPr="003709FA">
        <w:t xml:space="preserve"> term deposits of up to five </w:t>
      </w:r>
      <w:r w:rsidR="00653336" w:rsidRPr="003709FA">
        <w:t>years that are only breakable on</w:t>
      </w:r>
      <w:r w:rsidR="004F3FA8" w:rsidRPr="003709FA">
        <w:t xml:space="preserve"> 31</w:t>
      </w:r>
      <w:r w:rsidR="00653336" w:rsidRPr="003709FA">
        <w:t xml:space="preserve"> </w:t>
      </w:r>
      <w:r w:rsidR="004F3FA8" w:rsidRPr="003709FA">
        <w:t>day</w:t>
      </w:r>
      <w:r w:rsidR="00653336" w:rsidRPr="003709FA">
        <w:t>s’</w:t>
      </w:r>
      <w:r w:rsidR="001364C0" w:rsidRPr="003709FA">
        <w:t xml:space="preserve"> notice</w:t>
      </w:r>
      <w:r w:rsidR="004A10BD" w:rsidRPr="003709FA">
        <w:t xml:space="preserve"> </w:t>
      </w:r>
      <w:r w:rsidR="001364C0" w:rsidRPr="003709FA">
        <w:t xml:space="preserve">by </w:t>
      </w:r>
      <w:r w:rsidR="0050566E" w:rsidRPr="003709FA">
        <w:t>including them within the definition of</w:t>
      </w:r>
      <w:r w:rsidR="004F3FA8" w:rsidRPr="003709FA">
        <w:t xml:space="preserve"> </w:t>
      </w:r>
      <w:r w:rsidR="0050566E" w:rsidRPr="003709FA">
        <w:t>‘</w:t>
      </w:r>
      <w:r w:rsidR="004F3FA8" w:rsidRPr="003709FA">
        <w:t>basic deposit product</w:t>
      </w:r>
      <w:r w:rsidR="0050566E" w:rsidRPr="003709FA">
        <w:t>’</w:t>
      </w:r>
      <w:r w:rsidR="004F3FA8" w:rsidRPr="003709FA">
        <w:t xml:space="preserve"> </w:t>
      </w:r>
      <w:r w:rsidR="0063009D" w:rsidRPr="003709FA">
        <w:t xml:space="preserve">in section 9 of the </w:t>
      </w:r>
      <w:r w:rsidR="004A10BD" w:rsidRPr="003709FA">
        <w:rPr>
          <w:i/>
          <w:iCs/>
        </w:rPr>
        <w:t>Corporations Act 2001</w:t>
      </w:r>
      <w:r w:rsidR="004A10BD" w:rsidRPr="003709FA">
        <w:t xml:space="preserve"> (the Act)</w:t>
      </w:r>
      <w:r w:rsidR="004F3FA8" w:rsidRPr="003709FA">
        <w:t>.</w:t>
      </w:r>
      <w:r w:rsidR="00EF3C15" w:rsidRPr="003709FA">
        <w:t xml:space="preserve"> It also </w:t>
      </w:r>
      <w:r w:rsidR="00DF4C77" w:rsidRPr="003709FA">
        <w:t xml:space="preserve">clarifies that such term deposits meet the definition of ‘basic banking product’ </w:t>
      </w:r>
      <w:r w:rsidR="001A6D3E" w:rsidRPr="003709FA">
        <w:t xml:space="preserve">in </w:t>
      </w:r>
      <w:r w:rsidR="00A821F1" w:rsidRPr="003709FA">
        <w:t xml:space="preserve">section </w:t>
      </w:r>
      <w:r w:rsidR="000C6E1A" w:rsidRPr="003709FA">
        <w:t>9</w:t>
      </w:r>
      <w:r w:rsidR="00A821F1" w:rsidRPr="003709FA">
        <w:t xml:space="preserve"> of the Act </w:t>
      </w:r>
      <w:r w:rsidR="00AA2516" w:rsidRPr="003709FA">
        <w:t xml:space="preserve">for the purposes of Parts 7.6 and 7.8A </w:t>
      </w:r>
      <w:r w:rsidR="00E07DF6" w:rsidRPr="003709FA">
        <w:t>of the Act.</w:t>
      </w:r>
      <w:r w:rsidR="00403CDF" w:rsidRPr="003709FA">
        <w:t xml:space="preserve"> Instrument 2025/172 continues the effect of </w:t>
      </w:r>
      <w:r w:rsidR="00B032EF" w:rsidRPr="003709FA">
        <w:t>the concessional treatment in ASIC Class Order [CO 14/1262]</w:t>
      </w:r>
      <w:r w:rsidR="00C57720" w:rsidRPr="003709FA">
        <w:t xml:space="preserve"> </w:t>
      </w:r>
      <w:r w:rsidR="00C57720" w:rsidRPr="003709FA">
        <w:rPr>
          <w:i/>
          <w:iCs/>
        </w:rPr>
        <w:t xml:space="preserve">Relief for </w:t>
      </w:r>
      <w:proofErr w:type="gramStart"/>
      <w:r w:rsidR="00C57720" w:rsidRPr="003709FA">
        <w:rPr>
          <w:i/>
          <w:iCs/>
        </w:rPr>
        <w:t>31 day</w:t>
      </w:r>
      <w:proofErr w:type="gramEnd"/>
      <w:r w:rsidR="00C57720" w:rsidRPr="003709FA">
        <w:rPr>
          <w:i/>
          <w:iCs/>
        </w:rPr>
        <w:t xml:space="preserve"> notice term deposits</w:t>
      </w:r>
      <w:r w:rsidR="0012049D" w:rsidRPr="003709FA">
        <w:t>.</w:t>
      </w:r>
    </w:p>
    <w:p w14:paraId="095510DD" w14:textId="0303FB87" w:rsidR="0012049D" w:rsidRPr="00C94AAE" w:rsidRDefault="0012049D" w:rsidP="004F3FA8">
      <w:pPr>
        <w:pStyle w:val="LI-BodyTextParaa"/>
        <w:numPr>
          <w:ilvl w:val="0"/>
          <w:numId w:val="16"/>
        </w:numPr>
        <w:ind w:left="567" w:hanging="567"/>
      </w:pPr>
      <w:r w:rsidRPr="003709FA">
        <w:rPr>
          <w:bCs/>
        </w:rPr>
        <w:t xml:space="preserve">[CO 14/1262], as originally made in 2014 and subsequently amended, will sunset under section 50 of the </w:t>
      </w:r>
      <w:r w:rsidRPr="003709FA">
        <w:rPr>
          <w:bCs/>
          <w:i/>
          <w:iCs/>
        </w:rPr>
        <w:t>Legislation Act 2003</w:t>
      </w:r>
      <w:r w:rsidRPr="00C94AAE">
        <w:rPr>
          <w:bCs/>
          <w:i/>
          <w:iCs/>
        </w:rPr>
        <w:t xml:space="preserve"> </w:t>
      </w:r>
      <w:r w:rsidRPr="00C94AAE">
        <w:rPr>
          <w:bCs/>
        </w:rPr>
        <w:t>on 1 April 2025.</w:t>
      </w:r>
    </w:p>
    <w:p w14:paraId="4B5EFE39" w14:textId="6529D811" w:rsidR="00B37DAF" w:rsidRPr="00736243" w:rsidRDefault="00C57720" w:rsidP="004F3FA8">
      <w:pPr>
        <w:pStyle w:val="LI-BodyTextParaa"/>
        <w:numPr>
          <w:ilvl w:val="0"/>
          <w:numId w:val="16"/>
        </w:numPr>
        <w:ind w:left="567" w:hanging="567"/>
      </w:pPr>
      <w:r w:rsidRPr="00C94AAE">
        <w:rPr>
          <w:i/>
          <w:iCs/>
        </w:rPr>
        <w:t>ASIC Corporations (Repeal)</w:t>
      </w:r>
      <w:r>
        <w:rPr>
          <w:i/>
          <w:iCs/>
        </w:rPr>
        <w:t xml:space="preserve"> Instrument 2025/182</w:t>
      </w:r>
      <w:r w:rsidR="004F0F27">
        <w:rPr>
          <w:i/>
          <w:iCs/>
        </w:rPr>
        <w:t xml:space="preserve"> </w:t>
      </w:r>
      <w:r w:rsidR="00072402">
        <w:t>repeals [CO 14/1262]</w:t>
      </w:r>
      <w:r w:rsidR="0064501D" w:rsidRPr="00736243">
        <w:t>.</w:t>
      </w:r>
    </w:p>
    <w:p w14:paraId="59A63C44" w14:textId="161228F9" w:rsidR="005D1FEA" w:rsidRDefault="005D1FEA" w:rsidP="006D6079">
      <w:pPr>
        <w:pStyle w:val="LI-BodyTextNumbered"/>
        <w:keepNext/>
        <w:ind w:left="0" w:firstLine="0"/>
        <w:rPr>
          <w:b/>
        </w:rPr>
      </w:pPr>
      <w:r>
        <w:rPr>
          <w:b/>
        </w:rPr>
        <w:t>Purpose of the instrument</w:t>
      </w:r>
      <w:r w:rsidR="00C77E20">
        <w:rPr>
          <w:b/>
        </w:rPr>
        <w:t>s</w:t>
      </w:r>
    </w:p>
    <w:p w14:paraId="000C3E89" w14:textId="318360EE" w:rsidR="00BA420B" w:rsidRDefault="00C77E20" w:rsidP="00BA420B">
      <w:pPr>
        <w:pStyle w:val="LI-BodyTextNumbered"/>
        <w:keepNext/>
        <w:numPr>
          <w:ilvl w:val="0"/>
          <w:numId w:val="16"/>
        </w:numPr>
        <w:ind w:left="567" w:hanging="567"/>
        <w:rPr>
          <w:bCs/>
        </w:rPr>
      </w:pPr>
      <w:r>
        <w:rPr>
          <w:bCs/>
        </w:rPr>
        <w:t xml:space="preserve">Instrument </w:t>
      </w:r>
      <w:r w:rsidR="00AA34BC">
        <w:rPr>
          <w:bCs/>
        </w:rPr>
        <w:t>2025/172 provides Authorised Deposit-taking Institutions (ADIs) with</w:t>
      </w:r>
      <w:r w:rsidR="00BA420B" w:rsidRPr="0088679A">
        <w:rPr>
          <w:bCs/>
        </w:rPr>
        <w:t xml:space="preserve"> certainty that 31-day notice term deposits of up to five years will be treated as basic deposit products under the Act</w:t>
      </w:r>
      <w:r w:rsidR="00AA34BC">
        <w:rPr>
          <w:bCs/>
        </w:rPr>
        <w:t>.</w:t>
      </w:r>
    </w:p>
    <w:p w14:paraId="318D0DD0" w14:textId="6BA14DC2" w:rsidR="0025688B" w:rsidRDefault="0025688B" w:rsidP="0025688B">
      <w:pPr>
        <w:pStyle w:val="LI-BodyTextNumbered"/>
        <w:keepNext/>
        <w:numPr>
          <w:ilvl w:val="0"/>
          <w:numId w:val="16"/>
        </w:numPr>
        <w:ind w:left="567" w:hanging="567"/>
        <w:rPr>
          <w:bCs/>
        </w:rPr>
      </w:pPr>
      <w:r>
        <w:rPr>
          <w:bCs/>
        </w:rPr>
        <w:t>Instrument 2025/182 repeals [CO 14/1262].</w:t>
      </w:r>
    </w:p>
    <w:p w14:paraId="567C3C3F" w14:textId="050A7ACD" w:rsidR="0012049D" w:rsidRPr="001F62BB" w:rsidRDefault="001F62BB" w:rsidP="0012049D">
      <w:pPr>
        <w:pStyle w:val="LI-BodyTextNumbered"/>
        <w:keepNext/>
        <w:ind w:left="0" w:firstLine="0"/>
        <w:rPr>
          <w:bCs/>
          <w:i/>
          <w:iCs/>
        </w:rPr>
      </w:pPr>
      <w:r>
        <w:rPr>
          <w:bCs/>
          <w:i/>
          <w:iCs/>
        </w:rPr>
        <w:t>Reasons for making [CO 14/1262]</w:t>
      </w:r>
    </w:p>
    <w:p w14:paraId="5B6EBA6E" w14:textId="2C37DBAC" w:rsidR="001F62BB" w:rsidRPr="001F62BB" w:rsidRDefault="00AE4AD0" w:rsidP="00A73831">
      <w:pPr>
        <w:pStyle w:val="LI-BodyTextNumbered"/>
        <w:keepNext/>
        <w:numPr>
          <w:ilvl w:val="0"/>
          <w:numId w:val="16"/>
        </w:numPr>
        <w:ind w:left="567" w:hanging="567"/>
        <w:rPr>
          <w:bCs/>
        </w:rPr>
      </w:pPr>
      <w:r>
        <w:rPr>
          <w:bCs/>
        </w:rPr>
        <w:t xml:space="preserve">ASIC </w:t>
      </w:r>
      <w:r w:rsidR="00C41325">
        <w:rPr>
          <w:bCs/>
        </w:rPr>
        <w:t xml:space="preserve">first made </w:t>
      </w:r>
      <w:r>
        <w:rPr>
          <w:bCs/>
        </w:rPr>
        <w:t>[CO 14/1262]</w:t>
      </w:r>
      <w:r w:rsidR="00FB3343">
        <w:rPr>
          <w:bCs/>
        </w:rPr>
        <w:t xml:space="preserve"> in 20</w:t>
      </w:r>
      <w:r w:rsidR="00C41325">
        <w:rPr>
          <w:bCs/>
        </w:rPr>
        <w:t>1</w:t>
      </w:r>
      <w:r w:rsidR="00FB3343">
        <w:rPr>
          <w:bCs/>
        </w:rPr>
        <w:t xml:space="preserve">4 to </w:t>
      </w:r>
      <w:r w:rsidR="00EF20AF">
        <w:rPr>
          <w:bCs/>
        </w:rPr>
        <w:t xml:space="preserve">give </w:t>
      </w:r>
      <w:r w:rsidR="00FB3343">
        <w:rPr>
          <w:bCs/>
        </w:rPr>
        <w:t>concessional regulatory treatment</w:t>
      </w:r>
      <w:r w:rsidR="00EC3536">
        <w:rPr>
          <w:bCs/>
        </w:rPr>
        <w:t xml:space="preserve"> </w:t>
      </w:r>
      <w:r w:rsidR="00744320">
        <w:rPr>
          <w:bCs/>
        </w:rPr>
        <w:t>to 31-day notice term deposits</w:t>
      </w:r>
      <w:r w:rsidR="00D44519">
        <w:rPr>
          <w:bCs/>
        </w:rPr>
        <w:t xml:space="preserve"> of up to 5 years’ duration</w:t>
      </w:r>
      <w:r w:rsidR="00FB3343">
        <w:rPr>
          <w:bCs/>
        </w:rPr>
        <w:t xml:space="preserve">. </w:t>
      </w:r>
      <w:r w:rsidR="00B608F2">
        <w:rPr>
          <w:bCs/>
        </w:rPr>
        <w:t>This was initially</w:t>
      </w:r>
      <w:r w:rsidR="00901236">
        <w:rPr>
          <w:bCs/>
        </w:rPr>
        <w:t xml:space="preserve"> for an interim period of 18 months to give </w:t>
      </w:r>
      <w:r w:rsidR="00E07DF6">
        <w:rPr>
          <w:bCs/>
        </w:rPr>
        <w:t xml:space="preserve">the </w:t>
      </w:r>
      <w:r w:rsidR="00901236">
        <w:rPr>
          <w:bCs/>
        </w:rPr>
        <w:t>Government the opportunity to consider legislative reform</w:t>
      </w:r>
      <w:r w:rsidR="00711B07">
        <w:rPr>
          <w:bCs/>
        </w:rPr>
        <w:t>. ASIC extended</w:t>
      </w:r>
      <w:r w:rsidR="00360794">
        <w:rPr>
          <w:bCs/>
        </w:rPr>
        <w:t xml:space="preserve"> the concessional </w:t>
      </w:r>
      <w:r w:rsidR="00360794">
        <w:rPr>
          <w:bCs/>
        </w:rPr>
        <w:lastRenderedPageBreak/>
        <w:t xml:space="preserve">regulatory treatment under </w:t>
      </w:r>
      <w:r w:rsidR="00711B07">
        <w:rPr>
          <w:bCs/>
        </w:rPr>
        <w:t>[CO 14/1262</w:t>
      </w:r>
      <w:r w:rsidR="00177AF4">
        <w:rPr>
          <w:bCs/>
        </w:rPr>
        <w:t>]</w:t>
      </w:r>
      <w:r w:rsidR="00711B07">
        <w:rPr>
          <w:bCs/>
        </w:rPr>
        <w:t xml:space="preserve"> </w:t>
      </w:r>
      <w:r w:rsidR="00360794">
        <w:rPr>
          <w:bCs/>
        </w:rPr>
        <w:t xml:space="preserve">for </w:t>
      </w:r>
      <w:r w:rsidR="00BD7D10">
        <w:rPr>
          <w:bCs/>
        </w:rPr>
        <w:t xml:space="preserve">subsequent additional </w:t>
      </w:r>
      <w:r w:rsidR="00360794">
        <w:rPr>
          <w:bCs/>
        </w:rPr>
        <w:t xml:space="preserve">periods </w:t>
      </w:r>
      <w:r w:rsidR="00FD75BB">
        <w:rPr>
          <w:bCs/>
        </w:rPr>
        <w:t>until 31</w:t>
      </w:r>
      <w:r w:rsidR="00CE7E7B">
        <w:rPr>
          <w:bCs/>
        </w:rPr>
        <w:t xml:space="preserve"> March 2025</w:t>
      </w:r>
      <w:r w:rsidR="0012049D">
        <w:rPr>
          <w:bCs/>
        </w:rPr>
        <w:t>.</w:t>
      </w:r>
      <w:r w:rsidR="001F62BB" w:rsidRPr="001F62BB">
        <w:t xml:space="preserve"> </w:t>
      </w:r>
    </w:p>
    <w:p w14:paraId="45A23EE7" w14:textId="6653ACC9" w:rsidR="001F62BB" w:rsidRDefault="001F62BB" w:rsidP="001F62BB">
      <w:pPr>
        <w:pStyle w:val="LI-BodyTextParaa"/>
        <w:numPr>
          <w:ilvl w:val="0"/>
          <w:numId w:val="16"/>
        </w:numPr>
        <w:ind w:left="567" w:hanging="567"/>
      </w:pPr>
      <w:r>
        <w:t>Some ADIs are subject to a ‘liquidity coverage ratio’ (</w:t>
      </w:r>
      <w:proofErr w:type="spellStart"/>
      <w:r>
        <w:t>LCR</w:t>
      </w:r>
      <w:proofErr w:type="spellEnd"/>
      <w:r>
        <w:t xml:space="preserve">) requirement. The Australian Prudential Regulation Authority has, since 1 January 2015, </w:t>
      </w:r>
      <w:r w:rsidR="002501E1">
        <w:t>applied</w:t>
      </w:r>
      <w:r>
        <w:t xml:space="preserve"> an </w:t>
      </w:r>
      <w:proofErr w:type="spellStart"/>
      <w:r>
        <w:t>LCR</w:t>
      </w:r>
      <w:proofErr w:type="spellEnd"/>
      <w:r>
        <w:t xml:space="preserve"> under </w:t>
      </w:r>
      <w:r w:rsidRPr="00DF4379">
        <w:rPr>
          <w:i/>
          <w:iCs/>
        </w:rPr>
        <w:t>Prudential Standard APS 210 Liquidity</w:t>
      </w:r>
      <w:r>
        <w:t xml:space="preserve"> (APS 210). </w:t>
      </w:r>
      <w:r w:rsidR="007445C1">
        <w:t xml:space="preserve">The current version of </w:t>
      </w:r>
      <w:r>
        <w:t xml:space="preserve">APS 210 is made under Banking (prudential standard) determination No. 13 of 2022 and commenced on 1 January 2023. The </w:t>
      </w:r>
      <w:r w:rsidRPr="008C0FE1">
        <w:t xml:space="preserve">objective of the </w:t>
      </w:r>
      <w:proofErr w:type="spellStart"/>
      <w:r w:rsidRPr="008C0FE1">
        <w:t>LCR</w:t>
      </w:r>
      <w:proofErr w:type="spellEnd"/>
      <w:r w:rsidRPr="008C0FE1">
        <w:t xml:space="preserve"> is to ensure that </w:t>
      </w:r>
      <w:r>
        <w:t xml:space="preserve">an </w:t>
      </w:r>
      <w:r w:rsidRPr="008C0FE1">
        <w:t xml:space="preserve">ADI </w:t>
      </w:r>
      <w:r>
        <w:t>maintains an adequate level of unencumbered high-quality liquid assets (</w:t>
      </w:r>
      <w:proofErr w:type="spellStart"/>
      <w:r>
        <w:t>HQLA</w:t>
      </w:r>
      <w:proofErr w:type="spellEnd"/>
      <w:r>
        <w:t xml:space="preserve">) that can be converted into cash to meet </w:t>
      </w:r>
      <w:r w:rsidR="00EF63AD">
        <w:t xml:space="preserve">the </w:t>
      </w:r>
      <w:proofErr w:type="spellStart"/>
      <w:r w:rsidR="00EF63AD">
        <w:t>ADI’s</w:t>
      </w:r>
      <w:proofErr w:type="spellEnd"/>
      <w:r>
        <w:t xml:space="preserve"> liquidity needs for a 30-day period under a severe liquidity stress scenario. ADIs must maintain a stock of qualifying </w:t>
      </w:r>
      <w:proofErr w:type="spellStart"/>
      <w:r>
        <w:t>HQLA</w:t>
      </w:r>
      <w:proofErr w:type="spellEnd"/>
      <w:r>
        <w:t xml:space="preserve"> to cover total net cash outflows over the next 30 days.</w:t>
      </w:r>
    </w:p>
    <w:p w14:paraId="0A664A58" w14:textId="13E85499" w:rsidR="00E82E97" w:rsidRDefault="00E82E97" w:rsidP="00E82E97">
      <w:pPr>
        <w:pStyle w:val="LI-BodyTextParaa"/>
        <w:numPr>
          <w:ilvl w:val="0"/>
          <w:numId w:val="16"/>
        </w:numPr>
        <w:ind w:left="567" w:hanging="567"/>
      </w:pPr>
      <w:r>
        <w:t xml:space="preserve">When calculating total net cash outflows, term deposits </w:t>
      </w:r>
      <w:r w:rsidRPr="009A4A3E">
        <w:t xml:space="preserve">with a residual maturity or withdrawal notice period of </w:t>
      </w:r>
      <w:r>
        <w:t>more</w:t>
      </w:r>
      <w:r w:rsidRPr="009A4A3E">
        <w:t xml:space="preserve"> than 30 days </w:t>
      </w:r>
      <w:r>
        <w:t xml:space="preserve">will be excluded from </w:t>
      </w:r>
      <w:proofErr w:type="spellStart"/>
      <w:r>
        <w:t>LCR</w:t>
      </w:r>
      <w:proofErr w:type="spellEnd"/>
      <w:r>
        <w:t xml:space="preserve"> calculations if the depositor has no legal right to withdraw deposits within 30 days of the </w:t>
      </w:r>
      <w:proofErr w:type="spellStart"/>
      <w:r>
        <w:t>LCR</w:t>
      </w:r>
      <w:proofErr w:type="spellEnd"/>
      <w:r>
        <w:t xml:space="preserve"> or if early withdrawal results in a significant penalty that is materially greater than the loss of interest on the deposit. </w:t>
      </w:r>
      <w:r w:rsidR="008C24AA">
        <w:t xml:space="preserve">Because term deposits are excluded from an </w:t>
      </w:r>
      <w:proofErr w:type="spellStart"/>
      <w:r w:rsidR="008C24AA">
        <w:t>ADI’s</w:t>
      </w:r>
      <w:proofErr w:type="spellEnd"/>
      <w:r w:rsidR="008C24AA">
        <w:t xml:space="preserve"> cash outflows if the depositor has no legal right to withdraw the deposit within 30 days, a 31-day notice period requirement for early withdrawal will allow ADIs to exclude those term deposits when determining their cash outflows under the </w:t>
      </w:r>
      <w:proofErr w:type="spellStart"/>
      <w:r w:rsidR="008C24AA">
        <w:t>LCR</w:t>
      </w:r>
      <w:proofErr w:type="spellEnd"/>
      <w:r w:rsidR="008C24AA">
        <w:t>.</w:t>
      </w:r>
    </w:p>
    <w:p w14:paraId="0D3BA85C" w14:textId="0FE588A7" w:rsidR="0071775A" w:rsidRPr="00204653" w:rsidRDefault="00204653" w:rsidP="00A73831">
      <w:pPr>
        <w:pStyle w:val="LI-BodyTextNumbered"/>
        <w:keepNext/>
        <w:numPr>
          <w:ilvl w:val="0"/>
          <w:numId w:val="16"/>
        </w:numPr>
        <w:ind w:left="567" w:hanging="567"/>
        <w:rPr>
          <w:bCs/>
        </w:rPr>
      </w:pPr>
      <w:r>
        <w:rPr>
          <w:bCs/>
        </w:rPr>
        <w:t xml:space="preserve">For </w:t>
      </w:r>
      <w:r>
        <w:t>a deposit product to meet the definition of ‘basic deposit product’ in section 9 of the Act, it must satisfy the conditions set out in that definition.</w:t>
      </w:r>
      <w:r w:rsidR="004B147A">
        <w:t xml:space="preserve"> A term deposit of up to five years may be considered a basic deposit product if early withdrawal by the depositor is permitted. </w:t>
      </w:r>
      <w:r w:rsidR="00855C2D">
        <w:t>Under the definition in section 9, a</w:t>
      </w:r>
      <w:r w:rsidR="004B147A">
        <w:t xml:space="preserve"> depositor may make an early withdrawal without prior notice to the ADI, except that:</w:t>
      </w:r>
    </w:p>
    <w:p w14:paraId="20CD0D9C" w14:textId="4E55D06C" w:rsidR="00B139D9" w:rsidRPr="009F016E" w:rsidRDefault="00B139D9" w:rsidP="00B139D9">
      <w:pPr>
        <w:pStyle w:val="LI-BodyTextParaa"/>
        <w:numPr>
          <w:ilvl w:val="1"/>
          <w:numId w:val="16"/>
        </w:numPr>
        <w:ind w:left="1134" w:hanging="567"/>
      </w:pPr>
      <w:r>
        <w:t xml:space="preserve">an ADI may require prior notice for withdrawal from a term deposit of up to two </w:t>
      </w:r>
      <w:proofErr w:type="gramStart"/>
      <w:r>
        <w:t>years;</w:t>
      </w:r>
      <w:proofErr w:type="gramEnd"/>
    </w:p>
    <w:p w14:paraId="4158E7AD" w14:textId="77777777" w:rsidR="00174B4D" w:rsidRDefault="00B139D9" w:rsidP="00B139D9">
      <w:pPr>
        <w:pStyle w:val="LI-BodyTextParaa"/>
        <w:numPr>
          <w:ilvl w:val="1"/>
          <w:numId w:val="16"/>
        </w:numPr>
        <w:ind w:left="1134" w:hanging="567"/>
      </w:pPr>
      <w:r>
        <w:t xml:space="preserve">for credit unions, credit societies, credit co-operatives and building societies, a notice requirement of </w:t>
      </w:r>
      <w:r w:rsidR="007326E9">
        <w:t>not more than</w:t>
      </w:r>
      <w:r>
        <w:t xml:space="preserve"> seven days may be required for term deposits of between two and five years</w:t>
      </w:r>
      <w:r w:rsidR="00FB45F6">
        <w:t>; and</w:t>
      </w:r>
      <w:r w:rsidR="00A75CAD">
        <w:t xml:space="preserve"> </w:t>
      </w:r>
    </w:p>
    <w:p w14:paraId="299592C7" w14:textId="1EB28304" w:rsidR="00B139D9" w:rsidRDefault="00B139D9" w:rsidP="00B139D9">
      <w:pPr>
        <w:pStyle w:val="LI-BodyTextParaa"/>
        <w:numPr>
          <w:ilvl w:val="1"/>
          <w:numId w:val="16"/>
        </w:numPr>
        <w:ind w:left="1134" w:hanging="567"/>
      </w:pPr>
      <w:r>
        <w:t>the ADI may impose a reduction in the return generated for the depositor</w:t>
      </w:r>
      <w:r w:rsidR="00C8746E">
        <w:t xml:space="preserve"> if the depositor withdraws the funds early</w:t>
      </w:r>
      <w:r>
        <w:t>.</w:t>
      </w:r>
    </w:p>
    <w:p w14:paraId="115ECF04" w14:textId="7D4798EF" w:rsidR="00CD49C0" w:rsidRDefault="00CD49C0" w:rsidP="00CD49C0">
      <w:pPr>
        <w:pStyle w:val="LI-BodyTextParaa"/>
        <w:numPr>
          <w:ilvl w:val="0"/>
          <w:numId w:val="16"/>
        </w:numPr>
        <w:ind w:left="567" w:hanging="567"/>
      </w:pPr>
      <w:r>
        <w:t>The definition of basic deposit product makes a distinction between term deposits of up to two years and term deposits of between two and five years, in relation to notice period requirements for early withdrawals by depositors. The distinction is:</w:t>
      </w:r>
    </w:p>
    <w:p w14:paraId="7D387463" w14:textId="40A025DD" w:rsidR="00CD49C0" w:rsidRDefault="00CD49C0" w:rsidP="00CD49C0">
      <w:pPr>
        <w:pStyle w:val="LI-BodyTextParaa"/>
        <w:numPr>
          <w:ilvl w:val="1"/>
          <w:numId w:val="16"/>
        </w:numPr>
        <w:ind w:left="1134" w:hanging="567"/>
      </w:pPr>
      <w:r>
        <w:t>Term deposits of up to two years may qualify as basic deposit products if early withdrawal</w:t>
      </w:r>
      <w:r w:rsidR="005A3CD3">
        <w:t xml:space="preserve"> of funds</w:t>
      </w:r>
      <w:r>
        <w:t xml:space="preserve"> is permitted </w:t>
      </w:r>
      <w:r w:rsidR="00A52AC6">
        <w:t>(</w:t>
      </w:r>
      <w:proofErr w:type="gramStart"/>
      <w:r w:rsidR="00D55232">
        <w:t>whether or not</w:t>
      </w:r>
      <w:proofErr w:type="gramEnd"/>
      <w:r w:rsidR="00D55232">
        <w:t xml:space="preserve"> </w:t>
      </w:r>
      <w:r>
        <w:t>subject to a notice period requirement</w:t>
      </w:r>
      <w:r w:rsidR="00A52AC6">
        <w:t>)</w:t>
      </w:r>
      <w:r w:rsidR="00D55232">
        <w:t>.</w:t>
      </w:r>
    </w:p>
    <w:p w14:paraId="79D5F30C" w14:textId="6E3211E8" w:rsidR="00CD49C0" w:rsidRDefault="00D55232" w:rsidP="00CD49C0">
      <w:pPr>
        <w:pStyle w:val="LI-BodyTextParaa"/>
        <w:numPr>
          <w:ilvl w:val="1"/>
          <w:numId w:val="16"/>
        </w:numPr>
        <w:ind w:left="1134" w:hanging="567"/>
      </w:pPr>
      <w:r>
        <w:lastRenderedPageBreak/>
        <w:t>T</w:t>
      </w:r>
      <w:r w:rsidR="00CD49C0">
        <w:t xml:space="preserve">erm deposits of between two and five years may qualify as basic deposit products if </w:t>
      </w:r>
      <w:r w:rsidR="005A3CD3">
        <w:t xml:space="preserve">early withdrawal of </w:t>
      </w:r>
      <w:r w:rsidR="00876D1F">
        <w:t xml:space="preserve">funds </w:t>
      </w:r>
      <w:r w:rsidR="005A3CD3">
        <w:t xml:space="preserve">is permitted </w:t>
      </w:r>
      <w:r w:rsidR="00CD49C0">
        <w:t>without prior notice (</w:t>
      </w:r>
      <w:proofErr w:type="gramStart"/>
      <w:r w:rsidR="00CD49C0">
        <w:t>with the exception of</w:t>
      </w:r>
      <w:proofErr w:type="gramEnd"/>
      <w:r w:rsidR="00CD49C0">
        <w:t xml:space="preserve"> the special provision</w:t>
      </w:r>
      <w:r w:rsidR="00A14CFA">
        <w:t xml:space="preserve"> under </w:t>
      </w:r>
      <w:proofErr w:type="spellStart"/>
      <w:r w:rsidR="00A14CFA">
        <w:t>subregulation</w:t>
      </w:r>
      <w:proofErr w:type="spellEnd"/>
      <w:r w:rsidR="00A14CFA">
        <w:t xml:space="preserve"> 1.0.02</w:t>
      </w:r>
      <w:r w:rsidR="00823AEC">
        <w:t>AA</w:t>
      </w:r>
      <w:r w:rsidR="00CD49C0">
        <w:t xml:space="preserve"> for </w:t>
      </w:r>
      <w:r w:rsidR="007E7FF4">
        <w:t>credit unions</w:t>
      </w:r>
      <w:r w:rsidR="00BC67E6">
        <w:t>, credit societies, credit co-operatives and building societies</w:t>
      </w:r>
      <w:r w:rsidR="00CD49C0">
        <w:t>).</w:t>
      </w:r>
    </w:p>
    <w:p w14:paraId="43B72ABA" w14:textId="0A9D92C2" w:rsidR="001502B9" w:rsidRDefault="001502B9" w:rsidP="001502B9">
      <w:pPr>
        <w:pStyle w:val="LI-BodyTextParaa"/>
        <w:numPr>
          <w:ilvl w:val="0"/>
          <w:numId w:val="16"/>
        </w:numPr>
        <w:ind w:left="567" w:hanging="567"/>
      </w:pPr>
      <w:r>
        <w:t xml:space="preserve">While the definition of basic deposit product in section 9 of the Act allows notice periods for early withdrawal from term deposits of up to two years, it does not state what a permissible notice period would be. It is unclear what duration would be consistent with the characterisation of a term deposit of up to two years as </w:t>
      </w:r>
      <w:r w:rsidR="009A4FA3">
        <w:t xml:space="preserve">a </w:t>
      </w:r>
      <w:r>
        <w:t xml:space="preserve">basic deposit product. ASIC’s view is that a notice period of 31 days for early withdrawal is unlikely to be consistent with the characterisation of a term deposit of up to two years as </w:t>
      </w:r>
      <w:r w:rsidR="006B1381">
        <w:t xml:space="preserve">a </w:t>
      </w:r>
      <w:r>
        <w:t>basic deposit product and, accordingly, these terms deposits would be unlikely to meet the definition of basic deposit product.</w:t>
      </w:r>
    </w:p>
    <w:p w14:paraId="78DCCFFA" w14:textId="5812DFDF" w:rsidR="00734457" w:rsidRDefault="00734457" w:rsidP="001502B9">
      <w:pPr>
        <w:pStyle w:val="LI-BodyTextParaa"/>
        <w:numPr>
          <w:ilvl w:val="0"/>
          <w:numId w:val="16"/>
        </w:numPr>
        <w:ind w:left="567" w:hanging="567"/>
      </w:pPr>
      <w:r>
        <w:t>On this basis, without relief, 31-day notice term deposits of up to five years would not be ‘basic deposit products’ and would be subject to more onerous regulatory requirements under the Act, including:</w:t>
      </w:r>
    </w:p>
    <w:p w14:paraId="55E68C12" w14:textId="77777777" w:rsidR="00734457" w:rsidRDefault="00734457" w:rsidP="00734457">
      <w:pPr>
        <w:pStyle w:val="LI-BodyTextParaa"/>
        <w:numPr>
          <w:ilvl w:val="1"/>
          <w:numId w:val="16"/>
        </w:numPr>
        <w:ind w:left="1134" w:hanging="567"/>
      </w:pPr>
      <w:r>
        <w:t xml:space="preserve">a higher level of training standards at the Tier 1 level for persons advising on term deposits under ASIC </w:t>
      </w:r>
      <w:r w:rsidRPr="009E38A7">
        <w:t>Regulatory Guide 146</w:t>
      </w:r>
      <w:r w:rsidRPr="00AB6C07">
        <w:rPr>
          <w:i/>
          <w:iCs/>
        </w:rPr>
        <w:t xml:space="preserve"> Licensing: Training of financial product advisers</w:t>
      </w:r>
      <w:r>
        <w:t>; and</w:t>
      </w:r>
    </w:p>
    <w:p w14:paraId="089880A9" w14:textId="77777777" w:rsidR="00734457" w:rsidRDefault="00734457" w:rsidP="00734457">
      <w:pPr>
        <w:pStyle w:val="LI-BodyTextParaa"/>
        <w:numPr>
          <w:ilvl w:val="1"/>
          <w:numId w:val="16"/>
        </w:numPr>
        <w:ind w:left="1134" w:hanging="567"/>
      </w:pPr>
      <w:r>
        <w:t>more prescriptive disclosure obligations, including obligations to provide a Product Disclosure Statement in a recommendation, issue or sale situation and a Statement of Advice when advisers provide personal advice to clients.</w:t>
      </w:r>
    </w:p>
    <w:p w14:paraId="56CCCB3C" w14:textId="632B6FE2" w:rsidR="00204653" w:rsidRPr="00842D59" w:rsidRDefault="00842D59" w:rsidP="00842D59">
      <w:pPr>
        <w:pStyle w:val="LI-BodyTextNumbered"/>
        <w:keepNext/>
        <w:ind w:left="0" w:firstLine="0"/>
        <w:rPr>
          <w:i/>
          <w:iCs/>
        </w:rPr>
      </w:pPr>
      <w:r>
        <w:rPr>
          <w:i/>
          <w:iCs/>
        </w:rPr>
        <w:t>Reasons for remaking the relief in Instrument 2025/172</w:t>
      </w:r>
    </w:p>
    <w:p w14:paraId="32E8AEFB" w14:textId="14EACA32" w:rsidR="004E0423" w:rsidRDefault="00742757" w:rsidP="00A73831">
      <w:pPr>
        <w:pStyle w:val="LI-BodyTextNumbered"/>
        <w:keepNext/>
        <w:numPr>
          <w:ilvl w:val="0"/>
          <w:numId w:val="16"/>
        </w:numPr>
        <w:ind w:left="567" w:hanging="567"/>
        <w:rPr>
          <w:bCs/>
        </w:rPr>
      </w:pPr>
      <w:r>
        <w:rPr>
          <w:bCs/>
        </w:rPr>
        <w:t xml:space="preserve">ASIC </w:t>
      </w:r>
      <w:r w:rsidR="00A34C0D">
        <w:rPr>
          <w:bCs/>
        </w:rPr>
        <w:t>has reviewed the operation of [CO 14/1262] and, subject to minor amendments</w:t>
      </w:r>
      <w:r w:rsidR="00B7649E">
        <w:rPr>
          <w:bCs/>
        </w:rPr>
        <w:t>,</w:t>
      </w:r>
      <w:r w:rsidR="00A34C0D">
        <w:rPr>
          <w:bCs/>
        </w:rPr>
        <w:t xml:space="preserve"> </w:t>
      </w:r>
      <w:r w:rsidR="00A33DE2">
        <w:rPr>
          <w:bCs/>
        </w:rPr>
        <w:t xml:space="preserve">has </w:t>
      </w:r>
      <w:r w:rsidR="00A34C0D">
        <w:rPr>
          <w:bCs/>
        </w:rPr>
        <w:t>assessed it as operating</w:t>
      </w:r>
      <w:r w:rsidR="006C4737">
        <w:rPr>
          <w:bCs/>
        </w:rPr>
        <w:t xml:space="preserve"> efficiently and effectively. ASIC has </w:t>
      </w:r>
      <w:r w:rsidR="00B7649E">
        <w:rPr>
          <w:bCs/>
        </w:rPr>
        <w:t xml:space="preserve">also </w:t>
      </w:r>
      <w:r w:rsidR="006C4737">
        <w:rPr>
          <w:bCs/>
        </w:rPr>
        <w:t xml:space="preserve">assessed that ADIs </w:t>
      </w:r>
      <w:r w:rsidR="00B7649E">
        <w:rPr>
          <w:bCs/>
        </w:rPr>
        <w:t xml:space="preserve">still rely on the </w:t>
      </w:r>
      <w:r w:rsidR="00A33DE2">
        <w:rPr>
          <w:bCs/>
        </w:rPr>
        <w:t>relief</w:t>
      </w:r>
      <w:r w:rsidR="00B7649E">
        <w:rPr>
          <w:bCs/>
        </w:rPr>
        <w:t>. Accordingly, ASIC</w:t>
      </w:r>
      <w:r w:rsidR="0065462D">
        <w:rPr>
          <w:bCs/>
        </w:rPr>
        <w:t xml:space="preserve"> is remaking the relief in [CO </w:t>
      </w:r>
      <w:r w:rsidR="00FA10B8">
        <w:rPr>
          <w:bCs/>
        </w:rPr>
        <w:t>14/</w:t>
      </w:r>
      <w:r w:rsidR="0065462D">
        <w:rPr>
          <w:bCs/>
        </w:rPr>
        <w:t>1262</w:t>
      </w:r>
      <w:r w:rsidR="00FA10B8">
        <w:rPr>
          <w:bCs/>
        </w:rPr>
        <w:t>], with minor amendments (detailed below)</w:t>
      </w:r>
      <w:r w:rsidR="00C86F2B">
        <w:rPr>
          <w:bCs/>
        </w:rPr>
        <w:t>,</w:t>
      </w:r>
      <w:r w:rsidR="00FA10B8">
        <w:rPr>
          <w:bCs/>
        </w:rPr>
        <w:t xml:space="preserve"> </w:t>
      </w:r>
      <w:r w:rsidR="004E0423">
        <w:rPr>
          <w:bCs/>
        </w:rPr>
        <w:t>by making Instrument</w:t>
      </w:r>
      <w:r w:rsidR="004A6971">
        <w:rPr>
          <w:bCs/>
        </w:rPr>
        <w:t xml:space="preserve"> 2025/172</w:t>
      </w:r>
      <w:r w:rsidR="004E0423">
        <w:rPr>
          <w:bCs/>
        </w:rPr>
        <w:t>.</w:t>
      </w:r>
    </w:p>
    <w:p w14:paraId="6A7153E1" w14:textId="5A88A72E" w:rsidR="001214DC" w:rsidRPr="001214DC" w:rsidRDefault="002D32C5" w:rsidP="001214DC">
      <w:pPr>
        <w:pStyle w:val="LI-BodyTextParaa"/>
        <w:ind w:left="0" w:firstLine="0"/>
        <w:rPr>
          <w:i/>
          <w:iCs/>
        </w:rPr>
      </w:pPr>
      <w:r>
        <w:rPr>
          <w:i/>
          <w:iCs/>
        </w:rPr>
        <w:t>Balancing consume</w:t>
      </w:r>
      <w:r w:rsidR="00C952FE">
        <w:rPr>
          <w:i/>
          <w:iCs/>
        </w:rPr>
        <w:t>r protection</w:t>
      </w:r>
      <w:r>
        <w:rPr>
          <w:i/>
          <w:iCs/>
        </w:rPr>
        <w:t xml:space="preserve"> and </w:t>
      </w:r>
      <w:r w:rsidR="00C952FE">
        <w:rPr>
          <w:i/>
          <w:iCs/>
        </w:rPr>
        <w:t>regulatory burden</w:t>
      </w:r>
    </w:p>
    <w:p w14:paraId="12A30F2E" w14:textId="5F6494BD" w:rsidR="00F146DB" w:rsidRDefault="004A6971" w:rsidP="00F146DB">
      <w:pPr>
        <w:pStyle w:val="LI-BodyTextParaa"/>
        <w:numPr>
          <w:ilvl w:val="0"/>
          <w:numId w:val="16"/>
        </w:numPr>
        <w:ind w:left="567" w:hanging="567"/>
      </w:pPr>
      <w:r>
        <w:t>In</w:t>
      </w:r>
      <w:r w:rsidR="00C952FE">
        <w:t xml:space="preserve">strument </w:t>
      </w:r>
      <w:r>
        <w:t>2025/172</w:t>
      </w:r>
      <w:r w:rsidR="00F146DB">
        <w:t xml:space="preserve"> balance</w:t>
      </w:r>
      <w:r>
        <w:t>s</w:t>
      </w:r>
      <w:r w:rsidR="00F146DB">
        <w:t xml:space="preserve"> </w:t>
      </w:r>
      <w:r w:rsidR="00046BDB">
        <w:t>consumer</w:t>
      </w:r>
      <w:r w:rsidR="00F146DB">
        <w:t xml:space="preserve"> protection objective</w:t>
      </w:r>
      <w:r w:rsidR="00865E4F">
        <w:t>s</w:t>
      </w:r>
      <w:r w:rsidR="00F146DB">
        <w:t xml:space="preserve"> </w:t>
      </w:r>
      <w:r>
        <w:t>against</w:t>
      </w:r>
      <w:r w:rsidR="00F146DB">
        <w:t xml:space="preserve"> </w:t>
      </w:r>
      <w:r w:rsidR="009533DE">
        <w:t xml:space="preserve">regulatory burden and </w:t>
      </w:r>
      <w:r w:rsidR="00F146DB">
        <w:t xml:space="preserve">compliance costs </w:t>
      </w:r>
      <w:r w:rsidR="00B05471">
        <w:t xml:space="preserve">on ADIs </w:t>
      </w:r>
      <w:r w:rsidR="00F146DB">
        <w:t xml:space="preserve">by imposing conditions </w:t>
      </w:r>
      <w:r w:rsidR="00483027">
        <w:t xml:space="preserve">on the relief </w:t>
      </w:r>
      <w:r w:rsidR="00F146DB">
        <w:t xml:space="preserve">that address the greater risks posed </w:t>
      </w:r>
      <w:r w:rsidR="00B05471">
        <w:t xml:space="preserve">to consumers </w:t>
      </w:r>
      <w:r w:rsidR="00F146DB">
        <w:t>by 31-day notice term deposi</w:t>
      </w:r>
      <w:r w:rsidR="003C1D42">
        <w:t>ts.</w:t>
      </w:r>
    </w:p>
    <w:p w14:paraId="123D3B2F" w14:textId="236C803A" w:rsidR="00F146DB" w:rsidRDefault="00CF59A5" w:rsidP="006110A8">
      <w:pPr>
        <w:pStyle w:val="LI-BodyTextParaa"/>
        <w:numPr>
          <w:ilvl w:val="0"/>
          <w:numId w:val="16"/>
        </w:numPr>
        <w:ind w:left="567" w:hanging="567"/>
      </w:pPr>
      <w:r>
        <w:t>ASIC</w:t>
      </w:r>
      <w:r w:rsidR="00046BDB">
        <w:t xml:space="preserve"> considers t</w:t>
      </w:r>
      <w:r w:rsidR="00A7795F">
        <w:t>here is a</w:t>
      </w:r>
      <w:r w:rsidR="00F146DB">
        <w:t xml:space="preserve"> risk that </w:t>
      </w:r>
      <w:r w:rsidR="00412F6F">
        <w:t xml:space="preserve">consumers </w:t>
      </w:r>
      <w:r w:rsidR="00F146DB">
        <w:t xml:space="preserve">may acquire a </w:t>
      </w:r>
      <w:r w:rsidR="00046BDB">
        <w:t xml:space="preserve">31-day notice </w:t>
      </w:r>
      <w:r w:rsidR="00F146DB">
        <w:t xml:space="preserve">term deposit product without being aware of the 31-day notice period or </w:t>
      </w:r>
      <w:r w:rsidR="00C42A9F">
        <w:t xml:space="preserve">understanding </w:t>
      </w:r>
      <w:r w:rsidR="00046BDB">
        <w:t>its</w:t>
      </w:r>
      <w:r w:rsidR="003A4621">
        <w:t xml:space="preserve"> </w:t>
      </w:r>
      <w:r w:rsidR="00F146DB">
        <w:t>effect</w:t>
      </w:r>
      <w:r w:rsidR="002B0817">
        <w:t>. The ‘dual pricing rollover risk’ (</w:t>
      </w:r>
      <w:r w:rsidR="003A4621">
        <w:t>namely,</w:t>
      </w:r>
      <w:r w:rsidR="002B0817">
        <w:t xml:space="preserve"> </w:t>
      </w:r>
      <w:r w:rsidR="003A4621">
        <w:t>the</w:t>
      </w:r>
      <w:r w:rsidR="002B0817">
        <w:t xml:space="preserve"> risk that consumers </w:t>
      </w:r>
      <w:r w:rsidR="003A4621">
        <w:t xml:space="preserve">may </w:t>
      </w:r>
      <w:r w:rsidR="002B0817">
        <w:t xml:space="preserve">passively allow term deposits to roll over from a high interest rate to a much lower interest rate), </w:t>
      </w:r>
      <w:r w:rsidR="00BC54AE">
        <w:t xml:space="preserve">combined </w:t>
      </w:r>
      <w:r w:rsidR="002B0817">
        <w:t>with the 31-day notice period</w:t>
      </w:r>
      <w:r w:rsidR="003A4621">
        <w:t xml:space="preserve"> (during which the consumer will be unable to exit the product)</w:t>
      </w:r>
      <w:r w:rsidR="002B0817">
        <w:t xml:space="preserve">, poses a greater risk to consumers than term deposits that do not </w:t>
      </w:r>
      <w:r w:rsidR="003A4621">
        <w:t>have</w:t>
      </w:r>
      <w:r w:rsidR="002B0817">
        <w:t xml:space="preserve"> </w:t>
      </w:r>
      <w:r w:rsidR="005D384E">
        <w:t xml:space="preserve">such </w:t>
      </w:r>
      <w:r w:rsidR="002B0817">
        <w:t>a notice period.</w:t>
      </w:r>
      <w:r w:rsidR="002B0817" w:rsidRPr="002B0817">
        <w:t xml:space="preserve"> </w:t>
      </w:r>
    </w:p>
    <w:p w14:paraId="48B1F378" w14:textId="0C8EEDD0" w:rsidR="000F3C9A" w:rsidRDefault="00F83CC8" w:rsidP="006110A8">
      <w:pPr>
        <w:pStyle w:val="LI-BodyTextParaa"/>
        <w:numPr>
          <w:ilvl w:val="0"/>
          <w:numId w:val="16"/>
        </w:numPr>
        <w:ind w:left="567" w:hanging="567"/>
      </w:pPr>
      <w:r>
        <w:lastRenderedPageBreak/>
        <w:t xml:space="preserve">Instrument </w:t>
      </w:r>
      <w:r w:rsidR="00EC2D24">
        <w:t xml:space="preserve">2025/172 </w:t>
      </w:r>
      <w:r w:rsidR="0097093C">
        <w:t xml:space="preserve">allows </w:t>
      </w:r>
      <w:r>
        <w:t xml:space="preserve">ADIs to </w:t>
      </w:r>
      <w:r w:rsidR="002B4502">
        <w:t xml:space="preserve">roll over deposited funds into a new term deposit </w:t>
      </w:r>
      <w:r w:rsidR="0097093C">
        <w:t xml:space="preserve">where </w:t>
      </w:r>
      <w:r w:rsidR="002B4502">
        <w:t>the depositor has given consent</w:t>
      </w:r>
      <w:r w:rsidR="005933C7">
        <w:t>.</w:t>
      </w:r>
      <w:r w:rsidR="005D384E">
        <w:t xml:space="preserve"> However, </w:t>
      </w:r>
      <w:r w:rsidR="00A85744">
        <w:t xml:space="preserve">it </w:t>
      </w:r>
      <w:r w:rsidR="001A55ED">
        <w:t>balances this with requirements</w:t>
      </w:r>
      <w:r w:rsidR="00A85744">
        <w:t xml:space="preserve"> on ADIs</w:t>
      </w:r>
      <w:r w:rsidR="001A55ED">
        <w:t xml:space="preserve"> to </w:t>
      </w:r>
      <w:r w:rsidR="00AD3F74">
        <w:t xml:space="preserve">give </w:t>
      </w:r>
      <w:r w:rsidR="001A55ED">
        <w:t xml:space="preserve">depositor warnings </w:t>
      </w:r>
      <w:r w:rsidR="003C3D95">
        <w:t xml:space="preserve">and information </w:t>
      </w:r>
      <w:r w:rsidR="008B3BF9">
        <w:t>about the rollover</w:t>
      </w:r>
      <w:r w:rsidR="00A85744">
        <w:t xml:space="preserve"> (including the potential for the funds to roll over into a new product with a lower interest rate) and the</w:t>
      </w:r>
      <w:r w:rsidR="006E560E">
        <w:t xml:space="preserve"> existence and effect of the</w:t>
      </w:r>
      <w:r w:rsidR="00A85744">
        <w:t xml:space="preserve"> 31-day notice period</w:t>
      </w:r>
      <w:r w:rsidR="00C0235B">
        <w:t>.</w:t>
      </w:r>
      <w:r w:rsidR="00A85744">
        <w:t xml:space="preserve"> Instrument </w:t>
      </w:r>
      <w:r w:rsidR="0002752F">
        <w:t xml:space="preserve">2025/172 imposes a requirement on ADIs to give depositors a 7-day grace period, once the funds have rolled over, </w:t>
      </w:r>
      <w:r w:rsidR="000F5B0B">
        <w:t xml:space="preserve">during which the depositor may </w:t>
      </w:r>
      <w:r w:rsidR="00174A93">
        <w:t>withdraw or transfer their funds</w:t>
      </w:r>
      <w:r w:rsidR="00C609B6">
        <w:t xml:space="preserve"> </w:t>
      </w:r>
      <w:r w:rsidR="000F5B0B">
        <w:t>from</w:t>
      </w:r>
      <w:r w:rsidR="00C609B6">
        <w:t xml:space="preserve"> the </w:t>
      </w:r>
      <w:r w:rsidR="000F5B0B">
        <w:t xml:space="preserve">new </w:t>
      </w:r>
      <w:r w:rsidR="00C609B6">
        <w:t>term deposit.</w:t>
      </w:r>
    </w:p>
    <w:p w14:paraId="302FFE7C" w14:textId="3751D846" w:rsidR="00730524" w:rsidRDefault="00730524" w:rsidP="006110A8">
      <w:pPr>
        <w:pStyle w:val="LI-BodyTextParaa"/>
        <w:numPr>
          <w:ilvl w:val="0"/>
          <w:numId w:val="16"/>
        </w:numPr>
        <w:ind w:left="567" w:hanging="567"/>
      </w:pPr>
      <w:r>
        <w:t xml:space="preserve">In recognition of </w:t>
      </w:r>
      <w:r w:rsidR="006E560E">
        <w:t xml:space="preserve">the </w:t>
      </w:r>
      <w:r w:rsidR="005D56FC">
        <w:t xml:space="preserve">regulatory burden </w:t>
      </w:r>
      <w:r w:rsidR="00943DE8">
        <w:t xml:space="preserve">in meeting the requirements of the relief, Instrument 2025/172 provides </w:t>
      </w:r>
      <w:r w:rsidR="007E4206">
        <w:t>flexibility</w:t>
      </w:r>
      <w:r w:rsidR="00943DE8">
        <w:t xml:space="preserve"> to ADIs in how they </w:t>
      </w:r>
      <w:r w:rsidR="007E4206">
        <w:t xml:space="preserve">communicate their depositor warnings and information </w:t>
      </w:r>
      <w:r w:rsidR="00751CF0">
        <w:t xml:space="preserve">to depositors. </w:t>
      </w:r>
      <w:r w:rsidR="00474AC8">
        <w:t xml:space="preserve">Instrument 2025/172 also introduces a ‘reasonable steps’ test </w:t>
      </w:r>
      <w:r w:rsidR="00F16A66">
        <w:t>to assist ADIs in providing the required warnings and information within the required time frames.</w:t>
      </w:r>
      <w:r w:rsidR="001440B9">
        <w:t xml:space="preserve"> This flexibility i</w:t>
      </w:r>
      <w:r w:rsidR="00273DA4">
        <w:t xml:space="preserve">s balanced against ensuring </w:t>
      </w:r>
      <w:r w:rsidR="00184230">
        <w:t>consumer protection and information transparency by the inclusion of important features throughout the conditions of the relief.</w:t>
      </w:r>
      <w:r w:rsidR="003E266B">
        <w:t xml:space="preserve"> These features are detailed below.</w:t>
      </w:r>
    </w:p>
    <w:p w14:paraId="6DF09912" w14:textId="77777777" w:rsidR="00F051C2" w:rsidRPr="00884A4F" w:rsidRDefault="00540F51" w:rsidP="00F051C2">
      <w:pPr>
        <w:pStyle w:val="LI-BodyTextParaa"/>
        <w:ind w:left="0" w:firstLine="0"/>
      </w:pPr>
      <w:r w:rsidRPr="00884A4F">
        <w:rPr>
          <w:i/>
          <w:iCs/>
        </w:rPr>
        <w:t>Financial Adviser Register</w:t>
      </w:r>
      <w:r w:rsidR="009A44BA" w:rsidRPr="00884A4F">
        <w:rPr>
          <w:i/>
          <w:iCs/>
        </w:rPr>
        <w:t xml:space="preserve"> </w:t>
      </w:r>
    </w:p>
    <w:p w14:paraId="78FE6F98" w14:textId="0FA5FD3C" w:rsidR="00B74CDF" w:rsidRPr="00884A4F" w:rsidRDefault="00B74CDF" w:rsidP="00B74CDF">
      <w:pPr>
        <w:pStyle w:val="LI-BodyTextParaa"/>
        <w:numPr>
          <w:ilvl w:val="0"/>
          <w:numId w:val="16"/>
        </w:numPr>
        <w:ind w:left="567" w:hanging="567"/>
      </w:pPr>
      <w:r w:rsidRPr="00884A4F">
        <w:t>The Financial Adviser Register (</w:t>
      </w:r>
      <w:r w:rsidR="00CD2760" w:rsidRPr="00884A4F">
        <w:t>FAR</w:t>
      </w:r>
      <w:r w:rsidRPr="00884A4F">
        <w:t>)</w:t>
      </w:r>
      <w:r w:rsidR="001060D7" w:rsidRPr="00884A4F">
        <w:t xml:space="preserve"> </w:t>
      </w:r>
      <w:r w:rsidRPr="00884A4F">
        <w:t xml:space="preserve">is a public register of all natural persons providing personal advice on more complex products </w:t>
      </w:r>
      <w:r w:rsidR="00CB632C" w:rsidRPr="00884A4F">
        <w:t xml:space="preserve">(such as superannuation, shares, managed investment schemes and life insurance) </w:t>
      </w:r>
      <w:r w:rsidRPr="00884A4F">
        <w:t xml:space="preserve">to retail clients. </w:t>
      </w:r>
    </w:p>
    <w:p w14:paraId="6DFFC2C2" w14:textId="6348B807" w:rsidR="00B74CDF" w:rsidRPr="008E13BE" w:rsidRDefault="00CB632C" w:rsidP="00B74CDF">
      <w:pPr>
        <w:pStyle w:val="LI-BodyTextParaa"/>
        <w:numPr>
          <w:ilvl w:val="0"/>
          <w:numId w:val="16"/>
        </w:numPr>
        <w:ind w:left="567" w:hanging="567"/>
      </w:pPr>
      <w:r w:rsidRPr="008E13BE">
        <w:t xml:space="preserve">Financial advisers </w:t>
      </w:r>
      <w:r w:rsidR="00B74CDF" w:rsidRPr="008E13BE">
        <w:t xml:space="preserve">who provide advice only on simpler products (for example, motor vehicle insurance or basic deposit products) are not required to be listed on the </w:t>
      </w:r>
      <w:r w:rsidR="00E96A58" w:rsidRPr="008E13BE">
        <w:t>FAR</w:t>
      </w:r>
      <w:r w:rsidR="00B74CDF" w:rsidRPr="008E13BE">
        <w:t xml:space="preserve">. These individuals (such as bank counter staff and insurance call centre staff) are not generally perceived by consumers as financial advisers. </w:t>
      </w:r>
    </w:p>
    <w:p w14:paraId="07DF70E2" w14:textId="04EC6E92" w:rsidR="00B74CDF" w:rsidRPr="005E7621" w:rsidRDefault="00DA1D9E" w:rsidP="00B74CDF">
      <w:pPr>
        <w:pStyle w:val="LI-BodyTextParaa"/>
        <w:numPr>
          <w:ilvl w:val="0"/>
          <w:numId w:val="16"/>
        </w:numPr>
        <w:ind w:left="567" w:hanging="567"/>
      </w:pPr>
      <w:r w:rsidRPr="005E7621">
        <w:t xml:space="preserve">Section 910A of the Act </w:t>
      </w:r>
      <w:r w:rsidR="00B74CDF" w:rsidRPr="005E7621">
        <w:t xml:space="preserve">defines </w:t>
      </w:r>
      <w:r w:rsidR="0062594C" w:rsidRPr="005E7621">
        <w:t>‘</w:t>
      </w:r>
      <w:r w:rsidR="00B74CDF" w:rsidRPr="005E7621">
        <w:t>relevant financial product</w:t>
      </w:r>
      <w:r w:rsidR="0062594C" w:rsidRPr="005E7621">
        <w:t>’</w:t>
      </w:r>
      <w:r w:rsidR="006F07CE" w:rsidRPr="005E7621">
        <w:t xml:space="preserve"> </w:t>
      </w:r>
      <w:r w:rsidR="00927269" w:rsidRPr="005E7621">
        <w:t>for the purpose of defining the scope of the FAR</w:t>
      </w:r>
      <w:r w:rsidR="009602E2" w:rsidRPr="005E7621">
        <w:t>.</w:t>
      </w:r>
      <w:r w:rsidR="00B74CDF" w:rsidRPr="005E7621">
        <w:t xml:space="preserve"> </w:t>
      </w:r>
      <w:r w:rsidR="0062594C" w:rsidRPr="005E7621">
        <w:t>‘</w:t>
      </w:r>
      <w:r w:rsidR="00B74CDF" w:rsidRPr="005E7621">
        <w:t>Relevant financial product</w:t>
      </w:r>
      <w:r w:rsidR="0062594C" w:rsidRPr="005E7621">
        <w:t>’</w:t>
      </w:r>
      <w:r w:rsidR="00B74CDF" w:rsidRPr="005E7621">
        <w:t xml:space="preserve"> means all financial products except for those specified in the definition. A </w:t>
      </w:r>
      <w:r w:rsidR="0062594C" w:rsidRPr="005E7621">
        <w:t>‘</w:t>
      </w:r>
      <w:r w:rsidR="00B74CDF" w:rsidRPr="005E7621">
        <w:t>basic banking product</w:t>
      </w:r>
      <w:r w:rsidR="0062594C" w:rsidRPr="005E7621">
        <w:t>’</w:t>
      </w:r>
      <w:r w:rsidR="00B74CDF" w:rsidRPr="005E7621">
        <w:t xml:space="preserve"> is one such specified exception. </w:t>
      </w:r>
    </w:p>
    <w:p w14:paraId="21FA50DD" w14:textId="3A2B6C73" w:rsidR="00B74CDF" w:rsidRPr="005E7621" w:rsidRDefault="0062594C" w:rsidP="00B74CDF">
      <w:pPr>
        <w:pStyle w:val="LI-BodyTextParaa"/>
        <w:numPr>
          <w:ilvl w:val="0"/>
          <w:numId w:val="16"/>
        </w:numPr>
        <w:ind w:left="567" w:hanging="567"/>
      </w:pPr>
      <w:r w:rsidRPr="005E7621">
        <w:t>‘</w:t>
      </w:r>
      <w:r w:rsidR="00B74CDF" w:rsidRPr="005E7621">
        <w:t>Basic banking product</w:t>
      </w:r>
      <w:r w:rsidRPr="005E7621">
        <w:t>’</w:t>
      </w:r>
      <w:r w:rsidR="00B74CDF" w:rsidRPr="005E7621">
        <w:t xml:space="preserve"> has the meaning given by section</w:t>
      </w:r>
      <w:r w:rsidR="0058495B" w:rsidRPr="005E7621">
        <w:t xml:space="preserve"> 9 of the Act, which refers to </w:t>
      </w:r>
      <w:r w:rsidR="007714F7" w:rsidRPr="005E7621">
        <w:t>the definition in</w:t>
      </w:r>
      <w:r w:rsidR="00B74CDF" w:rsidRPr="005E7621">
        <w:t xml:space="preserve"> 961F of the Act, which forms part of Part 7.7A of the Act. The definition of </w:t>
      </w:r>
      <w:r w:rsidR="001150AE" w:rsidRPr="005E7621">
        <w:t>‘</w:t>
      </w:r>
      <w:r w:rsidR="00B74CDF" w:rsidRPr="005E7621">
        <w:t>basic banking product</w:t>
      </w:r>
      <w:r w:rsidR="001150AE" w:rsidRPr="005E7621">
        <w:t>’</w:t>
      </w:r>
      <w:r w:rsidR="00B74CDF" w:rsidRPr="005E7621">
        <w:t xml:space="preserve"> includes</w:t>
      </w:r>
      <w:r w:rsidR="001150AE" w:rsidRPr="005E7621">
        <w:t>, among other things,</w:t>
      </w:r>
      <w:r w:rsidR="00B74CDF" w:rsidRPr="005E7621">
        <w:t xml:space="preserve"> a </w:t>
      </w:r>
      <w:r w:rsidR="001150AE" w:rsidRPr="005E7621">
        <w:t>‘</w:t>
      </w:r>
      <w:r w:rsidR="00B74CDF" w:rsidRPr="005E7621">
        <w:t>basic deposit product</w:t>
      </w:r>
      <w:r w:rsidR="001150AE" w:rsidRPr="005E7621">
        <w:t>’</w:t>
      </w:r>
      <w:r w:rsidR="00B74CDF" w:rsidRPr="005E7621">
        <w:t xml:space="preserve">.  </w:t>
      </w:r>
    </w:p>
    <w:p w14:paraId="39F81CDE" w14:textId="660D2316" w:rsidR="006D1691" w:rsidRPr="000C78E1" w:rsidRDefault="00662A39" w:rsidP="006D1691">
      <w:pPr>
        <w:pStyle w:val="LI-BodyTextParaa"/>
        <w:numPr>
          <w:ilvl w:val="0"/>
          <w:numId w:val="16"/>
        </w:numPr>
        <w:ind w:left="567" w:hanging="567"/>
      </w:pPr>
      <w:r w:rsidRPr="000C78E1">
        <w:t>Instrument</w:t>
      </w:r>
      <w:r w:rsidR="00B74CDF" w:rsidRPr="000C78E1">
        <w:t xml:space="preserve"> </w:t>
      </w:r>
      <w:r w:rsidR="001150AE" w:rsidRPr="000C78E1">
        <w:t>2025/</w:t>
      </w:r>
      <w:r w:rsidR="000A4D30" w:rsidRPr="000C78E1">
        <w:t>172</w:t>
      </w:r>
      <w:r w:rsidR="001150AE" w:rsidRPr="000C78E1">
        <w:t xml:space="preserve"> </w:t>
      </w:r>
      <w:r w:rsidR="00B74CDF" w:rsidRPr="000C78E1">
        <w:t xml:space="preserve">notionally modifies the definition of a </w:t>
      </w:r>
      <w:r w:rsidR="00582E3A" w:rsidRPr="000C78E1">
        <w:t>‘</w:t>
      </w:r>
      <w:r w:rsidR="00B74CDF" w:rsidRPr="000C78E1">
        <w:t>basic deposit product</w:t>
      </w:r>
      <w:r w:rsidR="00582E3A" w:rsidRPr="000C78E1">
        <w:t>’</w:t>
      </w:r>
      <w:r w:rsidR="00B74CDF" w:rsidRPr="000C78E1">
        <w:t xml:space="preserve"> </w:t>
      </w:r>
      <w:r w:rsidR="001821BE" w:rsidRPr="000C78E1">
        <w:t xml:space="preserve">so that 31-day notice term deposits of up to five years are basic deposit products </w:t>
      </w:r>
      <w:r w:rsidR="00B74CDF" w:rsidRPr="000C78E1">
        <w:t>for the purposes of Parts 7.6 (other than Divisions 4 and 8), 7.7</w:t>
      </w:r>
      <w:r w:rsidR="002730B2" w:rsidRPr="000C78E1">
        <w:t>, 7.8A</w:t>
      </w:r>
      <w:r w:rsidR="00B74CDF" w:rsidRPr="000C78E1">
        <w:t xml:space="preserve"> and 7.9 of the Act</w:t>
      </w:r>
      <w:r w:rsidR="00582E3A" w:rsidRPr="000C78E1">
        <w:t>. However, it</w:t>
      </w:r>
      <w:r w:rsidR="001821BE" w:rsidRPr="000C78E1">
        <w:t xml:space="preserve"> </w:t>
      </w:r>
      <w:r w:rsidR="00B74CDF" w:rsidRPr="000C78E1">
        <w:t>does not have effect for the purposes of Part 7.7A of the Act.</w:t>
      </w:r>
      <w:r w:rsidR="005A664A" w:rsidRPr="000C78E1">
        <w:t xml:space="preserve"> </w:t>
      </w:r>
      <w:r w:rsidR="00E72F72" w:rsidRPr="000C78E1">
        <w:t>P</w:t>
      </w:r>
      <w:r w:rsidR="005A664A" w:rsidRPr="000C78E1">
        <w:t xml:space="preserve">aragraph </w:t>
      </w:r>
      <w:r w:rsidR="00A46DA9" w:rsidRPr="000C78E1">
        <w:t>5(b) of Instrument 2025/172</w:t>
      </w:r>
      <w:r w:rsidR="00584E41" w:rsidRPr="000C78E1">
        <w:t xml:space="preserve"> extends the modified definition of basic deposit product for the purposes of the definition of basic banking product in </w:t>
      </w:r>
      <w:r w:rsidR="002941E9" w:rsidRPr="000C78E1">
        <w:t>section 9 of the Act as it applies to Part</w:t>
      </w:r>
      <w:r w:rsidR="0084014C" w:rsidRPr="000C78E1">
        <w:t>s</w:t>
      </w:r>
      <w:r w:rsidR="002941E9" w:rsidRPr="000C78E1">
        <w:t xml:space="preserve"> 7.6 (</w:t>
      </w:r>
      <w:r w:rsidR="005C6A0B" w:rsidRPr="000C78E1">
        <w:t>other than Divisions 4 and 8), 7.7. 7.8A and 7.9 of the Ac</w:t>
      </w:r>
      <w:r w:rsidR="0084014C" w:rsidRPr="000C78E1">
        <w:t>t.</w:t>
      </w:r>
    </w:p>
    <w:p w14:paraId="612729A8" w14:textId="3A5279F2" w:rsidR="006D1691" w:rsidRPr="00714B9F" w:rsidRDefault="006B1B10" w:rsidP="006D1691">
      <w:pPr>
        <w:pStyle w:val="LI-BodyTextParaa"/>
        <w:numPr>
          <w:ilvl w:val="0"/>
          <w:numId w:val="16"/>
        </w:numPr>
        <w:ind w:left="567" w:hanging="567"/>
      </w:pPr>
      <w:r w:rsidRPr="00714B9F">
        <w:t xml:space="preserve">Paragraph 5(b) of </w:t>
      </w:r>
      <w:r w:rsidR="00714B9F" w:rsidRPr="00714B9F">
        <w:t>I</w:t>
      </w:r>
      <w:r w:rsidRPr="00714B9F">
        <w:t>nstrument</w:t>
      </w:r>
      <w:r w:rsidR="00714B9F" w:rsidRPr="00714B9F">
        <w:t xml:space="preserve"> 2025/172</w:t>
      </w:r>
      <w:r w:rsidRPr="00714B9F">
        <w:t xml:space="preserve"> therefore </w:t>
      </w:r>
      <w:r w:rsidR="00076C7E" w:rsidRPr="00714B9F">
        <w:t xml:space="preserve">provides </w:t>
      </w:r>
      <w:r w:rsidR="00A61AE9" w:rsidRPr="00714B9F">
        <w:t>certainty</w:t>
      </w:r>
      <w:r w:rsidR="00B74CDF" w:rsidRPr="00714B9F">
        <w:t xml:space="preserve"> </w:t>
      </w:r>
      <w:r w:rsidR="00076C7E" w:rsidRPr="00714B9F">
        <w:t>that</w:t>
      </w:r>
      <w:r w:rsidR="00B74CDF" w:rsidRPr="00714B9F">
        <w:t xml:space="preserve"> an individual </w:t>
      </w:r>
      <w:r w:rsidR="00076C7E" w:rsidRPr="00714B9F">
        <w:t xml:space="preserve">will not be a relevant </w:t>
      </w:r>
      <w:r w:rsidR="00264405" w:rsidRPr="00714B9F">
        <w:t xml:space="preserve">provider </w:t>
      </w:r>
      <w:r w:rsidR="00CB57DB" w:rsidRPr="00714B9F">
        <w:t>merely because they are authorised to provide personal advice</w:t>
      </w:r>
      <w:r w:rsidR="00BB79E3" w:rsidRPr="00714B9F">
        <w:t xml:space="preserve"> on a 31-day notice term deposit</w:t>
      </w:r>
      <w:r w:rsidR="00B74CDF" w:rsidRPr="00714B9F">
        <w:t>.</w:t>
      </w:r>
      <w:r w:rsidR="006C1FE1" w:rsidRPr="00714B9F">
        <w:t xml:space="preserve"> That is because </w:t>
      </w:r>
      <w:r w:rsidR="006C1FE1" w:rsidRPr="00714B9F">
        <w:lastRenderedPageBreak/>
        <w:t>paragraph 5(b) confirms that such a product is a basic banking product for the purposes of the FAR provisions.</w:t>
      </w:r>
      <w:r w:rsidR="00B74CDF" w:rsidRPr="00714B9F">
        <w:t xml:space="preserve">  </w:t>
      </w:r>
      <w:bookmarkStart w:id="1" w:name="_Hlk534291624"/>
    </w:p>
    <w:p w14:paraId="4CDCC6BF" w14:textId="159A727F" w:rsidR="005D1FEA" w:rsidRPr="006D1691" w:rsidRDefault="005D1FEA" w:rsidP="006D1691">
      <w:pPr>
        <w:pStyle w:val="LI-BodyTextParaa"/>
        <w:ind w:left="0" w:firstLine="0"/>
        <w:rPr>
          <w:highlight w:val="yellow"/>
        </w:rPr>
      </w:pPr>
      <w:r w:rsidRPr="006D1691">
        <w:rPr>
          <w:b/>
        </w:rPr>
        <w:t>Operation of the instrument</w:t>
      </w:r>
    </w:p>
    <w:p w14:paraId="50C74D92" w14:textId="3C858C69" w:rsidR="000F5D7D" w:rsidRDefault="000F5D7D" w:rsidP="00B95224">
      <w:pPr>
        <w:pStyle w:val="LI-BodyTextParaa"/>
        <w:keepNext/>
        <w:ind w:left="0" w:firstLine="0"/>
        <w:rPr>
          <w:b/>
        </w:rPr>
      </w:pPr>
      <w:r w:rsidRPr="00B95224">
        <w:rPr>
          <w:i/>
          <w:iCs/>
        </w:rPr>
        <w:t>Definition of basic deposit product</w:t>
      </w:r>
    </w:p>
    <w:p w14:paraId="10F939E3" w14:textId="4C172AE8" w:rsidR="00771F58" w:rsidRDefault="0001231A" w:rsidP="0001231A">
      <w:pPr>
        <w:pStyle w:val="LI-BodyTextParaa"/>
        <w:numPr>
          <w:ilvl w:val="0"/>
          <w:numId w:val="16"/>
        </w:numPr>
        <w:ind w:left="567" w:hanging="567"/>
      </w:pPr>
      <w:r>
        <w:t>Instrument</w:t>
      </w:r>
      <w:r w:rsidR="00771F58">
        <w:t xml:space="preserve"> </w:t>
      </w:r>
      <w:r w:rsidR="00B95224">
        <w:t>2025/172</w:t>
      </w:r>
      <w:r w:rsidR="00DC4246">
        <w:t xml:space="preserve"> </w:t>
      </w:r>
      <w:r w:rsidR="00771F58">
        <w:t xml:space="preserve">operates in relation to </w:t>
      </w:r>
      <w:r w:rsidR="00A61AE9">
        <w:t>‘</w:t>
      </w:r>
      <w:r w:rsidR="00771F58">
        <w:t xml:space="preserve">affected term </w:t>
      </w:r>
      <w:proofErr w:type="gramStart"/>
      <w:r w:rsidR="00771F58">
        <w:t>deposits</w:t>
      </w:r>
      <w:r w:rsidR="00ED4298">
        <w:t>’</w:t>
      </w:r>
      <w:proofErr w:type="gramEnd"/>
      <w:r w:rsidR="00771F58">
        <w:t xml:space="preserve">. </w:t>
      </w:r>
      <w:r w:rsidR="00ED4298">
        <w:t>‘</w:t>
      </w:r>
      <w:r w:rsidR="00771F58">
        <w:t>Affected term deposi</w:t>
      </w:r>
      <w:r w:rsidR="002B3571">
        <w:t>t’</w:t>
      </w:r>
      <w:r w:rsidR="00771F58">
        <w:t xml:space="preserve"> is defined in </w:t>
      </w:r>
      <w:r w:rsidR="005312A3">
        <w:t>section</w:t>
      </w:r>
      <w:r w:rsidR="00771F58">
        <w:t xml:space="preserve"> </w:t>
      </w:r>
      <w:r w:rsidR="00E73215">
        <w:t>4</w:t>
      </w:r>
      <w:r w:rsidR="00DC4246">
        <w:t xml:space="preserve"> of Instrument 2025/172</w:t>
      </w:r>
      <w:r w:rsidR="005D2697">
        <w:t xml:space="preserve"> </w:t>
      </w:r>
      <w:r w:rsidR="00D21E3B" w:rsidRPr="00D21E3B">
        <w:t xml:space="preserve">in a similar way to </w:t>
      </w:r>
      <w:r w:rsidR="00D21E3B">
        <w:t>‘</w:t>
      </w:r>
      <w:r w:rsidR="00D21E3B" w:rsidRPr="00D21E3B">
        <w:t>basic deposit product</w:t>
      </w:r>
      <w:r w:rsidR="00D21E3B">
        <w:t>’</w:t>
      </w:r>
      <w:r w:rsidR="00D21E3B" w:rsidRPr="00D21E3B">
        <w:t xml:space="preserve"> in section </w:t>
      </w:r>
      <w:r w:rsidR="00141038">
        <w:t>9</w:t>
      </w:r>
      <w:r w:rsidR="00D21E3B" w:rsidRPr="00D21E3B">
        <w:t xml:space="preserve"> of the Act, except that the definition of affected term deposit:</w:t>
      </w:r>
    </w:p>
    <w:p w14:paraId="4438A9AC" w14:textId="05495002" w:rsidR="00771F58" w:rsidRDefault="00D21E3B" w:rsidP="008742AF">
      <w:pPr>
        <w:pStyle w:val="LI-BodyTextParaa"/>
        <w:numPr>
          <w:ilvl w:val="1"/>
          <w:numId w:val="16"/>
        </w:numPr>
        <w:ind w:left="1134" w:hanging="567"/>
      </w:pPr>
      <w:r>
        <w:t xml:space="preserve">will </w:t>
      </w:r>
      <w:r w:rsidR="00146304" w:rsidRPr="00146304">
        <w:t>only apply where there is a minimum period (of up to 5 years) before which funds cannot be withdrawn or transferred without a reduction in the return generated for the depositor</w:t>
      </w:r>
      <w:r w:rsidR="00771F58">
        <w:t>;</w:t>
      </w:r>
      <w:r w:rsidR="004E2329">
        <w:t xml:space="preserve"> and</w:t>
      </w:r>
    </w:p>
    <w:p w14:paraId="6B74DAC7" w14:textId="7618874E" w:rsidR="00146304" w:rsidRDefault="00146304" w:rsidP="008742AF">
      <w:pPr>
        <w:pStyle w:val="LI-BodyTextParaa"/>
        <w:numPr>
          <w:ilvl w:val="1"/>
          <w:numId w:val="16"/>
        </w:numPr>
        <w:ind w:left="1134" w:hanging="567"/>
      </w:pPr>
      <w:r>
        <w:t xml:space="preserve">will </w:t>
      </w:r>
      <w:r w:rsidR="004E2329" w:rsidRPr="004E2329">
        <w:t xml:space="preserve">not apply to products where the condition in paragraph (d) of the definition of </w:t>
      </w:r>
      <w:r w:rsidR="004E2329">
        <w:t>‘</w:t>
      </w:r>
      <w:r w:rsidR="004E2329" w:rsidRPr="004E2329">
        <w:t>basic deposit product</w:t>
      </w:r>
      <w:r w:rsidR="004E2329">
        <w:t>’</w:t>
      </w:r>
      <w:r w:rsidR="004E2329" w:rsidRPr="004E2329">
        <w:t xml:space="preserve"> applies and is satisfied</w:t>
      </w:r>
      <w:r w:rsidR="004E2329">
        <w:t>.</w:t>
      </w:r>
    </w:p>
    <w:p w14:paraId="5B9F56FE" w14:textId="5EBC07A9" w:rsidR="00771F58" w:rsidRDefault="00381EB6" w:rsidP="0001231A">
      <w:pPr>
        <w:pStyle w:val="LI-BodyTextParaa"/>
        <w:numPr>
          <w:ilvl w:val="0"/>
          <w:numId w:val="16"/>
        </w:numPr>
        <w:ind w:left="567" w:hanging="567"/>
      </w:pPr>
      <w:r>
        <w:t xml:space="preserve">Section </w:t>
      </w:r>
      <w:r w:rsidR="007A4F1F">
        <w:t>5</w:t>
      </w:r>
      <w:r w:rsidR="00771F58">
        <w:t xml:space="preserve"> of </w:t>
      </w:r>
      <w:r w:rsidR="0088679A">
        <w:t xml:space="preserve">Instrument </w:t>
      </w:r>
      <w:r>
        <w:t xml:space="preserve">2025/172 </w:t>
      </w:r>
      <w:r w:rsidR="00771F58">
        <w:t xml:space="preserve">modifies the definition of </w:t>
      </w:r>
      <w:r w:rsidR="002F493A">
        <w:t>‘</w:t>
      </w:r>
      <w:r w:rsidR="00771F58">
        <w:t xml:space="preserve">basic </w:t>
      </w:r>
      <w:r w:rsidR="0088679A">
        <w:t>deposit</w:t>
      </w:r>
      <w:r w:rsidR="00771F58">
        <w:t xml:space="preserve"> </w:t>
      </w:r>
      <w:r w:rsidR="007E5B7C">
        <w:t>product</w:t>
      </w:r>
      <w:r w:rsidR="002F493A">
        <w:t>’</w:t>
      </w:r>
      <w:r w:rsidR="00771F58">
        <w:t xml:space="preserve"> for the purposes of Parts 7.6 (other than Divisions 4 and 8), 7.7</w:t>
      </w:r>
      <w:r w:rsidR="007E5B7C">
        <w:t xml:space="preserve">, 7.8A </w:t>
      </w:r>
      <w:r w:rsidR="00771F58">
        <w:t xml:space="preserve">and 7.9 of the Act. The effect is that an affected term deposit will be a basic deposit product </w:t>
      </w:r>
      <w:r w:rsidR="003B034F">
        <w:t xml:space="preserve">if </w:t>
      </w:r>
      <w:r w:rsidR="00896022">
        <w:t xml:space="preserve">the </w:t>
      </w:r>
      <w:r w:rsidR="00771F58">
        <w:t xml:space="preserve">funds are able to be withdrawn or transferred without a notice period or </w:t>
      </w:r>
      <w:r w:rsidR="00777123">
        <w:t xml:space="preserve">with a </w:t>
      </w:r>
      <w:r w:rsidR="00771F58">
        <w:t>notice period that does not exceed 31 days from the first business day after the notice is given.</w:t>
      </w:r>
    </w:p>
    <w:p w14:paraId="29E705E2" w14:textId="56A24B34" w:rsidR="00ED4C6A" w:rsidRPr="007074E0" w:rsidRDefault="00E87373" w:rsidP="00ED4C6A">
      <w:pPr>
        <w:pStyle w:val="LI-BodyTextParaa"/>
        <w:ind w:left="0" w:firstLine="0"/>
        <w:rPr>
          <w:i/>
          <w:iCs/>
        </w:rPr>
      </w:pPr>
      <w:r w:rsidRPr="0042662D">
        <w:rPr>
          <w:i/>
          <w:iCs/>
        </w:rPr>
        <w:t xml:space="preserve">Exemption of 31-day </w:t>
      </w:r>
      <w:r w:rsidRPr="007074E0">
        <w:rPr>
          <w:i/>
          <w:iCs/>
        </w:rPr>
        <w:t>notice term deposits from</w:t>
      </w:r>
      <w:r w:rsidR="003411CE" w:rsidRPr="007074E0">
        <w:rPr>
          <w:i/>
          <w:iCs/>
        </w:rPr>
        <w:t xml:space="preserve"> the </w:t>
      </w:r>
      <w:r w:rsidR="00540F51" w:rsidRPr="007074E0">
        <w:rPr>
          <w:i/>
          <w:iCs/>
        </w:rPr>
        <w:t xml:space="preserve">scope of the </w:t>
      </w:r>
      <w:r w:rsidR="00590C05" w:rsidRPr="007074E0">
        <w:rPr>
          <w:i/>
          <w:iCs/>
        </w:rPr>
        <w:t>FAR</w:t>
      </w:r>
      <w:r w:rsidR="003411CE" w:rsidRPr="007074E0">
        <w:rPr>
          <w:i/>
          <w:iCs/>
        </w:rPr>
        <w:t xml:space="preserve"> </w:t>
      </w:r>
    </w:p>
    <w:p w14:paraId="3E2409A7" w14:textId="257CDE97" w:rsidR="00BD6769" w:rsidRPr="007074E0" w:rsidRDefault="0089280C" w:rsidP="007074E0">
      <w:pPr>
        <w:pStyle w:val="LI-BodyTextParaa"/>
        <w:keepNext/>
        <w:numPr>
          <w:ilvl w:val="0"/>
          <w:numId w:val="16"/>
        </w:numPr>
        <w:ind w:left="567" w:hanging="567"/>
      </w:pPr>
      <w:r w:rsidRPr="007074E0">
        <w:t xml:space="preserve">As mentioned in paragraph </w:t>
      </w:r>
      <w:r w:rsidR="00465E8B" w:rsidRPr="007074E0">
        <w:t xml:space="preserve">22 </w:t>
      </w:r>
      <w:r w:rsidRPr="007074E0">
        <w:t xml:space="preserve">above, the effect of paragraph 5(b) of Instrument 2025/172 is to ensure </w:t>
      </w:r>
      <w:r w:rsidR="00DC2DEE" w:rsidRPr="007074E0">
        <w:t xml:space="preserve">that the </w:t>
      </w:r>
      <w:r w:rsidR="00354A8F" w:rsidRPr="007074E0">
        <w:t xml:space="preserve">modified definition of </w:t>
      </w:r>
      <w:r w:rsidR="00064547" w:rsidRPr="007074E0">
        <w:t>‘</w:t>
      </w:r>
      <w:r w:rsidR="00354A8F" w:rsidRPr="007074E0">
        <w:t>basic deposit product</w:t>
      </w:r>
      <w:r w:rsidR="00064547" w:rsidRPr="007074E0">
        <w:t>’</w:t>
      </w:r>
      <w:r w:rsidR="00354A8F" w:rsidRPr="007074E0">
        <w:t xml:space="preserve"> in Instrument </w:t>
      </w:r>
      <w:r w:rsidR="00786F1C" w:rsidRPr="007074E0">
        <w:t>2025/</w:t>
      </w:r>
      <w:r w:rsidR="00397410" w:rsidRPr="007074E0">
        <w:t>172</w:t>
      </w:r>
      <w:r w:rsidR="00786F1C" w:rsidRPr="007074E0">
        <w:t xml:space="preserve"> </w:t>
      </w:r>
      <w:r w:rsidR="00354A8F" w:rsidRPr="007074E0">
        <w:t xml:space="preserve">carries through to the definition of </w:t>
      </w:r>
      <w:r w:rsidR="00064547" w:rsidRPr="007074E0">
        <w:t>‘</w:t>
      </w:r>
      <w:r w:rsidR="00354A8F" w:rsidRPr="007074E0">
        <w:t>basic banking product</w:t>
      </w:r>
      <w:r w:rsidR="00064547" w:rsidRPr="007074E0">
        <w:t>’</w:t>
      </w:r>
      <w:r w:rsidR="00354A8F" w:rsidRPr="007074E0">
        <w:t xml:space="preserve"> </w:t>
      </w:r>
      <w:r w:rsidR="00F47CED" w:rsidRPr="007074E0">
        <w:t xml:space="preserve">for the purposes of Part 7.6 </w:t>
      </w:r>
      <w:r w:rsidR="008F3A51" w:rsidRPr="007074E0">
        <w:t>of the Act. This</w:t>
      </w:r>
      <w:r w:rsidR="00C22C85" w:rsidRPr="007074E0">
        <w:t xml:space="preserve"> </w:t>
      </w:r>
      <w:r w:rsidR="008F3A51" w:rsidRPr="007074E0">
        <w:t xml:space="preserve">will </w:t>
      </w:r>
      <w:r w:rsidR="00C22C85" w:rsidRPr="007074E0">
        <w:t xml:space="preserve">ensure that an individual who is authorised to provide personal advice </w:t>
      </w:r>
      <w:r w:rsidR="00F362E8" w:rsidRPr="007074E0">
        <w:t>about</w:t>
      </w:r>
      <w:r w:rsidR="00C22C85" w:rsidRPr="007074E0">
        <w:t xml:space="preserve"> a 31-day notice term deposit </w:t>
      </w:r>
      <w:r w:rsidR="00B62C48" w:rsidRPr="007074E0">
        <w:t xml:space="preserve">is not </w:t>
      </w:r>
      <w:r w:rsidR="00C22C85" w:rsidRPr="007074E0">
        <w:t xml:space="preserve">required to be </w:t>
      </w:r>
      <w:r w:rsidR="008F3A51" w:rsidRPr="007074E0">
        <w:t>registered</w:t>
      </w:r>
      <w:r w:rsidR="00C22C85" w:rsidRPr="007074E0">
        <w:t xml:space="preserve"> on the </w:t>
      </w:r>
      <w:r w:rsidR="00B62C48" w:rsidRPr="007074E0">
        <w:t xml:space="preserve">FAR. </w:t>
      </w:r>
    </w:p>
    <w:p w14:paraId="19BDEF4E" w14:textId="1CACE701" w:rsidR="00E0716A" w:rsidRPr="00070E33" w:rsidRDefault="00E0716A" w:rsidP="001B4C26">
      <w:pPr>
        <w:pStyle w:val="LI-BodyTextParaa"/>
        <w:keepNext/>
        <w:ind w:left="0" w:firstLine="0"/>
        <w:rPr>
          <w:i/>
          <w:iCs/>
        </w:rPr>
      </w:pPr>
      <w:r w:rsidRPr="00070E33">
        <w:rPr>
          <w:i/>
          <w:iCs/>
        </w:rPr>
        <w:t xml:space="preserve">Design and distribution obligations </w:t>
      </w:r>
    </w:p>
    <w:p w14:paraId="3334C43E" w14:textId="430E485E" w:rsidR="00E0716A" w:rsidRPr="00070E33" w:rsidRDefault="0074128D" w:rsidP="007074E0">
      <w:pPr>
        <w:pStyle w:val="LI-BodyTextParaa"/>
        <w:keepNext/>
        <w:numPr>
          <w:ilvl w:val="0"/>
          <w:numId w:val="16"/>
        </w:numPr>
        <w:ind w:left="567" w:hanging="567"/>
      </w:pPr>
      <w:r w:rsidRPr="00070E33">
        <w:t xml:space="preserve">Paragraph 5(b) of </w:t>
      </w:r>
      <w:r w:rsidR="007074E0" w:rsidRPr="00070E33">
        <w:t>Instrument 20</w:t>
      </w:r>
      <w:r w:rsidR="001D0834">
        <w:t>2</w:t>
      </w:r>
      <w:r w:rsidR="007074E0" w:rsidRPr="00070E33">
        <w:t xml:space="preserve">5/172 </w:t>
      </w:r>
      <w:r w:rsidRPr="00070E33">
        <w:t>ensure</w:t>
      </w:r>
      <w:r w:rsidR="007074E0" w:rsidRPr="00070E33">
        <w:t>s</w:t>
      </w:r>
      <w:r w:rsidRPr="00070E33">
        <w:t xml:space="preserve"> that the modified definition of basic deposit product carries through to the definition of basic banking product for the purposes of the </w:t>
      </w:r>
      <w:r w:rsidR="00F20D3E" w:rsidRPr="00070E33">
        <w:t>design and distribution obligations</w:t>
      </w:r>
      <w:r w:rsidRPr="00070E33">
        <w:t xml:space="preserve"> provisions Part 7.8A</w:t>
      </w:r>
      <w:r w:rsidR="00F20D3E" w:rsidRPr="00070E33">
        <w:t xml:space="preserve"> of the Act</w:t>
      </w:r>
      <w:r w:rsidRPr="00070E33">
        <w:t>.</w:t>
      </w:r>
    </w:p>
    <w:p w14:paraId="02E834BE" w14:textId="10D107C7" w:rsidR="00ED4C6A" w:rsidRPr="00ED4C6A" w:rsidRDefault="000F5D7D" w:rsidP="00B62C48">
      <w:pPr>
        <w:pStyle w:val="LI-BodyTextParaa"/>
        <w:keepNext/>
        <w:ind w:left="0" w:firstLine="0"/>
        <w:rPr>
          <w:i/>
          <w:iCs/>
        </w:rPr>
      </w:pPr>
      <w:r w:rsidRPr="0018557D">
        <w:rPr>
          <w:i/>
          <w:iCs/>
        </w:rPr>
        <w:t>Term deposit offer information</w:t>
      </w:r>
    </w:p>
    <w:p w14:paraId="0AD93980" w14:textId="6DAC8D81" w:rsidR="00771F58" w:rsidRDefault="00877D81" w:rsidP="0001231A">
      <w:pPr>
        <w:pStyle w:val="LI-BodyTextParaa"/>
        <w:numPr>
          <w:ilvl w:val="0"/>
          <w:numId w:val="16"/>
        </w:numPr>
        <w:ind w:left="567" w:hanging="567"/>
      </w:pPr>
      <w:r>
        <w:t>Section</w:t>
      </w:r>
      <w:r w:rsidR="00771F58">
        <w:t xml:space="preserve"> </w:t>
      </w:r>
      <w:r w:rsidR="00243375">
        <w:t>6</w:t>
      </w:r>
      <w:r w:rsidR="00771F58">
        <w:t xml:space="preserve"> of</w:t>
      </w:r>
      <w:r w:rsidR="00CD2405">
        <w:t xml:space="preserve"> </w:t>
      </w:r>
      <w:r w:rsidR="00610941">
        <w:t>Instrument</w:t>
      </w:r>
      <w:r w:rsidR="009017AE">
        <w:t xml:space="preserve"> 2025/172</w:t>
      </w:r>
      <w:r w:rsidR="00771F58">
        <w:t xml:space="preserve"> </w:t>
      </w:r>
      <w:r w:rsidR="009556EA">
        <w:t>inserts</w:t>
      </w:r>
      <w:r w:rsidR="00771F58">
        <w:t xml:space="preserve"> </w:t>
      </w:r>
      <w:r w:rsidR="00A273FE">
        <w:t>a</w:t>
      </w:r>
      <w:r w:rsidR="00771F58">
        <w:t xml:space="preserve"> new subsection 1012D(7AB) </w:t>
      </w:r>
      <w:r w:rsidR="009556EA">
        <w:t>into</w:t>
      </w:r>
      <w:r w:rsidR="00771F58">
        <w:t xml:space="preserve"> the Act</w:t>
      </w:r>
      <w:r w:rsidR="00A273FE">
        <w:t>. The subsection provides</w:t>
      </w:r>
      <w:r w:rsidR="00771F58">
        <w:t xml:space="preserve"> that</w:t>
      </w:r>
      <w:r w:rsidR="00B3109E">
        <w:t>,</w:t>
      </w:r>
      <w:r w:rsidR="00771F58">
        <w:t xml:space="preserve"> at or before the time an ADI offers to issue a</w:t>
      </w:r>
      <w:r w:rsidR="00BD6769">
        <w:t>n affected</w:t>
      </w:r>
      <w:r w:rsidR="00771F58">
        <w:t xml:space="preserve"> term deposit, the ADI </w:t>
      </w:r>
      <w:r w:rsidR="00BD6769">
        <w:t xml:space="preserve">must </w:t>
      </w:r>
      <w:r w:rsidR="00771F58">
        <w:t xml:space="preserve">disclose information to the </w:t>
      </w:r>
      <w:r w:rsidR="00652052">
        <w:t>depositor</w:t>
      </w:r>
      <w:r w:rsidR="00786A2C">
        <w:t xml:space="preserve"> as prescribed by new subsection 1012D(7</w:t>
      </w:r>
      <w:r w:rsidR="00716B1E">
        <w:t xml:space="preserve">AB) (as inserted by </w:t>
      </w:r>
      <w:r>
        <w:t>section</w:t>
      </w:r>
      <w:r w:rsidR="00716B1E">
        <w:t xml:space="preserve"> 6 of Instrument 2025/172)</w:t>
      </w:r>
      <w:r w:rsidR="00771F58">
        <w:t>:</w:t>
      </w:r>
    </w:p>
    <w:p w14:paraId="39A32933" w14:textId="0E93B7A6" w:rsidR="00243375" w:rsidRPr="00B9414E" w:rsidRDefault="00243375" w:rsidP="00B9414E">
      <w:pPr>
        <w:pStyle w:val="LI-BodyTextParaa"/>
        <w:ind w:left="0" w:firstLine="0"/>
      </w:pPr>
      <w:r w:rsidRPr="00B9414E">
        <w:rPr>
          <w:i/>
          <w:iCs/>
        </w:rPr>
        <w:t>Depositor warning in relation to rollover of term deposit</w:t>
      </w:r>
    </w:p>
    <w:p w14:paraId="297EA6EA" w14:textId="01DC2589" w:rsidR="00771F58" w:rsidRDefault="00381EB6" w:rsidP="0001231A">
      <w:pPr>
        <w:pStyle w:val="LI-BodyTextParaa"/>
        <w:numPr>
          <w:ilvl w:val="0"/>
          <w:numId w:val="16"/>
        </w:numPr>
        <w:ind w:left="567" w:hanging="567"/>
      </w:pPr>
      <w:r>
        <w:lastRenderedPageBreak/>
        <w:t>Section</w:t>
      </w:r>
      <w:r w:rsidR="00771F58">
        <w:t xml:space="preserve"> </w:t>
      </w:r>
      <w:r w:rsidR="00243375">
        <w:t>6</w:t>
      </w:r>
      <w:r w:rsidR="00771F58">
        <w:t xml:space="preserve"> </w:t>
      </w:r>
      <w:r w:rsidR="00E53443">
        <w:t>of Instrument 2025/172</w:t>
      </w:r>
      <w:r w:rsidR="00771F58">
        <w:t xml:space="preserve"> inserts a new subsection 1012D(7A</w:t>
      </w:r>
      <w:r w:rsidR="00A266D4">
        <w:t>E</w:t>
      </w:r>
      <w:r w:rsidR="00771F58">
        <w:t xml:space="preserve">) </w:t>
      </w:r>
      <w:r w:rsidR="009556EA">
        <w:t>into</w:t>
      </w:r>
      <w:r w:rsidR="00771F58">
        <w:t xml:space="preserve"> the Act</w:t>
      </w:r>
      <w:r w:rsidR="009556EA">
        <w:t>. T</w:t>
      </w:r>
      <w:r w:rsidR="00E53443">
        <w:t>h</w:t>
      </w:r>
      <w:r w:rsidR="009556EA">
        <w:t>e subsection provides that</w:t>
      </w:r>
      <w:r w:rsidR="008B6CB4">
        <w:t xml:space="preserve"> the ADI must, if</w:t>
      </w:r>
      <w:r w:rsidR="00771F58">
        <w:t xml:space="preserve"> the </w:t>
      </w:r>
      <w:r w:rsidR="00DC1349">
        <w:t xml:space="preserve">depositor </w:t>
      </w:r>
      <w:r w:rsidR="00771F58">
        <w:t>consent</w:t>
      </w:r>
      <w:r w:rsidR="003B742A">
        <w:t>s</w:t>
      </w:r>
      <w:r w:rsidR="00771F58">
        <w:t xml:space="preserve"> </w:t>
      </w:r>
      <w:r w:rsidR="003B742A">
        <w:t xml:space="preserve">to </w:t>
      </w:r>
      <w:r w:rsidR="00771F58">
        <w:t>the term deposit roll</w:t>
      </w:r>
      <w:r w:rsidR="003B742A">
        <w:t>ing</w:t>
      </w:r>
      <w:r w:rsidR="00771F58">
        <w:t xml:space="preserve"> over at maturity:</w:t>
      </w:r>
    </w:p>
    <w:p w14:paraId="7AD620F1" w14:textId="3FA4BBF4" w:rsidR="00771F58" w:rsidRDefault="00771F58" w:rsidP="00A308D1">
      <w:pPr>
        <w:pStyle w:val="LI-BodyTextParaa"/>
        <w:numPr>
          <w:ilvl w:val="1"/>
          <w:numId w:val="16"/>
        </w:numPr>
        <w:ind w:left="1134" w:hanging="567"/>
      </w:pPr>
      <w:r>
        <w:t xml:space="preserve">give a grace period of </w:t>
      </w:r>
      <w:r w:rsidRPr="005340EC">
        <w:t xml:space="preserve">at least </w:t>
      </w:r>
      <w:r w:rsidR="008B6CB4">
        <w:t>seven</w:t>
      </w:r>
      <w:r w:rsidRPr="005340EC">
        <w:t xml:space="preserve"> days</w:t>
      </w:r>
      <w:r w:rsidR="002A5315">
        <w:t xml:space="preserve"> from maturity</w:t>
      </w:r>
      <w:r>
        <w:t xml:space="preserve">, during which the depositor can withdraw or transfer funds without incurring a fee or a reduction in the return </w:t>
      </w:r>
      <w:proofErr w:type="gramStart"/>
      <w:r>
        <w:t>generated;</w:t>
      </w:r>
      <w:proofErr w:type="gramEnd"/>
    </w:p>
    <w:p w14:paraId="0BA21064" w14:textId="1EC96B5E" w:rsidR="009E57C6" w:rsidRDefault="008B6CB4" w:rsidP="00A308D1">
      <w:pPr>
        <w:pStyle w:val="LI-BodyTextParaa"/>
        <w:numPr>
          <w:ilvl w:val="1"/>
          <w:numId w:val="16"/>
        </w:numPr>
        <w:ind w:left="1134" w:hanging="567"/>
      </w:pPr>
      <w:r>
        <w:t>give</w:t>
      </w:r>
      <w:r w:rsidR="00EB4A26">
        <w:t xml:space="preserve"> the </w:t>
      </w:r>
      <w:r w:rsidR="00432667">
        <w:t xml:space="preserve">depositor </w:t>
      </w:r>
      <w:r w:rsidR="00D138CB">
        <w:t>either</w:t>
      </w:r>
      <w:r w:rsidR="009E57C6">
        <w:t>:</w:t>
      </w:r>
    </w:p>
    <w:p w14:paraId="37D67234" w14:textId="3028B85C" w:rsidR="009E57C6" w:rsidRDefault="00D138CB" w:rsidP="009E57C6">
      <w:pPr>
        <w:pStyle w:val="LI-BodyTextParaa"/>
        <w:numPr>
          <w:ilvl w:val="2"/>
          <w:numId w:val="16"/>
        </w:numPr>
      </w:pPr>
      <w:r>
        <w:t xml:space="preserve">a </w:t>
      </w:r>
      <w:r w:rsidR="00D661EE">
        <w:t>‘</w:t>
      </w:r>
      <w:r>
        <w:t>pre-maturity notice</w:t>
      </w:r>
      <w:r w:rsidR="00D661EE">
        <w:t>’</w:t>
      </w:r>
      <w:r>
        <w:t xml:space="preserve"> </w:t>
      </w:r>
      <w:r w:rsidR="009E57C6">
        <w:t xml:space="preserve">and ‘post-maturity notice’; </w:t>
      </w:r>
      <w:r>
        <w:t xml:space="preserve">or </w:t>
      </w:r>
    </w:p>
    <w:p w14:paraId="52F4662F" w14:textId="677A1460" w:rsidR="00047770" w:rsidRDefault="00D138CB" w:rsidP="00047770">
      <w:pPr>
        <w:pStyle w:val="LI-BodyTextParaa"/>
        <w:numPr>
          <w:ilvl w:val="2"/>
          <w:numId w:val="16"/>
        </w:numPr>
      </w:pPr>
      <w:r>
        <w:t xml:space="preserve">a </w:t>
      </w:r>
      <w:r w:rsidR="00D661EE">
        <w:t>‘</w:t>
      </w:r>
      <w:r>
        <w:t>combined maturity notice</w:t>
      </w:r>
      <w:r w:rsidR="00D661EE">
        <w:t>’</w:t>
      </w:r>
    </w:p>
    <w:p w14:paraId="3F702781" w14:textId="62C93510" w:rsidR="00DD6D32" w:rsidRDefault="00DD6D32" w:rsidP="00F85363">
      <w:pPr>
        <w:pStyle w:val="LI-BodyTextParaa"/>
        <w:ind w:left="1134" w:firstLine="0"/>
      </w:pPr>
      <w:r>
        <w:t>containing information</w:t>
      </w:r>
      <w:r w:rsidR="00AD7C76">
        <w:t xml:space="preserve"> as prescribed by new subsection</w:t>
      </w:r>
      <w:r w:rsidR="00C7092E">
        <w:t xml:space="preserve">s </w:t>
      </w:r>
      <w:r w:rsidR="00B9673F">
        <w:t xml:space="preserve">1012D(7AG), </w:t>
      </w:r>
      <w:r w:rsidR="00C40320">
        <w:t xml:space="preserve">(7AH) and (7AI) </w:t>
      </w:r>
      <w:r w:rsidR="00170614">
        <w:t xml:space="preserve">of the Act </w:t>
      </w:r>
      <w:r w:rsidR="00C40320">
        <w:t>respectively</w:t>
      </w:r>
      <w:r w:rsidR="00170614">
        <w:t xml:space="preserve"> (as inserted by </w:t>
      </w:r>
      <w:r w:rsidR="008A206C">
        <w:t>section</w:t>
      </w:r>
      <w:r w:rsidR="00170614">
        <w:t xml:space="preserve"> 6 of Instrument 2025/172).</w:t>
      </w:r>
    </w:p>
    <w:p w14:paraId="688BDC26" w14:textId="0865DF40" w:rsidR="00724E1B" w:rsidRPr="00047770" w:rsidRDefault="00B146CE" w:rsidP="00F85363">
      <w:pPr>
        <w:pStyle w:val="LI-BodyTextParaa"/>
        <w:numPr>
          <w:ilvl w:val="0"/>
          <w:numId w:val="16"/>
        </w:numPr>
      </w:pPr>
      <w:r>
        <w:t xml:space="preserve">The ADI may elect which </w:t>
      </w:r>
      <w:r w:rsidR="00B047EA">
        <w:t xml:space="preserve">out </w:t>
      </w:r>
      <w:r>
        <w:t>of the two-notice (pre- and post-maturity notices) or combined notice process to adhere to in complying with the terms of the relief.</w:t>
      </w:r>
    </w:p>
    <w:p w14:paraId="1BAB7FAE" w14:textId="44319213" w:rsidR="00AD7C76" w:rsidRDefault="00370E2D" w:rsidP="00381E53">
      <w:pPr>
        <w:pStyle w:val="LI-BodyTextParaa"/>
        <w:numPr>
          <w:ilvl w:val="0"/>
          <w:numId w:val="16"/>
        </w:numPr>
        <w:ind w:left="567" w:hanging="567"/>
      </w:pPr>
      <w:r>
        <w:t>In acknowledgement that it may not in every case be reasonabl</w:t>
      </w:r>
      <w:r w:rsidR="00107E24">
        <w:t>y</w:t>
      </w:r>
      <w:r>
        <w:t xml:space="preserve"> within the control of the ADI to provide the </w:t>
      </w:r>
      <w:r w:rsidR="00AF5A99">
        <w:t>prescribed notices to the depositor</w:t>
      </w:r>
      <w:r w:rsidR="00107E24">
        <w:t xml:space="preserve"> within the prescribed timeframes</w:t>
      </w:r>
      <w:r w:rsidR="00AF5A99">
        <w:t xml:space="preserve">, Instrument 2025/172 introduces a requirement that the ADI take reasonable steps to ensure that the </w:t>
      </w:r>
      <w:r w:rsidR="001F6AFB">
        <w:t xml:space="preserve">notices are given to the depositor </w:t>
      </w:r>
      <w:r w:rsidR="00107E24">
        <w:t xml:space="preserve">within those timeframes </w:t>
      </w:r>
      <w:r w:rsidR="001F6AFB">
        <w:t xml:space="preserve">(see new </w:t>
      </w:r>
      <w:r w:rsidR="00A816B1">
        <w:t xml:space="preserve">paragraphs </w:t>
      </w:r>
      <w:r w:rsidR="00B9673F">
        <w:t>1012D</w:t>
      </w:r>
      <w:r w:rsidR="00A816B1">
        <w:t>(7AF)</w:t>
      </w:r>
      <w:r w:rsidR="00AD7C76">
        <w:t xml:space="preserve">(a), (b) and (c) of the Act, as inserted by </w:t>
      </w:r>
      <w:r w:rsidR="00222679">
        <w:t>section</w:t>
      </w:r>
      <w:r w:rsidR="00AD7C76">
        <w:t xml:space="preserve"> 6 of Instrument 2025/172).</w:t>
      </w:r>
      <w:r w:rsidR="00731A78">
        <w:t xml:space="preserve"> For example, </w:t>
      </w:r>
      <w:r w:rsidR="00210063">
        <w:t xml:space="preserve">if an ADI is giving the post-maturity notice via ordinary post and, due to postage delivery timeframes or delays, the notice is not received by the depositor within the prescribed timeframe, the ADI is likely to have taken ‘reasonable steps’ </w:t>
      </w:r>
      <w:r w:rsidR="00C53170">
        <w:t>if the ADI has posted</w:t>
      </w:r>
      <w:r w:rsidR="008D0C83">
        <w:t xml:space="preserve"> out</w:t>
      </w:r>
      <w:r w:rsidR="00C53170">
        <w:t xml:space="preserve"> the notice to the depositor within the prescribed timeframe.</w:t>
      </w:r>
    </w:p>
    <w:p w14:paraId="1EE35962" w14:textId="6FBB7588" w:rsidR="00EA7110" w:rsidRPr="00D160D5" w:rsidRDefault="00EA7110" w:rsidP="004B7738">
      <w:pPr>
        <w:pStyle w:val="LI-BodyTextParaa"/>
        <w:keepNext/>
        <w:ind w:left="0" w:firstLine="0"/>
        <w:rPr>
          <w:i/>
          <w:iCs/>
        </w:rPr>
      </w:pPr>
      <w:r w:rsidRPr="00D160D5">
        <w:rPr>
          <w:i/>
          <w:iCs/>
        </w:rPr>
        <w:t>Information and notices – requirements for wording, presentation and giving</w:t>
      </w:r>
    </w:p>
    <w:p w14:paraId="69FC97A8" w14:textId="60DE5B38" w:rsidR="00385304" w:rsidRDefault="008F1E98" w:rsidP="00385304">
      <w:pPr>
        <w:pStyle w:val="LI-BodyTextParaa"/>
        <w:numPr>
          <w:ilvl w:val="0"/>
          <w:numId w:val="16"/>
        </w:numPr>
        <w:ind w:left="567" w:hanging="567"/>
      </w:pPr>
      <w:r>
        <w:t>Section</w:t>
      </w:r>
      <w:r w:rsidR="00385304">
        <w:t xml:space="preserve"> </w:t>
      </w:r>
      <w:r w:rsidR="00E23BA2">
        <w:t>6</w:t>
      </w:r>
      <w:r w:rsidR="00385304">
        <w:t xml:space="preserve"> of Instrument</w:t>
      </w:r>
      <w:r w:rsidR="007D36F5">
        <w:t xml:space="preserve"> 2025/172</w:t>
      </w:r>
      <w:r w:rsidR="00385304">
        <w:t xml:space="preserve"> inserts new subsection 1012D(7A</w:t>
      </w:r>
      <w:r w:rsidR="00EB2B46">
        <w:t>J</w:t>
      </w:r>
      <w:r w:rsidR="00385304">
        <w:t>) of the Act</w:t>
      </w:r>
      <w:r w:rsidR="00EB2B46">
        <w:t>, which prescribes</w:t>
      </w:r>
      <w:r w:rsidR="00D30452">
        <w:t xml:space="preserve"> </w:t>
      </w:r>
      <w:r w:rsidR="00AC5F13">
        <w:t>how</w:t>
      </w:r>
      <w:r w:rsidR="00385304">
        <w:t xml:space="preserve"> the information and </w:t>
      </w:r>
      <w:r w:rsidR="007655E6">
        <w:t>notices mus</w:t>
      </w:r>
      <w:r w:rsidR="00385304">
        <w:t>t be give</w:t>
      </w:r>
      <w:r w:rsidR="00946113">
        <w:t>n</w:t>
      </w:r>
      <w:r w:rsidR="00385304">
        <w:t>.</w:t>
      </w:r>
      <w:r w:rsidR="00946113">
        <w:t xml:space="preserve"> </w:t>
      </w:r>
      <w:r w:rsidR="00580910">
        <w:t>Subp</w:t>
      </w:r>
      <w:r w:rsidR="00186F7A">
        <w:t>aragraph 1012D(7</w:t>
      </w:r>
      <w:proofErr w:type="gramStart"/>
      <w:r w:rsidR="00186F7A">
        <w:t>AJ)</w:t>
      </w:r>
      <w:r w:rsidR="00580910">
        <w:t>(</w:t>
      </w:r>
      <w:proofErr w:type="gramEnd"/>
      <w:r w:rsidR="00580910">
        <w:t xml:space="preserve">b)(iii) introduces an ability for the ADI to </w:t>
      </w:r>
      <w:r w:rsidR="00E30EF3">
        <w:t xml:space="preserve">make the information or notice available to the depositor by a ‘nominated electronic means’, which is defined in </w:t>
      </w:r>
      <w:r w:rsidR="00E30EF3" w:rsidRPr="00EE34C0">
        <w:rPr>
          <w:i/>
          <w:iCs/>
        </w:rPr>
        <w:t>ASIC Corporations (Facilitating Electronic Delivery of Financial Services Disclosure</w:t>
      </w:r>
      <w:r w:rsidR="00EE34C0" w:rsidRPr="00EE34C0">
        <w:rPr>
          <w:i/>
          <w:iCs/>
        </w:rPr>
        <w:t>) Instrument 2015/647</w:t>
      </w:r>
      <w:r w:rsidR="00EE34C0">
        <w:t>.</w:t>
      </w:r>
    </w:p>
    <w:p w14:paraId="3DE97AA5" w14:textId="77777777" w:rsidR="001D56E5" w:rsidRDefault="001D56E5" w:rsidP="001D56E5">
      <w:pPr>
        <w:pStyle w:val="LI-BodyTextNumbered"/>
        <w:keepNext/>
        <w:ind w:left="0" w:firstLine="0"/>
        <w:rPr>
          <w:b/>
        </w:rPr>
      </w:pPr>
      <w:r>
        <w:rPr>
          <w:b/>
        </w:rPr>
        <w:t>Consultation</w:t>
      </w:r>
    </w:p>
    <w:p w14:paraId="4112E4E2" w14:textId="77777777" w:rsidR="001D56E5" w:rsidRDefault="001D56E5" w:rsidP="001D56E5">
      <w:pPr>
        <w:pStyle w:val="LI-BodyTextParaa"/>
        <w:numPr>
          <w:ilvl w:val="0"/>
          <w:numId w:val="16"/>
        </w:numPr>
        <w:ind w:left="567" w:hanging="567"/>
      </w:pPr>
      <w:r>
        <w:t xml:space="preserve">ASIC consulted publicly on its proposal to </w:t>
      </w:r>
      <w:r w:rsidRPr="005D660C">
        <w:t xml:space="preserve">remake </w:t>
      </w:r>
      <w:r>
        <w:t>the</w:t>
      </w:r>
      <w:r w:rsidRPr="005D660C">
        <w:t xml:space="preserve"> </w:t>
      </w:r>
      <w:r>
        <w:t>relief in [CO 14/1262]</w:t>
      </w:r>
      <w:r w:rsidRPr="005D660C">
        <w:t xml:space="preserve"> with</w:t>
      </w:r>
      <w:r>
        <w:t xml:space="preserve"> minor amendments</w:t>
      </w:r>
      <w:r w:rsidRPr="005D660C">
        <w:t>.</w:t>
      </w:r>
      <w:r>
        <w:t xml:space="preserve"> On 10 December 2024, ASIC issued a news item summarising our proposal to remake the relief and our proposed amendments, seeking submissions.</w:t>
      </w:r>
      <w:r w:rsidRPr="005D660C">
        <w:t xml:space="preserve"> </w:t>
      </w:r>
      <w:r>
        <w:t>ASIC received four submissions (including three non-confidential submissions), which were generally supportive of the proposals. Submissions also called for greater facilitation of electronic communication of notices required under the relief.</w:t>
      </w:r>
    </w:p>
    <w:p w14:paraId="0CE37CE2" w14:textId="0D900360" w:rsidR="001D56E5" w:rsidRDefault="001D56E5" w:rsidP="001D56E5">
      <w:pPr>
        <w:pStyle w:val="LI-BodyTextParaa"/>
        <w:numPr>
          <w:ilvl w:val="0"/>
          <w:numId w:val="16"/>
        </w:numPr>
        <w:ind w:left="567" w:hanging="567"/>
      </w:pPr>
      <w:r>
        <w:lastRenderedPageBreak/>
        <w:t xml:space="preserve">ASIC also provided an initial draft version of Instrument 2025/172 to a targeted set of stakeholders (those who had made a submission to the public consultation) for their feedback. ASIC incorporated some minor additional changes to the draft </w:t>
      </w:r>
      <w:r w:rsidR="0064475A">
        <w:t>Instrument 2025/172</w:t>
      </w:r>
      <w:r>
        <w:t xml:space="preserve"> as a result.</w:t>
      </w:r>
    </w:p>
    <w:p w14:paraId="57A93CEC" w14:textId="7256BDB2"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06AE5AEE" w14:textId="5858ACB1" w:rsidR="004E629E" w:rsidRDefault="004E629E" w:rsidP="00095E58">
      <w:pPr>
        <w:pStyle w:val="LI-BodyTextParaa"/>
        <w:numPr>
          <w:ilvl w:val="0"/>
          <w:numId w:val="16"/>
        </w:numPr>
        <w:ind w:left="567" w:hanging="567"/>
      </w:pPr>
      <w:r>
        <w:t>The subject matter and policy implemented by</w:t>
      </w:r>
      <w:r w:rsidR="00A3664D">
        <w:t xml:space="preserve"> </w:t>
      </w:r>
      <w:r>
        <w:t>Instrument</w:t>
      </w:r>
      <w:r w:rsidR="00A3664D">
        <w:t xml:space="preserve"> 2025/172 </w:t>
      </w:r>
      <w:r>
        <w:t xml:space="preserve">is more appropriate for a legislative instrument than primary legislation because </w:t>
      </w:r>
      <w:r w:rsidR="00D44A15">
        <w:t xml:space="preserve">it provides relief where strict compliance with the primary legislation </w:t>
      </w:r>
      <w:r w:rsidR="00067C84">
        <w:t>produces anomalous outcomes that would be inconsistent with the intent of the primary law</w:t>
      </w:r>
      <w:r w:rsidR="0079230C">
        <w:t xml:space="preserve">. </w:t>
      </w:r>
      <w:r w:rsidR="0079230C" w:rsidRPr="0079230C">
        <w:t xml:space="preserve">If the matters in </w:t>
      </w:r>
      <w:r w:rsidR="00842EDA">
        <w:t>I</w:t>
      </w:r>
      <w:r w:rsidR="0079230C" w:rsidRPr="0079230C">
        <w:t>nstrument</w:t>
      </w:r>
      <w:r w:rsidR="00842EDA">
        <w:t xml:space="preserve"> 2025/172</w:t>
      </w:r>
      <w:r w:rsidR="0079230C" w:rsidRPr="0079230C">
        <w:t xml:space="preserve"> were to be inserted into the primary legislation, they would insert, into an already complex statutory framework, a set of specific provisions that would apply only to a relatively small group of entities. This would result in additional cost and unnecessary complexity for other users of the primary legislation</w:t>
      </w:r>
      <w:r w:rsidR="0079230C">
        <w:t xml:space="preserve">. </w:t>
      </w:r>
    </w:p>
    <w:p w14:paraId="4828665D" w14:textId="391FA803" w:rsidR="009A2319" w:rsidRPr="0079230C" w:rsidRDefault="005D1770" w:rsidP="0079230C">
      <w:pPr>
        <w:pStyle w:val="LI-BodyTextParaa"/>
        <w:numPr>
          <w:ilvl w:val="0"/>
          <w:numId w:val="16"/>
        </w:numPr>
        <w:ind w:left="567" w:hanging="567"/>
      </w:pPr>
      <w:r w:rsidRPr="0079230C">
        <w:t>It will be a matter for the Government and for Parliament to</w:t>
      </w:r>
      <w:r w:rsidR="00B23F9D">
        <w:t xml:space="preserve"> consider</w:t>
      </w:r>
      <w:r w:rsidRPr="0079230C">
        <w:t xml:space="preserve"> whether the Act or </w:t>
      </w:r>
      <w:r w:rsidR="000013E8">
        <w:t xml:space="preserve">Corporations </w:t>
      </w:r>
      <w:r w:rsidRPr="0079230C">
        <w:t>Regulations</w:t>
      </w:r>
      <w:r w:rsidR="000013E8">
        <w:t xml:space="preserve"> 2001</w:t>
      </w:r>
      <w:r w:rsidRPr="0079230C">
        <w:t xml:space="preserve"> may </w:t>
      </w:r>
      <w:r w:rsidR="00B23F9D">
        <w:t xml:space="preserve">need to </w:t>
      </w:r>
      <w:r w:rsidRPr="0079230C">
        <w:t xml:space="preserve">be amended in </w:t>
      </w:r>
      <w:r w:rsidR="00B23F9D">
        <w:t xml:space="preserve">the </w:t>
      </w:r>
      <w:r w:rsidRPr="0079230C">
        <w:t xml:space="preserve">future to include the </w:t>
      </w:r>
      <w:r w:rsidR="00073C74">
        <w:t>substance of Instrument</w:t>
      </w:r>
      <w:r w:rsidR="00720FB2">
        <w:t xml:space="preserve"> 2025/</w:t>
      </w:r>
      <w:r w:rsidR="00773FB2">
        <w:t xml:space="preserve">172 </w:t>
      </w:r>
      <w:r w:rsidR="00073C74">
        <w:t>in legislation</w:t>
      </w:r>
      <w:r w:rsidRPr="0079230C">
        <w:t>.</w:t>
      </w:r>
    </w:p>
    <w:p w14:paraId="50EBD214" w14:textId="43867CA8" w:rsidR="005D1770" w:rsidRDefault="00F61A66" w:rsidP="00F61A66">
      <w:pPr>
        <w:pStyle w:val="LI-BodyTextParaa"/>
        <w:keepNext/>
        <w:ind w:left="567"/>
        <w:rPr>
          <w:u w:val="single"/>
        </w:rPr>
      </w:pPr>
      <w:r w:rsidRPr="006D6079">
        <w:rPr>
          <w:b/>
          <w:bCs/>
        </w:rPr>
        <w:t>Duration</w:t>
      </w:r>
      <w:r w:rsidR="009A2319" w:rsidRPr="006D6079">
        <w:rPr>
          <w:b/>
          <w:bCs/>
        </w:rPr>
        <w:t xml:space="preserve"> of </w:t>
      </w:r>
      <w:r w:rsidR="00E931AE">
        <w:rPr>
          <w:b/>
          <w:bCs/>
        </w:rPr>
        <w:t>Instrument 2025/172</w:t>
      </w:r>
      <w:r>
        <w:rPr>
          <w:u w:val="single"/>
        </w:rPr>
        <w:t xml:space="preserve"> </w:t>
      </w:r>
    </w:p>
    <w:p w14:paraId="16A72CC3" w14:textId="0D7FE1DC" w:rsidR="008E25AB" w:rsidRPr="008E25AB" w:rsidRDefault="008E25AB" w:rsidP="008E25AB">
      <w:pPr>
        <w:pStyle w:val="LI-BodyTextParaa"/>
        <w:numPr>
          <w:ilvl w:val="0"/>
          <w:numId w:val="16"/>
        </w:numPr>
        <w:ind w:left="567" w:hanging="567"/>
      </w:pPr>
      <w:r w:rsidRPr="008E25AB">
        <w:t xml:space="preserve">The </w:t>
      </w:r>
      <w:r>
        <w:t>duration of Instrument</w:t>
      </w:r>
      <w:r w:rsidR="00BF13E1">
        <w:t xml:space="preserve"> 2025/172</w:t>
      </w:r>
      <w:r>
        <w:t xml:space="preserve"> is 5 years. </w:t>
      </w:r>
      <w:r w:rsidR="005028EC">
        <w:t xml:space="preserve">This period is appropriate to </w:t>
      </w:r>
      <w:r w:rsidR="00940E6D">
        <w:t xml:space="preserve">provide certainty for industry while </w:t>
      </w:r>
      <w:r w:rsidR="00C57153">
        <w:t xml:space="preserve">the Government </w:t>
      </w:r>
      <w:r w:rsidR="00940E6D">
        <w:t>decides</w:t>
      </w:r>
      <w:r w:rsidR="00C57153">
        <w:t xml:space="preserve"> whether to amend the primary legislation. </w:t>
      </w:r>
    </w:p>
    <w:bookmarkEnd w:id="1"/>
    <w:p w14:paraId="6E228E05" w14:textId="77777777" w:rsidR="00F03BB5" w:rsidRDefault="00474B52" w:rsidP="006D6079">
      <w:pPr>
        <w:pStyle w:val="LI-BodyTextNumbered"/>
        <w:keepNext/>
        <w:ind w:left="0" w:firstLine="0"/>
        <w:rPr>
          <w:b/>
        </w:rPr>
      </w:pPr>
      <w:r>
        <w:rPr>
          <w:b/>
        </w:rPr>
        <w:t>Legislative authority</w:t>
      </w:r>
    </w:p>
    <w:p w14:paraId="1A766992" w14:textId="77E65422" w:rsidR="00665147" w:rsidRPr="00433110" w:rsidRDefault="00773FB2" w:rsidP="002B4520">
      <w:pPr>
        <w:pStyle w:val="LI-BodyTextParaa"/>
        <w:numPr>
          <w:ilvl w:val="0"/>
          <w:numId w:val="16"/>
        </w:numPr>
        <w:ind w:left="567" w:hanging="567"/>
      </w:pPr>
      <w:r>
        <w:t>Both Instrument 2025/</w:t>
      </w:r>
      <w:r w:rsidRPr="00433110">
        <w:t>172 and Instrument 2025/182</w:t>
      </w:r>
      <w:r w:rsidR="00E931AE" w:rsidRPr="00433110">
        <w:t xml:space="preserve"> are </w:t>
      </w:r>
      <w:r w:rsidR="00665147" w:rsidRPr="00433110">
        <w:t xml:space="preserve">made under </w:t>
      </w:r>
      <w:r w:rsidR="00284FC8" w:rsidRPr="00433110">
        <w:t xml:space="preserve">paragraphs 926A(2)(c), 951B(1)(c), 994L(2)(c) and 1020F(1)(c) of the </w:t>
      </w:r>
      <w:r w:rsidR="004E5DD9" w:rsidRPr="00433110">
        <w:t>Act</w:t>
      </w:r>
      <w:r w:rsidR="0055129F" w:rsidRPr="00433110">
        <w:t xml:space="preserve">. </w:t>
      </w:r>
    </w:p>
    <w:p w14:paraId="0EC812E5" w14:textId="5A03A64F" w:rsidR="00E931AE" w:rsidRPr="00433110" w:rsidRDefault="00E931AE" w:rsidP="002B4520">
      <w:pPr>
        <w:pStyle w:val="LI-BodyTextParaa"/>
        <w:numPr>
          <w:ilvl w:val="0"/>
          <w:numId w:val="16"/>
        </w:numPr>
        <w:ind w:left="567" w:hanging="567"/>
      </w:pPr>
      <w:r w:rsidRPr="00433110">
        <w:t>Paragraph 926A(2)(c) provides that ASIC may declare that Part 7.6 (other than Divisions 4 and 8) applies in relation to a person or financial product, or a class of persons or financial products, as if specified provisions were omitted, modified or varied as specified in the declaration.</w:t>
      </w:r>
    </w:p>
    <w:p w14:paraId="41402C66" w14:textId="2E739E97" w:rsidR="00E931AE" w:rsidRPr="00433110" w:rsidRDefault="00E931AE" w:rsidP="002B4520">
      <w:pPr>
        <w:pStyle w:val="LI-BodyTextParaa"/>
        <w:numPr>
          <w:ilvl w:val="0"/>
          <w:numId w:val="16"/>
        </w:numPr>
        <w:ind w:left="567" w:hanging="567"/>
      </w:pPr>
      <w:r w:rsidRPr="00433110">
        <w:t>Paragraph 951B(1)(c) provides that ASIC may declare that Part 7.7 of the Act applies in relation to a person or a financial product, or a class of persons or financial products, as if specified provisions were omitted, modified or varied as specified in the declaration.</w:t>
      </w:r>
    </w:p>
    <w:p w14:paraId="74CB87EC" w14:textId="65CCC4E0" w:rsidR="00E931AE" w:rsidRPr="00433110" w:rsidRDefault="00E931AE" w:rsidP="002B4520">
      <w:pPr>
        <w:pStyle w:val="LI-BodyTextParaa"/>
        <w:numPr>
          <w:ilvl w:val="0"/>
          <w:numId w:val="16"/>
        </w:numPr>
        <w:ind w:left="567" w:hanging="567"/>
      </w:pPr>
      <w:r w:rsidRPr="00433110">
        <w:t>Paragraph 994L(2)(c) provides that ASIC may declare that Part 7.8A of the Act applies in relation to a specified class or persons or a specified class of financial products as if specified provisions were omitted, modified or varied as specified in the declaration.</w:t>
      </w:r>
    </w:p>
    <w:p w14:paraId="5389FDFA" w14:textId="329FBAAA" w:rsidR="00E931AE" w:rsidRDefault="00E931AE" w:rsidP="001B6247">
      <w:pPr>
        <w:pStyle w:val="LI-BodyTextParaa"/>
        <w:numPr>
          <w:ilvl w:val="0"/>
          <w:numId w:val="16"/>
        </w:numPr>
        <w:ind w:left="567" w:hanging="567"/>
      </w:pPr>
      <w:r>
        <w:t>Paragraph 1020F(1)(c) provides that ASIC may declare that Part 7.9 of the Act applies in relation to a person or a financial product, or a class of persons or financial products, as if specified provisions were omitted, modified or varied as specified in the declaration.</w:t>
      </w:r>
    </w:p>
    <w:p w14:paraId="24CB7D96" w14:textId="4B7BC175" w:rsidR="009561B5" w:rsidRDefault="009561B5" w:rsidP="002B4520">
      <w:pPr>
        <w:pStyle w:val="LI-BodyTextParaa"/>
        <w:numPr>
          <w:ilvl w:val="0"/>
          <w:numId w:val="16"/>
        </w:numPr>
        <w:ind w:left="567" w:hanging="567"/>
      </w:pPr>
      <w:r>
        <w:lastRenderedPageBreak/>
        <w:t xml:space="preserve">The </w:t>
      </w:r>
      <w:r w:rsidR="00E931AE">
        <w:t>i</w:t>
      </w:r>
      <w:r>
        <w:t>nstrument</w:t>
      </w:r>
      <w:r w:rsidR="00E931AE">
        <w:t>s are</w:t>
      </w:r>
      <w:r>
        <w:t xml:space="preserve"> disallowable </w:t>
      </w:r>
      <w:r w:rsidR="002B4520">
        <w:t>legislative instrument</w:t>
      </w:r>
      <w:r w:rsidR="00E931AE">
        <w:t>s</w:t>
      </w:r>
      <w:r w:rsidR="002B4520">
        <w:t xml:space="preserve">. </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3926FAC0" w:rsidR="00223DCF" w:rsidRPr="00EA17A6" w:rsidRDefault="00223DCF" w:rsidP="002B4520">
      <w:pPr>
        <w:pStyle w:val="LI-BodyTextParaa"/>
        <w:numPr>
          <w:ilvl w:val="0"/>
          <w:numId w:val="16"/>
        </w:numPr>
        <w:ind w:left="567" w:hanging="567"/>
      </w:pP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0CD10E11" w14:textId="77777777" w:rsidR="00223DCF" w:rsidRPr="00EA17A6" w:rsidRDefault="00223DCF" w:rsidP="00223DCF">
      <w:pPr>
        <w:pStyle w:val="LI-BodyTextNumbered"/>
        <w:ind w:left="0" w:firstLine="0"/>
        <w:rPr>
          <w:iCs/>
        </w:rPr>
      </w:pPr>
      <w:bookmarkStart w:id="2" w:name="_Hlk534286677"/>
      <w:r w:rsidRPr="00EA17A6">
        <w:rPr>
          <w:iCs/>
        </w:rPr>
        <w:t xml:space="preserve">This Statement of Compatibility with Human Rights is prepared in accordance with Part 3 of </w:t>
      </w:r>
      <w:bookmarkStart w:id="3" w:name="_Hlk4054932"/>
      <w:r w:rsidRPr="00EA17A6">
        <w:rPr>
          <w:iCs/>
        </w:rPr>
        <w:t xml:space="preserve">the </w:t>
      </w:r>
      <w:r w:rsidRPr="00EA17A6">
        <w:rPr>
          <w:i/>
          <w:iCs/>
        </w:rPr>
        <w:t>Human Rights (Parliamentary Scrutiny) Act 2011</w:t>
      </w:r>
      <w:bookmarkEnd w:id="3"/>
      <w:r w:rsidRPr="00EA17A6">
        <w:rPr>
          <w:iCs/>
        </w:rPr>
        <w:t xml:space="preserve">.   </w:t>
      </w:r>
    </w:p>
    <w:p w14:paraId="4B154A7D" w14:textId="5D396923" w:rsidR="00223DCF" w:rsidRPr="00960254" w:rsidRDefault="003E393F" w:rsidP="00223DCF">
      <w:pPr>
        <w:pStyle w:val="LI-BodyTextNumbered"/>
        <w:ind w:left="0" w:firstLine="0"/>
        <w:rPr>
          <w:b/>
          <w:iCs/>
        </w:rPr>
      </w:pPr>
      <w:r>
        <w:rPr>
          <w:b/>
          <w:i/>
        </w:rPr>
        <w:t>ASIC Corporations (31</w:t>
      </w:r>
      <w:r w:rsidR="00B916FC">
        <w:rPr>
          <w:b/>
          <w:i/>
        </w:rPr>
        <w:t>-d</w:t>
      </w:r>
      <w:r>
        <w:rPr>
          <w:b/>
          <w:i/>
        </w:rPr>
        <w:t>ay Term Deposits) Instrument 2025/</w:t>
      </w:r>
      <w:r w:rsidR="0024523F" w:rsidRPr="00960254">
        <w:rPr>
          <w:b/>
          <w:i/>
        </w:rPr>
        <w:t>172</w:t>
      </w:r>
      <w:r w:rsidR="00960254" w:rsidRPr="00960254">
        <w:rPr>
          <w:b/>
          <w:i/>
        </w:rPr>
        <w:t xml:space="preserve"> </w:t>
      </w:r>
      <w:r w:rsidR="00960254" w:rsidRPr="00960254">
        <w:rPr>
          <w:b/>
          <w:iCs/>
        </w:rPr>
        <w:t xml:space="preserve">and </w:t>
      </w:r>
      <w:r w:rsidR="00960254" w:rsidRPr="00960254">
        <w:rPr>
          <w:b/>
          <w:i/>
        </w:rPr>
        <w:t>ASIC Corporations (Repeal) Instrument 2025/182</w:t>
      </w:r>
    </w:p>
    <w:p w14:paraId="0AD76C9D" w14:textId="77777777" w:rsidR="00223DCF" w:rsidRPr="00EA17A6" w:rsidRDefault="00223DCF" w:rsidP="001872DC">
      <w:pPr>
        <w:pStyle w:val="LI-BodyTextNumbered"/>
        <w:ind w:left="567"/>
        <w:rPr>
          <w:u w:val="single"/>
        </w:rPr>
      </w:pPr>
      <w:r w:rsidRPr="00EA17A6">
        <w:rPr>
          <w:u w:val="single"/>
        </w:rPr>
        <w:t>Overview</w:t>
      </w:r>
    </w:p>
    <w:p w14:paraId="726481E5" w14:textId="36BC912D" w:rsidR="00FA2AF0" w:rsidRDefault="00CB2D96" w:rsidP="00FA2AF0">
      <w:pPr>
        <w:pStyle w:val="LI-BodyTextNumbered"/>
        <w:ind w:left="567"/>
        <w:rPr>
          <w:iCs/>
        </w:rPr>
      </w:pPr>
      <w:r w:rsidRPr="00EA17A6">
        <w:t>1.</w:t>
      </w:r>
      <w:r w:rsidRPr="00EA17A6">
        <w:tab/>
      </w:r>
      <w:r w:rsidR="00E3664A" w:rsidRPr="00E3664A">
        <w:rPr>
          <w:i/>
          <w:iCs/>
        </w:rPr>
        <w:t xml:space="preserve">ASIC </w:t>
      </w:r>
      <w:r w:rsidR="00E3664A" w:rsidRPr="00E3664A">
        <w:rPr>
          <w:i/>
        </w:rPr>
        <w:t>Corporations (31-day Term Deposits) Instrument 2025/</w:t>
      </w:r>
      <w:r w:rsidR="0024523F">
        <w:rPr>
          <w:i/>
        </w:rPr>
        <w:t>172</w:t>
      </w:r>
      <w:r w:rsidR="0024523F">
        <w:rPr>
          <w:iCs/>
        </w:rPr>
        <w:t xml:space="preserve"> </w:t>
      </w:r>
      <w:r w:rsidR="001542EE">
        <w:rPr>
          <w:iCs/>
        </w:rPr>
        <w:t>(Instrument</w:t>
      </w:r>
      <w:r w:rsidR="00960254">
        <w:rPr>
          <w:iCs/>
        </w:rPr>
        <w:t xml:space="preserve"> 2025/172</w:t>
      </w:r>
      <w:r w:rsidR="00FA2AF0">
        <w:rPr>
          <w:iCs/>
        </w:rPr>
        <w:t xml:space="preserve">) </w:t>
      </w:r>
      <w:r w:rsidR="00FA2AF0">
        <w:t>provides</w:t>
      </w:r>
      <w:r w:rsidR="00FA2AF0" w:rsidRPr="00AB290E">
        <w:t xml:space="preserve"> conditional relief to </w:t>
      </w:r>
      <w:r w:rsidR="00FA2AF0">
        <w:t>allow term deposits of up to five years that are only breakable on</w:t>
      </w:r>
      <w:r w:rsidR="00FA2AF0" w:rsidRPr="00AB290E">
        <w:t xml:space="preserve"> 31</w:t>
      </w:r>
      <w:r w:rsidR="00FA2AF0">
        <w:t xml:space="preserve"> </w:t>
      </w:r>
      <w:r w:rsidR="00FA2AF0" w:rsidRPr="00AB290E">
        <w:t>day</w:t>
      </w:r>
      <w:r w:rsidR="00FA2AF0">
        <w:t>s’ notice</w:t>
      </w:r>
      <w:r w:rsidR="00FA2AF0" w:rsidRPr="00AB290E">
        <w:t xml:space="preserve"> to be </w:t>
      </w:r>
      <w:r w:rsidR="00FA2AF0">
        <w:t>given concessional regulatory treatment by including them within the definition of</w:t>
      </w:r>
      <w:r w:rsidR="00FA2AF0" w:rsidRPr="00AB290E">
        <w:t xml:space="preserve"> </w:t>
      </w:r>
      <w:r w:rsidR="00FA2AF0">
        <w:t>‘</w:t>
      </w:r>
      <w:r w:rsidR="00FA2AF0" w:rsidRPr="00AB290E">
        <w:t>basic deposit product</w:t>
      </w:r>
      <w:r w:rsidR="00FA2AF0">
        <w:t>’</w:t>
      </w:r>
      <w:r w:rsidR="00FA2AF0" w:rsidRPr="00AB290E">
        <w:t xml:space="preserve"> </w:t>
      </w:r>
      <w:r w:rsidR="00FA2AF0">
        <w:t xml:space="preserve">in section 9 of the </w:t>
      </w:r>
      <w:r w:rsidR="00FA2AF0" w:rsidRPr="004A10BD">
        <w:rPr>
          <w:i/>
          <w:iCs/>
        </w:rPr>
        <w:t>Corporations Act 2001</w:t>
      </w:r>
      <w:r w:rsidR="00FA2AF0">
        <w:t xml:space="preserve"> (the </w:t>
      </w:r>
      <w:r w:rsidR="00FA2AF0" w:rsidRPr="00960254">
        <w:t>Act</w:t>
      </w:r>
      <w:r w:rsidR="00FA2AF0">
        <w:t xml:space="preserve">). It also clarifies that such term deposits meet the definition of ‘basic banking product’ in section 961F of the Act for the purposes of Parts 7.6 and 7.8A of the Act. It </w:t>
      </w:r>
      <w:r w:rsidR="00FA2AF0" w:rsidRPr="00736243">
        <w:t xml:space="preserve">preserves the effect of </w:t>
      </w:r>
      <w:r w:rsidR="00FA2AF0">
        <w:t xml:space="preserve">the relief in </w:t>
      </w:r>
      <w:r w:rsidR="00FA2AF0" w:rsidRPr="00736243">
        <w:t xml:space="preserve">ASIC Class Order [CO 14/1262] </w:t>
      </w:r>
      <w:r w:rsidR="00960254" w:rsidRPr="00085941">
        <w:rPr>
          <w:i/>
          <w:iCs/>
        </w:rPr>
        <w:t xml:space="preserve">Relief for </w:t>
      </w:r>
      <w:proofErr w:type="gramStart"/>
      <w:r w:rsidR="00960254" w:rsidRPr="00085941">
        <w:rPr>
          <w:i/>
          <w:iCs/>
        </w:rPr>
        <w:t>31 day</w:t>
      </w:r>
      <w:proofErr w:type="gramEnd"/>
      <w:r w:rsidR="00960254" w:rsidRPr="00085941">
        <w:rPr>
          <w:i/>
          <w:iCs/>
        </w:rPr>
        <w:t xml:space="preserve"> notice term deposits</w:t>
      </w:r>
      <w:r w:rsidR="00960254" w:rsidRPr="00960254">
        <w:t>,</w:t>
      </w:r>
      <w:r w:rsidR="00FA2AF0" w:rsidRPr="00736243">
        <w:t xml:space="preserve"> which has a sunset date of 1 April 2025.</w:t>
      </w:r>
    </w:p>
    <w:p w14:paraId="04D7332D" w14:textId="72E69DD5" w:rsidR="002877F1" w:rsidRDefault="00FA2AF0" w:rsidP="007D7017">
      <w:pPr>
        <w:pStyle w:val="LI-BodyTextNumbered"/>
        <w:ind w:left="567"/>
        <w:rPr>
          <w:iCs/>
        </w:rPr>
      </w:pPr>
      <w:r>
        <w:rPr>
          <w:iCs/>
        </w:rPr>
        <w:t>2.</w:t>
      </w:r>
      <w:r>
        <w:rPr>
          <w:iCs/>
        </w:rPr>
        <w:tab/>
      </w:r>
      <w:r w:rsidR="00D60195">
        <w:rPr>
          <w:iCs/>
        </w:rPr>
        <w:t>The relief in Instrument</w:t>
      </w:r>
      <w:r w:rsidR="00960254">
        <w:rPr>
          <w:iCs/>
        </w:rPr>
        <w:t xml:space="preserve"> 2025/</w:t>
      </w:r>
      <w:r w:rsidR="00727602">
        <w:rPr>
          <w:iCs/>
        </w:rPr>
        <w:t>172</w:t>
      </w:r>
      <w:r w:rsidR="00D60195">
        <w:rPr>
          <w:iCs/>
        </w:rPr>
        <w:t xml:space="preserve"> is conditional upon </w:t>
      </w:r>
      <w:r w:rsidR="00275A1D">
        <w:rPr>
          <w:iCs/>
        </w:rPr>
        <w:t>A</w:t>
      </w:r>
      <w:r w:rsidR="00D60195">
        <w:rPr>
          <w:iCs/>
        </w:rPr>
        <w:t xml:space="preserve">uthorised </w:t>
      </w:r>
      <w:r w:rsidR="00275A1D">
        <w:rPr>
          <w:iCs/>
        </w:rPr>
        <w:t>D</w:t>
      </w:r>
      <w:r w:rsidR="00D60195">
        <w:rPr>
          <w:iCs/>
        </w:rPr>
        <w:t xml:space="preserve">eposit-taking </w:t>
      </w:r>
      <w:r w:rsidR="00275A1D">
        <w:rPr>
          <w:iCs/>
        </w:rPr>
        <w:t>I</w:t>
      </w:r>
      <w:r w:rsidR="00D60195">
        <w:rPr>
          <w:iCs/>
        </w:rPr>
        <w:t xml:space="preserve">nstitutions </w:t>
      </w:r>
      <w:r w:rsidR="00846765">
        <w:rPr>
          <w:iCs/>
        </w:rPr>
        <w:t xml:space="preserve">giving </w:t>
      </w:r>
      <w:r w:rsidR="00393ABA">
        <w:rPr>
          <w:iCs/>
        </w:rPr>
        <w:t>depositor warning</w:t>
      </w:r>
      <w:r w:rsidR="00D71E7A">
        <w:rPr>
          <w:iCs/>
        </w:rPr>
        <w:t>s</w:t>
      </w:r>
      <w:r w:rsidR="00393ABA">
        <w:rPr>
          <w:iCs/>
        </w:rPr>
        <w:t xml:space="preserve"> in relation to the offer of the term deposit</w:t>
      </w:r>
      <w:r w:rsidR="00BE7856">
        <w:rPr>
          <w:iCs/>
        </w:rPr>
        <w:t xml:space="preserve"> and upon maturity of the term deposit</w:t>
      </w:r>
      <w:r w:rsidR="007D7017">
        <w:rPr>
          <w:iCs/>
        </w:rPr>
        <w:t>.</w:t>
      </w:r>
    </w:p>
    <w:p w14:paraId="247C9527" w14:textId="6D8708D3" w:rsidR="007D7017" w:rsidRPr="00082AA2" w:rsidRDefault="007D7017" w:rsidP="007D7017">
      <w:pPr>
        <w:pStyle w:val="LI-BodyTextNumbered"/>
        <w:ind w:left="567"/>
        <w:rPr>
          <w:iCs/>
        </w:rPr>
      </w:pPr>
      <w:r>
        <w:rPr>
          <w:iCs/>
        </w:rPr>
        <w:t>3.</w:t>
      </w:r>
      <w:r>
        <w:rPr>
          <w:iCs/>
        </w:rPr>
        <w:tab/>
      </w:r>
      <w:r w:rsidR="00082AA2">
        <w:rPr>
          <w:i/>
        </w:rPr>
        <w:t>ASIC Corporations (Repeal) Instrument 2025/182</w:t>
      </w:r>
      <w:r w:rsidR="00082AA2">
        <w:rPr>
          <w:iCs/>
        </w:rPr>
        <w:t xml:space="preserve"> </w:t>
      </w:r>
      <w:r w:rsidR="00584266">
        <w:rPr>
          <w:iCs/>
        </w:rPr>
        <w:t xml:space="preserve">(Instrument 2025/182) </w:t>
      </w:r>
      <w:r w:rsidR="00082AA2">
        <w:rPr>
          <w:iCs/>
        </w:rPr>
        <w:t>repeals [CO 14/1262].</w:t>
      </w:r>
    </w:p>
    <w:p w14:paraId="79BCB1A5" w14:textId="77777777" w:rsidR="001872DC" w:rsidRPr="00EA17A6" w:rsidRDefault="001872DC" w:rsidP="001872DC">
      <w:pPr>
        <w:pStyle w:val="LI-BodyTextNumbered"/>
        <w:ind w:left="567"/>
        <w:rPr>
          <w:u w:val="single"/>
        </w:rPr>
      </w:pPr>
      <w:bookmarkStart w:id="4" w:name="_Hlk534286807"/>
      <w:bookmarkEnd w:id="2"/>
      <w:r w:rsidRPr="00EA17A6">
        <w:rPr>
          <w:u w:val="single"/>
        </w:rPr>
        <w:t>Assessment of human rights implications</w:t>
      </w:r>
    </w:p>
    <w:p w14:paraId="56F8130E" w14:textId="27093441" w:rsidR="00946759" w:rsidRPr="00EA17A6" w:rsidRDefault="00CB2D96" w:rsidP="00D306F8">
      <w:pPr>
        <w:pStyle w:val="LI-BodyTextNumbered"/>
        <w:ind w:left="567"/>
      </w:pPr>
      <w:r w:rsidRPr="00EA17A6">
        <w:t>2</w:t>
      </w:r>
      <w:r w:rsidR="001872DC" w:rsidRPr="00EA17A6">
        <w:t>.</w:t>
      </w:r>
      <w:r w:rsidR="001872DC" w:rsidRPr="00EA17A6">
        <w:tab/>
      </w:r>
      <w:bookmarkEnd w:id="4"/>
      <w:r w:rsidR="00EA424D">
        <w:t xml:space="preserve">Neither Instrument 2025/172 nor Instrument 2025/182 engages </w:t>
      </w:r>
      <w:r w:rsidR="00D306F8" w:rsidRPr="00EA17A6">
        <w:t>any of the applicable rights or freedoms</w:t>
      </w:r>
      <w:r w:rsidR="000C3FAA">
        <w:t>.</w:t>
      </w:r>
    </w:p>
    <w:p w14:paraId="05FFF3B4" w14:textId="77777777" w:rsidR="00CB2D96" w:rsidRPr="00EA17A6" w:rsidRDefault="00CB2D96" w:rsidP="00D306F8">
      <w:pPr>
        <w:pStyle w:val="LI-BodyTextNumbered"/>
        <w:ind w:left="567"/>
        <w:rPr>
          <w:u w:val="single"/>
        </w:rPr>
      </w:pPr>
      <w:r w:rsidRPr="00EA17A6">
        <w:rPr>
          <w:u w:val="single"/>
        </w:rPr>
        <w:t>Conclusion</w:t>
      </w:r>
    </w:p>
    <w:p w14:paraId="4734FE48" w14:textId="2AD47A0C" w:rsidR="00CB2D96" w:rsidRPr="00EA17A6" w:rsidRDefault="00CB2D96" w:rsidP="00CB2D96">
      <w:pPr>
        <w:pStyle w:val="LI-BodyTextNumbered"/>
        <w:ind w:left="567"/>
      </w:pPr>
      <w:r w:rsidRPr="00EA17A6">
        <w:t>3.</w:t>
      </w:r>
      <w:r w:rsidRPr="00EA17A6">
        <w:tab/>
      </w:r>
      <w:r w:rsidR="00EA424D">
        <w:t>Both Instrument 2025/172 and Instrument 2025/182 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11336" w14:textId="77777777" w:rsidR="002B0D35" w:rsidRDefault="002B0D35" w:rsidP="00715914">
      <w:pPr>
        <w:spacing w:line="240" w:lineRule="auto"/>
      </w:pPr>
      <w:r>
        <w:separator/>
      </w:r>
    </w:p>
  </w:endnote>
  <w:endnote w:type="continuationSeparator" w:id="0">
    <w:p w14:paraId="7DCE7B27" w14:textId="77777777" w:rsidR="002B0D35" w:rsidRDefault="002B0D35" w:rsidP="00715914">
      <w:pPr>
        <w:spacing w:line="240" w:lineRule="auto"/>
      </w:pPr>
      <w:r>
        <w:continuationSeparator/>
      </w:r>
    </w:p>
  </w:endnote>
  <w:endnote w:type="continuationNotice" w:id="1">
    <w:p w14:paraId="392DA20E" w14:textId="77777777" w:rsidR="002B0D35" w:rsidRDefault="002B0D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F3BB8" w14:textId="77777777" w:rsidR="002B0D35" w:rsidRDefault="002B0D35" w:rsidP="00715914">
      <w:pPr>
        <w:spacing w:line="240" w:lineRule="auto"/>
      </w:pPr>
      <w:r>
        <w:separator/>
      </w:r>
    </w:p>
  </w:footnote>
  <w:footnote w:type="continuationSeparator" w:id="0">
    <w:p w14:paraId="33EFEA23" w14:textId="77777777" w:rsidR="002B0D35" w:rsidRDefault="002B0D35" w:rsidP="00715914">
      <w:pPr>
        <w:spacing w:line="240" w:lineRule="auto"/>
      </w:pPr>
      <w:r>
        <w:continuationSeparator/>
      </w:r>
    </w:p>
  </w:footnote>
  <w:footnote w:type="continuationNotice" w:id="1">
    <w:p w14:paraId="1D8DC973" w14:textId="77777777" w:rsidR="002B0D35" w:rsidRDefault="002B0D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C67176"/>
    <w:multiLevelType w:val="hybridMultilevel"/>
    <w:tmpl w:val="14161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586BCB"/>
    <w:multiLevelType w:val="hybridMultilevel"/>
    <w:tmpl w:val="3AD8BEF2"/>
    <w:lvl w:ilvl="0" w:tplc="16D41BEC">
      <w:start w:val="1"/>
      <w:numFmt w:val="decimal"/>
      <w:lvlText w:val="%1."/>
      <w:lvlJc w:val="left"/>
      <w:pPr>
        <w:ind w:left="930" w:hanging="570"/>
      </w:pPr>
      <w:rPr>
        <w:rFonts w:hint="default"/>
      </w:rPr>
    </w:lvl>
    <w:lvl w:ilvl="1" w:tplc="D49C0364">
      <w:start w:val="1"/>
      <w:numFmt w:val="lowerLetter"/>
      <w:lvlText w:val="(%2)"/>
      <w:lvlJc w:val="left"/>
      <w:pPr>
        <w:ind w:left="1440" w:hanging="360"/>
      </w:pPr>
      <w:rPr>
        <w:rFonts w:ascii="Times New Roman" w:eastAsia="Times New Roman" w:hAnsi="Times New Roman" w:cs="Times New Roman"/>
      </w:rPr>
    </w:lvl>
    <w:lvl w:ilvl="2" w:tplc="F5602982">
      <w:start w:val="1"/>
      <w:numFmt w:val="lowerRoman"/>
      <w:lvlText w:val="(%3)"/>
      <w:lvlJc w:val="right"/>
      <w:pPr>
        <w:ind w:left="2160" w:hanging="180"/>
      </w:pPr>
      <w:rPr>
        <w:rFonts w:ascii="Times New Roman" w:eastAsia="Times New Roman" w:hAnsi="Times New Roman" w:cs="Times New Roman"/>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8F2D47"/>
    <w:multiLevelType w:val="hybridMultilevel"/>
    <w:tmpl w:val="018A6778"/>
    <w:lvl w:ilvl="0" w:tplc="8284816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5"/>
  </w:num>
  <w:num w:numId="12" w16cid:durableId="1380130046">
    <w:abstractNumId w:val="10"/>
  </w:num>
  <w:num w:numId="13" w16cid:durableId="1614940614">
    <w:abstractNumId w:val="11"/>
  </w:num>
  <w:num w:numId="14" w16cid:durableId="1573616542">
    <w:abstractNumId w:val="16"/>
  </w:num>
  <w:num w:numId="15" w16cid:durableId="178088390">
    <w:abstractNumId w:val="12"/>
  </w:num>
  <w:num w:numId="16" w16cid:durableId="61802459">
    <w:abstractNumId w:val="13"/>
  </w:num>
  <w:num w:numId="17" w16cid:durableId="813520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13E8"/>
    <w:rsid w:val="00004470"/>
    <w:rsid w:val="00005079"/>
    <w:rsid w:val="00005446"/>
    <w:rsid w:val="00010669"/>
    <w:rsid w:val="000109A5"/>
    <w:rsid w:val="0001231A"/>
    <w:rsid w:val="00012AAC"/>
    <w:rsid w:val="000136AF"/>
    <w:rsid w:val="00013B8D"/>
    <w:rsid w:val="00015719"/>
    <w:rsid w:val="00017ED7"/>
    <w:rsid w:val="0002016E"/>
    <w:rsid w:val="00022349"/>
    <w:rsid w:val="00023D53"/>
    <w:rsid w:val="0002520E"/>
    <w:rsid w:val="0002752F"/>
    <w:rsid w:val="00031067"/>
    <w:rsid w:val="00031EDF"/>
    <w:rsid w:val="00032411"/>
    <w:rsid w:val="000437C1"/>
    <w:rsid w:val="00045094"/>
    <w:rsid w:val="00046BDB"/>
    <w:rsid w:val="00047770"/>
    <w:rsid w:val="0005365D"/>
    <w:rsid w:val="000548A5"/>
    <w:rsid w:val="000614BF"/>
    <w:rsid w:val="0006250C"/>
    <w:rsid w:val="00064547"/>
    <w:rsid w:val="000652BA"/>
    <w:rsid w:val="00065330"/>
    <w:rsid w:val="00067C84"/>
    <w:rsid w:val="00070E33"/>
    <w:rsid w:val="00072402"/>
    <w:rsid w:val="00073C74"/>
    <w:rsid w:val="00075030"/>
    <w:rsid w:val="00076254"/>
    <w:rsid w:val="00076C1C"/>
    <w:rsid w:val="00076C7E"/>
    <w:rsid w:val="00081794"/>
    <w:rsid w:val="00082AA2"/>
    <w:rsid w:val="00084FF4"/>
    <w:rsid w:val="0008701D"/>
    <w:rsid w:val="00090AB4"/>
    <w:rsid w:val="00092A29"/>
    <w:rsid w:val="000943A0"/>
    <w:rsid w:val="000945A9"/>
    <w:rsid w:val="00095E58"/>
    <w:rsid w:val="000A142F"/>
    <w:rsid w:val="000A4D30"/>
    <w:rsid w:val="000A67AF"/>
    <w:rsid w:val="000A6C39"/>
    <w:rsid w:val="000A6FEE"/>
    <w:rsid w:val="000B3A71"/>
    <w:rsid w:val="000B58FA"/>
    <w:rsid w:val="000C1D16"/>
    <w:rsid w:val="000C243C"/>
    <w:rsid w:val="000C3FAA"/>
    <w:rsid w:val="000C55A0"/>
    <w:rsid w:val="000C6E1A"/>
    <w:rsid w:val="000C78E1"/>
    <w:rsid w:val="000D041F"/>
    <w:rsid w:val="000D05EF"/>
    <w:rsid w:val="000D1503"/>
    <w:rsid w:val="000D26DF"/>
    <w:rsid w:val="000D3789"/>
    <w:rsid w:val="000D494C"/>
    <w:rsid w:val="000D634F"/>
    <w:rsid w:val="000E2261"/>
    <w:rsid w:val="000E3C2E"/>
    <w:rsid w:val="000E5D54"/>
    <w:rsid w:val="000F21C1"/>
    <w:rsid w:val="000F3C9A"/>
    <w:rsid w:val="000F4D26"/>
    <w:rsid w:val="000F5B0B"/>
    <w:rsid w:val="000F5D7D"/>
    <w:rsid w:val="00102CA6"/>
    <w:rsid w:val="001060D7"/>
    <w:rsid w:val="00106735"/>
    <w:rsid w:val="0010745C"/>
    <w:rsid w:val="00107605"/>
    <w:rsid w:val="00107E24"/>
    <w:rsid w:val="00110BED"/>
    <w:rsid w:val="00112045"/>
    <w:rsid w:val="001150AE"/>
    <w:rsid w:val="001158B5"/>
    <w:rsid w:val="0011739A"/>
    <w:rsid w:val="0012049D"/>
    <w:rsid w:val="001214DC"/>
    <w:rsid w:val="00125141"/>
    <w:rsid w:val="00126C91"/>
    <w:rsid w:val="00131BDF"/>
    <w:rsid w:val="00132CEB"/>
    <w:rsid w:val="00135619"/>
    <w:rsid w:val="001364C0"/>
    <w:rsid w:val="00141038"/>
    <w:rsid w:val="00141F51"/>
    <w:rsid w:val="00142335"/>
    <w:rsid w:val="00142B62"/>
    <w:rsid w:val="00143775"/>
    <w:rsid w:val="001440B9"/>
    <w:rsid w:val="001442A8"/>
    <w:rsid w:val="00144B28"/>
    <w:rsid w:val="00146304"/>
    <w:rsid w:val="001466A5"/>
    <w:rsid w:val="001502B9"/>
    <w:rsid w:val="0015041A"/>
    <w:rsid w:val="00152C09"/>
    <w:rsid w:val="00153B32"/>
    <w:rsid w:val="001542EE"/>
    <w:rsid w:val="001578E8"/>
    <w:rsid w:val="00157B8B"/>
    <w:rsid w:val="001624E1"/>
    <w:rsid w:val="001641DE"/>
    <w:rsid w:val="00164EAC"/>
    <w:rsid w:val="001660FC"/>
    <w:rsid w:val="00166C2F"/>
    <w:rsid w:val="00170614"/>
    <w:rsid w:val="00171A6E"/>
    <w:rsid w:val="001722A8"/>
    <w:rsid w:val="001723B3"/>
    <w:rsid w:val="00174991"/>
    <w:rsid w:val="00174A93"/>
    <w:rsid w:val="00174B4D"/>
    <w:rsid w:val="00176B47"/>
    <w:rsid w:val="00177AF4"/>
    <w:rsid w:val="001809D7"/>
    <w:rsid w:val="001821BE"/>
    <w:rsid w:val="00184230"/>
    <w:rsid w:val="00184648"/>
    <w:rsid w:val="0018557D"/>
    <w:rsid w:val="00185C08"/>
    <w:rsid w:val="001863C3"/>
    <w:rsid w:val="0018659E"/>
    <w:rsid w:val="00186F7A"/>
    <w:rsid w:val="001872DC"/>
    <w:rsid w:val="0019118E"/>
    <w:rsid w:val="00192FAD"/>
    <w:rsid w:val="0019327E"/>
    <w:rsid w:val="001939E1"/>
    <w:rsid w:val="00194C3E"/>
    <w:rsid w:val="00195382"/>
    <w:rsid w:val="00195BD4"/>
    <w:rsid w:val="001A4463"/>
    <w:rsid w:val="001A55ED"/>
    <w:rsid w:val="001A6D3E"/>
    <w:rsid w:val="001B3BA3"/>
    <w:rsid w:val="001B4C26"/>
    <w:rsid w:val="001B6247"/>
    <w:rsid w:val="001C1439"/>
    <w:rsid w:val="001C61C5"/>
    <w:rsid w:val="001C6715"/>
    <w:rsid w:val="001C69C4"/>
    <w:rsid w:val="001C7A25"/>
    <w:rsid w:val="001C7BF2"/>
    <w:rsid w:val="001D0834"/>
    <w:rsid w:val="001D0BA0"/>
    <w:rsid w:val="001D18B8"/>
    <w:rsid w:val="001D37EF"/>
    <w:rsid w:val="001D3A9B"/>
    <w:rsid w:val="001D47B8"/>
    <w:rsid w:val="001D4CE8"/>
    <w:rsid w:val="001D56E5"/>
    <w:rsid w:val="001D6E0A"/>
    <w:rsid w:val="001D7189"/>
    <w:rsid w:val="001D766B"/>
    <w:rsid w:val="001D7EF3"/>
    <w:rsid w:val="001E11D8"/>
    <w:rsid w:val="001E15EF"/>
    <w:rsid w:val="001E3590"/>
    <w:rsid w:val="001E7407"/>
    <w:rsid w:val="001E77ED"/>
    <w:rsid w:val="001E7E2B"/>
    <w:rsid w:val="001F02B1"/>
    <w:rsid w:val="001F5D5E"/>
    <w:rsid w:val="001F6219"/>
    <w:rsid w:val="001F62BB"/>
    <w:rsid w:val="001F6AFB"/>
    <w:rsid w:val="001F6CD4"/>
    <w:rsid w:val="001F6FBA"/>
    <w:rsid w:val="00204653"/>
    <w:rsid w:val="00204683"/>
    <w:rsid w:val="0020652A"/>
    <w:rsid w:val="00206C4D"/>
    <w:rsid w:val="00210063"/>
    <w:rsid w:val="0021053C"/>
    <w:rsid w:val="00210B33"/>
    <w:rsid w:val="00212867"/>
    <w:rsid w:val="00213E6B"/>
    <w:rsid w:val="00214CAC"/>
    <w:rsid w:val="00215AF1"/>
    <w:rsid w:val="0022087F"/>
    <w:rsid w:val="00220A36"/>
    <w:rsid w:val="00221393"/>
    <w:rsid w:val="00222679"/>
    <w:rsid w:val="00222685"/>
    <w:rsid w:val="00222FE5"/>
    <w:rsid w:val="00223DCF"/>
    <w:rsid w:val="002321E8"/>
    <w:rsid w:val="0023334A"/>
    <w:rsid w:val="00233E4F"/>
    <w:rsid w:val="00235312"/>
    <w:rsid w:val="00236EEC"/>
    <w:rsid w:val="0024010F"/>
    <w:rsid w:val="0024041D"/>
    <w:rsid w:val="00240749"/>
    <w:rsid w:val="00243018"/>
    <w:rsid w:val="00243375"/>
    <w:rsid w:val="00243AF1"/>
    <w:rsid w:val="00243EC0"/>
    <w:rsid w:val="00244742"/>
    <w:rsid w:val="0024523F"/>
    <w:rsid w:val="002473FE"/>
    <w:rsid w:val="002501E1"/>
    <w:rsid w:val="00251047"/>
    <w:rsid w:val="00252350"/>
    <w:rsid w:val="00252BAC"/>
    <w:rsid w:val="00255B58"/>
    <w:rsid w:val="002564A4"/>
    <w:rsid w:val="0025688B"/>
    <w:rsid w:val="002629A7"/>
    <w:rsid w:val="00264405"/>
    <w:rsid w:val="0026736C"/>
    <w:rsid w:val="00270102"/>
    <w:rsid w:val="002730B2"/>
    <w:rsid w:val="00273DA4"/>
    <w:rsid w:val="00275A1D"/>
    <w:rsid w:val="00275B51"/>
    <w:rsid w:val="00281308"/>
    <w:rsid w:val="00281813"/>
    <w:rsid w:val="002828D5"/>
    <w:rsid w:val="00283AF0"/>
    <w:rsid w:val="00284719"/>
    <w:rsid w:val="00284FC8"/>
    <w:rsid w:val="002877F1"/>
    <w:rsid w:val="002941E9"/>
    <w:rsid w:val="00297ECB"/>
    <w:rsid w:val="002A11BB"/>
    <w:rsid w:val="002A3C47"/>
    <w:rsid w:val="002A5315"/>
    <w:rsid w:val="002A7328"/>
    <w:rsid w:val="002A79D7"/>
    <w:rsid w:val="002A7BCF"/>
    <w:rsid w:val="002B03B1"/>
    <w:rsid w:val="002B0817"/>
    <w:rsid w:val="002B0990"/>
    <w:rsid w:val="002B0D35"/>
    <w:rsid w:val="002B126B"/>
    <w:rsid w:val="002B19F3"/>
    <w:rsid w:val="002B1A91"/>
    <w:rsid w:val="002B3571"/>
    <w:rsid w:val="002B4502"/>
    <w:rsid w:val="002B4520"/>
    <w:rsid w:val="002B4A0D"/>
    <w:rsid w:val="002B4E71"/>
    <w:rsid w:val="002C0771"/>
    <w:rsid w:val="002C0BCC"/>
    <w:rsid w:val="002C7B6F"/>
    <w:rsid w:val="002C7DD1"/>
    <w:rsid w:val="002D043A"/>
    <w:rsid w:val="002D14AC"/>
    <w:rsid w:val="002D2273"/>
    <w:rsid w:val="002D32C5"/>
    <w:rsid w:val="002D3879"/>
    <w:rsid w:val="002D49DA"/>
    <w:rsid w:val="002D6224"/>
    <w:rsid w:val="002E38A2"/>
    <w:rsid w:val="002E3F4B"/>
    <w:rsid w:val="002E4503"/>
    <w:rsid w:val="002E61ED"/>
    <w:rsid w:val="002F292A"/>
    <w:rsid w:val="002F493A"/>
    <w:rsid w:val="002F50DA"/>
    <w:rsid w:val="002F5717"/>
    <w:rsid w:val="002F7552"/>
    <w:rsid w:val="0030100B"/>
    <w:rsid w:val="00304F8B"/>
    <w:rsid w:val="00306021"/>
    <w:rsid w:val="0030742F"/>
    <w:rsid w:val="003129DE"/>
    <w:rsid w:val="00314E3E"/>
    <w:rsid w:val="0031793D"/>
    <w:rsid w:val="0032640C"/>
    <w:rsid w:val="00327A25"/>
    <w:rsid w:val="00327B8F"/>
    <w:rsid w:val="00327DDF"/>
    <w:rsid w:val="00333885"/>
    <w:rsid w:val="003351DF"/>
    <w:rsid w:val="003354D2"/>
    <w:rsid w:val="00335BC6"/>
    <w:rsid w:val="00335E56"/>
    <w:rsid w:val="003401DA"/>
    <w:rsid w:val="003411CE"/>
    <w:rsid w:val="003415D3"/>
    <w:rsid w:val="00344701"/>
    <w:rsid w:val="003528DA"/>
    <w:rsid w:val="00352A7D"/>
    <w:rsid w:val="00352ACF"/>
    <w:rsid w:val="00352B0F"/>
    <w:rsid w:val="00354A8F"/>
    <w:rsid w:val="00356690"/>
    <w:rsid w:val="00357DD0"/>
    <w:rsid w:val="00360459"/>
    <w:rsid w:val="00360794"/>
    <w:rsid w:val="00361863"/>
    <w:rsid w:val="00361AAB"/>
    <w:rsid w:val="00362E90"/>
    <w:rsid w:val="0036442B"/>
    <w:rsid w:val="00365433"/>
    <w:rsid w:val="00365497"/>
    <w:rsid w:val="00365803"/>
    <w:rsid w:val="00367FA7"/>
    <w:rsid w:val="003709FA"/>
    <w:rsid w:val="00370E2D"/>
    <w:rsid w:val="00375796"/>
    <w:rsid w:val="00376E82"/>
    <w:rsid w:val="003812D7"/>
    <w:rsid w:val="00381E53"/>
    <w:rsid w:val="00381EB6"/>
    <w:rsid w:val="00385304"/>
    <w:rsid w:val="00387569"/>
    <w:rsid w:val="00387A96"/>
    <w:rsid w:val="00392B66"/>
    <w:rsid w:val="00393ABA"/>
    <w:rsid w:val="0039510D"/>
    <w:rsid w:val="00397410"/>
    <w:rsid w:val="003A0AF0"/>
    <w:rsid w:val="003A2178"/>
    <w:rsid w:val="003A2A48"/>
    <w:rsid w:val="003A4621"/>
    <w:rsid w:val="003A474F"/>
    <w:rsid w:val="003B034F"/>
    <w:rsid w:val="003B08CF"/>
    <w:rsid w:val="003B28C3"/>
    <w:rsid w:val="003B595C"/>
    <w:rsid w:val="003B7097"/>
    <w:rsid w:val="003B732F"/>
    <w:rsid w:val="003B742A"/>
    <w:rsid w:val="003C1D42"/>
    <w:rsid w:val="003C3516"/>
    <w:rsid w:val="003C3D95"/>
    <w:rsid w:val="003C3E7F"/>
    <w:rsid w:val="003C5B32"/>
    <w:rsid w:val="003C6231"/>
    <w:rsid w:val="003C6F0E"/>
    <w:rsid w:val="003D0864"/>
    <w:rsid w:val="003D0BFE"/>
    <w:rsid w:val="003D1ABA"/>
    <w:rsid w:val="003D4904"/>
    <w:rsid w:val="003D5700"/>
    <w:rsid w:val="003E08CB"/>
    <w:rsid w:val="003E0D27"/>
    <w:rsid w:val="003E0F99"/>
    <w:rsid w:val="003E266B"/>
    <w:rsid w:val="003E341B"/>
    <w:rsid w:val="003E393F"/>
    <w:rsid w:val="003E3AC7"/>
    <w:rsid w:val="003F18D5"/>
    <w:rsid w:val="003F3EFD"/>
    <w:rsid w:val="003F5BA2"/>
    <w:rsid w:val="0040053F"/>
    <w:rsid w:val="00402B5C"/>
    <w:rsid w:val="00403CDF"/>
    <w:rsid w:val="0041044E"/>
    <w:rsid w:val="004116CD"/>
    <w:rsid w:val="00412220"/>
    <w:rsid w:val="00412DFE"/>
    <w:rsid w:val="00412F6F"/>
    <w:rsid w:val="004144EC"/>
    <w:rsid w:val="00416FB2"/>
    <w:rsid w:val="00417DDD"/>
    <w:rsid w:val="00417EB9"/>
    <w:rsid w:val="00422713"/>
    <w:rsid w:val="00423606"/>
    <w:rsid w:val="0042366A"/>
    <w:rsid w:val="00424CA9"/>
    <w:rsid w:val="00425ACB"/>
    <w:rsid w:val="0042662D"/>
    <w:rsid w:val="00426EC7"/>
    <w:rsid w:val="00430283"/>
    <w:rsid w:val="004318CE"/>
    <w:rsid w:val="00431E9B"/>
    <w:rsid w:val="00431F2B"/>
    <w:rsid w:val="00432667"/>
    <w:rsid w:val="00433110"/>
    <w:rsid w:val="004334DC"/>
    <w:rsid w:val="004339B6"/>
    <w:rsid w:val="00435BC2"/>
    <w:rsid w:val="00435EEF"/>
    <w:rsid w:val="004369BE"/>
    <w:rsid w:val="004373C9"/>
    <w:rsid w:val="004379E3"/>
    <w:rsid w:val="0044015E"/>
    <w:rsid w:val="00441CCE"/>
    <w:rsid w:val="0044291A"/>
    <w:rsid w:val="004436DA"/>
    <w:rsid w:val="00443E0A"/>
    <w:rsid w:val="00444ABD"/>
    <w:rsid w:val="0044697A"/>
    <w:rsid w:val="00447099"/>
    <w:rsid w:val="00447DB4"/>
    <w:rsid w:val="0045007F"/>
    <w:rsid w:val="004503B8"/>
    <w:rsid w:val="00451336"/>
    <w:rsid w:val="00460D84"/>
    <w:rsid w:val="00460F1D"/>
    <w:rsid w:val="0046220A"/>
    <w:rsid w:val="00465DC1"/>
    <w:rsid w:val="00465E8B"/>
    <w:rsid w:val="004671A1"/>
    <w:rsid w:val="00467661"/>
    <w:rsid w:val="00470088"/>
    <w:rsid w:val="004705B7"/>
    <w:rsid w:val="00470823"/>
    <w:rsid w:val="00470D1D"/>
    <w:rsid w:val="00472DBE"/>
    <w:rsid w:val="00473E64"/>
    <w:rsid w:val="00474779"/>
    <w:rsid w:val="00474A19"/>
    <w:rsid w:val="00474AC8"/>
    <w:rsid w:val="00474B52"/>
    <w:rsid w:val="00481C24"/>
    <w:rsid w:val="00481F6A"/>
    <w:rsid w:val="004823C0"/>
    <w:rsid w:val="0048276B"/>
    <w:rsid w:val="00483027"/>
    <w:rsid w:val="004848EF"/>
    <w:rsid w:val="00494475"/>
    <w:rsid w:val="00495D4D"/>
    <w:rsid w:val="00496818"/>
    <w:rsid w:val="00496B5F"/>
    <w:rsid w:val="00496F97"/>
    <w:rsid w:val="004A10BD"/>
    <w:rsid w:val="004A1F73"/>
    <w:rsid w:val="004A44FC"/>
    <w:rsid w:val="004A6971"/>
    <w:rsid w:val="004A7A8A"/>
    <w:rsid w:val="004B147A"/>
    <w:rsid w:val="004B5B44"/>
    <w:rsid w:val="004B7738"/>
    <w:rsid w:val="004C1A05"/>
    <w:rsid w:val="004C1CB1"/>
    <w:rsid w:val="004C336F"/>
    <w:rsid w:val="004C52D8"/>
    <w:rsid w:val="004C61FE"/>
    <w:rsid w:val="004D0569"/>
    <w:rsid w:val="004D289F"/>
    <w:rsid w:val="004D7E7F"/>
    <w:rsid w:val="004D7F3A"/>
    <w:rsid w:val="004E0423"/>
    <w:rsid w:val="004E063A"/>
    <w:rsid w:val="004E2329"/>
    <w:rsid w:val="004E581E"/>
    <w:rsid w:val="004E5D41"/>
    <w:rsid w:val="004E5DD9"/>
    <w:rsid w:val="004E629E"/>
    <w:rsid w:val="004E7BEC"/>
    <w:rsid w:val="004F0F27"/>
    <w:rsid w:val="004F3022"/>
    <w:rsid w:val="004F3F22"/>
    <w:rsid w:val="004F3FA8"/>
    <w:rsid w:val="004F4316"/>
    <w:rsid w:val="004F50EA"/>
    <w:rsid w:val="0050044F"/>
    <w:rsid w:val="005028EC"/>
    <w:rsid w:val="0050322F"/>
    <w:rsid w:val="0050337A"/>
    <w:rsid w:val="0050566E"/>
    <w:rsid w:val="00505D3D"/>
    <w:rsid w:val="00506AF6"/>
    <w:rsid w:val="00507335"/>
    <w:rsid w:val="005104A1"/>
    <w:rsid w:val="005124B4"/>
    <w:rsid w:val="005162F0"/>
    <w:rsid w:val="00516B8D"/>
    <w:rsid w:val="00517E56"/>
    <w:rsid w:val="005201C5"/>
    <w:rsid w:val="005216AF"/>
    <w:rsid w:val="00525AEC"/>
    <w:rsid w:val="005312A3"/>
    <w:rsid w:val="00532049"/>
    <w:rsid w:val="0053302F"/>
    <w:rsid w:val="005340EC"/>
    <w:rsid w:val="0053556C"/>
    <w:rsid w:val="005356A7"/>
    <w:rsid w:val="00536184"/>
    <w:rsid w:val="00536428"/>
    <w:rsid w:val="00537FBC"/>
    <w:rsid w:val="00540552"/>
    <w:rsid w:val="00540F51"/>
    <w:rsid w:val="00544141"/>
    <w:rsid w:val="00545A78"/>
    <w:rsid w:val="0054791D"/>
    <w:rsid w:val="0055129F"/>
    <w:rsid w:val="00552F12"/>
    <w:rsid w:val="00555DEC"/>
    <w:rsid w:val="005574D1"/>
    <w:rsid w:val="0056157A"/>
    <w:rsid w:val="00561ABB"/>
    <w:rsid w:val="005624CD"/>
    <w:rsid w:val="005632F2"/>
    <w:rsid w:val="005654B2"/>
    <w:rsid w:val="005657FE"/>
    <w:rsid w:val="005677CB"/>
    <w:rsid w:val="00572BB1"/>
    <w:rsid w:val="00572ED3"/>
    <w:rsid w:val="00572F0E"/>
    <w:rsid w:val="00573774"/>
    <w:rsid w:val="00573F1E"/>
    <w:rsid w:val="005759D7"/>
    <w:rsid w:val="0057670F"/>
    <w:rsid w:val="00580102"/>
    <w:rsid w:val="005801C0"/>
    <w:rsid w:val="00580910"/>
    <w:rsid w:val="00580FE9"/>
    <w:rsid w:val="00582E3A"/>
    <w:rsid w:val="00584266"/>
    <w:rsid w:val="00584811"/>
    <w:rsid w:val="0058495B"/>
    <w:rsid w:val="00584E41"/>
    <w:rsid w:val="00585784"/>
    <w:rsid w:val="00590C05"/>
    <w:rsid w:val="00592F09"/>
    <w:rsid w:val="005933C7"/>
    <w:rsid w:val="00593643"/>
    <w:rsid w:val="005938BF"/>
    <w:rsid w:val="00593AA6"/>
    <w:rsid w:val="00594161"/>
    <w:rsid w:val="00594749"/>
    <w:rsid w:val="00595649"/>
    <w:rsid w:val="00596016"/>
    <w:rsid w:val="005A0A1A"/>
    <w:rsid w:val="005A12B1"/>
    <w:rsid w:val="005A172B"/>
    <w:rsid w:val="005A250A"/>
    <w:rsid w:val="005A3180"/>
    <w:rsid w:val="005A3C4E"/>
    <w:rsid w:val="005A3CD3"/>
    <w:rsid w:val="005A664A"/>
    <w:rsid w:val="005B0E1A"/>
    <w:rsid w:val="005B34E5"/>
    <w:rsid w:val="005B3BF0"/>
    <w:rsid w:val="005B4067"/>
    <w:rsid w:val="005B52E7"/>
    <w:rsid w:val="005B780C"/>
    <w:rsid w:val="005C2576"/>
    <w:rsid w:val="005C34F0"/>
    <w:rsid w:val="005C3D7A"/>
    <w:rsid w:val="005C3F41"/>
    <w:rsid w:val="005C585F"/>
    <w:rsid w:val="005C6040"/>
    <w:rsid w:val="005C6A0B"/>
    <w:rsid w:val="005D0489"/>
    <w:rsid w:val="005D10B3"/>
    <w:rsid w:val="005D1395"/>
    <w:rsid w:val="005D1770"/>
    <w:rsid w:val="005D1FEA"/>
    <w:rsid w:val="005D2697"/>
    <w:rsid w:val="005D2D09"/>
    <w:rsid w:val="005D384E"/>
    <w:rsid w:val="005D3D41"/>
    <w:rsid w:val="005D56FC"/>
    <w:rsid w:val="005D6409"/>
    <w:rsid w:val="005D660C"/>
    <w:rsid w:val="005E2EC5"/>
    <w:rsid w:val="005E41BA"/>
    <w:rsid w:val="005E4810"/>
    <w:rsid w:val="005E51FE"/>
    <w:rsid w:val="005E7621"/>
    <w:rsid w:val="005F04A9"/>
    <w:rsid w:val="005F15CB"/>
    <w:rsid w:val="005F1DB6"/>
    <w:rsid w:val="005F2366"/>
    <w:rsid w:val="005F4140"/>
    <w:rsid w:val="005F43F8"/>
    <w:rsid w:val="005F65CD"/>
    <w:rsid w:val="005F6ED6"/>
    <w:rsid w:val="00600219"/>
    <w:rsid w:val="006011BC"/>
    <w:rsid w:val="00601955"/>
    <w:rsid w:val="00603DC4"/>
    <w:rsid w:val="006040BF"/>
    <w:rsid w:val="00607A71"/>
    <w:rsid w:val="00610709"/>
    <w:rsid w:val="00610941"/>
    <w:rsid w:val="00610E51"/>
    <w:rsid w:val="006110A8"/>
    <w:rsid w:val="006117CB"/>
    <w:rsid w:val="0061340D"/>
    <w:rsid w:val="006150EA"/>
    <w:rsid w:val="006156E7"/>
    <w:rsid w:val="00616845"/>
    <w:rsid w:val="00620076"/>
    <w:rsid w:val="0062366C"/>
    <w:rsid w:val="00623D53"/>
    <w:rsid w:val="006253EE"/>
    <w:rsid w:val="0062594C"/>
    <w:rsid w:val="0063009D"/>
    <w:rsid w:val="00634044"/>
    <w:rsid w:val="006357ED"/>
    <w:rsid w:val="00640161"/>
    <w:rsid w:val="00643479"/>
    <w:rsid w:val="0064475A"/>
    <w:rsid w:val="0064501D"/>
    <w:rsid w:val="00646159"/>
    <w:rsid w:val="00647029"/>
    <w:rsid w:val="006516CE"/>
    <w:rsid w:val="00652052"/>
    <w:rsid w:val="00652769"/>
    <w:rsid w:val="00653336"/>
    <w:rsid w:val="00653B03"/>
    <w:rsid w:val="0065416C"/>
    <w:rsid w:val="0065462D"/>
    <w:rsid w:val="006546C3"/>
    <w:rsid w:val="0065542F"/>
    <w:rsid w:val="006554FF"/>
    <w:rsid w:val="0065700E"/>
    <w:rsid w:val="0066037D"/>
    <w:rsid w:val="00660735"/>
    <w:rsid w:val="00662A39"/>
    <w:rsid w:val="00665147"/>
    <w:rsid w:val="006674BE"/>
    <w:rsid w:val="00670752"/>
    <w:rsid w:val="00670EA1"/>
    <w:rsid w:val="00672D05"/>
    <w:rsid w:val="00677CC2"/>
    <w:rsid w:val="006823E8"/>
    <w:rsid w:val="0068335D"/>
    <w:rsid w:val="00683B66"/>
    <w:rsid w:val="006905DE"/>
    <w:rsid w:val="00691120"/>
    <w:rsid w:val="006918BF"/>
    <w:rsid w:val="0069207B"/>
    <w:rsid w:val="006921C1"/>
    <w:rsid w:val="006921E3"/>
    <w:rsid w:val="00692B6D"/>
    <w:rsid w:val="00693998"/>
    <w:rsid w:val="00693F29"/>
    <w:rsid w:val="00697AC2"/>
    <w:rsid w:val="00697CFF"/>
    <w:rsid w:val="006A1FA3"/>
    <w:rsid w:val="006A4725"/>
    <w:rsid w:val="006A6EFB"/>
    <w:rsid w:val="006B1381"/>
    <w:rsid w:val="006B1B10"/>
    <w:rsid w:val="006B31FD"/>
    <w:rsid w:val="006B4DFA"/>
    <w:rsid w:val="006B5789"/>
    <w:rsid w:val="006C1FE1"/>
    <w:rsid w:val="006C23A4"/>
    <w:rsid w:val="006C30C5"/>
    <w:rsid w:val="006C4737"/>
    <w:rsid w:val="006C48FA"/>
    <w:rsid w:val="006C6E56"/>
    <w:rsid w:val="006C7F8C"/>
    <w:rsid w:val="006D1691"/>
    <w:rsid w:val="006D1D61"/>
    <w:rsid w:val="006D6079"/>
    <w:rsid w:val="006D67DE"/>
    <w:rsid w:val="006D774B"/>
    <w:rsid w:val="006E1622"/>
    <w:rsid w:val="006E33CC"/>
    <w:rsid w:val="006E39FC"/>
    <w:rsid w:val="006E5320"/>
    <w:rsid w:val="006E53C1"/>
    <w:rsid w:val="006E560E"/>
    <w:rsid w:val="006E6246"/>
    <w:rsid w:val="006F07CE"/>
    <w:rsid w:val="006F0AB6"/>
    <w:rsid w:val="006F318F"/>
    <w:rsid w:val="006F3624"/>
    <w:rsid w:val="006F3A0E"/>
    <w:rsid w:val="006F4226"/>
    <w:rsid w:val="006F5637"/>
    <w:rsid w:val="0070017E"/>
    <w:rsid w:val="00700B2C"/>
    <w:rsid w:val="0070240C"/>
    <w:rsid w:val="00702EFD"/>
    <w:rsid w:val="007050A2"/>
    <w:rsid w:val="007074E0"/>
    <w:rsid w:val="00711B07"/>
    <w:rsid w:val="00713084"/>
    <w:rsid w:val="0071399B"/>
    <w:rsid w:val="00714B9F"/>
    <w:rsid w:val="00714F20"/>
    <w:rsid w:val="0071590F"/>
    <w:rsid w:val="00715914"/>
    <w:rsid w:val="00715F21"/>
    <w:rsid w:val="00716B1E"/>
    <w:rsid w:val="0071775A"/>
    <w:rsid w:val="00720FB2"/>
    <w:rsid w:val="00724E1B"/>
    <w:rsid w:val="00727602"/>
    <w:rsid w:val="00730524"/>
    <w:rsid w:val="00731A78"/>
    <w:rsid w:val="00731E00"/>
    <w:rsid w:val="007326E9"/>
    <w:rsid w:val="00732A63"/>
    <w:rsid w:val="00734308"/>
    <w:rsid w:val="00734457"/>
    <w:rsid w:val="00736243"/>
    <w:rsid w:val="0074128D"/>
    <w:rsid w:val="00741567"/>
    <w:rsid w:val="007418A9"/>
    <w:rsid w:val="00741EE8"/>
    <w:rsid w:val="0074272A"/>
    <w:rsid w:val="00742757"/>
    <w:rsid w:val="007440B7"/>
    <w:rsid w:val="00744320"/>
    <w:rsid w:val="007445C1"/>
    <w:rsid w:val="00744A2B"/>
    <w:rsid w:val="00745D34"/>
    <w:rsid w:val="007500C8"/>
    <w:rsid w:val="00751CF0"/>
    <w:rsid w:val="00752E2C"/>
    <w:rsid w:val="00756272"/>
    <w:rsid w:val="007565EA"/>
    <w:rsid w:val="007608AE"/>
    <w:rsid w:val="00761009"/>
    <w:rsid w:val="00765001"/>
    <w:rsid w:val="007655E6"/>
    <w:rsid w:val="007662B5"/>
    <w:rsid w:val="007663A8"/>
    <w:rsid w:val="0076642E"/>
    <w:rsid w:val="0076681A"/>
    <w:rsid w:val="00766D41"/>
    <w:rsid w:val="00767E4A"/>
    <w:rsid w:val="007714F7"/>
    <w:rsid w:val="007715C9"/>
    <w:rsid w:val="00771613"/>
    <w:rsid w:val="00771F58"/>
    <w:rsid w:val="00773839"/>
    <w:rsid w:val="00773FB2"/>
    <w:rsid w:val="00774EDD"/>
    <w:rsid w:val="0077506D"/>
    <w:rsid w:val="007757EC"/>
    <w:rsid w:val="00775E6F"/>
    <w:rsid w:val="0077604A"/>
    <w:rsid w:val="00777123"/>
    <w:rsid w:val="00783E89"/>
    <w:rsid w:val="007842CE"/>
    <w:rsid w:val="00784C19"/>
    <w:rsid w:val="00785A9E"/>
    <w:rsid w:val="00786142"/>
    <w:rsid w:val="00786A2C"/>
    <w:rsid w:val="00786F1C"/>
    <w:rsid w:val="00787E42"/>
    <w:rsid w:val="0079230C"/>
    <w:rsid w:val="00793915"/>
    <w:rsid w:val="007948E1"/>
    <w:rsid w:val="007A164A"/>
    <w:rsid w:val="007A29E7"/>
    <w:rsid w:val="007A4F1F"/>
    <w:rsid w:val="007A5CCF"/>
    <w:rsid w:val="007B35C4"/>
    <w:rsid w:val="007B4C4F"/>
    <w:rsid w:val="007B4C6E"/>
    <w:rsid w:val="007B5801"/>
    <w:rsid w:val="007C0150"/>
    <w:rsid w:val="007C0E11"/>
    <w:rsid w:val="007C2253"/>
    <w:rsid w:val="007C3672"/>
    <w:rsid w:val="007C368C"/>
    <w:rsid w:val="007D230B"/>
    <w:rsid w:val="007D36F5"/>
    <w:rsid w:val="007D7017"/>
    <w:rsid w:val="007E163D"/>
    <w:rsid w:val="007E20DE"/>
    <w:rsid w:val="007E2B87"/>
    <w:rsid w:val="007E4206"/>
    <w:rsid w:val="007E5034"/>
    <w:rsid w:val="007E5B7C"/>
    <w:rsid w:val="007E61B6"/>
    <w:rsid w:val="007E667A"/>
    <w:rsid w:val="007E7BCF"/>
    <w:rsid w:val="007E7FF4"/>
    <w:rsid w:val="007F28C9"/>
    <w:rsid w:val="007F2ACC"/>
    <w:rsid w:val="007F3667"/>
    <w:rsid w:val="007F42EE"/>
    <w:rsid w:val="007F633F"/>
    <w:rsid w:val="007F7B50"/>
    <w:rsid w:val="007F7C11"/>
    <w:rsid w:val="0080312D"/>
    <w:rsid w:val="00803587"/>
    <w:rsid w:val="00803708"/>
    <w:rsid w:val="00806BB4"/>
    <w:rsid w:val="00807783"/>
    <w:rsid w:val="0081060B"/>
    <w:rsid w:val="008117E9"/>
    <w:rsid w:val="00811C30"/>
    <w:rsid w:val="0081218B"/>
    <w:rsid w:val="0081294E"/>
    <w:rsid w:val="00812EEF"/>
    <w:rsid w:val="008152E6"/>
    <w:rsid w:val="0081544F"/>
    <w:rsid w:val="00816CD0"/>
    <w:rsid w:val="00820205"/>
    <w:rsid w:val="00820CF0"/>
    <w:rsid w:val="00823AEC"/>
    <w:rsid w:val="00824498"/>
    <w:rsid w:val="008300F1"/>
    <w:rsid w:val="00832083"/>
    <w:rsid w:val="0083255B"/>
    <w:rsid w:val="008339A4"/>
    <w:rsid w:val="008346A0"/>
    <w:rsid w:val="00835179"/>
    <w:rsid w:val="008356AC"/>
    <w:rsid w:val="00835E2B"/>
    <w:rsid w:val="00836D6C"/>
    <w:rsid w:val="00837F9B"/>
    <w:rsid w:val="0084014C"/>
    <w:rsid w:val="00840442"/>
    <w:rsid w:val="00842D59"/>
    <w:rsid w:val="00842EDA"/>
    <w:rsid w:val="00846765"/>
    <w:rsid w:val="0085176B"/>
    <w:rsid w:val="00851A62"/>
    <w:rsid w:val="008527C0"/>
    <w:rsid w:val="00855C2D"/>
    <w:rsid w:val="00856A31"/>
    <w:rsid w:val="008571A3"/>
    <w:rsid w:val="00860B58"/>
    <w:rsid w:val="00863657"/>
    <w:rsid w:val="0086535F"/>
    <w:rsid w:val="00865E4F"/>
    <w:rsid w:val="00866BD9"/>
    <w:rsid w:val="0086771D"/>
    <w:rsid w:val="00867B37"/>
    <w:rsid w:val="0087092F"/>
    <w:rsid w:val="008718DD"/>
    <w:rsid w:val="00872899"/>
    <w:rsid w:val="008742AF"/>
    <w:rsid w:val="008754D0"/>
    <w:rsid w:val="00876D1F"/>
    <w:rsid w:val="00877D81"/>
    <w:rsid w:val="00884A4F"/>
    <w:rsid w:val="008855C9"/>
    <w:rsid w:val="00886456"/>
    <w:rsid w:val="0088679A"/>
    <w:rsid w:val="00886CF5"/>
    <w:rsid w:val="0089280C"/>
    <w:rsid w:val="00892AA6"/>
    <w:rsid w:val="008945E0"/>
    <w:rsid w:val="00894CBE"/>
    <w:rsid w:val="00894DB6"/>
    <w:rsid w:val="0089527F"/>
    <w:rsid w:val="00895B89"/>
    <w:rsid w:val="00896022"/>
    <w:rsid w:val="00897CC1"/>
    <w:rsid w:val="008A206C"/>
    <w:rsid w:val="008A26BB"/>
    <w:rsid w:val="008A362B"/>
    <w:rsid w:val="008A46E1"/>
    <w:rsid w:val="008A4F43"/>
    <w:rsid w:val="008A74A7"/>
    <w:rsid w:val="008A7C63"/>
    <w:rsid w:val="008B1B0F"/>
    <w:rsid w:val="008B2706"/>
    <w:rsid w:val="008B3BF9"/>
    <w:rsid w:val="008B57EF"/>
    <w:rsid w:val="008B6CB4"/>
    <w:rsid w:val="008C0F29"/>
    <w:rsid w:val="008C0FE1"/>
    <w:rsid w:val="008C24AA"/>
    <w:rsid w:val="008C655C"/>
    <w:rsid w:val="008C6ABE"/>
    <w:rsid w:val="008C6BEE"/>
    <w:rsid w:val="008D0B74"/>
    <w:rsid w:val="008D0C83"/>
    <w:rsid w:val="008D0EE0"/>
    <w:rsid w:val="008D1437"/>
    <w:rsid w:val="008D3422"/>
    <w:rsid w:val="008D61F6"/>
    <w:rsid w:val="008D7C6C"/>
    <w:rsid w:val="008E0680"/>
    <w:rsid w:val="008E13BE"/>
    <w:rsid w:val="008E25AB"/>
    <w:rsid w:val="008E58B9"/>
    <w:rsid w:val="008E6067"/>
    <w:rsid w:val="008E61BC"/>
    <w:rsid w:val="008F1E98"/>
    <w:rsid w:val="008F3A51"/>
    <w:rsid w:val="008F4D54"/>
    <w:rsid w:val="008F54E7"/>
    <w:rsid w:val="008F6A06"/>
    <w:rsid w:val="00900275"/>
    <w:rsid w:val="00901236"/>
    <w:rsid w:val="009014C3"/>
    <w:rsid w:val="009016BE"/>
    <w:rsid w:val="009017AE"/>
    <w:rsid w:val="00901B8B"/>
    <w:rsid w:val="00903422"/>
    <w:rsid w:val="009055AA"/>
    <w:rsid w:val="00907207"/>
    <w:rsid w:val="009107EF"/>
    <w:rsid w:val="00912A58"/>
    <w:rsid w:val="009157B9"/>
    <w:rsid w:val="00915DF9"/>
    <w:rsid w:val="00916E62"/>
    <w:rsid w:val="00916F19"/>
    <w:rsid w:val="0091770A"/>
    <w:rsid w:val="0092111C"/>
    <w:rsid w:val="009254C3"/>
    <w:rsid w:val="00926940"/>
    <w:rsid w:val="009270AC"/>
    <w:rsid w:val="00927269"/>
    <w:rsid w:val="009304DC"/>
    <w:rsid w:val="00930A0A"/>
    <w:rsid w:val="00932377"/>
    <w:rsid w:val="00940361"/>
    <w:rsid w:val="00940E6D"/>
    <w:rsid w:val="00941423"/>
    <w:rsid w:val="009419E8"/>
    <w:rsid w:val="0094314C"/>
    <w:rsid w:val="00943DE8"/>
    <w:rsid w:val="009460DC"/>
    <w:rsid w:val="00946113"/>
    <w:rsid w:val="00946759"/>
    <w:rsid w:val="00947D5A"/>
    <w:rsid w:val="009532A5"/>
    <w:rsid w:val="009533DE"/>
    <w:rsid w:val="00953709"/>
    <w:rsid w:val="00955175"/>
    <w:rsid w:val="0095528E"/>
    <w:rsid w:val="009556EA"/>
    <w:rsid w:val="009561B5"/>
    <w:rsid w:val="00956C6F"/>
    <w:rsid w:val="00960254"/>
    <w:rsid w:val="009602E2"/>
    <w:rsid w:val="00961032"/>
    <w:rsid w:val="00961AAA"/>
    <w:rsid w:val="00961D01"/>
    <w:rsid w:val="0096753E"/>
    <w:rsid w:val="0097093C"/>
    <w:rsid w:val="009733AC"/>
    <w:rsid w:val="00974CEE"/>
    <w:rsid w:val="0097532F"/>
    <w:rsid w:val="00982242"/>
    <w:rsid w:val="0098343C"/>
    <w:rsid w:val="00985377"/>
    <w:rsid w:val="0098567C"/>
    <w:rsid w:val="009868E9"/>
    <w:rsid w:val="00986BEE"/>
    <w:rsid w:val="00994131"/>
    <w:rsid w:val="009944E6"/>
    <w:rsid w:val="009967AC"/>
    <w:rsid w:val="009A2319"/>
    <w:rsid w:val="009A3439"/>
    <w:rsid w:val="009A36AA"/>
    <w:rsid w:val="009A3A6F"/>
    <w:rsid w:val="009A3F74"/>
    <w:rsid w:val="009A40D4"/>
    <w:rsid w:val="009A44BA"/>
    <w:rsid w:val="009A49C9"/>
    <w:rsid w:val="009A4A3E"/>
    <w:rsid w:val="009A4FA3"/>
    <w:rsid w:val="009A6C2C"/>
    <w:rsid w:val="009B2397"/>
    <w:rsid w:val="009B2C81"/>
    <w:rsid w:val="009B767B"/>
    <w:rsid w:val="009C1BB8"/>
    <w:rsid w:val="009C2791"/>
    <w:rsid w:val="009D1818"/>
    <w:rsid w:val="009D195A"/>
    <w:rsid w:val="009D3B48"/>
    <w:rsid w:val="009D4983"/>
    <w:rsid w:val="009D7993"/>
    <w:rsid w:val="009E19A6"/>
    <w:rsid w:val="009E38A7"/>
    <w:rsid w:val="009E57C6"/>
    <w:rsid w:val="009E5CFC"/>
    <w:rsid w:val="009E75A7"/>
    <w:rsid w:val="009F016E"/>
    <w:rsid w:val="009F1348"/>
    <w:rsid w:val="009F17FB"/>
    <w:rsid w:val="009F2C57"/>
    <w:rsid w:val="009F3D17"/>
    <w:rsid w:val="009F53F1"/>
    <w:rsid w:val="00A006EB"/>
    <w:rsid w:val="00A022A5"/>
    <w:rsid w:val="00A03AF1"/>
    <w:rsid w:val="00A06B66"/>
    <w:rsid w:val="00A079CB"/>
    <w:rsid w:val="00A11040"/>
    <w:rsid w:val="00A12128"/>
    <w:rsid w:val="00A121A3"/>
    <w:rsid w:val="00A12F48"/>
    <w:rsid w:val="00A13381"/>
    <w:rsid w:val="00A1368D"/>
    <w:rsid w:val="00A14CFA"/>
    <w:rsid w:val="00A14F6A"/>
    <w:rsid w:val="00A154F7"/>
    <w:rsid w:val="00A15512"/>
    <w:rsid w:val="00A164F3"/>
    <w:rsid w:val="00A202A9"/>
    <w:rsid w:val="00A22C98"/>
    <w:rsid w:val="00A231E2"/>
    <w:rsid w:val="00A2592D"/>
    <w:rsid w:val="00A266D4"/>
    <w:rsid w:val="00A273FE"/>
    <w:rsid w:val="00A27F83"/>
    <w:rsid w:val="00A3052E"/>
    <w:rsid w:val="00A308D1"/>
    <w:rsid w:val="00A32C93"/>
    <w:rsid w:val="00A33D55"/>
    <w:rsid w:val="00A33DE2"/>
    <w:rsid w:val="00A34412"/>
    <w:rsid w:val="00A34C0D"/>
    <w:rsid w:val="00A3664D"/>
    <w:rsid w:val="00A36ECF"/>
    <w:rsid w:val="00A40424"/>
    <w:rsid w:val="00A40973"/>
    <w:rsid w:val="00A44C99"/>
    <w:rsid w:val="00A45B53"/>
    <w:rsid w:val="00A46DA9"/>
    <w:rsid w:val="00A50D72"/>
    <w:rsid w:val="00A5222D"/>
    <w:rsid w:val="00A52AC6"/>
    <w:rsid w:val="00A52B0F"/>
    <w:rsid w:val="00A559B3"/>
    <w:rsid w:val="00A5632E"/>
    <w:rsid w:val="00A56518"/>
    <w:rsid w:val="00A5774E"/>
    <w:rsid w:val="00A57A25"/>
    <w:rsid w:val="00A61AE9"/>
    <w:rsid w:val="00A62ADC"/>
    <w:rsid w:val="00A64912"/>
    <w:rsid w:val="00A667C3"/>
    <w:rsid w:val="00A678BA"/>
    <w:rsid w:val="00A67CD6"/>
    <w:rsid w:val="00A70A74"/>
    <w:rsid w:val="00A728D0"/>
    <w:rsid w:val="00A7355D"/>
    <w:rsid w:val="00A73831"/>
    <w:rsid w:val="00A75CAD"/>
    <w:rsid w:val="00A777A5"/>
    <w:rsid w:val="00A7795F"/>
    <w:rsid w:val="00A77DF3"/>
    <w:rsid w:val="00A816B1"/>
    <w:rsid w:val="00A821F1"/>
    <w:rsid w:val="00A84CCE"/>
    <w:rsid w:val="00A85491"/>
    <w:rsid w:val="00A85744"/>
    <w:rsid w:val="00A86035"/>
    <w:rsid w:val="00A914A2"/>
    <w:rsid w:val="00A91966"/>
    <w:rsid w:val="00A9272B"/>
    <w:rsid w:val="00A968ED"/>
    <w:rsid w:val="00AA2516"/>
    <w:rsid w:val="00AA34BC"/>
    <w:rsid w:val="00AA66AC"/>
    <w:rsid w:val="00AA75F7"/>
    <w:rsid w:val="00AB1DE8"/>
    <w:rsid w:val="00AB1EEA"/>
    <w:rsid w:val="00AB290E"/>
    <w:rsid w:val="00AB69D9"/>
    <w:rsid w:val="00AB6C07"/>
    <w:rsid w:val="00AB7763"/>
    <w:rsid w:val="00AC0886"/>
    <w:rsid w:val="00AC5F13"/>
    <w:rsid w:val="00AD02B8"/>
    <w:rsid w:val="00AD1F73"/>
    <w:rsid w:val="00AD23A9"/>
    <w:rsid w:val="00AD3F74"/>
    <w:rsid w:val="00AD5315"/>
    <w:rsid w:val="00AD5641"/>
    <w:rsid w:val="00AD57D1"/>
    <w:rsid w:val="00AD6CE1"/>
    <w:rsid w:val="00AD7889"/>
    <w:rsid w:val="00AD7C76"/>
    <w:rsid w:val="00AE2D01"/>
    <w:rsid w:val="00AE4AD0"/>
    <w:rsid w:val="00AE6D17"/>
    <w:rsid w:val="00AE787B"/>
    <w:rsid w:val="00AF01DC"/>
    <w:rsid w:val="00AF021B"/>
    <w:rsid w:val="00AF06CF"/>
    <w:rsid w:val="00AF30AB"/>
    <w:rsid w:val="00AF3147"/>
    <w:rsid w:val="00AF3DE7"/>
    <w:rsid w:val="00AF5707"/>
    <w:rsid w:val="00AF5A99"/>
    <w:rsid w:val="00AF7194"/>
    <w:rsid w:val="00AF76A5"/>
    <w:rsid w:val="00AF7804"/>
    <w:rsid w:val="00B0154A"/>
    <w:rsid w:val="00B032EF"/>
    <w:rsid w:val="00B04305"/>
    <w:rsid w:val="00B047EA"/>
    <w:rsid w:val="00B05471"/>
    <w:rsid w:val="00B06602"/>
    <w:rsid w:val="00B07CDB"/>
    <w:rsid w:val="00B11403"/>
    <w:rsid w:val="00B139D9"/>
    <w:rsid w:val="00B13ED8"/>
    <w:rsid w:val="00B146CE"/>
    <w:rsid w:val="00B16453"/>
    <w:rsid w:val="00B16A31"/>
    <w:rsid w:val="00B17DFD"/>
    <w:rsid w:val="00B220D1"/>
    <w:rsid w:val="00B23F9D"/>
    <w:rsid w:val="00B2799D"/>
    <w:rsid w:val="00B30358"/>
    <w:rsid w:val="00B308FE"/>
    <w:rsid w:val="00B3109E"/>
    <w:rsid w:val="00B31FB5"/>
    <w:rsid w:val="00B33709"/>
    <w:rsid w:val="00B33B3C"/>
    <w:rsid w:val="00B33BD1"/>
    <w:rsid w:val="00B36024"/>
    <w:rsid w:val="00B36B34"/>
    <w:rsid w:val="00B37DAF"/>
    <w:rsid w:val="00B410AB"/>
    <w:rsid w:val="00B436FB"/>
    <w:rsid w:val="00B46CEF"/>
    <w:rsid w:val="00B50ADC"/>
    <w:rsid w:val="00B512C3"/>
    <w:rsid w:val="00B52D1B"/>
    <w:rsid w:val="00B556EA"/>
    <w:rsid w:val="00B566B1"/>
    <w:rsid w:val="00B577C8"/>
    <w:rsid w:val="00B608F2"/>
    <w:rsid w:val="00B62C48"/>
    <w:rsid w:val="00B62E64"/>
    <w:rsid w:val="00B63834"/>
    <w:rsid w:val="00B64157"/>
    <w:rsid w:val="00B64DA3"/>
    <w:rsid w:val="00B72171"/>
    <w:rsid w:val="00B72734"/>
    <w:rsid w:val="00B7366B"/>
    <w:rsid w:val="00B74CDF"/>
    <w:rsid w:val="00B74E8F"/>
    <w:rsid w:val="00B7649E"/>
    <w:rsid w:val="00B80199"/>
    <w:rsid w:val="00B803DC"/>
    <w:rsid w:val="00B80A33"/>
    <w:rsid w:val="00B814C5"/>
    <w:rsid w:val="00B82D81"/>
    <w:rsid w:val="00B83204"/>
    <w:rsid w:val="00B8746E"/>
    <w:rsid w:val="00B902A7"/>
    <w:rsid w:val="00B9126E"/>
    <w:rsid w:val="00B916FC"/>
    <w:rsid w:val="00B92CE9"/>
    <w:rsid w:val="00B9414E"/>
    <w:rsid w:val="00B95224"/>
    <w:rsid w:val="00B9673F"/>
    <w:rsid w:val="00BA220B"/>
    <w:rsid w:val="00BA385F"/>
    <w:rsid w:val="00BA3A57"/>
    <w:rsid w:val="00BA420B"/>
    <w:rsid w:val="00BB3B62"/>
    <w:rsid w:val="00BB4DB6"/>
    <w:rsid w:val="00BB4E1A"/>
    <w:rsid w:val="00BB5C17"/>
    <w:rsid w:val="00BB79E3"/>
    <w:rsid w:val="00BC015E"/>
    <w:rsid w:val="00BC54AE"/>
    <w:rsid w:val="00BC60C4"/>
    <w:rsid w:val="00BC67E6"/>
    <w:rsid w:val="00BC6AC2"/>
    <w:rsid w:val="00BC7183"/>
    <w:rsid w:val="00BC744F"/>
    <w:rsid w:val="00BC76AC"/>
    <w:rsid w:val="00BD0ECB"/>
    <w:rsid w:val="00BD1020"/>
    <w:rsid w:val="00BD1168"/>
    <w:rsid w:val="00BD6769"/>
    <w:rsid w:val="00BD7D10"/>
    <w:rsid w:val="00BE12BE"/>
    <w:rsid w:val="00BE183C"/>
    <w:rsid w:val="00BE2155"/>
    <w:rsid w:val="00BE2213"/>
    <w:rsid w:val="00BE37C2"/>
    <w:rsid w:val="00BE6750"/>
    <w:rsid w:val="00BE6EF9"/>
    <w:rsid w:val="00BE719A"/>
    <w:rsid w:val="00BE720A"/>
    <w:rsid w:val="00BE7856"/>
    <w:rsid w:val="00BE7AEB"/>
    <w:rsid w:val="00BF0D73"/>
    <w:rsid w:val="00BF13E1"/>
    <w:rsid w:val="00BF1C50"/>
    <w:rsid w:val="00BF2465"/>
    <w:rsid w:val="00BF75C9"/>
    <w:rsid w:val="00C003D8"/>
    <w:rsid w:val="00C01AAF"/>
    <w:rsid w:val="00C0235B"/>
    <w:rsid w:val="00C0544A"/>
    <w:rsid w:val="00C0673B"/>
    <w:rsid w:val="00C06AC9"/>
    <w:rsid w:val="00C10096"/>
    <w:rsid w:val="00C1039A"/>
    <w:rsid w:val="00C10404"/>
    <w:rsid w:val="00C10E5B"/>
    <w:rsid w:val="00C11452"/>
    <w:rsid w:val="00C148A6"/>
    <w:rsid w:val="00C1557D"/>
    <w:rsid w:val="00C17457"/>
    <w:rsid w:val="00C20856"/>
    <w:rsid w:val="00C2087C"/>
    <w:rsid w:val="00C21342"/>
    <w:rsid w:val="00C22C85"/>
    <w:rsid w:val="00C25E7F"/>
    <w:rsid w:val="00C2746F"/>
    <w:rsid w:val="00C30E1B"/>
    <w:rsid w:val="00C31058"/>
    <w:rsid w:val="00C31709"/>
    <w:rsid w:val="00C324A0"/>
    <w:rsid w:val="00C3300F"/>
    <w:rsid w:val="00C34E77"/>
    <w:rsid w:val="00C351A0"/>
    <w:rsid w:val="00C35875"/>
    <w:rsid w:val="00C35DAF"/>
    <w:rsid w:val="00C40320"/>
    <w:rsid w:val="00C41325"/>
    <w:rsid w:val="00C4170B"/>
    <w:rsid w:val="00C42A9F"/>
    <w:rsid w:val="00C42BA6"/>
    <w:rsid w:val="00C42BF8"/>
    <w:rsid w:val="00C450A4"/>
    <w:rsid w:val="00C45171"/>
    <w:rsid w:val="00C45A8C"/>
    <w:rsid w:val="00C47138"/>
    <w:rsid w:val="00C47D01"/>
    <w:rsid w:val="00C50043"/>
    <w:rsid w:val="00C50B97"/>
    <w:rsid w:val="00C52E7C"/>
    <w:rsid w:val="00C53170"/>
    <w:rsid w:val="00C547D3"/>
    <w:rsid w:val="00C56190"/>
    <w:rsid w:val="00C57153"/>
    <w:rsid w:val="00C57720"/>
    <w:rsid w:val="00C609B6"/>
    <w:rsid w:val="00C62787"/>
    <w:rsid w:val="00C6434E"/>
    <w:rsid w:val="00C64E56"/>
    <w:rsid w:val="00C65548"/>
    <w:rsid w:val="00C67125"/>
    <w:rsid w:val="00C67349"/>
    <w:rsid w:val="00C7092E"/>
    <w:rsid w:val="00C70CA8"/>
    <w:rsid w:val="00C7573B"/>
    <w:rsid w:val="00C7761F"/>
    <w:rsid w:val="00C77E20"/>
    <w:rsid w:val="00C8015A"/>
    <w:rsid w:val="00C81F75"/>
    <w:rsid w:val="00C83800"/>
    <w:rsid w:val="00C868A7"/>
    <w:rsid w:val="00C86B32"/>
    <w:rsid w:val="00C86F2B"/>
    <w:rsid w:val="00C8746E"/>
    <w:rsid w:val="00C87C2F"/>
    <w:rsid w:val="00C93C03"/>
    <w:rsid w:val="00C94AAE"/>
    <w:rsid w:val="00C952FE"/>
    <w:rsid w:val="00C96598"/>
    <w:rsid w:val="00CA2289"/>
    <w:rsid w:val="00CA344A"/>
    <w:rsid w:val="00CA66DC"/>
    <w:rsid w:val="00CA702F"/>
    <w:rsid w:val="00CB2C8E"/>
    <w:rsid w:val="00CB2D96"/>
    <w:rsid w:val="00CB57DB"/>
    <w:rsid w:val="00CB59EA"/>
    <w:rsid w:val="00CB602E"/>
    <w:rsid w:val="00CB623D"/>
    <w:rsid w:val="00CB632C"/>
    <w:rsid w:val="00CB7B1C"/>
    <w:rsid w:val="00CC1D1D"/>
    <w:rsid w:val="00CC3AEC"/>
    <w:rsid w:val="00CC7F9F"/>
    <w:rsid w:val="00CD2405"/>
    <w:rsid w:val="00CD2760"/>
    <w:rsid w:val="00CD2E90"/>
    <w:rsid w:val="00CD436E"/>
    <w:rsid w:val="00CD49C0"/>
    <w:rsid w:val="00CD5267"/>
    <w:rsid w:val="00CD6321"/>
    <w:rsid w:val="00CD7AC0"/>
    <w:rsid w:val="00CE0149"/>
    <w:rsid w:val="00CE051D"/>
    <w:rsid w:val="00CE1335"/>
    <w:rsid w:val="00CE3A54"/>
    <w:rsid w:val="00CE3D2A"/>
    <w:rsid w:val="00CE43EF"/>
    <w:rsid w:val="00CE48DA"/>
    <w:rsid w:val="00CE493D"/>
    <w:rsid w:val="00CE4E2A"/>
    <w:rsid w:val="00CE541A"/>
    <w:rsid w:val="00CE6D42"/>
    <w:rsid w:val="00CE7E7B"/>
    <w:rsid w:val="00CF07FA"/>
    <w:rsid w:val="00CF0BB2"/>
    <w:rsid w:val="00CF2FA9"/>
    <w:rsid w:val="00CF3EE8"/>
    <w:rsid w:val="00CF4BBF"/>
    <w:rsid w:val="00CF5313"/>
    <w:rsid w:val="00CF59A5"/>
    <w:rsid w:val="00D0077E"/>
    <w:rsid w:val="00D05081"/>
    <w:rsid w:val="00D050E6"/>
    <w:rsid w:val="00D12B49"/>
    <w:rsid w:val="00D13441"/>
    <w:rsid w:val="00D138CB"/>
    <w:rsid w:val="00D150E7"/>
    <w:rsid w:val="00D160D5"/>
    <w:rsid w:val="00D169F5"/>
    <w:rsid w:val="00D16EF1"/>
    <w:rsid w:val="00D17DCC"/>
    <w:rsid w:val="00D20A4B"/>
    <w:rsid w:val="00D21E3B"/>
    <w:rsid w:val="00D27EC8"/>
    <w:rsid w:val="00D30452"/>
    <w:rsid w:val="00D306F8"/>
    <w:rsid w:val="00D32F65"/>
    <w:rsid w:val="00D341C4"/>
    <w:rsid w:val="00D37D36"/>
    <w:rsid w:val="00D41A47"/>
    <w:rsid w:val="00D43312"/>
    <w:rsid w:val="00D442A2"/>
    <w:rsid w:val="00D44519"/>
    <w:rsid w:val="00D44A15"/>
    <w:rsid w:val="00D507A2"/>
    <w:rsid w:val="00D50F4B"/>
    <w:rsid w:val="00D51161"/>
    <w:rsid w:val="00D51868"/>
    <w:rsid w:val="00D52DC2"/>
    <w:rsid w:val="00D53BCC"/>
    <w:rsid w:val="00D55232"/>
    <w:rsid w:val="00D60195"/>
    <w:rsid w:val="00D602CB"/>
    <w:rsid w:val="00D612CF"/>
    <w:rsid w:val="00D636BF"/>
    <w:rsid w:val="00D648BB"/>
    <w:rsid w:val="00D661EE"/>
    <w:rsid w:val="00D675D8"/>
    <w:rsid w:val="00D702DE"/>
    <w:rsid w:val="00D70DFB"/>
    <w:rsid w:val="00D70E8F"/>
    <w:rsid w:val="00D71B2E"/>
    <w:rsid w:val="00D71E7A"/>
    <w:rsid w:val="00D732EC"/>
    <w:rsid w:val="00D73C22"/>
    <w:rsid w:val="00D7654E"/>
    <w:rsid w:val="00D766DF"/>
    <w:rsid w:val="00D77617"/>
    <w:rsid w:val="00D8002E"/>
    <w:rsid w:val="00D81CFC"/>
    <w:rsid w:val="00D821AD"/>
    <w:rsid w:val="00D82CAA"/>
    <w:rsid w:val="00D864C1"/>
    <w:rsid w:val="00D90533"/>
    <w:rsid w:val="00D909DC"/>
    <w:rsid w:val="00D90F83"/>
    <w:rsid w:val="00D93531"/>
    <w:rsid w:val="00D938CE"/>
    <w:rsid w:val="00D95598"/>
    <w:rsid w:val="00D956D3"/>
    <w:rsid w:val="00DA186E"/>
    <w:rsid w:val="00DA1AFA"/>
    <w:rsid w:val="00DA1BCA"/>
    <w:rsid w:val="00DA1D9E"/>
    <w:rsid w:val="00DA4116"/>
    <w:rsid w:val="00DA5CA6"/>
    <w:rsid w:val="00DA71ED"/>
    <w:rsid w:val="00DB0E4C"/>
    <w:rsid w:val="00DB251C"/>
    <w:rsid w:val="00DB2EC4"/>
    <w:rsid w:val="00DB38AD"/>
    <w:rsid w:val="00DB3A68"/>
    <w:rsid w:val="00DB4630"/>
    <w:rsid w:val="00DB51FD"/>
    <w:rsid w:val="00DB682B"/>
    <w:rsid w:val="00DB6A3E"/>
    <w:rsid w:val="00DB759C"/>
    <w:rsid w:val="00DB7D15"/>
    <w:rsid w:val="00DC0423"/>
    <w:rsid w:val="00DC1135"/>
    <w:rsid w:val="00DC1349"/>
    <w:rsid w:val="00DC2DEE"/>
    <w:rsid w:val="00DC408D"/>
    <w:rsid w:val="00DC4246"/>
    <w:rsid w:val="00DC4445"/>
    <w:rsid w:val="00DC4F88"/>
    <w:rsid w:val="00DC54A6"/>
    <w:rsid w:val="00DD03E8"/>
    <w:rsid w:val="00DD1E37"/>
    <w:rsid w:val="00DD4920"/>
    <w:rsid w:val="00DD5D2B"/>
    <w:rsid w:val="00DD68D2"/>
    <w:rsid w:val="00DD6D32"/>
    <w:rsid w:val="00DE0A85"/>
    <w:rsid w:val="00DE263D"/>
    <w:rsid w:val="00DE2F13"/>
    <w:rsid w:val="00DE50B3"/>
    <w:rsid w:val="00DE79F9"/>
    <w:rsid w:val="00DE7C60"/>
    <w:rsid w:val="00DF4379"/>
    <w:rsid w:val="00DF4C77"/>
    <w:rsid w:val="00E0167A"/>
    <w:rsid w:val="00E03D23"/>
    <w:rsid w:val="00E04BF7"/>
    <w:rsid w:val="00E05704"/>
    <w:rsid w:val="00E066D7"/>
    <w:rsid w:val="00E06CC3"/>
    <w:rsid w:val="00E0716A"/>
    <w:rsid w:val="00E07B82"/>
    <w:rsid w:val="00E07DF6"/>
    <w:rsid w:val="00E11E44"/>
    <w:rsid w:val="00E13AFA"/>
    <w:rsid w:val="00E13C92"/>
    <w:rsid w:val="00E14733"/>
    <w:rsid w:val="00E209DC"/>
    <w:rsid w:val="00E2168B"/>
    <w:rsid w:val="00E21F03"/>
    <w:rsid w:val="00E23BA2"/>
    <w:rsid w:val="00E24625"/>
    <w:rsid w:val="00E24CCE"/>
    <w:rsid w:val="00E26C92"/>
    <w:rsid w:val="00E301E6"/>
    <w:rsid w:val="00E30EF3"/>
    <w:rsid w:val="00E31662"/>
    <w:rsid w:val="00E338EF"/>
    <w:rsid w:val="00E33B6B"/>
    <w:rsid w:val="00E3664A"/>
    <w:rsid w:val="00E40FF8"/>
    <w:rsid w:val="00E411E9"/>
    <w:rsid w:val="00E41664"/>
    <w:rsid w:val="00E42C67"/>
    <w:rsid w:val="00E43613"/>
    <w:rsid w:val="00E43F23"/>
    <w:rsid w:val="00E45B09"/>
    <w:rsid w:val="00E473EC"/>
    <w:rsid w:val="00E53443"/>
    <w:rsid w:val="00E53C1F"/>
    <w:rsid w:val="00E544BB"/>
    <w:rsid w:val="00E557E1"/>
    <w:rsid w:val="00E56078"/>
    <w:rsid w:val="00E578EC"/>
    <w:rsid w:val="00E60423"/>
    <w:rsid w:val="00E6276E"/>
    <w:rsid w:val="00E62B6D"/>
    <w:rsid w:val="00E62EAF"/>
    <w:rsid w:val="00E649D7"/>
    <w:rsid w:val="00E662CB"/>
    <w:rsid w:val="00E716C8"/>
    <w:rsid w:val="00E72F72"/>
    <w:rsid w:val="00E72FDB"/>
    <w:rsid w:val="00E73215"/>
    <w:rsid w:val="00E74B6C"/>
    <w:rsid w:val="00E74DC7"/>
    <w:rsid w:val="00E76C26"/>
    <w:rsid w:val="00E8001B"/>
    <w:rsid w:val="00E8075A"/>
    <w:rsid w:val="00E818A6"/>
    <w:rsid w:val="00E82E97"/>
    <w:rsid w:val="00E85673"/>
    <w:rsid w:val="00E8578F"/>
    <w:rsid w:val="00E85A91"/>
    <w:rsid w:val="00E85EF5"/>
    <w:rsid w:val="00E87373"/>
    <w:rsid w:val="00E87718"/>
    <w:rsid w:val="00E90C58"/>
    <w:rsid w:val="00E9319C"/>
    <w:rsid w:val="00E931AE"/>
    <w:rsid w:val="00E94D5E"/>
    <w:rsid w:val="00E96A58"/>
    <w:rsid w:val="00EA0BF6"/>
    <w:rsid w:val="00EA1011"/>
    <w:rsid w:val="00EA17A6"/>
    <w:rsid w:val="00EA424D"/>
    <w:rsid w:val="00EA64CE"/>
    <w:rsid w:val="00EA7100"/>
    <w:rsid w:val="00EA7110"/>
    <w:rsid w:val="00EA7F9F"/>
    <w:rsid w:val="00EB0E70"/>
    <w:rsid w:val="00EB1274"/>
    <w:rsid w:val="00EB1F42"/>
    <w:rsid w:val="00EB2B46"/>
    <w:rsid w:val="00EB3737"/>
    <w:rsid w:val="00EB4A26"/>
    <w:rsid w:val="00EC03A3"/>
    <w:rsid w:val="00EC2B2E"/>
    <w:rsid w:val="00EC2D24"/>
    <w:rsid w:val="00EC3536"/>
    <w:rsid w:val="00EC35D6"/>
    <w:rsid w:val="00EC4757"/>
    <w:rsid w:val="00EC6840"/>
    <w:rsid w:val="00EC7EDB"/>
    <w:rsid w:val="00ED14FB"/>
    <w:rsid w:val="00ED18F2"/>
    <w:rsid w:val="00ED29BC"/>
    <w:rsid w:val="00ED2BB6"/>
    <w:rsid w:val="00ED34E1"/>
    <w:rsid w:val="00ED3B8D"/>
    <w:rsid w:val="00ED4298"/>
    <w:rsid w:val="00ED4C6A"/>
    <w:rsid w:val="00ED5687"/>
    <w:rsid w:val="00ED73FF"/>
    <w:rsid w:val="00ED796D"/>
    <w:rsid w:val="00EE34C0"/>
    <w:rsid w:val="00EE4BA1"/>
    <w:rsid w:val="00EF15D3"/>
    <w:rsid w:val="00EF20AF"/>
    <w:rsid w:val="00EF2E3A"/>
    <w:rsid w:val="00EF3C15"/>
    <w:rsid w:val="00EF63AD"/>
    <w:rsid w:val="00EF6797"/>
    <w:rsid w:val="00F005FE"/>
    <w:rsid w:val="00F02914"/>
    <w:rsid w:val="00F02EF9"/>
    <w:rsid w:val="00F03BB5"/>
    <w:rsid w:val="00F047D8"/>
    <w:rsid w:val="00F04859"/>
    <w:rsid w:val="00F051C2"/>
    <w:rsid w:val="00F05DBA"/>
    <w:rsid w:val="00F072A7"/>
    <w:rsid w:val="00F078DC"/>
    <w:rsid w:val="00F13871"/>
    <w:rsid w:val="00F1410E"/>
    <w:rsid w:val="00F14593"/>
    <w:rsid w:val="00F146DB"/>
    <w:rsid w:val="00F14A55"/>
    <w:rsid w:val="00F15130"/>
    <w:rsid w:val="00F160EA"/>
    <w:rsid w:val="00F16A66"/>
    <w:rsid w:val="00F171A1"/>
    <w:rsid w:val="00F20D3E"/>
    <w:rsid w:val="00F21465"/>
    <w:rsid w:val="00F26E6A"/>
    <w:rsid w:val="00F32BA8"/>
    <w:rsid w:val="00F33653"/>
    <w:rsid w:val="00F349F1"/>
    <w:rsid w:val="00F362E8"/>
    <w:rsid w:val="00F370CE"/>
    <w:rsid w:val="00F4215A"/>
    <w:rsid w:val="00F4350D"/>
    <w:rsid w:val="00F44665"/>
    <w:rsid w:val="00F45814"/>
    <w:rsid w:val="00F45C97"/>
    <w:rsid w:val="00F46947"/>
    <w:rsid w:val="00F47CED"/>
    <w:rsid w:val="00F50532"/>
    <w:rsid w:val="00F52ACE"/>
    <w:rsid w:val="00F52CA6"/>
    <w:rsid w:val="00F52CDF"/>
    <w:rsid w:val="00F5317C"/>
    <w:rsid w:val="00F54912"/>
    <w:rsid w:val="00F567F7"/>
    <w:rsid w:val="00F61A66"/>
    <w:rsid w:val="00F61B09"/>
    <w:rsid w:val="00F62036"/>
    <w:rsid w:val="00F65B52"/>
    <w:rsid w:val="00F67BCA"/>
    <w:rsid w:val="00F703BC"/>
    <w:rsid w:val="00F710A2"/>
    <w:rsid w:val="00F728FE"/>
    <w:rsid w:val="00F73BD6"/>
    <w:rsid w:val="00F800C9"/>
    <w:rsid w:val="00F81DC4"/>
    <w:rsid w:val="00F82AFB"/>
    <w:rsid w:val="00F83989"/>
    <w:rsid w:val="00F83CC8"/>
    <w:rsid w:val="00F85099"/>
    <w:rsid w:val="00F85363"/>
    <w:rsid w:val="00F86844"/>
    <w:rsid w:val="00F87E83"/>
    <w:rsid w:val="00F9379C"/>
    <w:rsid w:val="00F94571"/>
    <w:rsid w:val="00F9632C"/>
    <w:rsid w:val="00FA10B8"/>
    <w:rsid w:val="00FA13A8"/>
    <w:rsid w:val="00FA1E52"/>
    <w:rsid w:val="00FA2AF0"/>
    <w:rsid w:val="00FA31DE"/>
    <w:rsid w:val="00FA7D17"/>
    <w:rsid w:val="00FA7D81"/>
    <w:rsid w:val="00FB18EE"/>
    <w:rsid w:val="00FB26FB"/>
    <w:rsid w:val="00FB3343"/>
    <w:rsid w:val="00FB3981"/>
    <w:rsid w:val="00FB43BC"/>
    <w:rsid w:val="00FB45F6"/>
    <w:rsid w:val="00FB69C1"/>
    <w:rsid w:val="00FC0F47"/>
    <w:rsid w:val="00FC2703"/>
    <w:rsid w:val="00FC2F80"/>
    <w:rsid w:val="00FC3AA9"/>
    <w:rsid w:val="00FC3EB8"/>
    <w:rsid w:val="00FC4B8A"/>
    <w:rsid w:val="00FC6781"/>
    <w:rsid w:val="00FC6D88"/>
    <w:rsid w:val="00FC73AE"/>
    <w:rsid w:val="00FC7D25"/>
    <w:rsid w:val="00FD13CC"/>
    <w:rsid w:val="00FD25A3"/>
    <w:rsid w:val="00FD2E53"/>
    <w:rsid w:val="00FD51FD"/>
    <w:rsid w:val="00FD641F"/>
    <w:rsid w:val="00FD75BB"/>
    <w:rsid w:val="00FE2FB8"/>
    <w:rsid w:val="00FE4688"/>
    <w:rsid w:val="00FE72D6"/>
    <w:rsid w:val="00FE79D0"/>
    <w:rsid w:val="00FF1CDB"/>
    <w:rsid w:val="00FF3858"/>
    <w:rsid w:val="00FF3B7D"/>
    <w:rsid w:val="00FF775F"/>
    <w:rsid w:val="462CA9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B26E3DE1-E267-4CC9-9FB7-B265691E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styleId="Revision">
    <w:name w:val="Revision"/>
    <w:hidden/>
    <w:uiPriority w:val="99"/>
    <w:semiHidden/>
    <w:rsid w:val="00E90C58"/>
    <w:rPr>
      <w:sz w:val="22"/>
      <w:lang w:eastAsia="en-US"/>
    </w:rPr>
  </w:style>
  <w:style w:type="character" w:styleId="Mention">
    <w:name w:val="Mention"/>
    <w:basedOn w:val="DefaultParagraphFont"/>
    <w:uiPriority w:val="99"/>
    <w:unhideWhenUsed/>
    <w:rsid w:val="000C243C"/>
    <w:rPr>
      <w:color w:val="2B579A"/>
      <w:shd w:val="clear" w:color="auto" w:fill="E1DFDD"/>
    </w:rPr>
  </w:style>
  <w:style w:type="character" w:styleId="UnresolvedMention">
    <w:name w:val="Unresolved Mention"/>
    <w:basedOn w:val="DefaultParagraphFont"/>
    <w:uiPriority w:val="99"/>
    <w:semiHidden/>
    <w:unhideWhenUsed/>
    <w:rsid w:val="00A12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42957989">
      <w:bodyDiv w:val="1"/>
      <w:marLeft w:val="0"/>
      <w:marRight w:val="0"/>
      <w:marTop w:val="0"/>
      <w:marBottom w:val="0"/>
      <w:divBdr>
        <w:top w:val="none" w:sz="0" w:space="0" w:color="auto"/>
        <w:left w:val="none" w:sz="0" w:space="0" w:color="auto"/>
        <w:bottom w:val="none" w:sz="0" w:space="0" w:color="auto"/>
        <w:right w:val="none" w:sz="0" w:space="0" w:color="auto"/>
      </w:divBdr>
    </w:div>
    <w:div w:id="245769742">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275021781">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10679755">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546477910">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af302855-5de3-48f9-83c2-fc1acc0f760b" ContentTypeId="0x010100B5F685A1365F544391EF8C813B164F3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1abb5e704a84578aa4b8ef0390c3b25>
    <DocumentNotes xmlns="db2b92ca-6ed0-4085-802d-4c686a2e8c3f" xsi:nil="true"/>
    <NAPReason xmlns="db2b92ca-6ed0-4085-802d-4c686a2e8c3f" xsi:nil="true"/>
    <_dlc_DocId xmlns="6d01ba57-bcb9-4c1f-9f73-80759da4b854">010950-786086710-936</_dlc_DocId>
    <_dlc_DocIdUrl xmlns="6d01ba57-bcb9-4c1f-9f73-80759da4b854">
      <Url>https://asiclink.sharepoint.com/teams/010950/_layouts/15/DocIdRedir.aspx?ID=010950-786086710-936</Url>
      <Description>010950-786086710-936</Description>
    </_dlc_DocIdUrl>
    <TaxCatchAll xmlns="db2b92ca-6ed0-4085-802d-4c686a2e8c3f">
      <Value>5</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ASIC Document" ma:contentTypeID="0x010100B5F685A1365F544391EF8C813B164F3A0067329D49EF2FE94BA16D9A9FA4C7C5E9" ma:contentTypeVersion="25" ma:contentTypeDescription="Create a new document." ma:contentTypeScope="" ma:versionID="4eee952142d321facbb1fde01d01d759">
  <xsd:schema xmlns:xsd="http://www.w3.org/2001/XMLSchema" xmlns:xs="http://www.w3.org/2001/XMLSchema" xmlns:p="http://schemas.microsoft.com/office/2006/metadata/properties" xmlns:ns2="db2b92ca-6ed0-4085-802d-4c686a2e8c3f" xmlns:ns3="6d01ba57-bcb9-4c1f-9f73-80759da4b854" targetNamespace="http://schemas.microsoft.com/office/2006/metadata/properties" ma:root="true" ma:fieldsID="e16c524076ad0c65a69563821fb64933" ns2:_="" ns3:_="">
    <xsd:import namespace="db2b92ca-6ed0-4085-802d-4c686a2e8c3f"/>
    <xsd:import namespace="6d01ba57-bcb9-4c1f-9f73-80759da4b854"/>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5da22b1-9180-4a81-8ed3-1b22e6fc70b0}" ma:internalName="TaxCatchAll" ma:showField="CatchAllData"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da22b1-9180-4a81-8ed3-1b22e6fc70b0}" ma:internalName="TaxCatchAllLabel" ma:readOnly="true" ma:showField="CatchAllDataLabel" ma:web="6d01ba57-bcb9-4c1f-9f73-80759da4b854">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01ba57-bcb9-4c1f-9f73-80759da4b854"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D521A-DAB7-4FB7-B2F4-979DB9280F3E}">
  <ds:schemaRefs>
    <ds:schemaRef ds:uri="Microsoft.SharePoint.Taxonomy.ContentTypeSync"/>
  </ds:schemaRefs>
</ds:datastoreItem>
</file>

<file path=customXml/itemProps2.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3.xml><?xml version="1.0" encoding="utf-8"?>
<ds:datastoreItem xmlns:ds="http://schemas.openxmlformats.org/officeDocument/2006/customXml" ds:itemID="{A954CD4F-4ADE-45EC-8760-0728E2692B40}">
  <ds:schemaRefs>
    <ds:schemaRef ds:uri="http://schemas.microsoft.com/office/2006/metadata/properties"/>
    <ds:schemaRef ds:uri="http://schemas.microsoft.com/office/infopath/2007/PartnerControls"/>
    <ds:schemaRef ds:uri="db2b92ca-6ed0-4085-802d-4c686a2e8c3f"/>
    <ds:schemaRef ds:uri="6d01ba57-bcb9-4c1f-9f73-80759da4b854"/>
  </ds:schemaRefs>
</ds:datastoreItem>
</file>

<file path=customXml/itemProps4.xml><?xml version="1.0" encoding="utf-8"?>
<ds:datastoreItem xmlns:ds="http://schemas.openxmlformats.org/officeDocument/2006/customXml" ds:itemID="{8190F57E-0F6D-4FC8-A79F-9FE094F05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6d01ba57-bcb9-4c1f-9f73-80759da4b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6.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7.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Template>
  <TotalTime>37</TotalTime>
  <Pages>9</Pages>
  <Words>3023</Words>
  <Characters>17232</Characters>
  <Application>Microsoft Office Word</Application>
  <DocSecurity>0</DocSecurity>
  <PresentationFormat/>
  <Lines>143</Lines>
  <Paragraphs>40</Paragraphs>
  <ScaleCrop>false</ScaleCrop>
  <Company>ASIC</Company>
  <LinksUpToDate>false</LinksUpToDate>
  <CharactersWithSpaces>20215</CharactersWithSpaces>
  <SharedDoc>false</SharedDoc>
  <HyperlinkBase/>
  <HLinks>
    <vt:vector size="6" baseType="variant">
      <vt:variant>
        <vt:i4>5373958</vt:i4>
      </vt:variant>
      <vt:variant>
        <vt:i4>0</vt:i4>
      </vt:variant>
      <vt:variant>
        <vt:i4>0</vt:i4>
      </vt:variant>
      <vt:variant>
        <vt:i4>5</vt:i4>
      </vt:variant>
      <vt:variant>
        <vt:lpwstr>https://www.legislation.gov.au/F2023L01458/asmade/2023-10-31/es/original/pdf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48</cp:revision>
  <cp:lastPrinted>2019-01-04T16:56:00Z</cp:lastPrinted>
  <dcterms:created xsi:type="dcterms:W3CDTF">2025-03-24T06:38:00Z</dcterms:created>
  <dcterms:modified xsi:type="dcterms:W3CDTF">2025-03-26T03:21:00Z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5;#Sensitive|19fd2cb8-3e97-4464-ae71-8c2c2095d028</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90d2f700-e847-4ef0-8704-e5d42466e0d4</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0x010100B5F685A1365F544391EF8C813B164F3A0067329D49EF2FE94BA16D9A9FA4C7C5E9</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y fmtid="{D5CDD505-2E9C-101B-9397-08002B2CF9AE}" pid="72" name="MediaServiceImageTags">
    <vt:lpwstr/>
  </property>
  <property fmtid="{D5CDD505-2E9C-101B-9397-08002B2CF9AE}" pid="73" name="lcf76f155ced4ddcb4097134ff3c332f">
    <vt:lpwstr/>
  </property>
</Properties>
</file>