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74F5" w14:textId="77777777" w:rsidR="001A6529" w:rsidRPr="00E85296" w:rsidRDefault="001A6529" w:rsidP="00E85296">
      <w:pPr>
        <w:spacing w:before="40" w:after="40"/>
        <w:jc w:val="center"/>
        <w:rPr>
          <w:rFonts w:cs="Arial"/>
          <w:b/>
          <w:color w:val="000000"/>
          <w:sz w:val="24"/>
          <w:szCs w:val="24"/>
          <w:u w:val="single"/>
        </w:rPr>
      </w:pPr>
      <w:r w:rsidRPr="00E85296">
        <w:rPr>
          <w:rFonts w:cs="Arial"/>
          <w:b/>
          <w:color w:val="000000"/>
          <w:sz w:val="24"/>
          <w:szCs w:val="24"/>
          <w:u w:val="single"/>
        </w:rPr>
        <w:t>EXPLANATORY STATEMENT</w:t>
      </w:r>
    </w:p>
    <w:p w14:paraId="19D4B4C5" w14:textId="77777777" w:rsidR="001A6529" w:rsidRPr="00E85296" w:rsidRDefault="001A6529" w:rsidP="00E85296">
      <w:pPr>
        <w:spacing w:before="40" w:after="40"/>
        <w:rPr>
          <w:rFonts w:cs="Arial"/>
          <w:color w:val="000000"/>
          <w:sz w:val="24"/>
          <w:szCs w:val="24"/>
        </w:rPr>
      </w:pPr>
    </w:p>
    <w:p w14:paraId="1027B446" w14:textId="51FC5C81" w:rsidR="00FB7BA5" w:rsidRPr="00FB7BA5" w:rsidRDefault="00FB7BA5" w:rsidP="00FB7BA5">
      <w:pPr>
        <w:spacing w:before="40" w:after="40"/>
        <w:jc w:val="center"/>
        <w:rPr>
          <w:rFonts w:cs="Arial"/>
          <w:b/>
          <w:bCs/>
          <w:i/>
          <w:color w:val="000000"/>
          <w:sz w:val="24"/>
          <w:szCs w:val="24"/>
        </w:rPr>
      </w:pPr>
      <w:r w:rsidRPr="00FB7BA5">
        <w:rPr>
          <w:rFonts w:cs="Arial"/>
          <w:b/>
          <w:bCs/>
          <w:i/>
          <w:color w:val="000000"/>
          <w:sz w:val="24"/>
          <w:szCs w:val="24"/>
        </w:rPr>
        <w:t xml:space="preserve">Tertiary Education Quality and Standards Agency </w:t>
      </w:r>
      <w:r w:rsidR="00E47DB8" w:rsidRPr="00E47DB8">
        <w:rPr>
          <w:rFonts w:cs="Arial"/>
          <w:b/>
          <w:bCs/>
          <w:i/>
          <w:color w:val="000000"/>
          <w:sz w:val="24"/>
          <w:szCs w:val="24"/>
        </w:rPr>
        <w:t xml:space="preserve">Fit and Proper Person Determination 2018 – Amendment No. 1 of </w:t>
      </w:r>
      <w:r w:rsidR="000A5BBF" w:rsidRPr="00E47DB8">
        <w:rPr>
          <w:rFonts w:cs="Arial"/>
          <w:b/>
          <w:bCs/>
          <w:i/>
          <w:color w:val="000000"/>
          <w:sz w:val="24"/>
          <w:szCs w:val="24"/>
        </w:rPr>
        <w:t>202</w:t>
      </w:r>
      <w:r w:rsidR="000A5BBF">
        <w:rPr>
          <w:rFonts w:cs="Arial"/>
          <w:b/>
          <w:bCs/>
          <w:i/>
          <w:color w:val="000000"/>
          <w:sz w:val="24"/>
          <w:szCs w:val="24"/>
        </w:rPr>
        <w:t>5</w:t>
      </w:r>
    </w:p>
    <w:p w14:paraId="5E3B9893" w14:textId="77777777" w:rsidR="001A6529" w:rsidRPr="00E85296" w:rsidRDefault="001A6529" w:rsidP="00E85296">
      <w:pPr>
        <w:spacing w:before="40" w:after="40"/>
        <w:jc w:val="center"/>
        <w:rPr>
          <w:rFonts w:cs="Arial"/>
          <w:i/>
          <w:color w:val="A6A6A6"/>
          <w:sz w:val="24"/>
          <w:szCs w:val="24"/>
        </w:rPr>
      </w:pPr>
    </w:p>
    <w:p w14:paraId="2F59339E" w14:textId="77777777" w:rsidR="001A6529" w:rsidRPr="00E85296" w:rsidRDefault="001A6529" w:rsidP="00E85296">
      <w:pPr>
        <w:spacing w:before="40" w:after="40"/>
        <w:rPr>
          <w:rFonts w:cs="Arial"/>
          <w:color w:val="000000"/>
          <w:sz w:val="24"/>
          <w:szCs w:val="24"/>
        </w:rPr>
      </w:pPr>
    </w:p>
    <w:p w14:paraId="0C1E03AD" w14:textId="77777777" w:rsidR="001A6529" w:rsidRPr="00E85296" w:rsidRDefault="001A6529" w:rsidP="00E85296">
      <w:pPr>
        <w:spacing w:before="40" w:after="40"/>
        <w:rPr>
          <w:rFonts w:cs="Arial"/>
          <w:color w:val="000000"/>
          <w:sz w:val="24"/>
          <w:szCs w:val="24"/>
        </w:rPr>
      </w:pPr>
    </w:p>
    <w:p w14:paraId="767FBE10" w14:textId="77777777" w:rsidR="001A6529" w:rsidRPr="00E85296" w:rsidRDefault="001A6529" w:rsidP="00E85296">
      <w:pPr>
        <w:spacing w:before="40" w:after="40"/>
        <w:rPr>
          <w:rFonts w:cs="Arial"/>
          <w:color w:val="000000"/>
          <w:sz w:val="24"/>
          <w:szCs w:val="24"/>
          <w:u w:val="single"/>
        </w:rPr>
      </w:pPr>
      <w:r w:rsidRPr="00E85296">
        <w:rPr>
          <w:rFonts w:cs="Arial"/>
          <w:color w:val="000000"/>
          <w:sz w:val="24"/>
          <w:szCs w:val="24"/>
          <w:u w:val="single"/>
        </w:rPr>
        <w:t>Issued by the authority of the Tertiary Education Quality and Standards Agency</w:t>
      </w:r>
      <w:r w:rsidR="0041479B" w:rsidRPr="00E85296">
        <w:rPr>
          <w:rFonts w:cs="Arial"/>
          <w:color w:val="000000"/>
          <w:sz w:val="24"/>
          <w:szCs w:val="24"/>
          <w:u w:val="single"/>
        </w:rPr>
        <w:t xml:space="preserve"> </w:t>
      </w:r>
    </w:p>
    <w:p w14:paraId="1DAB7130" w14:textId="77777777" w:rsidR="001A6529" w:rsidRPr="00E85296" w:rsidRDefault="001A6529" w:rsidP="00E85296">
      <w:pPr>
        <w:spacing w:before="40" w:after="40"/>
        <w:rPr>
          <w:rFonts w:cs="Arial"/>
          <w:color w:val="000000"/>
          <w:sz w:val="24"/>
          <w:szCs w:val="24"/>
        </w:rPr>
      </w:pPr>
    </w:p>
    <w:p w14:paraId="5521FE33" w14:textId="77777777" w:rsidR="001A6529" w:rsidRPr="00E85296" w:rsidRDefault="001A6529" w:rsidP="00E85296">
      <w:pPr>
        <w:spacing w:before="40" w:after="40"/>
        <w:rPr>
          <w:rFonts w:cs="Arial"/>
          <w:color w:val="000000"/>
          <w:sz w:val="24"/>
          <w:szCs w:val="24"/>
        </w:rPr>
      </w:pPr>
    </w:p>
    <w:p w14:paraId="1421DA79" w14:textId="42CF33D1" w:rsidR="001A6529" w:rsidRPr="00E85296" w:rsidRDefault="001A6529" w:rsidP="00FB7BA5">
      <w:pPr>
        <w:spacing w:before="40" w:after="40"/>
        <w:ind w:left="2160" w:hanging="2160"/>
        <w:rPr>
          <w:rFonts w:cs="Arial"/>
          <w:i/>
          <w:sz w:val="24"/>
          <w:szCs w:val="24"/>
        </w:rPr>
      </w:pPr>
      <w:r w:rsidRPr="00E85296">
        <w:rPr>
          <w:rFonts w:cs="Arial"/>
          <w:b/>
          <w:color w:val="000000"/>
          <w:sz w:val="24"/>
          <w:szCs w:val="24"/>
          <w:u w:val="single"/>
        </w:rPr>
        <w:t>Subject:</w:t>
      </w:r>
      <w:r w:rsidRPr="00E85296">
        <w:rPr>
          <w:rFonts w:cs="Arial"/>
          <w:color w:val="000000"/>
          <w:sz w:val="24"/>
          <w:szCs w:val="24"/>
        </w:rPr>
        <w:t xml:space="preserve"> </w:t>
      </w:r>
      <w:r w:rsidRPr="00E85296">
        <w:rPr>
          <w:rFonts w:cs="Arial"/>
          <w:color w:val="000000"/>
          <w:sz w:val="24"/>
          <w:szCs w:val="24"/>
        </w:rPr>
        <w:tab/>
      </w:r>
      <w:r w:rsidR="00E47DB8" w:rsidRPr="00E47DB8">
        <w:rPr>
          <w:rFonts w:cs="Arial"/>
          <w:i/>
          <w:color w:val="000000"/>
          <w:sz w:val="24"/>
          <w:szCs w:val="24"/>
        </w:rPr>
        <w:t>Tertiary Education Quality and Standards Agency Fit and Proper Person Determination 2018 – Amendment No. 1 of</w:t>
      </w:r>
      <w:r w:rsidR="00E47DB8" w:rsidRPr="00E47DB8">
        <w:rPr>
          <w:rFonts w:cs="Arial"/>
          <w:i/>
          <w:sz w:val="24"/>
          <w:szCs w:val="24"/>
        </w:rPr>
        <w:t xml:space="preserve"> </w:t>
      </w:r>
      <w:r w:rsidR="000A5BBF" w:rsidRPr="00E47DB8">
        <w:rPr>
          <w:rFonts w:cs="Arial"/>
          <w:i/>
          <w:sz w:val="24"/>
          <w:szCs w:val="24"/>
        </w:rPr>
        <w:t>202</w:t>
      </w:r>
      <w:r w:rsidR="000A5BBF">
        <w:rPr>
          <w:rFonts w:cs="Arial"/>
          <w:i/>
          <w:sz w:val="24"/>
          <w:szCs w:val="24"/>
        </w:rPr>
        <w:t>5</w:t>
      </w:r>
    </w:p>
    <w:p w14:paraId="71C715AB" w14:textId="77777777" w:rsidR="001A6529" w:rsidRPr="00E85296" w:rsidRDefault="001A6529" w:rsidP="00E85296">
      <w:pPr>
        <w:spacing w:before="40" w:after="40"/>
        <w:rPr>
          <w:rFonts w:cs="Arial"/>
          <w:b/>
          <w:color w:val="000000"/>
          <w:sz w:val="24"/>
          <w:szCs w:val="24"/>
          <w:u w:val="single"/>
        </w:rPr>
      </w:pPr>
    </w:p>
    <w:p w14:paraId="7D97266C" w14:textId="77777777" w:rsidR="001A6529" w:rsidRPr="00E85296" w:rsidRDefault="001A6529" w:rsidP="00E85296">
      <w:pPr>
        <w:spacing w:before="40" w:after="40"/>
        <w:rPr>
          <w:rFonts w:cs="Arial"/>
          <w:b/>
          <w:color w:val="000000"/>
          <w:sz w:val="24"/>
          <w:szCs w:val="24"/>
          <w:u w:val="single"/>
        </w:rPr>
      </w:pPr>
      <w:r w:rsidRPr="00E85296">
        <w:rPr>
          <w:rFonts w:cs="Arial"/>
          <w:b/>
          <w:color w:val="000000"/>
          <w:sz w:val="24"/>
          <w:szCs w:val="24"/>
          <w:u w:val="single"/>
        </w:rPr>
        <w:t>Authority</w:t>
      </w:r>
    </w:p>
    <w:p w14:paraId="2AA9ED41" w14:textId="77777777" w:rsidR="001A6529" w:rsidRPr="00E85296" w:rsidRDefault="001A6529" w:rsidP="00E85296">
      <w:pPr>
        <w:spacing w:before="40" w:after="40"/>
        <w:rPr>
          <w:rFonts w:cs="Arial"/>
          <w:b/>
          <w:color w:val="000000"/>
          <w:sz w:val="24"/>
          <w:szCs w:val="24"/>
          <w:u w:val="single"/>
        </w:rPr>
      </w:pPr>
    </w:p>
    <w:p w14:paraId="53FF9F5E" w14:textId="77777777" w:rsidR="00670E3B" w:rsidRDefault="001A6529" w:rsidP="00E85296">
      <w:pPr>
        <w:spacing w:before="40" w:after="40"/>
        <w:rPr>
          <w:rFonts w:cs="Arial"/>
          <w:color w:val="000000"/>
          <w:sz w:val="24"/>
          <w:szCs w:val="24"/>
        </w:rPr>
      </w:pPr>
      <w:r w:rsidRPr="00E85296">
        <w:rPr>
          <w:rFonts w:cs="Arial"/>
          <w:color w:val="000000"/>
          <w:sz w:val="24"/>
          <w:szCs w:val="24"/>
        </w:rPr>
        <w:t xml:space="preserve">Subsection </w:t>
      </w:r>
      <w:r w:rsidR="00E47DB8">
        <w:rPr>
          <w:rFonts w:cs="Arial"/>
          <w:color w:val="000000"/>
          <w:sz w:val="24"/>
          <w:szCs w:val="24"/>
        </w:rPr>
        <w:t>7</w:t>
      </w:r>
      <w:proofErr w:type="gramStart"/>
      <w:r w:rsidR="00E47DB8">
        <w:rPr>
          <w:rFonts w:cs="Arial"/>
          <w:color w:val="000000"/>
          <w:sz w:val="24"/>
          <w:szCs w:val="24"/>
        </w:rPr>
        <w:t>A(</w:t>
      </w:r>
      <w:proofErr w:type="gramEnd"/>
      <w:r w:rsidR="00E47DB8">
        <w:rPr>
          <w:rFonts w:cs="Arial"/>
          <w:color w:val="000000"/>
          <w:sz w:val="24"/>
          <w:szCs w:val="24"/>
        </w:rPr>
        <w:t xml:space="preserve">2) </w:t>
      </w:r>
      <w:r w:rsidRPr="00E85296">
        <w:rPr>
          <w:rFonts w:cs="Arial"/>
          <w:color w:val="000000"/>
          <w:sz w:val="24"/>
          <w:szCs w:val="24"/>
        </w:rPr>
        <w:t xml:space="preserve">of the </w:t>
      </w:r>
      <w:r w:rsidRPr="00E85296">
        <w:rPr>
          <w:rFonts w:cs="Arial"/>
          <w:i/>
          <w:sz w:val="24"/>
          <w:szCs w:val="24"/>
        </w:rPr>
        <w:t>Tertiary Education Quality and Standards Agency Act 2011</w:t>
      </w:r>
      <w:r w:rsidRPr="00E85296">
        <w:rPr>
          <w:rFonts w:cs="Arial"/>
          <w:color w:val="000000"/>
          <w:sz w:val="24"/>
          <w:szCs w:val="24"/>
        </w:rPr>
        <w:t xml:space="preserve"> (</w:t>
      </w:r>
      <w:r w:rsidR="000664FE" w:rsidRPr="00E85296">
        <w:rPr>
          <w:rFonts w:cs="Arial"/>
          <w:color w:val="000000"/>
          <w:sz w:val="24"/>
          <w:szCs w:val="24"/>
        </w:rPr>
        <w:t>the Act</w:t>
      </w:r>
      <w:r w:rsidRPr="00E85296">
        <w:rPr>
          <w:rFonts w:cs="Arial"/>
          <w:color w:val="000000"/>
          <w:sz w:val="24"/>
          <w:szCs w:val="24"/>
        </w:rPr>
        <w:t xml:space="preserve">) allows TEQSA to determine, by legislative instrument, </w:t>
      </w:r>
      <w:r w:rsidR="00E47DB8">
        <w:rPr>
          <w:rFonts w:cs="Arial"/>
          <w:color w:val="000000"/>
          <w:sz w:val="24"/>
          <w:szCs w:val="24"/>
        </w:rPr>
        <w:t>the matters that TEQSA may have regard to when determining whether a person is a fit and proper person for the purposes of the Act</w:t>
      </w:r>
      <w:r w:rsidRPr="00E85296">
        <w:rPr>
          <w:rFonts w:cs="Arial"/>
          <w:color w:val="000000"/>
          <w:sz w:val="24"/>
          <w:szCs w:val="24"/>
        </w:rPr>
        <w:t>.</w:t>
      </w:r>
    </w:p>
    <w:p w14:paraId="65AD8C3E" w14:textId="77777777" w:rsidR="002D4A6B" w:rsidRDefault="002D4A6B" w:rsidP="00E85296">
      <w:pPr>
        <w:spacing w:before="40" w:after="40"/>
        <w:rPr>
          <w:rFonts w:cs="Arial"/>
          <w:color w:val="000000"/>
          <w:sz w:val="24"/>
          <w:szCs w:val="24"/>
        </w:rPr>
      </w:pPr>
    </w:p>
    <w:p w14:paraId="25C939B3" w14:textId="7438EB77" w:rsidR="002D4A6B" w:rsidRDefault="002D4A6B" w:rsidP="00E85296">
      <w:pPr>
        <w:spacing w:before="40" w:after="40"/>
        <w:rPr>
          <w:rFonts w:cs="Arial"/>
          <w:color w:val="000000"/>
          <w:sz w:val="24"/>
          <w:szCs w:val="24"/>
        </w:rPr>
      </w:pPr>
      <w:r w:rsidRPr="002D4A6B">
        <w:rPr>
          <w:rFonts w:cs="Arial"/>
          <w:color w:val="000000"/>
          <w:sz w:val="24"/>
          <w:szCs w:val="24"/>
        </w:rPr>
        <w:t xml:space="preserve">Under subsection 33(3) of the </w:t>
      </w:r>
      <w:r w:rsidRPr="002D4A6B">
        <w:rPr>
          <w:rFonts w:cs="Arial"/>
          <w:i/>
          <w:iCs/>
          <w:color w:val="000000"/>
          <w:sz w:val="24"/>
          <w:szCs w:val="24"/>
        </w:rPr>
        <w:t>Acts Interpretation Act 1901</w:t>
      </w:r>
      <w:r w:rsidRPr="002D4A6B">
        <w:rPr>
          <w:rFonts w:cs="Arial"/>
          <w:color w:val="000000"/>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D0AC87F" w14:textId="77777777" w:rsidR="00E8502B" w:rsidRDefault="00E8502B" w:rsidP="00E85296">
      <w:pPr>
        <w:spacing w:before="40" w:after="40"/>
        <w:rPr>
          <w:rFonts w:cs="Arial"/>
          <w:color w:val="000000"/>
          <w:sz w:val="24"/>
          <w:szCs w:val="24"/>
        </w:rPr>
      </w:pPr>
    </w:p>
    <w:p w14:paraId="42B16CE2" w14:textId="7EB3DA8E" w:rsidR="001A6529" w:rsidRPr="00E85296" w:rsidRDefault="00670E3B" w:rsidP="00E85296">
      <w:pPr>
        <w:spacing w:before="40" w:after="40"/>
        <w:rPr>
          <w:rFonts w:cs="Arial"/>
          <w:color w:val="000000"/>
          <w:sz w:val="24"/>
          <w:szCs w:val="24"/>
        </w:rPr>
      </w:pPr>
      <w:r>
        <w:rPr>
          <w:rFonts w:cs="Arial"/>
          <w:color w:val="000000"/>
          <w:sz w:val="24"/>
          <w:szCs w:val="24"/>
        </w:rPr>
        <w:t xml:space="preserve">The required approval from the Minister for TEQSA to make an </w:t>
      </w:r>
      <w:r w:rsidR="00E47DB8">
        <w:rPr>
          <w:rFonts w:cs="Arial"/>
          <w:color w:val="000000"/>
          <w:sz w:val="24"/>
          <w:szCs w:val="24"/>
        </w:rPr>
        <w:t xml:space="preserve">amendment </w:t>
      </w:r>
      <w:r>
        <w:rPr>
          <w:rFonts w:cs="Arial"/>
          <w:color w:val="000000"/>
          <w:sz w:val="24"/>
          <w:szCs w:val="24"/>
        </w:rPr>
        <w:t xml:space="preserve">instrument under subsection </w:t>
      </w:r>
      <w:r w:rsidR="00E47DB8">
        <w:rPr>
          <w:rFonts w:cs="Arial"/>
          <w:color w:val="000000"/>
          <w:sz w:val="24"/>
          <w:szCs w:val="24"/>
        </w:rPr>
        <w:t>7</w:t>
      </w:r>
      <w:proofErr w:type="gramStart"/>
      <w:r w:rsidR="00E47DB8">
        <w:rPr>
          <w:rFonts w:cs="Arial"/>
          <w:color w:val="000000"/>
          <w:sz w:val="24"/>
          <w:szCs w:val="24"/>
        </w:rPr>
        <w:t>A(</w:t>
      </w:r>
      <w:proofErr w:type="gramEnd"/>
      <w:r w:rsidR="00E47DB8">
        <w:rPr>
          <w:rFonts w:cs="Arial"/>
          <w:color w:val="000000"/>
          <w:sz w:val="24"/>
          <w:szCs w:val="24"/>
        </w:rPr>
        <w:t>2)</w:t>
      </w:r>
      <w:r>
        <w:rPr>
          <w:rFonts w:cs="Arial"/>
          <w:color w:val="000000"/>
          <w:sz w:val="24"/>
          <w:szCs w:val="24"/>
        </w:rPr>
        <w:t xml:space="preserve"> was </w:t>
      </w:r>
      <w:r w:rsidR="00F7442A">
        <w:rPr>
          <w:rFonts w:cs="Arial"/>
          <w:color w:val="000000"/>
          <w:sz w:val="24"/>
          <w:szCs w:val="24"/>
        </w:rPr>
        <w:t>provided</w:t>
      </w:r>
      <w:r>
        <w:rPr>
          <w:rFonts w:cs="Arial"/>
          <w:color w:val="000000"/>
          <w:sz w:val="24"/>
          <w:szCs w:val="24"/>
        </w:rPr>
        <w:t xml:space="preserve">, per the requirement in subsection </w:t>
      </w:r>
      <w:r w:rsidR="00E47DB8">
        <w:rPr>
          <w:rFonts w:cs="Arial"/>
          <w:color w:val="000000"/>
          <w:sz w:val="24"/>
          <w:szCs w:val="24"/>
        </w:rPr>
        <w:t>7A</w:t>
      </w:r>
      <w:r>
        <w:rPr>
          <w:rFonts w:cs="Arial"/>
          <w:color w:val="000000"/>
          <w:sz w:val="24"/>
          <w:szCs w:val="24"/>
        </w:rPr>
        <w:t>(</w:t>
      </w:r>
      <w:r w:rsidR="00E47DB8">
        <w:rPr>
          <w:rFonts w:cs="Arial"/>
          <w:color w:val="000000"/>
          <w:sz w:val="24"/>
          <w:szCs w:val="24"/>
        </w:rPr>
        <w:t>3</w:t>
      </w:r>
      <w:r>
        <w:rPr>
          <w:rFonts w:cs="Arial"/>
          <w:color w:val="000000"/>
          <w:sz w:val="24"/>
          <w:szCs w:val="24"/>
        </w:rPr>
        <w:t xml:space="preserve">) of the Act, on </w:t>
      </w:r>
      <w:r w:rsidR="000A5BBF">
        <w:rPr>
          <w:rFonts w:cs="Arial"/>
          <w:color w:val="000000"/>
          <w:sz w:val="24"/>
          <w:szCs w:val="24"/>
        </w:rPr>
        <w:t>20 March 2025</w:t>
      </w:r>
      <w:r>
        <w:rPr>
          <w:rFonts w:cs="Arial"/>
          <w:color w:val="000000"/>
          <w:sz w:val="24"/>
          <w:szCs w:val="24"/>
        </w:rPr>
        <w:t xml:space="preserve">. </w:t>
      </w:r>
    </w:p>
    <w:p w14:paraId="2BAADFA3" w14:textId="77777777" w:rsidR="000318AF" w:rsidRPr="00E85296" w:rsidRDefault="000318AF" w:rsidP="00E85296">
      <w:pPr>
        <w:spacing w:before="40" w:after="40"/>
        <w:rPr>
          <w:rFonts w:cs="Arial"/>
          <w:b/>
          <w:color w:val="000000"/>
          <w:sz w:val="24"/>
          <w:szCs w:val="24"/>
          <w:u w:val="single"/>
        </w:rPr>
      </w:pPr>
    </w:p>
    <w:p w14:paraId="55523945" w14:textId="77777777" w:rsidR="001A6529" w:rsidRPr="00E85296" w:rsidRDefault="001A6529" w:rsidP="00E85296">
      <w:pPr>
        <w:spacing w:before="40" w:after="40"/>
        <w:rPr>
          <w:rFonts w:cs="Arial"/>
          <w:color w:val="000000"/>
          <w:sz w:val="24"/>
          <w:szCs w:val="24"/>
          <w:u w:val="single"/>
        </w:rPr>
      </w:pPr>
      <w:r w:rsidRPr="00E85296">
        <w:rPr>
          <w:rFonts w:cs="Arial"/>
          <w:b/>
          <w:color w:val="000000"/>
          <w:sz w:val="24"/>
          <w:szCs w:val="24"/>
          <w:u w:val="single"/>
        </w:rPr>
        <w:t>Purpose and operation</w:t>
      </w:r>
    </w:p>
    <w:p w14:paraId="4E6BE9BA" w14:textId="77777777" w:rsidR="001A6529" w:rsidRPr="00E85296" w:rsidRDefault="001A6529" w:rsidP="00E85296">
      <w:pPr>
        <w:spacing w:before="40" w:after="40"/>
        <w:rPr>
          <w:rFonts w:cs="Arial"/>
          <w:b/>
          <w:color w:val="000000"/>
          <w:sz w:val="24"/>
          <w:szCs w:val="24"/>
        </w:rPr>
      </w:pPr>
    </w:p>
    <w:p w14:paraId="1CF2605C" w14:textId="77777777" w:rsidR="00E47DB8" w:rsidRPr="00B1539A" w:rsidRDefault="001A6529" w:rsidP="00B1539A">
      <w:pPr>
        <w:autoSpaceDE w:val="0"/>
        <w:autoSpaceDN w:val="0"/>
        <w:adjustRightInd w:val="0"/>
        <w:spacing w:after="160"/>
        <w:rPr>
          <w:rFonts w:cs="Arial"/>
          <w:sz w:val="24"/>
          <w:szCs w:val="24"/>
        </w:rPr>
      </w:pPr>
      <w:r w:rsidRPr="00B1539A">
        <w:rPr>
          <w:rFonts w:cs="Arial"/>
          <w:color w:val="000000"/>
          <w:sz w:val="24"/>
          <w:szCs w:val="24"/>
        </w:rPr>
        <w:t xml:space="preserve">The </w:t>
      </w:r>
      <w:r w:rsidR="00E47DB8" w:rsidRPr="00BA66EF">
        <w:rPr>
          <w:rFonts w:cs="Arial"/>
          <w:i/>
          <w:sz w:val="24"/>
          <w:szCs w:val="24"/>
        </w:rPr>
        <w:t>Tertiary Education Quality and Standards Agency Fit and Proper Person Determination 2018</w:t>
      </w:r>
      <w:r w:rsidR="00E47DB8" w:rsidRPr="00E64F9F">
        <w:rPr>
          <w:rFonts w:cs="Arial"/>
          <w:sz w:val="24"/>
          <w:szCs w:val="24"/>
        </w:rPr>
        <w:t xml:space="preserve"> </w:t>
      </w:r>
      <w:r w:rsidR="000C1702" w:rsidRPr="00B1539A">
        <w:rPr>
          <w:rFonts w:cs="Arial"/>
          <w:sz w:val="24"/>
          <w:szCs w:val="24"/>
        </w:rPr>
        <w:t>(F</w:t>
      </w:r>
      <w:r w:rsidR="00E47DB8" w:rsidRPr="00B1539A">
        <w:rPr>
          <w:rFonts w:cs="Arial"/>
          <w:sz w:val="24"/>
          <w:szCs w:val="24"/>
        </w:rPr>
        <w:t>PP</w:t>
      </w:r>
      <w:r w:rsidR="000C1702" w:rsidRPr="00B1539A">
        <w:rPr>
          <w:rFonts w:cs="Arial"/>
          <w:sz w:val="24"/>
          <w:szCs w:val="24"/>
        </w:rPr>
        <w:t xml:space="preserve"> </w:t>
      </w:r>
      <w:r w:rsidR="00E47DB8" w:rsidRPr="00B1539A">
        <w:rPr>
          <w:rFonts w:cs="Arial"/>
          <w:sz w:val="24"/>
          <w:szCs w:val="24"/>
        </w:rPr>
        <w:t>Determination</w:t>
      </w:r>
      <w:r w:rsidR="000C1702" w:rsidRPr="00B1539A">
        <w:rPr>
          <w:rFonts w:cs="Arial"/>
          <w:sz w:val="24"/>
          <w:szCs w:val="24"/>
        </w:rPr>
        <w:t xml:space="preserve">) </w:t>
      </w:r>
      <w:r w:rsidR="00E47DB8" w:rsidRPr="00B1539A">
        <w:rPr>
          <w:rFonts w:cs="Arial"/>
          <w:sz w:val="24"/>
          <w:szCs w:val="24"/>
        </w:rPr>
        <w:t xml:space="preserve">specifies the matters that TEQSA may have regard to when determining whether a person is fit and proper under paragraph 21(1)(b), section 25A and paragraph 36(1)(b) of the Act. </w:t>
      </w:r>
    </w:p>
    <w:p w14:paraId="19677075" w14:textId="77777777" w:rsidR="00E47DB8" w:rsidRPr="00B1539A" w:rsidRDefault="00E47DB8" w:rsidP="00B1539A">
      <w:pPr>
        <w:numPr>
          <w:ilvl w:val="0"/>
          <w:numId w:val="19"/>
        </w:numPr>
        <w:autoSpaceDE w:val="0"/>
        <w:autoSpaceDN w:val="0"/>
        <w:adjustRightInd w:val="0"/>
        <w:spacing w:after="160"/>
        <w:rPr>
          <w:rFonts w:cs="Arial"/>
          <w:sz w:val="24"/>
          <w:szCs w:val="24"/>
        </w:rPr>
      </w:pPr>
      <w:r w:rsidRPr="00B1539A">
        <w:rPr>
          <w:rFonts w:cs="Arial"/>
          <w:sz w:val="24"/>
          <w:szCs w:val="24"/>
        </w:rPr>
        <w:t>Under subsection 21(1), TEQSA may only grant an application for registration as a higher education provider if</w:t>
      </w:r>
      <w:r w:rsidR="00602A33" w:rsidRPr="00B1539A">
        <w:rPr>
          <w:rFonts w:cs="Arial"/>
          <w:sz w:val="24"/>
          <w:szCs w:val="24"/>
        </w:rPr>
        <w:t xml:space="preserve"> TEQSA is satisfied of several matters including that </w:t>
      </w:r>
      <w:r w:rsidRPr="00B1539A">
        <w:rPr>
          <w:rFonts w:cs="Arial"/>
          <w:sz w:val="24"/>
          <w:szCs w:val="24"/>
        </w:rPr>
        <w:t>the applicant, and each person who makes or participates in making decisions that affect the whole, or a substantial part, of the applicant’s affairs is a fit and proper person.</w:t>
      </w:r>
    </w:p>
    <w:p w14:paraId="3051F379" w14:textId="77777777" w:rsidR="00E47DB8" w:rsidRPr="00B1539A" w:rsidRDefault="00E47DB8" w:rsidP="00B1539A">
      <w:pPr>
        <w:numPr>
          <w:ilvl w:val="0"/>
          <w:numId w:val="19"/>
        </w:numPr>
        <w:autoSpaceDE w:val="0"/>
        <w:autoSpaceDN w:val="0"/>
        <w:adjustRightInd w:val="0"/>
        <w:spacing w:after="160"/>
        <w:rPr>
          <w:rFonts w:cs="Arial"/>
          <w:sz w:val="24"/>
          <w:szCs w:val="24"/>
        </w:rPr>
      </w:pPr>
      <w:r w:rsidRPr="00B1539A">
        <w:rPr>
          <w:rFonts w:cs="Arial"/>
          <w:sz w:val="24"/>
          <w:szCs w:val="24"/>
        </w:rPr>
        <w:t>Under section 25A of the Act, it is a condition of each higher education provider’s registration that the provider, and each person who makes or participates in making decisions that affect the whole, or a substantial part, of the provider’s affairs, must be a fit and proper person.</w:t>
      </w:r>
    </w:p>
    <w:p w14:paraId="52F640EC" w14:textId="77777777" w:rsidR="00E47DB8" w:rsidRPr="00B1539A" w:rsidRDefault="00E47DB8" w:rsidP="00B1539A">
      <w:pPr>
        <w:numPr>
          <w:ilvl w:val="0"/>
          <w:numId w:val="19"/>
        </w:numPr>
        <w:autoSpaceDE w:val="0"/>
        <w:autoSpaceDN w:val="0"/>
        <w:adjustRightInd w:val="0"/>
        <w:spacing w:after="160"/>
        <w:rPr>
          <w:rFonts w:cs="Arial"/>
          <w:sz w:val="24"/>
          <w:szCs w:val="24"/>
        </w:rPr>
      </w:pPr>
      <w:r w:rsidRPr="00B1539A">
        <w:rPr>
          <w:rFonts w:cs="Arial"/>
          <w:sz w:val="24"/>
          <w:szCs w:val="24"/>
        </w:rPr>
        <w:t xml:space="preserve">Under subsection 36(1) of the Act, TEQSA may only renew a higher education provider’s registration </w:t>
      </w:r>
      <w:r w:rsidR="00602A33" w:rsidRPr="00B1539A">
        <w:rPr>
          <w:rFonts w:cs="Arial"/>
          <w:sz w:val="24"/>
          <w:szCs w:val="24"/>
        </w:rPr>
        <w:t xml:space="preserve">if TEQSA is satisfied of several matters including that </w:t>
      </w:r>
      <w:r w:rsidRPr="00B1539A">
        <w:rPr>
          <w:rFonts w:cs="Arial"/>
          <w:sz w:val="24"/>
          <w:szCs w:val="24"/>
        </w:rPr>
        <w:t xml:space="preserve">each </w:t>
      </w:r>
      <w:r w:rsidRPr="00B1539A">
        <w:rPr>
          <w:rFonts w:cs="Arial"/>
          <w:sz w:val="24"/>
          <w:szCs w:val="24"/>
        </w:rPr>
        <w:lastRenderedPageBreak/>
        <w:t xml:space="preserve">person who makes or participates in making decisions that affect the whole, or a substantial part, of the provider’s affairs is a fit and proper person. </w:t>
      </w:r>
    </w:p>
    <w:p w14:paraId="4C258104" w14:textId="2203A461" w:rsidR="00602A33" w:rsidRPr="00B1539A" w:rsidRDefault="00E47DB8" w:rsidP="0016140C">
      <w:pPr>
        <w:autoSpaceDE w:val="0"/>
        <w:autoSpaceDN w:val="0"/>
        <w:adjustRightInd w:val="0"/>
        <w:spacing w:after="160"/>
        <w:rPr>
          <w:rFonts w:cs="Arial"/>
          <w:sz w:val="24"/>
          <w:szCs w:val="24"/>
        </w:rPr>
      </w:pPr>
      <w:r w:rsidRPr="00B1539A">
        <w:rPr>
          <w:rFonts w:cs="Arial"/>
          <w:sz w:val="24"/>
          <w:szCs w:val="24"/>
        </w:rPr>
        <w:t xml:space="preserve">The </w:t>
      </w:r>
      <w:r w:rsidRPr="00B1539A">
        <w:rPr>
          <w:rFonts w:cs="Arial"/>
          <w:i/>
          <w:color w:val="000000"/>
          <w:sz w:val="24"/>
          <w:szCs w:val="24"/>
        </w:rPr>
        <w:t>Tertiary Education Quality and Standards Agency Fit and Proper Person Determination 2018 – Amendment No. 1 of</w:t>
      </w:r>
      <w:r w:rsidRPr="00B1539A">
        <w:rPr>
          <w:rFonts w:cs="Arial"/>
          <w:i/>
          <w:sz w:val="24"/>
          <w:szCs w:val="24"/>
        </w:rPr>
        <w:t xml:space="preserve"> 202</w:t>
      </w:r>
      <w:r w:rsidR="000A5BBF">
        <w:rPr>
          <w:rFonts w:cs="Arial"/>
          <w:i/>
          <w:sz w:val="24"/>
          <w:szCs w:val="24"/>
        </w:rPr>
        <w:t>5</w:t>
      </w:r>
      <w:r w:rsidRPr="00B1539A">
        <w:rPr>
          <w:rFonts w:cs="Arial"/>
          <w:i/>
          <w:sz w:val="24"/>
          <w:szCs w:val="24"/>
        </w:rPr>
        <w:t xml:space="preserve"> </w:t>
      </w:r>
      <w:r w:rsidRPr="00B1539A">
        <w:rPr>
          <w:rFonts w:cs="Arial"/>
          <w:iCs/>
          <w:sz w:val="24"/>
          <w:szCs w:val="24"/>
        </w:rPr>
        <w:t>(</w:t>
      </w:r>
      <w:r w:rsidR="000F5B80" w:rsidRPr="00B1539A">
        <w:rPr>
          <w:rFonts w:cs="Arial"/>
          <w:iCs/>
          <w:sz w:val="24"/>
          <w:szCs w:val="24"/>
        </w:rPr>
        <w:t>the</w:t>
      </w:r>
      <w:r w:rsidRPr="00B1539A">
        <w:rPr>
          <w:rFonts w:cs="Arial"/>
          <w:iCs/>
          <w:sz w:val="24"/>
          <w:szCs w:val="24"/>
        </w:rPr>
        <w:t xml:space="preserve"> Instrument)</w:t>
      </w:r>
      <w:r w:rsidRPr="00B1539A">
        <w:rPr>
          <w:rFonts w:cs="Arial"/>
          <w:i/>
          <w:sz w:val="24"/>
          <w:szCs w:val="24"/>
        </w:rPr>
        <w:t xml:space="preserve"> </w:t>
      </w:r>
      <w:r w:rsidR="001D5A20" w:rsidRPr="00B1539A">
        <w:rPr>
          <w:rFonts w:cs="Arial"/>
          <w:iCs/>
          <w:sz w:val="24"/>
          <w:szCs w:val="24"/>
        </w:rPr>
        <w:t xml:space="preserve">amends the FPP Determination to expand the </w:t>
      </w:r>
      <w:r w:rsidRPr="00B1539A">
        <w:rPr>
          <w:rFonts w:cs="Arial"/>
          <w:iCs/>
          <w:sz w:val="24"/>
          <w:szCs w:val="24"/>
        </w:rPr>
        <w:t>matters</w:t>
      </w:r>
      <w:r w:rsidRPr="00B1539A">
        <w:rPr>
          <w:rFonts w:cs="Arial"/>
          <w:sz w:val="24"/>
          <w:szCs w:val="24"/>
        </w:rPr>
        <w:t xml:space="preserve"> that TEQSA may have regard to when determining if a person is fit and proper for the purposes of the Act. </w:t>
      </w:r>
      <w:r w:rsidR="004650DD" w:rsidRPr="00B1539A">
        <w:rPr>
          <w:rFonts w:cs="Arial"/>
          <w:sz w:val="24"/>
          <w:szCs w:val="24"/>
        </w:rPr>
        <w:t xml:space="preserve">The amendments would give TEQSA the capacity have regard to the following matters: </w:t>
      </w:r>
    </w:p>
    <w:p w14:paraId="55D343C7" w14:textId="77777777" w:rsidR="004650DD" w:rsidRPr="00B1539A" w:rsidRDefault="004650DD" w:rsidP="00B1539A">
      <w:pPr>
        <w:numPr>
          <w:ilvl w:val="0"/>
          <w:numId w:val="22"/>
        </w:numPr>
        <w:autoSpaceDE w:val="0"/>
        <w:autoSpaceDN w:val="0"/>
        <w:adjustRightInd w:val="0"/>
        <w:spacing w:after="160"/>
        <w:rPr>
          <w:rFonts w:cs="Arial"/>
          <w:sz w:val="24"/>
          <w:szCs w:val="24"/>
        </w:rPr>
      </w:pPr>
      <w:r w:rsidRPr="00B1539A">
        <w:rPr>
          <w:rFonts w:cs="Arial"/>
          <w:sz w:val="24"/>
          <w:szCs w:val="24"/>
        </w:rPr>
        <w:t xml:space="preserve">whether the person has been convicted of a foreign offence (within the meaning of section 85ZL of the </w:t>
      </w:r>
      <w:r w:rsidRPr="00BA66EF">
        <w:rPr>
          <w:rFonts w:cs="Arial"/>
          <w:i/>
          <w:sz w:val="24"/>
          <w:szCs w:val="24"/>
        </w:rPr>
        <w:t>Crimes Act 1914</w:t>
      </w:r>
      <w:proofErr w:type="gramStart"/>
      <w:r w:rsidRPr="00B1539A">
        <w:rPr>
          <w:rFonts w:cs="Arial"/>
          <w:sz w:val="24"/>
          <w:szCs w:val="24"/>
        </w:rPr>
        <w:t>);</w:t>
      </w:r>
      <w:proofErr w:type="gramEnd"/>
    </w:p>
    <w:p w14:paraId="24DC1484" w14:textId="77777777" w:rsidR="004650DD" w:rsidRPr="00B1539A" w:rsidRDefault="004650DD" w:rsidP="00B1539A">
      <w:pPr>
        <w:numPr>
          <w:ilvl w:val="0"/>
          <w:numId w:val="22"/>
        </w:numPr>
        <w:autoSpaceDE w:val="0"/>
        <w:autoSpaceDN w:val="0"/>
        <w:adjustRightInd w:val="0"/>
        <w:spacing w:after="160"/>
        <w:rPr>
          <w:rFonts w:cs="Arial"/>
          <w:sz w:val="24"/>
          <w:szCs w:val="24"/>
        </w:rPr>
      </w:pPr>
      <w:r w:rsidRPr="00B1539A">
        <w:rPr>
          <w:rFonts w:cs="Arial"/>
          <w:sz w:val="24"/>
          <w:szCs w:val="24"/>
        </w:rPr>
        <w:t>whether the person has been found not to be a fit and proper person for the purposes of any law of the Commonwealth or of a State or Territory; and</w:t>
      </w:r>
    </w:p>
    <w:p w14:paraId="2A0BE305" w14:textId="77777777" w:rsidR="004650DD" w:rsidRPr="00B1539A" w:rsidRDefault="004650DD" w:rsidP="00B1539A">
      <w:pPr>
        <w:numPr>
          <w:ilvl w:val="0"/>
          <w:numId w:val="22"/>
        </w:numPr>
        <w:autoSpaceDE w:val="0"/>
        <w:autoSpaceDN w:val="0"/>
        <w:adjustRightInd w:val="0"/>
        <w:spacing w:after="160"/>
        <w:rPr>
          <w:rFonts w:cs="Arial"/>
          <w:sz w:val="24"/>
          <w:szCs w:val="24"/>
        </w:rPr>
      </w:pPr>
      <w:r w:rsidRPr="00B1539A">
        <w:rPr>
          <w:rFonts w:cs="Arial"/>
          <w:sz w:val="24"/>
          <w:szCs w:val="24"/>
        </w:rPr>
        <w:t xml:space="preserve">whether the public is unlikely to have confidence in the person’s suitability to be a person who makes or participates in making decisions that affect the whole, or a substantial part, of a registered higher education </w:t>
      </w:r>
      <w:proofErr w:type="gramStart"/>
      <w:r w:rsidRPr="00B1539A">
        <w:rPr>
          <w:rFonts w:cs="Arial"/>
          <w:sz w:val="24"/>
          <w:szCs w:val="24"/>
        </w:rPr>
        <w:t>provider’s affairs</w:t>
      </w:r>
      <w:proofErr w:type="gramEnd"/>
      <w:r w:rsidRPr="00B1539A">
        <w:rPr>
          <w:rFonts w:cs="Arial"/>
          <w:sz w:val="24"/>
          <w:szCs w:val="24"/>
        </w:rPr>
        <w:t>.</w:t>
      </w:r>
    </w:p>
    <w:p w14:paraId="25111334" w14:textId="37ABFD70" w:rsidR="001D5A20" w:rsidRPr="00B1539A" w:rsidRDefault="00602A33" w:rsidP="0016140C">
      <w:pPr>
        <w:autoSpaceDE w:val="0"/>
        <w:autoSpaceDN w:val="0"/>
        <w:adjustRightInd w:val="0"/>
        <w:spacing w:after="160"/>
        <w:rPr>
          <w:rFonts w:cs="Arial"/>
          <w:i/>
          <w:iCs/>
          <w:sz w:val="24"/>
          <w:szCs w:val="24"/>
        </w:rPr>
      </w:pPr>
      <w:r w:rsidRPr="00B1539A">
        <w:rPr>
          <w:rFonts w:cs="Arial"/>
          <w:sz w:val="24"/>
          <w:szCs w:val="24"/>
        </w:rPr>
        <w:t xml:space="preserve">The </w:t>
      </w:r>
      <w:r w:rsidR="000F5B80" w:rsidRPr="00B1539A">
        <w:rPr>
          <w:rFonts w:cs="Arial"/>
          <w:sz w:val="24"/>
          <w:szCs w:val="24"/>
        </w:rPr>
        <w:t>amendments</w:t>
      </w:r>
      <w:r w:rsidR="000F5B80" w:rsidRPr="00E64F9F">
        <w:rPr>
          <w:rFonts w:cs="Arial"/>
          <w:sz w:val="24"/>
          <w:szCs w:val="24"/>
        </w:rPr>
        <w:t xml:space="preserve"> </w:t>
      </w:r>
      <w:r w:rsidR="001D5A20" w:rsidRPr="00E64F9F">
        <w:rPr>
          <w:rFonts w:cs="Arial"/>
          <w:sz w:val="24"/>
          <w:szCs w:val="24"/>
        </w:rPr>
        <w:t xml:space="preserve">create greater alignment between the </w:t>
      </w:r>
      <w:r w:rsidR="00A576F5" w:rsidRPr="00E64F9F">
        <w:rPr>
          <w:rFonts w:cs="Arial"/>
          <w:sz w:val="24"/>
          <w:szCs w:val="24"/>
        </w:rPr>
        <w:t>FPP Determination,</w:t>
      </w:r>
      <w:r w:rsidR="004650DD" w:rsidRPr="00E64F9F">
        <w:rPr>
          <w:rFonts w:cs="Arial"/>
          <w:sz w:val="24"/>
          <w:szCs w:val="24"/>
        </w:rPr>
        <w:t xml:space="preserve"> the </w:t>
      </w:r>
      <w:r w:rsidR="004650DD" w:rsidRPr="00E64F9F">
        <w:rPr>
          <w:rFonts w:cs="Arial"/>
          <w:i/>
          <w:iCs/>
          <w:sz w:val="24"/>
          <w:szCs w:val="24"/>
        </w:rPr>
        <w:t>Standards for Registered Training Organisations (RTOs) 2015</w:t>
      </w:r>
      <w:r w:rsidR="004650DD" w:rsidRPr="00E64F9F">
        <w:rPr>
          <w:rFonts w:cs="Arial"/>
          <w:sz w:val="24"/>
          <w:szCs w:val="24"/>
        </w:rPr>
        <w:t xml:space="preserve"> (RTO Standards) and the </w:t>
      </w:r>
      <w:r w:rsidR="004650DD" w:rsidRPr="00E64F9F">
        <w:rPr>
          <w:rFonts w:cs="Arial"/>
          <w:i/>
          <w:iCs/>
          <w:sz w:val="24"/>
          <w:szCs w:val="24"/>
        </w:rPr>
        <w:t xml:space="preserve">Higher Education Support (Fit and Proper Person) Instrument 2019 </w:t>
      </w:r>
      <w:r w:rsidR="004650DD" w:rsidRPr="00E64F9F">
        <w:rPr>
          <w:rFonts w:cs="Arial"/>
          <w:sz w:val="24"/>
          <w:szCs w:val="24"/>
        </w:rPr>
        <w:t>(HES Instrument</w:t>
      </w:r>
      <w:r w:rsidR="004650DD" w:rsidRPr="00B1539A">
        <w:rPr>
          <w:rFonts w:cs="Arial"/>
          <w:sz w:val="24"/>
          <w:szCs w:val="24"/>
        </w:rPr>
        <w:t xml:space="preserve">) as three instruments </w:t>
      </w:r>
      <w:r w:rsidR="00E00CFB">
        <w:rPr>
          <w:rFonts w:cs="Arial"/>
          <w:sz w:val="24"/>
          <w:szCs w:val="24"/>
        </w:rPr>
        <w:t xml:space="preserve">in the Education portfolio </w:t>
      </w:r>
      <w:r w:rsidR="004650DD" w:rsidRPr="00B1539A">
        <w:rPr>
          <w:rFonts w:cs="Arial"/>
          <w:sz w:val="24"/>
          <w:szCs w:val="24"/>
        </w:rPr>
        <w:t xml:space="preserve">that go to </w:t>
      </w:r>
      <w:r w:rsidR="004E2C1C" w:rsidRPr="00B1539A">
        <w:rPr>
          <w:rFonts w:cs="Arial"/>
          <w:sz w:val="24"/>
          <w:szCs w:val="24"/>
        </w:rPr>
        <w:t>the</w:t>
      </w:r>
      <w:r w:rsidR="009950E8">
        <w:rPr>
          <w:rFonts w:cs="Arial"/>
          <w:sz w:val="24"/>
          <w:szCs w:val="24"/>
        </w:rPr>
        <w:t xml:space="preserve"> consideration of</w:t>
      </w:r>
      <w:r w:rsidR="004E2C1C" w:rsidRPr="00B1539A">
        <w:rPr>
          <w:rFonts w:cs="Arial"/>
          <w:sz w:val="24"/>
          <w:szCs w:val="24"/>
        </w:rPr>
        <w:t xml:space="preserve"> </w:t>
      </w:r>
      <w:r w:rsidR="004650DD" w:rsidRPr="00B1539A">
        <w:rPr>
          <w:rFonts w:cs="Arial"/>
          <w:sz w:val="24"/>
          <w:szCs w:val="24"/>
        </w:rPr>
        <w:t>fitness and propriety</w:t>
      </w:r>
      <w:r w:rsidR="009950E8">
        <w:rPr>
          <w:rFonts w:cs="Arial"/>
          <w:sz w:val="24"/>
          <w:szCs w:val="24"/>
        </w:rPr>
        <w:t xml:space="preserve"> of </w:t>
      </w:r>
      <w:r w:rsidR="00E00CFB">
        <w:rPr>
          <w:rFonts w:cs="Arial"/>
          <w:sz w:val="24"/>
          <w:szCs w:val="24"/>
        </w:rPr>
        <w:t xml:space="preserve">education </w:t>
      </w:r>
      <w:r w:rsidR="009950E8">
        <w:rPr>
          <w:rFonts w:cs="Arial"/>
          <w:sz w:val="24"/>
          <w:szCs w:val="24"/>
        </w:rPr>
        <w:t>providers</w:t>
      </w:r>
      <w:r w:rsidR="00412C84">
        <w:rPr>
          <w:rFonts w:cs="Arial"/>
          <w:sz w:val="24"/>
          <w:szCs w:val="24"/>
        </w:rPr>
        <w:t xml:space="preserve"> and associated persons</w:t>
      </w:r>
      <w:r w:rsidR="004650DD" w:rsidRPr="00B1539A">
        <w:rPr>
          <w:rFonts w:cs="Arial"/>
          <w:sz w:val="24"/>
          <w:szCs w:val="24"/>
        </w:rPr>
        <w:t xml:space="preserve">. </w:t>
      </w:r>
    </w:p>
    <w:p w14:paraId="1B1A8A4F" w14:textId="29DEF62E" w:rsidR="00602A33" w:rsidRPr="00B1539A" w:rsidRDefault="00602A33" w:rsidP="00B1539A">
      <w:pPr>
        <w:numPr>
          <w:ilvl w:val="0"/>
          <w:numId w:val="19"/>
        </w:numPr>
        <w:autoSpaceDE w:val="0"/>
        <w:autoSpaceDN w:val="0"/>
        <w:adjustRightInd w:val="0"/>
        <w:spacing w:after="160"/>
        <w:rPr>
          <w:rFonts w:cs="Arial"/>
          <w:sz w:val="24"/>
          <w:szCs w:val="24"/>
        </w:rPr>
      </w:pPr>
      <w:r w:rsidRPr="00B1539A">
        <w:rPr>
          <w:rFonts w:cs="Arial"/>
          <w:sz w:val="24"/>
          <w:szCs w:val="24"/>
        </w:rPr>
        <w:t xml:space="preserve">Schedule 3 of the </w:t>
      </w:r>
      <w:r w:rsidR="00A576F5" w:rsidRPr="00E64F9F">
        <w:rPr>
          <w:rFonts w:cs="Arial"/>
          <w:sz w:val="24"/>
          <w:szCs w:val="24"/>
        </w:rPr>
        <w:t>RTO Standards</w:t>
      </w:r>
      <w:r w:rsidR="004650DD" w:rsidRPr="00E64F9F">
        <w:rPr>
          <w:rFonts w:cs="Arial"/>
          <w:sz w:val="24"/>
          <w:szCs w:val="24"/>
        </w:rPr>
        <w:t xml:space="preserve"> </w:t>
      </w:r>
      <w:r w:rsidR="00A576F5" w:rsidRPr="00E64F9F">
        <w:rPr>
          <w:rFonts w:cs="Arial"/>
          <w:sz w:val="24"/>
          <w:szCs w:val="24"/>
        </w:rPr>
        <w:t>sets out the matters</w:t>
      </w:r>
      <w:r w:rsidR="00412C84">
        <w:rPr>
          <w:rFonts w:cs="Arial"/>
          <w:sz w:val="24"/>
          <w:szCs w:val="24"/>
        </w:rPr>
        <w:t xml:space="preserve"> the National </w:t>
      </w:r>
      <w:r w:rsidR="00A63ECD">
        <w:rPr>
          <w:rFonts w:cs="Arial"/>
          <w:sz w:val="24"/>
          <w:szCs w:val="24"/>
        </w:rPr>
        <w:t xml:space="preserve">VET Regulator (the Australian </w:t>
      </w:r>
      <w:r w:rsidR="00B13AFB">
        <w:rPr>
          <w:rFonts w:cs="Arial"/>
          <w:sz w:val="24"/>
          <w:szCs w:val="24"/>
        </w:rPr>
        <w:t>Skills Quality Authority</w:t>
      </w:r>
      <w:r w:rsidR="00FB65BF">
        <w:rPr>
          <w:rFonts w:cs="Arial"/>
          <w:sz w:val="24"/>
          <w:szCs w:val="24"/>
        </w:rPr>
        <w:t xml:space="preserve"> or ASQA</w:t>
      </w:r>
      <w:r w:rsidR="00B13AFB">
        <w:rPr>
          <w:rFonts w:cs="Arial"/>
          <w:sz w:val="24"/>
          <w:szCs w:val="24"/>
        </w:rPr>
        <w:t xml:space="preserve">) </w:t>
      </w:r>
      <w:r w:rsidR="00A576F5" w:rsidRPr="00B1539A">
        <w:rPr>
          <w:rFonts w:cs="Arial"/>
          <w:sz w:val="24"/>
          <w:szCs w:val="24"/>
        </w:rPr>
        <w:t xml:space="preserve">may have regard to when </w:t>
      </w:r>
      <w:r w:rsidRPr="00B1539A">
        <w:rPr>
          <w:rFonts w:cs="Arial"/>
          <w:sz w:val="24"/>
          <w:szCs w:val="24"/>
        </w:rPr>
        <w:t>determining whether persons are fit and proper</w:t>
      </w:r>
      <w:r w:rsidR="00402C6E">
        <w:rPr>
          <w:rFonts w:cs="Arial"/>
          <w:sz w:val="24"/>
          <w:szCs w:val="24"/>
        </w:rPr>
        <w:t>,</w:t>
      </w:r>
      <w:r w:rsidRPr="00B1539A">
        <w:rPr>
          <w:rFonts w:cs="Arial"/>
          <w:sz w:val="24"/>
          <w:szCs w:val="24"/>
        </w:rPr>
        <w:t xml:space="preserve"> </w:t>
      </w:r>
      <w:r w:rsidR="00283F54" w:rsidRPr="00B1539A">
        <w:rPr>
          <w:rFonts w:cs="Arial"/>
          <w:sz w:val="24"/>
          <w:szCs w:val="24"/>
        </w:rPr>
        <w:t>in the context of making decisions regarding applications for registration</w:t>
      </w:r>
      <w:r w:rsidR="0016140C" w:rsidRPr="00B1539A">
        <w:rPr>
          <w:rFonts w:cs="Arial"/>
          <w:sz w:val="24"/>
          <w:szCs w:val="24"/>
        </w:rPr>
        <w:t xml:space="preserve">, </w:t>
      </w:r>
      <w:r w:rsidR="004650DD" w:rsidRPr="00B1539A">
        <w:rPr>
          <w:rFonts w:cs="Arial"/>
          <w:sz w:val="24"/>
          <w:szCs w:val="24"/>
        </w:rPr>
        <w:t xml:space="preserve">applications for </w:t>
      </w:r>
      <w:r w:rsidRPr="00B1539A">
        <w:rPr>
          <w:rFonts w:cs="Arial"/>
          <w:sz w:val="24"/>
          <w:szCs w:val="24"/>
        </w:rPr>
        <w:t>renewing registration</w:t>
      </w:r>
      <w:r w:rsidR="0016140C" w:rsidRPr="00B1539A">
        <w:rPr>
          <w:rFonts w:cs="Arial"/>
          <w:sz w:val="24"/>
          <w:szCs w:val="24"/>
        </w:rPr>
        <w:t xml:space="preserve"> and </w:t>
      </w:r>
      <w:r w:rsidR="004650DD" w:rsidRPr="00B1539A">
        <w:rPr>
          <w:rFonts w:cs="Arial"/>
          <w:sz w:val="24"/>
          <w:szCs w:val="24"/>
        </w:rPr>
        <w:t>maintenance of</w:t>
      </w:r>
      <w:r w:rsidRPr="00B1539A">
        <w:rPr>
          <w:rFonts w:cs="Arial"/>
          <w:sz w:val="24"/>
          <w:szCs w:val="24"/>
        </w:rPr>
        <w:t xml:space="preserve"> registration under the</w:t>
      </w:r>
      <w:r w:rsidR="00A576F5" w:rsidRPr="00B1539A">
        <w:rPr>
          <w:rFonts w:cs="Arial"/>
          <w:sz w:val="24"/>
          <w:szCs w:val="24"/>
        </w:rPr>
        <w:t xml:space="preserve"> </w:t>
      </w:r>
      <w:r w:rsidR="004650DD" w:rsidRPr="00B1539A">
        <w:rPr>
          <w:rFonts w:cs="Arial"/>
          <w:i/>
          <w:iCs/>
          <w:sz w:val="24"/>
          <w:szCs w:val="24"/>
        </w:rPr>
        <w:t xml:space="preserve">National Vocational Education and Training Regulator Act 2011 </w:t>
      </w:r>
      <w:r w:rsidR="004650DD" w:rsidRPr="00B1539A">
        <w:rPr>
          <w:rFonts w:cs="Arial"/>
          <w:sz w:val="24"/>
          <w:szCs w:val="24"/>
        </w:rPr>
        <w:t>(NVETR Act)</w:t>
      </w:r>
      <w:r w:rsidRPr="00B1539A">
        <w:rPr>
          <w:rFonts w:cs="Arial"/>
          <w:sz w:val="24"/>
          <w:szCs w:val="24"/>
        </w:rPr>
        <w:t>.</w:t>
      </w:r>
    </w:p>
    <w:p w14:paraId="6438B910" w14:textId="559D2B11" w:rsidR="00602A33" w:rsidRPr="00B1539A" w:rsidRDefault="00A576F5" w:rsidP="00B1539A">
      <w:pPr>
        <w:numPr>
          <w:ilvl w:val="0"/>
          <w:numId w:val="19"/>
        </w:numPr>
        <w:autoSpaceDE w:val="0"/>
        <w:autoSpaceDN w:val="0"/>
        <w:adjustRightInd w:val="0"/>
        <w:spacing w:after="160"/>
        <w:rPr>
          <w:rFonts w:cs="Arial"/>
          <w:sz w:val="24"/>
          <w:szCs w:val="24"/>
        </w:rPr>
      </w:pPr>
      <w:r w:rsidRPr="00E64F9F">
        <w:rPr>
          <w:rFonts w:cs="Arial"/>
          <w:sz w:val="24"/>
          <w:szCs w:val="24"/>
        </w:rPr>
        <w:t>the HES Instrument</w:t>
      </w:r>
      <w:r w:rsidRPr="00B1539A">
        <w:rPr>
          <w:rFonts w:cs="Arial"/>
          <w:sz w:val="24"/>
          <w:szCs w:val="24"/>
        </w:rPr>
        <w:t xml:space="preserve"> </w:t>
      </w:r>
      <w:r w:rsidR="00602A33" w:rsidRPr="00B1539A">
        <w:rPr>
          <w:rFonts w:cs="Arial"/>
          <w:sz w:val="24"/>
          <w:szCs w:val="24"/>
        </w:rPr>
        <w:t xml:space="preserve">sets out the fit and proper person requirements the Minister </w:t>
      </w:r>
      <w:r w:rsidR="00032F8C">
        <w:rPr>
          <w:rFonts w:cs="Arial"/>
          <w:sz w:val="24"/>
          <w:szCs w:val="24"/>
        </w:rPr>
        <w:t xml:space="preserve">for Education </w:t>
      </w:r>
      <w:r w:rsidR="00F1042A" w:rsidRPr="00B1539A">
        <w:rPr>
          <w:rFonts w:cs="Arial"/>
          <w:sz w:val="24"/>
          <w:szCs w:val="24"/>
        </w:rPr>
        <w:t xml:space="preserve">must take account when </w:t>
      </w:r>
      <w:r w:rsidR="0016140C" w:rsidRPr="00B1539A">
        <w:rPr>
          <w:rFonts w:cs="Arial"/>
          <w:sz w:val="24"/>
          <w:szCs w:val="24"/>
        </w:rPr>
        <w:t>determining</w:t>
      </w:r>
      <w:r w:rsidR="00F1042A" w:rsidRPr="00B1539A">
        <w:rPr>
          <w:rFonts w:cs="Arial"/>
          <w:sz w:val="24"/>
          <w:szCs w:val="24"/>
        </w:rPr>
        <w:t xml:space="preserve"> whether </w:t>
      </w:r>
      <w:proofErr w:type="gramStart"/>
      <w:r w:rsidRPr="00B1539A">
        <w:rPr>
          <w:rFonts w:cs="Arial"/>
          <w:sz w:val="24"/>
          <w:szCs w:val="24"/>
        </w:rPr>
        <w:t>particular persons</w:t>
      </w:r>
      <w:proofErr w:type="gramEnd"/>
      <w:r w:rsidRPr="00B1539A">
        <w:rPr>
          <w:rFonts w:cs="Arial"/>
          <w:sz w:val="24"/>
          <w:szCs w:val="24"/>
        </w:rPr>
        <w:t xml:space="preserve"> are fit and proper in the </w:t>
      </w:r>
      <w:r w:rsidR="0016140C" w:rsidRPr="00B1539A">
        <w:rPr>
          <w:rFonts w:cs="Arial"/>
          <w:sz w:val="24"/>
          <w:szCs w:val="24"/>
        </w:rPr>
        <w:t xml:space="preserve">context </w:t>
      </w:r>
      <w:r w:rsidR="00F1042A" w:rsidRPr="00B1539A">
        <w:rPr>
          <w:rFonts w:cs="Arial"/>
          <w:sz w:val="24"/>
          <w:szCs w:val="24"/>
        </w:rPr>
        <w:t>of making a decision about whether t</w:t>
      </w:r>
      <w:r w:rsidR="0016140C" w:rsidRPr="00B1539A">
        <w:rPr>
          <w:rFonts w:cs="Arial"/>
          <w:sz w:val="24"/>
          <w:szCs w:val="24"/>
        </w:rPr>
        <w:t xml:space="preserve">o </w:t>
      </w:r>
      <w:r w:rsidR="00F1042A" w:rsidRPr="00B1539A">
        <w:rPr>
          <w:rFonts w:cs="Arial"/>
          <w:sz w:val="24"/>
          <w:szCs w:val="24"/>
        </w:rPr>
        <w:t xml:space="preserve">approve </w:t>
      </w:r>
      <w:r w:rsidR="0016140C" w:rsidRPr="00B1539A">
        <w:rPr>
          <w:rFonts w:cs="Arial"/>
          <w:sz w:val="24"/>
          <w:szCs w:val="24"/>
        </w:rPr>
        <w:t>a</w:t>
      </w:r>
      <w:r w:rsidR="00F1042A" w:rsidRPr="00B1539A">
        <w:rPr>
          <w:rFonts w:cs="Arial"/>
          <w:sz w:val="24"/>
          <w:szCs w:val="24"/>
        </w:rPr>
        <w:t xml:space="preserve"> body corporate as </w:t>
      </w:r>
      <w:r w:rsidR="0016140C" w:rsidRPr="00B1539A">
        <w:rPr>
          <w:rFonts w:cs="Arial"/>
          <w:sz w:val="24"/>
          <w:szCs w:val="24"/>
        </w:rPr>
        <w:t xml:space="preserve">a </w:t>
      </w:r>
      <w:r w:rsidR="00F1042A" w:rsidRPr="00B1539A">
        <w:rPr>
          <w:rFonts w:cs="Arial"/>
          <w:sz w:val="24"/>
          <w:szCs w:val="24"/>
        </w:rPr>
        <w:t>higher education provider</w:t>
      </w:r>
      <w:r w:rsidR="0016140C" w:rsidRPr="00B1539A">
        <w:rPr>
          <w:rFonts w:cs="Arial"/>
          <w:sz w:val="24"/>
          <w:szCs w:val="24"/>
        </w:rPr>
        <w:t xml:space="preserve"> or</w:t>
      </w:r>
      <w:r w:rsidR="00F1042A" w:rsidRPr="00B1539A">
        <w:rPr>
          <w:rFonts w:cs="Arial"/>
          <w:sz w:val="24"/>
          <w:szCs w:val="24"/>
        </w:rPr>
        <w:t xml:space="preserve"> </w:t>
      </w:r>
      <w:r w:rsidR="0016140C" w:rsidRPr="00B1539A">
        <w:rPr>
          <w:rFonts w:cs="Arial"/>
          <w:sz w:val="24"/>
          <w:szCs w:val="24"/>
        </w:rPr>
        <w:t xml:space="preserve">approve a body as a VET provider </w:t>
      </w:r>
      <w:r w:rsidR="00F1042A" w:rsidRPr="00B1539A">
        <w:rPr>
          <w:rFonts w:cs="Arial"/>
          <w:sz w:val="24"/>
          <w:szCs w:val="24"/>
        </w:rPr>
        <w:t>under the</w:t>
      </w:r>
      <w:r w:rsidRPr="00B1539A">
        <w:rPr>
          <w:rFonts w:cs="Arial"/>
          <w:sz w:val="24"/>
          <w:szCs w:val="24"/>
        </w:rPr>
        <w:t xml:space="preserve"> </w:t>
      </w:r>
      <w:r w:rsidR="004650DD" w:rsidRPr="00B1539A">
        <w:rPr>
          <w:rFonts w:cs="Arial"/>
          <w:i/>
          <w:iCs/>
          <w:sz w:val="24"/>
          <w:szCs w:val="24"/>
        </w:rPr>
        <w:t xml:space="preserve">Higher Education Support Act 2003 </w:t>
      </w:r>
      <w:r w:rsidR="004650DD" w:rsidRPr="00B1539A">
        <w:rPr>
          <w:rFonts w:cs="Arial"/>
          <w:sz w:val="24"/>
          <w:szCs w:val="24"/>
        </w:rPr>
        <w:t>(HES Act)</w:t>
      </w:r>
      <w:r w:rsidRPr="00B1539A">
        <w:rPr>
          <w:rFonts w:cs="Arial"/>
          <w:sz w:val="24"/>
          <w:szCs w:val="24"/>
        </w:rPr>
        <w:t xml:space="preserve">. </w:t>
      </w:r>
    </w:p>
    <w:p w14:paraId="6F2075C6" w14:textId="77777777" w:rsidR="004650DD" w:rsidRPr="00B1539A" w:rsidRDefault="004E2C1C" w:rsidP="00B1539A">
      <w:pPr>
        <w:autoSpaceDE w:val="0"/>
        <w:autoSpaceDN w:val="0"/>
        <w:adjustRightInd w:val="0"/>
        <w:spacing w:after="160"/>
        <w:rPr>
          <w:rFonts w:cs="Arial"/>
          <w:sz w:val="24"/>
          <w:szCs w:val="24"/>
        </w:rPr>
      </w:pPr>
      <w:r w:rsidRPr="00B1539A">
        <w:rPr>
          <w:rFonts w:cs="Arial"/>
          <w:sz w:val="24"/>
          <w:szCs w:val="24"/>
        </w:rPr>
        <w:t>The objects of the Act, set out in section 3, include protecting and enhancing Australia’s reputation for quality higher education and, protecting students undertaking higher education. The amendments to the FPP Determination support these objectives by</w:t>
      </w:r>
      <w:r w:rsidR="004650DD" w:rsidRPr="00B1539A">
        <w:rPr>
          <w:rFonts w:cs="Arial"/>
          <w:sz w:val="24"/>
          <w:szCs w:val="24"/>
        </w:rPr>
        <w:t>:</w:t>
      </w:r>
    </w:p>
    <w:p w14:paraId="4B531A66" w14:textId="3C70CF7D" w:rsidR="004650DD" w:rsidRPr="00B1539A" w:rsidRDefault="004650DD" w:rsidP="00B1539A">
      <w:pPr>
        <w:numPr>
          <w:ilvl w:val="0"/>
          <w:numId w:val="19"/>
        </w:numPr>
        <w:autoSpaceDE w:val="0"/>
        <w:autoSpaceDN w:val="0"/>
        <w:adjustRightInd w:val="0"/>
        <w:spacing w:after="160"/>
        <w:rPr>
          <w:rFonts w:cs="Arial"/>
          <w:sz w:val="24"/>
          <w:szCs w:val="24"/>
        </w:rPr>
      </w:pPr>
      <w:r w:rsidRPr="00B1539A">
        <w:rPr>
          <w:rFonts w:cs="Arial"/>
          <w:sz w:val="24"/>
          <w:szCs w:val="24"/>
        </w:rPr>
        <w:t>impos</w:t>
      </w:r>
      <w:r w:rsidR="004E2C1C" w:rsidRPr="00B1539A">
        <w:rPr>
          <w:rFonts w:cs="Arial"/>
          <w:sz w:val="24"/>
          <w:szCs w:val="24"/>
        </w:rPr>
        <w:t>ing</w:t>
      </w:r>
      <w:r w:rsidRPr="00B1539A">
        <w:rPr>
          <w:rFonts w:cs="Arial"/>
          <w:sz w:val="24"/>
          <w:szCs w:val="24"/>
        </w:rPr>
        <w:t xml:space="preserve"> more appropriately stringent </w:t>
      </w:r>
      <w:r w:rsidR="00E64F9F">
        <w:rPr>
          <w:rFonts w:cs="Arial"/>
          <w:sz w:val="24"/>
          <w:szCs w:val="24"/>
        </w:rPr>
        <w:t xml:space="preserve">expectations </w:t>
      </w:r>
      <w:r w:rsidRPr="00B1539A">
        <w:rPr>
          <w:rFonts w:cs="Arial"/>
          <w:sz w:val="24"/>
          <w:szCs w:val="24"/>
        </w:rPr>
        <w:t xml:space="preserve">on persons participating in making important decisions at higher education providers, thereby strengthening the governance capability and </w:t>
      </w:r>
      <w:r w:rsidR="004E2C1C" w:rsidRPr="00B1539A">
        <w:rPr>
          <w:rFonts w:cs="Arial"/>
          <w:sz w:val="24"/>
          <w:szCs w:val="24"/>
        </w:rPr>
        <w:t xml:space="preserve">the </w:t>
      </w:r>
      <w:r w:rsidRPr="00B1539A">
        <w:rPr>
          <w:rFonts w:cs="Arial"/>
          <w:sz w:val="24"/>
          <w:szCs w:val="24"/>
        </w:rPr>
        <w:t xml:space="preserve">integrity of the higher education </w:t>
      </w:r>
      <w:r w:rsidR="00C86FB0" w:rsidRPr="00B1539A">
        <w:rPr>
          <w:rFonts w:cs="Arial"/>
          <w:sz w:val="24"/>
          <w:szCs w:val="24"/>
        </w:rPr>
        <w:t>providers.</w:t>
      </w:r>
    </w:p>
    <w:p w14:paraId="4E28A36E" w14:textId="6997034C" w:rsidR="004E2C1C" w:rsidRPr="00B1539A" w:rsidRDefault="004650DD" w:rsidP="004650DD">
      <w:pPr>
        <w:numPr>
          <w:ilvl w:val="0"/>
          <w:numId w:val="19"/>
        </w:numPr>
        <w:autoSpaceDE w:val="0"/>
        <w:autoSpaceDN w:val="0"/>
        <w:adjustRightInd w:val="0"/>
        <w:spacing w:after="160"/>
        <w:rPr>
          <w:rFonts w:cs="Arial"/>
          <w:sz w:val="24"/>
          <w:szCs w:val="24"/>
        </w:rPr>
      </w:pPr>
      <w:r w:rsidRPr="00B1539A">
        <w:rPr>
          <w:rFonts w:cs="Arial"/>
          <w:sz w:val="24"/>
          <w:szCs w:val="24"/>
        </w:rPr>
        <w:t>provid</w:t>
      </w:r>
      <w:r w:rsidR="004E2C1C" w:rsidRPr="00B1539A">
        <w:rPr>
          <w:rFonts w:cs="Arial"/>
          <w:sz w:val="24"/>
          <w:szCs w:val="24"/>
        </w:rPr>
        <w:t>ing</w:t>
      </w:r>
      <w:r w:rsidRPr="00B1539A">
        <w:rPr>
          <w:rFonts w:cs="Arial"/>
          <w:sz w:val="24"/>
          <w:szCs w:val="24"/>
        </w:rPr>
        <w:t xml:space="preserve"> the public with</w:t>
      </w:r>
      <w:r w:rsidR="004E2C1C" w:rsidRPr="00B1539A">
        <w:rPr>
          <w:rFonts w:cs="Arial"/>
          <w:sz w:val="24"/>
          <w:szCs w:val="24"/>
        </w:rPr>
        <w:t xml:space="preserve"> greater reason to have confidence in the persons charged with </w:t>
      </w:r>
      <w:r w:rsidR="00FB65BF">
        <w:rPr>
          <w:rFonts w:cs="Arial"/>
          <w:sz w:val="24"/>
          <w:szCs w:val="24"/>
        </w:rPr>
        <w:t>operating</w:t>
      </w:r>
      <w:r w:rsidR="00FB65BF" w:rsidRPr="00B1539A">
        <w:rPr>
          <w:rFonts w:cs="Arial"/>
          <w:sz w:val="24"/>
          <w:szCs w:val="24"/>
        </w:rPr>
        <w:t xml:space="preserve"> </w:t>
      </w:r>
      <w:r w:rsidR="004E2C1C" w:rsidRPr="00B1539A">
        <w:rPr>
          <w:rFonts w:cs="Arial"/>
          <w:sz w:val="24"/>
          <w:szCs w:val="24"/>
        </w:rPr>
        <w:t xml:space="preserve">higher education providers; </w:t>
      </w:r>
      <w:r w:rsidR="000F5B80" w:rsidRPr="00B1539A">
        <w:rPr>
          <w:rFonts w:cs="Arial"/>
          <w:sz w:val="24"/>
          <w:szCs w:val="24"/>
        </w:rPr>
        <w:t>and</w:t>
      </w:r>
    </w:p>
    <w:p w14:paraId="08128DC7" w14:textId="77777777" w:rsidR="006759F7" w:rsidRPr="00B1539A" w:rsidRDefault="004E2C1C" w:rsidP="00B1539A">
      <w:pPr>
        <w:numPr>
          <w:ilvl w:val="0"/>
          <w:numId w:val="19"/>
        </w:numPr>
        <w:autoSpaceDE w:val="0"/>
        <w:autoSpaceDN w:val="0"/>
        <w:adjustRightInd w:val="0"/>
        <w:spacing w:after="160"/>
        <w:rPr>
          <w:rFonts w:cs="Arial"/>
          <w:sz w:val="24"/>
          <w:szCs w:val="24"/>
        </w:rPr>
      </w:pPr>
      <w:r w:rsidRPr="00B1539A">
        <w:rPr>
          <w:rFonts w:cs="Arial"/>
          <w:sz w:val="24"/>
          <w:szCs w:val="24"/>
        </w:rPr>
        <w:t xml:space="preserve">mitigating </w:t>
      </w:r>
      <w:r w:rsidR="004650DD" w:rsidRPr="00B1539A">
        <w:rPr>
          <w:rFonts w:cs="Arial"/>
          <w:sz w:val="24"/>
          <w:szCs w:val="24"/>
        </w:rPr>
        <w:t xml:space="preserve">the risk of poor corporate </w:t>
      </w:r>
      <w:r w:rsidRPr="00B1539A">
        <w:rPr>
          <w:rFonts w:cs="Arial"/>
          <w:sz w:val="24"/>
          <w:szCs w:val="24"/>
        </w:rPr>
        <w:t xml:space="preserve">leadership and </w:t>
      </w:r>
      <w:r w:rsidR="004650DD" w:rsidRPr="00B1539A">
        <w:rPr>
          <w:rFonts w:cs="Arial"/>
          <w:sz w:val="24"/>
          <w:szCs w:val="24"/>
        </w:rPr>
        <w:t>governance leading to</w:t>
      </w:r>
      <w:r w:rsidRPr="00B1539A">
        <w:rPr>
          <w:rFonts w:cs="Arial"/>
          <w:sz w:val="24"/>
          <w:szCs w:val="24"/>
        </w:rPr>
        <w:t xml:space="preserve"> inadequate higher education or, </w:t>
      </w:r>
      <w:r w:rsidR="004650DD" w:rsidRPr="00B1539A">
        <w:rPr>
          <w:rFonts w:cs="Arial"/>
          <w:sz w:val="24"/>
          <w:szCs w:val="24"/>
        </w:rPr>
        <w:t xml:space="preserve">the </w:t>
      </w:r>
      <w:r w:rsidRPr="00B1539A">
        <w:rPr>
          <w:rFonts w:cs="Arial"/>
          <w:sz w:val="24"/>
          <w:szCs w:val="24"/>
        </w:rPr>
        <w:t xml:space="preserve">potential </w:t>
      </w:r>
      <w:r w:rsidR="004650DD" w:rsidRPr="00B1539A">
        <w:rPr>
          <w:rFonts w:cs="Arial"/>
          <w:sz w:val="24"/>
          <w:szCs w:val="24"/>
        </w:rPr>
        <w:t>collapse of</w:t>
      </w:r>
      <w:r w:rsidRPr="00B1539A">
        <w:rPr>
          <w:rFonts w:cs="Arial"/>
          <w:sz w:val="24"/>
          <w:szCs w:val="24"/>
        </w:rPr>
        <w:t xml:space="preserve"> higher education</w:t>
      </w:r>
      <w:r w:rsidR="000F5B80" w:rsidRPr="00B1539A">
        <w:rPr>
          <w:rFonts w:cs="Arial"/>
          <w:sz w:val="24"/>
          <w:szCs w:val="24"/>
        </w:rPr>
        <w:t xml:space="preserve"> providers.</w:t>
      </w:r>
      <w:r w:rsidRPr="00B1539A">
        <w:rPr>
          <w:rFonts w:cs="Arial"/>
          <w:sz w:val="24"/>
          <w:szCs w:val="24"/>
        </w:rPr>
        <w:t xml:space="preserve"> </w:t>
      </w:r>
    </w:p>
    <w:p w14:paraId="4AD5C477" w14:textId="77777777" w:rsidR="001D2D9F" w:rsidRPr="00B1539A" w:rsidRDefault="001D2D9F" w:rsidP="00E90512">
      <w:pPr>
        <w:keepNext/>
        <w:spacing w:before="40" w:after="40"/>
        <w:rPr>
          <w:rFonts w:cs="Arial"/>
          <w:b/>
          <w:color w:val="000000"/>
          <w:sz w:val="24"/>
          <w:szCs w:val="24"/>
          <w:u w:val="single"/>
        </w:rPr>
      </w:pPr>
    </w:p>
    <w:p w14:paraId="05DED36A" w14:textId="77777777" w:rsidR="00BB2FC3" w:rsidRPr="00B1539A" w:rsidRDefault="00BB2FC3" w:rsidP="00E90512">
      <w:pPr>
        <w:keepNext/>
        <w:spacing w:before="40" w:after="40"/>
        <w:rPr>
          <w:rFonts w:cs="Arial"/>
          <w:b/>
          <w:color w:val="000000"/>
          <w:sz w:val="24"/>
          <w:szCs w:val="24"/>
          <w:u w:val="single"/>
        </w:rPr>
      </w:pPr>
      <w:r w:rsidRPr="00B1539A">
        <w:rPr>
          <w:rFonts w:cs="Arial"/>
          <w:b/>
          <w:color w:val="000000"/>
          <w:sz w:val="24"/>
          <w:szCs w:val="24"/>
          <w:u w:val="single"/>
        </w:rPr>
        <w:t>Consultation</w:t>
      </w:r>
    </w:p>
    <w:p w14:paraId="5061363D" w14:textId="77777777" w:rsidR="00BB2FC3" w:rsidRPr="00B1539A" w:rsidRDefault="00BB2FC3" w:rsidP="00E90512">
      <w:pPr>
        <w:keepNext/>
        <w:spacing w:before="40" w:after="40"/>
        <w:rPr>
          <w:rFonts w:cs="Arial"/>
          <w:b/>
          <w:color w:val="000000"/>
          <w:sz w:val="24"/>
          <w:szCs w:val="24"/>
          <w:u w:val="single"/>
        </w:rPr>
      </w:pPr>
    </w:p>
    <w:p w14:paraId="3C6AACDC" w14:textId="61666A7A" w:rsidR="001D2D9F" w:rsidRPr="00B1539A" w:rsidRDefault="001D2D9F" w:rsidP="00B1539A">
      <w:pPr>
        <w:autoSpaceDE w:val="0"/>
        <w:autoSpaceDN w:val="0"/>
        <w:adjustRightInd w:val="0"/>
        <w:spacing w:after="160"/>
        <w:rPr>
          <w:rFonts w:cs="Arial"/>
          <w:sz w:val="24"/>
          <w:szCs w:val="24"/>
        </w:rPr>
      </w:pPr>
      <w:bookmarkStart w:id="0" w:name="_Hlk183687907"/>
      <w:r w:rsidRPr="00B1539A">
        <w:rPr>
          <w:rFonts w:cs="Arial"/>
          <w:sz w:val="24"/>
          <w:szCs w:val="24"/>
        </w:rPr>
        <w:t xml:space="preserve">TEQSA consulted with ASQA and the Department of Education in late 2023 in relation to the proposed amendments to the FPP Determination. TEQSA ran a public consultation on the proposed amendments from 17 April – 20 May 2024, receiving six submissions from higher education providers and one from a peak body. </w:t>
      </w:r>
    </w:p>
    <w:p w14:paraId="63764092" w14:textId="310FAB6E" w:rsidR="001D2D9F" w:rsidRPr="00B1539A" w:rsidRDefault="001D2D9F" w:rsidP="00B1539A">
      <w:pPr>
        <w:autoSpaceDE w:val="0"/>
        <w:autoSpaceDN w:val="0"/>
        <w:adjustRightInd w:val="0"/>
        <w:spacing w:after="160"/>
        <w:rPr>
          <w:rFonts w:cs="Arial"/>
          <w:sz w:val="24"/>
          <w:szCs w:val="24"/>
        </w:rPr>
      </w:pPr>
      <w:r w:rsidRPr="00B1539A">
        <w:rPr>
          <w:rFonts w:cs="Arial"/>
          <w:sz w:val="24"/>
          <w:szCs w:val="24"/>
        </w:rPr>
        <w:t xml:space="preserve">The submissions were generally supportive of the proposed amendments, but concerns were raised about the addition of the public confidence </w:t>
      </w:r>
      <w:r w:rsidR="005E392B">
        <w:rPr>
          <w:rFonts w:cs="Arial"/>
          <w:sz w:val="24"/>
          <w:szCs w:val="24"/>
        </w:rPr>
        <w:t>consideration</w:t>
      </w:r>
      <w:r w:rsidRPr="00B1539A">
        <w:rPr>
          <w:rFonts w:cs="Arial"/>
          <w:sz w:val="24"/>
          <w:szCs w:val="24"/>
        </w:rPr>
        <w:t>. The concerns can be summarised broadly as:</w:t>
      </w:r>
    </w:p>
    <w:p w14:paraId="4A981A46" w14:textId="41305E06" w:rsidR="001D2D9F" w:rsidRPr="00B1539A" w:rsidRDefault="001D2D9F" w:rsidP="00B1539A">
      <w:pPr>
        <w:numPr>
          <w:ilvl w:val="0"/>
          <w:numId w:val="23"/>
        </w:numPr>
        <w:autoSpaceDE w:val="0"/>
        <w:autoSpaceDN w:val="0"/>
        <w:adjustRightInd w:val="0"/>
        <w:spacing w:after="160"/>
        <w:rPr>
          <w:rFonts w:cs="Arial"/>
          <w:sz w:val="24"/>
          <w:szCs w:val="24"/>
        </w:rPr>
      </w:pPr>
      <w:r w:rsidRPr="00B1539A">
        <w:rPr>
          <w:rFonts w:cs="Arial"/>
          <w:sz w:val="24"/>
          <w:szCs w:val="24"/>
        </w:rPr>
        <w:t xml:space="preserve">concerns </w:t>
      </w:r>
      <w:r w:rsidR="001E7038">
        <w:rPr>
          <w:rFonts w:cs="Arial"/>
          <w:sz w:val="24"/>
          <w:szCs w:val="24"/>
        </w:rPr>
        <w:t>about</w:t>
      </w:r>
      <w:r w:rsidR="001E7038" w:rsidRPr="00B1539A">
        <w:rPr>
          <w:rFonts w:cs="Arial"/>
          <w:sz w:val="24"/>
          <w:szCs w:val="24"/>
        </w:rPr>
        <w:t xml:space="preserve"> </w:t>
      </w:r>
      <w:r w:rsidRPr="00B1539A">
        <w:rPr>
          <w:rFonts w:cs="Arial"/>
          <w:sz w:val="24"/>
          <w:szCs w:val="24"/>
        </w:rPr>
        <w:t>inappropriate subjective assessments or processes (possibly affected by bias or ‘unsound perceptions’) informing whether TEQSA is satisfied of a person’s fitness and propriety; and</w:t>
      </w:r>
    </w:p>
    <w:p w14:paraId="4834C539" w14:textId="649D9365" w:rsidR="001D2D9F" w:rsidRPr="00B1539A" w:rsidRDefault="001D2D9F" w:rsidP="00B1539A">
      <w:pPr>
        <w:numPr>
          <w:ilvl w:val="0"/>
          <w:numId w:val="23"/>
        </w:numPr>
        <w:autoSpaceDE w:val="0"/>
        <w:autoSpaceDN w:val="0"/>
        <w:adjustRightInd w:val="0"/>
        <w:spacing w:after="160"/>
        <w:rPr>
          <w:rFonts w:cs="Arial"/>
          <w:sz w:val="24"/>
          <w:szCs w:val="24"/>
        </w:rPr>
      </w:pPr>
      <w:r w:rsidRPr="00B1539A">
        <w:rPr>
          <w:rFonts w:cs="Arial"/>
          <w:sz w:val="24"/>
          <w:szCs w:val="24"/>
        </w:rPr>
        <w:t>concerns about how TEQSA will acquire the information about the public’s confidence in a person and afford that person with procedural fairness</w:t>
      </w:r>
      <w:bookmarkEnd w:id="0"/>
      <w:r w:rsidR="007D4427">
        <w:rPr>
          <w:rFonts w:cs="Arial"/>
          <w:sz w:val="24"/>
          <w:szCs w:val="24"/>
        </w:rPr>
        <w:t>.</w:t>
      </w:r>
    </w:p>
    <w:p w14:paraId="407F2EF4" w14:textId="4D090D3A" w:rsidR="000F5B80" w:rsidRPr="00E64F9F" w:rsidRDefault="001D2D9F" w:rsidP="001D2D9F">
      <w:pPr>
        <w:rPr>
          <w:rFonts w:cs="Arial"/>
          <w:sz w:val="24"/>
          <w:szCs w:val="24"/>
        </w:rPr>
      </w:pPr>
      <w:r w:rsidRPr="00E64F9F">
        <w:rPr>
          <w:rFonts w:cs="Arial"/>
          <w:sz w:val="24"/>
          <w:szCs w:val="24"/>
        </w:rPr>
        <w:t xml:space="preserve">As noted above, the amendments </w:t>
      </w:r>
      <w:r w:rsidR="000F5B80" w:rsidRPr="00E64F9F">
        <w:rPr>
          <w:rFonts w:cs="Arial"/>
          <w:sz w:val="24"/>
          <w:szCs w:val="24"/>
        </w:rPr>
        <w:t xml:space="preserve">in the Instrument </w:t>
      </w:r>
      <w:r w:rsidRPr="00E64F9F">
        <w:rPr>
          <w:rFonts w:cs="Arial"/>
          <w:sz w:val="24"/>
          <w:szCs w:val="24"/>
        </w:rPr>
        <w:t>are intended to create greater alignment between the FPP Determination, the RTO Standards and the HES Instrument</w:t>
      </w:r>
      <w:r w:rsidR="003E2BB5">
        <w:rPr>
          <w:rFonts w:cs="Arial"/>
          <w:sz w:val="24"/>
          <w:szCs w:val="24"/>
        </w:rPr>
        <w:t xml:space="preserve">. In particular, the </w:t>
      </w:r>
      <w:r w:rsidR="005B0391">
        <w:rPr>
          <w:rFonts w:cs="Arial"/>
          <w:sz w:val="24"/>
          <w:szCs w:val="24"/>
        </w:rPr>
        <w:t xml:space="preserve">public confidence </w:t>
      </w:r>
      <w:r w:rsidR="005E392B">
        <w:rPr>
          <w:rFonts w:cs="Arial"/>
          <w:sz w:val="24"/>
          <w:szCs w:val="24"/>
        </w:rPr>
        <w:t>consideration</w:t>
      </w:r>
      <w:r w:rsidR="005B0391">
        <w:rPr>
          <w:rFonts w:cs="Arial"/>
          <w:sz w:val="24"/>
          <w:szCs w:val="24"/>
        </w:rPr>
        <w:t xml:space="preserve"> </w:t>
      </w:r>
      <w:r w:rsidRPr="00E64F9F">
        <w:rPr>
          <w:rFonts w:cs="Arial"/>
          <w:sz w:val="24"/>
          <w:szCs w:val="24"/>
        </w:rPr>
        <w:t xml:space="preserve">that will be added to the FPP </w:t>
      </w:r>
      <w:r w:rsidR="003E2BB5">
        <w:rPr>
          <w:rFonts w:cs="Arial"/>
          <w:sz w:val="24"/>
          <w:szCs w:val="24"/>
        </w:rPr>
        <w:t>Determination</w:t>
      </w:r>
      <w:r w:rsidR="003E2BB5" w:rsidRPr="00E64F9F">
        <w:rPr>
          <w:rFonts w:cs="Arial"/>
          <w:sz w:val="24"/>
          <w:szCs w:val="24"/>
        </w:rPr>
        <w:t xml:space="preserve"> </w:t>
      </w:r>
      <w:r w:rsidR="005E392B">
        <w:rPr>
          <w:rFonts w:cs="Arial"/>
          <w:sz w:val="24"/>
          <w:szCs w:val="24"/>
        </w:rPr>
        <w:t xml:space="preserve">is already included in the RTO </w:t>
      </w:r>
      <w:proofErr w:type="gramStart"/>
      <w:r w:rsidR="005E392B">
        <w:rPr>
          <w:rFonts w:cs="Arial"/>
          <w:sz w:val="24"/>
          <w:szCs w:val="24"/>
        </w:rPr>
        <w:t>Standards, and</w:t>
      </w:r>
      <w:proofErr w:type="gramEnd"/>
      <w:r w:rsidR="005E392B">
        <w:rPr>
          <w:rFonts w:cs="Arial"/>
          <w:sz w:val="24"/>
          <w:szCs w:val="24"/>
        </w:rPr>
        <w:t xml:space="preserve"> so is</w:t>
      </w:r>
      <w:r w:rsidR="000F5B80" w:rsidRPr="00E64F9F">
        <w:rPr>
          <w:rFonts w:cs="Arial"/>
          <w:sz w:val="24"/>
          <w:szCs w:val="24"/>
        </w:rPr>
        <w:t xml:space="preserve"> not novel</w:t>
      </w:r>
      <w:r w:rsidRPr="00E64F9F">
        <w:rPr>
          <w:rFonts w:cs="Arial"/>
          <w:sz w:val="24"/>
          <w:szCs w:val="24"/>
        </w:rPr>
        <w:t>.</w:t>
      </w:r>
    </w:p>
    <w:p w14:paraId="6A3926FF" w14:textId="77777777" w:rsidR="000F5B80" w:rsidRPr="00E64F9F" w:rsidRDefault="000F5B80" w:rsidP="001D2D9F">
      <w:pPr>
        <w:rPr>
          <w:rFonts w:cs="Arial"/>
          <w:sz w:val="24"/>
          <w:szCs w:val="24"/>
        </w:rPr>
      </w:pPr>
    </w:p>
    <w:p w14:paraId="2D99F51B" w14:textId="482A1B7E" w:rsidR="001D2D9F" w:rsidRPr="00E64F9F" w:rsidRDefault="001D2D9F" w:rsidP="001D2D9F">
      <w:pPr>
        <w:rPr>
          <w:rFonts w:cs="Arial"/>
          <w:sz w:val="24"/>
          <w:szCs w:val="24"/>
        </w:rPr>
      </w:pPr>
      <w:r w:rsidRPr="00E64F9F">
        <w:rPr>
          <w:rFonts w:cs="Arial"/>
          <w:sz w:val="24"/>
          <w:szCs w:val="24"/>
        </w:rPr>
        <w:t>Importantly,</w:t>
      </w:r>
      <w:r w:rsidR="00F50EDD">
        <w:rPr>
          <w:rFonts w:cs="Arial"/>
          <w:sz w:val="24"/>
          <w:szCs w:val="24"/>
        </w:rPr>
        <w:t xml:space="preserve"> where TEQSA has concerns about a</w:t>
      </w:r>
      <w:r w:rsidRPr="00E64F9F">
        <w:rPr>
          <w:rFonts w:cs="Arial"/>
          <w:sz w:val="24"/>
          <w:szCs w:val="24"/>
        </w:rPr>
        <w:t xml:space="preserve"> person</w:t>
      </w:r>
      <w:r w:rsidR="00F50EDD">
        <w:rPr>
          <w:rFonts w:cs="Arial"/>
          <w:sz w:val="24"/>
          <w:szCs w:val="24"/>
        </w:rPr>
        <w:t>’</w:t>
      </w:r>
      <w:r w:rsidRPr="00E64F9F">
        <w:rPr>
          <w:rFonts w:cs="Arial"/>
          <w:sz w:val="24"/>
          <w:szCs w:val="24"/>
        </w:rPr>
        <w:t>s fitness and propriety</w:t>
      </w:r>
      <w:r w:rsidR="00F50EDD">
        <w:rPr>
          <w:rFonts w:cs="Arial"/>
          <w:sz w:val="24"/>
          <w:szCs w:val="24"/>
        </w:rPr>
        <w:t xml:space="preserve">, TEQSA will always </w:t>
      </w:r>
      <w:r w:rsidR="00AD5310">
        <w:rPr>
          <w:rFonts w:cs="Arial"/>
          <w:sz w:val="24"/>
          <w:szCs w:val="24"/>
        </w:rPr>
        <w:t xml:space="preserve">afford procedural fairness and an opportunity </w:t>
      </w:r>
      <w:r w:rsidRPr="00E64F9F">
        <w:rPr>
          <w:rFonts w:cs="Arial"/>
          <w:sz w:val="24"/>
          <w:szCs w:val="24"/>
        </w:rPr>
        <w:t xml:space="preserve">to respond to any </w:t>
      </w:r>
      <w:r w:rsidR="00AD5310">
        <w:rPr>
          <w:rFonts w:cs="Arial"/>
          <w:sz w:val="24"/>
          <w:szCs w:val="24"/>
        </w:rPr>
        <w:t xml:space="preserve">relevant </w:t>
      </w:r>
      <w:r w:rsidRPr="00E64F9F">
        <w:rPr>
          <w:rFonts w:cs="Arial"/>
          <w:sz w:val="24"/>
          <w:szCs w:val="24"/>
        </w:rPr>
        <w:t>information</w:t>
      </w:r>
      <w:r w:rsidR="00AD5310">
        <w:rPr>
          <w:rFonts w:cs="Arial"/>
          <w:sz w:val="24"/>
          <w:szCs w:val="24"/>
        </w:rPr>
        <w:t>, including information that may indicate</w:t>
      </w:r>
      <w:r w:rsidR="001D2F9E">
        <w:rPr>
          <w:rFonts w:cs="Arial"/>
          <w:sz w:val="24"/>
          <w:szCs w:val="24"/>
        </w:rPr>
        <w:t xml:space="preserve"> that the public confidence consideration is relevant. </w:t>
      </w:r>
      <w:r w:rsidR="000F5B80" w:rsidRPr="00E64F9F">
        <w:rPr>
          <w:rFonts w:cs="Arial"/>
          <w:sz w:val="24"/>
          <w:szCs w:val="24"/>
        </w:rPr>
        <w:t xml:space="preserve">Further, TEQSA’s public guidance materials relating to fitness and propriety will be updated to provide appropriate information regarding how TEQSA will </w:t>
      </w:r>
      <w:r w:rsidR="00F47DFE">
        <w:rPr>
          <w:rFonts w:cs="Arial"/>
          <w:sz w:val="24"/>
          <w:szCs w:val="24"/>
        </w:rPr>
        <w:t>apply the public confidence consideration.</w:t>
      </w:r>
    </w:p>
    <w:p w14:paraId="065CD8F1" w14:textId="77777777" w:rsidR="00BB2FC3" w:rsidRPr="00B1539A" w:rsidRDefault="00BB2FC3" w:rsidP="00BB2FC3">
      <w:pPr>
        <w:rPr>
          <w:rFonts w:cs="Arial"/>
          <w:sz w:val="24"/>
          <w:szCs w:val="24"/>
        </w:rPr>
      </w:pPr>
    </w:p>
    <w:p w14:paraId="32FB37A5" w14:textId="77777777" w:rsidR="00BB2FC3" w:rsidRPr="00B1539A" w:rsidRDefault="00BB2FC3" w:rsidP="00BB2FC3">
      <w:pPr>
        <w:rPr>
          <w:rFonts w:cs="Arial"/>
          <w:sz w:val="24"/>
          <w:szCs w:val="24"/>
        </w:rPr>
      </w:pPr>
      <w:r w:rsidRPr="00B1539A">
        <w:rPr>
          <w:rFonts w:cs="Arial"/>
          <w:b/>
          <w:color w:val="000000"/>
          <w:sz w:val="24"/>
          <w:szCs w:val="24"/>
          <w:u w:val="single"/>
        </w:rPr>
        <w:t>Commencement</w:t>
      </w:r>
    </w:p>
    <w:p w14:paraId="6A928137" w14:textId="77777777" w:rsidR="00BB2FC3" w:rsidRPr="00B1539A" w:rsidRDefault="00BB2FC3" w:rsidP="00BB2FC3">
      <w:pPr>
        <w:spacing w:before="40" w:after="40"/>
        <w:rPr>
          <w:rFonts w:cs="Arial"/>
          <w:bCs/>
          <w:color w:val="000000"/>
          <w:sz w:val="24"/>
          <w:szCs w:val="24"/>
        </w:rPr>
      </w:pPr>
    </w:p>
    <w:p w14:paraId="117417BD" w14:textId="72DB5E1C" w:rsidR="00BB2FC3" w:rsidRPr="00B1539A" w:rsidRDefault="00BB2FC3" w:rsidP="00BB2FC3">
      <w:pPr>
        <w:spacing w:before="40" w:after="40"/>
        <w:rPr>
          <w:rFonts w:cs="Arial"/>
          <w:bCs/>
          <w:color w:val="000000"/>
          <w:sz w:val="24"/>
          <w:szCs w:val="24"/>
        </w:rPr>
      </w:pPr>
      <w:r w:rsidRPr="00B1539A">
        <w:rPr>
          <w:rFonts w:cs="Arial"/>
          <w:bCs/>
          <w:color w:val="000000"/>
          <w:sz w:val="24"/>
          <w:szCs w:val="24"/>
        </w:rPr>
        <w:t xml:space="preserve">The Instrument is a legislative instrument for the purposes of the </w:t>
      </w:r>
      <w:r w:rsidRPr="00B1539A">
        <w:rPr>
          <w:rFonts w:cs="Arial"/>
          <w:bCs/>
          <w:i/>
          <w:color w:val="000000"/>
          <w:sz w:val="24"/>
          <w:szCs w:val="24"/>
        </w:rPr>
        <w:t xml:space="preserve">Legislation Act 2003 </w:t>
      </w:r>
      <w:r w:rsidRPr="00B1539A">
        <w:rPr>
          <w:rFonts w:cs="Arial"/>
          <w:bCs/>
          <w:color w:val="000000"/>
          <w:sz w:val="24"/>
          <w:szCs w:val="24"/>
        </w:rPr>
        <w:t xml:space="preserve">and will commence on </w:t>
      </w:r>
      <w:r w:rsidR="00261144" w:rsidRPr="00BA66EF">
        <w:rPr>
          <w:rFonts w:cs="Arial"/>
          <w:bCs/>
          <w:color w:val="000000"/>
          <w:sz w:val="24"/>
          <w:szCs w:val="24"/>
        </w:rPr>
        <w:t>the</w:t>
      </w:r>
      <w:r w:rsidR="00261144" w:rsidRPr="00BA66EF">
        <w:rPr>
          <w:rFonts w:cs="Arial"/>
          <w:color w:val="000000"/>
          <w:sz w:val="24"/>
          <w:szCs w:val="24"/>
        </w:rPr>
        <w:t xml:space="preserve"> day after it is </w:t>
      </w:r>
      <w:r w:rsidR="00261144" w:rsidRPr="00BA66EF">
        <w:rPr>
          <w:rFonts w:cs="Arial"/>
          <w:bCs/>
          <w:color w:val="000000"/>
          <w:sz w:val="24"/>
          <w:szCs w:val="24"/>
        </w:rPr>
        <w:t>registered</w:t>
      </w:r>
      <w:r w:rsidRPr="00B1539A">
        <w:rPr>
          <w:rFonts w:cs="Arial"/>
          <w:bCs/>
          <w:color w:val="000000"/>
          <w:sz w:val="24"/>
          <w:szCs w:val="24"/>
        </w:rPr>
        <w:t>.</w:t>
      </w:r>
    </w:p>
    <w:p w14:paraId="2DBF71B2" w14:textId="77777777" w:rsidR="00BB2FC3" w:rsidRPr="00B1539A" w:rsidRDefault="00BB2FC3" w:rsidP="00E85296">
      <w:pPr>
        <w:spacing w:before="40" w:after="40"/>
        <w:rPr>
          <w:rFonts w:cs="Arial"/>
          <w:b/>
          <w:sz w:val="24"/>
          <w:szCs w:val="24"/>
        </w:rPr>
      </w:pPr>
    </w:p>
    <w:p w14:paraId="247990CF" w14:textId="77777777" w:rsidR="00C1276B" w:rsidRPr="00B1539A" w:rsidRDefault="00C1276B" w:rsidP="00E85296">
      <w:pPr>
        <w:spacing w:before="40" w:after="40"/>
        <w:rPr>
          <w:rFonts w:cs="Arial"/>
          <w:b/>
          <w:color w:val="000000"/>
          <w:sz w:val="24"/>
          <w:szCs w:val="24"/>
          <w:u w:val="single"/>
        </w:rPr>
      </w:pPr>
      <w:r w:rsidRPr="00B1539A">
        <w:rPr>
          <w:rFonts w:cs="Arial"/>
          <w:b/>
          <w:color w:val="000000"/>
          <w:sz w:val="24"/>
          <w:szCs w:val="24"/>
          <w:u w:val="single"/>
        </w:rPr>
        <w:t>Description of the provisions</w:t>
      </w:r>
    </w:p>
    <w:p w14:paraId="66B51230" w14:textId="77777777" w:rsidR="00967C21" w:rsidRPr="00B1539A" w:rsidRDefault="00967C21" w:rsidP="00E85296">
      <w:pPr>
        <w:spacing w:before="40" w:after="40"/>
        <w:rPr>
          <w:rFonts w:cs="Arial"/>
          <w:b/>
          <w:sz w:val="24"/>
          <w:szCs w:val="24"/>
        </w:rPr>
      </w:pPr>
    </w:p>
    <w:p w14:paraId="4B87B618" w14:textId="2E6A207A" w:rsidR="008F3E53" w:rsidRPr="00B1539A" w:rsidRDefault="008F3E53" w:rsidP="00E85296">
      <w:pPr>
        <w:spacing w:before="40" w:after="40"/>
        <w:rPr>
          <w:rFonts w:cs="Arial"/>
          <w:i/>
          <w:iCs/>
          <w:sz w:val="24"/>
          <w:szCs w:val="24"/>
        </w:rPr>
      </w:pPr>
      <w:r w:rsidRPr="00B1539A">
        <w:rPr>
          <w:rFonts w:cs="Arial"/>
          <w:bCs/>
          <w:sz w:val="24"/>
          <w:szCs w:val="24"/>
        </w:rPr>
        <w:t xml:space="preserve">Section 1 of the instrument provides that the name of the </w:t>
      </w:r>
      <w:r w:rsidR="000F5B80" w:rsidRPr="00B1539A">
        <w:rPr>
          <w:rFonts w:cs="Arial"/>
          <w:bCs/>
          <w:sz w:val="24"/>
          <w:szCs w:val="24"/>
        </w:rPr>
        <w:t>I</w:t>
      </w:r>
      <w:r w:rsidRPr="00B1539A">
        <w:rPr>
          <w:rFonts w:cs="Arial"/>
          <w:bCs/>
          <w:sz w:val="24"/>
          <w:szCs w:val="24"/>
        </w:rPr>
        <w:t xml:space="preserve">nstrument is </w:t>
      </w:r>
      <w:r w:rsidRPr="00B1539A">
        <w:rPr>
          <w:rFonts w:cs="Arial"/>
          <w:sz w:val="24"/>
          <w:szCs w:val="24"/>
        </w:rPr>
        <w:t xml:space="preserve">the </w:t>
      </w:r>
      <w:r w:rsidR="000F5B80" w:rsidRPr="00B1539A">
        <w:rPr>
          <w:rFonts w:cs="Arial"/>
          <w:i/>
          <w:color w:val="000000"/>
          <w:sz w:val="24"/>
          <w:szCs w:val="24"/>
        </w:rPr>
        <w:t>Tertiary Education Quality and Standards Agency Fit and Proper Person Determination 2018 – Amendment No. 1 of</w:t>
      </w:r>
      <w:r w:rsidR="000F5B80" w:rsidRPr="00B1539A">
        <w:rPr>
          <w:rFonts w:cs="Arial"/>
          <w:i/>
          <w:sz w:val="24"/>
          <w:szCs w:val="24"/>
        </w:rPr>
        <w:t xml:space="preserve"> </w:t>
      </w:r>
      <w:r w:rsidR="000F5B80" w:rsidRPr="00BA66EF">
        <w:rPr>
          <w:rFonts w:cs="Arial"/>
          <w:i/>
          <w:sz w:val="24"/>
          <w:szCs w:val="24"/>
        </w:rPr>
        <w:t>202</w:t>
      </w:r>
      <w:r w:rsidR="000A5BBF" w:rsidRPr="00BA66EF">
        <w:rPr>
          <w:rFonts w:cs="Arial"/>
          <w:i/>
          <w:sz w:val="24"/>
          <w:szCs w:val="24"/>
        </w:rPr>
        <w:t>5</w:t>
      </w:r>
      <w:r w:rsidRPr="00BA66EF">
        <w:rPr>
          <w:rFonts w:cs="Arial"/>
          <w:i/>
          <w:iCs/>
          <w:sz w:val="24"/>
          <w:szCs w:val="24"/>
        </w:rPr>
        <w:t>.</w:t>
      </w:r>
    </w:p>
    <w:p w14:paraId="30619DD2" w14:textId="77777777" w:rsidR="00BB2FC3" w:rsidRPr="00B1539A" w:rsidRDefault="00BB2FC3" w:rsidP="00E85296">
      <w:pPr>
        <w:spacing w:before="40" w:after="40"/>
        <w:rPr>
          <w:rFonts w:cs="Arial"/>
          <w:bCs/>
          <w:sz w:val="24"/>
          <w:szCs w:val="24"/>
        </w:rPr>
      </w:pPr>
    </w:p>
    <w:p w14:paraId="2BF058BB" w14:textId="3C87516A" w:rsidR="008F3E53" w:rsidRPr="00B1539A" w:rsidRDefault="008F3E53" w:rsidP="00E85296">
      <w:pPr>
        <w:spacing w:before="40" w:after="40"/>
        <w:rPr>
          <w:rFonts w:cs="Arial"/>
          <w:bCs/>
          <w:sz w:val="24"/>
          <w:szCs w:val="24"/>
        </w:rPr>
      </w:pPr>
      <w:r w:rsidRPr="00B1539A">
        <w:rPr>
          <w:rFonts w:cs="Arial"/>
          <w:bCs/>
          <w:sz w:val="24"/>
          <w:szCs w:val="24"/>
        </w:rPr>
        <w:t xml:space="preserve">Section 2 provides that the amendments to the </w:t>
      </w:r>
      <w:r w:rsidR="000F5B80" w:rsidRPr="00B1539A">
        <w:rPr>
          <w:rFonts w:cs="Arial"/>
          <w:bCs/>
          <w:sz w:val="24"/>
          <w:szCs w:val="24"/>
        </w:rPr>
        <w:t>FPP Determination</w:t>
      </w:r>
      <w:r w:rsidRPr="00B1539A">
        <w:rPr>
          <w:rFonts w:cs="Arial"/>
          <w:bCs/>
          <w:sz w:val="24"/>
          <w:szCs w:val="24"/>
        </w:rPr>
        <w:t xml:space="preserve"> will commence on </w:t>
      </w:r>
      <w:r w:rsidR="00F06E01" w:rsidRPr="00BA66EF">
        <w:rPr>
          <w:rFonts w:cs="Arial"/>
          <w:bCs/>
          <w:sz w:val="24"/>
          <w:szCs w:val="24"/>
        </w:rPr>
        <w:t>the</w:t>
      </w:r>
      <w:r w:rsidR="00F06E01" w:rsidRPr="00BA66EF">
        <w:rPr>
          <w:rFonts w:cs="Arial"/>
          <w:sz w:val="24"/>
          <w:szCs w:val="24"/>
        </w:rPr>
        <w:t xml:space="preserve"> day after the Instrument is </w:t>
      </w:r>
      <w:r w:rsidR="00F06E01" w:rsidRPr="00BA66EF">
        <w:rPr>
          <w:rFonts w:cs="Arial"/>
          <w:bCs/>
          <w:sz w:val="24"/>
          <w:szCs w:val="24"/>
        </w:rPr>
        <w:t>registered</w:t>
      </w:r>
      <w:r w:rsidRPr="00BA66EF">
        <w:rPr>
          <w:rFonts w:cs="Arial"/>
          <w:bCs/>
          <w:sz w:val="24"/>
          <w:szCs w:val="24"/>
        </w:rPr>
        <w:t>.</w:t>
      </w:r>
    </w:p>
    <w:p w14:paraId="3E88D6CD" w14:textId="77777777" w:rsidR="008F3E53" w:rsidRPr="00B1539A" w:rsidRDefault="008F3E53" w:rsidP="00E85296">
      <w:pPr>
        <w:spacing w:before="40" w:after="40"/>
        <w:rPr>
          <w:rFonts w:cs="Arial"/>
          <w:bCs/>
          <w:sz w:val="24"/>
          <w:szCs w:val="24"/>
        </w:rPr>
      </w:pPr>
    </w:p>
    <w:p w14:paraId="22A53A49" w14:textId="77777777" w:rsidR="008F3E53" w:rsidRPr="00B1539A" w:rsidRDefault="008F3E53" w:rsidP="00E85296">
      <w:pPr>
        <w:spacing w:before="40" w:after="40"/>
        <w:rPr>
          <w:rFonts w:cs="Arial"/>
          <w:bCs/>
          <w:sz w:val="24"/>
          <w:szCs w:val="24"/>
        </w:rPr>
      </w:pPr>
      <w:r w:rsidRPr="00B1539A">
        <w:rPr>
          <w:rFonts w:cs="Arial"/>
          <w:bCs/>
          <w:sz w:val="24"/>
          <w:szCs w:val="24"/>
        </w:rPr>
        <w:t xml:space="preserve">Section 3 provides that the </w:t>
      </w:r>
      <w:r w:rsidR="000F5B80" w:rsidRPr="00B1539A">
        <w:rPr>
          <w:rFonts w:cs="Arial"/>
          <w:bCs/>
          <w:sz w:val="24"/>
          <w:szCs w:val="24"/>
        </w:rPr>
        <w:t>Instrument</w:t>
      </w:r>
      <w:r w:rsidRPr="00B1539A">
        <w:rPr>
          <w:rFonts w:cs="Arial"/>
          <w:bCs/>
          <w:sz w:val="24"/>
          <w:szCs w:val="24"/>
        </w:rPr>
        <w:t xml:space="preserve"> has been made under subsection</w:t>
      </w:r>
      <w:r w:rsidR="000F5B80" w:rsidRPr="00B1539A">
        <w:rPr>
          <w:rFonts w:cs="Arial"/>
          <w:bCs/>
          <w:sz w:val="24"/>
          <w:szCs w:val="24"/>
        </w:rPr>
        <w:t xml:space="preserve"> 7</w:t>
      </w:r>
      <w:proofErr w:type="gramStart"/>
      <w:r w:rsidR="000F5B80" w:rsidRPr="00B1539A">
        <w:rPr>
          <w:rFonts w:cs="Arial"/>
          <w:bCs/>
          <w:sz w:val="24"/>
          <w:szCs w:val="24"/>
        </w:rPr>
        <w:t>A(</w:t>
      </w:r>
      <w:proofErr w:type="gramEnd"/>
      <w:r w:rsidR="000F5B80" w:rsidRPr="00B1539A">
        <w:rPr>
          <w:rFonts w:cs="Arial"/>
          <w:bCs/>
          <w:sz w:val="24"/>
          <w:szCs w:val="24"/>
        </w:rPr>
        <w:t>2) of the Act</w:t>
      </w:r>
      <w:r w:rsidRPr="00B1539A">
        <w:rPr>
          <w:rFonts w:cs="Arial"/>
          <w:bCs/>
          <w:sz w:val="24"/>
          <w:szCs w:val="24"/>
        </w:rPr>
        <w:t>.</w:t>
      </w:r>
    </w:p>
    <w:p w14:paraId="37B9C4C2" w14:textId="77777777" w:rsidR="008F3E53" w:rsidRPr="00B1539A" w:rsidRDefault="008F3E53" w:rsidP="00E85296">
      <w:pPr>
        <w:spacing w:before="40" w:after="40"/>
        <w:rPr>
          <w:rFonts w:cs="Arial"/>
          <w:bCs/>
          <w:sz w:val="24"/>
          <w:szCs w:val="24"/>
        </w:rPr>
      </w:pPr>
    </w:p>
    <w:p w14:paraId="6CBE0FD4" w14:textId="77777777" w:rsidR="008F3E53" w:rsidRPr="00B1539A" w:rsidRDefault="008F3E53" w:rsidP="00E85296">
      <w:pPr>
        <w:spacing w:before="40" w:after="40"/>
        <w:rPr>
          <w:rFonts w:cs="Arial"/>
          <w:bCs/>
          <w:sz w:val="24"/>
          <w:szCs w:val="24"/>
        </w:rPr>
      </w:pPr>
      <w:r w:rsidRPr="00B1539A">
        <w:rPr>
          <w:rFonts w:cs="Arial"/>
          <w:bCs/>
          <w:sz w:val="24"/>
          <w:szCs w:val="24"/>
        </w:rPr>
        <w:t xml:space="preserve">Section 4 provides that the </w:t>
      </w:r>
      <w:r w:rsidR="000F5B80" w:rsidRPr="00B1539A">
        <w:rPr>
          <w:rFonts w:cs="Arial"/>
          <w:bCs/>
          <w:sz w:val="24"/>
          <w:szCs w:val="24"/>
        </w:rPr>
        <w:t>I</w:t>
      </w:r>
      <w:r w:rsidRPr="00B1539A">
        <w:rPr>
          <w:rFonts w:cs="Arial"/>
          <w:bCs/>
          <w:sz w:val="24"/>
          <w:szCs w:val="24"/>
        </w:rPr>
        <w:t xml:space="preserve">nstrument </w:t>
      </w:r>
      <w:r w:rsidR="008436C5" w:rsidRPr="00B1539A">
        <w:rPr>
          <w:rFonts w:cs="Arial"/>
          <w:bCs/>
          <w:sz w:val="24"/>
          <w:szCs w:val="24"/>
        </w:rPr>
        <w:t>amends</w:t>
      </w:r>
      <w:r w:rsidRPr="00B1539A">
        <w:rPr>
          <w:rFonts w:cs="Arial"/>
          <w:bCs/>
          <w:sz w:val="24"/>
          <w:szCs w:val="24"/>
        </w:rPr>
        <w:t xml:space="preserve"> the current fee instrument </w:t>
      </w:r>
      <w:r w:rsidR="008436C5" w:rsidRPr="00B1539A">
        <w:rPr>
          <w:rFonts w:cs="Arial"/>
          <w:bCs/>
          <w:sz w:val="24"/>
          <w:szCs w:val="24"/>
        </w:rPr>
        <w:t>as</w:t>
      </w:r>
      <w:r w:rsidRPr="00B1539A">
        <w:rPr>
          <w:rFonts w:cs="Arial"/>
          <w:bCs/>
          <w:sz w:val="24"/>
          <w:szCs w:val="24"/>
        </w:rPr>
        <w:t xml:space="preserve"> set out in Schedule 1. </w:t>
      </w:r>
    </w:p>
    <w:p w14:paraId="5272318C" w14:textId="77777777" w:rsidR="008F3E53" w:rsidRPr="00B1539A" w:rsidRDefault="008F3E53" w:rsidP="00E85296">
      <w:pPr>
        <w:spacing w:before="40" w:after="40"/>
        <w:rPr>
          <w:rFonts w:cs="Arial"/>
          <w:bCs/>
          <w:sz w:val="24"/>
          <w:szCs w:val="24"/>
        </w:rPr>
      </w:pPr>
    </w:p>
    <w:p w14:paraId="01E3B9AE" w14:textId="77777777" w:rsidR="008F3E53" w:rsidRPr="00B1539A" w:rsidRDefault="008F3E53" w:rsidP="00E85296">
      <w:pPr>
        <w:spacing w:before="40" w:after="40"/>
        <w:rPr>
          <w:rFonts w:cs="Arial"/>
          <w:bCs/>
          <w:sz w:val="24"/>
          <w:szCs w:val="24"/>
          <w:u w:val="single"/>
        </w:rPr>
      </w:pPr>
      <w:r w:rsidRPr="00B1539A">
        <w:rPr>
          <w:rFonts w:cs="Arial"/>
          <w:bCs/>
          <w:sz w:val="24"/>
          <w:szCs w:val="24"/>
          <w:u w:val="single"/>
        </w:rPr>
        <w:t>Schedule 1</w:t>
      </w:r>
    </w:p>
    <w:p w14:paraId="1856F851" w14:textId="77777777" w:rsidR="00BC7407" w:rsidRPr="00B1539A" w:rsidRDefault="003163D5" w:rsidP="00E85296">
      <w:pPr>
        <w:spacing w:before="40" w:after="40"/>
        <w:rPr>
          <w:rFonts w:cs="Arial"/>
          <w:bCs/>
          <w:sz w:val="24"/>
          <w:szCs w:val="24"/>
        </w:rPr>
      </w:pPr>
      <w:r w:rsidRPr="00B1539A">
        <w:rPr>
          <w:rFonts w:cs="Arial"/>
          <w:bCs/>
          <w:sz w:val="24"/>
          <w:szCs w:val="24"/>
        </w:rPr>
        <w:lastRenderedPageBreak/>
        <w:t xml:space="preserve">Items 1 </w:t>
      </w:r>
      <w:r w:rsidR="00BC7407" w:rsidRPr="00B1539A">
        <w:rPr>
          <w:rFonts w:cs="Arial"/>
          <w:bCs/>
          <w:sz w:val="24"/>
          <w:szCs w:val="24"/>
        </w:rPr>
        <w:t xml:space="preserve">inserts new subsection 6(1A) providing that, when determining if a person is fit and proper, </w:t>
      </w:r>
      <w:r w:rsidR="00BC7407" w:rsidRPr="00E64F9F">
        <w:rPr>
          <w:rFonts w:cs="Arial"/>
          <w:sz w:val="24"/>
          <w:szCs w:val="24"/>
        </w:rPr>
        <w:t>TEQSA may have regard to whether a person has been convicted of a foreign offence</w:t>
      </w:r>
      <w:r w:rsidR="00BC7407" w:rsidRPr="00B1539A">
        <w:rPr>
          <w:rFonts w:cs="Arial"/>
          <w:bCs/>
          <w:sz w:val="24"/>
          <w:szCs w:val="24"/>
        </w:rPr>
        <w:t xml:space="preserve">. New subsection (1A) provides that ‘foreign offence’ has the meaning prescribed in section 85ZL of the </w:t>
      </w:r>
      <w:r w:rsidR="00BC7407" w:rsidRPr="00B1539A">
        <w:rPr>
          <w:rFonts w:cs="Arial"/>
          <w:bCs/>
          <w:i/>
          <w:iCs/>
          <w:sz w:val="24"/>
          <w:szCs w:val="24"/>
        </w:rPr>
        <w:t>Crimes Act 1914</w:t>
      </w:r>
      <w:r w:rsidR="00BC7407" w:rsidRPr="00B1539A">
        <w:rPr>
          <w:rFonts w:cs="Arial"/>
          <w:bCs/>
          <w:sz w:val="24"/>
          <w:szCs w:val="24"/>
        </w:rPr>
        <w:t xml:space="preserve">. </w:t>
      </w:r>
    </w:p>
    <w:p w14:paraId="5B81066E" w14:textId="77777777" w:rsidR="00BC7407" w:rsidRPr="00B1539A" w:rsidRDefault="00BC7407" w:rsidP="00E85296">
      <w:pPr>
        <w:spacing w:before="40" w:after="40"/>
        <w:rPr>
          <w:rFonts w:cs="Arial"/>
          <w:bCs/>
          <w:sz w:val="24"/>
          <w:szCs w:val="24"/>
        </w:rPr>
      </w:pPr>
    </w:p>
    <w:p w14:paraId="7FE093FB" w14:textId="77777777" w:rsidR="00BC7407" w:rsidRPr="00E64F9F" w:rsidRDefault="00BC7407" w:rsidP="00E85296">
      <w:pPr>
        <w:spacing w:before="40" w:after="40"/>
        <w:rPr>
          <w:rFonts w:cs="Arial"/>
          <w:sz w:val="24"/>
          <w:szCs w:val="24"/>
        </w:rPr>
      </w:pPr>
      <w:r w:rsidRPr="00B1539A">
        <w:rPr>
          <w:rFonts w:cs="Arial"/>
          <w:bCs/>
          <w:sz w:val="24"/>
          <w:szCs w:val="24"/>
        </w:rPr>
        <w:t>Item 2 inserts new paragraph 10(1)(</w:t>
      </w:r>
      <w:proofErr w:type="spellStart"/>
      <w:r w:rsidRPr="00B1539A">
        <w:rPr>
          <w:rFonts w:cs="Arial"/>
          <w:bCs/>
          <w:sz w:val="24"/>
          <w:szCs w:val="24"/>
        </w:rPr>
        <w:t>i</w:t>
      </w:r>
      <w:proofErr w:type="spellEnd"/>
      <w:r w:rsidRPr="00B1539A">
        <w:rPr>
          <w:rFonts w:cs="Arial"/>
          <w:bCs/>
          <w:sz w:val="24"/>
          <w:szCs w:val="24"/>
        </w:rPr>
        <w:t xml:space="preserve">) providing that, when determining if a person is fit and proper, </w:t>
      </w:r>
      <w:r w:rsidRPr="00E64F9F">
        <w:rPr>
          <w:rFonts w:cs="Arial"/>
          <w:sz w:val="24"/>
          <w:szCs w:val="24"/>
        </w:rPr>
        <w:t xml:space="preserve">TEQSA may have regard to whether that person has previously been found not to be a fit and proper person for the purposes of any law of the Commonwealth, a State or Territory. This expands upon the list of laws TEQSA is already permitted to consider under subsection 10(1). </w:t>
      </w:r>
    </w:p>
    <w:p w14:paraId="659A0535" w14:textId="77777777" w:rsidR="00BC7407" w:rsidRPr="00E64F9F" w:rsidRDefault="00BC7407" w:rsidP="00E85296">
      <w:pPr>
        <w:spacing w:before="40" w:after="40"/>
        <w:rPr>
          <w:rFonts w:cs="Arial"/>
          <w:sz w:val="24"/>
          <w:szCs w:val="24"/>
        </w:rPr>
      </w:pPr>
    </w:p>
    <w:p w14:paraId="60C6BA5D" w14:textId="77777777" w:rsidR="00BC7407" w:rsidRPr="00E64F9F" w:rsidRDefault="00BC7407" w:rsidP="00E85296">
      <w:pPr>
        <w:spacing w:before="40" w:after="40"/>
        <w:rPr>
          <w:rFonts w:cs="Arial"/>
          <w:sz w:val="24"/>
          <w:szCs w:val="24"/>
        </w:rPr>
      </w:pPr>
      <w:r w:rsidRPr="00B1539A">
        <w:rPr>
          <w:rFonts w:cs="Arial"/>
          <w:bCs/>
          <w:sz w:val="24"/>
          <w:szCs w:val="24"/>
        </w:rPr>
        <w:t xml:space="preserve">Item 3 inserts new subsection 10(3A) providing that, when determining if a person is fit and proper, </w:t>
      </w:r>
      <w:r w:rsidRPr="00E64F9F">
        <w:rPr>
          <w:rFonts w:cs="Arial"/>
          <w:sz w:val="24"/>
          <w:szCs w:val="24"/>
        </w:rPr>
        <w:t xml:space="preserve">TEQSA may have regard to whether the public is unlikely to have confidence in the person’s suitability to be a person who makes or participates in making decisions that affect the whole, or a substantial part, of a registered higher education provider’s affairs. </w:t>
      </w:r>
    </w:p>
    <w:p w14:paraId="42E86225" w14:textId="77777777" w:rsidR="00BC7407" w:rsidRPr="00B1539A" w:rsidRDefault="00BC7407" w:rsidP="00E85296">
      <w:pPr>
        <w:spacing w:before="40" w:after="40"/>
        <w:rPr>
          <w:rFonts w:cs="Arial"/>
          <w:bCs/>
          <w:sz w:val="24"/>
          <w:szCs w:val="24"/>
        </w:rPr>
      </w:pPr>
    </w:p>
    <w:p w14:paraId="6809EF8B" w14:textId="77777777" w:rsidR="00967C21" w:rsidRPr="00B1539A" w:rsidRDefault="00967C21" w:rsidP="00E85296">
      <w:pPr>
        <w:spacing w:before="40" w:after="40"/>
        <w:rPr>
          <w:rFonts w:cs="Arial"/>
          <w:b/>
          <w:sz w:val="24"/>
          <w:szCs w:val="24"/>
        </w:rPr>
      </w:pPr>
    </w:p>
    <w:p w14:paraId="603799FC" w14:textId="77777777" w:rsidR="006759F7" w:rsidRPr="00B1539A" w:rsidRDefault="006759F7" w:rsidP="008437D5">
      <w:pPr>
        <w:autoSpaceDE w:val="0"/>
        <w:autoSpaceDN w:val="0"/>
        <w:adjustRightInd w:val="0"/>
        <w:rPr>
          <w:rFonts w:cs="Arial"/>
          <w:sz w:val="24"/>
          <w:szCs w:val="24"/>
        </w:rPr>
      </w:pPr>
    </w:p>
    <w:p w14:paraId="501B475D" w14:textId="77777777" w:rsidR="00E75B75" w:rsidRPr="00E4135E" w:rsidRDefault="002711B4" w:rsidP="00E75B75">
      <w:pPr>
        <w:spacing w:before="360" w:after="120"/>
        <w:jc w:val="center"/>
        <w:rPr>
          <w:rFonts w:ascii="Times New Roman" w:hAnsi="Times New Roman"/>
          <w:b/>
          <w:sz w:val="28"/>
          <w:szCs w:val="28"/>
        </w:rPr>
      </w:pPr>
      <w:r w:rsidRPr="00B1539A">
        <w:rPr>
          <w:rFonts w:cs="Arial"/>
          <w:sz w:val="24"/>
          <w:szCs w:val="24"/>
        </w:rPr>
        <w:br w:type="page"/>
      </w:r>
      <w:r w:rsidR="00E75B75" w:rsidRPr="00E4135E">
        <w:rPr>
          <w:rFonts w:ascii="Times New Roman" w:hAnsi="Times New Roman"/>
          <w:b/>
          <w:sz w:val="28"/>
          <w:szCs w:val="28"/>
        </w:rPr>
        <w:lastRenderedPageBreak/>
        <w:t>Statement of Compatibility with Human Rights</w:t>
      </w:r>
    </w:p>
    <w:p w14:paraId="418DAD6D" w14:textId="77777777" w:rsidR="00E75B75" w:rsidRPr="00E4135E" w:rsidRDefault="00E75B75" w:rsidP="00690CCE">
      <w:pPr>
        <w:spacing w:before="100" w:after="10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14:paraId="734304FD" w14:textId="126D8BE4" w:rsidR="00690CCE" w:rsidRPr="00690CCE" w:rsidRDefault="00B1539A" w:rsidP="00690CCE">
      <w:pPr>
        <w:spacing w:before="300" w:after="300"/>
        <w:rPr>
          <w:rFonts w:ascii="Times New Roman" w:hAnsi="Times New Roman"/>
          <w:b/>
          <w:sz w:val="24"/>
          <w:szCs w:val="24"/>
        </w:rPr>
      </w:pPr>
      <w:r w:rsidRPr="00E64F9F">
        <w:rPr>
          <w:rFonts w:ascii="Times New Roman" w:hAnsi="Times New Roman"/>
          <w:b/>
          <w:bCs/>
          <w:i/>
          <w:sz w:val="24"/>
          <w:szCs w:val="24"/>
        </w:rPr>
        <w:t>Tertiary Education Quality and Standards Agency Fit and Proper Person Determination 2018 – Amendment No. 1 of 202</w:t>
      </w:r>
      <w:r w:rsidR="000A5BBF">
        <w:rPr>
          <w:rFonts w:ascii="Times New Roman" w:hAnsi="Times New Roman"/>
          <w:b/>
          <w:bCs/>
          <w:i/>
          <w:sz w:val="24"/>
          <w:szCs w:val="24"/>
        </w:rPr>
        <w:t>5</w:t>
      </w:r>
      <w:r w:rsidDel="00B1539A">
        <w:rPr>
          <w:rFonts w:ascii="Times New Roman" w:hAnsi="Times New Roman"/>
          <w:b/>
          <w:bCs/>
          <w:i/>
          <w:sz w:val="24"/>
          <w:szCs w:val="24"/>
        </w:rPr>
        <w:t xml:space="preserve"> </w:t>
      </w:r>
    </w:p>
    <w:p w14:paraId="6D23484E" w14:textId="0F9C5883" w:rsidR="00690CCE" w:rsidRPr="00690CCE" w:rsidRDefault="008564B9" w:rsidP="00690CCE">
      <w:pPr>
        <w:spacing w:before="200" w:after="200"/>
        <w:rPr>
          <w:rFonts w:ascii="Times New Roman" w:hAnsi="Times New Roman"/>
          <w:sz w:val="24"/>
          <w:szCs w:val="24"/>
        </w:rPr>
      </w:pPr>
      <w:r>
        <w:rPr>
          <w:rFonts w:ascii="Times New Roman" w:hAnsi="Times New Roman"/>
          <w:sz w:val="24"/>
          <w:szCs w:val="24"/>
        </w:rPr>
        <w:t xml:space="preserve">The </w:t>
      </w:r>
      <w:r w:rsidR="00B1539A" w:rsidRPr="00E64F9F">
        <w:rPr>
          <w:rFonts w:ascii="Times New Roman" w:hAnsi="Times New Roman"/>
          <w:iCs/>
          <w:sz w:val="24"/>
          <w:szCs w:val="24"/>
        </w:rPr>
        <w:t>Tertiary Education Quality and Standards Agency Fit and Proper Person Determination 2018 – Amendment No. 1 of 202</w:t>
      </w:r>
      <w:r w:rsidR="000A5BBF">
        <w:rPr>
          <w:rFonts w:ascii="Times New Roman" w:hAnsi="Times New Roman"/>
          <w:iCs/>
          <w:sz w:val="24"/>
          <w:szCs w:val="24"/>
        </w:rPr>
        <w:t>5</w:t>
      </w:r>
      <w:r w:rsidR="00E75B75" w:rsidRPr="00B1539A">
        <w:rPr>
          <w:rFonts w:ascii="Times New Roman" w:hAnsi="Times New Roman"/>
          <w:iCs/>
          <w:sz w:val="24"/>
          <w:szCs w:val="24"/>
        </w:rPr>
        <w:t xml:space="preserve"> </w:t>
      </w:r>
      <w:r w:rsidR="007559E9">
        <w:rPr>
          <w:rFonts w:ascii="Times New Roman" w:hAnsi="Times New Roman"/>
          <w:sz w:val="24"/>
          <w:szCs w:val="24"/>
        </w:rPr>
        <w:t>(Amend</w:t>
      </w:r>
      <w:r w:rsidR="0027594F">
        <w:rPr>
          <w:rFonts w:ascii="Times New Roman" w:hAnsi="Times New Roman"/>
          <w:sz w:val="24"/>
          <w:szCs w:val="24"/>
        </w:rPr>
        <w:t>ing</w:t>
      </w:r>
      <w:r w:rsidR="007559E9">
        <w:rPr>
          <w:rFonts w:ascii="Times New Roman" w:hAnsi="Times New Roman"/>
          <w:sz w:val="24"/>
          <w:szCs w:val="24"/>
        </w:rPr>
        <w:t xml:space="preserve"> Instrument) </w:t>
      </w:r>
      <w:r w:rsidR="00E75B75" w:rsidRPr="00E4135E">
        <w:rPr>
          <w:rFonts w:ascii="Times New Roman" w:hAnsi="Times New Roman"/>
          <w:sz w:val="24"/>
          <w:szCs w:val="24"/>
        </w:rPr>
        <w:t xml:space="preserve">is compatible with the human rights and freedoms recognised or declared in the international instruments listed in section 3 of the </w:t>
      </w:r>
      <w:r w:rsidR="00E75B75" w:rsidRPr="00E4135E">
        <w:rPr>
          <w:rFonts w:ascii="Times New Roman" w:hAnsi="Times New Roman"/>
          <w:i/>
          <w:sz w:val="24"/>
          <w:szCs w:val="24"/>
        </w:rPr>
        <w:t>Human Rights (Parliamentary Scrutiny) Act 2011</w:t>
      </w:r>
      <w:r w:rsidR="00E75B75" w:rsidRPr="00E4135E">
        <w:rPr>
          <w:rFonts w:ascii="Times New Roman" w:hAnsi="Times New Roman"/>
          <w:sz w:val="24"/>
          <w:szCs w:val="24"/>
        </w:rPr>
        <w:t>.</w:t>
      </w:r>
    </w:p>
    <w:p w14:paraId="7D99D5D6" w14:textId="77777777" w:rsidR="00E75B75" w:rsidRPr="00E4135E" w:rsidRDefault="00E75B75" w:rsidP="00690CCE">
      <w:pPr>
        <w:spacing w:before="200" w:after="100"/>
        <w:jc w:val="both"/>
        <w:rPr>
          <w:rFonts w:ascii="Times New Roman" w:hAnsi="Times New Roman"/>
          <w:b/>
          <w:sz w:val="24"/>
          <w:szCs w:val="24"/>
        </w:rPr>
      </w:pPr>
      <w:r>
        <w:rPr>
          <w:rFonts w:ascii="Times New Roman" w:hAnsi="Times New Roman"/>
          <w:b/>
          <w:sz w:val="24"/>
          <w:szCs w:val="24"/>
        </w:rPr>
        <w:t xml:space="preserve">Overview of the </w:t>
      </w:r>
      <w:r w:rsidRPr="00E4135E">
        <w:rPr>
          <w:rFonts w:ascii="Times New Roman" w:hAnsi="Times New Roman"/>
          <w:b/>
          <w:sz w:val="24"/>
          <w:szCs w:val="24"/>
        </w:rPr>
        <w:t>Legislative Instrument</w:t>
      </w:r>
    </w:p>
    <w:p w14:paraId="11AD7C8A" w14:textId="77777777" w:rsidR="00EB6C3F" w:rsidRDefault="00E75B75" w:rsidP="00690CCE">
      <w:pPr>
        <w:pStyle w:val="IH"/>
        <w:spacing w:before="200" w:after="200"/>
        <w:ind w:left="0" w:firstLine="0"/>
        <w:rPr>
          <w:rFonts w:ascii="Times New Roman" w:hAnsi="Times New Roman"/>
          <w:b w:val="0"/>
        </w:rPr>
      </w:pPr>
      <w:r w:rsidRPr="00C039E9">
        <w:rPr>
          <w:rFonts w:ascii="Times New Roman" w:hAnsi="Times New Roman"/>
          <w:b w:val="0"/>
          <w:color w:val="000000"/>
        </w:rPr>
        <w:t xml:space="preserve">The purpose of the </w:t>
      </w:r>
      <w:r w:rsidR="007559E9">
        <w:rPr>
          <w:rFonts w:ascii="Times New Roman" w:hAnsi="Times New Roman"/>
          <w:b w:val="0"/>
          <w:color w:val="000000"/>
        </w:rPr>
        <w:t>Amend</w:t>
      </w:r>
      <w:r w:rsidR="0027594F">
        <w:rPr>
          <w:rFonts w:ascii="Times New Roman" w:hAnsi="Times New Roman"/>
          <w:b w:val="0"/>
          <w:color w:val="000000"/>
        </w:rPr>
        <w:t>ing</w:t>
      </w:r>
      <w:r w:rsidR="007559E9">
        <w:rPr>
          <w:rFonts w:ascii="Times New Roman" w:hAnsi="Times New Roman"/>
          <w:b w:val="0"/>
          <w:color w:val="000000"/>
        </w:rPr>
        <w:t xml:space="preserve"> I</w:t>
      </w:r>
      <w:r w:rsidRPr="00C039E9">
        <w:rPr>
          <w:rFonts w:ascii="Times New Roman" w:hAnsi="Times New Roman"/>
          <w:b w:val="0"/>
          <w:color w:val="000000"/>
        </w:rPr>
        <w:t>nstrument is to</w:t>
      </w:r>
      <w:r w:rsidRPr="00C039E9">
        <w:rPr>
          <w:rFonts w:ascii="Times New Roman" w:eastAsia="Calibri" w:hAnsi="Times New Roman"/>
          <w:b w:val="0"/>
          <w:color w:val="000000"/>
        </w:rPr>
        <w:t xml:space="preserve"> </w:t>
      </w:r>
      <w:r>
        <w:rPr>
          <w:rFonts w:ascii="Times New Roman" w:hAnsi="Times New Roman"/>
          <w:b w:val="0"/>
        </w:rPr>
        <w:t>amend</w:t>
      </w:r>
      <w:r w:rsidR="008564B9">
        <w:rPr>
          <w:rFonts w:ascii="Times New Roman" w:hAnsi="Times New Roman"/>
          <w:b w:val="0"/>
        </w:rPr>
        <w:t xml:space="preserve"> </w:t>
      </w:r>
      <w:r w:rsidR="008564B9" w:rsidRPr="00E64F9F">
        <w:rPr>
          <w:rFonts w:ascii="Times New Roman" w:hAnsi="Times New Roman"/>
          <w:b w:val="0"/>
          <w:color w:val="000000"/>
        </w:rPr>
        <w:t xml:space="preserve">the </w:t>
      </w:r>
      <w:r w:rsidR="00B1539A" w:rsidRPr="00E64F9F">
        <w:rPr>
          <w:rFonts w:ascii="Times New Roman" w:hAnsi="Times New Roman"/>
          <w:b w:val="0"/>
          <w:i/>
          <w:iCs/>
          <w:color w:val="000000"/>
        </w:rPr>
        <w:t>Tertiary Education Quality and Standards Agency Fit and Proper Person Determination 2018</w:t>
      </w:r>
      <w:r w:rsidR="00B1539A" w:rsidRPr="00E64F9F">
        <w:rPr>
          <w:rFonts w:ascii="Times New Roman" w:hAnsi="Times New Roman"/>
          <w:b w:val="0"/>
          <w:color w:val="000000"/>
        </w:rPr>
        <w:t xml:space="preserve"> (FPP Determination)</w:t>
      </w:r>
      <w:r w:rsidRPr="00E64F9F">
        <w:rPr>
          <w:rFonts w:ascii="Times New Roman" w:hAnsi="Times New Roman"/>
          <w:b w:val="0"/>
          <w:color w:val="000000"/>
        </w:rPr>
        <w:t>, which</w:t>
      </w:r>
      <w:r w:rsidR="00B1539A">
        <w:rPr>
          <w:rFonts w:ascii="Times New Roman" w:hAnsi="Times New Roman"/>
          <w:b w:val="0"/>
          <w:color w:val="000000"/>
        </w:rPr>
        <w:t xml:space="preserve"> sets out the matters TEQSA may have regard to for the purposes of determining whether a person is fit and proper</w:t>
      </w:r>
      <w:r w:rsidRPr="00C039E9">
        <w:rPr>
          <w:rFonts w:ascii="Times New Roman" w:hAnsi="Times New Roman"/>
          <w:b w:val="0"/>
        </w:rPr>
        <w:t xml:space="preserve">. </w:t>
      </w:r>
    </w:p>
    <w:p w14:paraId="478F6F1B" w14:textId="1A13EC1E" w:rsidR="00B1539A" w:rsidRPr="00E64F9F" w:rsidRDefault="00B1539A" w:rsidP="00B1539A">
      <w:pPr>
        <w:autoSpaceDE w:val="0"/>
        <w:autoSpaceDN w:val="0"/>
        <w:adjustRightInd w:val="0"/>
        <w:spacing w:after="160"/>
        <w:rPr>
          <w:rFonts w:ascii="Times New Roman" w:hAnsi="Times New Roman"/>
          <w:sz w:val="24"/>
          <w:szCs w:val="24"/>
        </w:rPr>
      </w:pPr>
      <w:r w:rsidRPr="00E64F9F">
        <w:rPr>
          <w:rFonts w:ascii="Times New Roman" w:hAnsi="Times New Roman"/>
          <w:sz w:val="24"/>
          <w:szCs w:val="24"/>
        </w:rPr>
        <w:t xml:space="preserve">The amendments to the FPP Determination create greater alignment between the FPP Determination, </w:t>
      </w:r>
      <w:r w:rsidRPr="00E64F9F">
        <w:rPr>
          <w:rFonts w:ascii="Times New Roman" w:hAnsi="Times New Roman"/>
          <w:i/>
          <w:iCs/>
          <w:sz w:val="24"/>
          <w:szCs w:val="24"/>
        </w:rPr>
        <w:t>the Standards for Registered Training Organisations (RTOs) 2015</w:t>
      </w:r>
      <w:r w:rsidRPr="00E64F9F">
        <w:rPr>
          <w:rFonts w:ascii="Times New Roman" w:hAnsi="Times New Roman"/>
          <w:sz w:val="24"/>
          <w:szCs w:val="24"/>
        </w:rPr>
        <w:t xml:space="preserve"> and the </w:t>
      </w:r>
      <w:r w:rsidRPr="00E64F9F">
        <w:rPr>
          <w:rFonts w:ascii="Times New Roman" w:hAnsi="Times New Roman"/>
          <w:i/>
          <w:iCs/>
          <w:sz w:val="24"/>
          <w:szCs w:val="24"/>
        </w:rPr>
        <w:t>Higher Education Support (Fit and Proper Person) Instrument 2019</w:t>
      </w:r>
      <w:r w:rsidRPr="00E64F9F">
        <w:rPr>
          <w:rFonts w:ascii="Times New Roman" w:hAnsi="Times New Roman"/>
          <w:sz w:val="24"/>
          <w:szCs w:val="24"/>
        </w:rPr>
        <w:t xml:space="preserve"> as three instruments </w:t>
      </w:r>
      <w:r w:rsidR="000A4ED6" w:rsidRPr="000A4ED6">
        <w:rPr>
          <w:rFonts w:ascii="Times New Roman" w:hAnsi="Times New Roman"/>
          <w:sz w:val="24"/>
          <w:szCs w:val="24"/>
        </w:rPr>
        <w:t>in the Education portfolio that go to the consideration of fitness and propriety of education providers and associated persons</w:t>
      </w:r>
      <w:r w:rsidRPr="00E64F9F">
        <w:rPr>
          <w:rFonts w:ascii="Times New Roman" w:hAnsi="Times New Roman"/>
          <w:sz w:val="24"/>
          <w:szCs w:val="24"/>
        </w:rPr>
        <w:t xml:space="preserve">. </w:t>
      </w:r>
    </w:p>
    <w:p w14:paraId="64A648C1" w14:textId="0955F13A" w:rsidR="00B1539A" w:rsidRPr="00E64F9F" w:rsidRDefault="00B1539A" w:rsidP="00B1539A">
      <w:pPr>
        <w:autoSpaceDE w:val="0"/>
        <w:autoSpaceDN w:val="0"/>
        <w:adjustRightInd w:val="0"/>
        <w:spacing w:after="160"/>
        <w:rPr>
          <w:rFonts w:ascii="Times New Roman" w:hAnsi="Times New Roman"/>
          <w:sz w:val="24"/>
          <w:szCs w:val="24"/>
        </w:rPr>
      </w:pPr>
      <w:r w:rsidRPr="00E64F9F">
        <w:rPr>
          <w:rFonts w:ascii="Times New Roman" w:hAnsi="Times New Roman"/>
          <w:sz w:val="24"/>
          <w:szCs w:val="24"/>
        </w:rPr>
        <w:t xml:space="preserve">The amendments allow TEQSA to take into consideration any history of convictions under foreign laws, any history of being found not fit and proper </w:t>
      </w:r>
      <w:r w:rsidR="00E8382A">
        <w:rPr>
          <w:rFonts w:ascii="Times New Roman" w:hAnsi="Times New Roman"/>
          <w:sz w:val="24"/>
          <w:szCs w:val="24"/>
        </w:rPr>
        <w:t xml:space="preserve">under an Australian </w:t>
      </w:r>
      <w:r w:rsidRPr="00E64F9F">
        <w:rPr>
          <w:rFonts w:ascii="Times New Roman" w:hAnsi="Times New Roman"/>
          <w:sz w:val="24"/>
          <w:szCs w:val="24"/>
        </w:rPr>
        <w:t xml:space="preserve">law and public confidence in an individual’s suitability. The amendments to the FPP Determination support the objectives of the </w:t>
      </w:r>
      <w:r w:rsidRPr="00E64F9F">
        <w:rPr>
          <w:rFonts w:ascii="Times New Roman" w:hAnsi="Times New Roman"/>
          <w:i/>
          <w:iCs/>
          <w:sz w:val="24"/>
          <w:szCs w:val="24"/>
        </w:rPr>
        <w:t>Tertiary Education Quality and Standards Agency Act 2011</w:t>
      </w:r>
      <w:r w:rsidRPr="00E64F9F">
        <w:rPr>
          <w:rFonts w:ascii="Times New Roman" w:hAnsi="Times New Roman"/>
          <w:sz w:val="24"/>
          <w:szCs w:val="24"/>
        </w:rPr>
        <w:t xml:space="preserve"> </w:t>
      </w:r>
      <w:r w:rsidR="00E8382A">
        <w:rPr>
          <w:rFonts w:ascii="Times New Roman" w:hAnsi="Times New Roman"/>
          <w:sz w:val="24"/>
          <w:szCs w:val="24"/>
        </w:rPr>
        <w:t xml:space="preserve">(TEQSA Act) </w:t>
      </w:r>
      <w:r w:rsidRPr="00E64F9F">
        <w:rPr>
          <w:rFonts w:ascii="Times New Roman" w:hAnsi="Times New Roman"/>
          <w:sz w:val="24"/>
          <w:szCs w:val="24"/>
        </w:rPr>
        <w:t>by:</w:t>
      </w:r>
    </w:p>
    <w:p w14:paraId="5A420E2C" w14:textId="28BDEB8B" w:rsidR="00B1539A" w:rsidRPr="00E64F9F" w:rsidRDefault="00B1539A" w:rsidP="00B1539A">
      <w:pPr>
        <w:numPr>
          <w:ilvl w:val="0"/>
          <w:numId w:val="19"/>
        </w:numPr>
        <w:autoSpaceDE w:val="0"/>
        <w:autoSpaceDN w:val="0"/>
        <w:adjustRightInd w:val="0"/>
        <w:spacing w:after="160"/>
        <w:rPr>
          <w:rFonts w:ascii="Times New Roman" w:hAnsi="Times New Roman"/>
          <w:sz w:val="24"/>
          <w:szCs w:val="24"/>
        </w:rPr>
      </w:pPr>
      <w:r w:rsidRPr="00E64F9F">
        <w:rPr>
          <w:rFonts w:ascii="Times New Roman" w:hAnsi="Times New Roman"/>
          <w:sz w:val="24"/>
          <w:szCs w:val="24"/>
        </w:rPr>
        <w:t xml:space="preserve">imposing more appropriately stringent </w:t>
      </w:r>
      <w:r w:rsidR="00E64F9F">
        <w:rPr>
          <w:rFonts w:ascii="Times New Roman" w:hAnsi="Times New Roman"/>
          <w:sz w:val="24"/>
          <w:szCs w:val="24"/>
        </w:rPr>
        <w:t>expectations</w:t>
      </w:r>
      <w:r w:rsidRPr="00E64F9F">
        <w:rPr>
          <w:rFonts w:ascii="Times New Roman" w:hAnsi="Times New Roman"/>
          <w:sz w:val="24"/>
          <w:szCs w:val="24"/>
        </w:rPr>
        <w:t xml:space="preserve"> on persons participating in making important decisions at higher education providers, thereby strengthening the governance capability and the integrity of the higher education </w:t>
      </w:r>
      <w:r w:rsidR="00EA27F0" w:rsidRPr="00E64F9F">
        <w:rPr>
          <w:rFonts w:ascii="Times New Roman" w:hAnsi="Times New Roman"/>
          <w:sz w:val="24"/>
          <w:szCs w:val="24"/>
        </w:rPr>
        <w:t>providers.</w:t>
      </w:r>
    </w:p>
    <w:p w14:paraId="332683B4" w14:textId="4113E5A2" w:rsidR="00B1539A" w:rsidRPr="00E64F9F" w:rsidRDefault="00B1539A" w:rsidP="00B1539A">
      <w:pPr>
        <w:numPr>
          <w:ilvl w:val="0"/>
          <w:numId w:val="19"/>
        </w:numPr>
        <w:autoSpaceDE w:val="0"/>
        <w:autoSpaceDN w:val="0"/>
        <w:adjustRightInd w:val="0"/>
        <w:spacing w:after="160"/>
        <w:rPr>
          <w:rFonts w:ascii="Times New Roman" w:hAnsi="Times New Roman"/>
          <w:sz w:val="24"/>
          <w:szCs w:val="24"/>
        </w:rPr>
      </w:pPr>
      <w:r w:rsidRPr="00E64F9F">
        <w:rPr>
          <w:rFonts w:ascii="Times New Roman" w:hAnsi="Times New Roman"/>
          <w:sz w:val="24"/>
          <w:szCs w:val="24"/>
        </w:rPr>
        <w:t xml:space="preserve">providing the public with greater reason to have confidence in the persons charged with </w:t>
      </w:r>
      <w:r w:rsidR="00DA7E95">
        <w:rPr>
          <w:rFonts w:ascii="Times New Roman" w:hAnsi="Times New Roman"/>
          <w:sz w:val="24"/>
          <w:szCs w:val="24"/>
        </w:rPr>
        <w:t>operating</w:t>
      </w:r>
      <w:r w:rsidR="00DA7E95" w:rsidRPr="00E64F9F">
        <w:rPr>
          <w:rFonts w:ascii="Times New Roman" w:hAnsi="Times New Roman"/>
          <w:sz w:val="24"/>
          <w:szCs w:val="24"/>
        </w:rPr>
        <w:t xml:space="preserve"> </w:t>
      </w:r>
      <w:r w:rsidRPr="00E64F9F">
        <w:rPr>
          <w:rFonts w:ascii="Times New Roman" w:hAnsi="Times New Roman"/>
          <w:sz w:val="24"/>
          <w:szCs w:val="24"/>
        </w:rPr>
        <w:t>higher education providers; and</w:t>
      </w:r>
    </w:p>
    <w:p w14:paraId="6797626F" w14:textId="77777777" w:rsidR="00B1539A" w:rsidRPr="00E64F9F" w:rsidRDefault="00B1539A" w:rsidP="00E64F9F">
      <w:pPr>
        <w:numPr>
          <w:ilvl w:val="0"/>
          <w:numId w:val="19"/>
        </w:numPr>
        <w:autoSpaceDE w:val="0"/>
        <w:autoSpaceDN w:val="0"/>
        <w:adjustRightInd w:val="0"/>
        <w:spacing w:after="160"/>
        <w:rPr>
          <w:rFonts w:ascii="Times New Roman" w:hAnsi="Times New Roman"/>
          <w:sz w:val="24"/>
          <w:szCs w:val="24"/>
        </w:rPr>
      </w:pPr>
      <w:r w:rsidRPr="00E64F9F">
        <w:rPr>
          <w:rFonts w:ascii="Times New Roman" w:hAnsi="Times New Roman"/>
          <w:sz w:val="24"/>
          <w:szCs w:val="24"/>
        </w:rPr>
        <w:t>mitigating the risk of poor corporate leadership and governance leading to inadequate higher education or, the potential collapse of higher education providers</w:t>
      </w:r>
      <w:r w:rsidR="00E8382A">
        <w:rPr>
          <w:rFonts w:ascii="Times New Roman" w:hAnsi="Times New Roman"/>
          <w:sz w:val="24"/>
          <w:szCs w:val="24"/>
        </w:rPr>
        <w:t>.</w:t>
      </w:r>
    </w:p>
    <w:p w14:paraId="35A8388E" w14:textId="77777777" w:rsidR="00E75B75" w:rsidRPr="00E4135E" w:rsidRDefault="00E75B75" w:rsidP="00690CCE">
      <w:pPr>
        <w:spacing w:before="200" w:after="100"/>
        <w:jc w:val="both"/>
        <w:rPr>
          <w:rFonts w:ascii="Times New Roman" w:hAnsi="Times New Roman"/>
          <w:b/>
          <w:sz w:val="24"/>
          <w:szCs w:val="24"/>
        </w:rPr>
      </w:pPr>
      <w:r w:rsidRPr="00E4135E">
        <w:rPr>
          <w:rFonts w:ascii="Times New Roman" w:hAnsi="Times New Roman"/>
          <w:b/>
          <w:sz w:val="24"/>
          <w:szCs w:val="24"/>
        </w:rPr>
        <w:t>Human rights implications</w:t>
      </w:r>
    </w:p>
    <w:p w14:paraId="118E7F92" w14:textId="77777777" w:rsidR="0027594F" w:rsidRPr="00EB6C3F" w:rsidRDefault="00EB6C3F" w:rsidP="00690CCE">
      <w:pPr>
        <w:spacing w:before="200" w:after="200"/>
        <w:rPr>
          <w:rFonts w:ascii="Times New Roman" w:hAnsi="Times New Roman"/>
          <w:sz w:val="24"/>
          <w:szCs w:val="24"/>
          <w:u w:val="single"/>
        </w:rPr>
      </w:pPr>
      <w:r w:rsidRPr="00EB6C3F">
        <w:rPr>
          <w:rFonts w:ascii="Times New Roman" w:hAnsi="Times New Roman"/>
          <w:sz w:val="24"/>
          <w:szCs w:val="24"/>
          <w:u w:val="single"/>
        </w:rPr>
        <w:t>Right to education</w:t>
      </w:r>
    </w:p>
    <w:p w14:paraId="00305A9E" w14:textId="191EAFEC" w:rsidR="00917F31" w:rsidRDefault="00EB6C3F" w:rsidP="00690CCE">
      <w:pPr>
        <w:spacing w:before="200" w:after="200"/>
        <w:rPr>
          <w:rFonts w:ascii="Times New Roman" w:hAnsi="Times New Roman"/>
          <w:sz w:val="24"/>
          <w:szCs w:val="24"/>
        </w:rPr>
      </w:pPr>
      <w:r w:rsidRPr="00EB6C3F">
        <w:rPr>
          <w:rFonts w:ascii="Times New Roman" w:hAnsi="Times New Roman"/>
          <w:sz w:val="24"/>
          <w:szCs w:val="24"/>
        </w:rPr>
        <w:t xml:space="preserve">The </w:t>
      </w:r>
      <w:r w:rsidR="0027594F">
        <w:rPr>
          <w:rFonts w:ascii="Times New Roman" w:hAnsi="Times New Roman"/>
          <w:sz w:val="24"/>
          <w:szCs w:val="24"/>
        </w:rPr>
        <w:t>A</w:t>
      </w:r>
      <w:r w:rsidRPr="00EB6C3F">
        <w:rPr>
          <w:rFonts w:ascii="Times New Roman" w:hAnsi="Times New Roman"/>
          <w:sz w:val="24"/>
          <w:szCs w:val="24"/>
        </w:rPr>
        <w:t xml:space="preserve">mending </w:t>
      </w:r>
      <w:r w:rsidR="0027594F">
        <w:rPr>
          <w:rFonts w:ascii="Times New Roman" w:hAnsi="Times New Roman"/>
          <w:sz w:val="24"/>
          <w:szCs w:val="24"/>
        </w:rPr>
        <w:t>I</w:t>
      </w:r>
      <w:r w:rsidRPr="00EB6C3F">
        <w:rPr>
          <w:rFonts w:ascii="Times New Roman" w:hAnsi="Times New Roman"/>
          <w:sz w:val="24"/>
          <w:szCs w:val="24"/>
        </w:rPr>
        <w:t xml:space="preserve">nstrument engages the right to education which is set out in Article 13 of the </w:t>
      </w:r>
      <w:r w:rsidR="0027594F" w:rsidRPr="005D7E05">
        <w:rPr>
          <w:rFonts w:ascii="Times New Roman" w:hAnsi="Times New Roman"/>
          <w:i/>
        </w:rPr>
        <w:t>International Covenant on Economic, Social and Cultural Rights</w:t>
      </w:r>
      <w:r w:rsidRPr="00EB6C3F">
        <w:rPr>
          <w:rFonts w:ascii="Times New Roman" w:hAnsi="Times New Roman"/>
          <w:sz w:val="24"/>
          <w:szCs w:val="24"/>
        </w:rPr>
        <w:t>.</w:t>
      </w:r>
      <w:r>
        <w:rPr>
          <w:rFonts w:ascii="Times New Roman" w:hAnsi="Times New Roman"/>
          <w:sz w:val="24"/>
          <w:szCs w:val="24"/>
        </w:rPr>
        <w:t xml:space="preserve"> </w:t>
      </w:r>
      <w:r w:rsidRPr="00EB6C3F">
        <w:rPr>
          <w:rFonts w:ascii="Times New Roman" w:hAnsi="Times New Roman"/>
          <w:sz w:val="24"/>
          <w:szCs w:val="24"/>
        </w:rPr>
        <w:t xml:space="preserve">The right to education recognises the important personal, societal, economic and intellectual benefits of education, and provides that secondary education in its different forms, including higher education, shall be made generally available and accessible to all by every appropriate means. </w:t>
      </w:r>
    </w:p>
    <w:p w14:paraId="0085F898" w14:textId="38C272F3" w:rsidR="00814698" w:rsidRDefault="00811736" w:rsidP="003D4028">
      <w:pPr>
        <w:spacing w:before="200" w:after="200"/>
        <w:rPr>
          <w:rFonts w:ascii="Times New Roman" w:hAnsi="Times New Roman"/>
          <w:sz w:val="24"/>
          <w:szCs w:val="24"/>
        </w:rPr>
      </w:pPr>
      <w:r>
        <w:rPr>
          <w:rFonts w:ascii="Times New Roman" w:hAnsi="Times New Roman"/>
          <w:sz w:val="24"/>
          <w:szCs w:val="24"/>
        </w:rPr>
        <w:t>The requirement under the TEQSA Act for</w:t>
      </w:r>
      <w:r w:rsidR="00E8382A">
        <w:rPr>
          <w:rFonts w:ascii="Times New Roman" w:hAnsi="Times New Roman"/>
          <w:sz w:val="24"/>
          <w:szCs w:val="24"/>
        </w:rPr>
        <w:t xml:space="preserve"> higher education </w:t>
      </w:r>
      <w:r w:rsidR="007B2A4D">
        <w:rPr>
          <w:rFonts w:ascii="Times New Roman" w:hAnsi="Times New Roman"/>
          <w:sz w:val="24"/>
          <w:szCs w:val="24"/>
        </w:rPr>
        <w:t>providers</w:t>
      </w:r>
      <w:r w:rsidR="006B644D">
        <w:rPr>
          <w:rFonts w:ascii="Times New Roman" w:hAnsi="Times New Roman"/>
          <w:sz w:val="24"/>
          <w:szCs w:val="24"/>
        </w:rPr>
        <w:t>,</w:t>
      </w:r>
      <w:r w:rsidR="007B2A4D">
        <w:rPr>
          <w:rFonts w:ascii="Times New Roman" w:hAnsi="Times New Roman"/>
          <w:sz w:val="24"/>
          <w:szCs w:val="24"/>
        </w:rPr>
        <w:t xml:space="preserve"> and certain persons involved with </w:t>
      </w:r>
      <w:r w:rsidR="00E8382A">
        <w:rPr>
          <w:rFonts w:ascii="Times New Roman" w:hAnsi="Times New Roman"/>
          <w:sz w:val="24"/>
          <w:szCs w:val="24"/>
        </w:rPr>
        <w:t>higher education provider</w:t>
      </w:r>
      <w:r w:rsidR="007B2A4D">
        <w:rPr>
          <w:rFonts w:ascii="Times New Roman" w:hAnsi="Times New Roman"/>
          <w:sz w:val="24"/>
          <w:szCs w:val="24"/>
        </w:rPr>
        <w:t>s</w:t>
      </w:r>
      <w:r w:rsidR="001057DC">
        <w:rPr>
          <w:rFonts w:ascii="Times New Roman" w:hAnsi="Times New Roman"/>
          <w:sz w:val="24"/>
          <w:szCs w:val="24"/>
        </w:rPr>
        <w:t>,</w:t>
      </w:r>
      <w:r w:rsidR="00E8382A">
        <w:rPr>
          <w:rFonts w:ascii="Times New Roman" w:hAnsi="Times New Roman"/>
          <w:sz w:val="24"/>
          <w:szCs w:val="24"/>
        </w:rPr>
        <w:t xml:space="preserve"> to be fit and proper</w:t>
      </w:r>
      <w:r w:rsidR="00E8382A" w:rsidDel="006364E2">
        <w:rPr>
          <w:rFonts w:ascii="Times New Roman" w:hAnsi="Times New Roman"/>
          <w:sz w:val="24"/>
          <w:szCs w:val="24"/>
        </w:rPr>
        <w:t>,</w:t>
      </w:r>
      <w:r w:rsidR="00E8382A">
        <w:rPr>
          <w:rFonts w:ascii="Times New Roman" w:hAnsi="Times New Roman"/>
          <w:sz w:val="24"/>
          <w:szCs w:val="24"/>
        </w:rPr>
        <w:t xml:space="preserve"> goes toward ensuring that providers are well governed and act with integrity</w:t>
      </w:r>
      <w:r w:rsidR="00786663">
        <w:rPr>
          <w:rFonts w:ascii="Times New Roman" w:hAnsi="Times New Roman"/>
          <w:sz w:val="24"/>
          <w:szCs w:val="24"/>
        </w:rPr>
        <w:t xml:space="preserve"> in the delivery of education services</w:t>
      </w:r>
      <w:r w:rsidR="006315D9">
        <w:rPr>
          <w:rFonts w:ascii="Times New Roman" w:hAnsi="Times New Roman"/>
          <w:sz w:val="24"/>
          <w:szCs w:val="24"/>
        </w:rPr>
        <w:t>.</w:t>
      </w:r>
      <w:r w:rsidR="00361289">
        <w:rPr>
          <w:rFonts w:ascii="Times New Roman" w:hAnsi="Times New Roman"/>
          <w:sz w:val="24"/>
          <w:szCs w:val="24"/>
        </w:rPr>
        <w:t xml:space="preserve"> </w:t>
      </w:r>
    </w:p>
    <w:p w14:paraId="76523A53" w14:textId="6A6AB112" w:rsidR="00814698" w:rsidRDefault="00853684" w:rsidP="00814698">
      <w:pPr>
        <w:spacing w:before="200" w:after="200"/>
        <w:rPr>
          <w:rFonts w:ascii="Times New Roman" w:hAnsi="Times New Roman"/>
          <w:sz w:val="24"/>
          <w:szCs w:val="24"/>
        </w:rPr>
      </w:pPr>
      <w:r>
        <w:rPr>
          <w:rFonts w:ascii="Times New Roman" w:hAnsi="Times New Roman"/>
          <w:sz w:val="24"/>
          <w:szCs w:val="24"/>
        </w:rPr>
        <w:t xml:space="preserve">The Amending Instrument </w:t>
      </w:r>
      <w:proofErr w:type="gramStart"/>
      <w:r w:rsidR="00786663">
        <w:rPr>
          <w:rFonts w:ascii="Times New Roman" w:hAnsi="Times New Roman"/>
          <w:sz w:val="24"/>
          <w:szCs w:val="24"/>
        </w:rPr>
        <w:t>has an effect on</w:t>
      </w:r>
      <w:proofErr w:type="gramEnd"/>
      <w:r w:rsidR="00786663">
        <w:rPr>
          <w:rFonts w:ascii="Times New Roman" w:hAnsi="Times New Roman"/>
          <w:sz w:val="24"/>
          <w:szCs w:val="24"/>
        </w:rPr>
        <w:t xml:space="preserve"> the regulation of higher education b</w:t>
      </w:r>
      <w:r w:rsidR="00814698">
        <w:rPr>
          <w:rFonts w:ascii="Times New Roman" w:hAnsi="Times New Roman"/>
          <w:sz w:val="24"/>
          <w:szCs w:val="24"/>
        </w:rPr>
        <w:t xml:space="preserve">y specifying additional matters that TEQSA may take into account in determining whether a person is a fit </w:t>
      </w:r>
      <w:r w:rsidR="00814698">
        <w:rPr>
          <w:rFonts w:ascii="Times New Roman" w:hAnsi="Times New Roman"/>
          <w:sz w:val="24"/>
          <w:szCs w:val="24"/>
        </w:rPr>
        <w:lastRenderedPageBreak/>
        <w:t>and proper person</w:t>
      </w:r>
      <w:r w:rsidR="00786663">
        <w:rPr>
          <w:rFonts w:ascii="Times New Roman" w:hAnsi="Times New Roman"/>
          <w:sz w:val="24"/>
          <w:szCs w:val="24"/>
        </w:rPr>
        <w:t xml:space="preserve">. </w:t>
      </w:r>
      <w:r w:rsidR="00E05614">
        <w:rPr>
          <w:rFonts w:ascii="Times New Roman" w:hAnsi="Times New Roman"/>
          <w:sz w:val="24"/>
          <w:szCs w:val="24"/>
        </w:rPr>
        <w:t xml:space="preserve">These matters include a person’s </w:t>
      </w:r>
      <w:r w:rsidR="004342BF" w:rsidRPr="00E64F9F">
        <w:rPr>
          <w:rFonts w:ascii="Times New Roman" w:hAnsi="Times New Roman"/>
          <w:sz w:val="24"/>
          <w:szCs w:val="24"/>
        </w:rPr>
        <w:t xml:space="preserve">history of convictions under foreign laws, history of being found not fit and proper </w:t>
      </w:r>
      <w:r w:rsidR="004342BF">
        <w:rPr>
          <w:rFonts w:ascii="Times New Roman" w:hAnsi="Times New Roman"/>
          <w:sz w:val="24"/>
          <w:szCs w:val="24"/>
        </w:rPr>
        <w:t xml:space="preserve">under an Australian </w:t>
      </w:r>
      <w:r w:rsidR="004342BF" w:rsidRPr="00E64F9F">
        <w:rPr>
          <w:rFonts w:ascii="Times New Roman" w:hAnsi="Times New Roman"/>
          <w:sz w:val="24"/>
          <w:szCs w:val="24"/>
        </w:rPr>
        <w:t>law</w:t>
      </w:r>
      <w:r w:rsidR="008156CE">
        <w:rPr>
          <w:rFonts w:ascii="Times New Roman" w:hAnsi="Times New Roman"/>
          <w:sz w:val="24"/>
          <w:szCs w:val="24"/>
        </w:rPr>
        <w:t>,</w:t>
      </w:r>
      <w:r w:rsidR="004342BF" w:rsidRPr="00E64F9F">
        <w:rPr>
          <w:rFonts w:ascii="Times New Roman" w:hAnsi="Times New Roman"/>
          <w:sz w:val="24"/>
          <w:szCs w:val="24"/>
        </w:rPr>
        <w:t xml:space="preserve"> and </w:t>
      </w:r>
      <w:r w:rsidR="008156CE">
        <w:rPr>
          <w:rFonts w:ascii="Times New Roman" w:hAnsi="Times New Roman"/>
          <w:sz w:val="24"/>
          <w:szCs w:val="24"/>
        </w:rPr>
        <w:t xml:space="preserve">consideration of </w:t>
      </w:r>
      <w:r w:rsidR="004342BF" w:rsidRPr="00E64F9F">
        <w:rPr>
          <w:rFonts w:ascii="Times New Roman" w:hAnsi="Times New Roman"/>
          <w:sz w:val="24"/>
          <w:szCs w:val="24"/>
        </w:rPr>
        <w:t>public confidence in a</w:t>
      </w:r>
      <w:r w:rsidR="0021225B">
        <w:rPr>
          <w:rFonts w:ascii="Times New Roman" w:hAnsi="Times New Roman"/>
          <w:sz w:val="24"/>
          <w:szCs w:val="24"/>
        </w:rPr>
        <w:t xml:space="preserve"> person’s </w:t>
      </w:r>
      <w:r w:rsidR="004342BF" w:rsidRPr="00E64F9F">
        <w:rPr>
          <w:rFonts w:ascii="Times New Roman" w:hAnsi="Times New Roman"/>
          <w:sz w:val="24"/>
          <w:szCs w:val="24"/>
        </w:rPr>
        <w:t>suitability</w:t>
      </w:r>
      <w:r w:rsidR="008156CE">
        <w:rPr>
          <w:rFonts w:ascii="Times New Roman" w:hAnsi="Times New Roman"/>
          <w:sz w:val="24"/>
          <w:szCs w:val="24"/>
        </w:rPr>
        <w:t xml:space="preserve"> to </w:t>
      </w:r>
      <w:r w:rsidR="0021225B">
        <w:rPr>
          <w:rFonts w:ascii="Times New Roman" w:hAnsi="Times New Roman"/>
          <w:sz w:val="24"/>
          <w:szCs w:val="24"/>
        </w:rPr>
        <w:t xml:space="preserve">hold </w:t>
      </w:r>
      <w:r w:rsidR="00CA7FE3">
        <w:rPr>
          <w:rFonts w:ascii="Times New Roman" w:hAnsi="Times New Roman"/>
          <w:sz w:val="24"/>
          <w:szCs w:val="24"/>
        </w:rPr>
        <w:t xml:space="preserve">decision-making positions in a higher education provider. </w:t>
      </w:r>
      <w:r w:rsidR="0001731A">
        <w:rPr>
          <w:rFonts w:ascii="Times New Roman" w:hAnsi="Times New Roman"/>
          <w:sz w:val="24"/>
          <w:szCs w:val="24"/>
        </w:rPr>
        <w:t>By incorporating these additional matters</w:t>
      </w:r>
      <w:r w:rsidR="00814698">
        <w:rPr>
          <w:rFonts w:ascii="Times New Roman" w:hAnsi="Times New Roman"/>
          <w:sz w:val="24"/>
          <w:szCs w:val="24"/>
        </w:rPr>
        <w:t xml:space="preserve">, the Amending Instrument places more stringent integrity requirements </w:t>
      </w:r>
      <w:r w:rsidR="00811736">
        <w:rPr>
          <w:rFonts w:ascii="Times New Roman" w:hAnsi="Times New Roman"/>
          <w:sz w:val="24"/>
          <w:szCs w:val="24"/>
        </w:rPr>
        <w:t xml:space="preserve">on </w:t>
      </w:r>
      <w:r w:rsidR="00486EDD">
        <w:rPr>
          <w:rFonts w:ascii="Times New Roman" w:hAnsi="Times New Roman"/>
          <w:sz w:val="24"/>
          <w:szCs w:val="24"/>
        </w:rPr>
        <w:t xml:space="preserve">higher education providers and </w:t>
      </w:r>
      <w:r w:rsidR="00811736">
        <w:rPr>
          <w:rFonts w:ascii="Times New Roman" w:hAnsi="Times New Roman"/>
          <w:sz w:val="24"/>
          <w:szCs w:val="24"/>
        </w:rPr>
        <w:t xml:space="preserve">persons who participate in making important decisions </w:t>
      </w:r>
      <w:r w:rsidR="0086101E">
        <w:rPr>
          <w:rFonts w:ascii="Times New Roman" w:hAnsi="Times New Roman"/>
          <w:sz w:val="24"/>
          <w:szCs w:val="24"/>
        </w:rPr>
        <w:t xml:space="preserve">about the governance of higher education providers. </w:t>
      </w:r>
      <w:r w:rsidR="00814698">
        <w:rPr>
          <w:rFonts w:ascii="Times New Roman" w:hAnsi="Times New Roman"/>
          <w:sz w:val="24"/>
          <w:szCs w:val="24"/>
        </w:rPr>
        <w:t xml:space="preserve"> </w:t>
      </w:r>
    </w:p>
    <w:p w14:paraId="3C1B735B" w14:textId="514DF0EA" w:rsidR="00EB6C3F" w:rsidRPr="00EB6C3F" w:rsidRDefault="00814698" w:rsidP="00690CCE">
      <w:pPr>
        <w:spacing w:before="200" w:after="200"/>
        <w:rPr>
          <w:rFonts w:ascii="Times New Roman" w:hAnsi="Times New Roman"/>
          <w:sz w:val="24"/>
          <w:szCs w:val="24"/>
        </w:rPr>
      </w:pPr>
      <w:r>
        <w:rPr>
          <w:rFonts w:ascii="Times New Roman" w:hAnsi="Times New Roman"/>
          <w:sz w:val="24"/>
          <w:szCs w:val="24"/>
        </w:rPr>
        <w:t xml:space="preserve">This supports TEQSA’s capacity to ensure integrity in the higher education sector, which will enhance the quality and sustainability of Australian higher education and, in turn, promote the right to education. </w:t>
      </w:r>
      <w:r w:rsidR="00E64F9F">
        <w:rPr>
          <w:rFonts w:ascii="Times New Roman" w:hAnsi="Times New Roman"/>
          <w:sz w:val="24"/>
          <w:szCs w:val="24"/>
        </w:rPr>
        <w:t xml:space="preserve">  </w:t>
      </w:r>
    </w:p>
    <w:p w14:paraId="042547F3" w14:textId="77777777" w:rsidR="00E75B75" w:rsidRPr="00690CCE" w:rsidRDefault="00EB6C3F" w:rsidP="00690CCE">
      <w:pPr>
        <w:spacing w:before="200" w:after="200"/>
        <w:rPr>
          <w:rFonts w:ascii="Times New Roman" w:hAnsi="Times New Roman"/>
          <w:sz w:val="24"/>
          <w:szCs w:val="24"/>
        </w:rPr>
      </w:pPr>
      <w:r w:rsidRPr="00EB6C3F">
        <w:rPr>
          <w:rFonts w:ascii="Times New Roman" w:hAnsi="Times New Roman"/>
          <w:sz w:val="24"/>
          <w:szCs w:val="24"/>
        </w:rPr>
        <w:t xml:space="preserve">The </w:t>
      </w:r>
      <w:r>
        <w:rPr>
          <w:rFonts w:ascii="Times New Roman" w:hAnsi="Times New Roman"/>
          <w:sz w:val="24"/>
          <w:szCs w:val="24"/>
        </w:rPr>
        <w:t>amending instrument</w:t>
      </w:r>
      <w:r w:rsidRPr="00EB6C3F">
        <w:rPr>
          <w:rFonts w:ascii="Times New Roman" w:hAnsi="Times New Roman"/>
          <w:sz w:val="24"/>
          <w:szCs w:val="24"/>
        </w:rPr>
        <w:t xml:space="preserve"> is compatible with the right to education.</w:t>
      </w:r>
    </w:p>
    <w:p w14:paraId="2545D93F" w14:textId="77777777" w:rsidR="00E75B75" w:rsidRPr="00E4135E" w:rsidRDefault="00E75B75" w:rsidP="00690CCE">
      <w:pPr>
        <w:spacing w:before="200" w:after="100"/>
        <w:jc w:val="both"/>
        <w:rPr>
          <w:rFonts w:ascii="Times New Roman" w:hAnsi="Times New Roman"/>
          <w:b/>
          <w:sz w:val="24"/>
          <w:szCs w:val="24"/>
        </w:rPr>
      </w:pPr>
      <w:r w:rsidRPr="00E4135E">
        <w:rPr>
          <w:rFonts w:ascii="Times New Roman" w:hAnsi="Times New Roman"/>
          <w:b/>
          <w:sz w:val="24"/>
          <w:szCs w:val="24"/>
        </w:rPr>
        <w:t>Conclusion</w:t>
      </w:r>
    </w:p>
    <w:p w14:paraId="03AC008F" w14:textId="77777777" w:rsidR="00E75B75" w:rsidRPr="00132354" w:rsidRDefault="002F7D8A" w:rsidP="00E64F9F">
      <w:pPr>
        <w:spacing w:before="200" w:after="200"/>
        <w:rPr>
          <w:rFonts w:ascii="Times New Roman" w:hAnsi="Times New Roman"/>
          <w:sz w:val="24"/>
          <w:szCs w:val="24"/>
        </w:rPr>
      </w:pPr>
      <w:r>
        <w:rPr>
          <w:rFonts w:ascii="Times New Roman" w:hAnsi="Times New Roman"/>
          <w:sz w:val="24"/>
          <w:szCs w:val="24"/>
        </w:rPr>
        <w:t>This</w:t>
      </w:r>
      <w:r w:rsidR="00EB6C3F">
        <w:rPr>
          <w:rFonts w:ascii="Times New Roman" w:hAnsi="Times New Roman"/>
          <w:sz w:val="24"/>
          <w:szCs w:val="24"/>
        </w:rPr>
        <w:t xml:space="preserve"> amending instrument</w:t>
      </w:r>
      <w:r>
        <w:rPr>
          <w:rFonts w:ascii="Times New Roman" w:hAnsi="Times New Roman"/>
          <w:sz w:val="24"/>
          <w:szCs w:val="24"/>
        </w:rPr>
        <w:t xml:space="preserve"> is compatible with human rights</w:t>
      </w:r>
      <w:r w:rsidR="00EB6C3F">
        <w:rPr>
          <w:rFonts w:ascii="Times New Roman" w:hAnsi="Times New Roman"/>
          <w:sz w:val="24"/>
          <w:szCs w:val="24"/>
        </w:rPr>
        <w:t xml:space="preserve"> because it promotes the protection of human rights</w:t>
      </w:r>
      <w:r w:rsidR="00E75B75" w:rsidRPr="00E4135E">
        <w:rPr>
          <w:rFonts w:ascii="Times New Roman" w:hAnsi="Times New Roman"/>
          <w:sz w:val="24"/>
          <w:szCs w:val="24"/>
        </w:rPr>
        <w:t>.</w:t>
      </w:r>
    </w:p>
    <w:p w14:paraId="66BFB565" w14:textId="77777777" w:rsidR="002F7D8A" w:rsidRDefault="002F7D8A" w:rsidP="00E75B75">
      <w:pPr>
        <w:rPr>
          <w:rFonts w:ascii="Times New Roman" w:hAnsi="Times New Roman"/>
          <w:sz w:val="24"/>
          <w:szCs w:val="24"/>
        </w:rPr>
      </w:pPr>
    </w:p>
    <w:p w14:paraId="639ED5F5" w14:textId="1AD62B50" w:rsidR="002F7D8A" w:rsidRDefault="00AE049E" w:rsidP="00E75B75">
      <w:pPr>
        <w:rPr>
          <w:rFonts w:ascii="Times New Roman" w:hAnsi="Times New Roman"/>
          <w:sz w:val="24"/>
          <w:szCs w:val="24"/>
        </w:rPr>
      </w:pPr>
      <w:r>
        <w:rPr>
          <w:rFonts w:ascii="Times New Roman" w:hAnsi="Times New Roman"/>
          <w:sz w:val="24"/>
          <w:szCs w:val="24"/>
        </w:rPr>
        <w:t xml:space="preserve">                                                                                               </w:t>
      </w:r>
    </w:p>
    <w:p w14:paraId="5F82F1EB" w14:textId="6B15A72A" w:rsidR="001E2626" w:rsidRDefault="00054B86" w:rsidP="001E2626">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D879D03" w14:textId="0487F992" w:rsidR="001E2626" w:rsidRPr="00132354" w:rsidRDefault="001E2626" w:rsidP="001E2626">
      <w:pPr>
        <w:rPr>
          <w:rFonts w:ascii="Times New Roman" w:hAnsi="Times New Roman"/>
          <w:sz w:val="24"/>
          <w:szCs w:val="24"/>
        </w:rPr>
      </w:pPr>
      <w:r w:rsidRPr="00132354">
        <w:rPr>
          <w:rFonts w:ascii="Times New Roman" w:hAnsi="Times New Roman"/>
          <w:sz w:val="24"/>
          <w:szCs w:val="24"/>
        </w:rPr>
        <w:t>_______________________</w:t>
      </w:r>
      <w:r w:rsidRPr="00132354">
        <w:rPr>
          <w:rFonts w:ascii="Times New Roman" w:hAnsi="Times New Roman"/>
          <w:sz w:val="24"/>
          <w:szCs w:val="24"/>
        </w:rPr>
        <w:tab/>
      </w:r>
      <w:r w:rsidRPr="0013235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2354">
        <w:rPr>
          <w:rFonts w:ascii="Times New Roman" w:hAnsi="Times New Roman"/>
          <w:sz w:val="24"/>
          <w:szCs w:val="24"/>
        </w:rPr>
        <w:t>____</w:t>
      </w:r>
      <w:r>
        <w:rPr>
          <w:rFonts w:ascii="Times New Roman" w:hAnsi="Times New Roman"/>
          <w:sz w:val="24"/>
          <w:szCs w:val="24"/>
        </w:rPr>
        <w:t>__________________</w:t>
      </w:r>
      <w:r>
        <w:rPr>
          <w:rFonts w:ascii="Times New Roman" w:hAnsi="Times New Roman"/>
          <w:sz w:val="24"/>
          <w:szCs w:val="24"/>
        </w:rPr>
        <w:tab/>
      </w:r>
    </w:p>
    <w:p w14:paraId="169F515C" w14:textId="77777777" w:rsidR="001E2626" w:rsidRPr="00132354" w:rsidRDefault="001E2626" w:rsidP="001E2626">
      <w:pPr>
        <w:rPr>
          <w:rFonts w:ascii="Times New Roman" w:hAnsi="Times New Roman"/>
          <w:sz w:val="24"/>
          <w:szCs w:val="24"/>
        </w:rPr>
      </w:pPr>
      <w:r>
        <w:rPr>
          <w:rFonts w:ascii="Times New Roman" w:hAnsi="Times New Roman"/>
          <w:sz w:val="24"/>
          <w:szCs w:val="24"/>
        </w:rPr>
        <w:t>Adrienne Nieuwenhuis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Stephen Somogyi</w:t>
      </w:r>
    </w:p>
    <w:p w14:paraId="669F9091" w14:textId="176F53B5" w:rsidR="00242BFD" w:rsidRDefault="00E64F9F" w:rsidP="001E2626">
      <w:pPr>
        <w:rPr>
          <w:rFonts w:ascii="Times New Roman" w:hAnsi="Times New Roman"/>
          <w:sz w:val="24"/>
          <w:szCs w:val="24"/>
        </w:rPr>
      </w:pPr>
      <w:r>
        <w:rPr>
          <w:rFonts w:ascii="Times New Roman" w:hAnsi="Times New Roman"/>
          <w:sz w:val="24"/>
          <w:szCs w:val="24"/>
        </w:rPr>
        <w:t xml:space="preserve">Acting Chief </w:t>
      </w:r>
      <w:r w:rsidR="001E2626" w:rsidRPr="00132354">
        <w:rPr>
          <w:rFonts w:ascii="Times New Roman" w:hAnsi="Times New Roman"/>
          <w:sz w:val="24"/>
          <w:szCs w:val="24"/>
        </w:rPr>
        <w:t>Commissioner</w:t>
      </w:r>
      <w:r w:rsidR="001E2626">
        <w:rPr>
          <w:rFonts w:ascii="Times New Roman" w:hAnsi="Times New Roman"/>
          <w:sz w:val="24"/>
          <w:szCs w:val="24"/>
        </w:rPr>
        <w:tab/>
      </w:r>
      <w:r w:rsidR="001E2626">
        <w:rPr>
          <w:rFonts w:ascii="Times New Roman" w:hAnsi="Times New Roman"/>
          <w:sz w:val="24"/>
          <w:szCs w:val="24"/>
        </w:rPr>
        <w:tab/>
      </w:r>
      <w:r w:rsidR="001E2626">
        <w:rPr>
          <w:rFonts w:ascii="Times New Roman" w:hAnsi="Times New Roman"/>
          <w:sz w:val="24"/>
          <w:szCs w:val="24"/>
        </w:rPr>
        <w:tab/>
      </w:r>
      <w:r w:rsidR="001E2626">
        <w:rPr>
          <w:rFonts w:ascii="Times New Roman" w:hAnsi="Times New Roman"/>
          <w:sz w:val="24"/>
          <w:szCs w:val="24"/>
        </w:rPr>
        <w:tab/>
      </w:r>
      <w:r w:rsidR="001E2626">
        <w:rPr>
          <w:rFonts w:ascii="Times New Roman" w:hAnsi="Times New Roman"/>
          <w:sz w:val="24"/>
          <w:szCs w:val="24"/>
        </w:rPr>
        <w:tab/>
      </w:r>
      <w:proofErr w:type="spellStart"/>
      <w:r w:rsidR="00242BFD" w:rsidRPr="00132354">
        <w:rPr>
          <w:rFonts w:ascii="Times New Roman" w:hAnsi="Times New Roman"/>
          <w:sz w:val="24"/>
          <w:szCs w:val="24"/>
        </w:rPr>
        <w:t>Commissioner</w:t>
      </w:r>
      <w:proofErr w:type="spellEnd"/>
      <w:r w:rsidR="00242BFD">
        <w:rPr>
          <w:rFonts w:ascii="Times New Roman" w:hAnsi="Times New Roman"/>
          <w:sz w:val="24"/>
          <w:szCs w:val="24"/>
        </w:rPr>
        <w:tab/>
      </w:r>
    </w:p>
    <w:p w14:paraId="5A6DB62B" w14:textId="43A93C27" w:rsidR="00242BFD" w:rsidRDefault="00242BFD" w:rsidP="00242BFD">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CDF55C6" w14:textId="3DF26723" w:rsidR="00242BFD" w:rsidRDefault="00242BFD" w:rsidP="001E2626">
      <w:pPr>
        <w:rPr>
          <w:rFonts w:ascii="Times New Roman" w:hAnsi="Times New Roman"/>
          <w:sz w:val="24"/>
          <w:szCs w:val="24"/>
        </w:rPr>
      </w:pPr>
    </w:p>
    <w:p w14:paraId="2468E67F" w14:textId="77777777" w:rsidR="00E75B75" w:rsidRDefault="00E75B75" w:rsidP="00E75B75">
      <w:pPr>
        <w:rPr>
          <w:rFonts w:ascii="Times New Roman" w:hAnsi="Times New Roman"/>
          <w:sz w:val="24"/>
          <w:szCs w:val="24"/>
        </w:rPr>
      </w:pPr>
    </w:p>
    <w:p w14:paraId="675F5932" w14:textId="77777777" w:rsidR="00E75B75" w:rsidRDefault="00E75B75" w:rsidP="00E75B75">
      <w:pPr>
        <w:rPr>
          <w:rFonts w:ascii="Times New Roman" w:hAnsi="Times New Roman"/>
          <w:sz w:val="24"/>
          <w:szCs w:val="24"/>
        </w:rPr>
      </w:pPr>
    </w:p>
    <w:p w14:paraId="4FEDC2CE" w14:textId="77777777" w:rsidR="00E75B75" w:rsidRDefault="00E75B75" w:rsidP="00E75B75">
      <w:pPr>
        <w:rPr>
          <w:rFonts w:ascii="Times New Roman" w:hAnsi="Times New Roman"/>
          <w:sz w:val="24"/>
          <w:szCs w:val="24"/>
        </w:rPr>
      </w:pPr>
    </w:p>
    <w:p w14:paraId="6F574B66" w14:textId="77777777" w:rsidR="002711B4" w:rsidRDefault="00E75B75" w:rsidP="002F7D8A">
      <w:pPr>
        <w:ind w:left="720" w:hanging="720"/>
      </w:pPr>
      <w:r w:rsidRPr="00077F88">
        <w:rPr>
          <w:rFonts w:ascii="Times New Roman" w:hAnsi="Times New Roman"/>
          <w:sz w:val="24"/>
          <w:szCs w:val="24"/>
        </w:rPr>
        <w:t>Tertiary Education Quality and Standards Agenc</w:t>
      </w:r>
      <w:r w:rsidR="002F7D8A">
        <w:rPr>
          <w:rFonts w:ascii="Times New Roman" w:hAnsi="Times New Roman"/>
          <w:sz w:val="24"/>
          <w:szCs w:val="24"/>
        </w:rPr>
        <w:t>y</w:t>
      </w:r>
    </w:p>
    <w:p w14:paraId="02F47DD9" w14:textId="77777777" w:rsidR="002711B4" w:rsidRDefault="002711B4" w:rsidP="002711B4">
      <w:pPr>
        <w:ind w:left="720" w:hanging="720"/>
      </w:pPr>
    </w:p>
    <w:p w14:paraId="788C8F9F" w14:textId="77777777" w:rsidR="001B4165" w:rsidRPr="00E85296" w:rsidRDefault="001B4165" w:rsidP="00E85296">
      <w:pPr>
        <w:spacing w:before="40" w:after="40"/>
        <w:rPr>
          <w:rFonts w:cs="Arial"/>
          <w:sz w:val="24"/>
          <w:szCs w:val="24"/>
        </w:rPr>
      </w:pPr>
    </w:p>
    <w:sectPr w:rsidR="001B4165" w:rsidRPr="00E85296" w:rsidSect="000A65F0">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709"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777A" w14:textId="77777777" w:rsidR="002565BC" w:rsidRDefault="002565BC" w:rsidP="00BA0899">
      <w:r>
        <w:separator/>
      </w:r>
    </w:p>
  </w:endnote>
  <w:endnote w:type="continuationSeparator" w:id="0">
    <w:p w14:paraId="1F130D77" w14:textId="77777777" w:rsidR="002565BC" w:rsidRDefault="002565BC" w:rsidP="00BA0899">
      <w:r>
        <w:continuationSeparator/>
      </w:r>
    </w:p>
  </w:endnote>
  <w:endnote w:type="continuationNotice" w:id="1">
    <w:p w14:paraId="29CF0DF7" w14:textId="77777777" w:rsidR="002565BC" w:rsidRDefault="00256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2EFC" w14:textId="279CAEE2" w:rsidR="008B1111" w:rsidRDefault="003B1D76" w:rsidP="008463CB">
    <w:pPr>
      <w:pStyle w:val="Footer"/>
      <w:framePr w:wrap="around" w:vAnchor="text" w:hAnchor="margin" w:xAlign="right" w:y="1"/>
      <w:rPr>
        <w:rStyle w:val="PageNumber"/>
      </w:rPr>
    </w:pPr>
    <w:r>
      <w:rPr>
        <w:noProof/>
      </w:rPr>
      <mc:AlternateContent>
        <mc:Choice Requires="wps">
          <w:drawing>
            <wp:anchor distT="0" distB="0" distL="114300" distR="114300" simplePos="1" relativeHeight="251658249" behindDoc="0" locked="0" layoutInCell="1" allowOverlap="1" wp14:anchorId="6616791B" wp14:editId="152F3F2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5956265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C823CA5" w14:textId="77777777" w:rsidR="003B1D76" w:rsidRDefault="003B1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16791B" id="_x0000_t202" coordsize="21600,21600" o:spt="202" path="m,l,21600r21600,l21600,xe">
              <v:stroke joinstyle="miter"/>
              <v:path gradientshapeok="t" o:connecttype="rect"/>
            </v:shapetype>
            <v:shape id="Text Box 6" o:spid="_x0000_s1028" type="#_x0000_t202" style="position:absolute;margin-left:0;margin-top:0;width:110pt;height:36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3C823CA5" w14:textId="77777777" w:rsidR="003B1D76" w:rsidRDefault="003B1D76"/>
                </w:txbxContent>
              </v:textbox>
              <w10:wrap type="through"/>
            </v:shape>
          </w:pict>
        </mc:Fallback>
      </mc:AlternateContent>
    </w:r>
    <w:r w:rsidR="00FD402A">
      <w:rPr>
        <w:noProof/>
      </w:rPr>
      <mc:AlternateContent>
        <mc:Choice Requires="wps">
          <w:drawing>
            <wp:anchor distT="0" distB="0" distL="114300" distR="114300" simplePos="1" relativeHeight="251658244" behindDoc="0" locked="0" layoutInCell="1" allowOverlap="1" wp14:anchorId="17DBAB94" wp14:editId="727806E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65114933" name="Text Box 1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BEA3207" w14:textId="77777777" w:rsidR="00FD402A" w:rsidRDefault="00FD4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DBAB94" id="Text Box 12" o:spid="_x0000_s1029" type="#_x0000_t202" style="position:absolute;margin-left:0;margin-top:0;width:110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7BEA3207" w14:textId="77777777" w:rsidR="00FD402A" w:rsidRDefault="00FD402A"/>
                </w:txbxContent>
              </v:textbox>
              <w10:wrap type="through"/>
            </v:shape>
          </w:pict>
        </mc:Fallback>
      </mc:AlternateContent>
    </w:r>
    <w:r w:rsidR="008B1111">
      <w:rPr>
        <w:rStyle w:val="PageNumber"/>
      </w:rPr>
      <w:fldChar w:fldCharType="begin"/>
    </w:r>
    <w:r w:rsidR="008B1111">
      <w:rPr>
        <w:rStyle w:val="PageNumber"/>
      </w:rPr>
      <w:instrText xml:space="preserve">PAGE  </w:instrText>
    </w:r>
    <w:r w:rsidR="008B1111">
      <w:rPr>
        <w:rStyle w:val="PageNumber"/>
      </w:rPr>
      <w:fldChar w:fldCharType="end"/>
    </w:r>
  </w:p>
  <w:p w14:paraId="03077F99" w14:textId="77777777" w:rsidR="008B1111" w:rsidRDefault="008B1111" w:rsidP="008463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07F7" w14:textId="42493ED4" w:rsidR="008B1111" w:rsidRPr="00E12AEC" w:rsidRDefault="003B1D76" w:rsidP="008463CB">
    <w:pPr>
      <w:pStyle w:val="Footer"/>
      <w:framePr w:wrap="around" w:vAnchor="text" w:hAnchor="margin" w:xAlign="right" w:y="1"/>
      <w:rPr>
        <w:rStyle w:val="PageNumber"/>
        <w:rFonts w:ascii="Times New Roman" w:hAnsi="Times New Roman"/>
      </w:rPr>
    </w:pPr>
    <w:r>
      <w:rPr>
        <w:rFonts w:ascii="Times New Roman" w:hAnsi="Times New Roman"/>
        <w:noProof/>
      </w:rPr>
      <mc:AlternateContent>
        <mc:Choice Requires="wps">
          <w:drawing>
            <wp:anchor distT="0" distB="0" distL="114300" distR="114300" simplePos="0" relativeHeight="251658247" behindDoc="0" locked="0" layoutInCell="1" allowOverlap="1" wp14:anchorId="23F15230" wp14:editId="35BE6C41">
              <wp:simplePos x="0" y="0"/>
              <wp:positionH relativeFrom="column">
                <wp:posOffset>6769100</wp:posOffset>
              </wp:positionH>
              <wp:positionV relativeFrom="paragraph">
                <wp:posOffset>10172700</wp:posOffset>
              </wp:positionV>
              <wp:extent cx="1397000" cy="457200"/>
              <wp:effectExtent l="0" t="0" r="12700" b="19050"/>
              <wp:wrapThrough wrapText="bothSides">
                <wp:wrapPolygon edited="0">
                  <wp:start x="0" y="0"/>
                  <wp:lineTo x="0" y="21600"/>
                  <wp:lineTo x="21502" y="21600"/>
                  <wp:lineTo x="21502" y="0"/>
                  <wp:lineTo x="0" y="0"/>
                </wp:wrapPolygon>
              </wp:wrapThrough>
              <wp:docPr id="1810138279" name="Text Box 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EA7B3BB" w14:textId="77777777" w:rsidR="003B1D76" w:rsidRDefault="003B1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F15230" id="_x0000_t202" coordsize="21600,21600" o:spt="202" path="m,l,21600r21600,l21600,xe">
              <v:stroke joinstyle="miter"/>
              <v:path gradientshapeok="t" o:connecttype="rect"/>
            </v:shapetype>
            <v:shape id="Text Box 4" o:spid="_x0000_s1030" type="#_x0000_t202" style="position:absolute;margin-left:533pt;margin-top:801pt;width:110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" filled="f" strokeweight=".5pt">
              <v:textbox>
                <w:txbxContent>
                  <w:p w14:paraId="5EA7B3BB" w14:textId="77777777" w:rsidR="003B1D76" w:rsidRDefault="003B1D76"/>
                </w:txbxContent>
              </v:textbox>
              <w10:wrap type="through"/>
            </v:shape>
          </w:pict>
        </mc:Fallback>
      </mc:AlternateContent>
    </w:r>
    <w:r w:rsidR="00FD402A">
      <w:rPr>
        <w:rFonts w:ascii="Times New Roman" w:hAnsi="Times New Roman"/>
        <w:noProof/>
      </w:rPr>
      <mc:AlternateContent>
        <mc:Choice Requires="wps">
          <w:drawing>
            <wp:anchor distT="0" distB="0" distL="114300" distR="114300" simplePos="0" relativeHeight="251658242" behindDoc="0" locked="0" layoutInCell="1" allowOverlap="1" wp14:anchorId="1A54BE65" wp14:editId="68FC3C51">
              <wp:simplePos x="0" y="0"/>
              <wp:positionH relativeFrom="column">
                <wp:posOffset>6769100</wp:posOffset>
              </wp:positionH>
              <wp:positionV relativeFrom="paragraph">
                <wp:posOffset>10172700</wp:posOffset>
              </wp:positionV>
              <wp:extent cx="1397000" cy="457200"/>
              <wp:effectExtent l="0" t="0" r="12700" b="19050"/>
              <wp:wrapThrough wrapText="bothSides">
                <wp:wrapPolygon edited="0">
                  <wp:start x="0" y="0"/>
                  <wp:lineTo x="0" y="21600"/>
                  <wp:lineTo x="21502" y="21600"/>
                  <wp:lineTo x="21502" y="0"/>
                  <wp:lineTo x="0" y="0"/>
                </wp:wrapPolygon>
              </wp:wrapThrough>
              <wp:docPr id="1293821246" name="Text Box 10"/>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C698331" w14:textId="77777777" w:rsidR="00FD402A" w:rsidRDefault="00FD4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54BE65" id="Text Box 10" o:spid="_x0000_s1031" type="#_x0000_t202" style="position:absolute;margin-left:533pt;margin-top:801pt;width:110pt;height:3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" filled="f" strokeweight=".5pt">
              <v:textbox>
                <w:txbxContent>
                  <w:p w14:paraId="2C698331" w14:textId="77777777" w:rsidR="00FD402A" w:rsidRDefault="00FD402A"/>
                </w:txbxContent>
              </v:textbox>
              <w10:wrap type="through"/>
            </v:shape>
          </w:pict>
        </mc:Fallback>
      </mc:AlternateContent>
    </w:r>
    <w:r w:rsidR="008B1111" w:rsidRPr="00E12AEC">
      <w:rPr>
        <w:rStyle w:val="PageNumber"/>
        <w:rFonts w:ascii="Times New Roman" w:hAnsi="Times New Roman"/>
      </w:rPr>
      <w:fldChar w:fldCharType="begin"/>
    </w:r>
    <w:r w:rsidR="008B1111" w:rsidRPr="00E12AEC">
      <w:rPr>
        <w:rStyle w:val="PageNumber"/>
        <w:rFonts w:ascii="Times New Roman" w:hAnsi="Times New Roman"/>
      </w:rPr>
      <w:instrText xml:space="preserve">PAGE  </w:instrText>
    </w:r>
    <w:r w:rsidR="008B1111" w:rsidRPr="00E12AEC">
      <w:rPr>
        <w:rStyle w:val="PageNumber"/>
        <w:rFonts w:ascii="Times New Roman" w:hAnsi="Times New Roman"/>
      </w:rPr>
      <w:fldChar w:fldCharType="separate"/>
    </w:r>
    <w:r w:rsidR="00081421">
      <w:rPr>
        <w:rStyle w:val="PageNumber"/>
        <w:rFonts w:ascii="Times New Roman" w:hAnsi="Times New Roman"/>
        <w:noProof/>
      </w:rPr>
      <w:t>1</w:t>
    </w:r>
    <w:r w:rsidR="008B1111" w:rsidRPr="00E12AEC">
      <w:rPr>
        <w:rStyle w:val="PageNumber"/>
        <w:rFonts w:ascii="Times New Roman" w:hAnsi="Times New Roman"/>
      </w:rPr>
      <w:fldChar w:fldCharType="end"/>
    </w:r>
  </w:p>
  <w:p w14:paraId="05378D10" w14:textId="77777777" w:rsidR="008B1111" w:rsidRDefault="008B1111" w:rsidP="008463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895F" w14:textId="680101F2" w:rsidR="00F06E01" w:rsidRDefault="003B1D76">
    <w:pPr>
      <w:pStyle w:val="Footer"/>
    </w:pPr>
    <w:r>
      <w:rPr>
        <w:noProof/>
      </w:rPr>
      <mc:AlternateContent>
        <mc:Choice Requires="wps">
          <w:drawing>
            <wp:anchor distT="0" distB="0" distL="114300" distR="114300" simplePos="1" relativeHeight="251658248" behindDoc="0" locked="0" layoutInCell="1" allowOverlap="1" wp14:anchorId="37BF4170" wp14:editId="4597D2A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64338422" name="Text Box 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84F303B" w14:textId="77777777" w:rsidR="003B1D76" w:rsidRDefault="003B1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BF4170" id="_x0000_t202" coordsize="21600,21600" o:spt="202" path="m,l,21600r21600,l21600,xe">
              <v:stroke joinstyle="miter"/>
              <v:path gradientshapeok="t" o:connecttype="rect"/>
            </v:shapetype>
            <v:shape id="Text Box 5" o:spid="_x0000_s1034" type="#_x0000_t202" style="position:absolute;margin-left:0;margin-top:0;width:110pt;height: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684F303B" w14:textId="77777777" w:rsidR="003B1D76" w:rsidRDefault="003B1D76"/>
                </w:txbxContent>
              </v:textbox>
              <w10:wrap type="through"/>
            </v:shape>
          </w:pict>
        </mc:Fallback>
      </mc:AlternateContent>
    </w:r>
    <w:r w:rsidR="00FD402A">
      <w:rPr>
        <w:noProof/>
      </w:rPr>
      <mc:AlternateContent>
        <mc:Choice Requires="wps">
          <w:drawing>
            <wp:anchor distT="0" distB="0" distL="114300" distR="114300" simplePos="1" relativeHeight="251658243" behindDoc="0" locked="0" layoutInCell="1" allowOverlap="1" wp14:anchorId="3186C98E" wp14:editId="5CAA237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9910537"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3CC8FCD" w14:textId="77777777" w:rsidR="00FD402A" w:rsidRDefault="00FD4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6C98E" id="Text Box 11" o:spid="_x0000_s1035" type="#_x0000_t202" style="position:absolute;margin-left:0;margin-top:0;width:110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eLea1LAIAAFsEAAAOAAAAAAAAAAAAAAAAAC4CAABkcnMvZTJv&#10;RG9jLnhtbFBLAQItABQABgAIAAAAIQCQEPlk2gAAAAQBAAAPAAAAAAAAAAAAAAAAAIYEAABkcnMv&#10;ZG93bnJldi54bWxQSwUGAAAAAAQABADzAAAAjQUAAAAA&#10;" filled="f" strokeweight=".5pt">
              <v:textbox>
                <w:txbxContent>
                  <w:p w14:paraId="63CC8FCD" w14:textId="77777777" w:rsidR="00FD402A" w:rsidRDefault="00FD402A"/>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48C4" w14:textId="77777777" w:rsidR="002565BC" w:rsidRDefault="002565BC" w:rsidP="00BA0899">
      <w:r>
        <w:separator/>
      </w:r>
    </w:p>
  </w:footnote>
  <w:footnote w:type="continuationSeparator" w:id="0">
    <w:p w14:paraId="618AFB74" w14:textId="77777777" w:rsidR="002565BC" w:rsidRDefault="002565BC" w:rsidP="00BA0899">
      <w:r>
        <w:continuationSeparator/>
      </w:r>
    </w:p>
  </w:footnote>
  <w:footnote w:type="continuationNotice" w:id="1">
    <w:p w14:paraId="6915E894" w14:textId="77777777" w:rsidR="002565BC" w:rsidRDefault="00256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3270" w14:textId="1D69F22F" w:rsidR="00F06E01" w:rsidRDefault="003B1D76">
    <w:pPr>
      <w:pStyle w:val="Header"/>
    </w:pPr>
    <w:r>
      <w:rPr>
        <w:noProof/>
      </w:rPr>
      <mc:AlternateContent>
        <mc:Choice Requires="wps">
          <w:drawing>
            <wp:anchor distT="0" distB="0" distL="114300" distR="114300" simplePos="1" relativeHeight="251658246" behindDoc="0" locked="0" layoutInCell="1" allowOverlap="1" wp14:anchorId="19FE1BB9" wp14:editId="1C942DC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12039580"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5D7F4A9" w14:textId="77777777" w:rsidR="003B1D76" w:rsidRDefault="003B1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FE1BB9" id="_x0000_t202" coordsize="21600,21600" o:spt="202" path="m,l,21600r21600,l21600,xe">
              <v:stroke joinstyle="miter"/>
              <v:path gradientshapeok="t" o:connecttype="rect"/>
            </v:shapetype>
            <v:shape id="Text Box 3" o:spid="_x0000_s1026" type="#_x0000_t202" style="position:absolute;margin-left:0;margin-top:0;width:110pt;height:36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55D7F4A9" w14:textId="77777777" w:rsidR="003B1D76" w:rsidRDefault="003B1D76"/>
                </w:txbxContent>
              </v:textbox>
              <w10:wrap type="through"/>
            </v:shape>
          </w:pict>
        </mc:Fallback>
      </mc:AlternateContent>
    </w:r>
    <w:r w:rsidR="00FD402A">
      <w:rPr>
        <w:noProof/>
      </w:rPr>
      <mc:AlternateContent>
        <mc:Choice Requires="wps">
          <w:drawing>
            <wp:anchor distT="0" distB="0" distL="114300" distR="114300" simplePos="1" relativeHeight="251658241" behindDoc="0" locked="0" layoutInCell="1" allowOverlap="1" wp14:anchorId="64C63BB7" wp14:editId="18E28F6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50845681" name="Text Box 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43E219E" w14:textId="77777777" w:rsidR="00FD402A" w:rsidRDefault="00FD4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C63BB7" id="Text Box 9" o:spid="_x0000_s1027" type="#_x0000_t202" style="position:absolute;margin-left:0;margin-top:0;width:110pt;height:3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743E219E" w14:textId="77777777" w:rsidR="00FD402A" w:rsidRDefault="00FD402A"/>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8145" w14:textId="2E1D543B" w:rsidR="007D1962" w:rsidRDefault="007D1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4D0F" w14:textId="6907ABF7" w:rsidR="00F06E01" w:rsidRDefault="003B1D76">
    <w:pPr>
      <w:pStyle w:val="Header"/>
    </w:pPr>
    <w:r>
      <w:rPr>
        <w:noProof/>
      </w:rPr>
      <mc:AlternateContent>
        <mc:Choice Requires="wps">
          <w:drawing>
            <wp:anchor distT="0" distB="0" distL="114300" distR="114300" simplePos="1" relativeHeight="251658245" behindDoc="0" locked="0" layoutInCell="1" allowOverlap="1" wp14:anchorId="088E96C0" wp14:editId="2968138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16057035" name="Text Box 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DA9C266" w14:textId="77777777" w:rsidR="003B1D76" w:rsidRDefault="003B1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8E96C0" id="_x0000_t202" coordsize="21600,21600" o:spt="202" path="m,l,21600r21600,l21600,xe">
              <v:stroke joinstyle="miter"/>
              <v:path gradientshapeok="t" o:connecttype="rect"/>
            </v:shapetype>
            <v:shape id="Text Box 2" o:spid="_x0000_s1032" type="#_x0000_t202" style="position:absolute;margin-left:0;margin-top:0;width:110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2DA9C266" w14:textId="77777777" w:rsidR="003B1D76" w:rsidRDefault="003B1D76"/>
                </w:txbxContent>
              </v:textbox>
              <w10:wrap type="through"/>
            </v:shape>
          </w:pict>
        </mc:Fallback>
      </mc:AlternateContent>
    </w:r>
    <w:r w:rsidR="00FD402A">
      <w:rPr>
        <w:noProof/>
      </w:rPr>
      <mc:AlternateContent>
        <mc:Choice Requires="wps">
          <w:drawing>
            <wp:anchor distT="0" distB="0" distL="114300" distR="114300" simplePos="1" relativeHeight="251658240" behindDoc="0" locked="0" layoutInCell="1" allowOverlap="1" wp14:anchorId="54181630" wp14:editId="1F54975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62823092" name="Text Box 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E177169" w14:textId="77777777" w:rsidR="00FD402A" w:rsidRDefault="00FD4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181630" id="Text Box 8" o:spid="_x0000_s1033" type="#_x0000_t202" style="position:absolute;margin-left:0;margin-top:0;width:110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7E177169" w14:textId="77777777" w:rsidR="00FD402A" w:rsidRDefault="00FD402A"/>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731"/>
    <w:multiLevelType w:val="hybridMultilevel"/>
    <w:tmpl w:val="87B4A8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5C3F2A"/>
    <w:multiLevelType w:val="hybridMultilevel"/>
    <w:tmpl w:val="DEF8701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15:restartNumberingAfterBreak="0">
    <w:nsid w:val="03A8726A"/>
    <w:multiLevelType w:val="hybridMultilevel"/>
    <w:tmpl w:val="598013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3F56B14"/>
    <w:multiLevelType w:val="hybridMultilevel"/>
    <w:tmpl w:val="244E3A70"/>
    <w:lvl w:ilvl="0" w:tplc="2E6E950A">
      <w:start w:val="1"/>
      <w:numFmt w:val="decimal"/>
      <w:pStyle w:val="MBPoint"/>
      <w:lvlText w:val="%1."/>
      <w:lvlJc w:val="left"/>
      <w:pPr>
        <w:ind w:left="417" w:hanging="360"/>
      </w:pPr>
      <w:rPr>
        <w:rFonts w:hint="default"/>
      </w:rPr>
    </w:lvl>
    <w:lvl w:ilvl="1" w:tplc="0C090019">
      <w:start w:val="1"/>
      <w:numFmt w:val="lowerLetter"/>
      <w:lvlText w:val="%2."/>
      <w:lvlJc w:val="left"/>
      <w:pPr>
        <w:ind w:left="1137" w:hanging="360"/>
      </w:pPr>
    </w:lvl>
    <w:lvl w:ilvl="2" w:tplc="0C09001B">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07795C9E"/>
    <w:multiLevelType w:val="hybridMultilevel"/>
    <w:tmpl w:val="E4344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D0D75"/>
    <w:multiLevelType w:val="hybridMultilevel"/>
    <w:tmpl w:val="02200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507A41"/>
    <w:multiLevelType w:val="hybridMultilevel"/>
    <w:tmpl w:val="BEF2C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EA0FC2"/>
    <w:multiLevelType w:val="hybridMultilevel"/>
    <w:tmpl w:val="5EC29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C240D2"/>
    <w:multiLevelType w:val="hybridMultilevel"/>
    <w:tmpl w:val="0FCC85D4"/>
    <w:lvl w:ilvl="0" w:tplc="0C09000F">
      <w:start w:val="1"/>
      <w:numFmt w:val="decimal"/>
      <w:lvlText w:val="%1."/>
      <w:lvlJc w:val="left"/>
      <w:pPr>
        <w:ind w:left="790" w:hanging="360"/>
      </w:pPr>
    </w:lvl>
    <w:lvl w:ilvl="1" w:tplc="0C090019" w:tentative="1">
      <w:start w:val="1"/>
      <w:numFmt w:val="lowerLetter"/>
      <w:lvlText w:val="%2."/>
      <w:lvlJc w:val="left"/>
      <w:pPr>
        <w:ind w:left="1510" w:hanging="360"/>
      </w:pPr>
    </w:lvl>
    <w:lvl w:ilvl="2" w:tplc="0C09001B" w:tentative="1">
      <w:start w:val="1"/>
      <w:numFmt w:val="lowerRoman"/>
      <w:lvlText w:val="%3."/>
      <w:lvlJc w:val="right"/>
      <w:pPr>
        <w:ind w:left="2230" w:hanging="180"/>
      </w:pPr>
    </w:lvl>
    <w:lvl w:ilvl="3" w:tplc="0C09000F" w:tentative="1">
      <w:start w:val="1"/>
      <w:numFmt w:val="decimal"/>
      <w:lvlText w:val="%4."/>
      <w:lvlJc w:val="left"/>
      <w:pPr>
        <w:ind w:left="2950" w:hanging="360"/>
      </w:pPr>
    </w:lvl>
    <w:lvl w:ilvl="4" w:tplc="0C090019" w:tentative="1">
      <w:start w:val="1"/>
      <w:numFmt w:val="lowerLetter"/>
      <w:lvlText w:val="%5."/>
      <w:lvlJc w:val="left"/>
      <w:pPr>
        <w:ind w:left="3670" w:hanging="360"/>
      </w:pPr>
    </w:lvl>
    <w:lvl w:ilvl="5" w:tplc="0C09001B" w:tentative="1">
      <w:start w:val="1"/>
      <w:numFmt w:val="lowerRoman"/>
      <w:lvlText w:val="%6."/>
      <w:lvlJc w:val="right"/>
      <w:pPr>
        <w:ind w:left="4390" w:hanging="180"/>
      </w:pPr>
    </w:lvl>
    <w:lvl w:ilvl="6" w:tplc="0C09000F" w:tentative="1">
      <w:start w:val="1"/>
      <w:numFmt w:val="decimal"/>
      <w:lvlText w:val="%7."/>
      <w:lvlJc w:val="left"/>
      <w:pPr>
        <w:ind w:left="5110" w:hanging="360"/>
      </w:pPr>
    </w:lvl>
    <w:lvl w:ilvl="7" w:tplc="0C090019" w:tentative="1">
      <w:start w:val="1"/>
      <w:numFmt w:val="lowerLetter"/>
      <w:lvlText w:val="%8."/>
      <w:lvlJc w:val="left"/>
      <w:pPr>
        <w:ind w:left="5830" w:hanging="360"/>
      </w:pPr>
    </w:lvl>
    <w:lvl w:ilvl="8" w:tplc="0C09001B" w:tentative="1">
      <w:start w:val="1"/>
      <w:numFmt w:val="lowerRoman"/>
      <w:lvlText w:val="%9."/>
      <w:lvlJc w:val="right"/>
      <w:pPr>
        <w:ind w:left="6550" w:hanging="180"/>
      </w:pPr>
    </w:lvl>
  </w:abstractNum>
  <w:abstractNum w:abstractNumId="9" w15:restartNumberingAfterBreak="0">
    <w:nsid w:val="1B0B3B55"/>
    <w:multiLevelType w:val="hybridMultilevel"/>
    <w:tmpl w:val="3608305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004B6B"/>
    <w:multiLevelType w:val="hybridMultilevel"/>
    <w:tmpl w:val="244CE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D3076C"/>
    <w:multiLevelType w:val="hybridMultilevel"/>
    <w:tmpl w:val="E36C4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675040"/>
    <w:multiLevelType w:val="hybridMultilevel"/>
    <w:tmpl w:val="B5F04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8C0228"/>
    <w:multiLevelType w:val="hybridMultilevel"/>
    <w:tmpl w:val="DDD2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292A21"/>
    <w:multiLevelType w:val="hybridMultilevel"/>
    <w:tmpl w:val="EF180E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3CA45E6"/>
    <w:multiLevelType w:val="hybridMultilevel"/>
    <w:tmpl w:val="8884D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EE1048"/>
    <w:multiLevelType w:val="hybridMultilevel"/>
    <w:tmpl w:val="9FE0E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104FCE"/>
    <w:multiLevelType w:val="hybridMultilevel"/>
    <w:tmpl w:val="607000B0"/>
    <w:lvl w:ilvl="0" w:tplc="6D40BBA2">
      <w:start w:val="1"/>
      <w:numFmt w:val="decimal"/>
      <w:lvlText w:val="%1."/>
      <w:lvlJc w:val="left"/>
      <w:pPr>
        <w:ind w:left="-207" w:hanging="360"/>
      </w:pPr>
      <w:rPr>
        <w:rFonts w:hint="default"/>
      </w:rPr>
    </w:lvl>
    <w:lvl w:ilvl="1" w:tplc="F5708ECC">
      <w:start w:val="1"/>
      <w:numFmt w:val="lowerLetter"/>
      <w:pStyle w:val="MBPointSub"/>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8" w15:restartNumberingAfterBreak="0">
    <w:nsid w:val="5BA345C1"/>
    <w:multiLevelType w:val="hybridMultilevel"/>
    <w:tmpl w:val="9FE81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C400D0"/>
    <w:multiLevelType w:val="hybridMultilevel"/>
    <w:tmpl w:val="9790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792038"/>
    <w:multiLevelType w:val="hybridMultilevel"/>
    <w:tmpl w:val="694278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310CCF"/>
    <w:multiLevelType w:val="hybridMultilevel"/>
    <w:tmpl w:val="8CBED16E"/>
    <w:lvl w:ilvl="0" w:tplc="0C09000F">
      <w:start w:val="1"/>
      <w:numFmt w:val="decimal"/>
      <w:lvlText w:val="%1."/>
      <w:lvlJc w:val="left"/>
      <w:pPr>
        <w:ind w:left="360" w:hanging="360"/>
      </w:pPr>
      <w:rPr>
        <w:rFonts w:hint="default"/>
      </w:rPr>
    </w:lvl>
    <w:lvl w:ilvl="1" w:tplc="2408915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EB704BF"/>
    <w:multiLevelType w:val="hybridMultilevel"/>
    <w:tmpl w:val="BDCA88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29232">
    <w:abstractNumId w:val="18"/>
  </w:num>
  <w:num w:numId="2" w16cid:durableId="1360618019">
    <w:abstractNumId w:val="0"/>
  </w:num>
  <w:num w:numId="3" w16cid:durableId="576944489">
    <w:abstractNumId w:val="20"/>
  </w:num>
  <w:num w:numId="4" w16cid:durableId="351228948">
    <w:abstractNumId w:val="16"/>
  </w:num>
  <w:num w:numId="5" w16cid:durableId="1216624802">
    <w:abstractNumId w:val="10"/>
  </w:num>
  <w:num w:numId="6" w16cid:durableId="1780710409">
    <w:abstractNumId w:val="19"/>
  </w:num>
  <w:num w:numId="7" w16cid:durableId="1257521114">
    <w:abstractNumId w:val="5"/>
  </w:num>
  <w:num w:numId="8" w16cid:durableId="1087847233">
    <w:abstractNumId w:val="15"/>
  </w:num>
  <w:num w:numId="9" w16cid:durableId="2117406313">
    <w:abstractNumId w:val="12"/>
  </w:num>
  <w:num w:numId="10" w16cid:durableId="1967739874">
    <w:abstractNumId w:val="22"/>
  </w:num>
  <w:num w:numId="11" w16cid:durableId="1098062087">
    <w:abstractNumId w:val="7"/>
  </w:num>
  <w:num w:numId="12" w16cid:durableId="1695572565">
    <w:abstractNumId w:val="2"/>
  </w:num>
  <w:num w:numId="13" w16cid:durableId="646013751">
    <w:abstractNumId w:val="21"/>
  </w:num>
  <w:num w:numId="14" w16cid:durableId="330182341">
    <w:abstractNumId w:val="14"/>
  </w:num>
  <w:num w:numId="15" w16cid:durableId="1728800142">
    <w:abstractNumId w:val="9"/>
  </w:num>
  <w:num w:numId="16" w16cid:durableId="1433234312">
    <w:abstractNumId w:val="1"/>
  </w:num>
  <w:num w:numId="17" w16cid:durableId="342705933">
    <w:abstractNumId w:val="13"/>
  </w:num>
  <w:num w:numId="18" w16cid:durableId="2048870879">
    <w:abstractNumId w:val="8"/>
  </w:num>
  <w:num w:numId="19" w16cid:durableId="1096973874">
    <w:abstractNumId w:val="11"/>
  </w:num>
  <w:num w:numId="20" w16cid:durableId="516770093">
    <w:abstractNumId w:val="17"/>
  </w:num>
  <w:num w:numId="21" w16cid:durableId="2006589516">
    <w:abstractNumId w:val="3"/>
  </w:num>
  <w:num w:numId="22" w16cid:durableId="947470533">
    <w:abstractNumId w:val="4"/>
  </w:num>
  <w:num w:numId="23" w16cid:durableId="1953586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29"/>
    <w:rsid w:val="000004DD"/>
    <w:rsid w:val="00002997"/>
    <w:rsid w:val="0000374C"/>
    <w:rsid w:val="000042D2"/>
    <w:rsid w:val="0000573A"/>
    <w:rsid w:val="000069B2"/>
    <w:rsid w:val="000069C4"/>
    <w:rsid w:val="000103CB"/>
    <w:rsid w:val="00010FFA"/>
    <w:rsid w:val="0001438C"/>
    <w:rsid w:val="00014524"/>
    <w:rsid w:val="00014704"/>
    <w:rsid w:val="00015BE8"/>
    <w:rsid w:val="00015D30"/>
    <w:rsid w:val="0001731A"/>
    <w:rsid w:val="00022043"/>
    <w:rsid w:val="000224AF"/>
    <w:rsid w:val="0002308D"/>
    <w:rsid w:val="00025508"/>
    <w:rsid w:val="000259B6"/>
    <w:rsid w:val="00025D85"/>
    <w:rsid w:val="00027959"/>
    <w:rsid w:val="00027C86"/>
    <w:rsid w:val="000318AF"/>
    <w:rsid w:val="00032F8C"/>
    <w:rsid w:val="0003514E"/>
    <w:rsid w:val="00036404"/>
    <w:rsid w:val="00037DED"/>
    <w:rsid w:val="00037EE7"/>
    <w:rsid w:val="00041ECF"/>
    <w:rsid w:val="00042156"/>
    <w:rsid w:val="00043133"/>
    <w:rsid w:val="00043702"/>
    <w:rsid w:val="00044294"/>
    <w:rsid w:val="00045249"/>
    <w:rsid w:val="00051130"/>
    <w:rsid w:val="00053198"/>
    <w:rsid w:val="0005378B"/>
    <w:rsid w:val="00053EA3"/>
    <w:rsid w:val="00054B86"/>
    <w:rsid w:val="000611D7"/>
    <w:rsid w:val="0006476D"/>
    <w:rsid w:val="000664FE"/>
    <w:rsid w:val="000712F3"/>
    <w:rsid w:val="00072A59"/>
    <w:rsid w:val="0007428D"/>
    <w:rsid w:val="00075DF6"/>
    <w:rsid w:val="0007763A"/>
    <w:rsid w:val="00081421"/>
    <w:rsid w:val="00082B5C"/>
    <w:rsid w:val="00083AE5"/>
    <w:rsid w:val="00093D56"/>
    <w:rsid w:val="00093E37"/>
    <w:rsid w:val="00094386"/>
    <w:rsid w:val="000977AB"/>
    <w:rsid w:val="000A19B4"/>
    <w:rsid w:val="000A4ED6"/>
    <w:rsid w:val="000A5BBF"/>
    <w:rsid w:val="000A65F0"/>
    <w:rsid w:val="000B0EBF"/>
    <w:rsid w:val="000B0FB3"/>
    <w:rsid w:val="000B2857"/>
    <w:rsid w:val="000B2EA7"/>
    <w:rsid w:val="000B398E"/>
    <w:rsid w:val="000C1702"/>
    <w:rsid w:val="000C4431"/>
    <w:rsid w:val="000C5AA9"/>
    <w:rsid w:val="000C6CE2"/>
    <w:rsid w:val="000D13F5"/>
    <w:rsid w:val="000D2925"/>
    <w:rsid w:val="000D4C98"/>
    <w:rsid w:val="000D7163"/>
    <w:rsid w:val="000E1263"/>
    <w:rsid w:val="000E2557"/>
    <w:rsid w:val="000E3831"/>
    <w:rsid w:val="000E5AD2"/>
    <w:rsid w:val="000E5FCA"/>
    <w:rsid w:val="000F032B"/>
    <w:rsid w:val="000F4203"/>
    <w:rsid w:val="000F5B80"/>
    <w:rsid w:val="00103224"/>
    <w:rsid w:val="00103AFD"/>
    <w:rsid w:val="00103F01"/>
    <w:rsid w:val="00104A0D"/>
    <w:rsid w:val="001057DC"/>
    <w:rsid w:val="0011072F"/>
    <w:rsid w:val="001169C1"/>
    <w:rsid w:val="0011701D"/>
    <w:rsid w:val="001201CC"/>
    <w:rsid w:val="00122D7C"/>
    <w:rsid w:val="00125D84"/>
    <w:rsid w:val="0012702B"/>
    <w:rsid w:val="00134829"/>
    <w:rsid w:val="001349FF"/>
    <w:rsid w:val="00141356"/>
    <w:rsid w:val="00141943"/>
    <w:rsid w:val="00143924"/>
    <w:rsid w:val="00143F21"/>
    <w:rsid w:val="001455B9"/>
    <w:rsid w:val="0014594E"/>
    <w:rsid w:val="001468D0"/>
    <w:rsid w:val="0015597D"/>
    <w:rsid w:val="00155D78"/>
    <w:rsid w:val="00156467"/>
    <w:rsid w:val="0016140C"/>
    <w:rsid w:val="00161D54"/>
    <w:rsid w:val="001623D1"/>
    <w:rsid w:val="00165C94"/>
    <w:rsid w:val="0017321D"/>
    <w:rsid w:val="00173BF4"/>
    <w:rsid w:val="00175536"/>
    <w:rsid w:val="001771F4"/>
    <w:rsid w:val="001775C7"/>
    <w:rsid w:val="001808C8"/>
    <w:rsid w:val="00180E32"/>
    <w:rsid w:val="00183D67"/>
    <w:rsid w:val="0018456F"/>
    <w:rsid w:val="00190F2F"/>
    <w:rsid w:val="00193383"/>
    <w:rsid w:val="00194A5D"/>
    <w:rsid w:val="00196CFD"/>
    <w:rsid w:val="001A1093"/>
    <w:rsid w:val="001A19DC"/>
    <w:rsid w:val="001A1B7B"/>
    <w:rsid w:val="001A3760"/>
    <w:rsid w:val="001A4118"/>
    <w:rsid w:val="001A438A"/>
    <w:rsid w:val="001A4492"/>
    <w:rsid w:val="001A5185"/>
    <w:rsid w:val="001A6529"/>
    <w:rsid w:val="001A680D"/>
    <w:rsid w:val="001B01C3"/>
    <w:rsid w:val="001B4165"/>
    <w:rsid w:val="001B4C29"/>
    <w:rsid w:val="001B5A2B"/>
    <w:rsid w:val="001B7A1B"/>
    <w:rsid w:val="001B7C53"/>
    <w:rsid w:val="001B7FBA"/>
    <w:rsid w:val="001C73FD"/>
    <w:rsid w:val="001C749F"/>
    <w:rsid w:val="001D2D9F"/>
    <w:rsid w:val="001D2F9E"/>
    <w:rsid w:val="001D30F0"/>
    <w:rsid w:val="001D5A20"/>
    <w:rsid w:val="001D66A9"/>
    <w:rsid w:val="001E1038"/>
    <w:rsid w:val="001E2626"/>
    <w:rsid w:val="001E3632"/>
    <w:rsid w:val="001E6979"/>
    <w:rsid w:val="001E7038"/>
    <w:rsid w:val="001E735B"/>
    <w:rsid w:val="001E7E14"/>
    <w:rsid w:val="001F0132"/>
    <w:rsid w:val="001F0C99"/>
    <w:rsid w:val="001F22DE"/>
    <w:rsid w:val="001F5B08"/>
    <w:rsid w:val="001F7040"/>
    <w:rsid w:val="001F7B94"/>
    <w:rsid w:val="00203B1D"/>
    <w:rsid w:val="0020405C"/>
    <w:rsid w:val="00205BC4"/>
    <w:rsid w:val="00210259"/>
    <w:rsid w:val="0021216C"/>
    <w:rsid w:val="0021225B"/>
    <w:rsid w:val="00212DD6"/>
    <w:rsid w:val="002131BE"/>
    <w:rsid w:val="00213D10"/>
    <w:rsid w:val="00214638"/>
    <w:rsid w:val="00223EB4"/>
    <w:rsid w:val="002262E3"/>
    <w:rsid w:val="0023396B"/>
    <w:rsid w:val="00241119"/>
    <w:rsid w:val="00242269"/>
    <w:rsid w:val="00242BFD"/>
    <w:rsid w:val="00245A6A"/>
    <w:rsid w:val="00246D4C"/>
    <w:rsid w:val="00247657"/>
    <w:rsid w:val="00250827"/>
    <w:rsid w:val="00252C53"/>
    <w:rsid w:val="00255059"/>
    <w:rsid w:val="002565BC"/>
    <w:rsid w:val="002604AC"/>
    <w:rsid w:val="00261144"/>
    <w:rsid w:val="00263E10"/>
    <w:rsid w:val="00264240"/>
    <w:rsid w:val="00264485"/>
    <w:rsid w:val="0026586F"/>
    <w:rsid w:val="002711B4"/>
    <w:rsid w:val="0027594F"/>
    <w:rsid w:val="00276F2A"/>
    <w:rsid w:val="00280678"/>
    <w:rsid w:val="00283F54"/>
    <w:rsid w:val="002852DA"/>
    <w:rsid w:val="00290480"/>
    <w:rsid w:val="00290C5E"/>
    <w:rsid w:val="00291FCF"/>
    <w:rsid w:val="00293152"/>
    <w:rsid w:val="00293C2F"/>
    <w:rsid w:val="00294A7B"/>
    <w:rsid w:val="00295973"/>
    <w:rsid w:val="00296019"/>
    <w:rsid w:val="002972BE"/>
    <w:rsid w:val="002A3D7D"/>
    <w:rsid w:val="002A5754"/>
    <w:rsid w:val="002A7601"/>
    <w:rsid w:val="002B0742"/>
    <w:rsid w:val="002B0A69"/>
    <w:rsid w:val="002B3164"/>
    <w:rsid w:val="002B43F7"/>
    <w:rsid w:val="002C4A28"/>
    <w:rsid w:val="002C56E9"/>
    <w:rsid w:val="002C7724"/>
    <w:rsid w:val="002D4A6B"/>
    <w:rsid w:val="002D4C0B"/>
    <w:rsid w:val="002D5D85"/>
    <w:rsid w:val="002D75BF"/>
    <w:rsid w:val="002D7AB4"/>
    <w:rsid w:val="002E33A7"/>
    <w:rsid w:val="002E59E2"/>
    <w:rsid w:val="002E6F68"/>
    <w:rsid w:val="002F1E91"/>
    <w:rsid w:val="002F2837"/>
    <w:rsid w:val="002F4E82"/>
    <w:rsid w:val="002F7BF3"/>
    <w:rsid w:val="002F7D8A"/>
    <w:rsid w:val="003008BD"/>
    <w:rsid w:val="003023AF"/>
    <w:rsid w:val="00302522"/>
    <w:rsid w:val="003028E4"/>
    <w:rsid w:val="00304FE0"/>
    <w:rsid w:val="003051FF"/>
    <w:rsid w:val="0031026D"/>
    <w:rsid w:val="003108D5"/>
    <w:rsid w:val="00312431"/>
    <w:rsid w:val="00312A21"/>
    <w:rsid w:val="00312BF1"/>
    <w:rsid w:val="0031443F"/>
    <w:rsid w:val="00316144"/>
    <w:rsid w:val="003163D5"/>
    <w:rsid w:val="00316CEF"/>
    <w:rsid w:val="00317D5B"/>
    <w:rsid w:val="00320F1A"/>
    <w:rsid w:val="00321A59"/>
    <w:rsid w:val="003221DB"/>
    <w:rsid w:val="003234C3"/>
    <w:rsid w:val="0032411A"/>
    <w:rsid w:val="00325933"/>
    <w:rsid w:val="00334A6A"/>
    <w:rsid w:val="0033529C"/>
    <w:rsid w:val="00337201"/>
    <w:rsid w:val="00340301"/>
    <w:rsid w:val="00352E7F"/>
    <w:rsid w:val="00352FCA"/>
    <w:rsid w:val="00353716"/>
    <w:rsid w:val="00354AD0"/>
    <w:rsid w:val="00361289"/>
    <w:rsid w:val="00361860"/>
    <w:rsid w:val="00363B14"/>
    <w:rsid w:val="00364AC3"/>
    <w:rsid w:val="00366813"/>
    <w:rsid w:val="003668CB"/>
    <w:rsid w:val="0037382E"/>
    <w:rsid w:val="003755DF"/>
    <w:rsid w:val="00376086"/>
    <w:rsid w:val="00380487"/>
    <w:rsid w:val="00381370"/>
    <w:rsid w:val="003816B6"/>
    <w:rsid w:val="00382B44"/>
    <w:rsid w:val="00385201"/>
    <w:rsid w:val="00387B53"/>
    <w:rsid w:val="003903D3"/>
    <w:rsid w:val="00390A8C"/>
    <w:rsid w:val="003915EA"/>
    <w:rsid w:val="003925E6"/>
    <w:rsid w:val="00392BFA"/>
    <w:rsid w:val="00393A59"/>
    <w:rsid w:val="003A084E"/>
    <w:rsid w:val="003A1A37"/>
    <w:rsid w:val="003A1D4A"/>
    <w:rsid w:val="003B1D76"/>
    <w:rsid w:val="003C4857"/>
    <w:rsid w:val="003C5C2D"/>
    <w:rsid w:val="003C7C66"/>
    <w:rsid w:val="003D1BEC"/>
    <w:rsid w:val="003D4028"/>
    <w:rsid w:val="003D41A6"/>
    <w:rsid w:val="003D4222"/>
    <w:rsid w:val="003E04DE"/>
    <w:rsid w:val="003E11DE"/>
    <w:rsid w:val="003E2398"/>
    <w:rsid w:val="003E2BB5"/>
    <w:rsid w:val="003E30B9"/>
    <w:rsid w:val="003E4CF0"/>
    <w:rsid w:val="003E5A41"/>
    <w:rsid w:val="003F1A05"/>
    <w:rsid w:val="003F2957"/>
    <w:rsid w:val="003F5773"/>
    <w:rsid w:val="003F6A43"/>
    <w:rsid w:val="003F6DBB"/>
    <w:rsid w:val="003F7075"/>
    <w:rsid w:val="003F7135"/>
    <w:rsid w:val="00402C6E"/>
    <w:rsid w:val="004033AA"/>
    <w:rsid w:val="00405F75"/>
    <w:rsid w:val="004069DC"/>
    <w:rsid w:val="004070D3"/>
    <w:rsid w:val="004125CC"/>
    <w:rsid w:val="00412C84"/>
    <w:rsid w:val="0041479B"/>
    <w:rsid w:val="00415BBA"/>
    <w:rsid w:val="00417FE0"/>
    <w:rsid w:val="00420205"/>
    <w:rsid w:val="0042060F"/>
    <w:rsid w:val="004208BA"/>
    <w:rsid w:val="00422B59"/>
    <w:rsid w:val="00424819"/>
    <w:rsid w:val="004254D9"/>
    <w:rsid w:val="00426A13"/>
    <w:rsid w:val="00427D77"/>
    <w:rsid w:val="00430C71"/>
    <w:rsid w:val="00432B44"/>
    <w:rsid w:val="004342BF"/>
    <w:rsid w:val="00441828"/>
    <w:rsid w:val="00441ED1"/>
    <w:rsid w:val="0044347D"/>
    <w:rsid w:val="00443AC4"/>
    <w:rsid w:val="0044431B"/>
    <w:rsid w:val="00445043"/>
    <w:rsid w:val="004455F4"/>
    <w:rsid w:val="00447D01"/>
    <w:rsid w:val="00461066"/>
    <w:rsid w:val="00461793"/>
    <w:rsid w:val="00462F6C"/>
    <w:rsid w:val="00462FD9"/>
    <w:rsid w:val="004650DD"/>
    <w:rsid w:val="00465559"/>
    <w:rsid w:val="004731D3"/>
    <w:rsid w:val="00486EDD"/>
    <w:rsid w:val="00490018"/>
    <w:rsid w:val="00491482"/>
    <w:rsid w:val="004915A5"/>
    <w:rsid w:val="00493AE9"/>
    <w:rsid w:val="0049440F"/>
    <w:rsid w:val="00496024"/>
    <w:rsid w:val="00496D23"/>
    <w:rsid w:val="004A1AAB"/>
    <w:rsid w:val="004A3089"/>
    <w:rsid w:val="004A7090"/>
    <w:rsid w:val="004B28E6"/>
    <w:rsid w:val="004B4502"/>
    <w:rsid w:val="004C17B8"/>
    <w:rsid w:val="004C1E55"/>
    <w:rsid w:val="004C292D"/>
    <w:rsid w:val="004C5152"/>
    <w:rsid w:val="004C796A"/>
    <w:rsid w:val="004D0356"/>
    <w:rsid w:val="004D039B"/>
    <w:rsid w:val="004D7448"/>
    <w:rsid w:val="004E13CF"/>
    <w:rsid w:val="004E26FE"/>
    <w:rsid w:val="004E2C1C"/>
    <w:rsid w:val="004E638C"/>
    <w:rsid w:val="004E76ED"/>
    <w:rsid w:val="004F3AC5"/>
    <w:rsid w:val="004F4704"/>
    <w:rsid w:val="004F6E71"/>
    <w:rsid w:val="00503690"/>
    <w:rsid w:val="00503A1F"/>
    <w:rsid w:val="00505B82"/>
    <w:rsid w:val="00507A36"/>
    <w:rsid w:val="00512FEC"/>
    <w:rsid w:val="00517658"/>
    <w:rsid w:val="005176DF"/>
    <w:rsid w:val="00517797"/>
    <w:rsid w:val="0052219E"/>
    <w:rsid w:val="00524246"/>
    <w:rsid w:val="00530CB3"/>
    <w:rsid w:val="00534C78"/>
    <w:rsid w:val="00540644"/>
    <w:rsid w:val="00540883"/>
    <w:rsid w:val="005412B6"/>
    <w:rsid w:val="00541568"/>
    <w:rsid w:val="00541B2B"/>
    <w:rsid w:val="005446BB"/>
    <w:rsid w:val="005454B4"/>
    <w:rsid w:val="00550F4A"/>
    <w:rsid w:val="0055760C"/>
    <w:rsid w:val="00560378"/>
    <w:rsid w:val="005603E6"/>
    <w:rsid w:val="00566270"/>
    <w:rsid w:val="00571400"/>
    <w:rsid w:val="00574CAA"/>
    <w:rsid w:val="00575ACA"/>
    <w:rsid w:val="005764D6"/>
    <w:rsid w:val="0057652A"/>
    <w:rsid w:val="0057745E"/>
    <w:rsid w:val="00577764"/>
    <w:rsid w:val="005809BC"/>
    <w:rsid w:val="00581FF5"/>
    <w:rsid w:val="0058300A"/>
    <w:rsid w:val="005830A9"/>
    <w:rsid w:val="00586235"/>
    <w:rsid w:val="00586900"/>
    <w:rsid w:val="00586CC7"/>
    <w:rsid w:val="005872BC"/>
    <w:rsid w:val="005872C1"/>
    <w:rsid w:val="005915EC"/>
    <w:rsid w:val="00592094"/>
    <w:rsid w:val="0059399F"/>
    <w:rsid w:val="00594305"/>
    <w:rsid w:val="00595786"/>
    <w:rsid w:val="005A117C"/>
    <w:rsid w:val="005A2C7E"/>
    <w:rsid w:val="005A3429"/>
    <w:rsid w:val="005A48AF"/>
    <w:rsid w:val="005A48ED"/>
    <w:rsid w:val="005B0391"/>
    <w:rsid w:val="005B3D57"/>
    <w:rsid w:val="005B5D84"/>
    <w:rsid w:val="005B6326"/>
    <w:rsid w:val="005B6467"/>
    <w:rsid w:val="005B7B00"/>
    <w:rsid w:val="005C3223"/>
    <w:rsid w:val="005C5DF7"/>
    <w:rsid w:val="005D24E9"/>
    <w:rsid w:val="005D2C22"/>
    <w:rsid w:val="005D4402"/>
    <w:rsid w:val="005D469A"/>
    <w:rsid w:val="005D6E74"/>
    <w:rsid w:val="005D6F28"/>
    <w:rsid w:val="005E392B"/>
    <w:rsid w:val="005E4C33"/>
    <w:rsid w:val="005F296A"/>
    <w:rsid w:val="005F36A1"/>
    <w:rsid w:val="005F385F"/>
    <w:rsid w:val="005F4916"/>
    <w:rsid w:val="005F4989"/>
    <w:rsid w:val="005F5617"/>
    <w:rsid w:val="005F65D3"/>
    <w:rsid w:val="005F65DC"/>
    <w:rsid w:val="005F7872"/>
    <w:rsid w:val="005F7B30"/>
    <w:rsid w:val="00600D76"/>
    <w:rsid w:val="00602A33"/>
    <w:rsid w:val="006066CC"/>
    <w:rsid w:val="00607AC8"/>
    <w:rsid w:val="00612C19"/>
    <w:rsid w:val="006176B9"/>
    <w:rsid w:val="006179BB"/>
    <w:rsid w:val="00617FC5"/>
    <w:rsid w:val="00623554"/>
    <w:rsid w:val="00627387"/>
    <w:rsid w:val="00627EE1"/>
    <w:rsid w:val="00627F00"/>
    <w:rsid w:val="006304AE"/>
    <w:rsid w:val="006315D9"/>
    <w:rsid w:val="00632308"/>
    <w:rsid w:val="0063402C"/>
    <w:rsid w:val="006358DA"/>
    <w:rsid w:val="006364E2"/>
    <w:rsid w:val="00640173"/>
    <w:rsid w:val="00640A9B"/>
    <w:rsid w:val="00641784"/>
    <w:rsid w:val="0064258D"/>
    <w:rsid w:val="00645406"/>
    <w:rsid w:val="00645800"/>
    <w:rsid w:val="006458DA"/>
    <w:rsid w:val="00646D05"/>
    <w:rsid w:val="00650BCC"/>
    <w:rsid w:val="00655D7D"/>
    <w:rsid w:val="00657E91"/>
    <w:rsid w:val="00663DE9"/>
    <w:rsid w:val="006642E7"/>
    <w:rsid w:val="00670E3B"/>
    <w:rsid w:val="00670E96"/>
    <w:rsid w:val="00672B36"/>
    <w:rsid w:val="006733AA"/>
    <w:rsid w:val="00674AD5"/>
    <w:rsid w:val="006759F7"/>
    <w:rsid w:val="00675D93"/>
    <w:rsid w:val="006767CD"/>
    <w:rsid w:val="00676E45"/>
    <w:rsid w:val="00677698"/>
    <w:rsid w:val="00681498"/>
    <w:rsid w:val="006828AE"/>
    <w:rsid w:val="00690CCE"/>
    <w:rsid w:val="00691432"/>
    <w:rsid w:val="00691D36"/>
    <w:rsid w:val="00696921"/>
    <w:rsid w:val="006A0E9E"/>
    <w:rsid w:val="006A21BC"/>
    <w:rsid w:val="006B19AB"/>
    <w:rsid w:val="006B5403"/>
    <w:rsid w:val="006B57DC"/>
    <w:rsid w:val="006B5C4A"/>
    <w:rsid w:val="006B644D"/>
    <w:rsid w:val="006C0F90"/>
    <w:rsid w:val="006C3E9B"/>
    <w:rsid w:val="006C70B1"/>
    <w:rsid w:val="006D059A"/>
    <w:rsid w:val="006D0923"/>
    <w:rsid w:val="006D1E3E"/>
    <w:rsid w:val="006E18BC"/>
    <w:rsid w:val="006E69AD"/>
    <w:rsid w:val="006E6C03"/>
    <w:rsid w:val="006F05FE"/>
    <w:rsid w:val="006F3CC3"/>
    <w:rsid w:val="006F647D"/>
    <w:rsid w:val="007006A3"/>
    <w:rsid w:val="00704904"/>
    <w:rsid w:val="0070568D"/>
    <w:rsid w:val="0070743F"/>
    <w:rsid w:val="00712F87"/>
    <w:rsid w:val="007133AB"/>
    <w:rsid w:val="00713A70"/>
    <w:rsid w:val="007155A0"/>
    <w:rsid w:val="00715CFA"/>
    <w:rsid w:val="00717F61"/>
    <w:rsid w:val="00720FFE"/>
    <w:rsid w:val="0072584C"/>
    <w:rsid w:val="00725B6F"/>
    <w:rsid w:val="00725DDE"/>
    <w:rsid w:val="007261FB"/>
    <w:rsid w:val="00731520"/>
    <w:rsid w:val="00731EDA"/>
    <w:rsid w:val="007323F3"/>
    <w:rsid w:val="00734425"/>
    <w:rsid w:val="00734776"/>
    <w:rsid w:val="007369C2"/>
    <w:rsid w:val="007441C3"/>
    <w:rsid w:val="007448CC"/>
    <w:rsid w:val="007453BD"/>
    <w:rsid w:val="00745885"/>
    <w:rsid w:val="007508F4"/>
    <w:rsid w:val="00751EC6"/>
    <w:rsid w:val="0075345C"/>
    <w:rsid w:val="007559E9"/>
    <w:rsid w:val="007617B0"/>
    <w:rsid w:val="00761A2E"/>
    <w:rsid w:val="00761BC1"/>
    <w:rsid w:val="00761EEE"/>
    <w:rsid w:val="007626B1"/>
    <w:rsid w:val="007653F5"/>
    <w:rsid w:val="00766169"/>
    <w:rsid w:val="007710BD"/>
    <w:rsid w:val="00771633"/>
    <w:rsid w:val="00771EE1"/>
    <w:rsid w:val="0077370B"/>
    <w:rsid w:val="00774375"/>
    <w:rsid w:val="007746AC"/>
    <w:rsid w:val="00774996"/>
    <w:rsid w:val="00776C16"/>
    <w:rsid w:val="0077742E"/>
    <w:rsid w:val="00780080"/>
    <w:rsid w:val="00781E25"/>
    <w:rsid w:val="00783AEE"/>
    <w:rsid w:val="00786663"/>
    <w:rsid w:val="00786919"/>
    <w:rsid w:val="007872C7"/>
    <w:rsid w:val="007904FE"/>
    <w:rsid w:val="00791078"/>
    <w:rsid w:val="007A0682"/>
    <w:rsid w:val="007A1BD9"/>
    <w:rsid w:val="007A252C"/>
    <w:rsid w:val="007A36FE"/>
    <w:rsid w:val="007A5DB9"/>
    <w:rsid w:val="007B285A"/>
    <w:rsid w:val="007B2A4D"/>
    <w:rsid w:val="007B37D1"/>
    <w:rsid w:val="007C0BA9"/>
    <w:rsid w:val="007C328D"/>
    <w:rsid w:val="007C3CC8"/>
    <w:rsid w:val="007C3F94"/>
    <w:rsid w:val="007C4401"/>
    <w:rsid w:val="007C4D7E"/>
    <w:rsid w:val="007C7B3C"/>
    <w:rsid w:val="007D0F32"/>
    <w:rsid w:val="007D1962"/>
    <w:rsid w:val="007D230E"/>
    <w:rsid w:val="007D28E2"/>
    <w:rsid w:val="007D4427"/>
    <w:rsid w:val="007D6065"/>
    <w:rsid w:val="007D66B7"/>
    <w:rsid w:val="007E57F9"/>
    <w:rsid w:val="007F00B9"/>
    <w:rsid w:val="007F2193"/>
    <w:rsid w:val="007F24E3"/>
    <w:rsid w:val="007F2996"/>
    <w:rsid w:val="007F2F9C"/>
    <w:rsid w:val="007F4C12"/>
    <w:rsid w:val="007F6F03"/>
    <w:rsid w:val="0080122C"/>
    <w:rsid w:val="00803357"/>
    <w:rsid w:val="00805369"/>
    <w:rsid w:val="00806D4A"/>
    <w:rsid w:val="0081051B"/>
    <w:rsid w:val="00811736"/>
    <w:rsid w:val="00811936"/>
    <w:rsid w:val="008119D5"/>
    <w:rsid w:val="008124A3"/>
    <w:rsid w:val="00814698"/>
    <w:rsid w:val="008156CE"/>
    <w:rsid w:val="00816DD5"/>
    <w:rsid w:val="00820F20"/>
    <w:rsid w:val="00821EF8"/>
    <w:rsid w:val="008260E3"/>
    <w:rsid w:val="008262EB"/>
    <w:rsid w:val="0082728C"/>
    <w:rsid w:val="008273A3"/>
    <w:rsid w:val="00832BB6"/>
    <w:rsid w:val="0083373E"/>
    <w:rsid w:val="00835025"/>
    <w:rsid w:val="0083515E"/>
    <w:rsid w:val="00835943"/>
    <w:rsid w:val="008366B1"/>
    <w:rsid w:val="00837BF7"/>
    <w:rsid w:val="00837FB4"/>
    <w:rsid w:val="008436C5"/>
    <w:rsid w:val="008437D5"/>
    <w:rsid w:val="00844A85"/>
    <w:rsid w:val="008463CB"/>
    <w:rsid w:val="0085292F"/>
    <w:rsid w:val="00853684"/>
    <w:rsid w:val="008564B9"/>
    <w:rsid w:val="00857E12"/>
    <w:rsid w:val="0086058F"/>
    <w:rsid w:val="0086101E"/>
    <w:rsid w:val="00861668"/>
    <w:rsid w:val="008619ED"/>
    <w:rsid w:val="008632EA"/>
    <w:rsid w:val="008641CD"/>
    <w:rsid w:val="00867136"/>
    <w:rsid w:val="00867397"/>
    <w:rsid w:val="00870982"/>
    <w:rsid w:val="00871923"/>
    <w:rsid w:val="00872CB9"/>
    <w:rsid w:val="00875B7D"/>
    <w:rsid w:val="00876554"/>
    <w:rsid w:val="008766B2"/>
    <w:rsid w:val="00877388"/>
    <w:rsid w:val="00882023"/>
    <w:rsid w:val="008836EE"/>
    <w:rsid w:val="00885CDC"/>
    <w:rsid w:val="008910E9"/>
    <w:rsid w:val="008919CF"/>
    <w:rsid w:val="00891C63"/>
    <w:rsid w:val="008943D0"/>
    <w:rsid w:val="00894ABD"/>
    <w:rsid w:val="00895236"/>
    <w:rsid w:val="00895306"/>
    <w:rsid w:val="00895AD0"/>
    <w:rsid w:val="00895D07"/>
    <w:rsid w:val="00895D6E"/>
    <w:rsid w:val="00895FCB"/>
    <w:rsid w:val="008A0B08"/>
    <w:rsid w:val="008A0FB3"/>
    <w:rsid w:val="008A21E7"/>
    <w:rsid w:val="008A3461"/>
    <w:rsid w:val="008A6E90"/>
    <w:rsid w:val="008A7BCF"/>
    <w:rsid w:val="008B1111"/>
    <w:rsid w:val="008B261C"/>
    <w:rsid w:val="008B4456"/>
    <w:rsid w:val="008B6E17"/>
    <w:rsid w:val="008B7CBC"/>
    <w:rsid w:val="008C03BE"/>
    <w:rsid w:val="008C03C9"/>
    <w:rsid w:val="008C04BE"/>
    <w:rsid w:val="008C193C"/>
    <w:rsid w:val="008C598B"/>
    <w:rsid w:val="008D0107"/>
    <w:rsid w:val="008D0858"/>
    <w:rsid w:val="008D4A5A"/>
    <w:rsid w:val="008D710D"/>
    <w:rsid w:val="008E0092"/>
    <w:rsid w:val="008E03A8"/>
    <w:rsid w:val="008E44CE"/>
    <w:rsid w:val="008F1FFD"/>
    <w:rsid w:val="008F3E53"/>
    <w:rsid w:val="008F62BC"/>
    <w:rsid w:val="009012D2"/>
    <w:rsid w:val="00901F93"/>
    <w:rsid w:val="00904A4B"/>
    <w:rsid w:val="00911229"/>
    <w:rsid w:val="0091603C"/>
    <w:rsid w:val="00916CCA"/>
    <w:rsid w:val="00917800"/>
    <w:rsid w:val="00917F31"/>
    <w:rsid w:val="00921253"/>
    <w:rsid w:val="0092364B"/>
    <w:rsid w:val="0092377A"/>
    <w:rsid w:val="0092436E"/>
    <w:rsid w:val="00925A0A"/>
    <w:rsid w:val="0094193C"/>
    <w:rsid w:val="00942BE7"/>
    <w:rsid w:val="0094660E"/>
    <w:rsid w:val="00950A3C"/>
    <w:rsid w:val="00952201"/>
    <w:rsid w:val="00957B3F"/>
    <w:rsid w:val="00964587"/>
    <w:rsid w:val="00967C21"/>
    <w:rsid w:val="00970174"/>
    <w:rsid w:val="00970DBF"/>
    <w:rsid w:val="009724E3"/>
    <w:rsid w:val="00973190"/>
    <w:rsid w:val="009829FD"/>
    <w:rsid w:val="00983B70"/>
    <w:rsid w:val="00987AF5"/>
    <w:rsid w:val="00993C45"/>
    <w:rsid w:val="009942B7"/>
    <w:rsid w:val="009950E8"/>
    <w:rsid w:val="00997E22"/>
    <w:rsid w:val="009A473D"/>
    <w:rsid w:val="009A5EBC"/>
    <w:rsid w:val="009A7D68"/>
    <w:rsid w:val="009B1CFE"/>
    <w:rsid w:val="009B21CB"/>
    <w:rsid w:val="009B425B"/>
    <w:rsid w:val="009B7745"/>
    <w:rsid w:val="009B7933"/>
    <w:rsid w:val="009C28AA"/>
    <w:rsid w:val="009C35E1"/>
    <w:rsid w:val="009D7A1F"/>
    <w:rsid w:val="009E4859"/>
    <w:rsid w:val="009E65DA"/>
    <w:rsid w:val="009E790B"/>
    <w:rsid w:val="009E7CD1"/>
    <w:rsid w:val="009F4D7A"/>
    <w:rsid w:val="009F6B8E"/>
    <w:rsid w:val="009F7E4C"/>
    <w:rsid w:val="00A0112B"/>
    <w:rsid w:val="00A020C7"/>
    <w:rsid w:val="00A0518B"/>
    <w:rsid w:val="00A06D9C"/>
    <w:rsid w:val="00A079AC"/>
    <w:rsid w:val="00A10A2A"/>
    <w:rsid w:val="00A110B8"/>
    <w:rsid w:val="00A1332D"/>
    <w:rsid w:val="00A16D60"/>
    <w:rsid w:val="00A17D58"/>
    <w:rsid w:val="00A20F32"/>
    <w:rsid w:val="00A21A41"/>
    <w:rsid w:val="00A22272"/>
    <w:rsid w:val="00A230D6"/>
    <w:rsid w:val="00A26276"/>
    <w:rsid w:val="00A3123B"/>
    <w:rsid w:val="00A3619B"/>
    <w:rsid w:val="00A37CFC"/>
    <w:rsid w:val="00A45F65"/>
    <w:rsid w:val="00A46E9B"/>
    <w:rsid w:val="00A51C05"/>
    <w:rsid w:val="00A54A11"/>
    <w:rsid w:val="00A5754A"/>
    <w:rsid w:val="00A576F5"/>
    <w:rsid w:val="00A61E2F"/>
    <w:rsid w:val="00A62380"/>
    <w:rsid w:val="00A630D9"/>
    <w:rsid w:val="00A63ECD"/>
    <w:rsid w:val="00A668B3"/>
    <w:rsid w:val="00A706F7"/>
    <w:rsid w:val="00A7083B"/>
    <w:rsid w:val="00A72078"/>
    <w:rsid w:val="00A733BE"/>
    <w:rsid w:val="00A76CFF"/>
    <w:rsid w:val="00A7726D"/>
    <w:rsid w:val="00A80FD8"/>
    <w:rsid w:val="00A821DB"/>
    <w:rsid w:val="00A863AD"/>
    <w:rsid w:val="00A874E5"/>
    <w:rsid w:val="00A91A6B"/>
    <w:rsid w:val="00A93279"/>
    <w:rsid w:val="00A951B0"/>
    <w:rsid w:val="00A96C03"/>
    <w:rsid w:val="00AA31C0"/>
    <w:rsid w:val="00AA4280"/>
    <w:rsid w:val="00AA5DAC"/>
    <w:rsid w:val="00AB258B"/>
    <w:rsid w:val="00AC236F"/>
    <w:rsid w:val="00AC4127"/>
    <w:rsid w:val="00AC4BF6"/>
    <w:rsid w:val="00AC5956"/>
    <w:rsid w:val="00AC5A89"/>
    <w:rsid w:val="00AC6AD1"/>
    <w:rsid w:val="00AD5310"/>
    <w:rsid w:val="00AD5DF6"/>
    <w:rsid w:val="00AD67DC"/>
    <w:rsid w:val="00AD74BF"/>
    <w:rsid w:val="00AD7EF2"/>
    <w:rsid w:val="00AE049E"/>
    <w:rsid w:val="00AE289E"/>
    <w:rsid w:val="00AE4863"/>
    <w:rsid w:val="00AF063D"/>
    <w:rsid w:val="00AF184B"/>
    <w:rsid w:val="00AF49E1"/>
    <w:rsid w:val="00AF7A69"/>
    <w:rsid w:val="00B0144E"/>
    <w:rsid w:val="00B03435"/>
    <w:rsid w:val="00B03669"/>
    <w:rsid w:val="00B03F57"/>
    <w:rsid w:val="00B04800"/>
    <w:rsid w:val="00B06BC3"/>
    <w:rsid w:val="00B1208F"/>
    <w:rsid w:val="00B1392D"/>
    <w:rsid w:val="00B13AFB"/>
    <w:rsid w:val="00B13B9C"/>
    <w:rsid w:val="00B141C2"/>
    <w:rsid w:val="00B1539A"/>
    <w:rsid w:val="00B218A9"/>
    <w:rsid w:val="00B21A41"/>
    <w:rsid w:val="00B23516"/>
    <w:rsid w:val="00B247CC"/>
    <w:rsid w:val="00B31558"/>
    <w:rsid w:val="00B33548"/>
    <w:rsid w:val="00B336E2"/>
    <w:rsid w:val="00B341B1"/>
    <w:rsid w:val="00B3775B"/>
    <w:rsid w:val="00B37FEA"/>
    <w:rsid w:val="00B40C6B"/>
    <w:rsid w:val="00B4183D"/>
    <w:rsid w:val="00B42D6A"/>
    <w:rsid w:val="00B459EF"/>
    <w:rsid w:val="00B45BC7"/>
    <w:rsid w:val="00B47FD3"/>
    <w:rsid w:val="00B50449"/>
    <w:rsid w:val="00B514FB"/>
    <w:rsid w:val="00B523A8"/>
    <w:rsid w:val="00B545C6"/>
    <w:rsid w:val="00B60158"/>
    <w:rsid w:val="00B60805"/>
    <w:rsid w:val="00B632F4"/>
    <w:rsid w:val="00B65CA1"/>
    <w:rsid w:val="00B66CF9"/>
    <w:rsid w:val="00B72461"/>
    <w:rsid w:val="00B73148"/>
    <w:rsid w:val="00B76F5C"/>
    <w:rsid w:val="00B77656"/>
    <w:rsid w:val="00B77D30"/>
    <w:rsid w:val="00B82BFD"/>
    <w:rsid w:val="00B95141"/>
    <w:rsid w:val="00B957AB"/>
    <w:rsid w:val="00BA05A8"/>
    <w:rsid w:val="00BA0626"/>
    <w:rsid w:val="00BA0899"/>
    <w:rsid w:val="00BA4136"/>
    <w:rsid w:val="00BA51CE"/>
    <w:rsid w:val="00BA6144"/>
    <w:rsid w:val="00BA66EF"/>
    <w:rsid w:val="00BB1347"/>
    <w:rsid w:val="00BB2755"/>
    <w:rsid w:val="00BB2FC3"/>
    <w:rsid w:val="00BB412C"/>
    <w:rsid w:val="00BB678A"/>
    <w:rsid w:val="00BB6A83"/>
    <w:rsid w:val="00BC2B37"/>
    <w:rsid w:val="00BC490C"/>
    <w:rsid w:val="00BC7407"/>
    <w:rsid w:val="00BC7840"/>
    <w:rsid w:val="00BD06F0"/>
    <w:rsid w:val="00BD5C3A"/>
    <w:rsid w:val="00BD7A44"/>
    <w:rsid w:val="00BE1A33"/>
    <w:rsid w:val="00BE22C6"/>
    <w:rsid w:val="00BE7191"/>
    <w:rsid w:val="00BF280D"/>
    <w:rsid w:val="00BF32A1"/>
    <w:rsid w:val="00BF4210"/>
    <w:rsid w:val="00BF4719"/>
    <w:rsid w:val="00BF4E52"/>
    <w:rsid w:val="00C01B85"/>
    <w:rsid w:val="00C02FE6"/>
    <w:rsid w:val="00C041D5"/>
    <w:rsid w:val="00C058A3"/>
    <w:rsid w:val="00C0756B"/>
    <w:rsid w:val="00C111F3"/>
    <w:rsid w:val="00C1186F"/>
    <w:rsid w:val="00C1276B"/>
    <w:rsid w:val="00C12ACB"/>
    <w:rsid w:val="00C14505"/>
    <w:rsid w:val="00C23410"/>
    <w:rsid w:val="00C355AB"/>
    <w:rsid w:val="00C36C59"/>
    <w:rsid w:val="00C3748C"/>
    <w:rsid w:val="00C376A4"/>
    <w:rsid w:val="00C37F79"/>
    <w:rsid w:val="00C43386"/>
    <w:rsid w:val="00C43884"/>
    <w:rsid w:val="00C452EE"/>
    <w:rsid w:val="00C456C8"/>
    <w:rsid w:val="00C464AA"/>
    <w:rsid w:val="00C467D0"/>
    <w:rsid w:val="00C5263A"/>
    <w:rsid w:val="00C546AA"/>
    <w:rsid w:val="00C547E0"/>
    <w:rsid w:val="00C55E1B"/>
    <w:rsid w:val="00C57FFA"/>
    <w:rsid w:val="00C603DE"/>
    <w:rsid w:val="00C60A54"/>
    <w:rsid w:val="00C61F7B"/>
    <w:rsid w:val="00C62A62"/>
    <w:rsid w:val="00C6581E"/>
    <w:rsid w:val="00C66654"/>
    <w:rsid w:val="00C74E43"/>
    <w:rsid w:val="00C751AB"/>
    <w:rsid w:val="00C80AA2"/>
    <w:rsid w:val="00C84089"/>
    <w:rsid w:val="00C84514"/>
    <w:rsid w:val="00C86FB0"/>
    <w:rsid w:val="00C870AB"/>
    <w:rsid w:val="00C87380"/>
    <w:rsid w:val="00C9180E"/>
    <w:rsid w:val="00C921C7"/>
    <w:rsid w:val="00C94162"/>
    <w:rsid w:val="00CA7FE3"/>
    <w:rsid w:val="00CB1AEC"/>
    <w:rsid w:val="00CB32B4"/>
    <w:rsid w:val="00CB3CB7"/>
    <w:rsid w:val="00CB4CAE"/>
    <w:rsid w:val="00CB531F"/>
    <w:rsid w:val="00CC0A07"/>
    <w:rsid w:val="00CC15A4"/>
    <w:rsid w:val="00CC2CCA"/>
    <w:rsid w:val="00CC40AA"/>
    <w:rsid w:val="00CC7884"/>
    <w:rsid w:val="00CD255C"/>
    <w:rsid w:val="00CD35A6"/>
    <w:rsid w:val="00CD3B3A"/>
    <w:rsid w:val="00CD5BBC"/>
    <w:rsid w:val="00CD7414"/>
    <w:rsid w:val="00CD7793"/>
    <w:rsid w:val="00CE266E"/>
    <w:rsid w:val="00CE51EB"/>
    <w:rsid w:val="00CE5897"/>
    <w:rsid w:val="00CE58A1"/>
    <w:rsid w:val="00CE7D2D"/>
    <w:rsid w:val="00CF7250"/>
    <w:rsid w:val="00CF7414"/>
    <w:rsid w:val="00D0145F"/>
    <w:rsid w:val="00D01D8D"/>
    <w:rsid w:val="00D03DB5"/>
    <w:rsid w:val="00D053BD"/>
    <w:rsid w:val="00D05A31"/>
    <w:rsid w:val="00D070B1"/>
    <w:rsid w:val="00D07B54"/>
    <w:rsid w:val="00D15A4B"/>
    <w:rsid w:val="00D166F6"/>
    <w:rsid w:val="00D215AB"/>
    <w:rsid w:val="00D2284D"/>
    <w:rsid w:val="00D234B1"/>
    <w:rsid w:val="00D2361A"/>
    <w:rsid w:val="00D24F44"/>
    <w:rsid w:val="00D254F2"/>
    <w:rsid w:val="00D30879"/>
    <w:rsid w:val="00D30A99"/>
    <w:rsid w:val="00D30EE9"/>
    <w:rsid w:val="00D3610D"/>
    <w:rsid w:val="00D36564"/>
    <w:rsid w:val="00D45DD4"/>
    <w:rsid w:val="00D46F48"/>
    <w:rsid w:val="00D47B9E"/>
    <w:rsid w:val="00D51539"/>
    <w:rsid w:val="00D54794"/>
    <w:rsid w:val="00D55791"/>
    <w:rsid w:val="00D60E4F"/>
    <w:rsid w:val="00D613BB"/>
    <w:rsid w:val="00D61C71"/>
    <w:rsid w:val="00D62C7A"/>
    <w:rsid w:val="00D64017"/>
    <w:rsid w:val="00D65AE2"/>
    <w:rsid w:val="00D668AF"/>
    <w:rsid w:val="00D703B7"/>
    <w:rsid w:val="00D73C4F"/>
    <w:rsid w:val="00D74F1A"/>
    <w:rsid w:val="00D752AA"/>
    <w:rsid w:val="00D77A06"/>
    <w:rsid w:val="00D83A3B"/>
    <w:rsid w:val="00D87C0C"/>
    <w:rsid w:val="00D92937"/>
    <w:rsid w:val="00D933B7"/>
    <w:rsid w:val="00DA0006"/>
    <w:rsid w:val="00DA085B"/>
    <w:rsid w:val="00DA0A4B"/>
    <w:rsid w:val="00DA11C6"/>
    <w:rsid w:val="00DA1A7C"/>
    <w:rsid w:val="00DA6DFA"/>
    <w:rsid w:val="00DA7E95"/>
    <w:rsid w:val="00DB20C1"/>
    <w:rsid w:val="00DB2919"/>
    <w:rsid w:val="00DB4F5C"/>
    <w:rsid w:val="00DB7163"/>
    <w:rsid w:val="00DC2E2D"/>
    <w:rsid w:val="00DC33F6"/>
    <w:rsid w:val="00DD01C3"/>
    <w:rsid w:val="00DD1173"/>
    <w:rsid w:val="00DD17C4"/>
    <w:rsid w:val="00DD6C06"/>
    <w:rsid w:val="00DD7A86"/>
    <w:rsid w:val="00DE14A2"/>
    <w:rsid w:val="00DE1997"/>
    <w:rsid w:val="00DE422B"/>
    <w:rsid w:val="00DE7448"/>
    <w:rsid w:val="00DF0951"/>
    <w:rsid w:val="00DF4231"/>
    <w:rsid w:val="00DF5A74"/>
    <w:rsid w:val="00DF736C"/>
    <w:rsid w:val="00E00411"/>
    <w:rsid w:val="00E00575"/>
    <w:rsid w:val="00E00CFB"/>
    <w:rsid w:val="00E02C45"/>
    <w:rsid w:val="00E055C5"/>
    <w:rsid w:val="00E05614"/>
    <w:rsid w:val="00E06134"/>
    <w:rsid w:val="00E07128"/>
    <w:rsid w:val="00E0777E"/>
    <w:rsid w:val="00E07885"/>
    <w:rsid w:val="00E127F6"/>
    <w:rsid w:val="00E15EC1"/>
    <w:rsid w:val="00E1725D"/>
    <w:rsid w:val="00E23A0E"/>
    <w:rsid w:val="00E23ABE"/>
    <w:rsid w:val="00E24C96"/>
    <w:rsid w:val="00E32A95"/>
    <w:rsid w:val="00E32D31"/>
    <w:rsid w:val="00E348EF"/>
    <w:rsid w:val="00E35955"/>
    <w:rsid w:val="00E36CEF"/>
    <w:rsid w:val="00E37722"/>
    <w:rsid w:val="00E40E53"/>
    <w:rsid w:val="00E41FA1"/>
    <w:rsid w:val="00E420DB"/>
    <w:rsid w:val="00E4315C"/>
    <w:rsid w:val="00E434B6"/>
    <w:rsid w:val="00E444BB"/>
    <w:rsid w:val="00E46828"/>
    <w:rsid w:val="00E46FBA"/>
    <w:rsid w:val="00E470FE"/>
    <w:rsid w:val="00E47539"/>
    <w:rsid w:val="00E47DB8"/>
    <w:rsid w:val="00E519FF"/>
    <w:rsid w:val="00E53EA3"/>
    <w:rsid w:val="00E60D35"/>
    <w:rsid w:val="00E64F9F"/>
    <w:rsid w:val="00E70C98"/>
    <w:rsid w:val="00E71838"/>
    <w:rsid w:val="00E71FDE"/>
    <w:rsid w:val="00E75B75"/>
    <w:rsid w:val="00E808A0"/>
    <w:rsid w:val="00E8256B"/>
    <w:rsid w:val="00E82975"/>
    <w:rsid w:val="00E82979"/>
    <w:rsid w:val="00E837EA"/>
    <w:rsid w:val="00E8382A"/>
    <w:rsid w:val="00E844F9"/>
    <w:rsid w:val="00E8502B"/>
    <w:rsid w:val="00E85296"/>
    <w:rsid w:val="00E858C5"/>
    <w:rsid w:val="00E90512"/>
    <w:rsid w:val="00E95281"/>
    <w:rsid w:val="00E96054"/>
    <w:rsid w:val="00EA233E"/>
    <w:rsid w:val="00EA27F0"/>
    <w:rsid w:val="00EA533B"/>
    <w:rsid w:val="00EB1055"/>
    <w:rsid w:val="00EB3588"/>
    <w:rsid w:val="00EB55B6"/>
    <w:rsid w:val="00EB6C3F"/>
    <w:rsid w:val="00EC42C2"/>
    <w:rsid w:val="00EC4D8D"/>
    <w:rsid w:val="00ED129B"/>
    <w:rsid w:val="00ED2F94"/>
    <w:rsid w:val="00ED77A0"/>
    <w:rsid w:val="00EE4AB9"/>
    <w:rsid w:val="00EF0AC0"/>
    <w:rsid w:val="00EF2E6D"/>
    <w:rsid w:val="00EF660E"/>
    <w:rsid w:val="00F04DBB"/>
    <w:rsid w:val="00F05D21"/>
    <w:rsid w:val="00F06E01"/>
    <w:rsid w:val="00F10075"/>
    <w:rsid w:val="00F1042A"/>
    <w:rsid w:val="00F1415F"/>
    <w:rsid w:val="00F215EF"/>
    <w:rsid w:val="00F23E12"/>
    <w:rsid w:val="00F2701D"/>
    <w:rsid w:val="00F272E0"/>
    <w:rsid w:val="00F32747"/>
    <w:rsid w:val="00F330EC"/>
    <w:rsid w:val="00F34759"/>
    <w:rsid w:val="00F4036E"/>
    <w:rsid w:val="00F410C6"/>
    <w:rsid w:val="00F422A3"/>
    <w:rsid w:val="00F42765"/>
    <w:rsid w:val="00F445C5"/>
    <w:rsid w:val="00F47331"/>
    <w:rsid w:val="00F47DFE"/>
    <w:rsid w:val="00F50B04"/>
    <w:rsid w:val="00F50EDD"/>
    <w:rsid w:val="00F51A54"/>
    <w:rsid w:val="00F52EC6"/>
    <w:rsid w:val="00F5527B"/>
    <w:rsid w:val="00F57812"/>
    <w:rsid w:val="00F626DE"/>
    <w:rsid w:val="00F652EA"/>
    <w:rsid w:val="00F703FE"/>
    <w:rsid w:val="00F70487"/>
    <w:rsid w:val="00F712D6"/>
    <w:rsid w:val="00F71963"/>
    <w:rsid w:val="00F71FEE"/>
    <w:rsid w:val="00F7287C"/>
    <w:rsid w:val="00F7442A"/>
    <w:rsid w:val="00F76B20"/>
    <w:rsid w:val="00F777FE"/>
    <w:rsid w:val="00F802AD"/>
    <w:rsid w:val="00F815A8"/>
    <w:rsid w:val="00F821C6"/>
    <w:rsid w:val="00F84570"/>
    <w:rsid w:val="00F84A6F"/>
    <w:rsid w:val="00F84EBC"/>
    <w:rsid w:val="00F852B9"/>
    <w:rsid w:val="00F87ABA"/>
    <w:rsid w:val="00F9102D"/>
    <w:rsid w:val="00F94FAC"/>
    <w:rsid w:val="00F95BE0"/>
    <w:rsid w:val="00F979B2"/>
    <w:rsid w:val="00FA1D6A"/>
    <w:rsid w:val="00FA23F9"/>
    <w:rsid w:val="00FA29D7"/>
    <w:rsid w:val="00FA2D5B"/>
    <w:rsid w:val="00FA31E8"/>
    <w:rsid w:val="00FA3858"/>
    <w:rsid w:val="00FA39D7"/>
    <w:rsid w:val="00FA5150"/>
    <w:rsid w:val="00FA7810"/>
    <w:rsid w:val="00FB05E2"/>
    <w:rsid w:val="00FB65BF"/>
    <w:rsid w:val="00FB7BA5"/>
    <w:rsid w:val="00FC7545"/>
    <w:rsid w:val="00FD30FD"/>
    <w:rsid w:val="00FD402A"/>
    <w:rsid w:val="00FE0B8C"/>
    <w:rsid w:val="00FE124B"/>
    <w:rsid w:val="00FE13B7"/>
    <w:rsid w:val="00FE6D7C"/>
    <w:rsid w:val="00FF0D08"/>
    <w:rsid w:val="00FF2049"/>
    <w:rsid w:val="00FF3A68"/>
    <w:rsid w:val="00FF50E4"/>
    <w:rsid w:val="00FF7A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5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39A"/>
    <w:rPr>
      <w:rFonts w:ascii="Arial" w:hAnsi="Arial"/>
      <w:sz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rsid w:val="00745885"/>
    <w:tblPr>
      <w:jc w:val="center"/>
    </w:tblPr>
    <w:trPr>
      <w:jc w:val="center"/>
    </w:trPr>
    <w:tcPr>
      <w:shd w:val="pct30" w:color="008080" w:fill="FFFFFF"/>
      <w:vAlign w:val="center"/>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rsid w:val="007458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rsid w:val="001A6529"/>
    <w:pPr>
      <w:tabs>
        <w:tab w:val="center" w:pos="4153"/>
        <w:tab w:val="right" w:pos="8306"/>
      </w:tabs>
    </w:pPr>
  </w:style>
  <w:style w:type="character" w:customStyle="1" w:styleId="FooterChar">
    <w:name w:val="Footer Char"/>
    <w:link w:val="Footer"/>
    <w:rsid w:val="001A6529"/>
    <w:rPr>
      <w:rFonts w:ascii="Arial" w:hAnsi="Arial"/>
      <w:sz w:val="22"/>
      <w:lang w:eastAsia="en-US"/>
    </w:rPr>
  </w:style>
  <w:style w:type="character" w:styleId="PageNumber">
    <w:name w:val="page number"/>
    <w:basedOn w:val="DefaultParagraphFont"/>
    <w:rsid w:val="001A6529"/>
  </w:style>
  <w:style w:type="character" w:styleId="CommentReference">
    <w:name w:val="annotation reference"/>
    <w:uiPriority w:val="99"/>
    <w:rsid w:val="00025D85"/>
    <w:rPr>
      <w:sz w:val="16"/>
      <w:szCs w:val="16"/>
    </w:rPr>
  </w:style>
  <w:style w:type="paragraph" w:styleId="CommentText">
    <w:name w:val="annotation text"/>
    <w:basedOn w:val="Normal"/>
    <w:link w:val="CommentTextChar"/>
    <w:uiPriority w:val="99"/>
    <w:rsid w:val="00025D85"/>
    <w:rPr>
      <w:sz w:val="20"/>
    </w:rPr>
  </w:style>
  <w:style w:type="character" w:customStyle="1" w:styleId="CommentTextChar">
    <w:name w:val="Comment Text Char"/>
    <w:link w:val="CommentText"/>
    <w:uiPriority w:val="99"/>
    <w:rsid w:val="00025D85"/>
    <w:rPr>
      <w:rFonts w:ascii="Arial" w:hAnsi="Arial"/>
      <w:lang w:eastAsia="en-US"/>
    </w:rPr>
  </w:style>
  <w:style w:type="paragraph" w:styleId="CommentSubject">
    <w:name w:val="annotation subject"/>
    <w:basedOn w:val="CommentText"/>
    <w:next w:val="CommentText"/>
    <w:link w:val="CommentSubjectChar"/>
    <w:rsid w:val="00025D85"/>
    <w:rPr>
      <w:b/>
      <w:bCs/>
    </w:rPr>
  </w:style>
  <w:style w:type="character" w:customStyle="1" w:styleId="CommentSubjectChar">
    <w:name w:val="Comment Subject Char"/>
    <w:link w:val="CommentSubject"/>
    <w:rsid w:val="00025D85"/>
    <w:rPr>
      <w:rFonts w:ascii="Arial" w:hAnsi="Arial"/>
      <w:b/>
      <w:bCs/>
      <w:lang w:eastAsia="en-US"/>
    </w:rPr>
  </w:style>
  <w:style w:type="paragraph" w:styleId="BalloonText">
    <w:name w:val="Balloon Text"/>
    <w:basedOn w:val="Normal"/>
    <w:link w:val="BalloonTextChar"/>
    <w:rsid w:val="00025D85"/>
    <w:rPr>
      <w:rFonts w:ascii="Tahoma" w:hAnsi="Tahoma" w:cs="Tahoma"/>
      <w:sz w:val="16"/>
      <w:szCs w:val="16"/>
    </w:rPr>
  </w:style>
  <w:style w:type="character" w:customStyle="1" w:styleId="BalloonTextChar">
    <w:name w:val="Balloon Text Char"/>
    <w:link w:val="BalloonText"/>
    <w:rsid w:val="00025D85"/>
    <w:rPr>
      <w:rFonts w:ascii="Tahoma" w:hAnsi="Tahoma" w:cs="Tahoma"/>
      <w:sz w:val="16"/>
      <w:szCs w:val="16"/>
      <w:lang w:eastAsia="en-US"/>
    </w:rPr>
  </w:style>
  <w:style w:type="paragraph" w:styleId="ListParagraph">
    <w:name w:val="List Paragraph"/>
    <w:basedOn w:val="Normal"/>
    <w:uiPriority w:val="34"/>
    <w:qFormat/>
    <w:rsid w:val="001A1093"/>
    <w:pPr>
      <w:ind w:left="720"/>
      <w:contextualSpacing/>
    </w:pPr>
    <w:rPr>
      <w:rFonts w:ascii="Times New Roman" w:hAnsi="Times New Roman"/>
      <w:sz w:val="24"/>
      <w:szCs w:val="24"/>
      <w:lang w:eastAsia="en-AU"/>
    </w:rPr>
  </w:style>
  <w:style w:type="character" w:customStyle="1" w:styleId="st1">
    <w:name w:val="st1"/>
    <w:rsid w:val="00156467"/>
  </w:style>
  <w:style w:type="paragraph" w:customStyle="1" w:styleId="IH">
    <w:name w:val="IH"/>
    <w:aliases w:val="Interpretation heading"/>
    <w:basedOn w:val="Normal"/>
    <w:next w:val="Normal"/>
    <w:uiPriority w:val="99"/>
    <w:rsid w:val="00E75B75"/>
    <w:pPr>
      <w:keepNext/>
      <w:spacing w:before="480"/>
      <w:ind w:left="964" w:hanging="964"/>
    </w:pPr>
    <w:rPr>
      <w:b/>
      <w:sz w:val="24"/>
      <w:szCs w:val="24"/>
    </w:rPr>
  </w:style>
  <w:style w:type="character" w:styleId="Hyperlink">
    <w:name w:val="Hyperlink"/>
    <w:rsid w:val="00CE7D2D"/>
    <w:rPr>
      <w:color w:val="0563C1"/>
      <w:u w:val="single"/>
    </w:rPr>
  </w:style>
  <w:style w:type="character" w:styleId="UnresolvedMention">
    <w:name w:val="Unresolved Mention"/>
    <w:uiPriority w:val="99"/>
    <w:semiHidden/>
    <w:unhideWhenUsed/>
    <w:rsid w:val="00CE7D2D"/>
    <w:rPr>
      <w:color w:val="605E5C"/>
      <w:shd w:val="clear" w:color="auto" w:fill="E1DFDD"/>
    </w:rPr>
  </w:style>
  <w:style w:type="paragraph" w:styleId="Revision">
    <w:name w:val="Revision"/>
    <w:hidden/>
    <w:uiPriority w:val="99"/>
    <w:semiHidden/>
    <w:rsid w:val="000C1702"/>
    <w:rPr>
      <w:rFonts w:ascii="Arial" w:hAnsi="Arial"/>
      <w:sz w:val="22"/>
      <w:lang w:val="en-AU" w:eastAsia="en-US"/>
    </w:rPr>
  </w:style>
  <w:style w:type="character" w:customStyle="1" w:styleId="fontstyle01">
    <w:name w:val="fontstyle01"/>
    <w:rsid w:val="00670E3B"/>
    <w:rPr>
      <w:rFonts w:ascii="Calibri" w:hAnsi="Calibri" w:cs="Calibri" w:hint="default"/>
      <w:b w:val="0"/>
      <w:bCs w:val="0"/>
      <w:i w:val="0"/>
      <w:iCs w:val="0"/>
      <w:color w:val="000000"/>
      <w:sz w:val="22"/>
      <w:szCs w:val="22"/>
    </w:rPr>
  </w:style>
  <w:style w:type="character" w:customStyle="1" w:styleId="fontstyle21">
    <w:name w:val="fontstyle21"/>
    <w:rsid w:val="00670E3B"/>
    <w:rPr>
      <w:rFonts w:ascii="SymbolMT" w:hAnsi="SymbolMT" w:hint="default"/>
      <w:b w:val="0"/>
      <w:bCs w:val="0"/>
      <w:i w:val="0"/>
      <w:iCs w:val="0"/>
      <w:color w:val="000000"/>
      <w:sz w:val="22"/>
      <w:szCs w:val="22"/>
    </w:rPr>
  </w:style>
  <w:style w:type="character" w:customStyle="1" w:styleId="fontstyle31">
    <w:name w:val="fontstyle31"/>
    <w:rsid w:val="00670E3B"/>
    <w:rPr>
      <w:rFonts w:ascii="Calibri-Bold" w:hAnsi="Calibri-Bold" w:hint="default"/>
      <w:b/>
      <w:bCs/>
      <w:i w:val="0"/>
      <w:iCs w:val="0"/>
      <w:color w:val="003B45"/>
      <w:sz w:val="16"/>
      <w:szCs w:val="16"/>
    </w:rPr>
  </w:style>
  <w:style w:type="character" w:customStyle="1" w:styleId="cf01">
    <w:name w:val="cf01"/>
    <w:rsid w:val="00180E32"/>
    <w:rPr>
      <w:rFonts w:ascii="Segoe UI" w:hAnsi="Segoe UI" w:cs="Segoe UI" w:hint="default"/>
      <w:i/>
      <w:iCs/>
      <w:sz w:val="18"/>
      <w:szCs w:val="18"/>
    </w:rPr>
  </w:style>
  <w:style w:type="paragraph" w:customStyle="1" w:styleId="MBPoint">
    <w:name w:val="MB Point"/>
    <w:basedOn w:val="ListParagraph"/>
    <w:link w:val="MBPointChar"/>
    <w:qFormat/>
    <w:rsid w:val="004650DD"/>
    <w:pPr>
      <w:numPr>
        <w:numId w:val="21"/>
      </w:numPr>
      <w:tabs>
        <w:tab w:val="num" w:pos="360"/>
      </w:tabs>
      <w:spacing w:after="60"/>
      <w:ind w:left="720" w:firstLine="0"/>
      <w:contextualSpacing w:val="0"/>
    </w:pPr>
    <w:rPr>
      <w:rFonts w:eastAsia="Calibri"/>
      <w:lang w:eastAsia="en-US"/>
    </w:rPr>
  </w:style>
  <w:style w:type="paragraph" w:customStyle="1" w:styleId="MBPointSub">
    <w:name w:val="MB Point Sub"/>
    <w:basedOn w:val="ListParagraph"/>
    <w:link w:val="MBPointSubChar"/>
    <w:qFormat/>
    <w:rsid w:val="004650DD"/>
    <w:pPr>
      <w:numPr>
        <w:ilvl w:val="1"/>
        <w:numId w:val="20"/>
      </w:numPr>
      <w:spacing w:after="60"/>
      <w:contextualSpacing w:val="0"/>
    </w:pPr>
    <w:rPr>
      <w:rFonts w:eastAsia="Calibri"/>
      <w:lang w:eastAsia="en-US"/>
    </w:rPr>
  </w:style>
  <w:style w:type="character" w:customStyle="1" w:styleId="MBPointSubChar">
    <w:name w:val="MB Point Sub Char"/>
    <w:link w:val="MBPointSub"/>
    <w:rsid w:val="004650DD"/>
    <w:rPr>
      <w:rFonts w:eastAsia="Calibri"/>
      <w:sz w:val="24"/>
      <w:szCs w:val="24"/>
      <w:lang w:eastAsia="en-US"/>
    </w:rPr>
  </w:style>
  <w:style w:type="character" w:customStyle="1" w:styleId="MBPointChar">
    <w:name w:val="MB Point Char"/>
    <w:link w:val="MBPoint"/>
    <w:rsid w:val="004650DD"/>
    <w:rPr>
      <w:rFonts w:eastAsia="Calibri"/>
      <w:sz w:val="24"/>
      <w:szCs w:val="24"/>
      <w:lang w:eastAsia="en-US"/>
    </w:rPr>
  </w:style>
  <w:style w:type="paragraph" w:styleId="Header">
    <w:name w:val="header"/>
    <w:basedOn w:val="Normal"/>
    <w:link w:val="HeaderChar"/>
    <w:rsid w:val="00F06E01"/>
    <w:pPr>
      <w:tabs>
        <w:tab w:val="center" w:pos="4513"/>
        <w:tab w:val="right" w:pos="9026"/>
      </w:tabs>
    </w:pPr>
  </w:style>
  <w:style w:type="character" w:customStyle="1" w:styleId="HeaderChar">
    <w:name w:val="Header Char"/>
    <w:basedOn w:val="DefaultParagraphFont"/>
    <w:link w:val="Header"/>
    <w:rsid w:val="00F06E01"/>
    <w:rPr>
      <w:rFonts w:ascii="Arial" w:hAnsi="Arial"/>
      <w:sz w:val="22"/>
      <w:lang w:val="en-AU" w:eastAsia="en-US"/>
    </w:rPr>
  </w:style>
  <w:style w:type="character" w:styleId="Mention">
    <w:name w:val="Mention"/>
    <w:basedOn w:val="DefaultParagraphFont"/>
    <w:uiPriority w:val="99"/>
    <w:unhideWhenUsed/>
    <w:rsid w:val="003B1D76"/>
    <w:rPr>
      <w:color w:val="2B579A"/>
      <w:shd w:val="clear" w:color="auto" w:fill="E1DFDD"/>
    </w:rPr>
  </w:style>
  <w:style w:type="paragraph" w:styleId="BodyText">
    <w:name w:val="Body Text"/>
    <w:basedOn w:val="Normal"/>
    <w:link w:val="BodyTextChar"/>
    <w:uiPriority w:val="1"/>
    <w:qFormat/>
    <w:rsid w:val="00C36C59"/>
    <w:pPr>
      <w:widowControl w:val="0"/>
      <w:autoSpaceDE w:val="0"/>
      <w:autoSpaceDN w:val="0"/>
    </w:pPr>
    <w:rPr>
      <w:rFonts w:ascii="Times New Roman" w:hAnsi="Times New Roman"/>
      <w:szCs w:val="22"/>
      <w:lang w:val="en-US"/>
    </w:rPr>
  </w:style>
  <w:style w:type="character" w:customStyle="1" w:styleId="BodyTextChar">
    <w:name w:val="Body Text Char"/>
    <w:basedOn w:val="DefaultParagraphFont"/>
    <w:link w:val="BodyText"/>
    <w:uiPriority w:val="1"/>
    <w:rsid w:val="00C36C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6285">
      <w:bodyDiv w:val="1"/>
      <w:marLeft w:val="0"/>
      <w:marRight w:val="0"/>
      <w:marTop w:val="0"/>
      <w:marBottom w:val="0"/>
      <w:divBdr>
        <w:top w:val="none" w:sz="0" w:space="0" w:color="auto"/>
        <w:left w:val="none" w:sz="0" w:space="0" w:color="auto"/>
        <w:bottom w:val="none" w:sz="0" w:space="0" w:color="auto"/>
        <w:right w:val="none" w:sz="0" w:space="0" w:color="auto"/>
      </w:divBdr>
    </w:div>
    <w:div w:id="182598095">
      <w:bodyDiv w:val="1"/>
      <w:marLeft w:val="0"/>
      <w:marRight w:val="0"/>
      <w:marTop w:val="0"/>
      <w:marBottom w:val="0"/>
      <w:divBdr>
        <w:top w:val="none" w:sz="0" w:space="0" w:color="auto"/>
        <w:left w:val="none" w:sz="0" w:space="0" w:color="auto"/>
        <w:bottom w:val="none" w:sz="0" w:space="0" w:color="auto"/>
        <w:right w:val="none" w:sz="0" w:space="0" w:color="auto"/>
      </w:divBdr>
      <w:divsChild>
        <w:div w:id="1440492557">
          <w:marLeft w:val="0"/>
          <w:marRight w:val="0"/>
          <w:marTop w:val="0"/>
          <w:marBottom w:val="0"/>
          <w:divBdr>
            <w:top w:val="none" w:sz="0" w:space="0" w:color="auto"/>
            <w:left w:val="none" w:sz="0" w:space="0" w:color="auto"/>
            <w:bottom w:val="none" w:sz="0" w:space="0" w:color="auto"/>
            <w:right w:val="none" w:sz="0" w:space="0" w:color="auto"/>
          </w:divBdr>
          <w:divsChild>
            <w:div w:id="1887252832">
              <w:marLeft w:val="0"/>
              <w:marRight w:val="0"/>
              <w:marTop w:val="0"/>
              <w:marBottom w:val="0"/>
              <w:divBdr>
                <w:top w:val="none" w:sz="0" w:space="0" w:color="auto"/>
                <w:left w:val="none" w:sz="0" w:space="0" w:color="auto"/>
                <w:bottom w:val="none" w:sz="0" w:space="0" w:color="auto"/>
                <w:right w:val="none" w:sz="0" w:space="0" w:color="auto"/>
              </w:divBdr>
              <w:divsChild>
                <w:div w:id="642080397">
                  <w:marLeft w:val="0"/>
                  <w:marRight w:val="0"/>
                  <w:marTop w:val="0"/>
                  <w:marBottom w:val="0"/>
                  <w:divBdr>
                    <w:top w:val="none" w:sz="0" w:space="0" w:color="auto"/>
                    <w:left w:val="none" w:sz="0" w:space="0" w:color="auto"/>
                    <w:bottom w:val="none" w:sz="0" w:space="0" w:color="auto"/>
                    <w:right w:val="none" w:sz="0" w:space="0" w:color="auto"/>
                  </w:divBdr>
                  <w:divsChild>
                    <w:div w:id="740103647">
                      <w:marLeft w:val="0"/>
                      <w:marRight w:val="0"/>
                      <w:marTop w:val="0"/>
                      <w:marBottom w:val="0"/>
                      <w:divBdr>
                        <w:top w:val="none" w:sz="0" w:space="0" w:color="auto"/>
                        <w:left w:val="none" w:sz="0" w:space="0" w:color="auto"/>
                        <w:bottom w:val="none" w:sz="0" w:space="0" w:color="auto"/>
                        <w:right w:val="none" w:sz="0" w:space="0" w:color="auto"/>
                      </w:divBdr>
                      <w:divsChild>
                        <w:div w:id="978534185">
                          <w:marLeft w:val="0"/>
                          <w:marRight w:val="0"/>
                          <w:marTop w:val="0"/>
                          <w:marBottom w:val="0"/>
                          <w:divBdr>
                            <w:top w:val="single" w:sz="4" w:space="0" w:color="828282"/>
                            <w:left w:val="single" w:sz="4" w:space="0" w:color="828282"/>
                            <w:bottom w:val="single" w:sz="4" w:space="0" w:color="828282"/>
                            <w:right w:val="single" w:sz="4" w:space="0" w:color="828282"/>
                          </w:divBdr>
                          <w:divsChild>
                            <w:div w:id="1604654747">
                              <w:marLeft w:val="0"/>
                              <w:marRight w:val="0"/>
                              <w:marTop w:val="0"/>
                              <w:marBottom w:val="0"/>
                              <w:divBdr>
                                <w:top w:val="none" w:sz="0" w:space="0" w:color="auto"/>
                                <w:left w:val="none" w:sz="0" w:space="0" w:color="auto"/>
                                <w:bottom w:val="none" w:sz="0" w:space="0" w:color="auto"/>
                                <w:right w:val="none" w:sz="0" w:space="0" w:color="auto"/>
                              </w:divBdr>
                              <w:divsChild>
                                <w:div w:id="355690729">
                                  <w:marLeft w:val="0"/>
                                  <w:marRight w:val="0"/>
                                  <w:marTop w:val="0"/>
                                  <w:marBottom w:val="0"/>
                                  <w:divBdr>
                                    <w:top w:val="none" w:sz="0" w:space="0" w:color="auto"/>
                                    <w:left w:val="none" w:sz="0" w:space="0" w:color="auto"/>
                                    <w:bottom w:val="none" w:sz="0" w:space="0" w:color="auto"/>
                                    <w:right w:val="none" w:sz="0" w:space="0" w:color="auto"/>
                                  </w:divBdr>
                                  <w:divsChild>
                                    <w:div w:id="1150900137">
                                      <w:marLeft w:val="0"/>
                                      <w:marRight w:val="0"/>
                                      <w:marTop w:val="0"/>
                                      <w:marBottom w:val="0"/>
                                      <w:divBdr>
                                        <w:top w:val="none" w:sz="0" w:space="0" w:color="auto"/>
                                        <w:left w:val="none" w:sz="0" w:space="0" w:color="auto"/>
                                        <w:bottom w:val="none" w:sz="0" w:space="0" w:color="auto"/>
                                        <w:right w:val="none" w:sz="0" w:space="0" w:color="auto"/>
                                      </w:divBdr>
                                      <w:divsChild>
                                        <w:div w:id="1206059223">
                                          <w:marLeft w:val="0"/>
                                          <w:marRight w:val="0"/>
                                          <w:marTop w:val="0"/>
                                          <w:marBottom w:val="0"/>
                                          <w:divBdr>
                                            <w:top w:val="none" w:sz="0" w:space="0" w:color="auto"/>
                                            <w:left w:val="none" w:sz="0" w:space="0" w:color="auto"/>
                                            <w:bottom w:val="none" w:sz="0" w:space="0" w:color="auto"/>
                                            <w:right w:val="none" w:sz="0" w:space="0" w:color="auto"/>
                                          </w:divBdr>
                                          <w:divsChild>
                                            <w:div w:id="1311516450">
                                              <w:marLeft w:val="0"/>
                                              <w:marRight w:val="0"/>
                                              <w:marTop w:val="0"/>
                                              <w:marBottom w:val="0"/>
                                              <w:divBdr>
                                                <w:top w:val="none" w:sz="0" w:space="0" w:color="auto"/>
                                                <w:left w:val="none" w:sz="0" w:space="0" w:color="auto"/>
                                                <w:bottom w:val="none" w:sz="0" w:space="0" w:color="auto"/>
                                                <w:right w:val="none" w:sz="0" w:space="0" w:color="auto"/>
                                              </w:divBdr>
                                              <w:divsChild>
                                                <w:div w:id="6248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998861">
      <w:bodyDiv w:val="1"/>
      <w:marLeft w:val="0"/>
      <w:marRight w:val="0"/>
      <w:marTop w:val="0"/>
      <w:marBottom w:val="0"/>
      <w:divBdr>
        <w:top w:val="none" w:sz="0" w:space="0" w:color="auto"/>
        <w:left w:val="none" w:sz="0" w:space="0" w:color="auto"/>
        <w:bottom w:val="none" w:sz="0" w:space="0" w:color="auto"/>
        <w:right w:val="none" w:sz="0" w:space="0" w:color="auto"/>
      </w:divBdr>
    </w:div>
    <w:div w:id="1032340354">
      <w:bodyDiv w:val="1"/>
      <w:marLeft w:val="0"/>
      <w:marRight w:val="0"/>
      <w:marTop w:val="0"/>
      <w:marBottom w:val="0"/>
      <w:divBdr>
        <w:top w:val="none" w:sz="0" w:space="0" w:color="auto"/>
        <w:left w:val="none" w:sz="0" w:space="0" w:color="auto"/>
        <w:bottom w:val="none" w:sz="0" w:space="0" w:color="auto"/>
        <w:right w:val="none" w:sz="0" w:space="0" w:color="auto"/>
      </w:divBdr>
    </w:div>
    <w:div w:id="1071077113">
      <w:bodyDiv w:val="1"/>
      <w:marLeft w:val="0"/>
      <w:marRight w:val="0"/>
      <w:marTop w:val="0"/>
      <w:marBottom w:val="0"/>
      <w:divBdr>
        <w:top w:val="none" w:sz="0" w:space="0" w:color="auto"/>
        <w:left w:val="none" w:sz="0" w:space="0" w:color="auto"/>
        <w:bottom w:val="none" w:sz="0" w:space="0" w:color="auto"/>
        <w:right w:val="none" w:sz="0" w:space="0" w:color="auto"/>
      </w:divBdr>
    </w:div>
    <w:div w:id="1271353552">
      <w:bodyDiv w:val="1"/>
      <w:marLeft w:val="0"/>
      <w:marRight w:val="0"/>
      <w:marTop w:val="0"/>
      <w:marBottom w:val="0"/>
      <w:divBdr>
        <w:top w:val="none" w:sz="0" w:space="0" w:color="auto"/>
        <w:left w:val="none" w:sz="0" w:space="0" w:color="auto"/>
        <w:bottom w:val="none" w:sz="0" w:space="0" w:color="auto"/>
        <w:right w:val="none" w:sz="0" w:space="0" w:color="auto"/>
      </w:divBdr>
    </w:div>
    <w:div w:id="1346596605">
      <w:bodyDiv w:val="1"/>
      <w:marLeft w:val="0"/>
      <w:marRight w:val="0"/>
      <w:marTop w:val="0"/>
      <w:marBottom w:val="0"/>
      <w:divBdr>
        <w:top w:val="none" w:sz="0" w:space="0" w:color="auto"/>
        <w:left w:val="none" w:sz="0" w:space="0" w:color="auto"/>
        <w:bottom w:val="none" w:sz="0" w:space="0" w:color="auto"/>
        <w:right w:val="none" w:sz="0" w:space="0" w:color="auto"/>
      </w:divBdr>
    </w:div>
    <w:div w:id="1792868715">
      <w:bodyDiv w:val="1"/>
      <w:marLeft w:val="0"/>
      <w:marRight w:val="0"/>
      <w:marTop w:val="0"/>
      <w:marBottom w:val="0"/>
      <w:divBdr>
        <w:top w:val="none" w:sz="0" w:space="0" w:color="auto"/>
        <w:left w:val="none" w:sz="0" w:space="0" w:color="auto"/>
        <w:bottom w:val="none" w:sz="0" w:space="0" w:color="auto"/>
        <w:right w:val="none" w:sz="0" w:space="0" w:color="auto"/>
      </w:divBdr>
    </w:div>
    <w:div w:id="213590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2841a2f4f0e46edb9ade446fe7c03eb xmlns="f152f686-5298-4458-995c-86bfb9fcf3c0">
      <Terms xmlns="http://schemas.microsoft.com/office/infopath/2007/PartnerControls">
        <TermInfo xmlns="http://schemas.microsoft.com/office/infopath/2007/PartnerControls">
          <TermName xmlns="http://schemas.microsoft.com/office/infopath/2007/PartnerControls">Legal Services</TermName>
          <TermId xmlns="http://schemas.microsoft.com/office/infopath/2007/PartnerControls">fc20bdc8-151f-4b1d-aea5-c71094fe6d32</TermId>
        </TermInfo>
      </Terms>
    </p2841a2f4f0e46edb9ade446fe7c03eb>
    <lf00f7cae6154b588c712167af0e92c2 xmlns="f152f686-5298-4458-995c-86bfb9fcf3c0">
      <Terms xmlns="http://schemas.microsoft.com/office/infopath/2007/PartnerControls">
        <TermInfo xmlns="http://schemas.microsoft.com/office/infopath/2007/PartnerControls">
          <TermName xmlns="http://schemas.microsoft.com/office/infopath/2007/PartnerControls">Legal Document</TermName>
          <TermId xmlns="http://schemas.microsoft.com/office/infopath/2007/PartnerControls">5cc77814-fb69-4550-95a5-0b04003afde7</TermId>
        </TermInfo>
      </Terms>
    </lf00f7cae6154b588c712167af0e92c2>
    <MeetingDate xmlns="f152f686-5298-4458-995c-86bfb9fcf3c0" xsi:nil="true"/>
    <j5c7243103eb4a8f8bdb102a5810412a xmlns="f152f686-5298-4458-995c-86bfb9fcf3c0">
      <Terms xmlns="http://schemas.microsoft.com/office/infopath/2007/PartnerControls">
        <TermInfo xmlns="http://schemas.microsoft.com/office/infopath/2007/PartnerControls">
          <TermName xmlns="http://schemas.microsoft.com/office/infopath/2007/PartnerControls">Advice and Enquiries</TermName>
          <TermId xmlns="http://schemas.microsoft.com/office/infopath/2007/PartnerControls">cc724d83-84c0-4470-814f-04d513d3a73b</TermId>
        </TermInfo>
      </Terms>
    </j5c7243103eb4a8f8bdb102a5810412a>
    <d12718024dce488ca1acf8ec30c4499d xmlns="f152f686-5298-4458-995c-86bfb9fcf3c0">
      <Terms xmlns="http://schemas.microsoft.com/office/infopath/2007/PartnerControls"/>
    </d12718024dce488ca1acf8ec30c4499d>
    <d45e8d204e5342a79eb0715bc3ad0457 xmlns="f152f686-5298-4458-995c-86bfb9fcf3c0">
      <Terms xmlns="http://schemas.microsoft.com/office/infopath/2007/PartnerControls"/>
    </d45e8d204e5342a79eb0715bc3ad0457>
    <na3517ef627c4abdba992dc67b4c5181 xmlns="f152f686-5298-4458-995c-86bfb9fcf3c0">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4550973f-8588-450e-9abe-da85edb8383b</TermId>
        </TermInfo>
      </Terms>
    </na3517ef627c4abdba992dc67b4c5181>
    <lcf76f155ced4ddcb4097134ff3c332f xmlns="f152f686-5298-4458-995c-86bfb9fcf3c0">
      <Terms xmlns="http://schemas.microsoft.com/office/infopath/2007/PartnerControls"/>
    </lcf76f155ced4ddcb4097134ff3c332f>
    <TaxCatchAll xmlns="966ae2eb-5434-485c-924b-d2286657f5b8">
      <Value>136</Value>
      <Value>102</Value>
      <Value>60</Value>
      <Value>59</Value>
    </TaxCatchAll>
    <Status xmlns="f152f686-5298-4458-995c-86bfb9fcf3c0">Signed</Status>
    <Decision xmlns="f152f686-5298-4458-995c-86bfb9fcf3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3F679CEDE81947B32E2ECF314816F8" ma:contentTypeVersion="35" ma:contentTypeDescription="Create a new document." ma:contentTypeScope="" ma:versionID="e754f2a313696b5eab155da06fe6f9ae">
  <xsd:schema xmlns:xsd="http://www.w3.org/2001/XMLSchema" xmlns:xs="http://www.w3.org/2001/XMLSchema" xmlns:p="http://schemas.microsoft.com/office/2006/metadata/properties" xmlns:ns2="f152f686-5298-4458-995c-86bfb9fcf3c0" xmlns:ns3="966ae2eb-5434-485c-924b-d2286657f5b8" targetNamespace="http://schemas.microsoft.com/office/2006/metadata/properties" ma:root="true" ma:fieldsID="1ccf8a96f50086e782ac9d057f2b643c" ns2:_="" ns3:_="">
    <xsd:import namespace="f152f686-5298-4458-995c-86bfb9fcf3c0"/>
    <xsd:import namespace="966ae2eb-5434-485c-924b-d2286657f5b8"/>
    <xsd:element name="properties">
      <xsd:complexType>
        <xsd:sequence>
          <xsd:element name="documentManagement">
            <xsd:complexType>
              <xsd:all>
                <xsd:element ref="ns2:MeetingDate" minOccurs="0"/>
                <xsd:element ref="ns2:Status" minOccurs="0"/>
                <xsd:element ref="ns2:Decision" minOccurs="0"/>
                <xsd:element ref="ns2:j5c7243103eb4a8f8bdb102a5810412a" minOccurs="0"/>
                <xsd:element ref="ns2:lf00f7cae6154b588c712167af0e92c2" minOccurs="0"/>
                <xsd:element ref="ns2:na3517ef627c4abdba992dc67b4c5181" minOccurs="0"/>
                <xsd:element ref="ns2:d12718024dce488ca1acf8ec30c4499d" minOccurs="0"/>
                <xsd:element ref="ns2:d45e8d204e5342a79eb0715bc3ad0457" minOccurs="0"/>
                <xsd:element ref="ns3:TaxCatchAll" minOccurs="0"/>
                <xsd:element ref="ns2:MediaServiceMetadata" minOccurs="0"/>
                <xsd:element ref="ns2:MediaServiceFastMetadata" minOccurs="0"/>
                <xsd:element ref="ns2:MediaServiceObjectDetectorVersions" minOccurs="0"/>
                <xsd:element ref="ns2:p2841a2f4f0e46edb9ade446fe7c03eb"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2f686-5298-4458-995c-86bfb9fcf3c0" elementFormDefault="qualified">
    <xsd:import namespace="http://schemas.microsoft.com/office/2006/documentManagement/types"/>
    <xsd:import namespace="http://schemas.microsoft.com/office/infopath/2007/PartnerControls"/>
    <xsd:element name="MeetingDate" ma:index="5" nillable="true" ma:displayName="Meeting Date" ma:format="DateOnly" ma:internalName="MeetingDate" ma:readOnly="false">
      <xsd:simpleType>
        <xsd:restriction base="dms:DateTime"/>
      </xsd:simpleType>
    </xsd:element>
    <xsd:element name="Status" ma:index="7" nillable="true" ma:displayName="Status" ma:format="Dropdown" ma:internalName="Status" ma:readOnly="false">
      <xsd:simpleType>
        <xsd:restriction base="dms:Choice">
          <xsd:enumeration value="Draft"/>
          <xsd:enumeration value="In progress"/>
          <xsd:enumeration value="Under review"/>
          <xsd:enumeration value="Approved"/>
          <xsd:enumeration value="Signed"/>
          <xsd:enumeration value="Inactive"/>
          <xsd:enumeration value="Archive"/>
          <xsd:enumeration value="Final"/>
          <xsd:enumeration value="For signature"/>
          <xsd:enumeration value="Reviewed by General Counsel"/>
          <xsd:enumeration value="For approval"/>
        </xsd:restriction>
      </xsd:simpleType>
    </xsd:element>
    <xsd:element name="Decision" ma:index="8" nillable="true" ma:displayName="Decision" ma:format="DateOnly" ma:internalName="Decision" ma:readOnly="false">
      <xsd:simpleType>
        <xsd:restriction base="dms:DateTime"/>
      </xsd:simpleType>
    </xsd:element>
    <xsd:element name="j5c7243103eb4a8f8bdb102a5810412a" ma:index="12" nillable="true" ma:taxonomy="true" ma:internalName="j5c7243103eb4a8f8bdb102a5810412a" ma:taxonomyFieldName="Activity_x0020_Name" ma:displayName="Activity Name" ma:readOnly="false" ma:default="6;#Meetings and Forums (Formal/High Level)|9677b6be-c187-4c0c-91d2-df887edf7d6e" ma:fieldId="{35c72431-03eb-4a8f-8bdb-102a5810412a}" ma:sspId="645f8d4e-8f3a-4e65-808f-0c8f2d6bd45a" ma:termSetId="6d61d290-63e6-4191-96d4-bb0f69ce25d9" ma:anchorId="00000000-0000-0000-0000-000000000000" ma:open="false" ma:isKeyword="false">
      <xsd:complexType>
        <xsd:sequence>
          <xsd:element ref="pc:Terms" minOccurs="0" maxOccurs="1"/>
        </xsd:sequence>
      </xsd:complexType>
    </xsd:element>
    <xsd:element name="lf00f7cae6154b588c712167af0e92c2" ma:index="14" ma:taxonomy="true" ma:internalName="lf00f7cae6154b588c712167af0e92c2" ma:taxonomyFieldName="RecordType" ma:displayName="Record Type" ma:readOnly="false" ma:default="" ma:fieldId="{5f00f7ca-e615-4b58-8c71-2167af0e92c2}" ma:sspId="645f8d4e-8f3a-4e65-808f-0c8f2d6bd45a" ma:termSetId="fd0a169c-3a83-48a6-911e-955acb039007" ma:anchorId="00000000-0000-0000-0000-000000000000" ma:open="false" ma:isKeyword="false">
      <xsd:complexType>
        <xsd:sequence>
          <xsd:element ref="pc:Terms" minOccurs="0" maxOccurs="1"/>
        </xsd:sequence>
      </xsd:complexType>
    </xsd:element>
    <xsd:element name="na3517ef627c4abdba992dc67b4c5181" ma:index="16" nillable="true" ma:taxonomy="true" ma:internalName="na3517ef627c4abdba992dc67b4c5181" ma:taxonomyFieldName="Financial_x0020_Year" ma:displayName="Financial Year" ma:readOnly="false" ma:default="" ma:fieldId="{7a3517ef-627c-4abd-ba99-2dc67b4c5181}" ma:sspId="645f8d4e-8f3a-4e65-808f-0c8f2d6bd45a" ma:termSetId="f6db457b-0519-4d12-a216-d15221083595" ma:anchorId="00000000-0000-0000-0000-000000000000" ma:open="false" ma:isKeyword="false">
      <xsd:complexType>
        <xsd:sequence>
          <xsd:element ref="pc:Terms" minOccurs="0" maxOccurs="1"/>
        </xsd:sequence>
      </xsd:complexType>
    </xsd:element>
    <xsd:element name="d12718024dce488ca1acf8ec30c4499d" ma:index="18" nillable="true" ma:taxonomy="true" ma:internalName="d12718024dce488ca1acf8ec30c4499d" ma:taxonomyFieldName="Calendar_x0020_Month" ma:displayName="Calendar Month" ma:readOnly="false" ma:default="" ma:fieldId="{d1271802-4dce-488c-a1ac-f8ec30c4499d}" ma:sspId="645f8d4e-8f3a-4e65-808f-0c8f2d6bd45a" ma:termSetId="0b7ca1ea-1912-44b0-b533-519dd214f84f" ma:anchorId="00000000-0000-0000-0000-000000000000" ma:open="false" ma:isKeyword="false">
      <xsd:complexType>
        <xsd:sequence>
          <xsd:element ref="pc:Terms" minOccurs="0" maxOccurs="1"/>
        </xsd:sequence>
      </xsd:complexType>
    </xsd:element>
    <xsd:element name="d45e8d204e5342a79eb0715bc3ad0457" ma:index="21" nillable="true" ma:taxonomy="true" ma:internalName="d45e8d204e5342a79eb0715bc3ad0457" ma:taxonomyFieldName="Group" ma:displayName="Group" ma:readOnly="false" ma:default="" ma:fieldId="{d45e8d20-4e53-42a7-9eb0-715bc3ad0457}" ma:sspId="645f8d4e-8f3a-4e65-808f-0c8f2d6bd45a" ma:termSetId="98695a59-353d-4b0b-84da-2f8f934b713a" ma:anchorId="00000000-0000-0000-0000-000000000000" ma:open="fals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2841a2f4f0e46edb9ade446fe7c03eb" ma:index="27" nillable="true" ma:taxonomy="true" ma:internalName="p2841a2f4f0e46edb9ade446fe7c03eb" ma:taxonomyFieldName="Function_x0020_Name" ma:displayName="Function Name" ma:readOnly="false" ma:default="1;#Strategic Management|33da7a91-5029-4d88-8137-f93fc72ad11f" ma:fieldId="{92841a2f-4f0e-46ed-b9ad-e446fe7c03eb}" ma:sspId="645f8d4e-8f3a-4e65-808f-0c8f2d6bd45a" ma:termSetId="caff1483-53ad-486d-964e-a8d5fb9ee176" ma:anchorId="00000000-0000-0000-0000-000000000000" ma:open="false" ma:isKeyword="false">
      <xsd:complexType>
        <xsd:sequence>
          <xsd:element ref="pc:Terms" minOccurs="0" maxOccurs="1"/>
        </xsd:sequence>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5f8d4e-8f3a-4e65-808f-0c8f2d6bd45a"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hidden="true" ma:internalName="MediaServiceOCR" ma:readOnly="true">
      <xsd:simpleType>
        <xsd:restriction base="dms:Note"/>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ae2eb-5434-485c-924b-d2286657f5b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c6a9dfc-4816-4bd8-ad4f-447bdfe1f04a}" ma:internalName="TaxCatchAll" ma:readOnly="false" ma:showField="CatchAllData" ma:web="966ae2eb-5434-485c-924b-d2286657f5b8">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5720A-B3ED-4882-9007-AE9B8A9DFBE8}">
  <ds:schemaRefs>
    <ds:schemaRef ds:uri="http://schemas.microsoft.com/office/2006/metadata/longProperties"/>
  </ds:schemaRefs>
</ds:datastoreItem>
</file>

<file path=customXml/itemProps2.xml><?xml version="1.0" encoding="utf-8"?>
<ds:datastoreItem xmlns:ds="http://schemas.openxmlformats.org/officeDocument/2006/customXml" ds:itemID="{AE93A3EE-F637-4D1B-A8D9-53338A975CC3}">
  <ds:schemaRefs>
    <ds:schemaRef ds:uri="http://schemas.microsoft.com/office/2006/metadata/properties"/>
    <ds:schemaRef ds:uri="http://schemas.microsoft.com/office/infopath/2007/PartnerControls"/>
    <ds:schemaRef ds:uri="f152f686-5298-4458-995c-86bfb9fcf3c0"/>
    <ds:schemaRef ds:uri="966ae2eb-5434-485c-924b-d2286657f5b8"/>
  </ds:schemaRefs>
</ds:datastoreItem>
</file>

<file path=customXml/itemProps3.xml><?xml version="1.0" encoding="utf-8"?>
<ds:datastoreItem xmlns:ds="http://schemas.openxmlformats.org/officeDocument/2006/customXml" ds:itemID="{8B5B3971-F091-4D75-AB03-5F73D8561A6C}">
  <ds:schemaRefs>
    <ds:schemaRef ds:uri="http://schemas.microsoft.com/sharepoint/v3/contenttype/forms"/>
  </ds:schemaRefs>
</ds:datastoreItem>
</file>

<file path=customXml/itemProps4.xml><?xml version="1.0" encoding="utf-8"?>
<ds:datastoreItem xmlns:ds="http://schemas.openxmlformats.org/officeDocument/2006/customXml" ds:itemID="{853E6F45-2BD6-4B5F-BE60-55BB64265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2f686-5298-4458-995c-86bfb9fcf3c0"/>
    <ds:schemaRef ds:uri="966ae2eb-5434-485c-924b-d2286657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1971</Words>
  <Characters>10999</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2025-04-02T05:49:00Z</dcterms:created>
  <dcterms:modified xsi:type="dcterms:W3CDTF">2025-04-02T05:50:00Z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Namespace">
    <vt:lpwstr>gov.au</vt:lpwstr>
  </property>
  <property fmtid="{D5CDD505-2E9C-101B-9397-08002B2CF9AE}" pid="4" name="PM_Version">
    <vt:lpwstr>2018.4</vt:lpwstr>
  </property>
  <property fmtid="{D5CDD505-2E9C-101B-9397-08002B2CF9AE}" pid="5" name="PMHMAC">
    <vt:lpwstr>v=2022.1;a=SHA256;h=ABEC9B76AE311B491A2DB0E7AFF9FC025C78897BD0979476FACBF3D00BE0ED8B</vt:lpwstr>
  </property>
  <property fmtid="{D5CDD505-2E9C-101B-9397-08002B2CF9AE}" pid="6" name="PM_Qualifier">
    <vt:lpwstr/>
  </property>
  <property fmtid="{D5CDD505-2E9C-101B-9397-08002B2CF9AE}" pid="7" name="PM_Note">
    <vt:lpwstr/>
  </property>
  <property fmtid="{D5CDD505-2E9C-101B-9397-08002B2CF9AE}" pid="8" name="PM_ProtectiveMarkingValue_Footer">
    <vt:lpwstr>OFFICIAL</vt:lpwstr>
  </property>
  <property fmtid="{D5CDD505-2E9C-101B-9397-08002B2CF9AE}" pid="9" name="PM_Originating_FileId">
    <vt:lpwstr>237CF29C59554B2298B903BC80D9CD60</vt:lpwstr>
  </property>
  <property fmtid="{D5CDD505-2E9C-101B-9397-08002B2CF9AE}" pid="10" name="PM_ProtectiveMarkingImage_Footer">
    <vt:lpwstr>C:\Program Files\Common Files\janusNET Shared\janusSEAL\Images\DocumentSlashBlue.png</vt:lpwstr>
  </property>
  <property fmtid="{D5CDD505-2E9C-101B-9397-08002B2CF9AE}" pid="11" name="PM_OriginatorDomainName_SHA256">
    <vt:lpwstr>0C3D4C92EC8F38444BA78741E5B5836F9817C3740155E164E6696E5C1131B3E3</vt:lpwstr>
  </property>
  <property fmtid="{D5CDD505-2E9C-101B-9397-08002B2CF9AE}" pid="12" name="PM_Hash_Version">
    <vt:lpwstr>2022.1</vt:lpwstr>
  </property>
  <property fmtid="{D5CDD505-2E9C-101B-9397-08002B2CF9AE}" pid="13" name="PM_SecurityClassification_Prev">
    <vt:lpwstr>OFFICIAL</vt:lpwstr>
  </property>
  <property fmtid="{D5CDD505-2E9C-101B-9397-08002B2CF9AE}" pid="14" name="PM_Qualifier_Prev">
    <vt:lpwstr/>
  </property>
  <property fmtid="{D5CDD505-2E9C-101B-9397-08002B2CF9AE}" pid="15" name="PM_SecurityClassification">
    <vt:lpwstr>OFFICIAL</vt:lpwstr>
  </property>
  <property fmtid="{D5CDD505-2E9C-101B-9397-08002B2CF9AE}" pid="16" name="PM_OriginationTimeStamp">
    <vt:lpwstr>2024-11-28T04:38:44Z</vt:lpwstr>
  </property>
  <property fmtid="{D5CDD505-2E9C-101B-9397-08002B2CF9AE}" pid="17" name="PM_ProtectiveMarkingValue_Header">
    <vt:lpwstr>OFFICIAL</vt:lpwstr>
  </property>
  <property fmtid="{D5CDD505-2E9C-101B-9397-08002B2CF9AE}" pid="18" name="PM_Markers">
    <vt:lpwstr/>
  </property>
  <property fmtid="{D5CDD505-2E9C-101B-9397-08002B2CF9AE}" pid="19" name="PM_InsertionValue">
    <vt:lpwstr>OFFICIAL</vt:lpwstr>
  </property>
  <property fmtid="{D5CDD505-2E9C-101B-9397-08002B2CF9AE}" pid="20" name="PM_Originator_Hash_SHA1">
    <vt:lpwstr>8A06B3D5AC8B082287945A4AAD1DC0071CD77D07</vt:lpwstr>
  </property>
  <property fmtid="{D5CDD505-2E9C-101B-9397-08002B2CF9AE}" pid="21" name="PM_DisplayValueSecClassificationWithQualifier">
    <vt:lpwstr>OFFICIAL</vt:lpwstr>
  </property>
  <property fmtid="{D5CDD505-2E9C-101B-9397-08002B2CF9AE}" pid="22" name="PM_Display">
    <vt:lpwstr>OFFICIAL</vt:lpwstr>
  </property>
  <property fmtid="{D5CDD505-2E9C-101B-9397-08002B2CF9AE}" pid="23" name="PM_OriginatorUserAccountName_SHA256">
    <vt:lpwstr>BFAF101746791300614B3E79267AE5B7CD5FDDA1F8CD03E7075E7CF056984F17</vt:lpwstr>
  </property>
  <property fmtid="{D5CDD505-2E9C-101B-9397-08002B2CF9AE}" pid="24" name="PMUuid">
    <vt:lpwstr>v=2022.2;d=gov.au;g=46DD6D7C-8107-577B-BC6E-F348953B2E44</vt:lpwstr>
  </property>
  <property fmtid="{D5CDD505-2E9C-101B-9397-08002B2CF9AE}" pid="25" name="PM_Hash_Salt_Prev">
    <vt:lpwstr>1FD9DE5B31C99845A76BBE5A207C8C95</vt:lpwstr>
  </property>
  <property fmtid="{D5CDD505-2E9C-101B-9397-08002B2CF9AE}" pid="26" name="PM_Hash_Salt">
    <vt:lpwstr>83C37427CC1089E37C074E1CBF50582A</vt:lpwstr>
  </property>
  <property fmtid="{D5CDD505-2E9C-101B-9397-08002B2CF9AE}" pid="27" name="PM_Hash_SHA1">
    <vt:lpwstr>A26B65F5F4761D8AE45BAD431739C6543BB802B3</vt:lpwstr>
  </property>
  <property fmtid="{D5CDD505-2E9C-101B-9397-08002B2CF9AE}" pid="28" name="PM_Caveats_Count">
    <vt:lpwstr>0</vt:lpwstr>
  </property>
  <property fmtid="{D5CDD505-2E9C-101B-9397-08002B2CF9AE}" pid="29" name="Business Unit">
    <vt:lpwstr>144;#Legal Services|0ecacca0-63f3-44b9-a5b2-3a616f2ef23a</vt:lpwstr>
  </property>
  <property fmtid="{D5CDD505-2E9C-101B-9397-08002B2CF9AE}" pid="30" name="Group">
    <vt:lpwstr/>
  </property>
  <property fmtid="{D5CDD505-2E9C-101B-9397-08002B2CF9AE}" pid="31" name="Calendar Month">
    <vt:lpwstr/>
  </property>
  <property fmtid="{D5CDD505-2E9C-101B-9397-08002B2CF9AE}" pid="32" name="MediaServiceImageTags">
    <vt:lpwstr/>
  </property>
  <property fmtid="{D5CDD505-2E9C-101B-9397-08002B2CF9AE}" pid="33" name="ContentTypeId">
    <vt:lpwstr>0x010100053F679CEDE81947B32E2ECF314816F8</vt:lpwstr>
  </property>
  <property fmtid="{D5CDD505-2E9C-101B-9397-08002B2CF9AE}" pid="34" name="Activity Name">
    <vt:lpwstr>60;#Advice and Enquiries|cc724d83-84c0-4470-814f-04d513d3a73b</vt:lpwstr>
  </property>
  <property fmtid="{D5CDD505-2E9C-101B-9397-08002B2CF9AE}" pid="35" name="Date">
    <vt:lpwstr>2024-01-29T00:00:00Z</vt:lpwstr>
  </property>
  <property fmtid="{D5CDD505-2E9C-101B-9397-08002B2CF9AE}" pid="36" name="Function Name">
    <vt:lpwstr>59;#Legal Services|fc20bdc8-151f-4b1d-aea5-c71094fe6d32</vt:lpwstr>
  </property>
  <property fmtid="{D5CDD505-2E9C-101B-9397-08002B2CF9AE}" pid="37" name="Calendar_x0020_Month">
    <vt:lpwstr/>
  </property>
  <property fmtid="{D5CDD505-2E9C-101B-9397-08002B2CF9AE}" pid="38" name="Subject Matter">
    <vt:lpwstr>146;#General Advice|6656006c-0c4a-44c6-aaba-a8a6543a1669</vt:lpwstr>
  </property>
  <property fmtid="{D5CDD505-2E9C-101B-9397-08002B2CF9AE}" pid="39" name="o7633fe41807459491b1c3875abbe975">
    <vt:lpwstr>Legal Services|0ecacca0-63f3-44b9-a5b2-3a616f2ef23a</vt:lpwstr>
  </property>
  <property fmtid="{D5CDD505-2E9C-101B-9397-08002B2CF9AE}" pid="40" name="kf9ee14a98cc4d62812e5ddfaadd9c3c">
    <vt:lpwstr>General Advice|6656006c-0c4a-44c6-aaba-a8a6543a1669</vt:lpwstr>
  </property>
  <property fmtid="{D5CDD505-2E9C-101B-9397-08002B2CF9AE}" pid="41" name="Financial_x0020_Year">
    <vt:lpwstr>136;#2024-25|4550973f-8588-450e-9abe-da85edb8383b</vt:lpwstr>
  </property>
  <property fmtid="{D5CDD505-2E9C-101B-9397-08002B2CF9AE}" pid="42" name="Function_x0020_Name">
    <vt:lpwstr>59;#Legal Services|fc20bdc8-151f-4b1d-aea5-c71094fe6d32</vt:lpwstr>
  </property>
  <property fmtid="{D5CDD505-2E9C-101B-9397-08002B2CF9AE}" pid="43" name="RecordType">
    <vt:lpwstr>102;#Legal Document|5cc77814-fb69-4550-95a5-0b04003afde7</vt:lpwstr>
  </property>
  <property fmtid="{D5CDD505-2E9C-101B-9397-08002B2CF9AE}" pid="44" name="Activity_x0020_Name">
    <vt:lpwstr>60;#Advice and Enquiries|cc724d83-84c0-4470-814f-04d513d3a73b</vt:lpwstr>
  </property>
  <property fmtid="{D5CDD505-2E9C-101B-9397-08002B2CF9AE}" pid="45" name="Financial Year">
    <vt:lpwstr>136</vt:lpwstr>
  </property>
</Properties>
</file>