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922BD" w14:textId="77777777" w:rsidR="00A90E6D" w:rsidRDefault="00E975FD">
      <w:pPr>
        <w:rPr>
          <w:sz w:val="28"/>
        </w:rPr>
      </w:pPr>
      <w:r>
        <w:rPr>
          <w:noProof/>
          <w:lang w:eastAsia="en-AU"/>
        </w:rPr>
        <w:drawing>
          <wp:inline distT="0" distB="0" distL="0" distR="0" wp14:anchorId="6F49BFD6" wp14:editId="468845A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9A68F43" w14:textId="77777777" w:rsidR="00A90E6D" w:rsidRDefault="00A90E6D">
      <w:pPr>
        <w:rPr>
          <w:sz w:val="19"/>
        </w:rPr>
      </w:pPr>
    </w:p>
    <w:p w14:paraId="35D2FF0B" w14:textId="77777777" w:rsidR="00A90E6D" w:rsidRDefault="00E975FD">
      <w:pPr>
        <w:pStyle w:val="ShortT"/>
      </w:pPr>
      <w:r>
        <w:t xml:space="preserve">Mutual Recognition (Automatic Deemed Registration Exemption — Western Australia) </w:t>
      </w:r>
      <w:r>
        <w:rPr>
          <w:rFonts w:ascii="Times New Roman Bold" w:hAnsi="Times New Roman Bold"/>
        </w:rPr>
        <w:t>(Firearms)</w:t>
      </w:r>
      <w:r>
        <w:t xml:space="preserve"> Declaration 2025</w:t>
      </w:r>
    </w:p>
    <w:p w14:paraId="7A8F0C94" w14:textId="77777777" w:rsidR="00A90E6D" w:rsidRDefault="00E975FD">
      <w:pPr>
        <w:pStyle w:val="SignCoverPageStart"/>
        <w:spacing w:before="240"/>
        <w:ind w:right="91"/>
        <w:rPr>
          <w:szCs w:val="22"/>
        </w:rPr>
      </w:pPr>
      <w:r>
        <w:rPr>
          <w:szCs w:val="22"/>
        </w:rPr>
        <w:t>I, the Honourable Roger Cook MLA, Premier of Western Australia, make the following declaration.</w:t>
      </w:r>
    </w:p>
    <w:p w14:paraId="5CE283D3" w14:textId="6C85CC40" w:rsidR="00A90E6D" w:rsidRDefault="00E975FD">
      <w:pPr>
        <w:keepNext/>
        <w:spacing w:before="300" w:line="240" w:lineRule="atLeast"/>
        <w:ind w:right="397"/>
        <w:jc w:val="both"/>
        <w:rPr>
          <w:szCs w:val="22"/>
        </w:rPr>
      </w:pPr>
      <w:r>
        <w:rPr>
          <w:szCs w:val="22"/>
        </w:rPr>
        <w:t>Dated</w:t>
      </w:r>
      <w:r>
        <w:rPr>
          <w:szCs w:val="22"/>
        </w:rPr>
        <w:tab/>
      </w:r>
      <w:r w:rsidR="000111F8">
        <w:rPr>
          <w:szCs w:val="22"/>
        </w:rPr>
        <w:t>02 April 2025</w:t>
      </w:r>
    </w:p>
    <w:p w14:paraId="78E80B71" w14:textId="77777777" w:rsidR="00A90E6D" w:rsidRDefault="00E975FD">
      <w:pPr>
        <w:keepNext/>
        <w:tabs>
          <w:tab w:val="left" w:pos="3402"/>
        </w:tabs>
        <w:spacing w:before="1440" w:line="300" w:lineRule="atLeast"/>
        <w:ind w:right="397"/>
        <w:rPr>
          <w:b/>
          <w:szCs w:val="22"/>
        </w:rPr>
      </w:pPr>
      <w:r>
        <w:rPr>
          <w:szCs w:val="22"/>
        </w:rPr>
        <w:t xml:space="preserve">Hon Roger Cook MLA </w:t>
      </w:r>
    </w:p>
    <w:p w14:paraId="790BED6D" w14:textId="77777777" w:rsidR="00A90E6D" w:rsidRDefault="00E975FD">
      <w:pPr>
        <w:pStyle w:val="SignCoverPageEnd"/>
        <w:ind w:right="91"/>
        <w:rPr>
          <w:sz w:val="22"/>
        </w:rPr>
      </w:pPr>
      <w:r>
        <w:rPr>
          <w:sz w:val="22"/>
        </w:rPr>
        <w:t>Premier of Western Australia</w:t>
      </w:r>
    </w:p>
    <w:p w14:paraId="65EB21BE" w14:textId="77777777" w:rsidR="00A90E6D" w:rsidRDefault="00A90E6D"/>
    <w:p w14:paraId="087A7328" w14:textId="77777777" w:rsidR="00A90E6D" w:rsidRDefault="00A90E6D">
      <w:pPr>
        <w:sectPr w:rsidR="00A90E6D">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5CA0860B" w14:textId="77777777" w:rsidR="00A90E6D" w:rsidRDefault="00E975FD">
      <w:pPr>
        <w:outlineLvl w:val="0"/>
        <w:rPr>
          <w:sz w:val="36"/>
        </w:rPr>
      </w:pPr>
      <w:r>
        <w:rPr>
          <w:sz w:val="36"/>
        </w:rPr>
        <w:lastRenderedPageBreak/>
        <w:t>Contents</w:t>
      </w:r>
    </w:p>
    <w:p w14:paraId="1A57611C" w14:textId="2BFD8956" w:rsidR="00B0290E" w:rsidRDefault="00E975FD">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B0290E">
        <w:rPr>
          <w:noProof/>
        </w:rPr>
        <w:t>1  Name</w:t>
      </w:r>
      <w:r w:rsidR="00B0290E">
        <w:rPr>
          <w:noProof/>
        </w:rPr>
        <w:tab/>
      </w:r>
      <w:r w:rsidR="00B0290E">
        <w:rPr>
          <w:noProof/>
        </w:rPr>
        <w:fldChar w:fldCharType="begin"/>
      </w:r>
      <w:r w:rsidR="00B0290E">
        <w:rPr>
          <w:noProof/>
        </w:rPr>
        <w:instrText xml:space="preserve"> PAGEREF _Toc193895480 \h </w:instrText>
      </w:r>
      <w:r w:rsidR="00B0290E">
        <w:rPr>
          <w:noProof/>
        </w:rPr>
      </w:r>
      <w:r w:rsidR="00B0290E">
        <w:rPr>
          <w:noProof/>
        </w:rPr>
        <w:fldChar w:fldCharType="separate"/>
      </w:r>
      <w:r w:rsidR="00B0290E">
        <w:rPr>
          <w:noProof/>
        </w:rPr>
        <w:t>1</w:t>
      </w:r>
      <w:r w:rsidR="00B0290E">
        <w:rPr>
          <w:noProof/>
        </w:rPr>
        <w:fldChar w:fldCharType="end"/>
      </w:r>
    </w:p>
    <w:p w14:paraId="25353E13" w14:textId="27FB85C1" w:rsidR="00B0290E" w:rsidRDefault="00B0290E">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_Toc193895481 \h </w:instrText>
      </w:r>
      <w:r>
        <w:rPr>
          <w:noProof/>
        </w:rPr>
      </w:r>
      <w:r>
        <w:rPr>
          <w:noProof/>
        </w:rPr>
        <w:fldChar w:fldCharType="separate"/>
      </w:r>
      <w:r>
        <w:rPr>
          <w:noProof/>
        </w:rPr>
        <w:t>1</w:t>
      </w:r>
      <w:r>
        <w:rPr>
          <w:noProof/>
        </w:rPr>
        <w:fldChar w:fldCharType="end"/>
      </w:r>
    </w:p>
    <w:p w14:paraId="069B1CA6" w14:textId="4B4777AA" w:rsidR="00B0290E" w:rsidRDefault="00B0290E">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_Toc193895482 \h </w:instrText>
      </w:r>
      <w:r>
        <w:rPr>
          <w:noProof/>
        </w:rPr>
      </w:r>
      <w:r>
        <w:rPr>
          <w:noProof/>
        </w:rPr>
        <w:fldChar w:fldCharType="separate"/>
      </w:r>
      <w:r>
        <w:rPr>
          <w:noProof/>
        </w:rPr>
        <w:t>1</w:t>
      </w:r>
      <w:r>
        <w:rPr>
          <w:noProof/>
        </w:rPr>
        <w:fldChar w:fldCharType="end"/>
      </w:r>
    </w:p>
    <w:p w14:paraId="07A6B332" w14:textId="1DA71AF0" w:rsidR="00B0290E" w:rsidRDefault="00B0290E">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_Toc193895483 \h </w:instrText>
      </w:r>
      <w:r>
        <w:rPr>
          <w:noProof/>
        </w:rPr>
      </w:r>
      <w:r>
        <w:rPr>
          <w:noProof/>
        </w:rPr>
        <w:fldChar w:fldCharType="separate"/>
      </w:r>
      <w:r>
        <w:rPr>
          <w:noProof/>
        </w:rPr>
        <w:t>1</w:t>
      </w:r>
      <w:r>
        <w:rPr>
          <w:noProof/>
        </w:rPr>
        <w:fldChar w:fldCharType="end"/>
      </w:r>
    </w:p>
    <w:p w14:paraId="2135430F" w14:textId="45F23201" w:rsidR="00B0290E" w:rsidRDefault="00B0290E">
      <w:pPr>
        <w:pStyle w:val="TOC5"/>
        <w:rPr>
          <w:rFonts w:asciiTheme="minorHAnsi" w:eastAsiaTheme="minorEastAsia" w:hAnsiTheme="minorHAnsi" w:cstheme="minorBidi"/>
          <w:noProof/>
          <w:kern w:val="0"/>
          <w:sz w:val="22"/>
          <w:szCs w:val="22"/>
        </w:rPr>
      </w:pPr>
      <w:r>
        <w:rPr>
          <w:noProof/>
        </w:rPr>
        <w:t>5  Registrations exempted from automatic deemed registration</w:t>
      </w:r>
      <w:r>
        <w:rPr>
          <w:noProof/>
        </w:rPr>
        <w:tab/>
      </w:r>
      <w:r>
        <w:rPr>
          <w:noProof/>
        </w:rPr>
        <w:fldChar w:fldCharType="begin"/>
      </w:r>
      <w:r>
        <w:rPr>
          <w:noProof/>
        </w:rPr>
        <w:instrText xml:space="preserve"> PAGEREF _Toc193895484 \h </w:instrText>
      </w:r>
      <w:r>
        <w:rPr>
          <w:noProof/>
        </w:rPr>
      </w:r>
      <w:r>
        <w:rPr>
          <w:noProof/>
        </w:rPr>
        <w:fldChar w:fldCharType="separate"/>
      </w:r>
      <w:r>
        <w:rPr>
          <w:noProof/>
        </w:rPr>
        <w:t>1</w:t>
      </w:r>
      <w:r>
        <w:rPr>
          <w:noProof/>
        </w:rPr>
        <w:fldChar w:fldCharType="end"/>
      </w:r>
    </w:p>
    <w:p w14:paraId="135A4B47" w14:textId="7822C6DC" w:rsidR="00B0290E" w:rsidRDefault="00B0290E">
      <w:pPr>
        <w:pStyle w:val="TOC5"/>
        <w:rPr>
          <w:rFonts w:asciiTheme="minorHAnsi" w:eastAsiaTheme="minorEastAsia" w:hAnsiTheme="minorHAnsi" w:cstheme="minorBidi"/>
          <w:noProof/>
          <w:kern w:val="0"/>
          <w:sz w:val="22"/>
          <w:szCs w:val="22"/>
        </w:rPr>
      </w:pPr>
      <w:r>
        <w:rPr>
          <w:noProof/>
        </w:rPr>
        <w:t>6  Schedules</w:t>
      </w:r>
      <w:r>
        <w:rPr>
          <w:noProof/>
        </w:rPr>
        <w:tab/>
      </w:r>
      <w:r>
        <w:rPr>
          <w:noProof/>
        </w:rPr>
        <w:fldChar w:fldCharType="begin"/>
      </w:r>
      <w:r>
        <w:rPr>
          <w:noProof/>
        </w:rPr>
        <w:instrText xml:space="preserve"> PAGEREF _Toc193895485 \h </w:instrText>
      </w:r>
      <w:r>
        <w:rPr>
          <w:noProof/>
        </w:rPr>
      </w:r>
      <w:r>
        <w:rPr>
          <w:noProof/>
        </w:rPr>
        <w:fldChar w:fldCharType="separate"/>
      </w:r>
      <w:r>
        <w:rPr>
          <w:noProof/>
        </w:rPr>
        <w:t>2</w:t>
      </w:r>
      <w:r>
        <w:rPr>
          <w:noProof/>
        </w:rPr>
        <w:fldChar w:fldCharType="end"/>
      </w:r>
    </w:p>
    <w:p w14:paraId="0A069872" w14:textId="70B4367A" w:rsidR="00B0290E" w:rsidRDefault="00B0290E">
      <w:pPr>
        <w:pStyle w:val="TOC6"/>
        <w:rPr>
          <w:rFonts w:asciiTheme="minorHAnsi" w:eastAsiaTheme="minorEastAsia" w:hAnsiTheme="minorHAnsi" w:cstheme="minorBidi"/>
          <w:b w:val="0"/>
          <w:noProof/>
          <w:kern w:val="0"/>
          <w:sz w:val="22"/>
          <w:szCs w:val="22"/>
        </w:rPr>
      </w:pPr>
      <w:r>
        <w:rPr>
          <w:noProof/>
        </w:rPr>
        <w:t>Schedule 1—Amendment related to repeal of the Firearms Act 1973 of Western Australia</w:t>
      </w:r>
      <w:r>
        <w:rPr>
          <w:noProof/>
        </w:rPr>
        <w:tab/>
      </w:r>
      <w:r>
        <w:rPr>
          <w:noProof/>
        </w:rPr>
        <w:fldChar w:fldCharType="begin"/>
      </w:r>
      <w:r>
        <w:rPr>
          <w:noProof/>
        </w:rPr>
        <w:instrText xml:space="preserve"> PAGEREF _Toc193895486 \h </w:instrText>
      </w:r>
      <w:r>
        <w:rPr>
          <w:noProof/>
        </w:rPr>
      </w:r>
      <w:r>
        <w:rPr>
          <w:noProof/>
        </w:rPr>
        <w:fldChar w:fldCharType="separate"/>
      </w:r>
      <w:r>
        <w:rPr>
          <w:noProof/>
        </w:rPr>
        <w:t>3</w:t>
      </w:r>
      <w:r>
        <w:rPr>
          <w:noProof/>
        </w:rPr>
        <w:fldChar w:fldCharType="end"/>
      </w:r>
    </w:p>
    <w:p w14:paraId="3A1302FD" w14:textId="1790FA9B" w:rsidR="00B0290E" w:rsidRDefault="00B0290E">
      <w:pPr>
        <w:pStyle w:val="TOC9"/>
        <w:rPr>
          <w:rFonts w:asciiTheme="minorHAnsi" w:eastAsiaTheme="minorEastAsia" w:hAnsiTheme="minorHAnsi" w:cstheme="minorBidi"/>
          <w:i w:val="0"/>
          <w:noProof/>
          <w:kern w:val="0"/>
          <w:sz w:val="22"/>
          <w:szCs w:val="22"/>
        </w:rPr>
      </w:pPr>
      <w:r>
        <w:rPr>
          <w:noProof/>
        </w:rPr>
        <w:t>Mutual Recognition (Automatic Deemed Registration Exemption — Western Australia) Declaration 2022</w:t>
      </w:r>
      <w:r>
        <w:rPr>
          <w:noProof/>
        </w:rPr>
        <w:tab/>
      </w:r>
      <w:r>
        <w:rPr>
          <w:noProof/>
        </w:rPr>
        <w:fldChar w:fldCharType="begin"/>
      </w:r>
      <w:r>
        <w:rPr>
          <w:noProof/>
        </w:rPr>
        <w:instrText xml:space="preserve"> PAGEREF _Toc193895487 \h </w:instrText>
      </w:r>
      <w:r>
        <w:rPr>
          <w:noProof/>
        </w:rPr>
      </w:r>
      <w:r>
        <w:rPr>
          <w:noProof/>
        </w:rPr>
        <w:fldChar w:fldCharType="separate"/>
      </w:r>
      <w:r>
        <w:rPr>
          <w:noProof/>
        </w:rPr>
        <w:t>3</w:t>
      </w:r>
      <w:r>
        <w:rPr>
          <w:noProof/>
        </w:rPr>
        <w:fldChar w:fldCharType="end"/>
      </w:r>
    </w:p>
    <w:p w14:paraId="6493FF43" w14:textId="066678E2" w:rsidR="00A90E6D" w:rsidRDefault="00E975FD">
      <w:r>
        <w:fldChar w:fldCharType="end"/>
      </w:r>
    </w:p>
    <w:p w14:paraId="1CB4A201" w14:textId="77777777" w:rsidR="00A90E6D" w:rsidRDefault="00A90E6D">
      <w:pPr>
        <w:sectPr w:rsidR="00A90E6D">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58B7D315" w14:textId="77777777" w:rsidR="00A90E6D" w:rsidRDefault="00E975FD">
      <w:pPr>
        <w:pStyle w:val="ActHead5"/>
      </w:pPr>
      <w:bookmarkStart w:id="0" w:name="_Toc193895480"/>
      <w:r>
        <w:lastRenderedPageBreak/>
        <w:t>1  Name</w:t>
      </w:r>
      <w:bookmarkEnd w:id="0"/>
    </w:p>
    <w:p w14:paraId="1F29BADA" w14:textId="791D82C1" w:rsidR="00A90E6D" w:rsidRPr="00591B7F" w:rsidRDefault="00E975FD">
      <w:pPr>
        <w:pStyle w:val="subsection"/>
      </w:pPr>
      <w:r>
        <w:tab/>
      </w:r>
      <w:r>
        <w:tab/>
        <w:t xml:space="preserve">This instrument is the </w:t>
      </w:r>
      <w:r>
        <w:rPr>
          <w:i/>
          <w:iCs/>
        </w:rPr>
        <w:t>Mutual Recognition (Automatic Deemed Registration Exemption — Western Australia) (Firearms) Declaration 2025</w:t>
      </w:r>
      <w:r>
        <w:t>.</w:t>
      </w:r>
    </w:p>
    <w:p w14:paraId="1EF1F817" w14:textId="77777777" w:rsidR="00A90E6D" w:rsidRDefault="00E975FD">
      <w:pPr>
        <w:pStyle w:val="ActHead5"/>
      </w:pPr>
      <w:bookmarkStart w:id="1" w:name="_Toc193895481"/>
      <w:r>
        <w:t>2  Commencement</w:t>
      </w:r>
      <w:bookmarkEnd w:id="1"/>
    </w:p>
    <w:p w14:paraId="43C75B5A" w14:textId="77777777" w:rsidR="00A90E6D" w:rsidRDefault="00E975FD">
      <w:pPr>
        <w:pStyle w:val="subsection"/>
      </w:pPr>
      <w:r>
        <w:tab/>
        <w:t>(1)</w:t>
      </w:r>
      <w:r>
        <w:tab/>
        <w:t>Each provision of this instrument specified in column 1 of the table commences, or is taken to have commenced, in accordance with column 2 of the table. Any other statement in column 2 has effect according to its terms.</w:t>
      </w:r>
    </w:p>
    <w:p w14:paraId="52087318" w14:textId="77777777" w:rsidR="00A90E6D" w:rsidRDefault="00A90E6D">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90E6D" w14:paraId="576248A6" w14:textId="77777777">
        <w:trPr>
          <w:tblHeader/>
        </w:trPr>
        <w:tc>
          <w:tcPr>
            <w:tcW w:w="8364" w:type="dxa"/>
            <w:gridSpan w:val="3"/>
            <w:tcBorders>
              <w:top w:val="single" w:sz="12" w:space="0" w:color="auto"/>
              <w:bottom w:val="single" w:sz="6" w:space="0" w:color="auto"/>
            </w:tcBorders>
            <w:shd w:val="clear" w:color="auto" w:fill="auto"/>
            <w:hideMark/>
          </w:tcPr>
          <w:p w14:paraId="29345309" w14:textId="77777777" w:rsidR="00A90E6D" w:rsidRDefault="00E975FD">
            <w:pPr>
              <w:pStyle w:val="TableHeading"/>
            </w:pPr>
            <w:r>
              <w:t>Commencement information</w:t>
            </w:r>
          </w:p>
        </w:tc>
      </w:tr>
      <w:tr w:rsidR="00A90E6D" w14:paraId="72FD1EA7" w14:textId="77777777">
        <w:trPr>
          <w:tblHeader/>
        </w:trPr>
        <w:tc>
          <w:tcPr>
            <w:tcW w:w="2127" w:type="dxa"/>
            <w:tcBorders>
              <w:top w:val="single" w:sz="6" w:space="0" w:color="auto"/>
              <w:bottom w:val="single" w:sz="6" w:space="0" w:color="auto"/>
            </w:tcBorders>
            <w:shd w:val="clear" w:color="auto" w:fill="auto"/>
            <w:hideMark/>
          </w:tcPr>
          <w:p w14:paraId="7089F3F9" w14:textId="77777777" w:rsidR="00A90E6D" w:rsidRDefault="00E975FD">
            <w:pPr>
              <w:pStyle w:val="TableHeading"/>
            </w:pPr>
            <w:r>
              <w:t>Column 1</w:t>
            </w:r>
          </w:p>
        </w:tc>
        <w:tc>
          <w:tcPr>
            <w:tcW w:w="4394" w:type="dxa"/>
            <w:tcBorders>
              <w:top w:val="single" w:sz="6" w:space="0" w:color="auto"/>
              <w:bottom w:val="single" w:sz="6" w:space="0" w:color="auto"/>
            </w:tcBorders>
            <w:shd w:val="clear" w:color="auto" w:fill="auto"/>
            <w:hideMark/>
          </w:tcPr>
          <w:p w14:paraId="77619855" w14:textId="77777777" w:rsidR="00A90E6D" w:rsidRDefault="00E975FD">
            <w:pPr>
              <w:pStyle w:val="TableHeading"/>
            </w:pPr>
            <w:r>
              <w:t>Column 2</w:t>
            </w:r>
          </w:p>
        </w:tc>
        <w:tc>
          <w:tcPr>
            <w:tcW w:w="1843" w:type="dxa"/>
            <w:tcBorders>
              <w:top w:val="single" w:sz="6" w:space="0" w:color="auto"/>
              <w:bottom w:val="single" w:sz="6" w:space="0" w:color="auto"/>
            </w:tcBorders>
            <w:shd w:val="clear" w:color="auto" w:fill="auto"/>
            <w:hideMark/>
          </w:tcPr>
          <w:p w14:paraId="761DDEE6" w14:textId="77777777" w:rsidR="00A90E6D" w:rsidRDefault="00E975FD">
            <w:pPr>
              <w:pStyle w:val="TableHeading"/>
            </w:pPr>
            <w:r>
              <w:t>Column 3</w:t>
            </w:r>
          </w:p>
        </w:tc>
      </w:tr>
      <w:tr w:rsidR="00A90E6D" w14:paraId="62525A79" w14:textId="77777777">
        <w:trPr>
          <w:tblHeader/>
        </w:trPr>
        <w:tc>
          <w:tcPr>
            <w:tcW w:w="2127" w:type="dxa"/>
            <w:tcBorders>
              <w:top w:val="single" w:sz="6" w:space="0" w:color="auto"/>
              <w:bottom w:val="single" w:sz="12" w:space="0" w:color="auto"/>
            </w:tcBorders>
            <w:shd w:val="clear" w:color="auto" w:fill="auto"/>
            <w:hideMark/>
          </w:tcPr>
          <w:p w14:paraId="738DEBAB" w14:textId="77777777" w:rsidR="00A90E6D" w:rsidRDefault="00E975FD">
            <w:pPr>
              <w:pStyle w:val="TableHeading"/>
            </w:pPr>
            <w:r>
              <w:t>Provisions</w:t>
            </w:r>
          </w:p>
        </w:tc>
        <w:tc>
          <w:tcPr>
            <w:tcW w:w="4394" w:type="dxa"/>
            <w:tcBorders>
              <w:top w:val="single" w:sz="6" w:space="0" w:color="auto"/>
              <w:bottom w:val="single" w:sz="12" w:space="0" w:color="auto"/>
            </w:tcBorders>
            <w:shd w:val="clear" w:color="auto" w:fill="auto"/>
            <w:hideMark/>
          </w:tcPr>
          <w:p w14:paraId="2696FAD4" w14:textId="77777777" w:rsidR="00A90E6D" w:rsidRDefault="00E975FD">
            <w:pPr>
              <w:pStyle w:val="TableHeading"/>
            </w:pPr>
            <w:r>
              <w:t>Commencement</w:t>
            </w:r>
          </w:p>
        </w:tc>
        <w:tc>
          <w:tcPr>
            <w:tcW w:w="1843" w:type="dxa"/>
            <w:tcBorders>
              <w:top w:val="single" w:sz="6" w:space="0" w:color="auto"/>
              <w:bottom w:val="single" w:sz="12" w:space="0" w:color="auto"/>
            </w:tcBorders>
            <w:shd w:val="clear" w:color="auto" w:fill="auto"/>
            <w:hideMark/>
          </w:tcPr>
          <w:p w14:paraId="09216CAA" w14:textId="77777777" w:rsidR="00A90E6D" w:rsidRDefault="00E975FD">
            <w:pPr>
              <w:pStyle w:val="TableHeading"/>
            </w:pPr>
            <w:r>
              <w:t>Date/Details</w:t>
            </w:r>
          </w:p>
        </w:tc>
      </w:tr>
      <w:tr w:rsidR="00A90E6D" w14:paraId="59ADA0FD" w14:textId="77777777">
        <w:tc>
          <w:tcPr>
            <w:tcW w:w="2127" w:type="dxa"/>
            <w:tcBorders>
              <w:top w:val="single" w:sz="12" w:space="0" w:color="auto"/>
              <w:bottom w:val="single" w:sz="12" w:space="0" w:color="auto"/>
            </w:tcBorders>
            <w:shd w:val="clear" w:color="auto" w:fill="auto"/>
            <w:hideMark/>
          </w:tcPr>
          <w:p w14:paraId="0C65ADF3" w14:textId="77777777" w:rsidR="00A90E6D" w:rsidRDefault="00E975FD">
            <w:pPr>
              <w:pStyle w:val="Tabletext"/>
              <w:rPr>
                <w:i/>
              </w:rPr>
            </w:pPr>
            <w:r>
              <w:t>1.  The whole of this instrument</w:t>
            </w:r>
          </w:p>
        </w:tc>
        <w:tc>
          <w:tcPr>
            <w:tcW w:w="4394" w:type="dxa"/>
            <w:tcBorders>
              <w:top w:val="single" w:sz="12" w:space="0" w:color="auto"/>
              <w:bottom w:val="single" w:sz="12" w:space="0" w:color="auto"/>
            </w:tcBorders>
            <w:shd w:val="clear" w:color="auto" w:fill="auto"/>
            <w:hideMark/>
          </w:tcPr>
          <w:p w14:paraId="01CB4872" w14:textId="77777777" w:rsidR="00424D6B" w:rsidRDefault="00424D6B" w:rsidP="00424D6B">
            <w:pPr>
              <w:pStyle w:val="Tabletext"/>
              <w:tabs>
                <w:tab w:val="left" w:pos="1356"/>
              </w:tabs>
            </w:pPr>
            <w:r>
              <w:t>The later of:</w:t>
            </w:r>
          </w:p>
          <w:p w14:paraId="4011D143" w14:textId="5640E97A" w:rsidR="00424D6B" w:rsidRDefault="00424D6B" w:rsidP="00424D6B">
            <w:pPr>
              <w:pStyle w:val="Tablea"/>
              <w:ind w:left="354" w:hanging="354"/>
            </w:pPr>
            <w:r>
              <w:t>(a)</w:t>
            </w:r>
            <w:r>
              <w:tab/>
              <w:t>the day after this instrument is registered; and</w:t>
            </w:r>
          </w:p>
          <w:p w14:paraId="33CEFC86" w14:textId="315C6169" w:rsidR="00A90E6D" w:rsidRDefault="00424D6B" w:rsidP="00424D6B">
            <w:pPr>
              <w:pStyle w:val="Tablea"/>
              <w:ind w:left="354" w:hanging="354"/>
            </w:pPr>
            <w:r>
              <w:t>(b)</w:t>
            </w:r>
            <w:r>
              <w:tab/>
            </w:r>
            <w:r w:rsidR="00E975FD">
              <w:t>31 March 2025</w:t>
            </w:r>
            <w:r>
              <w:t>.</w:t>
            </w:r>
          </w:p>
        </w:tc>
        <w:tc>
          <w:tcPr>
            <w:tcW w:w="1843" w:type="dxa"/>
            <w:tcBorders>
              <w:top w:val="single" w:sz="12" w:space="0" w:color="auto"/>
              <w:bottom w:val="single" w:sz="12" w:space="0" w:color="auto"/>
            </w:tcBorders>
            <w:shd w:val="clear" w:color="auto" w:fill="auto"/>
          </w:tcPr>
          <w:p w14:paraId="26BA71D4" w14:textId="77777777" w:rsidR="00A90E6D" w:rsidRDefault="00A90E6D">
            <w:pPr>
              <w:pStyle w:val="Tabletext"/>
              <w:rPr>
                <w:iCs/>
              </w:rPr>
            </w:pPr>
          </w:p>
        </w:tc>
      </w:tr>
    </w:tbl>
    <w:p w14:paraId="7505F4FB" w14:textId="77777777" w:rsidR="00A90E6D" w:rsidRDefault="00E975FD">
      <w:pPr>
        <w:pStyle w:val="notetext"/>
      </w:pPr>
      <w:r>
        <w:rPr>
          <w:snapToGrid w:val="0"/>
          <w:lang w:eastAsia="en-US"/>
        </w:rPr>
        <w:t>Note:</w:t>
      </w:r>
      <w:r>
        <w:rPr>
          <w:snapToGrid w:val="0"/>
          <w:lang w:eastAsia="en-US"/>
        </w:rPr>
        <w:tab/>
        <w:t>This table relates only to the provisions of this instrument</w:t>
      </w:r>
      <w:r>
        <w:t xml:space="preserve"> </w:t>
      </w:r>
      <w:r>
        <w:rPr>
          <w:snapToGrid w:val="0"/>
          <w:lang w:eastAsia="en-US"/>
        </w:rPr>
        <w:t>as originally made. It will not be amended to deal with any later amendments of this instrument.</w:t>
      </w:r>
    </w:p>
    <w:p w14:paraId="009430AE" w14:textId="77777777" w:rsidR="00A90E6D" w:rsidRDefault="00E975FD">
      <w:pPr>
        <w:pStyle w:val="subsection"/>
      </w:pPr>
      <w:r>
        <w:tab/>
        <w:t>(2)</w:t>
      </w:r>
      <w:r>
        <w:tab/>
        <w:t>Any information in column 3 of the table is not part of this instrument. Information may be inserted in this column, or information in it may be edited, in any published version of this instrument.</w:t>
      </w:r>
    </w:p>
    <w:p w14:paraId="501C417A" w14:textId="77777777" w:rsidR="00A90E6D" w:rsidRDefault="00E975FD">
      <w:pPr>
        <w:pStyle w:val="ActHead5"/>
      </w:pPr>
      <w:bookmarkStart w:id="2" w:name="_Toc193895482"/>
      <w:r>
        <w:t>3  Authority</w:t>
      </w:r>
      <w:bookmarkEnd w:id="2"/>
    </w:p>
    <w:p w14:paraId="6708BCFC" w14:textId="77777777" w:rsidR="00A90E6D" w:rsidRDefault="00E975FD">
      <w:pPr>
        <w:pStyle w:val="subsection"/>
      </w:pPr>
      <w:r>
        <w:tab/>
      </w:r>
      <w:r>
        <w:tab/>
        <w:t xml:space="preserve">This instrument is made under subsection 42S(1) of the </w:t>
      </w:r>
      <w:r>
        <w:rPr>
          <w:i/>
          <w:iCs/>
        </w:rPr>
        <w:t>Mutual Recognition Act 1992</w:t>
      </w:r>
      <w:r>
        <w:t>.</w:t>
      </w:r>
    </w:p>
    <w:p w14:paraId="554708C8" w14:textId="77777777" w:rsidR="00A90E6D" w:rsidRDefault="00E975FD">
      <w:pPr>
        <w:pStyle w:val="ActHead5"/>
      </w:pPr>
      <w:bookmarkStart w:id="3" w:name="_Toc193895483"/>
      <w:r>
        <w:t>4  Definitions</w:t>
      </w:r>
      <w:bookmarkEnd w:id="3"/>
    </w:p>
    <w:p w14:paraId="2128B674" w14:textId="77777777" w:rsidR="00A90E6D" w:rsidRDefault="00E975FD">
      <w:pPr>
        <w:pStyle w:val="subsection"/>
      </w:pPr>
      <w:r>
        <w:tab/>
      </w:r>
      <w:r>
        <w:tab/>
        <w:t>In this instrument:</w:t>
      </w:r>
    </w:p>
    <w:p w14:paraId="31EC32CB" w14:textId="77777777" w:rsidR="00A90E6D" w:rsidRPr="005F7DDC" w:rsidRDefault="00E975FD">
      <w:pPr>
        <w:pStyle w:val="Definition"/>
        <w:rPr>
          <w:szCs w:val="22"/>
        </w:rPr>
      </w:pPr>
      <w:r>
        <w:rPr>
          <w:b/>
          <w:i/>
        </w:rPr>
        <w:t>Act</w:t>
      </w:r>
      <w:r>
        <w:t xml:space="preserve"> </w:t>
      </w:r>
      <w:r>
        <w:rPr>
          <w:szCs w:val="22"/>
        </w:rPr>
        <w:t xml:space="preserve">means the </w:t>
      </w:r>
      <w:r>
        <w:rPr>
          <w:i/>
        </w:rPr>
        <w:t>Mutual Recognition Act 1992</w:t>
      </w:r>
      <w:r>
        <w:t>.</w:t>
      </w:r>
    </w:p>
    <w:p w14:paraId="4D65677E" w14:textId="77777777" w:rsidR="00A90E6D" w:rsidRDefault="00E975FD">
      <w:pPr>
        <w:pStyle w:val="ActHead5"/>
      </w:pPr>
      <w:bookmarkStart w:id="4" w:name="_Toc193895484"/>
      <w:r>
        <w:t>5  Registrations exempted from automatic deemed registration</w:t>
      </w:r>
      <w:bookmarkEnd w:id="4"/>
      <w:r>
        <w:t xml:space="preserve"> </w:t>
      </w:r>
    </w:p>
    <w:p w14:paraId="46402D22" w14:textId="77777777" w:rsidR="00A90E6D" w:rsidRDefault="00E975FD">
      <w:pPr>
        <w:pStyle w:val="subsection"/>
      </w:pPr>
      <w:r>
        <w:tab/>
        <w:t>(1)</w:t>
      </w:r>
      <w:r>
        <w:tab/>
        <w:t>For the purposes of subsection 42S(1) of the Act, the registrations specified in column 1 of the table are excluded from the operation of automatic deemed registration in Western Australia.</w:t>
      </w:r>
    </w:p>
    <w:p w14:paraId="27103B75" w14:textId="77777777" w:rsidR="00A90E6D" w:rsidRDefault="00E975FD">
      <w:pPr>
        <w:pStyle w:val="subsection"/>
        <w:rPr>
          <w:color w:val="000000"/>
          <w:szCs w:val="22"/>
          <w:shd w:val="clear" w:color="auto" w:fill="FFFFFF"/>
        </w:rPr>
      </w:pPr>
      <w:r>
        <w:tab/>
        <w:t>(2)</w:t>
      </w:r>
      <w:r>
        <w:tab/>
        <w:t xml:space="preserve">The statement set out in column 2 of the table explains, under subsection 42S(2) of the Act, the significant risk to </w:t>
      </w:r>
      <w:r>
        <w:rPr>
          <w:color w:val="000000"/>
          <w:szCs w:val="22"/>
          <w:shd w:val="clear" w:color="auto" w:fill="FFFFFF"/>
        </w:rPr>
        <w:t>consumer protection, the environment, animal welfare or the health or safety of workers or the public on which basis the Minister is satisfied that the exclusion of the registrations</w:t>
      </w:r>
      <w:r>
        <w:t xml:space="preserve"> in column 1 </w:t>
      </w:r>
      <w:r>
        <w:rPr>
          <w:color w:val="000000"/>
          <w:szCs w:val="22"/>
          <w:shd w:val="clear" w:color="auto" w:fill="FFFFFF"/>
        </w:rPr>
        <w:t>is necessary.</w:t>
      </w:r>
    </w:p>
    <w:p w14:paraId="34C5C3A2" w14:textId="77777777" w:rsidR="00A90E6D" w:rsidRDefault="00A90E6D">
      <w:pPr>
        <w:pStyle w:val="Tabletext"/>
      </w:pPr>
    </w:p>
    <w:tbl>
      <w:tblPr>
        <w:tblW w:w="8398"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445"/>
        <w:gridCol w:w="5953"/>
      </w:tblGrid>
      <w:tr w:rsidR="00A90E6D" w14:paraId="650630F9" w14:textId="77777777">
        <w:trPr>
          <w:tblHeader/>
        </w:trPr>
        <w:tc>
          <w:tcPr>
            <w:tcW w:w="8398" w:type="dxa"/>
            <w:gridSpan w:val="2"/>
            <w:tcBorders>
              <w:top w:val="single" w:sz="12" w:space="0" w:color="auto"/>
              <w:bottom w:val="single" w:sz="6" w:space="0" w:color="auto"/>
            </w:tcBorders>
            <w:shd w:val="clear" w:color="auto" w:fill="auto"/>
            <w:hideMark/>
          </w:tcPr>
          <w:p w14:paraId="21EEE64F" w14:textId="77777777" w:rsidR="00A90E6D" w:rsidRDefault="00E975FD">
            <w:pPr>
              <w:pStyle w:val="TableHeading"/>
            </w:pPr>
            <w:r>
              <w:lastRenderedPageBreak/>
              <w:t>Exempted registrations</w:t>
            </w:r>
          </w:p>
        </w:tc>
      </w:tr>
      <w:tr w:rsidR="00A90E6D" w14:paraId="5EF18F98" w14:textId="77777777">
        <w:trPr>
          <w:tblHeader/>
        </w:trPr>
        <w:tc>
          <w:tcPr>
            <w:tcW w:w="2445" w:type="dxa"/>
            <w:tcBorders>
              <w:top w:val="single" w:sz="6" w:space="0" w:color="auto"/>
              <w:bottom w:val="single" w:sz="6" w:space="0" w:color="auto"/>
            </w:tcBorders>
            <w:shd w:val="clear" w:color="auto" w:fill="auto"/>
            <w:hideMark/>
          </w:tcPr>
          <w:p w14:paraId="3991BD37" w14:textId="77777777" w:rsidR="00A90E6D" w:rsidRDefault="00E975FD">
            <w:pPr>
              <w:pStyle w:val="TableHeading"/>
            </w:pPr>
            <w:r>
              <w:t>Column 1</w:t>
            </w:r>
          </w:p>
        </w:tc>
        <w:tc>
          <w:tcPr>
            <w:tcW w:w="5953" w:type="dxa"/>
            <w:tcBorders>
              <w:top w:val="single" w:sz="6" w:space="0" w:color="auto"/>
              <w:bottom w:val="single" w:sz="6" w:space="0" w:color="auto"/>
            </w:tcBorders>
            <w:shd w:val="clear" w:color="auto" w:fill="auto"/>
            <w:hideMark/>
          </w:tcPr>
          <w:p w14:paraId="2714AB04" w14:textId="77777777" w:rsidR="00A90E6D" w:rsidRDefault="00E975FD">
            <w:pPr>
              <w:pStyle w:val="TableHeading"/>
            </w:pPr>
            <w:r>
              <w:t>Column 2</w:t>
            </w:r>
          </w:p>
        </w:tc>
      </w:tr>
      <w:tr w:rsidR="00A90E6D" w14:paraId="0C4567D8" w14:textId="77777777">
        <w:trPr>
          <w:tblHeader/>
        </w:trPr>
        <w:tc>
          <w:tcPr>
            <w:tcW w:w="2445" w:type="dxa"/>
            <w:tcBorders>
              <w:top w:val="single" w:sz="6" w:space="0" w:color="auto"/>
              <w:bottom w:val="single" w:sz="12" w:space="0" w:color="auto"/>
            </w:tcBorders>
            <w:shd w:val="clear" w:color="auto" w:fill="auto"/>
            <w:hideMark/>
          </w:tcPr>
          <w:p w14:paraId="741E9D92" w14:textId="77777777" w:rsidR="00A90E6D" w:rsidRDefault="00E975FD">
            <w:pPr>
              <w:pStyle w:val="TableHeading"/>
            </w:pPr>
            <w:r>
              <w:t>Registration</w:t>
            </w:r>
          </w:p>
        </w:tc>
        <w:tc>
          <w:tcPr>
            <w:tcW w:w="5953" w:type="dxa"/>
            <w:tcBorders>
              <w:top w:val="single" w:sz="6" w:space="0" w:color="auto"/>
              <w:bottom w:val="single" w:sz="12" w:space="0" w:color="auto"/>
            </w:tcBorders>
            <w:shd w:val="clear" w:color="auto" w:fill="auto"/>
            <w:hideMark/>
          </w:tcPr>
          <w:p w14:paraId="558FE4B2" w14:textId="77777777" w:rsidR="00A90E6D" w:rsidRDefault="00E975FD">
            <w:pPr>
              <w:pStyle w:val="TableHeading"/>
            </w:pPr>
            <w:r>
              <w:t>Statement explaining significant risk</w:t>
            </w:r>
          </w:p>
        </w:tc>
      </w:tr>
      <w:tr w:rsidR="00A90E6D" w14:paraId="319F8C37" w14:textId="77777777">
        <w:trPr>
          <w:cantSplit/>
        </w:trPr>
        <w:tc>
          <w:tcPr>
            <w:tcW w:w="2445" w:type="dxa"/>
            <w:tcBorders>
              <w:top w:val="single" w:sz="12" w:space="0" w:color="auto"/>
              <w:bottom w:val="single" w:sz="12" w:space="0" w:color="auto"/>
            </w:tcBorders>
            <w:shd w:val="clear" w:color="auto" w:fill="auto"/>
          </w:tcPr>
          <w:p w14:paraId="5DAD8183" w14:textId="68DD5D4B" w:rsidR="00A90E6D" w:rsidRDefault="00E975FD">
            <w:pPr>
              <w:pStyle w:val="Tabletext"/>
            </w:pPr>
            <w:r>
              <w:t xml:space="preserve">1.  A firearm authority under the </w:t>
            </w:r>
            <w:r>
              <w:rPr>
                <w:i/>
              </w:rPr>
              <w:t>Firearms Act 2024</w:t>
            </w:r>
            <w:r>
              <w:t xml:space="preserve"> of Western Australia that is a registration for an occupation or for an activity covered by an occupation</w:t>
            </w:r>
          </w:p>
        </w:tc>
        <w:tc>
          <w:tcPr>
            <w:tcW w:w="5953" w:type="dxa"/>
            <w:tcBorders>
              <w:top w:val="single" w:sz="12" w:space="0" w:color="auto"/>
              <w:bottom w:val="single" w:sz="12" w:space="0" w:color="auto"/>
            </w:tcBorders>
            <w:shd w:val="clear" w:color="auto" w:fill="auto"/>
          </w:tcPr>
          <w:p w14:paraId="644E79B2" w14:textId="53FC68E6" w:rsidR="00A90E6D" w:rsidRPr="006F0614" w:rsidRDefault="00E975FD">
            <w:pPr>
              <w:pStyle w:val="Tabletext"/>
              <w:rPr>
                <w:b/>
                <w:bCs/>
                <w:i/>
                <w:iCs/>
              </w:rPr>
            </w:pPr>
            <w:r>
              <w:rPr>
                <w:color w:val="000000"/>
              </w:rPr>
              <w:t>Automatic deemed registration in relation to these registrations would remove critical identity and security checks that could lead to the unverified and unregulated sale of firearms in Western Australia, which could put the public at significant risk.</w:t>
            </w:r>
          </w:p>
        </w:tc>
      </w:tr>
    </w:tbl>
    <w:p w14:paraId="50D2D8B2" w14:textId="1C1D0971" w:rsidR="00A90E6D" w:rsidRDefault="00E975FD">
      <w:pPr>
        <w:pStyle w:val="ActHead5"/>
      </w:pPr>
      <w:bookmarkStart w:id="5" w:name="_Toc193895485"/>
      <w:r>
        <w:t>6  Schedules</w:t>
      </w:r>
      <w:bookmarkEnd w:id="5"/>
    </w:p>
    <w:p w14:paraId="3F2C1CEE" w14:textId="1DC566BA" w:rsidR="0099190B" w:rsidRPr="003C2596" w:rsidRDefault="00E975FD">
      <w:pPr>
        <w:pStyle w:val="subsection"/>
      </w:pPr>
      <w:r>
        <w:tab/>
      </w:r>
      <w:r>
        <w:tab/>
        <w:t>Each instrument that is specified in a Schedule to this instrument is amended or repealed as set out in the applicable items in the Schedule concerned, and any other item in a Schedule to this instrument has effect according to its terms.</w:t>
      </w:r>
    </w:p>
    <w:p w14:paraId="1D944A57" w14:textId="09CF2C76" w:rsidR="00A90E6D" w:rsidRDefault="00E975FD">
      <w:pPr>
        <w:pStyle w:val="ActHead6"/>
        <w:pageBreakBefore/>
        <w:rPr>
          <w:rStyle w:val="CharAmSchText"/>
        </w:rPr>
      </w:pPr>
      <w:bookmarkStart w:id="6" w:name="_Toc193895486"/>
      <w:r>
        <w:rPr>
          <w:rStyle w:val="CharAmSchNo"/>
        </w:rPr>
        <w:lastRenderedPageBreak/>
        <w:t>Schedule 1</w:t>
      </w:r>
      <w:r>
        <w:t>—</w:t>
      </w:r>
      <w:r>
        <w:rPr>
          <w:rStyle w:val="CharAmSchText"/>
        </w:rPr>
        <w:t xml:space="preserve">Amendment related to repeal of </w:t>
      </w:r>
      <w:r w:rsidR="00276F4F">
        <w:rPr>
          <w:rStyle w:val="CharAmSchText"/>
        </w:rPr>
        <w:t xml:space="preserve">the </w:t>
      </w:r>
      <w:r w:rsidRPr="00276F4F">
        <w:rPr>
          <w:rStyle w:val="CharAmSchText"/>
        </w:rPr>
        <w:t>Firearms Act 1973</w:t>
      </w:r>
      <w:r>
        <w:rPr>
          <w:rStyle w:val="CharAmSchText"/>
        </w:rPr>
        <w:t xml:space="preserve"> of Western Australia</w:t>
      </w:r>
      <w:bookmarkEnd w:id="6"/>
    </w:p>
    <w:p w14:paraId="5CF4A54C" w14:textId="77777777" w:rsidR="00A90E6D" w:rsidRDefault="00E975FD">
      <w:pPr>
        <w:pStyle w:val="ActHead9"/>
      </w:pPr>
      <w:bookmarkStart w:id="7" w:name="_Toc193895487"/>
      <w:r>
        <w:t>Mutual Recognition (Automatic Deemed Registration Exemption — Western Australia) Declaration 2022</w:t>
      </w:r>
      <w:bookmarkEnd w:id="7"/>
    </w:p>
    <w:p w14:paraId="30764F91" w14:textId="77777777" w:rsidR="00A90E6D" w:rsidRDefault="00E975FD">
      <w:pPr>
        <w:pStyle w:val="ItemHead"/>
      </w:pPr>
      <w:r>
        <w:t>1  Section 5 (table item 2)</w:t>
      </w:r>
    </w:p>
    <w:p w14:paraId="45D74A4A" w14:textId="74DB6621" w:rsidR="00A90E6D" w:rsidRDefault="00E975FD">
      <w:pPr>
        <w:pStyle w:val="Item"/>
      </w:pPr>
      <w:r>
        <w:t>Repeal the item.</w:t>
      </w:r>
    </w:p>
    <w:sectPr w:rsidR="00A90E6D" w:rsidSect="008C2EAC">
      <w:headerReference w:type="even" r:id="rId19"/>
      <w:headerReference w:type="default" r:id="rId20"/>
      <w:footerReference w:type="even" r:id="rId21"/>
      <w:footerReference w:type="default" r:id="rId22"/>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3049B" w14:textId="77777777" w:rsidR="00CF35CE" w:rsidRDefault="00CF35CE">
      <w:pPr>
        <w:spacing w:line="240" w:lineRule="auto"/>
      </w:pPr>
      <w:r>
        <w:separator/>
      </w:r>
    </w:p>
  </w:endnote>
  <w:endnote w:type="continuationSeparator" w:id="0">
    <w:p w14:paraId="47105F94" w14:textId="77777777" w:rsidR="00CF35CE" w:rsidRDefault="00CF35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10DA6" w14:textId="77777777" w:rsidR="00A90E6D" w:rsidRDefault="00A90E6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90E6D" w14:paraId="20F0EF51" w14:textId="77777777">
      <w:tc>
        <w:tcPr>
          <w:tcW w:w="709" w:type="dxa"/>
          <w:tcBorders>
            <w:top w:val="nil"/>
            <w:left w:val="nil"/>
            <w:bottom w:val="nil"/>
            <w:right w:val="nil"/>
          </w:tcBorders>
        </w:tcPr>
        <w:p w14:paraId="40C58B92" w14:textId="77777777" w:rsidR="00A90E6D" w:rsidRDefault="00E975FD">
          <w:pPr>
            <w:spacing w:line="0" w:lineRule="atLeast"/>
            <w:rPr>
              <w:sz w:val="18"/>
            </w:rPr>
          </w:pPr>
          <w:r>
            <w:rPr>
              <w:i/>
              <w:sz w:val="18"/>
            </w:rPr>
            <w:fldChar w:fldCharType="begin"/>
          </w:r>
          <w:r>
            <w:rPr>
              <w:i/>
              <w:sz w:val="18"/>
            </w:rPr>
            <w:instrText xml:space="preserve"> PAGE </w:instrText>
          </w:r>
          <w:r>
            <w:rPr>
              <w:i/>
              <w:sz w:val="18"/>
            </w:rPr>
            <w:fldChar w:fldCharType="separate"/>
          </w:r>
          <w:r>
            <w:rPr>
              <w:i/>
              <w:noProof/>
              <w:sz w:val="18"/>
            </w:rPr>
            <w:t>i</w:t>
          </w:r>
          <w:r>
            <w:rPr>
              <w:i/>
              <w:sz w:val="18"/>
            </w:rPr>
            <w:fldChar w:fldCharType="end"/>
          </w:r>
        </w:p>
      </w:tc>
      <w:tc>
        <w:tcPr>
          <w:tcW w:w="6379" w:type="dxa"/>
          <w:tcBorders>
            <w:top w:val="nil"/>
            <w:left w:val="nil"/>
            <w:bottom w:val="nil"/>
            <w:right w:val="nil"/>
          </w:tcBorders>
        </w:tcPr>
        <w:p w14:paraId="75883A06" w14:textId="4F1C35DB" w:rsidR="00A90E6D" w:rsidRDefault="00E975FD">
          <w:pPr>
            <w:spacing w:line="0" w:lineRule="atLeast"/>
            <w:jc w:val="center"/>
            <w:rPr>
              <w:i/>
              <w:sz w:val="18"/>
            </w:rPr>
          </w:pPr>
          <w:r>
            <w:rPr>
              <w:i/>
              <w:sz w:val="18"/>
            </w:rPr>
            <w:fldChar w:fldCharType="begin"/>
          </w:r>
          <w:r>
            <w:rPr>
              <w:i/>
              <w:sz w:val="18"/>
            </w:rPr>
            <w:instrText xml:space="preserve"> STYLEREF  ShortT </w:instrText>
          </w:r>
          <w:r>
            <w:rPr>
              <w:i/>
              <w:sz w:val="18"/>
            </w:rPr>
            <w:fldChar w:fldCharType="separate"/>
          </w:r>
          <w:r w:rsidR="00B0290E">
            <w:rPr>
              <w:i/>
              <w:noProof/>
              <w:sz w:val="18"/>
            </w:rPr>
            <w:t>Mutual Recognition (Automatic Deemed Registration Exemption — Western Australia) (Firearms) Declaration 2025</w:t>
          </w:r>
          <w:r>
            <w:rPr>
              <w:i/>
              <w:sz w:val="18"/>
            </w:rPr>
            <w:fldChar w:fldCharType="end"/>
          </w:r>
        </w:p>
      </w:tc>
      <w:tc>
        <w:tcPr>
          <w:tcW w:w="1383" w:type="dxa"/>
          <w:tcBorders>
            <w:top w:val="nil"/>
            <w:left w:val="nil"/>
            <w:bottom w:val="nil"/>
            <w:right w:val="nil"/>
          </w:tcBorders>
        </w:tcPr>
        <w:p w14:paraId="0626FE28" w14:textId="77777777" w:rsidR="00A90E6D" w:rsidRDefault="00A90E6D">
          <w:pPr>
            <w:spacing w:line="0" w:lineRule="atLeast"/>
            <w:jc w:val="right"/>
            <w:rPr>
              <w:sz w:val="18"/>
            </w:rPr>
          </w:pPr>
        </w:p>
      </w:tc>
    </w:tr>
    <w:tr w:rsidR="00A90E6D" w14:paraId="35B6C52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619C566" w14:textId="77777777" w:rsidR="00A90E6D" w:rsidRDefault="00A90E6D">
          <w:pPr>
            <w:jc w:val="right"/>
            <w:rPr>
              <w:sz w:val="18"/>
            </w:rPr>
          </w:pPr>
        </w:p>
      </w:tc>
    </w:tr>
  </w:tbl>
  <w:p w14:paraId="3FB54C1E" w14:textId="77777777" w:rsidR="00A90E6D" w:rsidRDefault="00A90E6D">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8B5B6" w14:textId="77777777" w:rsidR="00A90E6D" w:rsidRDefault="00A90E6D">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A90E6D" w14:paraId="3305F682" w14:textId="77777777">
      <w:tc>
        <w:tcPr>
          <w:tcW w:w="1384" w:type="dxa"/>
          <w:tcBorders>
            <w:top w:val="nil"/>
            <w:left w:val="nil"/>
            <w:bottom w:val="nil"/>
            <w:right w:val="nil"/>
          </w:tcBorders>
        </w:tcPr>
        <w:p w14:paraId="587FCE86" w14:textId="77777777" w:rsidR="00A90E6D" w:rsidRDefault="00A90E6D">
          <w:pPr>
            <w:spacing w:line="0" w:lineRule="atLeast"/>
            <w:rPr>
              <w:sz w:val="18"/>
            </w:rPr>
          </w:pPr>
        </w:p>
      </w:tc>
      <w:tc>
        <w:tcPr>
          <w:tcW w:w="6379" w:type="dxa"/>
          <w:tcBorders>
            <w:top w:val="nil"/>
            <w:left w:val="nil"/>
            <w:bottom w:val="nil"/>
            <w:right w:val="nil"/>
          </w:tcBorders>
        </w:tcPr>
        <w:p w14:paraId="3A22C87E" w14:textId="6F6B69EE" w:rsidR="00A90E6D" w:rsidRDefault="00E975FD">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B0290E">
            <w:rPr>
              <w:i/>
              <w:noProof/>
              <w:sz w:val="18"/>
            </w:rPr>
            <w:t>Mutual Recognition (Automatic Deemed Registration Exemption — Western Australia) (Firearms) Declaration 2025</w:t>
          </w:r>
          <w:r>
            <w:rPr>
              <w:i/>
              <w:sz w:val="18"/>
            </w:rPr>
            <w:fldChar w:fldCharType="end"/>
          </w:r>
        </w:p>
      </w:tc>
      <w:tc>
        <w:tcPr>
          <w:tcW w:w="709" w:type="dxa"/>
          <w:tcBorders>
            <w:top w:val="nil"/>
            <w:left w:val="nil"/>
            <w:bottom w:val="nil"/>
            <w:right w:val="nil"/>
          </w:tcBorders>
        </w:tcPr>
        <w:p w14:paraId="63724D22" w14:textId="77777777" w:rsidR="00A90E6D" w:rsidRDefault="00E975FD">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tc>
    </w:tr>
    <w:tr w:rsidR="00A90E6D" w14:paraId="3E34D8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6CE94F3" w14:textId="77777777" w:rsidR="00A90E6D" w:rsidRDefault="00A90E6D">
          <w:pPr>
            <w:rPr>
              <w:sz w:val="18"/>
            </w:rPr>
          </w:pPr>
        </w:p>
      </w:tc>
    </w:tr>
  </w:tbl>
  <w:p w14:paraId="0C6F6A2E" w14:textId="77777777" w:rsidR="00A90E6D" w:rsidRDefault="00A90E6D">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F96D1" w14:textId="77777777" w:rsidR="00A90E6D" w:rsidRDefault="00A90E6D">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A90E6D" w14:paraId="45DA1B57" w14:textId="77777777">
      <w:tc>
        <w:tcPr>
          <w:tcW w:w="1384" w:type="dxa"/>
          <w:tcBorders>
            <w:top w:val="nil"/>
            <w:left w:val="nil"/>
            <w:bottom w:val="nil"/>
            <w:right w:val="nil"/>
          </w:tcBorders>
        </w:tcPr>
        <w:p w14:paraId="150991B7" w14:textId="77777777" w:rsidR="00A90E6D" w:rsidRDefault="00A90E6D">
          <w:pPr>
            <w:spacing w:line="0" w:lineRule="atLeast"/>
            <w:rPr>
              <w:sz w:val="18"/>
            </w:rPr>
          </w:pPr>
        </w:p>
      </w:tc>
      <w:tc>
        <w:tcPr>
          <w:tcW w:w="6379" w:type="dxa"/>
          <w:tcBorders>
            <w:top w:val="nil"/>
            <w:left w:val="nil"/>
            <w:bottom w:val="nil"/>
            <w:right w:val="nil"/>
          </w:tcBorders>
        </w:tcPr>
        <w:p w14:paraId="2B27DF64" w14:textId="77777777" w:rsidR="00A90E6D" w:rsidRDefault="00A90E6D">
          <w:pPr>
            <w:spacing w:line="0" w:lineRule="atLeast"/>
            <w:jc w:val="center"/>
            <w:rPr>
              <w:sz w:val="18"/>
            </w:rPr>
          </w:pPr>
        </w:p>
      </w:tc>
      <w:tc>
        <w:tcPr>
          <w:tcW w:w="709" w:type="dxa"/>
          <w:tcBorders>
            <w:top w:val="nil"/>
            <w:left w:val="nil"/>
            <w:bottom w:val="nil"/>
            <w:right w:val="nil"/>
          </w:tcBorders>
        </w:tcPr>
        <w:p w14:paraId="33B1C4DD" w14:textId="77777777" w:rsidR="00A90E6D" w:rsidRDefault="00A90E6D">
          <w:pPr>
            <w:spacing w:line="0" w:lineRule="atLeast"/>
            <w:jc w:val="right"/>
            <w:rPr>
              <w:sz w:val="18"/>
            </w:rPr>
          </w:pPr>
        </w:p>
      </w:tc>
    </w:tr>
  </w:tbl>
  <w:p w14:paraId="5B57B644" w14:textId="77777777" w:rsidR="00A90E6D" w:rsidRDefault="00A90E6D">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C5D41" w14:textId="77777777" w:rsidR="00A90E6D" w:rsidRDefault="00A90E6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A90E6D" w14:paraId="52E86CE8" w14:textId="77777777">
      <w:tc>
        <w:tcPr>
          <w:tcW w:w="365" w:type="pct"/>
        </w:tcPr>
        <w:p w14:paraId="575271D6" w14:textId="77777777" w:rsidR="00A90E6D" w:rsidRDefault="00E975FD">
          <w:pPr>
            <w:spacing w:line="0" w:lineRule="atLeast"/>
            <w:rPr>
              <w:sz w:val="18"/>
            </w:rPr>
          </w:pPr>
          <w:r>
            <w:rPr>
              <w:i/>
              <w:sz w:val="18"/>
            </w:rPr>
            <w:fldChar w:fldCharType="begin"/>
          </w:r>
          <w:r>
            <w:rPr>
              <w:i/>
              <w:sz w:val="18"/>
            </w:rPr>
            <w:instrText xml:space="preserve"> PAGE </w:instrText>
          </w:r>
          <w:r>
            <w:rPr>
              <w:i/>
              <w:sz w:val="18"/>
            </w:rPr>
            <w:fldChar w:fldCharType="separate"/>
          </w:r>
          <w:r>
            <w:rPr>
              <w:i/>
              <w:noProof/>
              <w:sz w:val="18"/>
            </w:rPr>
            <w:t>2</w:t>
          </w:r>
          <w:r>
            <w:rPr>
              <w:i/>
              <w:sz w:val="18"/>
            </w:rPr>
            <w:fldChar w:fldCharType="end"/>
          </w:r>
        </w:p>
      </w:tc>
      <w:tc>
        <w:tcPr>
          <w:tcW w:w="3688" w:type="pct"/>
        </w:tcPr>
        <w:p w14:paraId="10E5F5D0" w14:textId="407CF6A4" w:rsidR="00A90E6D" w:rsidRDefault="00E975FD">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B0290E">
            <w:rPr>
              <w:i/>
              <w:noProof/>
              <w:sz w:val="18"/>
            </w:rPr>
            <w:t>Mutual Recognition (Automatic Deemed Registration Exemption — Western Australia) (Firearms) Declaration 2025</w:t>
          </w:r>
          <w:r>
            <w:rPr>
              <w:i/>
              <w:sz w:val="18"/>
            </w:rPr>
            <w:fldChar w:fldCharType="end"/>
          </w:r>
        </w:p>
      </w:tc>
      <w:tc>
        <w:tcPr>
          <w:tcW w:w="947" w:type="pct"/>
        </w:tcPr>
        <w:p w14:paraId="6113E296" w14:textId="77777777" w:rsidR="00A90E6D" w:rsidRDefault="00A90E6D">
          <w:pPr>
            <w:spacing w:line="0" w:lineRule="atLeast"/>
            <w:jc w:val="right"/>
            <w:rPr>
              <w:sz w:val="18"/>
            </w:rPr>
          </w:pPr>
        </w:p>
      </w:tc>
    </w:tr>
    <w:tr w:rsidR="00A90E6D" w14:paraId="52F912B0" w14:textId="77777777">
      <w:tc>
        <w:tcPr>
          <w:tcW w:w="5000" w:type="pct"/>
          <w:gridSpan w:val="3"/>
        </w:tcPr>
        <w:p w14:paraId="39A6E702" w14:textId="77777777" w:rsidR="00A90E6D" w:rsidRDefault="00A90E6D">
          <w:pPr>
            <w:jc w:val="right"/>
            <w:rPr>
              <w:sz w:val="18"/>
            </w:rPr>
          </w:pPr>
        </w:p>
      </w:tc>
    </w:tr>
  </w:tbl>
  <w:p w14:paraId="384ED769" w14:textId="77777777" w:rsidR="00A90E6D" w:rsidRDefault="00A90E6D">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F8E7A" w14:textId="77777777" w:rsidR="00A90E6D" w:rsidRDefault="00A90E6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A90E6D" w14:paraId="6FA79B78" w14:textId="77777777">
      <w:tc>
        <w:tcPr>
          <w:tcW w:w="947" w:type="pct"/>
        </w:tcPr>
        <w:p w14:paraId="09C99B9E" w14:textId="77777777" w:rsidR="00A90E6D" w:rsidRDefault="00A90E6D">
          <w:pPr>
            <w:spacing w:line="0" w:lineRule="atLeast"/>
            <w:rPr>
              <w:sz w:val="18"/>
            </w:rPr>
          </w:pPr>
        </w:p>
      </w:tc>
      <w:tc>
        <w:tcPr>
          <w:tcW w:w="3688" w:type="pct"/>
        </w:tcPr>
        <w:p w14:paraId="16639FD8" w14:textId="49E905BD" w:rsidR="00A90E6D" w:rsidRDefault="00E975FD">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0111F8">
            <w:rPr>
              <w:i/>
              <w:noProof/>
              <w:sz w:val="18"/>
            </w:rPr>
            <w:t>Mutual Recognition (Automatic Deemed Registration Exemption — Western Australia) (Firearms) Declaration 2025</w:t>
          </w:r>
          <w:r>
            <w:rPr>
              <w:i/>
              <w:sz w:val="18"/>
            </w:rPr>
            <w:fldChar w:fldCharType="end"/>
          </w:r>
        </w:p>
      </w:tc>
      <w:tc>
        <w:tcPr>
          <w:tcW w:w="365" w:type="pct"/>
        </w:tcPr>
        <w:p w14:paraId="06F7E8B8" w14:textId="77777777" w:rsidR="00A90E6D" w:rsidRDefault="00E975FD">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i</w:t>
          </w:r>
          <w:r>
            <w:rPr>
              <w:i/>
              <w:sz w:val="18"/>
            </w:rPr>
            <w:fldChar w:fldCharType="end"/>
          </w:r>
        </w:p>
      </w:tc>
    </w:tr>
    <w:tr w:rsidR="00A90E6D" w14:paraId="16E96D1C" w14:textId="77777777">
      <w:tc>
        <w:tcPr>
          <w:tcW w:w="5000" w:type="pct"/>
          <w:gridSpan w:val="3"/>
        </w:tcPr>
        <w:p w14:paraId="0C042AC5" w14:textId="77777777" w:rsidR="00A90E6D" w:rsidRDefault="00A90E6D">
          <w:pPr>
            <w:rPr>
              <w:sz w:val="18"/>
            </w:rPr>
          </w:pPr>
        </w:p>
      </w:tc>
    </w:tr>
  </w:tbl>
  <w:p w14:paraId="140B7EBA" w14:textId="77777777" w:rsidR="00A90E6D" w:rsidRDefault="00A90E6D">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59CFB" w14:textId="77777777" w:rsidR="00A90E6D" w:rsidRDefault="00A90E6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A90E6D" w14:paraId="0971F22B" w14:textId="77777777">
      <w:tc>
        <w:tcPr>
          <w:tcW w:w="365" w:type="pct"/>
        </w:tcPr>
        <w:p w14:paraId="47841409" w14:textId="77777777" w:rsidR="00A90E6D" w:rsidRDefault="00E975FD">
          <w:pPr>
            <w:spacing w:line="0" w:lineRule="atLeast"/>
            <w:rPr>
              <w:sz w:val="18"/>
            </w:rPr>
          </w:pPr>
          <w:r>
            <w:rPr>
              <w:i/>
              <w:sz w:val="18"/>
            </w:rPr>
            <w:fldChar w:fldCharType="begin"/>
          </w:r>
          <w:r>
            <w:rPr>
              <w:i/>
              <w:sz w:val="18"/>
            </w:rPr>
            <w:instrText xml:space="preserve"> PAGE </w:instrText>
          </w:r>
          <w:r>
            <w:rPr>
              <w:i/>
              <w:sz w:val="18"/>
            </w:rPr>
            <w:fldChar w:fldCharType="separate"/>
          </w:r>
          <w:r>
            <w:rPr>
              <w:i/>
              <w:noProof/>
              <w:sz w:val="18"/>
            </w:rPr>
            <w:t>6</w:t>
          </w:r>
          <w:r>
            <w:rPr>
              <w:i/>
              <w:sz w:val="18"/>
            </w:rPr>
            <w:fldChar w:fldCharType="end"/>
          </w:r>
        </w:p>
      </w:tc>
      <w:tc>
        <w:tcPr>
          <w:tcW w:w="3688" w:type="pct"/>
        </w:tcPr>
        <w:p w14:paraId="310188B8" w14:textId="6755F226" w:rsidR="00A90E6D" w:rsidRDefault="00E975FD">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0111F8">
            <w:rPr>
              <w:i/>
              <w:noProof/>
              <w:sz w:val="18"/>
            </w:rPr>
            <w:t>Mutual Recognition (Automatic Deemed Registration Exemption — Western Australia) (Firearms) Declaration 2025</w:t>
          </w:r>
          <w:r>
            <w:rPr>
              <w:i/>
              <w:sz w:val="18"/>
            </w:rPr>
            <w:fldChar w:fldCharType="end"/>
          </w:r>
        </w:p>
      </w:tc>
      <w:tc>
        <w:tcPr>
          <w:tcW w:w="947" w:type="pct"/>
        </w:tcPr>
        <w:p w14:paraId="22E6C074" w14:textId="77777777" w:rsidR="00A90E6D" w:rsidRDefault="00A90E6D">
          <w:pPr>
            <w:spacing w:line="0" w:lineRule="atLeast"/>
            <w:jc w:val="right"/>
            <w:rPr>
              <w:sz w:val="18"/>
            </w:rPr>
          </w:pPr>
        </w:p>
      </w:tc>
    </w:tr>
    <w:tr w:rsidR="00A90E6D" w14:paraId="60988445" w14:textId="77777777">
      <w:tc>
        <w:tcPr>
          <w:tcW w:w="5000" w:type="pct"/>
          <w:gridSpan w:val="3"/>
        </w:tcPr>
        <w:p w14:paraId="73640ECB" w14:textId="77777777" w:rsidR="00A90E6D" w:rsidRDefault="00A90E6D">
          <w:pPr>
            <w:jc w:val="right"/>
            <w:rPr>
              <w:sz w:val="18"/>
            </w:rPr>
          </w:pPr>
        </w:p>
      </w:tc>
    </w:tr>
  </w:tbl>
  <w:p w14:paraId="56173517" w14:textId="77777777" w:rsidR="00A90E6D" w:rsidRDefault="00A90E6D">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1276A" w14:textId="77777777" w:rsidR="00A90E6D" w:rsidRDefault="00A90E6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A90E6D" w14:paraId="481C4444" w14:textId="77777777">
      <w:tc>
        <w:tcPr>
          <w:tcW w:w="947" w:type="pct"/>
        </w:tcPr>
        <w:p w14:paraId="2D11DFEE" w14:textId="77777777" w:rsidR="00A90E6D" w:rsidRDefault="00A90E6D">
          <w:pPr>
            <w:spacing w:line="0" w:lineRule="atLeast"/>
            <w:rPr>
              <w:sz w:val="18"/>
            </w:rPr>
          </w:pPr>
        </w:p>
      </w:tc>
      <w:tc>
        <w:tcPr>
          <w:tcW w:w="3688" w:type="pct"/>
        </w:tcPr>
        <w:p w14:paraId="21C87FCF" w14:textId="241D1501" w:rsidR="00A90E6D" w:rsidRDefault="00E975FD">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0111F8">
            <w:rPr>
              <w:i/>
              <w:noProof/>
              <w:sz w:val="18"/>
            </w:rPr>
            <w:t>Mutual Recognition (Automatic Deemed Registration Exemption — Western Australia) (Firearms) Declaration 2025</w:t>
          </w:r>
          <w:r>
            <w:rPr>
              <w:i/>
              <w:sz w:val="18"/>
            </w:rPr>
            <w:fldChar w:fldCharType="end"/>
          </w:r>
        </w:p>
      </w:tc>
      <w:tc>
        <w:tcPr>
          <w:tcW w:w="365" w:type="pct"/>
        </w:tcPr>
        <w:p w14:paraId="23DBF394" w14:textId="77777777" w:rsidR="00A90E6D" w:rsidRDefault="00E975FD">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5</w:t>
          </w:r>
          <w:r>
            <w:rPr>
              <w:i/>
              <w:sz w:val="18"/>
            </w:rPr>
            <w:fldChar w:fldCharType="end"/>
          </w:r>
        </w:p>
      </w:tc>
    </w:tr>
    <w:tr w:rsidR="00A90E6D" w14:paraId="14C69EAA" w14:textId="77777777">
      <w:tc>
        <w:tcPr>
          <w:tcW w:w="5000" w:type="pct"/>
          <w:gridSpan w:val="3"/>
        </w:tcPr>
        <w:p w14:paraId="7F73B3D3" w14:textId="77777777" w:rsidR="00A90E6D" w:rsidRDefault="00A90E6D">
          <w:pPr>
            <w:rPr>
              <w:sz w:val="18"/>
            </w:rPr>
          </w:pPr>
        </w:p>
      </w:tc>
    </w:tr>
  </w:tbl>
  <w:p w14:paraId="22C1A0B9" w14:textId="77777777" w:rsidR="00A90E6D" w:rsidRDefault="00A90E6D">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384D5" w14:textId="77777777" w:rsidR="00CF35CE" w:rsidRDefault="00CF35CE">
      <w:pPr>
        <w:spacing w:line="240" w:lineRule="auto"/>
      </w:pPr>
      <w:r>
        <w:separator/>
      </w:r>
    </w:p>
  </w:footnote>
  <w:footnote w:type="continuationSeparator" w:id="0">
    <w:p w14:paraId="4AF27877" w14:textId="77777777" w:rsidR="00CF35CE" w:rsidRDefault="00CF35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73F0B" w14:textId="77777777" w:rsidR="00A90E6D" w:rsidRDefault="00A90E6D">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830BD" w14:textId="77777777" w:rsidR="00A90E6D" w:rsidRDefault="00A90E6D">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2EACF" w14:textId="77777777" w:rsidR="00A90E6D" w:rsidRDefault="00A90E6D">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C397" w14:textId="77777777" w:rsidR="00A90E6D" w:rsidRDefault="00A90E6D">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BF51A" w14:textId="77777777" w:rsidR="00A90E6D" w:rsidRDefault="00A90E6D">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C5597" w14:textId="77777777" w:rsidR="00A90E6D" w:rsidRDefault="00A90E6D">
    <w:pPr>
      <w:rPr>
        <w:sz w:val="20"/>
      </w:rPr>
    </w:pPr>
  </w:p>
  <w:p w14:paraId="603C5F97" w14:textId="77777777" w:rsidR="00A90E6D" w:rsidRDefault="00A90E6D">
    <w:pPr>
      <w:rPr>
        <w:sz w:val="20"/>
      </w:rPr>
    </w:pPr>
  </w:p>
  <w:p w14:paraId="072C069D" w14:textId="77777777" w:rsidR="00A90E6D" w:rsidRDefault="00A90E6D">
    <w:pPr>
      <w:rPr>
        <w:sz w:val="20"/>
      </w:rPr>
    </w:pPr>
  </w:p>
  <w:p w14:paraId="3F0677F2" w14:textId="77777777" w:rsidR="00A90E6D" w:rsidRDefault="00A90E6D">
    <w:pPr>
      <w:rPr>
        <w:b/>
        <w:sz w:val="24"/>
      </w:rPr>
    </w:pPr>
  </w:p>
  <w:p w14:paraId="7634609E" w14:textId="77777777" w:rsidR="00A90E6D" w:rsidRDefault="00A90E6D">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52802" w14:textId="77777777" w:rsidR="00A90E6D" w:rsidRDefault="00A90E6D">
    <w:pPr>
      <w:jc w:val="right"/>
      <w:rPr>
        <w:sz w:val="20"/>
      </w:rPr>
    </w:pPr>
  </w:p>
  <w:p w14:paraId="17EC8489" w14:textId="77777777" w:rsidR="00A90E6D" w:rsidRDefault="00A90E6D">
    <w:pPr>
      <w:jc w:val="right"/>
      <w:rPr>
        <w:sz w:val="20"/>
      </w:rPr>
    </w:pPr>
  </w:p>
  <w:p w14:paraId="67A52AE6" w14:textId="77777777" w:rsidR="00A90E6D" w:rsidRDefault="00A90E6D">
    <w:pPr>
      <w:jc w:val="right"/>
      <w:rPr>
        <w:sz w:val="20"/>
      </w:rPr>
    </w:pPr>
  </w:p>
  <w:p w14:paraId="466BB410" w14:textId="77777777" w:rsidR="00A90E6D" w:rsidRDefault="00A90E6D">
    <w:pPr>
      <w:jc w:val="right"/>
      <w:rPr>
        <w:b/>
        <w:sz w:val="24"/>
      </w:rPr>
    </w:pPr>
  </w:p>
  <w:p w14:paraId="2CE7A2FB" w14:textId="77777777" w:rsidR="00A90E6D" w:rsidRDefault="00A90E6D">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842CB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1202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E0FC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D4BF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A66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2855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160C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5458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303A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E41B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1705711306">
    <w:abstractNumId w:val="9"/>
  </w:num>
  <w:num w:numId="2" w16cid:durableId="1365136808">
    <w:abstractNumId w:val="7"/>
  </w:num>
  <w:num w:numId="3" w16cid:durableId="1451624866">
    <w:abstractNumId w:val="6"/>
  </w:num>
  <w:num w:numId="4" w16cid:durableId="1234003164">
    <w:abstractNumId w:val="5"/>
  </w:num>
  <w:num w:numId="5" w16cid:durableId="214465306">
    <w:abstractNumId w:val="4"/>
  </w:num>
  <w:num w:numId="6" w16cid:durableId="540635458">
    <w:abstractNumId w:val="8"/>
  </w:num>
  <w:num w:numId="7" w16cid:durableId="491415760">
    <w:abstractNumId w:val="3"/>
  </w:num>
  <w:num w:numId="8" w16cid:durableId="1460418893">
    <w:abstractNumId w:val="2"/>
  </w:num>
  <w:num w:numId="9" w16cid:durableId="1923678294">
    <w:abstractNumId w:val="1"/>
  </w:num>
  <w:num w:numId="10" w16cid:durableId="182322819">
    <w:abstractNumId w:val="0"/>
  </w:num>
  <w:num w:numId="11" w16cid:durableId="1520241518">
    <w:abstractNumId w:val="12"/>
  </w:num>
  <w:num w:numId="12" w16cid:durableId="270742747">
    <w:abstractNumId w:val="10"/>
  </w:num>
  <w:num w:numId="13" w16cid:durableId="18217283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5FD"/>
    <w:rsid w:val="000111F8"/>
    <w:rsid w:val="00066950"/>
    <w:rsid w:val="000A5DD1"/>
    <w:rsid w:val="00191744"/>
    <w:rsid w:val="00244CAB"/>
    <w:rsid w:val="00276F4F"/>
    <w:rsid w:val="002C0F80"/>
    <w:rsid w:val="002C2CAF"/>
    <w:rsid w:val="002E22EB"/>
    <w:rsid w:val="00300F69"/>
    <w:rsid w:val="00331495"/>
    <w:rsid w:val="003525A7"/>
    <w:rsid w:val="00360AFD"/>
    <w:rsid w:val="003C2596"/>
    <w:rsid w:val="00424D6B"/>
    <w:rsid w:val="0048060B"/>
    <w:rsid w:val="004F19EE"/>
    <w:rsid w:val="00591B7F"/>
    <w:rsid w:val="005E0197"/>
    <w:rsid w:val="005F7DDC"/>
    <w:rsid w:val="00632699"/>
    <w:rsid w:val="006B0D45"/>
    <w:rsid w:val="006F0614"/>
    <w:rsid w:val="00710725"/>
    <w:rsid w:val="007D09CF"/>
    <w:rsid w:val="00804D25"/>
    <w:rsid w:val="00810A50"/>
    <w:rsid w:val="008166A7"/>
    <w:rsid w:val="008523DB"/>
    <w:rsid w:val="00864C6A"/>
    <w:rsid w:val="008A4000"/>
    <w:rsid w:val="00921CA9"/>
    <w:rsid w:val="00936E8C"/>
    <w:rsid w:val="0099190B"/>
    <w:rsid w:val="009A055A"/>
    <w:rsid w:val="00A90E6D"/>
    <w:rsid w:val="00B0290E"/>
    <w:rsid w:val="00B53AE9"/>
    <w:rsid w:val="00B9608B"/>
    <w:rsid w:val="00CF35CE"/>
    <w:rsid w:val="00D965E5"/>
    <w:rsid w:val="00DE000E"/>
    <w:rsid w:val="00E06620"/>
    <w:rsid w:val="00E84987"/>
    <w:rsid w:val="00E975FD"/>
    <w:rsid w:val="00EB0890"/>
    <w:rsid w:val="00F21C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4F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60" w:lineRule="atLeast"/>
    </w:pPr>
    <w:rPr>
      <w:sz w:val="22"/>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style>
  <w:style w:type="paragraph" w:customStyle="1" w:styleId="OPCParaBase">
    <w:name w:val="OPCParaBase"/>
    <w:qFormat/>
    <w:pPr>
      <w:spacing w:line="260" w:lineRule="atLeast"/>
    </w:pPr>
    <w:rPr>
      <w:rFonts w:eastAsia="Times New Roman" w:cs="Times New Roman"/>
      <w:sz w:val="22"/>
      <w:lang w:eastAsia="en-AU"/>
    </w:rPr>
  </w:style>
  <w:style w:type="paragraph" w:customStyle="1" w:styleId="ShortT">
    <w:name w:val="ShortT"/>
    <w:basedOn w:val="OPCParaBase"/>
    <w:next w:val="Normal"/>
    <w:qFormat/>
    <w:pPr>
      <w:spacing w:line="240" w:lineRule="auto"/>
    </w:pPr>
    <w:rPr>
      <w:b/>
      <w:sz w:val="40"/>
    </w:rPr>
  </w:style>
  <w:style w:type="paragraph" w:customStyle="1" w:styleId="ActHead1">
    <w:name w:val="ActHead 1"/>
    <w:aliases w:val="c"/>
    <w:basedOn w:val="OPCParaBase"/>
    <w:next w:val="Normal"/>
    <w:qFormat/>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style>
  <w:style w:type="paragraph" w:customStyle="1" w:styleId="Blocks">
    <w:name w:val="Blocks"/>
    <w:aliases w:val="bb"/>
    <w:basedOn w:val="OPCParaBase"/>
    <w:qFormat/>
    <w:pPr>
      <w:spacing w:line="240" w:lineRule="auto"/>
    </w:pPr>
    <w:rPr>
      <w:sz w:val="24"/>
    </w:rPr>
  </w:style>
  <w:style w:type="paragraph" w:customStyle="1" w:styleId="BoxText">
    <w:name w:val="BoxText"/>
    <w:aliases w:val="bt"/>
    <w:basedOn w:val="OPCParaBase"/>
    <w:qFormat/>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Pr>
      <w:b/>
    </w:rPr>
  </w:style>
  <w:style w:type="paragraph" w:customStyle="1" w:styleId="BoxHeadItalic">
    <w:name w:val="BoxHeadItalic"/>
    <w:aliases w:val="bhi"/>
    <w:basedOn w:val="BoxText"/>
    <w:next w:val="BoxStep"/>
    <w:qFormat/>
    <w:rPr>
      <w:i/>
    </w:rPr>
  </w:style>
  <w:style w:type="paragraph" w:customStyle="1" w:styleId="BoxList">
    <w:name w:val="BoxList"/>
    <w:aliases w:val="bl"/>
    <w:basedOn w:val="BoxText"/>
    <w:qFormat/>
    <w:pPr>
      <w:ind w:left="1559" w:hanging="425"/>
    </w:pPr>
  </w:style>
  <w:style w:type="paragraph" w:customStyle="1" w:styleId="BoxNote">
    <w:name w:val="BoxNote"/>
    <w:aliases w:val="bn"/>
    <w:basedOn w:val="BoxText"/>
    <w:qFormat/>
    <w:pPr>
      <w:tabs>
        <w:tab w:val="left" w:pos="1985"/>
      </w:tabs>
      <w:spacing w:before="122" w:line="198" w:lineRule="exact"/>
      <w:ind w:left="2948" w:hanging="1814"/>
    </w:pPr>
    <w:rPr>
      <w:sz w:val="18"/>
    </w:rPr>
  </w:style>
  <w:style w:type="paragraph" w:customStyle="1" w:styleId="BoxPara">
    <w:name w:val="BoxPara"/>
    <w:aliases w:val="bp"/>
    <w:basedOn w:val="BoxText"/>
    <w:qFormat/>
    <w:pPr>
      <w:tabs>
        <w:tab w:val="right" w:pos="2268"/>
      </w:tabs>
      <w:ind w:left="2552" w:hanging="1418"/>
    </w:pPr>
  </w:style>
  <w:style w:type="paragraph" w:customStyle="1" w:styleId="BoxStep">
    <w:name w:val="BoxStep"/>
    <w:aliases w:val="bs"/>
    <w:basedOn w:val="BoxText"/>
    <w:qFormat/>
    <w:pPr>
      <w:ind w:left="1985" w:hanging="851"/>
    </w:pPr>
  </w:style>
  <w:style w:type="character" w:customStyle="1" w:styleId="CharAmPartNo">
    <w:name w:val="CharAmPartNo"/>
    <w:basedOn w:val="OPCCharBase"/>
    <w:uiPriority w:val="1"/>
    <w:qFormat/>
  </w:style>
  <w:style w:type="character" w:customStyle="1" w:styleId="CharAmPartText">
    <w:name w:val="CharAmPartText"/>
    <w:basedOn w:val="OPCCharBase"/>
    <w:uiPriority w:val="1"/>
    <w:qFormat/>
  </w:style>
  <w:style w:type="character" w:customStyle="1" w:styleId="CharAmSchNo">
    <w:name w:val="CharAmSchNo"/>
    <w:basedOn w:val="OPCCharBase"/>
    <w:uiPriority w:val="1"/>
    <w:qFormat/>
  </w:style>
  <w:style w:type="character" w:customStyle="1" w:styleId="CharAmSchText">
    <w:name w:val="CharAmSchText"/>
    <w:basedOn w:val="OPCCharBase"/>
    <w:uiPriority w:val="1"/>
    <w:qFormat/>
  </w:style>
  <w:style w:type="character" w:customStyle="1" w:styleId="CharBoldItalic">
    <w:name w:val="CharBoldItalic"/>
    <w:basedOn w:val="OPCCharBase"/>
    <w:uiPriority w:val="1"/>
    <w:qFormat/>
    <w:rPr>
      <w:b/>
      <w:i/>
    </w:rPr>
  </w:style>
  <w:style w:type="character" w:customStyle="1" w:styleId="CharChapNo">
    <w:name w:val="CharChapNo"/>
    <w:basedOn w:val="OPCCharBase"/>
    <w:qFormat/>
  </w:style>
  <w:style w:type="character" w:customStyle="1" w:styleId="CharChapText">
    <w:name w:val="CharChapText"/>
    <w:basedOn w:val="OPCCharBase"/>
    <w:qFormat/>
  </w:style>
  <w:style w:type="character" w:customStyle="1" w:styleId="CharDivNo">
    <w:name w:val="CharDivNo"/>
    <w:basedOn w:val="OPCCharBase"/>
    <w:qFormat/>
  </w:style>
  <w:style w:type="character" w:customStyle="1" w:styleId="CharDivText">
    <w:name w:val="CharDivText"/>
    <w:basedOn w:val="OPCCharBase"/>
    <w:qFormat/>
  </w:style>
  <w:style w:type="character" w:customStyle="1" w:styleId="CharItalic">
    <w:name w:val="CharItalic"/>
    <w:basedOn w:val="OPCCharBase"/>
    <w:uiPriority w:val="1"/>
    <w:qFormat/>
    <w:rPr>
      <w:i/>
    </w:rPr>
  </w:style>
  <w:style w:type="character" w:customStyle="1" w:styleId="CharPartNo">
    <w:name w:val="CharPartNo"/>
    <w:basedOn w:val="OPCCharBase"/>
    <w:qFormat/>
  </w:style>
  <w:style w:type="character" w:customStyle="1" w:styleId="CharPartText">
    <w:name w:val="CharPartText"/>
    <w:basedOn w:val="OPCCharBase"/>
    <w:qFormat/>
  </w:style>
  <w:style w:type="character" w:customStyle="1" w:styleId="CharSectno">
    <w:name w:val="CharSectno"/>
    <w:basedOn w:val="OPCCharBase"/>
    <w:qFormat/>
  </w:style>
  <w:style w:type="character" w:customStyle="1" w:styleId="CharSubdNo">
    <w:name w:val="CharSubdNo"/>
    <w:basedOn w:val="OPCCharBase"/>
    <w:uiPriority w:val="1"/>
    <w:qFormat/>
  </w:style>
  <w:style w:type="character" w:customStyle="1" w:styleId="CharSubdText">
    <w:name w:val="CharSubdText"/>
    <w:basedOn w:val="OPCCharBase"/>
    <w:uiPriority w:val="1"/>
    <w:qFormat/>
  </w:style>
  <w:style w:type="paragraph" w:customStyle="1" w:styleId="CTA--">
    <w:name w:val="CTA --"/>
    <w:basedOn w:val="OPCParaBase"/>
    <w:next w:val="Normal"/>
    <w:pPr>
      <w:spacing w:before="60" w:line="240" w:lineRule="atLeast"/>
      <w:ind w:left="142" w:hanging="142"/>
    </w:pPr>
    <w:rPr>
      <w:sz w:val="20"/>
    </w:rPr>
  </w:style>
  <w:style w:type="paragraph" w:customStyle="1" w:styleId="CTA-">
    <w:name w:val="CTA -"/>
    <w:basedOn w:val="OPCParaBase"/>
    <w:pPr>
      <w:spacing w:before="60" w:line="240" w:lineRule="atLeast"/>
      <w:ind w:left="85" w:hanging="85"/>
    </w:pPr>
    <w:rPr>
      <w:sz w:val="20"/>
    </w:rPr>
  </w:style>
  <w:style w:type="paragraph" w:customStyle="1" w:styleId="CTA---">
    <w:name w:val="CTA ---"/>
    <w:basedOn w:val="OPCParaBase"/>
    <w:next w:val="Normal"/>
    <w:pPr>
      <w:spacing w:before="60" w:line="240" w:lineRule="atLeast"/>
      <w:ind w:left="198" w:hanging="198"/>
    </w:pPr>
    <w:rPr>
      <w:sz w:val="20"/>
    </w:rPr>
  </w:style>
  <w:style w:type="paragraph" w:customStyle="1" w:styleId="CTA----">
    <w:name w:val="CTA ----"/>
    <w:basedOn w:val="OPCParaBase"/>
    <w:next w:val="Normal"/>
    <w:pPr>
      <w:spacing w:before="60" w:line="240" w:lineRule="atLeast"/>
      <w:ind w:left="255" w:hanging="255"/>
    </w:pPr>
    <w:rPr>
      <w:sz w:val="20"/>
    </w:rPr>
  </w:style>
  <w:style w:type="paragraph" w:customStyle="1" w:styleId="CTA1a">
    <w:name w:val="CTA 1(a)"/>
    <w:basedOn w:val="OPCParaBase"/>
    <w:pPr>
      <w:tabs>
        <w:tab w:val="right" w:pos="414"/>
      </w:tabs>
      <w:spacing w:before="40" w:line="240" w:lineRule="atLeast"/>
      <w:ind w:left="675" w:hanging="675"/>
    </w:pPr>
    <w:rPr>
      <w:sz w:val="20"/>
    </w:rPr>
  </w:style>
  <w:style w:type="paragraph" w:customStyle="1" w:styleId="CTA1ai">
    <w:name w:val="CTA 1(a)(i)"/>
    <w:basedOn w:val="OPCParaBase"/>
    <w:pPr>
      <w:tabs>
        <w:tab w:val="right" w:pos="1004"/>
      </w:tabs>
      <w:spacing w:before="40" w:line="240" w:lineRule="atLeast"/>
      <w:ind w:left="1253" w:hanging="1253"/>
    </w:pPr>
    <w:rPr>
      <w:sz w:val="20"/>
    </w:rPr>
  </w:style>
  <w:style w:type="paragraph" w:customStyle="1" w:styleId="CTA2a">
    <w:name w:val="CTA 2(a)"/>
    <w:basedOn w:val="OPCParaBase"/>
    <w:pPr>
      <w:tabs>
        <w:tab w:val="right" w:pos="482"/>
      </w:tabs>
      <w:spacing w:before="40" w:line="240" w:lineRule="atLeast"/>
      <w:ind w:left="748" w:hanging="748"/>
    </w:pPr>
    <w:rPr>
      <w:sz w:val="20"/>
    </w:rPr>
  </w:style>
  <w:style w:type="paragraph" w:customStyle="1" w:styleId="CTA2ai">
    <w:name w:val="CTA 2(a)(i)"/>
    <w:basedOn w:val="OPCParaBase"/>
    <w:pPr>
      <w:tabs>
        <w:tab w:val="right" w:pos="1089"/>
      </w:tabs>
      <w:spacing w:before="40" w:line="240" w:lineRule="atLeast"/>
      <w:ind w:left="1327" w:hanging="1327"/>
    </w:pPr>
    <w:rPr>
      <w:sz w:val="20"/>
    </w:rPr>
  </w:style>
  <w:style w:type="paragraph" w:customStyle="1" w:styleId="CTA3a">
    <w:name w:val="CTA 3(a)"/>
    <w:basedOn w:val="OPCParaBase"/>
    <w:pPr>
      <w:tabs>
        <w:tab w:val="right" w:pos="556"/>
      </w:tabs>
      <w:spacing w:before="40" w:line="240" w:lineRule="atLeast"/>
      <w:ind w:left="805" w:hanging="805"/>
    </w:pPr>
    <w:rPr>
      <w:sz w:val="20"/>
    </w:rPr>
  </w:style>
  <w:style w:type="paragraph" w:customStyle="1" w:styleId="CTA3ai">
    <w:name w:val="CTA 3(a)(i)"/>
    <w:basedOn w:val="OPCParaBase"/>
    <w:pPr>
      <w:tabs>
        <w:tab w:val="right" w:pos="1140"/>
      </w:tabs>
      <w:spacing w:before="40" w:line="240" w:lineRule="atLeast"/>
      <w:ind w:left="1361" w:hanging="1361"/>
    </w:pPr>
    <w:rPr>
      <w:sz w:val="20"/>
    </w:rPr>
  </w:style>
  <w:style w:type="paragraph" w:customStyle="1" w:styleId="CTA4a">
    <w:name w:val="CTA 4(a)"/>
    <w:basedOn w:val="OPCParaBase"/>
    <w:pPr>
      <w:tabs>
        <w:tab w:val="right" w:pos="624"/>
      </w:tabs>
      <w:spacing w:before="40" w:line="240" w:lineRule="atLeast"/>
      <w:ind w:left="873" w:hanging="873"/>
    </w:pPr>
    <w:rPr>
      <w:sz w:val="20"/>
    </w:rPr>
  </w:style>
  <w:style w:type="paragraph" w:customStyle="1" w:styleId="CTA4ai">
    <w:name w:val="CTA 4(a)(i)"/>
    <w:basedOn w:val="OPCParaBase"/>
    <w:pPr>
      <w:tabs>
        <w:tab w:val="right" w:pos="1213"/>
      </w:tabs>
      <w:spacing w:before="40" w:line="240" w:lineRule="atLeast"/>
      <w:ind w:left="1452" w:hanging="1452"/>
    </w:pPr>
    <w:rPr>
      <w:sz w:val="20"/>
    </w:rPr>
  </w:style>
  <w:style w:type="paragraph" w:customStyle="1" w:styleId="CTACAPS">
    <w:name w:val="CTA CAPS"/>
    <w:basedOn w:val="OPCParaBase"/>
    <w:pPr>
      <w:spacing w:before="60" w:line="240" w:lineRule="atLeast"/>
    </w:pPr>
    <w:rPr>
      <w:sz w:val="20"/>
    </w:rPr>
  </w:style>
  <w:style w:type="paragraph" w:customStyle="1" w:styleId="CTAright">
    <w:name w:val="CTA right"/>
    <w:basedOn w:val="OPCParaBase"/>
    <w:pPr>
      <w:spacing w:before="60" w:line="240" w:lineRule="auto"/>
      <w:jc w:val="right"/>
    </w:pPr>
    <w:rPr>
      <w:sz w:val="20"/>
    </w:rPr>
  </w:style>
  <w:style w:type="paragraph" w:customStyle="1" w:styleId="subsection">
    <w:name w:val="subsection"/>
    <w:aliases w:val="ss,Subsection"/>
    <w:basedOn w:val="OPCParaBase"/>
    <w:link w:val="subsectionChar"/>
    <w:pPr>
      <w:tabs>
        <w:tab w:val="right" w:pos="1021"/>
      </w:tabs>
      <w:spacing w:before="180" w:line="240" w:lineRule="auto"/>
      <w:ind w:left="1134" w:hanging="1134"/>
    </w:pPr>
  </w:style>
  <w:style w:type="paragraph" w:customStyle="1" w:styleId="Definition">
    <w:name w:val="Definition"/>
    <w:aliases w:val="dd"/>
    <w:basedOn w:val="OPCParaBase"/>
    <w:pPr>
      <w:spacing w:before="180" w:line="240" w:lineRule="auto"/>
      <w:ind w:left="1134"/>
    </w:pPr>
  </w:style>
  <w:style w:type="paragraph" w:customStyle="1" w:styleId="EndNotespara">
    <w:name w:val="EndNotes(para)"/>
    <w:aliases w:val="eta"/>
    <w:basedOn w:val="OPCParaBase"/>
    <w:next w:val="EndNotessubpara"/>
    <w:pPr>
      <w:tabs>
        <w:tab w:val="right" w:pos="1985"/>
      </w:tabs>
      <w:spacing w:before="40" w:line="240" w:lineRule="auto"/>
      <w:ind w:left="828" w:hanging="828"/>
    </w:pPr>
    <w:rPr>
      <w:sz w:val="20"/>
    </w:rPr>
  </w:style>
  <w:style w:type="paragraph" w:customStyle="1" w:styleId="EndNotessubitem">
    <w:name w:val="EndNotes(subitem)"/>
    <w:aliases w:val="ens"/>
    <w:basedOn w:val="OPCParaBas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pPr>
      <w:tabs>
        <w:tab w:val="right" w:pos="1412"/>
      </w:tabs>
      <w:spacing w:before="60" w:line="240" w:lineRule="auto"/>
      <w:ind w:left="1525" w:hanging="1525"/>
    </w:pPr>
    <w:rPr>
      <w:sz w:val="20"/>
    </w:rPr>
  </w:style>
  <w:style w:type="paragraph" w:customStyle="1" w:styleId="Formula">
    <w:name w:val="Formula"/>
    <w:basedOn w:val="OPCParaBase"/>
    <w:pPr>
      <w:spacing w:line="240" w:lineRule="auto"/>
      <w:ind w:left="1134"/>
    </w:pPr>
    <w:rPr>
      <w:sz w:val="20"/>
    </w:rPr>
  </w:style>
  <w:style w:type="paragraph" w:styleId="Header">
    <w:name w:val="header"/>
    <w:basedOn w:val="OPCParaBase"/>
    <w:link w:val="HeaderChar"/>
    <w:unhideWhenUse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Pr>
      <w:rFonts w:eastAsia="Times New Roman" w:cs="Times New Roman"/>
      <w:sz w:val="16"/>
      <w:lang w:eastAsia="en-AU"/>
    </w:rPr>
  </w:style>
  <w:style w:type="paragraph" w:customStyle="1" w:styleId="House">
    <w:name w:val="House"/>
    <w:basedOn w:val="OPCParaBase"/>
    <w:pPr>
      <w:spacing w:line="240" w:lineRule="auto"/>
    </w:pPr>
    <w:rPr>
      <w:sz w:val="28"/>
    </w:rPr>
  </w:style>
  <w:style w:type="paragraph" w:customStyle="1" w:styleId="Item">
    <w:name w:val="Item"/>
    <w:aliases w:val="i"/>
    <w:basedOn w:val="OPCParaBase"/>
    <w:next w:val="ItemHead"/>
    <w:pPr>
      <w:keepLines/>
      <w:spacing w:before="80" w:line="240" w:lineRule="auto"/>
      <w:ind w:left="709"/>
    </w:pPr>
  </w:style>
  <w:style w:type="paragraph" w:customStyle="1" w:styleId="ItemHead">
    <w:name w:val="ItemHead"/>
    <w:aliases w:val="ih"/>
    <w:basedOn w:val="OPCParaBase"/>
    <w:next w:val="Item"/>
    <w:pPr>
      <w:keepNext/>
      <w:keepLines/>
      <w:spacing w:before="220" w:line="240" w:lineRule="auto"/>
      <w:ind w:left="709" w:hanging="709"/>
    </w:pPr>
    <w:rPr>
      <w:rFonts w:ascii="Arial" w:hAnsi="Arial"/>
      <w:b/>
      <w:kern w:val="28"/>
      <w:sz w:val="24"/>
    </w:rPr>
  </w:style>
  <w:style w:type="paragraph" w:customStyle="1" w:styleId="LongT">
    <w:name w:val="LongT"/>
    <w:basedOn w:val="OPCParaBase"/>
    <w:pPr>
      <w:spacing w:line="240" w:lineRule="auto"/>
    </w:pPr>
    <w:rPr>
      <w:b/>
      <w:sz w:val="32"/>
    </w:rPr>
  </w:style>
  <w:style w:type="paragraph" w:customStyle="1" w:styleId="notedraft">
    <w:name w:val="note(draft)"/>
    <w:aliases w:val="nd"/>
    <w:basedOn w:val="OPCParaBase"/>
    <w:pPr>
      <w:spacing w:before="240" w:line="240" w:lineRule="auto"/>
      <w:ind w:left="284" w:hanging="284"/>
    </w:pPr>
    <w:rPr>
      <w:i/>
      <w:sz w:val="24"/>
    </w:rPr>
  </w:style>
  <w:style w:type="paragraph" w:customStyle="1" w:styleId="notemargin">
    <w:name w:val="note(margin)"/>
    <w:aliases w:val="nm"/>
    <w:basedOn w:val="OPCParaBase"/>
    <w:pPr>
      <w:tabs>
        <w:tab w:val="left" w:pos="709"/>
      </w:tabs>
      <w:spacing w:before="122" w:line="198" w:lineRule="exact"/>
      <w:ind w:left="709" w:hanging="709"/>
    </w:pPr>
    <w:rPr>
      <w:sz w:val="18"/>
    </w:rPr>
  </w:style>
  <w:style w:type="paragraph" w:customStyle="1" w:styleId="noteToPara">
    <w:name w:val="noteToPara"/>
    <w:aliases w:val="ntp"/>
    <w:basedOn w:val="OPCParaBase"/>
    <w:pPr>
      <w:spacing w:before="122" w:line="198" w:lineRule="exact"/>
      <w:ind w:left="2353" w:hanging="709"/>
    </w:pPr>
    <w:rPr>
      <w:sz w:val="18"/>
    </w:rPr>
  </w:style>
  <w:style w:type="paragraph" w:customStyle="1" w:styleId="noteParlAmend">
    <w:name w:val="note(ParlAmend)"/>
    <w:aliases w:val="npp"/>
    <w:basedOn w:val="OPCParaBase"/>
    <w:next w:val="ParlAmend"/>
    <w:pPr>
      <w:spacing w:line="240" w:lineRule="auto"/>
      <w:jc w:val="right"/>
    </w:pPr>
    <w:rPr>
      <w:rFonts w:ascii="Arial" w:hAnsi="Arial"/>
      <w:b/>
      <w:i/>
    </w:rPr>
  </w:style>
  <w:style w:type="paragraph" w:customStyle="1" w:styleId="notetext">
    <w:name w:val="note(text)"/>
    <w:aliases w:val="n"/>
    <w:basedOn w:val="OPCParaBase"/>
    <w:link w:val="notetextChar"/>
    <w:pPr>
      <w:spacing w:before="122" w:line="198" w:lineRule="exact"/>
      <w:ind w:left="1985" w:hanging="851"/>
    </w:pPr>
    <w:rPr>
      <w:sz w:val="18"/>
    </w:rPr>
  </w:style>
  <w:style w:type="paragraph" w:customStyle="1" w:styleId="Page1">
    <w:name w:val="Page1"/>
    <w:basedOn w:val="OPCParaBase"/>
    <w:pPr>
      <w:spacing w:before="5600" w:line="240" w:lineRule="auto"/>
    </w:pPr>
    <w:rPr>
      <w:b/>
      <w:sz w:val="32"/>
    </w:rPr>
  </w:style>
  <w:style w:type="paragraph" w:customStyle="1" w:styleId="PageBreak">
    <w:name w:val="PageBreak"/>
    <w:aliases w:val="pb"/>
    <w:basedOn w:val="OPCParaBase"/>
    <w:pPr>
      <w:spacing w:line="240" w:lineRule="auto"/>
    </w:pPr>
    <w:rPr>
      <w:sz w:val="20"/>
    </w:rPr>
  </w:style>
  <w:style w:type="paragraph" w:customStyle="1" w:styleId="paragraphsub">
    <w:name w:val="paragraph(sub)"/>
    <w:aliases w:val="aa"/>
    <w:basedOn w:val="OPCParaBase"/>
    <w:pPr>
      <w:tabs>
        <w:tab w:val="right" w:pos="1985"/>
      </w:tabs>
      <w:spacing w:before="40" w:line="240" w:lineRule="auto"/>
      <w:ind w:left="2098" w:hanging="2098"/>
    </w:pPr>
  </w:style>
  <w:style w:type="paragraph" w:customStyle="1" w:styleId="paragraphsub-sub">
    <w:name w:val="paragraph(sub-sub)"/>
    <w:aliases w:val="aaa"/>
    <w:basedOn w:val="OPCParaBase"/>
    <w:pPr>
      <w:tabs>
        <w:tab w:val="right" w:pos="2722"/>
      </w:tabs>
      <w:spacing w:before="40" w:line="240" w:lineRule="auto"/>
      <w:ind w:left="2835" w:hanging="2835"/>
    </w:pPr>
  </w:style>
  <w:style w:type="paragraph" w:customStyle="1" w:styleId="paragraph">
    <w:name w:val="paragraph"/>
    <w:aliases w:val="a"/>
    <w:basedOn w:val="OPCParaBase"/>
    <w:pPr>
      <w:tabs>
        <w:tab w:val="right" w:pos="1531"/>
      </w:tabs>
      <w:spacing w:before="40" w:line="240" w:lineRule="auto"/>
      <w:ind w:left="1644" w:hanging="1644"/>
    </w:pPr>
  </w:style>
  <w:style w:type="paragraph" w:customStyle="1" w:styleId="ParlAmend">
    <w:name w:val="ParlAmend"/>
    <w:aliases w:val="pp"/>
    <w:basedOn w:val="OPCParaBase"/>
    <w:pPr>
      <w:spacing w:before="240" w:line="240" w:lineRule="atLeast"/>
      <w:ind w:hanging="567"/>
    </w:pPr>
    <w:rPr>
      <w:sz w:val="24"/>
    </w:rPr>
  </w:style>
  <w:style w:type="paragraph" w:customStyle="1" w:styleId="Penalty">
    <w:name w:val="Penalty"/>
    <w:basedOn w:val="OPCParaBase"/>
    <w:pPr>
      <w:tabs>
        <w:tab w:val="left" w:pos="2977"/>
      </w:tabs>
      <w:spacing w:before="180" w:line="240" w:lineRule="auto"/>
      <w:ind w:left="1985" w:hanging="851"/>
    </w:pPr>
  </w:style>
  <w:style w:type="paragraph" w:customStyle="1" w:styleId="Portfolio">
    <w:name w:val="Portfolio"/>
    <w:basedOn w:val="OPCParaBase"/>
    <w:pPr>
      <w:spacing w:line="240" w:lineRule="auto"/>
    </w:pPr>
    <w:rPr>
      <w:i/>
      <w:sz w:val="20"/>
    </w:rPr>
  </w:style>
  <w:style w:type="paragraph" w:customStyle="1" w:styleId="Preamble">
    <w:name w:val="Preamble"/>
    <w:basedOn w:val="OPCParaBase"/>
    <w:next w:val="Normal"/>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pPr>
      <w:spacing w:line="240" w:lineRule="auto"/>
    </w:pPr>
    <w:rPr>
      <w:i/>
      <w:sz w:val="20"/>
    </w:rPr>
  </w:style>
  <w:style w:type="paragraph" w:customStyle="1" w:styleId="Session">
    <w:name w:val="Session"/>
    <w:basedOn w:val="OPCParaBase"/>
    <w:pPr>
      <w:spacing w:line="240" w:lineRule="auto"/>
    </w:pPr>
    <w:rPr>
      <w:sz w:val="28"/>
    </w:rPr>
  </w:style>
  <w:style w:type="paragraph" w:customStyle="1" w:styleId="Sponsor">
    <w:name w:val="Sponsor"/>
    <w:basedOn w:val="OPCParaBase"/>
    <w:pPr>
      <w:spacing w:line="240" w:lineRule="auto"/>
    </w:pPr>
    <w:rPr>
      <w:i/>
    </w:rPr>
  </w:style>
  <w:style w:type="paragraph" w:customStyle="1" w:styleId="Subitem">
    <w:name w:val="Subitem"/>
    <w:aliases w:val="iss"/>
    <w:basedOn w:val="OPCParaBase"/>
    <w:pPr>
      <w:spacing w:before="180" w:line="240" w:lineRule="auto"/>
      <w:ind w:left="709" w:hanging="709"/>
    </w:pPr>
  </w:style>
  <w:style w:type="paragraph" w:customStyle="1" w:styleId="SubitemHead">
    <w:name w:val="SubitemHead"/>
    <w:aliases w:val="issh"/>
    <w:basedOn w:val="OPCParaBas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pPr>
      <w:spacing w:before="40" w:line="240" w:lineRule="auto"/>
      <w:ind w:left="1134"/>
    </w:pPr>
  </w:style>
  <w:style w:type="paragraph" w:customStyle="1" w:styleId="SubsectionHead">
    <w:name w:val="SubsectionHead"/>
    <w:aliases w:val="ssh"/>
    <w:basedOn w:val="OPCParaBase"/>
    <w:next w:val="subsection"/>
    <w:pPr>
      <w:keepNext/>
      <w:keepLines/>
      <w:spacing w:before="240" w:line="240" w:lineRule="auto"/>
      <w:ind w:left="1134"/>
    </w:pPr>
    <w:rPr>
      <w:i/>
    </w:rPr>
  </w:style>
  <w:style w:type="paragraph" w:customStyle="1" w:styleId="Tablea">
    <w:name w:val="Table(a)"/>
    <w:aliases w:val="ta"/>
    <w:basedOn w:val="OPCParaBase"/>
    <w:pPr>
      <w:spacing w:before="60" w:line="240" w:lineRule="auto"/>
      <w:ind w:left="284" w:hanging="284"/>
    </w:pPr>
    <w:rPr>
      <w:sz w:val="20"/>
    </w:rPr>
  </w:style>
  <w:style w:type="paragraph" w:customStyle="1" w:styleId="TableAA">
    <w:name w:val="Table(AA)"/>
    <w:aliases w:val="taaa"/>
    <w:basedOn w:val="OPCParaBase"/>
    <w:pPr>
      <w:tabs>
        <w:tab w:val="left" w:pos="-6543"/>
        <w:tab w:val="left" w:pos="-6260"/>
      </w:tabs>
      <w:spacing w:line="240" w:lineRule="exact"/>
      <w:ind w:left="1055" w:hanging="284"/>
    </w:pPr>
    <w:rPr>
      <w:sz w:val="20"/>
    </w:rPr>
  </w:style>
  <w:style w:type="paragraph" w:customStyle="1" w:styleId="Tablei">
    <w:name w:val="Table(i)"/>
    <w:aliases w:val="taa"/>
    <w:basedOn w:val="OPCParaBas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pPr>
      <w:spacing w:before="60" w:line="240" w:lineRule="atLeast"/>
    </w:pPr>
    <w:rPr>
      <w:sz w:val="20"/>
    </w:rPr>
  </w:style>
  <w:style w:type="paragraph" w:customStyle="1" w:styleId="TLPBoxTextnote">
    <w:name w:val="TLPBoxText(note"/>
    <w:aliases w:val="right)"/>
    <w:basedOn w:val="OPCParaBas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pPr>
      <w:spacing w:before="122" w:line="198" w:lineRule="exact"/>
      <w:ind w:left="1985" w:hanging="851"/>
      <w:jc w:val="right"/>
    </w:pPr>
    <w:rPr>
      <w:sz w:val="18"/>
    </w:rPr>
  </w:style>
  <w:style w:type="paragraph" w:customStyle="1" w:styleId="TLPTableBullet">
    <w:name w:val="TLPTableBullet"/>
    <w:aliases w:val="ttb"/>
    <w:basedOn w:val="OPCParaBase"/>
    <w:pPr>
      <w:spacing w:line="240" w:lineRule="exact"/>
      <w:ind w:left="284" w:hanging="284"/>
    </w:pPr>
    <w:rPr>
      <w:sz w:val="20"/>
    </w:rPr>
  </w:style>
  <w:style w:type="paragraph" w:styleId="TOC1">
    <w:name w:val="toc 1"/>
    <w:basedOn w:val="OPCParaBase"/>
    <w:next w:val="Normal"/>
    <w:uiPriority w:val="39"/>
    <w:unhideWhenUse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pPr>
      <w:keepLines/>
      <w:spacing w:before="240" w:after="120" w:line="240" w:lineRule="auto"/>
      <w:ind w:left="794"/>
    </w:pPr>
    <w:rPr>
      <w:b/>
      <w:kern w:val="28"/>
      <w:sz w:val="20"/>
    </w:rPr>
  </w:style>
  <w:style w:type="paragraph" w:customStyle="1" w:styleId="TofSectsHeading">
    <w:name w:val="TofSects(Heading)"/>
    <w:basedOn w:val="OPCParaBase"/>
    <w:pPr>
      <w:spacing w:before="240" w:after="120" w:line="240" w:lineRule="auto"/>
    </w:pPr>
    <w:rPr>
      <w:b/>
      <w:sz w:val="24"/>
    </w:rPr>
  </w:style>
  <w:style w:type="paragraph" w:customStyle="1" w:styleId="TofSectsSection">
    <w:name w:val="TofSects(Section)"/>
    <w:basedOn w:val="OPCParaBase"/>
    <w:pPr>
      <w:keepLines/>
      <w:spacing w:before="40" w:line="240" w:lineRule="auto"/>
      <w:ind w:left="1588" w:hanging="794"/>
    </w:pPr>
    <w:rPr>
      <w:kern w:val="28"/>
      <w:sz w:val="18"/>
    </w:rPr>
  </w:style>
  <w:style w:type="paragraph" w:customStyle="1" w:styleId="TofSectsSubdiv">
    <w:name w:val="TofSects(Subdiv)"/>
    <w:basedOn w:val="OPCParaBase"/>
    <w:pPr>
      <w:keepLines/>
      <w:spacing w:before="80" w:line="240" w:lineRule="auto"/>
      <w:ind w:left="1588" w:hanging="794"/>
    </w:pPr>
    <w:rPr>
      <w:kern w:val="28"/>
    </w:rPr>
  </w:style>
  <w:style w:type="paragraph" w:customStyle="1" w:styleId="WRStyle">
    <w:name w:val="WR Style"/>
    <w:aliases w:val="WR"/>
    <w:basedOn w:val="OPCParaBase"/>
    <w:pPr>
      <w:spacing w:before="240" w:line="240" w:lineRule="auto"/>
      <w:ind w:left="284" w:hanging="284"/>
    </w:pPr>
    <w:rPr>
      <w:b/>
      <w:i/>
      <w:kern w:val="28"/>
      <w:sz w:val="24"/>
    </w:rPr>
  </w:style>
  <w:style w:type="paragraph" w:customStyle="1" w:styleId="notepara">
    <w:name w:val="note(para)"/>
    <w:aliases w:val="na"/>
    <w:basedOn w:val="OPCParaBase"/>
    <w:pPr>
      <w:spacing w:before="40" w:line="198" w:lineRule="exact"/>
      <w:ind w:left="2354" w:hanging="369"/>
    </w:pPr>
    <w:rPr>
      <w:sz w:val="18"/>
    </w:rPr>
  </w:style>
  <w:style w:type="paragraph" w:styleId="Footer">
    <w:name w:val="footer"/>
    <w:link w:val="FooterChar"/>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Pr>
      <w:rFonts w:eastAsia="Times New Roman" w:cs="Times New Roman"/>
      <w:sz w:val="22"/>
      <w:szCs w:val="24"/>
      <w:lang w:eastAsia="en-AU"/>
    </w:rPr>
  </w:style>
  <w:style w:type="character" w:styleId="LineNumber">
    <w:name w:val="line number"/>
    <w:basedOn w:val="OPCCharBase"/>
    <w:uiPriority w:val="99"/>
    <w:semiHidden/>
    <w:unhideWhenUsed/>
    <w:rPr>
      <w:sz w:val="16"/>
    </w:rPr>
  </w:style>
  <w:style w:type="table" w:customStyle="1" w:styleId="CFlag">
    <w:name w:val="CFlag"/>
    <w:basedOn w:val="TableNormal"/>
    <w:uiPriority w:val="99"/>
    <w:rPr>
      <w:rFonts w:eastAsia="Times New Roman" w:cs="Times New Roman"/>
      <w:lang w:eastAsia="en-AU"/>
    </w:rPr>
    <w:tbl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Pr>
      <w:b/>
      <w:sz w:val="28"/>
      <w:szCs w:val="32"/>
    </w:rPr>
  </w:style>
  <w:style w:type="paragraph" w:customStyle="1" w:styleId="LegislationMadeUnder">
    <w:name w:val="LegislationMadeUnder"/>
    <w:basedOn w:val="OPCParaBase"/>
    <w:next w:val="Normal"/>
    <w:rPr>
      <w:i/>
      <w:sz w:val="32"/>
      <w:szCs w:val="32"/>
    </w:rPr>
  </w:style>
  <w:style w:type="paragraph" w:customStyle="1" w:styleId="SignCoverPageEnd">
    <w:name w:val="SignCoverPageEnd"/>
    <w:basedOn w:val="OPCParaBase"/>
    <w:next w:val="Normal"/>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pPr>
      <w:pBdr>
        <w:top w:val="single" w:sz="4" w:space="1" w:color="auto"/>
      </w:pBdr>
      <w:spacing w:before="360"/>
      <w:ind w:right="397"/>
      <w:jc w:val="both"/>
    </w:pPr>
  </w:style>
  <w:style w:type="paragraph" w:customStyle="1" w:styleId="NotesHeading1">
    <w:name w:val="NotesHeading 1"/>
    <w:basedOn w:val="OPCParaBase"/>
    <w:next w:val="Normal"/>
    <w:pPr>
      <w:outlineLvl w:val="0"/>
    </w:pPr>
    <w:rPr>
      <w:b/>
      <w:sz w:val="28"/>
      <w:szCs w:val="28"/>
    </w:rPr>
  </w:style>
  <w:style w:type="paragraph" w:customStyle="1" w:styleId="NotesHeading2">
    <w:name w:val="NotesHeading 2"/>
    <w:basedOn w:val="OPCParaBase"/>
    <w:next w:val="Normal"/>
    <w:rPr>
      <w:b/>
      <w:sz w:val="28"/>
      <w:szCs w:val="28"/>
    </w:rPr>
  </w:style>
  <w:style w:type="paragraph" w:customStyle="1" w:styleId="CompiledActNo">
    <w:name w:val="CompiledActNo"/>
    <w:basedOn w:val="OPCParaBase"/>
    <w:next w:val="Normal"/>
    <w:rPr>
      <w:b/>
      <w:sz w:val="24"/>
      <w:szCs w:val="24"/>
    </w:rPr>
  </w:style>
  <w:style w:type="paragraph" w:customStyle="1" w:styleId="ENotesText">
    <w:name w:val="ENotesText"/>
    <w:aliases w:val="Ent"/>
    <w:basedOn w:val="OPCParaBase"/>
    <w:next w:val="Normal"/>
    <w:pPr>
      <w:spacing w:before="120"/>
    </w:pPr>
  </w:style>
  <w:style w:type="paragraph" w:customStyle="1" w:styleId="CompiledMadeUnder">
    <w:name w:val="CompiledMadeUnder"/>
    <w:basedOn w:val="OPCParaBase"/>
    <w:next w:val="Normal"/>
    <w:rPr>
      <w:i/>
      <w:sz w:val="24"/>
      <w:szCs w:val="24"/>
    </w:rPr>
  </w:style>
  <w:style w:type="paragraph" w:customStyle="1" w:styleId="Paragraphsub-sub-sub">
    <w:name w:val="Paragraph(sub-sub-sub)"/>
    <w:aliases w:val="aaaa"/>
    <w:basedOn w:val="OPCParaBase"/>
    <w:pPr>
      <w:tabs>
        <w:tab w:val="right" w:pos="3402"/>
      </w:tabs>
      <w:spacing w:before="40" w:line="240" w:lineRule="auto"/>
      <w:ind w:left="3402" w:hanging="3402"/>
    </w:pPr>
  </w:style>
  <w:style w:type="paragraph" w:customStyle="1" w:styleId="TableTextEndNotes">
    <w:name w:val="TableTextEndNotes"/>
    <w:aliases w:val="Tten"/>
    <w:basedOn w:val="Normal"/>
    <w:pPr>
      <w:spacing w:before="60" w:line="240" w:lineRule="auto"/>
    </w:pPr>
    <w:rPr>
      <w:rFonts w:cs="Arial"/>
      <w:sz w:val="20"/>
      <w:szCs w:val="22"/>
    </w:rPr>
  </w:style>
  <w:style w:type="paragraph" w:customStyle="1" w:styleId="NoteToSubpara">
    <w:name w:val="NoteToSubpara"/>
    <w:aliases w:val="nts"/>
    <w:basedOn w:val="OPCParaBase"/>
    <w:pPr>
      <w:spacing w:before="40" w:line="198" w:lineRule="exact"/>
      <w:ind w:left="2835" w:hanging="709"/>
    </w:pPr>
    <w:rPr>
      <w:sz w:val="18"/>
    </w:rPr>
  </w:style>
  <w:style w:type="paragraph" w:customStyle="1" w:styleId="ENoteTableHeading">
    <w:name w:val="ENoteTableHeading"/>
    <w:aliases w:val="enth"/>
    <w:basedOn w:val="OPCParaBase"/>
    <w:pPr>
      <w:keepNext/>
      <w:spacing w:before="60" w:line="240" w:lineRule="atLeast"/>
    </w:pPr>
    <w:rPr>
      <w:rFonts w:ascii="Arial" w:hAnsi="Arial"/>
      <w:b/>
      <w:sz w:val="16"/>
    </w:rPr>
  </w:style>
  <w:style w:type="paragraph" w:customStyle="1" w:styleId="ENoteTTi">
    <w:name w:val="ENoteTTi"/>
    <w:aliases w:val="entti"/>
    <w:basedOn w:val="OPCParaBase"/>
    <w:pPr>
      <w:keepNext/>
      <w:spacing w:before="60" w:line="240" w:lineRule="atLeast"/>
      <w:ind w:left="170"/>
    </w:pPr>
    <w:rPr>
      <w:sz w:val="16"/>
    </w:rPr>
  </w:style>
  <w:style w:type="paragraph" w:customStyle="1" w:styleId="ENotesHeading1">
    <w:name w:val="ENotesHeading 1"/>
    <w:aliases w:val="Enh1"/>
    <w:basedOn w:val="OPCParaBase"/>
    <w:next w:val="Normal"/>
    <w:pPr>
      <w:spacing w:before="120"/>
      <w:outlineLvl w:val="1"/>
    </w:pPr>
    <w:rPr>
      <w:b/>
      <w:sz w:val="28"/>
      <w:szCs w:val="28"/>
    </w:rPr>
  </w:style>
  <w:style w:type="paragraph" w:customStyle="1" w:styleId="ENotesHeading2">
    <w:name w:val="ENotesHeading 2"/>
    <w:aliases w:val="Enh2"/>
    <w:basedOn w:val="OPCParaBase"/>
    <w:next w:val="Normal"/>
    <w:pPr>
      <w:spacing w:before="120" w:after="120"/>
      <w:outlineLvl w:val="2"/>
    </w:pPr>
    <w:rPr>
      <w:b/>
      <w:sz w:val="24"/>
      <w:szCs w:val="28"/>
    </w:rPr>
  </w:style>
  <w:style w:type="paragraph" w:customStyle="1" w:styleId="ENoteTTIndentHeading">
    <w:name w:val="ENoteTTIndentHeading"/>
    <w:aliases w:val="enTTHi"/>
    <w:basedOn w:val="OPCParaBase"/>
    <w:pPr>
      <w:keepNext/>
      <w:spacing w:before="60" w:line="240" w:lineRule="atLeast"/>
      <w:ind w:left="170"/>
    </w:pPr>
    <w:rPr>
      <w:rFonts w:cs="Arial"/>
      <w:b/>
      <w:sz w:val="16"/>
      <w:szCs w:val="16"/>
    </w:rPr>
  </w:style>
  <w:style w:type="paragraph" w:customStyle="1" w:styleId="ENoteTableText">
    <w:name w:val="ENoteTableText"/>
    <w:aliases w:val="entt"/>
    <w:basedOn w:val="OPCParaBase"/>
    <w:pPr>
      <w:spacing w:before="60" w:line="240" w:lineRule="atLeast"/>
    </w:pPr>
    <w:rPr>
      <w:sz w:val="16"/>
    </w:rPr>
  </w:style>
  <w:style w:type="paragraph" w:customStyle="1" w:styleId="MadeunderText">
    <w:name w:val="MadeunderText"/>
    <w:basedOn w:val="OPCParaBase"/>
    <w:next w:val="CompiledMadeUnder"/>
    <w:pPr>
      <w:spacing w:before="240"/>
    </w:pPr>
    <w:rPr>
      <w:sz w:val="24"/>
      <w:szCs w:val="24"/>
    </w:rPr>
  </w:style>
  <w:style w:type="paragraph" w:customStyle="1" w:styleId="ENotesHeading3">
    <w:name w:val="ENotesHeading 3"/>
    <w:aliases w:val="Enh3"/>
    <w:basedOn w:val="OPCParaBase"/>
    <w:next w:val="Normal"/>
    <w:pPr>
      <w:keepNext/>
      <w:spacing w:before="120" w:line="240" w:lineRule="auto"/>
      <w:outlineLvl w:val="4"/>
    </w:pPr>
    <w:rPr>
      <w:b/>
      <w:szCs w:val="24"/>
    </w:rPr>
  </w:style>
  <w:style w:type="paragraph" w:customStyle="1" w:styleId="SubPartCASA">
    <w:name w:val="SubPart(CASA)"/>
    <w:aliases w:val="csp"/>
    <w:basedOn w:val="OPCParaBase"/>
    <w:next w:val="ActHead3"/>
    <w:pPr>
      <w:keepNext/>
      <w:keepLines/>
      <w:spacing w:before="280"/>
      <w:outlineLvl w:val="1"/>
    </w:pPr>
    <w:rPr>
      <w:b/>
      <w:kern w:val="28"/>
      <w:sz w:val="32"/>
    </w:rPr>
  </w:style>
  <w:style w:type="character" w:customStyle="1" w:styleId="CharSubPartTextCASA">
    <w:name w:val="CharSubPartText(CASA)"/>
    <w:basedOn w:val="OPCCharBase"/>
    <w:uiPriority w:val="1"/>
  </w:style>
  <w:style w:type="character" w:customStyle="1" w:styleId="CharSubPartNoCASA">
    <w:name w:val="CharSubPartNo(CASA)"/>
    <w:basedOn w:val="OPCCharBase"/>
    <w:uiPriority w:val="1"/>
  </w:style>
  <w:style w:type="paragraph" w:customStyle="1" w:styleId="ENoteTTIndentHeadingSub">
    <w:name w:val="ENoteTTIndentHeadingSub"/>
    <w:aliases w:val="enTTHis"/>
    <w:basedOn w:val="OPCParaBase"/>
    <w:pPr>
      <w:keepNext/>
      <w:spacing w:before="60" w:line="240" w:lineRule="atLeast"/>
      <w:ind w:left="340"/>
    </w:pPr>
    <w:rPr>
      <w:b/>
      <w:sz w:val="16"/>
    </w:rPr>
  </w:style>
  <w:style w:type="paragraph" w:customStyle="1" w:styleId="ENoteTTiSub">
    <w:name w:val="ENoteTTiSub"/>
    <w:aliases w:val="enttis"/>
    <w:basedOn w:val="OPCParaBase"/>
    <w:pPr>
      <w:keepNext/>
      <w:spacing w:before="60" w:line="240" w:lineRule="atLeast"/>
      <w:ind w:left="340"/>
    </w:pPr>
    <w:rPr>
      <w:sz w:val="16"/>
    </w:rPr>
  </w:style>
  <w:style w:type="paragraph" w:customStyle="1" w:styleId="SubDivisionMigration">
    <w:name w:val="SubDivisionMigration"/>
    <w:aliases w:val="sdm"/>
    <w:basedOn w:val="OPCParaBas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pPr>
      <w:keepNext/>
      <w:keepLines/>
      <w:spacing w:before="240" w:line="240" w:lineRule="auto"/>
      <w:ind w:left="1134" w:hanging="1134"/>
    </w:pPr>
    <w:rPr>
      <w:b/>
      <w:sz w:val="28"/>
    </w:rPr>
  </w:style>
  <w:style w:type="paragraph" w:customStyle="1" w:styleId="FreeForm">
    <w:name w:val="FreeForm"/>
    <w:rPr>
      <w:rFonts w:ascii="Arial" w:hAnsi="Arial"/>
      <w:sz w:val="22"/>
    </w:rPr>
  </w:style>
  <w:style w:type="paragraph" w:customStyle="1" w:styleId="SOText">
    <w:name w:val="SO Text"/>
    <w:aliases w:val="sot"/>
    <w:link w:val="SOTextChar"/>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Pr>
      <w:sz w:val="22"/>
    </w:rPr>
  </w:style>
  <w:style w:type="paragraph" w:customStyle="1" w:styleId="SOTextNote">
    <w:name w:val="SO TextNote"/>
    <w:aliases w:val="sont"/>
    <w:basedOn w:val="SOText"/>
    <w:qFormat/>
    <w:pPr>
      <w:spacing w:before="122" w:line="198" w:lineRule="exact"/>
      <w:ind w:left="1843" w:hanging="709"/>
    </w:pPr>
    <w:rPr>
      <w:sz w:val="18"/>
    </w:rPr>
  </w:style>
  <w:style w:type="paragraph" w:customStyle="1" w:styleId="SOPara">
    <w:name w:val="SO Para"/>
    <w:aliases w:val="soa"/>
    <w:basedOn w:val="SOText"/>
    <w:link w:val="SOParaChar"/>
    <w:qFormat/>
    <w:pPr>
      <w:tabs>
        <w:tab w:val="right" w:pos="1786"/>
      </w:tabs>
      <w:spacing w:before="40"/>
      <w:ind w:left="2070" w:hanging="936"/>
    </w:pPr>
  </w:style>
  <w:style w:type="character" w:customStyle="1" w:styleId="SOParaChar">
    <w:name w:val="SO Para Char"/>
    <w:aliases w:val="soa Char"/>
    <w:basedOn w:val="DefaultParagraphFont"/>
    <w:link w:val="SOPara"/>
    <w:rPr>
      <w:sz w:val="22"/>
    </w:rPr>
  </w:style>
  <w:style w:type="paragraph" w:customStyle="1" w:styleId="FileName">
    <w:name w:val="FileName"/>
    <w:basedOn w:val="Normal"/>
  </w:style>
  <w:style w:type="paragraph" w:customStyle="1" w:styleId="TableHeading">
    <w:name w:val="TableHeading"/>
    <w:aliases w:val="th"/>
    <w:basedOn w:val="OPCParaBase"/>
    <w:next w:val="Tabletext"/>
    <w:pPr>
      <w:keepNext/>
      <w:spacing w:before="60" w:line="240" w:lineRule="atLeast"/>
    </w:pPr>
    <w:rPr>
      <w:b/>
      <w:sz w:val="20"/>
    </w:rPr>
  </w:style>
  <w:style w:type="paragraph" w:customStyle="1" w:styleId="SOHeadBold">
    <w:name w:val="SO HeadBold"/>
    <w:aliases w:val="sohb"/>
    <w:basedOn w:val="SOText"/>
    <w:next w:val="SOText"/>
    <w:link w:val="SOHeadBoldChar"/>
    <w:qFormat/>
    <w:rPr>
      <w:b/>
    </w:rPr>
  </w:style>
  <w:style w:type="character" w:customStyle="1" w:styleId="SOHeadBoldChar">
    <w:name w:val="SO HeadBold Char"/>
    <w:aliases w:val="sohb Char"/>
    <w:basedOn w:val="DefaultParagraphFont"/>
    <w:link w:val="SOHeadBold"/>
    <w:rPr>
      <w:b/>
      <w:sz w:val="22"/>
    </w:rPr>
  </w:style>
  <w:style w:type="paragraph" w:customStyle="1" w:styleId="SOHeadItalic">
    <w:name w:val="SO HeadItalic"/>
    <w:aliases w:val="sohi"/>
    <w:basedOn w:val="SOText"/>
    <w:next w:val="SOText"/>
    <w:link w:val="SOHeadItalicChar"/>
    <w:qFormat/>
    <w:rPr>
      <w:i/>
    </w:rPr>
  </w:style>
  <w:style w:type="character" w:customStyle="1" w:styleId="SOHeadItalicChar">
    <w:name w:val="SO HeadItalic Char"/>
    <w:aliases w:val="sohi Char"/>
    <w:basedOn w:val="DefaultParagraphFont"/>
    <w:link w:val="SOHeadItalic"/>
    <w:rPr>
      <w:i/>
      <w:sz w:val="22"/>
    </w:rPr>
  </w:style>
  <w:style w:type="paragraph" w:customStyle="1" w:styleId="SOBullet">
    <w:name w:val="SO Bullet"/>
    <w:aliases w:val="sotb"/>
    <w:basedOn w:val="SOText"/>
    <w:link w:val="SOBulletChar"/>
    <w:qFormat/>
    <w:pPr>
      <w:ind w:left="1559" w:hanging="425"/>
    </w:pPr>
  </w:style>
  <w:style w:type="character" w:customStyle="1" w:styleId="SOBulletChar">
    <w:name w:val="SO Bullet Char"/>
    <w:aliases w:val="sotb Char"/>
    <w:basedOn w:val="DefaultParagraphFont"/>
    <w:link w:val="SOBullet"/>
    <w:rPr>
      <w:sz w:val="22"/>
    </w:rPr>
  </w:style>
  <w:style w:type="paragraph" w:customStyle="1" w:styleId="SOBulletNote">
    <w:name w:val="SO BulletNote"/>
    <w:aliases w:val="sonb"/>
    <w:basedOn w:val="SOTextNote"/>
    <w:link w:val="SOBulletNoteChar"/>
    <w:qFormat/>
    <w:pPr>
      <w:tabs>
        <w:tab w:val="left" w:pos="1560"/>
      </w:tabs>
      <w:ind w:left="2268" w:hanging="1134"/>
    </w:pPr>
  </w:style>
  <w:style w:type="character" w:customStyle="1" w:styleId="SOBulletNoteChar">
    <w:name w:val="SO BulletNote Char"/>
    <w:aliases w:val="sonb Char"/>
    <w:basedOn w:val="DefaultParagraphFont"/>
    <w:link w:val="SOBulletNote"/>
    <w:rPr>
      <w:sz w:val="18"/>
    </w:rPr>
  </w:style>
  <w:style w:type="character" w:customStyle="1" w:styleId="subsectionChar">
    <w:name w:val="subsection Char"/>
    <w:aliases w:val="ss Char"/>
    <w:basedOn w:val="DefaultParagraphFont"/>
    <w:link w:val="subsection"/>
    <w:locked/>
    <w:rPr>
      <w:rFonts w:eastAsia="Times New Roman" w:cs="Times New Roman"/>
      <w:sz w:val="22"/>
      <w:lang w:eastAsia="en-AU"/>
    </w:rPr>
  </w:style>
  <w:style w:type="character" w:customStyle="1" w:styleId="notetextChar">
    <w:name w:val="note(text) Char"/>
    <w:aliases w:val="n Char"/>
    <w:basedOn w:val="DefaultParagraphFont"/>
    <w:link w:val="notetext"/>
    <w:rPr>
      <w:rFonts w:eastAsia="Times New Roman" w:cs="Times New Roman"/>
      <w:sz w:val="18"/>
      <w:lang w:eastAsia="en-AU"/>
    </w:rPr>
  </w:style>
  <w:style w:type="paragraph" w:customStyle="1" w:styleId="BodyNum">
    <w:name w:val="BodyNum"/>
    <w:aliases w:val="b1"/>
    <w:basedOn w:val="OPCParaBase"/>
    <w:pPr>
      <w:numPr>
        <w:numId w:val="13"/>
      </w:numPr>
      <w:spacing w:before="240" w:line="240" w:lineRule="auto"/>
    </w:pPr>
    <w:rPr>
      <w:sz w:val="24"/>
    </w:rPr>
  </w:style>
  <w:style w:type="paragraph" w:customStyle="1" w:styleId="BodyPara">
    <w:name w:val="BodyPara"/>
    <w:aliases w:val="ba"/>
    <w:basedOn w:val="OPCParaBase"/>
    <w:pPr>
      <w:numPr>
        <w:ilvl w:val="1"/>
        <w:numId w:val="13"/>
      </w:numPr>
      <w:spacing w:before="240" w:line="240" w:lineRule="auto"/>
    </w:pPr>
    <w:rPr>
      <w:sz w:val="24"/>
    </w:rPr>
  </w:style>
  <w:style w:type="numbering" w:customStyle="1" w:styleId="OPCBodyList">
    <w:name w:val="OPCBodyList"/>
    <w:uiPriority w:val="99"/>
    <w:pPr>
      <w:numPr>
        <w:numId w:val="13"/>
      </w:numPr>
    </w:pPr>
  </w:style>
  <w:style w:type="paragraph" w:customStyle="1" w:styleId="Head1">
    <w:name w:val="Head 1"/>
    <w:aliases w:val="1"/>
    <w:basedOn w:val="OPCParaBase"/>
    <w:next w:val="BodyNum"/>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rPr>
  </w:style>
  <w:style w:type="character" w:customStyle="1" w:styleId="DraftersNotes">
    <w:name w:val="DraftersNotes"/>
    <w:basedOn w:val="DefaultParagraphFont"/>
    <w:rPr>
      <w:b/>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60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653DF-21F0-458D-9F60-3E77F403F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536</Words>
  <Characters>3058</Characters>
  <Application>Microsoft Office Word</Application>
  <DocSecurity>0</DocSecurity>
  <Lines>25</Lines>
  <Paragraphs>7</Paragraphs>
  <ScaleCrop>false</ScaleCrop>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2025-04-17T05:46:00Z</dcterms:created>
  <dcterms:modified xsi:type="dcterms:W3CDTF">2025-04-17T05:46:00Z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6cf7cf-4bad-475a-a557-f71d08d59046_Enabled">
    <vt:lpwstr>true</vt:lpwstr>
  </property>
  <property fmtid="{D5CDD505-2E9C-101B-9397-08002B2CF9AE}" pid="3" name="MSIP_Label_116cf7cf-4bad-475a-a557-f71d08d59046_SetDate">
    <vt:lpwstr>2025-04-17T03:31:53Z</vt:lpwstr>
  </property>
  <property fmtid="{D5CDD505-2E9C-101B-9397-08002B2CF9AE}" pid="4" name="MSIP_Label_116cf7cf-4bad-475a-a557-f71d08d59046_Method">
    <vt:lpwstr>Standard</vt:lpwstr>
  </property>
  <property fmtid="{D5CDD505-2E9C-101B-9397-08002B2CF9AE}" pid="5" name="MSIP_Label_116cf7cf-4bad-475a-a557-f71d08d59046_Name">
    <vt:lpwstr>OFFICIAL [ Office ]</vt:lpwstr>
  </property>
  <property fmtid="{D5CDD505-2E9C-101B-9397-08002B2CF9AE}" pid="6" name="MSIP_Label_116cf7cf-4bad-475a-a557-f71d08d59046_SiteId">
    <vt:lpwstr>d48144b5-571f-4b68-9721-e41bc0071e17</vt:lpwstr>
  </property>
  <property fmtid="{D5CDD505-2E9C-101B-9397-08002B2CF9AE}" pid="7" name="MSIP_Label_116cf7cf-4bad-475a-a557-f71d08d59046_ActionId">
    <vt:lpwstr>5b8fa2ea-90c4-49de-81fc-c767554d5239</vt:lpwstr>
  </property>
  <property fmtid="{D5CDD505-2E9C-101B-9397-08002B2CF9AE}" pid="8" name="MSIP_Label_116cf7cf-4bad-475a-a557-f71d08d59046_ContentBits">
    <vt:lpwstr>0</vt:lpwstr>
  </property>
  <property fmtid="{D5CDD505-2E9C-101B-9397-08002B2CF9AE}" pid="9" name="MSIP_Label_116cf7cf-4bad-475a-a557-f71d08d59046_Tag">
    <vt:lpwstr>10, 3, 0, 1</vt:lpwstr>
  </property>
</Properties>
</file>