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B3697" w14:textId="77777777" w:rsidR="00BC3821" w:rsidRDefault="00CD7111" w:rsidP="001D1E4F">
      <w:pPr>
        <w:keepNext/>
        <w:spacing w:after="120" w:line="276" w:lineRule="auto"/>
        <w:jc w:val="center"/>
        <w:outlineLvl w:val="4"/>
      </w:pPr>
      <w:r>
        <w:rPr>
          <w:noProof/>
        </w:rPr>
        <w:drawing>
          <wp:inline distT="0" distB="0" distL="0" distR="0" wp14:anchorId="137A628B" wp14:editId="59231CA7">
            <wp:extent cx="1066800" cy="90487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904875"/>
                    </a:xfrm>
                    <a:prstGeom prst="rect">
                      <a:avLst/>
                    </a:prstGeom>
                    <a:noFill/>
                    <a:ln>
                      <a:noFill/>
                    </a:ln>
                  </pic:spPr>
                </pic:pic>
              </a:graphicData>
            </a:graphic>
          </wp:inline>
        </w:drawing>
      </w:r>
    </w:p>
    <w:p w14:paraId="5A4A091C" w14:textId="77777777" w:rsidR="00BC3821" w:rsidRDefault="00BC3821" w:rsidP="001D1E4F">
      <w:pPr>
        <w:pStyle w:val="Title"/>
        <w:keepNext/>
        <w:spacing w:after="120" w:line="276" w:lineRule="auto"/>
        <w:ind w:right="0"/>
        <w:outlineLvl w:val="4"/>
        <w:rPr>
          <w:sz w:val="24"/>
        </w:rPr>
      </w:pPr>
      <w:r>
        <w:rPr>
          <w:sz w:val="24"/>
        </w:rPr>
        <w:t>COMMONWEALTH OF AUSTRALIA</w:t>
      </w:r>
    </w:p>
    <w:p w14:paraId="654C513C" w14:textId="77777777" w:rsidR="00BC3821" w:rsidRPr="00CF5312" w:rsidRDefault="00BC3821" w:rsidP="001D1E4F">
      <w:pPr>
        <w:pStyle w:val="Heading5"/>
        <w:spacing w:after="120" w:line="276" w:lineRule="auto"/>
        <w:ind w:left="0"/>
        <w:jc w:val="center"/>
        <w:rPr>
          <w:b/>
          <w:sz w:val="24"/>
        </w:rPr>
      </w:pPr>
      <w:r w:rsidRPr="00CF5312">
        <w:rPr>
          <w:b/>
          <w:sz w:val="24"/>
        </w:rPr>
        <w:t>Environment Protection and Biodiversity Conservation Act 1999</w:t>
      </w:r>
    </w:p>
    <w:p w14:paraId="3BD55160" w14:textId="5A7AC6DD" w:rsidR="00BC3821" w:rsidRPr="00881248" w:rsidRDefault="00BC3821" w:rsidP="00F93CF7">
      <w:pPr>
        <w:pStyle w:val="Heading6"/>
        <w:spacing w:after="120" w:line="276" w:lineRule="auto"/>
        <w:ind w:right="-327"/>
        <w:jc w:val="center"/>
        <w:rPr>
          <w:sz w:val="24"/>
          <w:szCs w:val="24"/>
        </w:rPr>
      </w:pPr>
      <w:r w:rsidRPr="00881248">
        <w:rPr>
          <w:sz w:val="24"/>
          <w:szCs w:val="24"/>
        </w:rPr>
        <w:t>DECLARATION OF AN APPROVED WILDLIFE TRADE OPERATION</w:t>
      </w:r>
      <w:r w:rsidR="001437D5" w:rsidRPr="00881248">
        <w:rPr>
          <w:sz w:val="24"/>
          <w:szCs w:val="24"/>
        </w:rPr>
        <w:t xml:space="preserve"> </w:t>
      </w:r>
      <w:r w:rsidR="001437D5" w:rsidRPr="00881248">
        <w:rPr>
          <w:snapToGrid w:val="0"/>
          <w:sz w:val="24"/>
          <w:szCs w:val="24"/>
        </w:rPr>
        <w:t xml:space="preserve">– </w:t>
      </w:r>
      <w:r w:rsidR="00AC2D95" w:rsidRPr="00AC2D95">
        <w:rPr>
          <w:snapToGrid w:val="0"/>
          <w:sz w:val="24"/>
          <w:szCs w:val="24"/>
        </w:rPr>
        <w:t>COMMONWEALTH</w:t>
      </w:r>
      <w:r w:rsidR="001D1E4F" w:rsidRPr="00AC2D95">
        <w:rPr>
          <w:snapToGrid w:val="0"/>
          <w:sz w:val="24"/>
          <w:szCs w:val="24"/>
        </w:rPr>
        <w:t xml:space="preserve"> </w:t>
      </w:r>
      <w:r w:rsidR="00AC2D95" w:rsidRPr="00AC2D95">
        <w:rPr>
          <w:bCs/>
          <w:snapToGrid w:val="0"/>
          <w:sz w:val="24"/>
          <w:szCs w:val="24"/>
          <w:lang w:val="en-US"/>
        </w:rPr>
        <w:t>TORRES STRAIT BÊCHE-DE-MER FISHERY</w:t>
      </w:r>
      <w:r w:rsidR="001437D5" w:rsidRPr="00AC2D95">
        <w:rPr>
          <w:snapToGrid w:val="0"/>
          <w:sz w:val="24"/>
          <w:szCs w:val="24"/>
        </w:rPr>
        <w:t xml:space="preserve">, </w:t>
      </w:r>
      <w:r w:rsidR="00AC2D95" w:rsidRPr="00AC2D95">
        <w:rPr>
          <w:snapToGrid w:val="0"/>
          <w:sz w:val="24"/>
          <w:szCs w:val="24"/>
        </w:rPr>
        <w:t>JANUARY</w:t>
      </w:r>
      <w:r w:rsidR="001437D5" w:rsidRPr="00AC2D95">
        <w:rPr>
          <w:snapToGrid w:val="0"/>
          <w:sz w:val="24"/>
          <w:szCs w:val="24"/>
        </w:rPr>
        <w:t xml:space="preserve">, </w:t>
      </w:r>
      <w:r w:rsidR="00AC2D95" w:rsidRPr="00AC2D95">
        <w:rPr>
          <w:snapToGrid w:val="0"/>
          <w:sz w:val="24"/>
          <w:szCs w:val="24"/>
        </w:rPr>
        <w:t>2025</w:t>
      </w:r>
    </w:p>
    <w:p w14:paraId="019F9CE8" w14:textId="1F42366B" w:rsidR="004C3DEE" w:rsidRPr="009C5305" w:rsidRDefault="00BC3821" w:rsidP="001D1E4F">
      <w:pPr>
        <w:spacing w:after="120" w:line="276" w:lineRule="auto"/>
        <w:rPr>
          <w:sz w:val="22"/>
          <w:szCs w:val="22"/>
        </w:rPr>
      </w:pPr>
      <w:r w:rsidRPr="001D1E4F">
        <w:rPr>
          <w:sz w:val="22"/>
          <w:szCs w:val="22"/>
        </w:rPr>
        <w:t>I</w:t>
      </w:r>
      <w:r w:rsidRPr="006C2FA5">
        <w:rPr>
          <w:sz w:val="22"/>
          <w:szCs w:val="22"/>
        </w:rPr>
        <w:t xml:space="preserve">, </w:t>
      </w:r>
      <w:bookmarkStart w:id="0" w:name="_Hlk40258623"/>
      <w:r w:rsidR="006C2FA5" w:rsidRPr="006C2FA5">
        <w:rPr>
          <w:sz w:val="22"/>
          <w:szCs w:val="22"/>
        </w:rPr>
        <w:t>Matt Flood</w:t>
      </w:r>
      <w:r w:rsidR="00581628" w:rsidRPr="006C2FA5">
        <w:rPr>
          <w:sz w:val="22"/>
          <w:szCs w:val="22"/>
        </w:rPr>
        <w:t xml:space="preserve">, </w:t>
      </w:r>
      <w:r w:rsidR="006C2FA5" w:rsidRPr="006C2FA5">
        <w:rPr>
          <w:sz w:val="22"/>
          <w:szCs w:val="22"/>
        </w:rPr>
        <w:t xml:space="preserve">A/g </w:t>
      </w:r>
      <w:r w:rsidR="001D1E4F" w:rsidRPr="006C2FA5">
        <w:rPr>
          <w:sz w:val="22"/>
          <w:szCs w:val="22"/>
        </w:rPr>
        <w:t>Branch Head,</w:t>
      </w:r>
      <w:r w:rsidR="001D1E4F" w:rsidRPr="001D1E4F">
        <w:rPr>
          <w:sz w:val="22"/>
          <w:szCs w:val="22"/>
        </w:rPr>
        <w:t xml:space="preserve"> Ocean and Wildlife</w:t>
      </w:r>
      <w:r w:rsidR="00AC46A7">
        <w:rPr>
          <w:sz w:val="22"/>
          <w:szCs w:val="22"/>
        </w:rPr>
        <w:t xml:space="preserve"> Branch</w:t>
      </w:r>
      <w:r w:rsidR="00581628" w:rsidRPr="001D1E4F">
        <w:rPr>
          <w:sz w:val="22"/>
          <w:szCs w:val="22"/>
        </w:rPr>
        <w:t>, as Delegate of the</w:t>
      </w:r>
      <w:bookmarkEnd w:id="0"/>
      <w:r w:rsidR="00C8489C" w:rsidRPr="001D1E4F">
        <w:rPr>
          <w:sz w:val="22"/>
          <w:szCs w:val="22"/>
        </w:rPr>
        <w:t xml:space="preserve"> M</w:t>
      </w:r>
      <w:r w:rsidR="00581628" w:rsidRPr="001D1E4F">
        <w:rPr>
          <w:sz w:val="22"/>
          <w:szCs w:val="22"/>
        </w:rPr>
        <w:t xml:space="preserve">inister </w:t>
      </w:r>
      <w:r w:rsidR="004C3DEE" w:rsidRPr="001D1E4F">
        <w:rPr>
          <w:sz w:val="22"/>
          <w:szCs w:val="22"/>
        </w:rPr>
        <w:t>for the Environment</w:t>
      </w:r>
      <w:r w:rsidR="001D1E4F" w:rsidRPr="001D1E4F">
        <w:rPr>
          <w:sz w:val="22"/>
          <w:szCs w:val="22"/>
        </w:rPr>
        <w:t xml:space="preserve"> and Water</w:t>
      </w:r>
      <w:r w:rsidR="00FA278A" w:rsidRPr="009C5305">
        <w:rPr>
          <w:sz w:val="22"/>
          <w:szCs w:val="22"/>
        </w:rPr>
        <w:t>,</w:t>
      </w:r>
      <w:r w:rsidRPr="009C5305">
        <w:rPr>
          <w:snapToGrid w:val="0"/>
          <w:sz w:val="22"/>
          <w:szCs w:val="22"/>
        </w:rPr>
        <w:t xml:space="preserve"> </w:t>
      </w:r>
      <w:r w:rsidRPr="009C5305">
        <w:rPr>
          <w:sz w:val="22"/>
          <w:szCs w:val="22"/>
        </w:rPr>
        <w:t>have consid</w:t>
      </w:r>
      <w:r w:rsidR="009B0E50" w:rsidRPr="009C5305">
        <w:rPr>
          <w:sz w:val="22"/>
          <w:szCs w:val="22"/>
        </w:rPr>
        <w:t>ered in accordance with section </w:t>
      </w:r>
      <w:r w:rsidRPr="009C5305">
        <w:rPr>
          <w:sz w:val="22"/>
          <w:szCs w:val="22"/>
        </w:rPr>
        <w:t xml:space="preserve">303FN of the </w:t>
      </w:r>
      <w:r w:rsidRPr="009C5305">
        <w:rPr>
          <w:i/>
          <w:sz w:val="22"/>
          <w:szCs w:val="22"/>
        </w:rPr>
        <w:t>Environment Protection and</w:t>
      </w:r>
      <w:r w:rsidRPr="009C5305">
        <w:rPr>
          <w:sz w:val="22"/>
          <w:szCs w:val="22"/>
        </w:rPr>
        <w:t xml:space="preserve"> </w:t>
      </w:r>
      <w:r w:rsidR="009B0E50" w:rsidRPr="00AC2D95">
        <w:rPr>
          <w:i/>
          <w:sz w:val="22"/>
          <w:szCs w:val="22"/>
        </w:rPr>
        <w:t>Biodiversity Conservation Act </w:t>
      </w:r>
      <w:r w:rsidRPr="00AC2D95">
        <w:rPr>
          <w:i/>
          <w:sz w:val="22"/>
          <w:szCs w:val="22"/>
        </w:rPr>
        <w:t xml:space="preserve">1999 </w:t>
      </w:r>
      <w:r w:rsidR="009B0E50" w:rsidRPr="00AC2D95">
        <w:rPr>
          <w:sz w:val="22"/>
          <w:szCs w:val="22"/>
        </w:rPr>
        <w:t>(EPBC </w:t>
      </w:r>
      <w:r w:rsidRPr="00AC2D95">
        <w:rPr>
          <w:sz w:val="22"/>
          <w:szCs w:val="22"/>
        </w:rPr>
        <w:t xml:space="preserve">Act) the </w:t>
      </w:r>
      <w:r w:rsidR="002404E7">
        <w:rPr>
          <w:sz w:val="22"/>
          <w:szCs w:val="22"/>
        </w:rPr>
        <w:t xml:space="preserve">existing </w:t>
      </w:r>
      <w:r w:rsidR="00D97269">
        <w:rPr>
          <w:sz w:val="22"/>
          <w:szCs w:val="22"/>
        </w:rPr>
        <w:t>w</w:t>
      </w:r>
      <w:r w:rsidR="00F93CF7">
        <w:rPr>
          <w:sz w:val="22"/>
          <w:szCs w:val="22"/>
        </w:rPr>
        <w:t xml:space="preserve">ildlife </w:t>
      </w:r>
      <w:r w:rsidR="00D97269">
        <w:rPr>
          <w:sz w:val="22"/>
          <w:szCs w:val="22"/>
        </w:rPr>
        <w:t>t</w:t>
      </w:r>
      <w:r w:rsidR="00F93CF7">
        <w:rPr>
          <w:sz w:val="22"/>
          <w:szCs w:val="22"/>
        </w:rPr>
        <w:t xml:space="preserve">rade </w:t>
      </w:r>
      <w:r w:rsidR="00D97269">
        <w:rPr>
          <w:sz w:val="22"/>
          <w:szCs w:val="22"/>
        </w:rPr>
        <w:t>o</w:t>
      </w:r>
      <w:r w:rsidR="00F93CF7">
        <w:rPr>
          <w:sz w:val="22"/>
          <w:szCs w:val="22"/>
        </w:rPr>
        <w:t>peration established for the Torres Strait Beche-de-Mer Fishery</w:t>
      </w:r>
      <w:r w:rsidR="00AD2B46" w:rsidRPr="00AC2D95">
        <w:rPr>
          <w:sz w:val="22"/>
          <w:szCs w:val="22"/>
        </w:rPr>
        <w:t>,</w:t>
      </w:r>
      <w:r w:rsidRPr="00AC2D95">
        <w:rPr>
          <w:sz w:val="22"/>
          <w:szCs w:val="22"/>
        </w:rPr>
        <w:t xml:space="preserve"> </w:t>
      </w:r>
      <w:r w:rsidR="00BC43C2" w:rsidRPr="00BC43C2">
        <w:rPr>
          <w:sz w:val="22"/>
          <w:szCs w:val="22"/>
        </w:rPr>
        <w:t xml:space="preserve">public comments on the proposal </w:t>
      </w:r>
      <w:r w:rsidR="00F93CF7">
        <w:rPr>
          <w:sz w:val="22"/>
          <w:szCs w:val="22"/>
        </w:rPr>
        <w:t>to</w:t>
      </w:r>
      <w:r w:rsidR="00D7018A">
        <w:rPr>
          <w:sz w:val="22"/>
          <w:szCs w:val="22"/>
        </w:rPr>
        <w:t xml:space="preserve"> declare a new </w:t>
      </w:r>
      <w:r w:rsidR="00D97269">
        <w:rPr>
          <w:sz w:val="22"/>
          <w:szCs w:val="22"/>
        </w:rPr>
        <w:t>w</w:t>
      </w:r>
      <w:r w:rsidR="004F453E">
        <w:rPr>
          <w:sz w:val="22"/>
          <w:szCs w:val="22"/>
        </w:rPr>
        <w:t xml:space="preserve">ildlife </w:t>
      </w:r>
      <w:r w:rsidR="00D97269">
        <w:rPr>
          <w:sz w:val="22"/>
          <w:szCs w:val="22"/>
        </w:rPr>
        <w:t>t</w:t>
      </w:r>
      <w:r w:rsidR="004F453E">
        <w:rPr>
          <w:sz w:val="22"/>
          <w:szCs w:val="22"/>
        </w:rPr>
        <w:t xml:space="preserve">rade </w:t>
      </w:r>
      <w:r w:rsidR="00D97269">
        <w:rPr>
          <w:sz w:val="22"/>
          <w:szCs w:val="22"/>
        </w:rPr>
        <w:t>o</w:t>
      </w:r>
      <w:r w:rsidR="00F93CF7">
        <w:rPr>
          <w:sz w:val="22"/>
          <w:szCs w:val="22"/>
        </w:rPr>
        <w:t xml:space="preserve">peration </w:t>
      </w:r>
      <w:r w:rsidR="00BC43C2" w:rsidRPr="00BC43C2">
        <w:rPr>
          <w:sz w:val="22"/>
          <w:szCs w:val="22"/>
        </w:rPr>
        <w:t>as required under section 303FR</w:t>
      </w:r>
      <w:r w:rsidR="00BC43C2">
        <w:rPr>
          <w:sz w:val="22"/>
          <w:szCs w:val="22"/>
        </w:rPr>
        <w:t xml:space="preserve">, </w:t>
      </w:r>
      <w:r w:rsidRPr="00AC2D95">
        <w:rPr>
          <w:sz w:val="22"/>
          <w:szCs w:val="22"/>
        </w:rPr>
        <w:t>and advice on the ecological sustainability of the operation. I</w:t>
      </w:r>
      <w:r w:rsidR="009B0E50" w:rsidRPr="00AC2D95">
        <w:rPr>
          <w:sz w:val="22"/>
          <w:szCs w:val="22"/>
        </w:rPr>
        <w:t> </w:t>
      </w:r>
      <w:r w:rsidRPr="00AC2D95">
        <w:rPr>
          <w:sz w:val="22"/>
          <w:szCs w:val="22"/>
        </w:rPr>
        <w:t>am satisfied on those matters specifi</w:t>
      </w:r>
      <w:r w:rsidR="009B0E50" w:rsidRPr="00AC2D95">
        <w:rPr>
          <w:sz w:val="22"/>
          <w:szCs w:val="22"/>
        </w:rPr>
        <w:t>ed in section </w:t>
      </w:r>
      <w:r w:rsidR="00C665C2" w:rsidRPr="00AC2D95">
        <w:rPr>
          <w:sz w:val="22"/>
          <w:szCs w:val="22"/>
        </w:rPr>
        <w:t>303FN of the EPBC </w:t>
      </w:r>
      <w:r w:rsidRPr="00AC2D95">
        <w:rPr>
          <w:sz w:val="22"/>
          <w:szCs w:val="22"/>
        </w:rPr>
        <w:t>Act. I</w:t>
      </w:r>
      <w:r w:rsidR="009B0E50" w:rsidRPr="00AC2D95">
        <w:rPr>
          <w:sz w:val="22"/>
          <w:szCs w:val="22"/>
        </w:rPr>
        <w:t> </w:t>
      </w:r>
      <w:r w:rsidRPr="00AC2D95">
        <w:rPr>
          <w:sz w:val="22"/>
          <w:szCs w:val="22"/>
        </w:rPr>
        <w:t xml:space="preserve">hereby declare the operations for the harvesting of </w:t>
      </w:r>
      <w:r w:rsidR="004C3DEE" w:rsidRPr="00AC2D95">
        <w:rPr>
          <w:sz w:val="22"/>
          <w:szCs w:val="22"/>
        </w:rPr>
        <w:t xml:space="preserve">specimens </w:t>
      </w:r>
      <w:r w:rsidR="004C3DEE" w:rsidRPr="00AC2D95">
        <w:rPr>
          <w:snapToGrid w:val="0"/>
          <w:sz w:val="22"/>
          <w:szCs w:val="22"/>
        </w:rPr>
        <w:t xml:space="preserve">that are or are derived from fish or invertebrates, taken in the </w:t>
      </w:r>
      <w:r w:rsidR="00AC2D95" w:rsidRPr="00AC2D95">
        <w:rPr>
          <w:sz w:val="22"/>
          <w:szCs w:val="22"/>
        </w:rPr>
        <w:t>Commonwealth</w:t>
      </w:r>
      <w:r w:rsidR="004C3DEE" w:rsidRPr="00AC2D95">
        <w:rPr>
          <w:sz w:val="22"/>
          <w:szCs w:val="22"/>
        </w:rPr>
        <w:t xml:space="preserve"> </w:t>
      </w:r>
      <w:r w:rsidR="00AC2D95" w:rsidRPr="00AC2D95">
        <w:rPr>
          <w:sz w:val="22"/>
          <w:szCs w:val="22"/>
        </w:rPr>
        <w:t xml:space="preserve">Torres Strait </w:t>
      </w:r>
      <w:proofErr w:type="spellStart"/>
      <w:r w:rsidR="00AC2D95" w:rsidRPr="00AC2D95">
        <w:rPr>
          <w:sz w:val="22"/>
          <w:szCs w:val="22"/>
        </w:rPr>
        <w:t>Bêche</w:t>
      </w:r>
      <w:proofErr w:type="spellEnd"/>
      <w:r w:rsidR="00AC2D95" w:rsidRPr="00AC2D95">
        <w:rPr>
          <w:sz w:val="22"/>
          <w:szCs w:val="22"/>
        </w:rPr>
        <w:t>-de-</w:t>
      </w:r>
      <w:proofErr w:type="spellStart"/>
      <w:r w:rsidR="00AC2D95" w:rsidRPr="00AC2D95">
        <w:rPr>
          <w:sz w:val="22"/>
          <w:szCs w:val="22"/>
        </w:rPr>
        <w:t>mer</w:t>
      </w:r>
      <w:proofErr w:type="spellEnd"/>
      <w:r w:rsidR="00AC2D95" w:rsidRPr="00AC2D95">
        <w:rPr>
          <w:sz w:val="22"/>
          <w:szCs w:val="22"/>
        </w:rPr>
        <w:t xml:space="preserve"> Fishery</w:t>
      </w:r>
      <w:r w:rsidR="004C3DEE" w:rsidRPr="00AC2D95">
        <w:rPr>
          <w:sz w:val="22"/>
          <w:szCs w:val="22"/>
        </w:rPr>
        <w:t xml:space="preserve"> </w:t>
      </w:r>
      <w:r w:rsidR="004C3DEE" w:rsidRPr="00AC2D95">
        <w:rPr>
          <w:snapToGrid w:val="0"/>
          <w:sz w:val="22"/>
          <w:szCs w:val="22"/>
        </w:rPr>
        <w:t xml:space="preserve">as defined in the </w:t>
      </w:r>
      <w:r w:rsidR="004C3DEE" w:rsidRPr="00AC2D95">
        <w:rPr>
          <w:sz w:val="22"/>
          <w:szCs w:val="22"/>
        </w:rPr>
        <w:t>management regime</w:t>
      </w:r>
      <w:r w:rsidR="009C5305" w:rsidRPr="00AC2D95">
        <w:rPr>
          <w:sz w:val="22"/>
          <w:szCs w:val="22"/>
        </w:rPr>
        <w:t xml:space="preserve"> </w:t>
      </w:r>
      <w:r w:rsidR="004C3DEE" w:rsidRPr="00AC2D95">
        <w:rPr>
          <w:sz w:val="22"/>
          <w:szCs w:val="22"/>
        </w:rPr>
        <w:t xml:space="preserve">in force under </w:t>
      </w:r>
      <w:r w:rsidR="00923C5D" w:rsidRPr="00AC2D95">
        <w:rPr>
          <w:sz w:val="22"/>
          <w:szCs w:val="22"/>
        </w:rPr>
        <w:t xml:space="preserve">the </w:t>
      </w:r>
      <w:r w:rsidR="00AC2D95" w:rsidRPr="00AC2D95">
        <w:rPr>
          <w:i/>
          <w:iCs/>
          <w:sz w:val="22"/>
          <w:szCs w:val="22"/>
        </w:rPr>
        <w:t>Torres Strait Fisheries Act 1984</w:t>
      </w:r>
      <w:r w:rsidR="00AC2D95" w:rsidRPr="00AC2D95">
        <w:rPr>
          <w:sz w:val="22"/>
          <w:szCs w:val="22"/>
        </w:rPr>
        <w:t> (</w:t>
      </w:r>
      <w:proofErr w:type="spellStart"/>
      <w:r w:rsidR="00AC2D95" w:rsidRPr="00AC2D95">
        <w:rPr>
          <w:sz w:val="22"/>
          <w:szCs w:val="22"/>
        </w:rPr>
        <w:t>Cth</w:t>
      </w:r>
      <w:proofErr w:type="spellEnd"/>
      <w:r w:rsidR="00AC2D95" w:rsidRPr="00AC2D95">
        <w:rPr>
          <w:sz w:val="22"/>
          <w:szCs w:val="22"/>
        </w:rPr>
        <w:t>), Torres Strait Fisheries Regulations 1985 (</w:t>
      </w:r>
      <w:proofErr w:type="spellStart"/>
      <w:r w:rsidR="00AC2D95" w:rsidRPr="00AC2D95">
        <w:rPr>
          <w:sz w:val="22"/>
          <w:szCs w:val="22"/>
        </w:rPr>
        <w:t>Cth</w:t>
      </w:r>
      <w:proofErr w:type="spellEnd"/>
      <w:r w:rsidR="00AC2D95" w:rsidRPr="00AC2D95">
        <w:rPr>
          <w:sz w:val="22"/>
          <w:szCs w:val="22"/>
        </w:rPr>
        <w:t>), Torres Strait Fisheries (</w:t>
      </w:r>
      <w:proofErr w:type="spellStart"/>
      <w:r w:rsidR="00AC2D95" w:rsidRPr="00AC2D95">
        <w:rPr>
          <w:sz w:val="22"/>
          <w:szCs w:val="22"/>
        </w:rPr>
        <w:t>Bêche</w:t>
      </w:r>
      <w:proofErr w:type="spellEnd"/>
      <w:r w:rsidR="00AC2D95" w:rsidRPr="00AC2D95">
        <w:rPr>
          <w:sz w:val="22"/>
          <w:szCs w:val="22"/>
        </w:rPr>
        <w:t>-de-</w:t>
      </w:r>
      <w:proofErr w:type="spellStart"/>
      <w:r w:rsidR="00AC2D95" w:rsidRPr="00AC2D95">
        <w:rPr>
          <w:sz w:val="22"/>
          <w:szCs w:val="22"/>
        </w:rPr>
        <w:t>mer</w:t>
      </w:r>
      <w:proofErr w:type="spellEnd"/>
      <w:r w:rsidR="00AC2D95" w:rsidRPr="00AC2D95">
        <w:rPr>
          <w:sz w:val="22"/>
          <w:szCs w:val="22"/>
        </w:rPr>
        <w:t>) Management Instrument 2022, Torres Strait </w:t>
      </w:r>
      <w:proofErr w:type="spellStart"/>
      <w:r w:rsidR="00AC2D95" w:rsidRPr="00AC2D95">
        <w:rPr>
          <w:sz w:val="22"/>
          <w:szCs w:val="22"/>
        </w:rPr>
        <w:t>Bêche</w:t>
      </w:r>
      <w:proofErr w:type="spellEnd"/>
      <w:r w:rsidR="00AC2D95" w:rsidRPr="00AC2D95">
        <w:rPr>
          <w:sz w:val="22"/>
          <w:szCs w:val="22"/>
        </w:rPr>
        <w:t>-de-</w:t>
      </w:r>
      <w:proofErr w:type="spellStart"/>
      <w:r w:rsidR="00AC2D95" w:rsidRPr="00AC2D95">
        <w:rPr>
          <w:sz w:val="22"/>
          <w:szCs w:val="22"/>
        </w:rPr>
        <w:t>mer</w:t>
      </w:r>
      <w:proofErr w:type="spellEnd"/>
      <w:r w:rsidR="00AC2D95" w:rsidRPr="00AC2D95">
        <w:rPr>
          <w:sz w:val="22"/>
          <w:szCs w:val="22"/>
        </w:rPr>
        <w:t> Fishery Harvest Strategy</w:t>
      </w:r>
      <w:r w:rsidR="001D1E4F" w:rsidRPr="00AC2D95">
        <w:rPr>
          <w:sz w:val="22"/>
          <w:szCs w:val="22"/>
        </w:rPr>
        <w:t>,</w:t>
      </w:r>
      <w:r w:rsidR="00923C5D" w:rsidRPr="00AC2D95">
        <w:rPr>
          <w:sz w:val="22"/>
          <w:szCs w:val="22"/>
        </w:rPr>
        <w:t xml:space="preserve"> </w:t>
      </w:r>
      <w:r w:rsidR="00923C5D" w:rsidRPr="00AC2D95">
        <w:rPr>
          <w:snapToGrid w:val="0"/>
          <w:sz w:val="22"/>
          <w:szCs w:val="22"/>
        </w:rPr>
        <w:t>but</w:t>
      </w:r>
      <w:r w:rsidR="00923C5D" w:rsidRPr="001D1E4F">
        <w:rPr>
          <w:snapToGrid w:val="0"/>
          <w:sz w:val="22"/>
          <w:szCs w:val="22"/>
        </w:rPr>
        <w:t xml:space="preserve"> not including</w:t>
      </w:r>
      <w:r w:rsidR="001D1E4F">
        <w:rPr>
          <w:snapToGrid w:val="0"/>
          <w:sz w:val="22"/>
          <w:szCs w:val="22"/>
        </w:rPr>
        <w:t>:</w:t>
      </w:r>
    </w:p>
    <w:p w14:paraId="63531944" w14:textId="77777777" w:rsidR="00D63915" w:rsidRPr="001D1E4F" w:rsidRDefault="00D63915" w:rsidP="001D1E4F">
      <w:pPr>
        <w:pStyle w:val="Stylea"/>
        <w:numPr>
          <w:ilvl w:val="0"/>
          <w:numId w:val="14"/>
        </w:numPr>
        <w:spacing w:after="120" w:line="276" w:lineRule="auto"/>
        <w:ind w:left="357" w:hanging="357"/>
        <w:rPr>
          <w:color w:val="auto"/>
          <w:sz w:val="22"/>
          <w:szCs w:val="22"/>
        </w:rPr>
      </w:pPr>
      <w:r w:rsidRPr="001D1E4F">
        <w:rPr>
          <w:color w:val="auto"/>
          <w:sz w:val="22"/>
          <w:szCs w:val="22"/>
        </w:rPr>
        <w:t>specimens that belong to taxa listed under section 209 of the EPBC Act (Australia’s List of Migratory Species), or</w:t>
      </w:r>
    </w:p>
    <w:p w14:paraId="05FD2D42" w14:textId="77777777" w:rsidR="00D63915" w:rsidRPr="001D1E4F" w:rsidRDefault="00D63915" w:rsidP="001D1E4F">
      <w:pPr>
        <w:pStyle w:val="Stylea"/>
        <w:numPr>
          <w:ilvl w:val="0"/>
          <w:numId w:val="14"/>
        </w:numPr>
        <w:spacing w:after="120" w:line="276" w:lineRule="auto"/>
        <w:ind w:left="357" w:hanging="357"/>
        <w:rPr>
          <w:color w:val="auto"/>
          <w:sz w:val="22"/>
          <w:szCs w:val="22"/>
        </w:rPr>
      </w:pPr>
      <w:r w:rsidRPr="001D1E4F">
        <w:rPr>
          <w:color w:val="auto"/>
          <w:sz w:val="22"/>
          <w:szCs w:val="22"/>
        </w:rPr>
        <w:t>specimens that belong to taxa listed under section 248 of the EPBC Act (Australia’s List of Marine Species), or</w:t>
      </w:r>
    </w:p>
    <w:p w14:paraId="5CBDFCF7" w14:textId="77777777" w:rsidR="00D63915" w:rsidRPr="001D1E4F" w:rsidRDefault="00D63915" w:rsidP="001D1E4F">
      <w:pPr>
        <w:pStyle w:val="Stylea"/>
        <w:numPr>
          <w:ilvl w:val="0"/>
          <w:numId w:val="14"/>
        </w:numPr>
        <w:spacing w:after="120" w:line="276" w:lineRule="auto"/>
        <w:ind w:left="357" w:hanging="357"/>
        <w:rPr>
          <w:color w:val="auto"/>
          <w:sz w:val="22"/>
          <w:szCs w:val="22"/>
        </w:rPr>
      </w:pPr>
      <w:r w:rsidRPr="001D1E4F">
        <w:rPr>
          <w:color w:val="auto"/>
          <w:sz w:val="22"/>
          <w:szCs w:val="22"/>
        </w:rPr>
        <w:t>specimens that belong to eligible listed threatened species, as defined under section</w:t>
      </w:r>
      <w:r w:rsidR="009C5305" w:rsidRPr="001D1E4F">
        <w:rPr>
          <w:color w:val="auto"/>
          <w:sz w:val="22"/>
          <w:szCs w:val="22"/>
        </w:rPr>
        <w:t> </w:t>
      </w:r>
      <w:r w:rsidRPr="001D1E4F">
        <w:rPr>
          <w:color w:val="auto"/>
          <w:sz w:val="22"/>
          <w:szCs w:val="22"/>
        </w:rPr>
        <w:t>303BC of the EPBC Act, or</w:t>
      </w:r>
    </w:p>
    <w:p w14:paraId="7F9E6E36" w14:textId="5886F20D" w:rsidR="00D63915" w:rsidRPr="001D1E4F" w:rsidRDefault="00AC2D95" w:rsidP="001D1E4F">
      <w:pPr>
        <w:pStyle w:val="Stylea"/>
        <w:numPr>
          <w:ilvl w:val="0"/>
          <w:numId w:val="14"/>
        </w:numPr>
        <w:spacing w:after="120" w:line="276" w:lineRule="auto"/>
        <w:ind w:left="357" w:hanging="357"/>
        <w:rPr>
          <w:color w:val="auto"/>
          <w:sz w:val="22"/>
          <w:szCs w:val="22"/>
        </w:rPr>
      </w:pPr>
      <w:r w:rsidRPr="00AC2D95">
        <w:rPr>
          <w:color w:val="auto"/>
          <w:sz w:val="22"/>
          <w:szCs w:val="22"/>
          <w:lang w:val="en-US"/>
        </w:rPr>
        <w:t xml:space="preserve">specimens that belong to taxa listed under section 303CA of the EPBC Act (Australia’s CITES List), except for black </w:t>
      </w:r>
      <w:proofErr w:type="spellStart"/>
      <w:r w:rsidRPr="00AC2D95">
        <w:rPr>
          <w:color w:val="auto"/>
          <w:sz w:val="22"/>
          <w:szCs w:val="22"/>
          <w:lang w:val="en-US"/>
        </w:rPr>
        <w:t>teatfish</w:t>
      </w:r>
      <w:proofErr w:type="spellEnd"/>
      <w:r w:rsidRPr="00AC2D95">
        <w:rPr>
          <w:color w:val="auto"/>
          <w:sz w:val="22"/>
          <w:szCs w:val="22"/>
          <w:lang w:val="en-US"/>
        </w:rPr>
        <w:t xml:space="preserve"> (</w:t>
      </w:r>
      <w:r w:rsidRPr="00AC2D95">
        <w:rPr>
          <w:i/>
          <w:iCs/>
          <w:color w:val="auto"/>
          <w:sz w:val="22"/>
          <w:szCs w:val="22"/>
          <w:lang w:val="en-US"/>
        </w:rPr>
        <w:t>Holothuria </w:t>
      </w:r>
      <w:proofErr w:type="spellStart"/>
      <w:r w:rsidRPr="00AC2D95">
        <w:rPr>
          <w:i/>
          <w:iCs/>
          <w:color w:val="auto"/>
          <w:sz w:val="22"/>
          <w:szCs w:val="22"/>
          <w:lang w:val="en-US"/>
        </w:rPr>
        <w:t>whitmaei</w:t>
      </w:r>
      <w:proofErr w:type="spellEnd"/>
      <w:r w:rsidRPr="00AC2D95">
        <w:rPr>
          <w:color w:val="auto"/>
          <w:sz w:val="22"/>
          <w:szCs w:val="22"/>
          <w:lang w:val="en-US"/>
        </w:rPr>
        <w:t xml:space="preserve">), white </w:t>
      </w:r>
      <w:proofErr w:type="spellStart"/>
      <w:r w:rsidRPr="00AC2D95">
        <w:rPr>
          <w:color w:val="auto"/>
          <w:sz w:val="22"/>
          <w:szCs w:val="22"/>
          <w:lang w:val="en-US"/>
        </w:rPr>
        <w:t>teatfish</w:t>
      </w:r>
      <w:proofErr w:type="spellEnd"/>
      <w:r w:rsidRPr="00AC2D95">
        <w:rPr>
          <w:color w:val="auto"/>
          <w:sz w:val="22"/>
          <w:szCs w:val="22"/>
          <w:lang w:val="en-US"/>
        </w:rPr>
        <w:t> </w:t>
      </w:r>
      <w:r w:rsidRPr="00AC2D95">
        <w:rPr>
          <w:i/>
          <w:iCs/>
          <w:color w:val="auto"/>
          <w:sz w:val="22"/>
          <w:szCs w:val="22"/>
          <w:lang w:val="en-US"/>
        </w:rPr>
        <w:t>(H. </w:t>
      </w:r>
      <w:proofErr w:type="spellStart"/>
      <w:r w:rsidRPr="00AC2D95">
        <w:rPr>
          <w:i/>
          <w:iCs/>
          <w:color w:val="auto"/>
          <w:sz w:val="22"/>
          <w:szCs w:val="22"/>
          <w:lang w:val="en-US"/>
        </w:rPr>
        <w:t>fuscogilva</w:t>
      </w:r>
      <w:proofErr w:type="spellEnd"/>
      <w:r w:rsidRPr="00AC2D95">
        <w:rPr>
          <w:color w:val="auto"/>
          <w:sz w:val="22"/>
          <w:szCs w:val="22"/>
          <w:lang w:val="en-US"/>
        </w:rPr>
        <w:t>), prickly redfish (</w:t>
      </w:r>
      <w:proofErr w:type="spellStart"/>
      <w:r w:rsidRPr="00AC2D95">
        <w:rPr>
          <w:i/>
          <w:iCs/>
          <w:color w:val="auto"/>
          <w:sz w:val="22"/>
          <w:szCs w:val="22"/>
          <w:lang w:val="en-US"/>
        </w:rPr>
        <w:t>Thelenota</w:t>
      </w:r>
      <w:proofErr w:type="spellEnd"/>
      <w:r w:rsidRPr="00AC2D95">
        <w:rPr>
          <w:i/>
          <w:iCs/>
          <w:color w:val="auto"/>
          <w:sz w:val="22"/>
          <w:szCs w:val="22"/>
          <w:lang w:val="en-US"/>
        </w:rPr>
        <w:t> ananas</w:t>
      </w:r>
      <w:r w:rsidRPr="00AC2D95">
        <w:rPr>
          <w:color w:val="auto"/>
          <w:sz w:val="22"/>
          <w:szCs w:val="22"/>
          <w:lang w:val="en-US"/>
        </w:rPr>
        <w:t>) and amberfish (</w:t>
      </w:r>
      <w:r w:rsidRPr="00AC2D95">
        <w:rPr>
          <w:i/>
          <w:iCs/>
          <w:color w:val="auto"/>
          <w:sz w:val="22"/>
          <w:szCs w:val="22"/>
          <w:lang w:val="en-US"/>
        </w:rPr>
        <w:t xml:space="preserve">T. </w:t>
      </w:r>
      <w:proofErr w:type="spellStart"/>
      <w:r w:rsidRPr="00AC2D95">
        <w:rPr>
          <w:i/>
          <w:iCs/>
          <w:color w:val="auto"/>
          <w:sz w:val="22"/>
          <w:szCs w:val="22"/>
          <w:lang w:val="en-US"/>
        </w:rPr>
        <w:t>anax</w:t>
      </w:r>
      <w:proofErr w:type="spellEnd"/>
      <w:r w:rsidRPr="00AC2D95">
        <w:rPr>
          <w:color w:val="auto"/>
          <w:sz w:val="22"/>
          <w:szCs w:val="22"/>
          <w:lang w:val="en-US"/>
        </w:rPr>
        <w:t>),</w:t>
      </w:r>
    </w:p>
    <w:p w14:paraId="7BF70FB0" w14:textId="77777777" w:rsidR="00BC3821" w:rsidRPr="009C5305" w:rsidRDefault="00BC3821" w:rsidP="001D1E4F">
      <w:pPr>
        <w:spacing w:after="120" w:line="276" w:lineRule="auto"/>
        <w:rPr>
          <w:sz w:val="22"/>
          <w:szCs w:val="22"/>
        </w:rPr>
      </w:pPr>
      <w:r w:rsidRPr="009C5305">
        <w:rPr>
          <w:sz w:val="22"/>
          <w:szCs w:val="22"/>
        </w:rPr>
        <w:t xml:space="preserve">to be an approved </w:t>
      </w:r>
      <w:r w:rsidR="00C665C2" w:rsidRPr="009C5305">
        <w:rPr>
          <w:sz w:val="22"/>
          <w:szCs w:val="22"/>
        </w:rPr>
        <w:t>w</w:t>
      </w:r>
      <w:r w:rsidRPr="009C5305">
        <w:rPr>
          <w:sz w:val="22"/>
          <w:szCs w:val="22"/>
        </w:rPr>
        <w:t xml:space="preserve">ildlife </w:t>
      </w:r>
      <w:r w:rsidR="00C665C2" w:rsidRPr="009C5305">
        <w:rPr>
          <w:sz w:val="22"/>
          <w:szCs w:val="22"/>
        </w:rPr>
        <w:t>t</w:t>
      </w:r>
      <w:r w:rsidRPr="009C5305">
        <w:rPr>
          <w:sz w:val="22"/>
          <w:szCs w:val="22"/>
        </w:rPr>
        <w:t xml:space="preserve">rade </w:t>
      </w:r>
      <w:r w:rsidR="00C665C2" w:rsidRPr="009C5305">
        <w:rPr>
          <w:sz w:val="22"/>
          <w:szCs w:val="22"/>
        </w:rPr>
        <w:t>o</w:t>
      </w:r>
      <w:r w:rsidRPr="009C5305">
        <w:rPr>
          <w:sz w:val="22"/>
          <w:szCs w:val="22"/>
        </w:rPr>
        <w:t>peration, in a</w:t>
      </w:r>
      <w:r w:rsidR="0067129A" w:rsidRPr="009C5305">
        <w:rPr>
          <w:sz w:val="22"/>
          <w:szCs w:val="22"/>
        </w:rPr>
        <w:t>ccordance with subsection 303FN(2) and paragraph </w:t>
      </w:r>
      <w:r w:rsidRPr="009C5305">
        <w:rPr>
          <w:sz w:val="22"/>
          <w:szCs w:val="22"/>
        </w:rPr>
        <w:t>303FN(10)(d</w:t>
      </w:r>
      <w:r w:rsidR="009132FA" w:rsidRPr="009C5305">
        <w:rPr>
          <w:sz w:val="22"/>
          <w:szCs w:val="22"/>
        </w:rPr>
        <w:t>), for the purposes of the EPBC </w:t>
      </w:r>
      <w:r w:rsidRPr="009C5305">
        <w:rPr>
          <w:sz w:val="22"/>
          <w:szCs w:val="22"/>
        </w:rPr>
        <w:t>Act.</w:t>
      </w:r>
    </w:p>
    <w:p w14:paraId="5021DFBA" w14:textId="77777777" w:rsidR="00BC3821" w:rsidRPr="009C5305" w:rsidRDefault="00BC3821" w:rsidP="001D1E4F">
      <w:pPr>
        <w:spacing w:after="120" w:line="276" w:lineRule="auto"/>
        <w:rPr>
          <w:sz w:val="22"/>
          <w:szCs w:val="22"/>
        </w:rPr>
      </w:pPr>
      <w:r w:rsidRPr="009C5305">
        <w:rPr>
          <w:sz w:val="22"/>
          <w:szCs w:val="22"/>
        </w:rPr>
        <w:t>Unless amended or revoked, this declaration:</w:t>
      </w:r>
    </w:p>
    <w:p w14:paraId="3E90C819" w14:textId="510BCFD9" w:rsidR="00BC3821" w:rsidRPr="009C5305" w:rsidRDefault="00BC3821" w:rsidP="001D1E4F">
      <w:pPr>
        <w:numPr>
          <w:ilvl w:val="0"/>
          <w:numId w:val="1"/>
        </w:numPr>
        <w:tabs>
          <w:tab w:val="num" w:pos="567"/>
        </w:tabs>
        <w:spacing w:after="120" w:line="276" w:lineRule="auto"/>
        <w:ind w:left="0" w:firstLine="0"/>
        <w:rPr>
          <w:sz w:val="22"/>
          <w:szCs w:val="22"/>
        </w:rPr>
      </w:pPr>
      <w:r w:rsidRPr="009C5305">
        <w:rPr>
          <w:sz w:val="22"/>
          <w:szCs w:val="22"/>
        </w:rPr>
        <w:t xml:space="preserve">is valid until </w:t>
      </w:r>
      <w:r w:rsidR="00AC2D95">
        <w:rPr>
          <w:snapToGrid w:val="0"/>
          <w:sz w:val="22"/>
          <w:szCs w:val="22"/>
        </w:rPr>
        <w:t>30 November 2026</w:t>
      </w:r>
      <w:r w:rsidR="00680FEF">
        <w:rPr>
          <w:snapToGrid w:val="0"/>
          <w:sz w:val="22"/>
          <w:szCs w:val="22"/>
        </w:rPr>
        <w:t xml:space="preserve"> </w:t>
      </w:r>
      <w:r w:rsidRPr="009C5305">
        <w:rPr>
          <w:sz w:val="22"/>
          <w:szCs w:val="22"/>
        </w:rPr>
        <w:t>and;</w:t>
      </w:r>
    </w:p>
    <w:p w14:paraId="535945A4" w14:textId="77777777" w:rsidR="00BC3821" w:rsidRPr="009C5305" w:rsidRDefault="00BC3821" w:rsidP="001D1E4F">
      <w:pPr>
        <w:numPr>
          <w:ilvl w:val="0"/>
          <w:numId w:val="1"/>
        </w:numPr>
        <w:tabs>
          <w:tab w:val="num" w:pos="567"/>
        </w:tabs>
        <w:spacing w:after="120" w:line="276" w:lineRule="auto"/>
        <w:ind w:left="0" w:firstLine="0"/>
        <w:rPr>
          <w:sz w:val="22"/>
          <w:szCs w:val="22"/>
        </w:rPr>
      </w:pPr>
      <w:r w:rsidRPr="009C5305">
        <w:rPr>
          <w:sz w:val="22"/>
          <w:szCs w:val="22"/>
        </w:rPr>
        <w:t>is subject to the conditions applied under</w:t>
      </w:r>
      <w:r w:rsidR="00F96DC0" w:rsidRPr="009C5305">
        <w:rPr>
          <w:sz w:val="22"/>
          <w:szCs w:val="22"/>
        </w:rPr>
        <w:t xml:space="preserve"> section 303FT specified in </w:t>
      </w:r>
      <w:r w:rsidRPr="009C5305">
        <w:rPr>
          <w:sz w:val="22"/>
          <w:szCs w:val="22"/>
        </w:rPr>
        <w:t>Schedule</w:t>
      </w:r>
      <w:r w:rsidR="000F54BF">
        <w:rPr>
          <w:sz w:val="22"/>
          <w:szCs w:val="22"/>
        </w:rPr>
        <w:t> 1</w:t>
      </w:r>
      <w:r w:rsidRPr="009C5305">
        <w:rPr>
          <w:sz w:val="22"/>
          <w:szCs w:val="22"/>
        </w:rPr>
        <w:t>.</w:t>
      </w:r>
    </w:p>
    <w:p w14:paraId="22D18743" w14:textId="77777777" w:rsidR="00BC3821" w:rsidRPr="009C5305" w:rsidRDefault="00BC3821" w:rsidP="001D1E4F">
      <w:pPr>
        <w:spacing w:after="120" w:line="276" w:lineRule="auto"/>
        <w:jc w:val="center"/>
        <w:rPr>
          <w:sz w:val="22"/>
          <w:szCs w:val="22"/>
        </w:rPr>
      </w:pPr>
    </w:p>
    <w:p w14:paraId="5B3ED148" w14:textId="03819D9C" w:rsidR="00BC3821" w:rsidRDefault="00AD5D3C" w:rsidP="001D1E4F">
      <w:pPr>
        <w:spacing w:after="120" w:line="276" w:lineRule="auto"/>
        <w:jc w:val="center"/>
        <w:rPr>
          <w:sz w:val="22"/>
          <w:szCs w:val="22"/>
        </w:rPr>
      </w:pPr>
      <w:r w:rsidRPr="009C5305">
        <w:rPr>
          <w:sz w:val="22"/>
          <w:szCs w:val="22"/>
        </w:rPr>
        <w:t>Dated this</w:t>
      </w:r>
      <w:r w:rsidR="000F54BF">
        <w:rPr>
          <w:sz w:val="22"/>
          <w:szCs w:val="22"/>
        </w:rPr>
        <w:t xml:space="preserve"> </w:t>
      </w:r>
      <w:r w:rsidR="00C414FC">
        <w:rPr>
          <w:sz w:val="22"/>
          <w:szCs w:val="22"/>
        </w:rPr>
        <w:t>7th</w:t>
      </w:r>
      <w:r w:rsidR="000F54BF">
        <w:rPr>
          <w:sz w:val="22"/>
          <w:szCs w:val="22"/>
        </w:rPr>
        <w:t xml:space="preserve"> </w:t>
      </w:r>
      <w:r w:rsidRPr="009C5305">
        <w:rPr>
          <w:sz w:val="22"/>
          <w:szCs w:val="22"/>
        </w:rPr>
        <w:t>day of</w:t>
      </w:r>
      <w:r w:rsidR="000F54BF">
        <w:rPr>
          <w:sz w:val="22"/>
          <w:szCs w:val="22"/>
        </w:rPr>
        <w:t xml:space="preserve"> </w:t>
      </w:r>
      <w:r w:rsidR="00E8043D">
        <w:rPr>
          <w:sz w:val="22"/>
          <w:szCs w:val="22"/>
        </w:rPr>
        <w:t>January 2025</w:t>
      </w:r>
    </w:p>
    <w:p w14:paraId="29FBD825" w14:textId="77777777" w:rsidR="005470E3" w:rsidRDefault="005470E3" w:rsidP="005470E3">
      <w:pPr>
        <w:jc w:val="center"/>
        <w:rPr>
          <w:sz w:val="22"/>
          <w:szCs w:val="22"/>
        </w:rPr>
      </w:pPr>
    </w:p>
    <w:p w14:paraId="04F8E51A" w14:textId="78D8BDE9" w:rsidR="001A6E4C" w:rsidRDefault="001A6E4C" w:rsidP="005470E3">
      <w:pPr>
        <w:jc w:val="center"/>
        <w:rPr>
          <w:sz w:val="22"/>
          <w:szCs w:val="22"/>
        </w:rPr>
      </w:pPr>
    </w:p>
    <w:p w14:paraId="6B04CBBD" w14:textId="41899E14" w:rsidR="001A6E4C" w:rsidRDefault="001A6E4C" w:rsidP="005470E3">
      <w:pPr>
        <w:jc w:val="center"/>
        <w:rPr>
          <w:sz w:val="22"/>
          <w:szCs w:val="22"/>
        </w:rPr>
      </w:pPr>
    </w:p>
    <w:p w14:paraId="6B43C9F5" w14:textId="5B79CEF1" w:rsidR="00337560" w:rsidRPr="009C5305" w:rsidRDefault="005470E3" w:rsidP="005470E3">
      <w:pPr>
        <w:jc w:val="center"/>
        <w:rPr>
          <w:sz w:val="22"/>
          <w:szCs w:val="22"/>
        </w:rPr>
      </w:pPr>
      <w:r>
        <w:rPr>
          <w:sz w:val="22"/>
          <w:szCs w:val="22"/>
        </w:rPr>
        <w:t>MATT FLOOD</w:t>
      </w:r>
    </w:p>
    <w:p w14:paraId="13EF9CFD" w14:textId="77777777" w:rsidR="00BC3821" w:rsidRPr="009C5305" w:rsidRDefault="00BC3821" w:rsidP="005470E3">
      <w:pPr>
        <w:jc w:val="center"/>
        <w:rPr>
          <w:sz w:val="22"/>
          <w:szCs w:val="22"/>
        </w:rPr>
      </w:pPr>
      <w:r w:rsidRPr="009C5305">
        <w:rPr>
          <w:sz w:val="22"/>
          <w:szCs w:val="22"/>
        </w:rPr>
        <w:t>………….…….………………………………</w:t>
      </w:r>
      <w:r w:rsidR="00BF533B" w:rsidRPr="009C5305">
        <w:rPr>
          <w:sz w:val="22"/>
          <w:szCs w:val="22"/>
        </w:rPr>
        <w:t>…</w:t>
      </w:r>
    </w:p>
    <w:p w14:paraId="6A66439D" w14:textId="77777777" w:rsidR="00BC3821" w:rsidRPr="009C5305" w:rsidRDefault="00BC3821" w:rsidP="001D1E4F">
      <w:pPr>
        <w:spacing w:after="120" w:line="276" w:lineRule="auto"/>
        <w:jc w:val="center"/>
        <w:rPr>
          <w:snapToGrid w:val="0"/>
          <w:sz w:val="22"/>
          <w:szCs w:val="22"/>
        </w:rPr>
      </w:pPr>
      <w:bookmarkStart w:id="1" w:name="_Hlk40258754"/>
      <w:r w:rsidRPr="006C2FA5">
        <w:rPr>
          <w:snapToGrid w:val="0"/>
          <w:sz w:val="22"/>
          <w:szCs w:val="22"/>
        </w:rPr>
        <w:t>Delegate of the Minister</w:t>
      </w:r>
      <w:r w:rsidRPr="009C5305">
        <w:rPr>
          <w:snapToGrid w:val="0"/>
          <w:sz w:val="22"/>
          <w:szCs w:val="22"/>
        </w:rPr>
        <w:t xml:space="preserve"> for </w:t>
      </w:r>
      <w:r w:rsidR="00614914" w:rsidRPr="009C5305">
        <w:rPr>
          <w:sz w:val="22"/>
          <w:szCs w:val="22"/>
        </w:rPr>
        <w:t xml:space="preserve">the </w:t>
      </w:r>
      <w:r w:rsidR="00BF533B" w:rsidRPr="009C5305">
        <w:rPr>
          <w:sz w:val="22"/>
          <w:szCs w:val="22"/>
        </w:rPr>
        <w:t>Environment</w:t>
      </w:r>
      <w:r w:rsidR="00B364D4" w:rsidRPr="009C5305">
        <w:rPr>
          <w:sz w:val="22"/>
          <w:szCs w:val="22"/>
        </w:rPr>
        <w:t xml:space="preserve"> </w:t>
      </w:r>
      <w:r w:rsidR="000F54BF">
        <w:rPr>
          <w:sz w:val="22"/>
          <w:szCs w:val="22"/>
        </w:rPr>
        <w:t>and Water</w:t>
      </w:r>
    </w:p>
    <w:bookmarkEnd w:id="1"/>
    <w:p w14:paraId="703CD698" w14:textId="77777777" w:rsidR="00AC559D" w:rsidRDefault="00B85719" w:rsidP="00E130FE">
      <w:pPr>
        <w:keepNext/>
        <w:spacing w:after="120" w:line="276" w:lineRule="auto"/>
        <w:rPr>
          <w:sz w:val="18"/>
          <w:szCs w:val="18"/>
        </w:rPr>
      </w:pPr>
      <w:r w:rsidRPr="009C5305">
        <w:rPr>
          <w:sz w:val="18"/>
          <w:szCs w:val="18"/>
        </w:rPr>
        <w:lastRenderedPageBreak/>
        <w:t>Notes:</w:t>
      </w:r>
    </w:p>
    <w:p w14:paraId="69016905" w14:textId="13DA675A" w:rsidR="00B85719" w:rsidRPr="009C5305" w:rsidRDefault="00B85719" w:rsidP="00AC559D">
      <w:pPr>
        <w:numPr>
          <w:ilvl w:val="0"/>
          <w:numId w:val="15"/>
        </w:numPr>
        <w:spacing w:after="120" w:line="276" w:lineRule="auto"/>
        <w:rPr>
          <w:sz w:val="18"/>
          <w:szCs w:val="18"/>
        </w:rPr>
      </w:pPr>
      <w:r w:rsidRPr="009C5305">
        <w:rPr>
          <w:sz w:val="18"/>
          <w:szCs w:val="18"/>
        </w:rPr>
        <w:t xml:space="preserve">Under the </w:t>
      </w:r>
      <w:r w:rsidRPr="000F54BF">
        <w:rPr>
          <w:i/>
          <w:iCs/>
          <w:sz w:val="18"/>
          <w:szCs w:val="18"/>
        </w:rPr>
        <w:t xml:space="preserve">Administrative </w:t>
      </w:r>
      <w:r w:rsidR="006C2FA5">
        <w:rPr>
          <w:i/>
          <w:iCs/>
          <w:sz w:val="18"/>
          <w:szCs w:val="18"/>
        </w:rPr>
        <w:t>Review</w:t>
      </w:r>
      <w:r w:rsidRPr="000F54BF">
        <w:rPr>
          <w:i/>
          <w:iCs/>
          <w:sz w:val="18"/>
          <w:szCs w:val="18"/>
        </w:rPr>
        <w:t xml:space="preserve"> Tribunal Act </w:t>
      </w:r>
      <w:r w:rsidR="006C2FA5">
        <w:rPr>
          <w:i/>
          <w:iCs/>
          <w:sz w:val="18"/>
          <w:szCs w:val="18"/>
        </w:rPr>
        <w:t>2024</w:t>
      </w:r>
      <w:r w:rsidRPr="009C5305">
        <w:rPr>
          <w:sz w:val="18"/>
          <w:szCs w:val="18"/>
        </w:rPr>
        <w:t xml:space="preserve">, a person whose interests are affected by this decision may apply for a statement of reasons and for independent review of the decision. An application for a statement of reasons may be made in writing to the </w:t>
      </w:r>
      <w:bookmarkStart w:id="2" w:name="_Hlk40258863"/>
      <w:r w:rsidRPr="000F54BF">
        <w:rPr>
          <w:sz w:val="18"/>
          <w:szCs w:val="18"/>
        </w:rPr>
        <w:t xml:space="preserve">Department of </w:t>
      </w:r>
      <w:bookmarkEnd w:id="2"/>
      <w:r w:rsidR="000F54BF" w:rsidRPr="000F54BF">
        <w:rPr>
          <w:sz w:val="18"/>
          <w:szCs w:val="18"/>
        </w:rPr>
        <w:t xml:space="preserve">Climate Change, Energy, the Environment and Water </w:t>
      </w:r>
      <w:r w:rsidRPr="000F54BF">
        <w:rPr>
          <w:sz w:val="18"/>
          <w:szCs w:val="18"/>
        </w:rPr>
        <w:t xml:space="preserve">within 28 days of the date of the declaration. An application for independent review may be made to the Administrative </w:t>
      </w:r>
      <w:r w:rsidR="000F54BF" w:rsidRPr="000F54BF">
        <w:rPr>
          <w:sz w:val="18"/>
          <w:szCs w:val="18"/>
        </w:rPr>
        <w:t xml:space="preserve">Review </w:t>
      </w:r>
      <w:r w:rsidRPr="000F54BF">
        <w:rPr>
          <w:sz w:val="18"/>
          <w:szCs w:val="18"/>
        </w:rPr>
        <w:t xml:space="preserve">Tribunal on payment of the relevant fee within 28 days of the date of the declaration, or if reasons are sought, within 28 days of receipt of reasons. Further information may be obtained from the Director, </w:t>
      </w:r>
      <w:r w:rsidR="000F54BF" w:rsidRPr="000F54BF">
        <w:rPr>
          <w:sz w:val="18"/>
          <w:szCs w:val="18"/>
        </w:rPr>
        <w:t>Sustainable Fisheries Section</w:t>
      </w:r>
      <w:r w:rsidRPr="000F54BF">
        <w:rPr>
          <w:color w:val="000000"/>
          <w:sz w:val="18"/>
          <w:szCs w:val="18"/>
        </w:rPr>
        <w:t xml:space="preserve">, </w:t>
      </w:r>
      <w:r w:rsidRPr="000F54BF">
        <w:rPr>
          <w:sz w:val="18"/>
          <w:szCs w:val="18"/>
        </w:rPr>
        <w:t xml:space="preserve">Department of </w:t>
      </w:r>
      <w:r w:rsidR="000F54BF" w:rsidRPr="000F54BF">
        <w:rPr>
          <w:sz w:val="18"/>
          <w:szCs w:val="18"/>
        </w:rPr>
        <w:t>Climate</w:t>
      </w:r>
      <w:r w:rsidR="000F54BF">
        <w:rPr>
          <w:sz w:val="18"/>
          <w:szCs w:val="18"/>
        </w:rPr>
        <w:t xml:space="preserve"> Change, Energy, the Environment and Water, </w:t>
      </w:r>
      <w:r w:rsidRPr="009C5305">
        <w:rPr>
          <w:snapToGrid w:val="0"/>
          <w:sz w:val="18"/>
          <w:szCs w:val="18"/>
        </w:rPr>
        <w:t>Email: sustainablefisheries@</w:t>
      </w:r>
      <w:r w:rsidR="000F54BF">
        <w:rPr>
          <w:snapToGrid w:val="0"/>
          <w:sz w:val="18"/>
          <w:szCs w:val="18"/>
        </w:rPr>
        <w:t>dcceew</w:t>
      </w:r>
      <w:r w:rsidRPr="009C5305">
        <w:rPr>
          <w:snapToGrid w:val="0"/>
          <w:sz w:val="18"/>
          <w:szCs w:val="18"/>
        </w:rPr>
        <w:t>.gov.au</w:t>
      </w:r>
      <w:r w:rsidRPr="009C5305">
        <w:rPr>
          <w:sz w:val="18"/>
          <w:szCs w:val="18"/>
        </w:rPr>
        <w:t>.</w:t>
      </w:r>
    </w:p>
    <w:p w14:paraId="7626E2EB" w14:textId="77777777" w:rsidR="00B85719" w:rsidRDefault="00B85719" w:rsidP="00AC559D">
      <w:pPr>
        <w:numPr>
          <w:ilvl w:val="0"/>
          <w:numId w:val="15"/>
        </w:numPr>
        <w:spacing w:after="120" w:line="276" w:lineRule="auto"/>
        <w:rPr>
          <w:sz w:val="18"/>
          <w:szCs w:val="18"/>
        </w:rPr>
      </w:pPr>
      <w:r w:rsidRPr="00764F14">
        <w:rPr>
          <w:sz w:val="18"/>
          <w:szCs w:val="18"/>
        </w:rPr>
        <w:t>Australia’s obligations under the Convention on International Trade in Endangered Species of Wild Fauna and Flora (CITES) are met through Part 13A of the EPBC Act. Specimens of species listed in Appendix II of Australia’s CITES list under section 303CA of the EPBC Act may only be exported, under a CITES export permit issued under the EPBC Act, if Australia’s CITES Scientific Authority has issued a non-detriment finding for that species. Further information</w:t>
      </w:r>
      <w:r w:rsidR="00AC559D">
        <w:rPr>
          <w:sz w:val="18"/>
          <w:szCs w:val="18"/>
        </w:rPr>
        <w:t xml:space="preserve"> </w:t>
      </w:r>
      <w:r w:rsidRPr="00764F14">
        <w:rPr>
          <w:sz w:val="18"/>
          <w:szCs w:val="18"/>
        </w:rPr>
        <w:t xml:space="preserve">is available from </w:t>
      </w:r>
      <w:r w:rsidR="00AC559D" w:rsidRPr="00AC559D">
        <w:rPr>
          <w:sz w:val="18"/>
          <w:szCs w:val="18"/>
        </w:rPr>
        <w:t>https://www.dcceew.gov.au/environment/wildlife-trade/cites</w:t>
      </w:r>
      <w:r w:rsidRPr="00764F14">
        <w:rPr>
          <w:sz w:val="18"/>
          <w:szCs w:val="18"/>
        </w:rPr>
        <w:t>.</w:t>
      </w:r>
    </w:p>
    <w:p w14:paraId="4CDC461C" w14:textId="77777777" w:rsidR="00680FEF" w:rsidRDefault="00B85719" w:rsidP="00680FEF">
      <w:pPr>
        <w:pStyle w:val="BlockText"/>
        <w:spacing w:after="120" w:line="276" w:lineRule="auto"/>
        <w:ind w:left="0" w:right="0"/>
        <w:jc w:val="right"/>
        <w:rPr>
          <w:szCs w:val="24"/>
        </w:rPr>
      </w:pPr>
      <w:r w:rsidRPr="009C5305">
        <w:rPr>
          <w:szCs w:val="24"/>
        </w:rPr>
        <w:br w:type="page"/>
      </w:r>
      <w:r w:rsidR="00680FEF">
        <w:rPr>
          <w:szCs w:val="24"/>
        </w:rPr>
        <w:lastRenderedPageBreak/>
        <w:t>Schedule 1</w:t>
      </w:r>
    </w:p>
    <w:p w14:paraId="397A7A03" w14:textId="28A7EA65" w:rsidR="00BC3821" w:rsidRPr="009C5305" w:rsidRDefault="00BC3821" w:rsidP="001D1E4F">
      <w:pPr>
        <w:pStyle w:val="BlockText"/>
        <w:spacing w:after="120" w:line="276" w:lineRule="auto"/>
        <w:ind w:left="0" w:right="0"/>
        <w:rPr>
          <w:szCs w:val="24"/>
        </w:rPr>
      </w:pPr>
      <w:r w:rsidRPr="00AC2D95">
        <w:rPr>
          <w:szCs w:val="24"/>
        </w:rPr>
        <w:t xml:space="preserve">Declaration of the </w:t>
      </w:r>
      <w:r w:rsidR="00D63915" w:rsidRPr="00AC2D95">
        <w:rPr>
          <w:szCs w:val="24"/>
        </w:rPr>
        <w:t>h</w:t>
      </w:r>
      <w:r w:rsidRPr="00AC2D95">
        <w:rPr>
          <w:szCs w:val="24"/>
        </w:rPr>
        <w:t xml:space="preserve">arvest </w:t>
      </w:r>
      <w:r w:rsidR="00D63915" w:rsidRPr="00AC2D95">
        <w:rPr>
          <w:szCs w:val="24"/>
        </w:rPr>
        <w:t>o</w:t>
      </w:r>
      <w:r w:rsidRPr="00AC2D95">
        <w:rPr>
          <w:szCs w:val="24"/>
        </w:rPr>
        <w:t xml:space="preserve">perations of the </w:t>
      </w:r>
      <w:r w:rsidR="00AC2D95" w:rsidRPr="00AC2D95">
        <w:rPr>
          <w:szCs w:val="24"/>
          <w:lang w:val="en-US"/>
        </w:rPr>
        <w:t xml:space="preserve">Commonwealth Torres Strait </w:t>
      </w:r>
      <w:proofErr w:type="spellStart"/>
      <w:r w:rsidR="00AC2D95" w:rsidRPr="00AC2D95">
        <w:rPr>
          <w:szCs w:val="24"/>
          <w:lang w:val="en-US"/>
        </w:rPr>
        <w:t>Bêche</w:t>
      </w:r>
      <w:proofErr w:type="spellEnd"/>
      <w:r w:rsidR="00AC2D95" w:rsidRPr="00AC2D95">
        <w:rPr>
          <w:szCs w:val="24"/>
          <w:lang w:val="en-US"/>
        </w:rPr>
        <w:t>-de-</w:t>
      </w:r>
      <w:proofErr w:type="spellStart"/>
      <w:r w:rsidR="00AC2D95" w:rsidRPr="00AC2D95">
        <w:rPr>
          <w:szCs w:val="24"/>
          <w:lang w:val="en-US"/>
        </w:rPr>
        <w:t>mer</w:t>
      </w:r>
      <w:proofErr w:type="spellEnd"/>
      <w:r w:rsidR="00AC2D95" w:rsidRPr="00AC2D95">
        <w:rPr>
          <w:szCs w:val="24"/>
          <w:lang w:val="en-US"/>
        </w:rPr>
        <w:t xml:space="preserve"> Fishery</w:t>
      </w:r>
      <w:r w:rsidRPr="00AC2D95">
        <w:rPr>
          <w:szCs w:val="24"/>
        </w:rPr>
        <w:t xml:space="preserve"> as</w:t>
      </w:r>
      <w:r w:rsidRPr="009C5305">
        <w:rPr>
          <w:szCs w:val="24"/>
        </w:rPr>
        <w:t xml:space="preserve"> an approved </w:t>
      </w:r>
      <w:r w:rsidR="00C665C2" w:rsidRPr="009C5305">
        <w:rPr>
          <w:szCs w:val="24"/>
        </w:rPr>
        <w:t>w</w:t>
      </w:r>
      <w:r w:rsidRPr="009C5305">
        <w:rPr>
          <w:szCs w:val="24"/>
        </w:rPr>
        <w:t xml:space="preserve">ildlife </w:t>
      </w:r>
      <w:r w:rsidR="00C665C2" w:rsidRPr="009C5305">
        <w:rPr>
          <w:szCs w:val="24"/>
        </w:rPr>
        <w:t>t</w:t>
      </w:r>
      <w:r w:rsidRPr="009C5305">
        <w:rPr>
          <w:szCs w:val="24"/>
        </w:rPr>
        <w:t xml:space="preserve">rade </w:t>
      </w:r>
      <w:r w:rsidR="00C665C2" w:rsidRPr="009C5305">
        <w:rPr>
          <w:szCs w:val="24"/>
        </w:rPr>
        <w:t>o</w:t>
      </w:r>
      <w:r w:rsidRPr="009C5305">
        <w:rPr>
          <w:szCs w:val="24"/>
        </w:rPr>
        <w:t xml:space="preserve">peration, </w:t>
      </w:r>
      <w:r w:rsidR="00AC2D95">
        <w:rPr>
          <w:szCs w:val="24"/>
        </w:rPr>
        <w:t>January 2025</w:t>
      </w:r>
    </w:p>
    <w:p w14:paraId="2AA796C3" w14:textId="77777777" w:rsidR="00BC3821" w:rsidRPr="00680FEF" w:rsidRDefault="00BC3821" w:rsidP="001D1E4F">
      <w:pPr>
        <w:spacing w:after="120" w:line="276" w:lineRule="auto"/>
        <w:jc w:val="center"/>
        <w:rPr>
          <w:sz w:val="22"/>
          <w:szCs w:val="22"/>
        </w:rPr>
      </w:pPr>
    </w:p>
    <w:p w14:paraId="7A4F903A" w14:textId="77777777" w:rsidR="00BC3821" w:rsidRPr="00680FEF" w:rsidRDefault="00BC3821" w:rsidP="004875EA">
      <w:pPr>
        <w:spacing w:before="120" w:line="276" w:lineRule="auto"/>
        <w:rPr>
          <w:b/>
          <w:bCs/>
          <w:sz w:val="22"/>
          <w:szCs w:val="22"/>
        </w:rPr>
      </w:pPr>
      <w:r w:rsidRPr="00680FEF">
        <w:rPr>
          <w:b/>
          <w:bCs/>
          <w:sz w:val="22"/>
          <w:szCs w:val="22"/>
        </w:rPr>
        <w:t>ADDITIONAL PROVISIONS (section 303FT)</w:t>
      </w:r>
    </w:p>
    <w:p w14:paraId="595CF5A8" w14:textId="2E6A32E2" w:rsidR="00BC3821" w:rsidRPr="00680FEF" w:rsidRDefault="00BC3821" w:rsidP="004875EA">
      <w:pPr>
        <w:spacing w:before="120" w:line="276" w:lineRule="auto"/>
        <w:rPr>
          <w:sz w:val="22"/>
          <w:szCs w:val="22"/>
        </w:rPr>
      </w:pPr>
      <w:r w:rsidRPr="00680FEF">
        <w:rPr>
          <w:sz w:val="22"/>
          <w:szCs w:val="22"/>
        </w:rPr>
        <w:t xml:space="preserve">Relating to the harvesting of fish </w:t>
      </w:r>
      <w:r w:rsidRPr="00680FEF">
        <w:rPr>
          <w:snapToGrid w:val="0"/>
          <w:sz w:val="22"/>
          <w:szCs w:val="22"/>
        </w:rPr>
        <w:t xml:space="preserve">specimens that are, or are derived from, fish or invertebrates, other than </w:t>
      </w:r>
      <w:r w:rsidRPr="00680FEF">
        <w:rPr>
          <w:sz w:val="22"/>
          <w:szCs w:val="22"/>
        </w:rPr>
        <w:t xml:space="preserve">specimens of species listed under Part 13 </w:t>
      </w:r>
      <w:r w:rsidR="00CF5312" w:rsidRPr="00680FEF">
        <w:rPr>
          <w:sz w:val="22"/>
          <w:szCs w:val="22"/>
        </w:rPr>
        <w:t>and</w:t>
      </w:r>
      <w:r w:rsidR="00DA6600" w:rsidRPr="00680FEF">
        <w:rPr>
          <w:sz w:val="22"/>
          <w:szCs w:val="22"/>
        </w:rPr>
        <w:t xml:space="preserve"> Part 13A </w:t>
      </w:r>
      <w:r w:rsidRPr="00680FEF">
        <w:rPr>
          <w:sz w:val="22"/>
          <w:szCs w:val="22"/>
        </w:rPr>
        <w:t xml:space="preserve">of the </w:t>
      </w:r>
      <w:r w:rsidR="00C665C2" w:rsidRPr="00680FEF">
        <w:rPr>
          <w:i/>
          <w:sz w:val="22"/>
          <w:szCs w:val="22"/>
        </w:rPr>
        <w:t>Environment</w:t>
      </w:r>
      <w:r w:rsidR="001754B3" w:rsidRPr="00680FEF">
        <w:rPr>
          <w:i/>
          <w:sz w:val="22"/>
          <w:szCs w:val="22"/>
        </w:rPr>
        <w:t xml:space="preserve"> </w:t>
      </w:r>
      <w:r w:rsidRPr="00680FEF">
        <w:rPr>
          <w:i/>
          <w:sz w:val="22"/>
          <w:szCs w:val="22"/>
        </w:rPr>
        <w:t>Protection and Biodiversity Conservation Act 1999</w:t>
      </w:r>
      <w:r w:rsidRPr="00680FEF">
        <w:rPr>
          <w:sz w:val="22"/>
          <w:szCs w:val="22"/>
        </w:rPr>
        <w:t xml:space="preserve"> (EPBC Act)</w:t>
      </w:r>
      <w:r w:rsidR="00680FEF">
        <w:rPr>
          <w:sz w:val="22"/>
          <w:szCs w:val="22"/>
        </w:rPr>
        <w:t xml:space="preserve">, unless those </w:t>
      </w:r>
      <w:r w:rsidR="00E130FE">
        <w:rPr>
          <w:sz w:val="22"/>
          <w:szCs w:val="22"/>
        </w:rPr>
        <w:t>specimens</w:t>
      </w:r>
      <w:r w:rsidR="00680FEF">
        <w:rPr>
          <w:sz w:val="22"/>
          <w:szCs w:val="22"/>
        </w:rPr>
        <w:t xml:space="preserve"> are subject to any exceptions as outlined in this declaration</w:t>
      </w:r>
      <w:r w:rsidRPr="00680FEF">
        <w:rPr>
          <w:sz w:val="22"/>
          <w:szCs w:val="22"/>
        </w:rPr>
        <w:t>,</w:t>
      </w:r>
      <w:r w:rsidRPr="00680FEF">
        <w:rPr>
          <w:snapToGrid w:val="0"/>
          <w:sz w:val="22"/>
          <w:szCs w:val="22"/>
        </w:rPr>
        <w:t xml:space="preserve"> taken in </w:t>
      </w:r>
      <w:r w:rsidRPr="00AC2D95">
        <w:rPr>
          <w:snapToGrid w:val="0"/>
          <w:sz w:val="22"/>
          <w:szCs w:val="22"/>
        </w:rPr>
        <w:t xml:space="preserve">the </w:t>
      </w:r>
      <w:r w:rsidR="00AC2D95" w:rsidRPr="00AC2D95">
        <w:rPr>
          <w:sz w:val="22"/>
          <w:szCs w:val="22"/>
        </w:rPr>
        <w:t xml:space="preserve">Commonwealth Torres Strait </w:t>
      </w:r>
      <w:proofErr w:type="spellStart"/>
      <w:r w:rsidR="00AC2D95" w:rsidRPr="00AC2D95">
        <w:rPr>
          <w:sz w:val="22"/>
          <w:szCs w:val="22"/>
        </w:rPr>
        <w:t>Bêche</w:t>
      </w:r>
      <w:proofErr w:type="spellEnd"/>
      <w:r w:rsidR="00AC2D95" w:rsidRPr="00AC2D95">
        <w:rPr>
          <w:sz w:val="22"/>
          <w:szCs w:val="22"/>
        </w:rPr>
        <w:t>-de-</w:t>
      </w:r>
      <w:proofErr w:type="spellStart"/>
      <w:r w:rsidR="00AC2D95" w:rsidRPr="00AC2D95">
        <w:rPr>
          <w:sz w:val="22"/>
          <w:szCs w:val="22"/>
        </w:rPr>
        <w:t>mer</w:t>
      </w:r>
      <w:proofErr w:type="spellEnd"/>
      <w:r w:rsidR="00AC2D95" w:rsidRPr="00AC2D95">
        <w:rPr>
          <w:sz w:val="22"/>
          <w:szCs w:val="22"/>
        </w:rPr>
        <w:t xml:space="preserve"> Fishery</w:t>
      </w:r>
      <w:r w:rsidRPr="00AC2D95">
        <w:rPr>
          <w:sz w:val="22"/>
          <w:szCs w:val="22"/>
        </w:rPr>
        <w:t>:</w:t>
      </w:r>
    </w:p>
    <w:p w14:paraId="31D17C05" w14:textId="77777777" w:rsidR="00AC2D95" w:rsidRPr="00AC2D95" w:rsidRDefault="00AC2D95" w:rsidP="004875EA">
      <w:pPr>
        <w:spacing w:before="120" w:line="278" w:lineRule="auto"/>
        <w:rPr>
          <w:rFonts w:eastAsia="Aptos"/>
          <w:kern w:val="2"/>
          <w:lang w:val="en-AU"/>
          <w14:ligatures w14:val="standardContextual"/>
        </w:rPr>
      </w:pPr>
      <w:r w:rsidRPr="00AC2D95">
        <w:rPr>
          <w:rFonts w:eastAsia="Aptos"/>
          <w:b/>
          <w:bCs/>
          <w:kern w:val="2"/>
          <w:lang w:val="en-AU"/>
          <w14:ligatures w14:val="standardContextual"/>
        </w:rPr>
        <w:t>Condition 1</w:t>
      </w:r>
    </w:p>
    <w:p w14:paraId="36631DC8" w14:textId="283F55F6" w:rsidR="00CF5312" w:rsidRPr="000530C2" w:rsidRDefault="00AC2D95" w:rsidP="004875EA">
      <w:pPr>
        <w:spacing w:before="120" w:line="276" w:lineRule="auto"/>
        <w:rPr>
          <w:rFonts w:eastAsia="Aptos"/>
          <w:kern w:val="2"/>
          <w:lang w:val="en-AU"/>
          <w14:ligatures w14:val="standardContextual"/>
        </w:rPr>
      </w:pPr>
      <w:r w:rsidRPr="000530C2">
        <w:rPr>
          <w:rFonts w:eastAsia="Aptos"/>
          <w:kern w:val="2"/>
          <w:lang w:val="en-AU"/>
          <w14:ligatures w14:val="standardContextual"/>
        </w:rPr>
        <w:t xml:space="preserve">Operation of the Commonwealth Torres Strait </w:t>
      </w:r>
      <w:proofErr w:type="spellStart"/>
      <w:r w:rsidRPr="000530C2">
        <w:rPr>
          <w:rFonts w:eastAsia="Aptos"/>
          <w:kern w:val="2"/>
          <w:lang w:val="en-AU"/>
          <w14:ligatures w14:val="standardContextual"/>
        </w:rPr>
        <w:t>Bêche</w:t>
      </w:r>
      <w:proofErr w:type="spellEnd"/>
      <w:r w:rsidRPr="000530C2">
        <w:rPr>
          <w:rFonts w:eastAsia="Aptos"/>
          <w:kern w:val="2"/>
          <w:lang w:val="en-AU"/>
          <w14:ligatures w14:val="standardContextual"/>
        </w:rPr>
        <w:t>-de-</w:t>
      </w:r>
      <w:proofErr w:type="spellStart"/>
      <w:r w:rsidRPr="000530C2">
        <w:rPr>
          <w:rFonts w:eastAsia="Aptos"/>
          <w:kern w:val="2"/>
          <w:lang w:val="en-AU"/>
          <w14:ligatures w14:val="standardContextual"/>
        </w:rPr>
        <w:t>mer</w:t>
      </w:r>
      <w:proofErr w:type="spellEnd"/>
      <w:r w:rsidRPr="000530C2">
        <w:rPr>
          <w:rFonts w:eastAsia="Aptos"/>
          <w:kern w:val="2"/>
          <w:lang w:val="en-AU"/>
          <w14:ligatures w14:val="standardContextual"/>
        </w:rPr>
        <w:t xml:space="preserve"> Fishery must be carried out in accordance with the management regime in force under the </w:t>
      </w:r>
      <w:r w:rsidRPr="000530C2">
        <w:rPr>
          <w:rFonts w:eastAsia="Aptos"/>
          <w:i/>
          <w:iCs/>
          <w:kern w:val="2"/>
          <w:lang w:val="en-AU"/>
          <w14:ligatures w14:val="standardContextual"/>
        </w:rPr>
        <w:t>Torres Strait Fisheries Act 1984</w:t>
      </w:r>
      <w:r w:rsidRPr="000530C2">
        <w:rPr>
          <w:rFonts w:eastAsia="Aptos"/>
          <w:kern w:val="2"/>
          <w:lang w:val="en-AU"/>
          <w14:ligatures w14:val="standardContextual"/>
        </w:rPr>
        <w:t> (</w:t>
      </w:r>
      <w:proofErr w:type="spellStart"/>
      <w:r w:rsidRPr="000530C2">
        <w:rPr>
          <w:rFonts w:eastAsia="Aptos"/>
          <w:kern w:val="2"/>
          <w:lang w:val="en-AU"/>
          <w14:ligatures w14:val="standardContextual"/>
        </w:rPr>
        <w:t>Cth</w:t>
      </w:r>
      <w:proofErr w:type="spellEnd"/>
      <w:r w:rsidRPr="000530C2">
        <w:rPr>
          <w:rFonts w:eastAsia="Aptos"/>
          <w:kern w:val="2"/>
          <w:lang w:val="en-AU"/>
          <w14:ligatures w14:val="standardContextual"/>
        </w:rPr>
        <w:t>), Torres Strait Fisheries Regulations 1985 (</w:t>
      </w:r>
      <w:proofErr w:type="spellStart"/>
      <w:r w:rsidRPr="000530C2">
        <w:rPr>
          <w:rFonts w:eastAsia="Aptos"/>
          <w:kern w:val="2"/>
          <w:lang w:val="en-AU"/>
          <w14:ligatures w14:val="standardContextual"/>
        </w:rPr>
        <w:t>Cth</w:t>
      </w:r>
      <w:proofErr w:type="spellEnd"/>
      <w:r w:rsidRPr="000530C2">
        <w:rPr>
          <w:rFonts w:eastAsia="Aptos"/>
          <w:kern w:val="2"/>
          <w:lang w:val="en-AU"/>
          <w14:ligatures w14:val="standardContextual"/>
        </w:rPr>
        <w:t>), Torres Strait Fisheries (</w:t>
      </w:r>
      <w:proofErr w:type="spellStart"/>
      <w:r w:rsidRPr="000530C2">
        <w:rPr>
          <w:rFonts w:eastAsia="Aptos"/>
          <w:kern w:val="2"/>
          <w:lang w:val="en-AU"/>
          <w14:ligatures w14:val="standardContextual"/>
        </w:rPr>
        <w:t>Bêche</w:t>
      </w:r>
      <w:proofErr w:type="spellEnd"/>
      <w:r w:rsidRPr="000530C2">
        <w:rPr>
          <w:rFonts w:eastAsia="Aptos"/>
          <w:kern w:val="2"/>
          <w:lang w:val="en-AU"/>
          <w14:ligatures w14:val="standardContextual"/>
        </w:rPr>
        <w:t>-de-</w:t>
      </w:r>
      <w:proofErr w:type="spellStart"/>
      <w:r w:rsidRPr="000530C2">
        <w:rPr>
          <w:rFonts w:eastAsia="Aptos"/>
          <w:kern w:val="2"/>
          <w:lang w:val="en-AU"/>
          <w14:ligatures w14:val="standardContextual"/>
        </w:rPr>
        <w:t>mer</w:t>
      </w:r>
      <w:proofErr w:type="spellEnd"/>
      <w:r w:rsidRPr="000530C2">
        <w:rPr>
          <w:rFonts w:eastAsia="Aptos"/>
          <w:kern w:val="2"/>
          <w:lang w:val="en-AU"/>
          <w14:ligatures w14:val="standardContextual"/>
        </w:rPr>
        <w:t xml:space="preserve">) Management Instrument 2022 and Torres Strait </w:t>
      </w:r>
      <w:proofErr w:type="spellStart"/>
      <w:r w:rsidRPr="000530C2">
        <w:rPr>
          <w:rFonts w:eastAsia="Aptos"/>
          <w:kern w:val="2"/>
          <w:lang w:val="en-AU"/>
          <w14:ligatures w14:val="standardContextual"/>
        </w:rPr>
        <w:t>Bêche</w:t>
      </w:r>
      <w:proofErr w:type="spellEnd"/>
      <w:r w:rsidRPr="000530C2">
        <w:rPr>
          <w:rFonts w:eastAsia="Aptos"/>
          <w:kern w:val="2"/>
          <w:lang w:val="en-AU"/>
          <w14:ligatures w14:val="standardContextual"/>
        </w:rPr>
        <w:t>-de-</w:t>
      </w:r>
      <w:proofErr w:type="spellStart"/>
      <w:r w:rsidRPr="000530C2">
        <w:rPr>
          <w:rFonts w:eastAsia="Aptos"/>
          <w:kern w:val="2"/>
          <w:lang w:val="en-AU"/>
          <w14:ligatures w14:val="standardContextual"/>
        </w:rPr>
        <w:t>mer</w:t>
      </w:r>
      <w:proofErr w:type="spellEnd"/>
      <w:r w:rsidRPr="000530C2">
        <w:rPr>
          <w:rFonts w:eastAsia="Aptos"/>
          <w:kern w:val="2"/>
          <w:lang w:val="en-AU"/>
          <w14:ligatures w14:val="standardContextual"/>
        </w:rPr>
        <w:t xml:space="preserve"> Fishery Harvest Strategy.</w:t>
      </w:r>
    </w:p>
    <w:p w14:paraId="08DEDB1B" w14:textId="77777777" w:rsidR="00AC2D95" w:rsidRPr="00AC2D95" w:rsidRDefault="00AC2D95" w:rsidP="004875EA">
      <w:pPr>
        <w:spacing w:before="120" w:line="278" w:lineRule="auto"/>
        <w:rPr>
          <w:rFonts w:eastAsia="Aptos"/>
          <w:kern w:val="2"/>
          <w:lang w:val="en-AU"/>
          <w14:ligatures w14:val="standardContextual"/>
        </w:rPr>
      </w:pPr>
      <w:r w:rsidRPr="00AC2D95">
        <w:rPr>
          <w:rFonts w:eastAsia="Aptos"/>
          <w:b/>
          <w:bCs/>
          <w:kern w:val="2"/>
          <w:lang w:val="en-AU"/>
          <w14:ligatures w14:val="standardContextual"/>
        </w:rPr>
        <w:t>Condition 2</w:t>
      </w:r>
    </w:p>
    <w:p w14:paraId="679AEE01" w14:textId="7E875E08" w:rsidR="00AC2D95" w:rsidRPr="000530C2" w:rsidRDefault="00AC2D95" w:rsidP="004875EA">
      <w:pPr>
        <w:spacing w:before="120" w:line="276" w:lineRule="auto"/>
        <w:rPr>
          <w:rFonts w:eastAsia="Aptos"/>
          <w:kern w:val="2"/>
          <w:lang w:val="en-AU"/>
          <w14:ligatures w14:val="standardContextual"/>
        </w:rPr>
      </w:pPr>
      <w:r w:rsidRPr="000530C2">
        <w:rPr>
          <w:rFonts w:eastAsia="Aptos"/>
          <w:kern w:val="2"/>
          <w:lang w:val="en-AU"/>
          <w14:ligatures w14:val="standardContextual"/>
        </w:rPr>
        <w:t xml:space="preserve">The Australian Fisheries Management Authority must inform the Department of Climate Change, Energy, the Environment and Water of any intended material changes to the </w:t>
      </w:r>
      <w:r w:rsidR="000530C2" w:rsidRPr="000530C2">
        <w:rPr>
          <w:rFonts w:eastAsia="Aptos"/>
          <w:kern w:val="2"/>
          <w:lang w:val="en-AU"/>
          <w14:ligatures w14:val="standardContextual"/>
        </w:rPr>
        <w:t xml:space="preserve">Commonwealth </w:t>
      </w:r>
      <w:r w:rsidRPr="000530C2">
        <w:rPr>
          <w:rFonts w:eastAsia="Aptos"/>
          <w:kern w:val="2"/>
          <w:lang w:val="en-AU"/>
          <w14:ligatures w14:val="standardContextual"/>
        </w:rPr>
        <w:t xml:space="preserve">Torres Strait </w:t>
      </w:r>
      <w:proofErr w:type="spellStart"/>
      <w:r w:rsidRPr="000530C2">
        <w:rPr>
          <w:rFonts w:eastAsia="Aptos"/>
          <w:kern w:val="2"/>
          <w:lang w:val="en-AU"/>
          <w14:ligatures w14:val="standardContextual"/>
        </w:rPr>
        <w:t>Bêche</w:t>
      </w:r>
      <w:proofErr w:type="spellEnd"/>
      <w:r w:rsidRPr="000530C2">
        <w:rPr>
          <w:rFonts w:eastAsia="Aptos"/>
          <w:kern w:val="2"/>
          <w:lang w:val="en-AU"/>
          <w14:ligatures w14:val="standardContextual"/>
        </w:rPr>
        <w:t>-de-</w:t>
      </w:r>
      <w:proofErr w:type="spellStart"/>
      <w:r w:rsidRPr="000530C2">
        <w:rPr>
          <w:rFonts w:eastAsia="Aptos"/>
          <w:kern w:val="2"/>
          <w:lang w:val="en-AU"/>
          <w14:ligatures w14:val="standardContextual"/>
        </w:rPr>
        <w:t>mer</w:t>
      </w:r>
      <w:proofErr w:type="spellEnd"/>
      <w:r w:rsidRPr="000530C2">
        <w:rPr>
          <w:rFonts w:eastAsia="Aptos"/>
          <w:kern w:val="2"/>
          <w:lang w:val="en-AU"/>
          <w14:ligatures w14:val="standardContextual"/>
        </w:rPr>
        <w:t xml:space="preserve"> Fishery management arrangements that may affect the assessment against which </w:t>
      </w:r>
      <w:r w:rsidRPr="000530C2">
        <w:rPr>
          <w:rFonts w:eastAsia="Aptos"/>
          <w:i/>
          <w:iCs/>
          <w:kern w:val="2"/>
          <w:lang w:val="en-AU"/>
          <w14:ligatures w14:val="standardContextual"/>
        </w:rPr>
        <w:t>Environment Protection and Biodiversity Conservation Act 1999</w:t>
      </w:r>
      <w:r w:rsidRPr="000530C2">
        <w:rPr>
          <w:rFonts w:eastAsia="Aptos"/>
          <w:kern w:val="2"/>
          <w:lang w:val="en-AU"/>
          <w14:ligatures w14:val="standardContextual"/>
        </w:rPr>
        <w:t> (</w:t>
      </w:r>
      <w:proofErr w:type="spellStart"/>
      <w:r w:rsidRPr="000530C2">
        <w:rPr>
          <w:rFonts w:eastAsia="Aptos"/>
          <w:kern w:val="2"/>
          <w:lang w:val="en-AU"/>
          <w14:ligatures w14:val="standardContextual"/>
        </w:rPr>
        <w:t>Cth</w:t>
      </w:r>
      <w:proofErr w:type="spellEnd"/>
      <w:r w:rsidRPr="000530C2">
        <w:rPr>
          <w:rFonts w:eastAsia="Aptos"/>
          <w:kern w:val="2"/>
          <w:lang w:val="en-AU"/>
          <w14:ligatures w14:val="standardContextual"/>
        </w:rPr>
        <w:t>) decisions are made.</w:t>
      </w:r>
    </w:p>
    <w:p w14:paraId="14596487" w14:textId="77777777" w:rsidR="00AC2D95" w:rsidRPr="00AC2D95" w:rsidRDefault="00AC2D95" w:rsidP="004875EA">
      <w:pPr>
        <w:spacing w:before="120" w:line="278" w:lineRule="auto"/>
        <w:rPr>
          <w:rFonts w:eastAsia="Aptos"/>
          <w:kern w:val="2"/>
          <w:lang w:val="en-AU"/>
          <w14:ligatures w14:val="standardContextual"/>
        </w:rPr>
      </w:pPr>
      <w:r w:rsidRPr="00AC2D95">
        <w:rPr>
          <w:rFonts w:eastAsia="Aptos"/>
          <w:b/>
          <w:bCs/>
          <w:kern w:val="2"/>
          <w:lang w:val="en-AU"/>
          <w14:ligatures w14:val="standardContextual"/>
        </w:rPr>
        <w:t>Condition 3</w:t>
      </w:r>
    </w:p>
    <w:p w14:paraId="36FC9E80" w14:textId="44724238" w:rsidR="00AC2D95" w:rsidRPr="000530C2" w:rsidRDefault="00AC2D95" w:rsidP="004875EA">
      <w:pPr>
        <w:spacing w:before="120" w:line="276" w:lineRule="auto"/>
        <w:rPr>
          <w:rFonts w:eastAsia="Aptos"/>
          <w:kern w:val="2"/>
          <w:lang w:val="en-AU"/>
          <w14:ligatures w14:val="standardContextual"/>
        </w:rPr>
      </w:pPr>
      <w:r w:rsidRPr="000530C2">
        <w:rPr>
          <w:rFonts w:eastAsia="Aptos"/>
          <w:kern w:val="2"/>
          <w:lang w:val="en-AU"/>
          <w14:ligatures w14:val="standardContextual"/>
        </w:rPr>
        <w:t>The Australian Fisheries Management Authority must inform the Department of Climate Change, Energy, the Environment and Water of any intended changes to fisheries legislation that may affect the legislative instruments relevant to this approval.</w:t>
      </w:r>
    </w:p>
    <w:p w14:paraId="57C3561B" w14:textId="77777777" w:rsidR="00AC2D95" w:rsidRPr="00AC2D95" w:rsidRDefault="00AC2D95" w:rsidP="004875EA">
      <w:pPr>
        <w:spacing w:before="120" w:line="278" w:lineRule="auto"/>
        <w:rPr>
          <w:rFonts w:eastAsia="Aptos"/>
          <w:kern w:val="2"/>
          <w:lang w:val="en-AU"/>
          <w14:ligatures w14:val="standardContextual"/>
        </w:rPr>
      </w:pPr>
      <w:r w:rsidRPr="00AC2D95">
        <w:rPr>
          <w:rFonts w:eastAsia="Aptos"/>
          <w:b/>
          <w:bCs/>
          <w:kern w:val="2"/>
          <w:lang w:val="en-AU"/>
          <w14:ligatures w14:val="standardContextual"/>
        </w:rPr>
        <w:t>Condition 4</w:t>
      </w:r>
    </w:p>
    <w:p w14:paraId="7BCB3CE5" w14:textId="429468C8" w:rsidR="00AC2D95" w:rsidRPr="00AC2D95" w:rsidRDefault="00AC2D95" w:rsidP="004875EA">
      <w:pPr>
        <w:spacing w:before="120" w:line="278" w:lineRule="auto"/>
        <w:rPr>
          <w:rFonts w:eastAsia="Aptos"/>
          <w:kern w:val="2"/>
          <w:lang w:val="en-AU"/>
          <w14:ligatures w14:val="standardContextual"/>
        </w:rPr>
      </w:pPr>
      <w:r w:rsidRPr="00AC2D95">
        <w:rPr>
          <w:rFonts w:eastAsia="Aptos"/>
          <w:kern w:val="2"/>
          <w:lang w:val="en-AU"/>
          <w14:ligatures w14:val="standardContextual"/>
        </w:rPr>
        <w:t>The Australian Fisheries Management Authority must produce and present reports on the</w:t>
      </w:r>
      <w:r w:rsidR="000530C2" w:rsidRPr="000530C2">
        <w:rPr>
          <w:rFonts w:eastAsia="Aptos"/>
          <w:kern w:val="2"/>
          <w:lang w:val="en-AU"/>
          <w14:ligatures w14:val="standardContextual"/>
        </w:rPr>
        <w:t xml:space="preserve"> Commonwealth</w:t>
      </w:r>
      <w:r w:rsidRPr="00AC2D95">
        <w:rPr>
          <w:rFonts w:eastAsia="Aptos"/>
          <w:kern w:val="2"/>
          <w:lang w:val="en-AU"/>
          <w14:ligatures w14:val="standardContextual"/>
        </w:rPr>
        <w:t xml:space="preserve"> Torres Strait </w:t>
      </w:r>
      <w:proofErr w:type="spellStart"/>
      <w:r w:rsidRPr="00AC2D95">
        <w:rPr>
          <w:rFonts w:eastAsia="Aptos"/>
          <w:kern w:val="2"/>
          <w:lang w:val="en-AU"/>
          <w14:ligatures w14:val="standardContextual"/>
        </w:rPr>
        <w:t>Bêche</w:t>
      </w:r>
      <w:proofErr w:type="spellEnd"/>
      <w:r w:rsidRPr="00AC2D95">
        <w:rPr>
          <w:rFonts w:eastAsia="Aptos"/>
          <w:kern w:val="2"/>
          <w:lang w:val="en-AU"/>
          <w14:ligatures w14:val="standardContextual"/>
        </w:rPr>
        <w:t>-de-</w:t>
      </w:r>
      <w:proofErr w:type="spellStart"/>
      <w:r w:rsidRPr="00AC2D95">
        <w:rPr>
          <w:rFonts w:eastAsia="Aptos"/>
          <w:kern w:val="2"/>
          <w:lang w:val="en-AU"/>
          <w14:ligatures w14:val="standardContextual"/>
        </w:rPr>
        <w:t>mer</w:t>
      </w:r>
      <w:proofErr w:type="spellEnd"/>
      <w:r w:rsidRPr="00AC2D95">
        <w:rPr>
          <w:rFonts w:eastAsia="Aptos"/>
          <w:kern w:val="2"/>
          <w:lang w:val="en-AU"/>
          <w14:ligatures w14:val="standardContextual"/>
        </w:rPr>
        <w:t xml:space="preserve"> Fishery to the Department of Climate Change, Energy, the Environment and Water by November annually, as per Appendix B of the Guidelines for the Ecologically Sustainable Management of Fisheries – 2nd Edition.</w:t>
      </w:r>
    </w:p>
    <w:p w14:paraId="2AC1616D" w14:textId="3EEC1D65" w:rsidR="00AC2D95" w:rsidRPr="000530C2" w:rsidRDefault="00AC2D95" w:rsidP="004875EA">
      <w:pPr>
        <w:spacing w:before="120" w:line="276" w:lineRule="auto"/>
        <w:rPr>
          <w:rFonts w:eastAsia="Aptos"/>
          <w:kern w:val="2"/>
          <w:lang w:val="en-AU"/>
          <w14:ligatures w14:val="standardContextual"/>
        </w:rPr>
      </w:pPr>
      <w:r w:rsidRPr="000530C2">
        <w:rPr>
          <w:rFonts w:eastAsia="Aptos"/>
          <w:kern w:val="2"/>
          <w:lang w:val="en-AU"/>
          <w14:ligatures w14:val="standardContextual"/>
        </w:rPr>
        <w:t>Species-specific harvest data (including discards) for each species listed under the Convention on International Trade in Endangered Species of Wild Fauna and Flora (CITES) must be included in the annual reports.</w:t>
      </w:r>
    </w:p>
    <w:p w14:paraId="2AFA002F" w14:textId="77777777" w:rsidR="00AC2D95" w:rsidRPr="00AC2D95" w:rsidRDefault="00AC2D95" w:rsidP="004875EA">
      <w:pPr>
        <w:spacing w:before="120" w:line="278" w:lineRule="auto"/>
        <w:rPr>
          <w:rFonts w:eastAsia="Aptos"/>
          <w:kern w:val="2"/>
          <w:lang w:val="en-AU"/>
          <w14:ligatures w14:val="standardContextual"/>
        </w:rPr>
      </w:pPr>
      <w:r w:rsidRPr="00AC2D95">
        <w:rPr>
          <w:rFonts w:eastAsia="Aptos"/>
          <w:b/>
          <w:bCs/>
          <w:kern w:val="2"/>
          <w:lang w:val="en-AU"/>
          <w14:ligatures w14:val="standardContextual"/>
        </w:rPr>
        <w:t>Condition 5</w:t>
      </w:r>
    </w:p>
    <w:p w14:paraId="53E5E284" w14:textId="77777777" w:rsidR="00AC2D95" w:rsidRPr="00AC2D95" w:rsidRDefault="00AC2D95" w:rsidP="004875EA">
      <w:pPr>
        <w:spacing w:before="120" w:line="278" w:lineRule="auto"/>
        <w:rPr>
          <w:rFonts w:eastAsia="Aptos"/>
          <w:kern w:val="2"/>
          <w:lang w:val="en-AU"/>
          <w14:ligatures w14:val="standardContextual"/>
        </w:rPr>
      </w:pPr>
      <w:r w:rsidRPr="00AC2D95">
        <w:rPr>
          <w:rFonts w:eastAsia="Aptos"/>
          <w:kern w:val="2"/>
          <w:lang w:val="en-AU"/>
          <w14:ligatures w14:val="standardContextual"/>
        </w:rPr>
        <w:t>The Australian Fisheries Management Authority must:</w:t>
      </w:r>
    </w:p>
    <w:p w14:paraId="352FBAD2" w14:textId="1E2C7066" w:rsidR="00AC2D95" w:rsidRPr="000530C2" w:rsidRDefault="00AC2D95" w:rsidP="004875EA">
      <w:pPr>
        <w:pStyle w:val="ListParagraph"/>
        <w:numPr>
          <w:ilvl w:val="0"/>
          <w:numId w:val="16"/>
        </w:numPr>
        <w:spacing w:before="120" w:after="0" w:line="278" w:lineRule="auto"/>
        <w:rPr>
          <w:rFonts w:eastAsia="Aptos"/>
          <w:kern w:val="2"/>
          <w:sz w:val="24"/>
          <w:szCs w:val="24"/>
          <w14:ligatures w14:val="standardContextual"/>
        </w:rPr>
      </w:pPr>
      <w:r w:rsidRPr="000530C2">
        <w:rPr>
          <w:rFonts w:eastAsia="Aptos"/>
          <w:kern w:val="2"/>
          <w:sz w:val="24"/>
          <w:szCs w:val="24"/>
          <w14:ligatures w14:val="standardContextual"/>
        </w:rPr>
        <w:t>by August 2025, provide the Department of Climate Change, Energy, the Environment and Water with a proposed timeline for the undertaking and completion of a multi-species stock survey of sea cucumbers in the Torres Strait; and</w:t>
      </w:r>
    </w:p>
    <w:p w14:paraId="48C3E4C7" w14:textId="0E57045D" w:rsidR="00AC2D95" w:rsidRPr="000530C2" w:rsidRDefault="00AC2D95" w:rsidP="004875EA">
      <w:pPr>
        <w:pStyle w:val="ListParagraph"/>
        <w:numPr>
          <w:ilvl w:val="0"/>
          <w:numId w:val="16"/>
        </w:numPr>
        <w:spacing w:before="120" w:after="0" w:line="278" w:lineRule="auto"/>
        <w:rPr>
          <w:rFonts w:eastAsia="Aptos"/>
          <w:kern w:val="2"/>
          <w:sz w:val="24"/>
          <w:szCs w:val="24"/>
          <w14:ligatures w14:val="standardContextual"/>
        </w:rPr>
      </w:pPr>
      <w:r w:rsidRPr="000530C2">
        <w:rPr>
          <w:rFonts w:eastAsia="Aptos"/>
          <w:kern w:val="2"/>
          <w:sz w:val="24"/>
          <w:szCs w:val="24"/>
          <w:lang w:val="en-US"/>
          <w14:ligatures w14:val="standardContextual"/>
        </w:rPr>
        <w:t>by May 2026, have commenced the delivery of a multi-species stock survey of sea cucumbers in the Torres Strait.</w:t>
      </w:r>
    </w:p>
    <w:p w14:paraId="6DB5C559" w14:textId="5404D4D0" w:rsidR="00AC2D95" w:rsidRPr="000530C2" w:rsidRDefault="00AC2D95" w:rsidP="004875EA">
      <w:pPr>
        <w:spacing w:before="120"/>
        <w:rPr>
          <w:rFonts w:eastAsia="Aptos"/>
          <w:b/>
          <w:bCs/>
          <w:kern w:val="2"/>
          <w:lang w:val="en-AU"/>
          <w14:ligatures w14:val="standardContextual"/>
        </w:rPr>
      </w:pPr>
      <w:r w:rsidRPr="000530C2">
        <w:rPr>
          <w:rFonts w:eastAsia="Aptos"/>
          <w:b/>
          <w:bCs/>
          <w:kern w:val="2"/>
          <w:lang w:val="en-AU"/>
          <w14:ligatures w14:val="standardContextual"/>
        </w:rPr>
        <w:lastRenderedPageBreak/>
        <w:t>Condition 6</w:t>
      </w:r>
    </w:p>
    <w:p w14:paraId="7C7D7215" w14:textId="448CA41E" w:rsidR="00AC2D95" w:rsidRPr="000530C2" w:rsidRDefault="00AC2D95" w:rsidP="004875EA">
      <w:pPr>
        <w:spacing w:before="120" w:line="276" w:lineRule="auto"/>
        <w:rPr>
          <w:rFonts w:eastAsia="Aptos"/>
          <w:kern w:val="2"/>
          <w:lang w:val="en-AU"/>
          <w14:ligatures w14:val="standardContextual"/>
        </w:rPr>
      </w:pPr>
      <w:r w:rsidRPr="000530C2">
        <w:rPr>
          <w:rFonts w:eastAsia="Aptos"/>
          <w:kern w:val="2"/>
          <w:lang w:val="en-AU"/>
          <w14:ligatures w14:val="standardContextual"/>
        </w:rPr>
        <w:t>By 30 May 2026, the Australian Fisheries Management Authority must progress measures for prickly redfish (</w:t>
      </w:r>
      <w:proofErr w:type="spellStart"/>
      <w:r w:rsidRPr="000530C2">
        <w:rPr>
          <w:rFonts w:eastAsia="Aptos"/>
          <w:i/>
          <w:iCs/>
          <w:kern w:val="2"/>
          <w:lang w:val="en-AU"/>
          <w14:ligatures w14:val="standardContextual"/>
        </w:rPr>
        <w:t>Thelenota</w:t>
      </w:r>
      <w:proofErr w:type="spellEnd"/>
      <w:r w:rsidRPr="000530C2">
        <w:rPr>
          <w:rFonts w:eastAsia="Aptos"/>
          <w:i/>
          <w:iCs/>
          <w:kern w:val="2"/>
          <w:lang w:val="en-AU"/>
          <w14:ligatures w14:val="standardContextual"/>
        </w:rPr>
        <w:t xml:space="preserve"> ananas</w:t>
      </w:r>
      <w:r w:rsidRPr="000530C2">
        <w:rPr>
          <w:rFonts w:eastAsia="Aptos"/>
          <w:kern w:val="2"/>
          <w:lang w:val="en-AU"/>
          <w14:ligatures w14:val="standardContextual"/>
        </w:rPr>
        <w:t xml:space="preserve">) to be managed as a ‘Middle Tier’ species or above under the harvest strategy for the </w:t>
      </w:r>
      <w:r w:rsidR="000530C2" w:rsidRPr="000530C2">
        <w:rPr>
          <w:rFonts w:eastAsia="Aptos"/>
          <w:kern w:val="2"/>
          <w:lang w:val="en-AU"/>
          <w14:ligatures w14:val="standardContextual"/>
        </w:rPr>
        <w:t xml:space="preserve">Commonwealth </w:t>
      </w:r>
      <w:r w:rsidRPr="000530C2">
        <w:rPr>
          <w:rFonts w:eastAsia="Aptos"/>
          <w:kern w:val="2"/>
          <w:lang w:val="en-AU"/>
          <w14:ligatures w14:val="standardContextual"/>
        </w:rPr>
        <w:t xml:space="preserve">Torres Strait </w:t>
      </w:r>
      <w:proofErr w:type="spellStart"/>
      <w:r w:rsidRPr="000530C2">
        <w:rPr>
          <w:rFonts w:eastAsia="Aptos"/>
          <w:kern w:val="2"/>
          <w:lang w:val="en-AU"/>
          <w14:ligatures w14:val="standardContextual"/>
        </w:rPr>
        <w:t>Bêche</w:t>
      </w:r>
      <w:proofErr w:type="spellEnd"/>
      <w:r w:rsidRPr="000530C2">
        <w:rPr>
          <w:rFonts w:eastAsia="Aptos"/>
          <w:kern w:val="2"/>
          <w:lang w:val="en-AU"/>
          <w14:ligatures w14:val="standardContextual"/>
        </w:rPr>
        <w:t>-de-</w:t>
      </w:r>
      <w:proofErr w:type="spellStart"/>
      <w:r w:rsidRPr="000530C2">
        <w:rPr>
          <w:rFonts w:eastAsia="Aptos"/>
          <w:kern w:val="2"/>
          <w:lang w:val="en-AU"/>
          <w14:ligatures w14:val="standardContextual"/>
        </w:rPr>
        <w:t>mer</w:t>
      </w:r>
      <w:proofErr w:type="spellEnd"/>
      <w:r w:rsidRPr="000530C2">
        <w:rPr>
          <w:rFonts w:eastAsia="Aptos"/>
          <w:kern w:val="2"/>
          <w:lang w:val="en-AU"/>
          <w14:ligatures w14:val="standardContextual"/>
        </w:rPr>
        <w:t xml:space="preserve"> Fishery. This should allow for implementation during the next term of the Wildlife Trade Operation approval for the fishery.  </w:t>
      </w:r>
    </w:p>
    <w:p w14:paraId="3AAA7B8C" w14:textId="77777777" w:rsidR="00AC2D95" w:rsidRPr="00AC2D95" w:rsidRDefault="00AC2D95" w:rsidP="004875EA">
      <w:pPr>
        <w:spacing w:before="120" w:line="278" w:lineRule="auto"/>
        <w:rPr>
          <w:rFonts w:eastAsia="Aptos"/>
          <w:b/>
          <w:bCs/>
          <w:kern w:val="2"/>
          <w:lang w:val="en-AU"/>
          <w14:ligatures w14:val="standardContextual"/>
        </w:rPr>
      </w:pPr>
      <w:r w:rsidRPr="00AC2D95">
        <w:rPr>
          <w:rFonts w:eastAsia="Aptos"/>
          <w:b/>
          <w:bCs/>
          <w:kern w:val="2"/>
          <w:lang w:val="en-AU"/>
          <w14:ligatures w14:val="standardContextual"/>
        </w:rPr>
        <w:t>Condition 7</w:t>
      </w:r>
    </w:p>
    <w:p w14:paraId="39528220" w14:textId="77777777" w:rsidR="00AC2D95" w:rsidRPr="00AC2D95" w:rsidRDefault="00AC2D95" w:rsidP="004875EA">
      <w:pPr>
        <w:spacing w:before="120" w:line="278" w:lineRule="auto"/>
        <w:rPr>
          <w:rFonts w:eastAsia="Aptos"/>
          <w:kern w:val="2"/>
          <w:lang w:val="en-AU"/>
          <w14:ligatures w14:val="standardContextual"/>
        </w:rPr>
      </w:pPr>
      <w:r w:rsidRPr="00AC2D95">
        <w:rPr>
          <w:rFonts w:eastAsia="Aptos"/>
          <w:kern w:val="2"/>
          <w:lang w:val="en-AU"/>
          <w14:ligatures w14:val="standardContextual"/>
        </w:rPr>
        <w:t>The Australian Fisheries Management Authority must:</w:t>
      </w:r>
    </w:p>
    <w:p w14:paraId="13442033" w14:textId="0010D20E" w:rsidR="000530C2" w:rsidRPr="006C2FA5" w:rsidRDefault="00AC2D95" w:rsidP="004875EA">
      <w:pPr>
        <w:numPr>
          <w:ilvl w:val="0"/>
          <w:numId w:val="17"/>
        </w:numPr>
        <w:spacing w:before="120" w:line="278" w:lineRule="auto"/>
        <w:ind w:left="714" w:hanging="357"/>
        <w:rPr>
          <w:rFonts w:eastAsia="Aptos"/>
          <w:kern w:val="2"/>
          <w:lang w:val="en-AU"/>
          <w14:ligatures w14:val="standardContextual"/>
        </w:rPr>
      </w:pPr>
      <w:r w:rsidRPr="00AC2D95">
        <w:rPr>
          <w:rFonts w:eastAsia="Aptos"/>
          <w:kern w:val="2"/>
          <w:lang w:val="en-AU"/>
          <w14:ligatures w14:val="standardContextual"/>
        </w:rPr>
        <w:t>Maintain the annual 15 tonne total allowable commercial catch limit (TACC) for prickly redfish (</w:t>
      </w:r>
      <w:proofErr w:type="spellStart"/>
      <w:r w:rsidRPr="00AC2D95">
        <w:rPr>
          <w:rFonts w:eastAsia="Aptos"/>
          <w:i/>
          <w:iCs/>
          <w:kern w:val="2"/>
          <w:lang w:val="en-AU"/>
          <w14:ligatures w14:val="standardContextual"/>
        </w:rPr>
        <w:t>Thelenota</w:t>
      </w:r>
      <w:proofErr w:type="spellEnd"/>
      <w:r w:rsidRPr="00AC2D95">
        <w:rPr>
          <w:rFonts w:eastAsia="Aptos"/>
          <w:i/>
          <w:iCs/>
          <w:kern w:val="2"/>
          <w:lang w:val="en-AU"/>
          <w14:ligatures w14:val="standardContextual"/>
        </w:rPr>
        <w:t> ananas</w:t>
      </w:r>
      <w:r w:rsidRPr="00AC2D95">
        <w:rPr>
          <w:rFonts w:eastAsia="Aptos"/>
          <w:kern w:val="2"/>
          <w:lang w:val="en-AU"/>
          <w14:ligatures w14:val="standardContextual"/>
        </w:rPr>
        <w:t>)</w:t>
      </w:r>
    </w:p>
    <w:p w14:paraId="61F76BF7" w14:textId="0F6F03FB" w:rsidR="000530C2" w:rsidRPr="006C2FA5" w:rsidRDefault="00AC2D95" w:rsidP="004875EA">
      <w:pPr>
        <w:numPr>
          <w:ilvl w:val="0"/>
          <w:numId w:val="17"/>
        </w:numPr>
        <w:spacing w:before="120" w:line="278" w:lineRule="auto"/>
        <w:ind w:left="714" w:hanging="357"/>
        <w:rPr>
          <w:rFonts w:eastAsia="Aptos"/>
          <w:kern w:val="2"/>
          <w:lang w:val="en-AU"/>
          <w14:ligatures w14:val="standardContextual"/>
        </w:rPr>
      </w:pPr>
      <w:r w:rsidRPr="00AC2D95">
        <w:rPr>
          <w:rFonts w:eastAsia="Aptos"/>
          <w:kern w:val="2"/>
          <w:lang w:val="en-AU"/>
          <w14:ligatures w14:val="standardContextual"/>
        </w:rPr>
        <w:t>By 25 May 2025, implement an annual 10-tonne total allowable commercial catch limit (TACC) for amberfish (</w:t>
      </w:r>
      <w:proofErr w:type="spellStart"/>
      <w:r w:rsidRPr="00AC2D95">
        <w:rPr>
          <w:rFonts w:eastAsia="Aptos"/>
          <w:i/>
          <w:iCs/>
          <w:kern w:val="2"/>
          <w:lang w:val="en-AU"/>
          <w14:ligatures w14:val="standardContextual"/>
        </w:rPr>
        <w:t>Thelenota</w:t>
      </w:r>
      <w:proofErr w:type="spellEnd"/>
      <w:r w:rsidRPr="00AC2D95">
        <w:rPr>
          <w:rFonts w:eastAsia="Aptos"/>
          <w:i/>
          <w:iCs/>
          <w:kern w:val="2"/>
          <w:lang w:val="en-AU"/>
          <w14:ligatures w14:val="standardContextual"/>
        </w:rPr>
        <w:t> </w:t>
      </w:r>
      <w:proofErr w:type="spellStart"/>
      <w:r w:rsidRPr="00AC2D95">
        <w:rPr>
          <w:rFonts w:eastAsia="Aptos"/>
          <w:i/>
          <w:iCs/>
          <w:kern w:val="2"/>
          <w:lang w:val="en-AU"/>
          <w14:ligatures w14:val="standardContextual"/>
        </w:rPr>
        <w:t>anax</w:t>
      </w:r>
      <w:proofErr w:type="spellEnd"/>
      <w:r w:rsidRPr="00AC2D95">
        <w:rPr>
          <w:rFonts w:eastAsia="Aptos"/>
          <w:kern w:val="2"/>
          <w:lang w:val="en-AU"/>
          <w14:ligatures w14:val="standardContextual"/>
        </w:rPr>
        <w:t>)</w:t>
      </w:r>
    </w:p>
    <w:p w14:paraId="6F2F2C10" w14:textId="035DD377" w:rsidR="000530C2" w:rsidRPr="006C2FA5" w:rsidRDefault="00AC2D95" w:rsidP="004875EA">
      <w:pPr>
        <w:numPr>
          <w:ilvl w:val="0"/>
          <w:numId w:val="17"/>
        </w:numPr>
        <w:spacing w:before="120" w:line="278" w:lineRule="auto"/>
        <w:ind w:left="714" w:hanging="357"/>
        <w:rPr>
          <w:rFonts w:eastAsia="Aptos"/>
          <w:kern w:val="2"/>
          <w:lang w:val="en-AU"/>
          <w14:ligatures w14:val="standardContextual"/>
        </w:rPr>
      </w:pPr>
      <w:r w:rsidRPr="00AC2D95">
        <w:rPr>
          <w:rFonts w:eastAsia="Aptos"/>
          <w:kern w:val="2"/>
          <w:lang w:val="en-AU"/>
          <w14:ligatures w14:val="standardContextual"/>
        </w:rPr>
        <w:t xml:space="preserve">Maintain the existing annual 20 tonne total allowable commercial catch limit (TACC) for black </w:t>
      </w:r>
      <w:proofErr w:type="spellStart"/>
      <w:r w:rsidRPr="00AC2D95">
        <w:rPr>
          <w:rFonts w:eastAsia="Aptos"/>
          <w:kern w:val="2"/>
          <w:lang w:val="en-AU"/>
          <w14:ligatures w14:val="standardContextual"/>
        </w:rPr>
        <w:t>teatfish</w:t>
      </w:r>
      <w:proofErr w:type="spellEnd"/>
      <w:r w:rsidRPr="00AC2D95">
        <w:rPr>
          <w:rFonts w:eastAsia="Aptos"/>
          <w:kern w:val="2"/>
          <w:lang w:val="en-AU"/>
          <w14:ligatures w14:val="standardContextual"/>
        </w:rPr>
        <w:t xml:space="preserve"> (</w:t>
      </w:r>
      <w:r w:rsidRPr="00AC2D95">
        <w:rPr>
          <w:rFonts w:eastAsia="Aptos"/>
          <w:i/>
          <w:iCs/>
          <w:kern w:val="2"/>
          <w:lang w:val="en-AU"/>
          <w14:ligatures w14:val="standardContextual"/>
        </w:rPr>
        <w:t xml:space="preserve">Holothuria </w:t>
      </w:r>
      <w:proofErr w:type="spellStart"/>
      <w:r w:rsidRPr="00AC2D95">
        <w:rPr>
          <w:rFonts w:eastAsia="Aptos"/>
          <w:i/>
          <w:iCs/>
          <w:kern w:val="2"/>
          <w:lang w:val="en-AU"/>
          <w14:ligatures w14:val="standardContextual"/>
        </w:rPr>
        <w:t>whitmaei</w:t>
      </w:r>
      <w:proofErr w:type="spellEnd"/>
      <w:r w:rsidRPr="00AC2D95">
        <w:rPr>
          <w:rFonts w:eastAsia="Aptos"/>
          <w:kern w:val="2"/>
          <w:lang w:val="en-AU"/>
          <w14:ligatures w14:val="standardContextual"/>
        </w:rPr>
        <w:t xml:space="preserve">). Although the Australian Fisheries Management Authority may allow for up to 10 per cent under catch of the black </w:t>
      </w:r>
      <w:proofErr w:type="spellStart"/>
      <w:r w:rsidRPr="00AC2D95">
        <w:rPr>
          <w:rFonts w:eastAsia="Aptos"/>
          <w:kern w:val="2"/>
          <w:lang w:val="en-AU"/>
          <w14:ligatures w14:val="standardContextual"/>
        </w:rPr>
        <w:t>teatfish</w:t>
      </w:r>
      <w:proofErr w:type="spellEnd"/>
      <w:r w:rsidRPr="00AC2D95">
        <w:rPr>
          <w:rFonts w:eastAsia="Aptos"/>
          <w:kern w:val="2"/>
          <w:lang w:val="en-AU"/>
          <w14:ligatures w14:val="standardContextual"/>
        </w:rPr>
        <w:t xml:space="preserve"> (</w:t>
      </w:r>
      <w:r w:rsidRPr="00AC2D95">
        <w:rPr>
          <w:rFonts w:eastAsia="Aptos"/>
          <w:i/>
          <w:iCs/>
          <w:kern w:val="2"/>
          <w:lang w:val="en-AU"/>
          <w14:ligatures w14:val="standardContextual"/>
        </w:rPr>
        <w:t xml:space="preserve">Holothuria </w:t>
      </w:r>
      <w:proofErr w:type="spellStart"/>
      <w:r w:rsidRPr="00AC2D95">
        <w:rPr>
          <w:rFonts w:eastAsia="Aptos"/>
          <w:i/>
          <w:iCs/>
          <w:kern w:val="2"/>
          <w:lang w:val="en-AU"/>
          <w14:ligatures w14:val="standardContextual"/>
        </w:rPr>
        <w:t>whitmaei</w:t>
      </w:r>
      <w:proofErr w:type="spellEnd"/>
      <w:r w:rsidRPr="00AC2D95">
        <w:rPr>
          <w:rFonts w:eastAsia="Aptos"/>
          <w:kern w:val="2"/>
          <w:lang w:val="en-AU"/>
          <w14:ligatures w14:val="standardContextual"/>
        </w:rPr>
        <w:t>) TACC to be carried over from one fishing season to the subsequent fishing season.</w:t>
      </w:r>
    </w:p>
    <w:p w14:paraId="2C5D2E29" w14:textId="77777777" w:rsidR="00AC2D95" w:rsidRPr="000530C2" w:rsidRDefault="00AC2D95" w:rsidP="004875EA">
      <w:pPr>
        <w:numPr>
          <w:ilvl w:val="0"/>
          <w:numId w:val="17"/>
        </w:numPr>
        <w:spacing w:before="120" w:line="278" w:lineRule="auto"/>
        <w:ind w:left="714" w:hanging="357"/>
        <w:rPr>
          <w:rFonts w:eastAsia="Aptos"/>
          <w:kern w:val="2"/>
          <w:lang w:val="en-AU"/>
          <w14:ligatures w14:val="standardContextual"/>
        </w:rPr>
      </w:pPr>
      <w:r w:rsidRPr="00AC2D95">
        <w:rPr>
          <w:rFonts w:eastAsia="Aptos"/>
          <w:kern w:val="2"/>
          <w:lang w:val="en-AU"/>
          <w14:ligatures w14:val="standardContextual"/>
        </w:rPr>
        <w:t xml:space="preserve">Maintain the existing annual 15 tonne total allowable commercial catch limit (TACC) for white </w:t>
      </w:r>
      <w:proofErr w:type="spellStart"/>
      <w:r w:rsidRPr="00AC2D95">
        <w:rPr>
          <w:rFonts w:eastAsia="Aptos"/>
          <w:kern w:val="2"/>
          <w:lang w:val="en-AU"/>
          <w14:ligatures w14:val="standardContextual"/>
        </w:rPr>
        <w:t>teatfish</w:t>
      </w:r>
      <w:proofErr w:type="spellEnd"/>
      <w:r w:rsidRPr="00AC2D95">
        <w:rPr>
          <w:rFonts w:eastAsia="Aptos"/>
          <w:kern w:val="2"/>
          <w:lang w:val="en-AU"/>
          <w14:ligatures w14:val="standardContextual"/>
        </w:rPr>
        <w:t xml:space="preserve"> (</w:t>
      </w:r>
      <w:r w:rsidRPr="00AC2D95">
        <w:rPr>
          <w:rFonts w:eastAsia="Aptos"/>
          <w:i/>
          <w:iCs/>
          <w:kern w:val="2"/>
          <w:lang w:val="en-AU"/>
          <w14:ligatures w14:val="standardContextual"/>
        </w:rPr>
        <w:t xml:space="preserve">Holothuria </w:t>
      </w:r>
      <w:proofErr w:type="spellStart"/>
      <w:r w:rsidRPr="00AC2D95">
        <w:rPr>
          <w:rFonts w:eastAsia="Aptos"/>
          <w:i/>
          <w:iCs/>
          <w:kern w:val="2"/>
          <w:lang w:val="en-AU"/>
          <w14:ligatures w14:val="standardContextual"/>
        </w:rPr>
        <w:t>fuscogilva</w:t>
      </w:r>
      <w:proofErr w:type="spellEnd"/>
      <w:r w:rsidRPr="00AC2D95">
        <w:rPr>
          <w:rFonts w:eastAsia="Aptos"/>
          <w:kern w:val="2"/>
          <w:lang w:val="en-AU"/>
          <w14:ligatures w14:val="standardContextual"/>
        </w:rPr>
        <w:t>).</w:t>
      </w:r>
    </w:p>
    <w:p w14:paraId="47052219" w14:textId="0DC0B88F" w:rsidR="00AC2D95" w:rsidRPr="000530C2" w:rsidRDefault="00AC2D95" w:rsidP="004875EA">
      <w:pPr>
        <w:spacing w:before="120" w:line="276" w:lineRule="auto"/>
        <w:rPr>
          <w:rFonts w:eastAsia="Aptos"/>
          <w:kern w:val="2"/>
          <w:lang w:val="en-AU"/>
          <w14:ligatures w14:val="standardContextual"/>
        </w:rPr>
      </w:pPr>
      <w:r w:rsidRPr="000530C2">
        <w:rPr>
          <w:rFonts w:eastAsia="Aptos"/>
          <w:kern w:val="2"/>
          <w:lang w:val="en-AU"/>
          <w14:ligatures w14:val="standardContextual"/>
        </w:rPr>
        <w:t>These TACCs must be maintained at these levels until scientific evidence can be provided to substantiate a deviation.  </w:t>
      </w:r>
    </w:p>
    <w:p w14:paraId="666E66AA" w14:textId="77777777" w:rsidR="000530C2" w:rsidRPr="000530C2" w:rsidRDefault="000530C2" w:rsidP="004875EA">
      <w:pPr>
        <w:spacing w:before="120" w:line="278" w:lineRule="auto"/>
        <w:rPr>
          <w:rFonts w:eastAsia="Aptos"/>
          <w:kern w:val="2"/>
          <w:lang w:val="en-AU"/>
          <w14:ligatures w14:val="standardContextual"/>
        </w:rPr>
      </w:pPr>
      <w:r w:rsidRPr="000530C2">
        <w:rPr>
          <w:rFonts w:eastAsia="Aptos"/>
          <w:b/>
          <w:bCs/>
          <w:kern w:val="2"/>
          <w:lang w:val="en-AU"/>
          <w14:ligatures w14:val="standardContextual"/>
        </w:rPr>
        <w:t>Condition 8</w:t>
      </w:r>
    </w:p>
    <w:p w14:paraId="34656771" w14:textId="77777777" w:rsidR="000530C2" w:rsidRPr="000530C2" w:rsidRDefault="000530C2" w:rsidP="004875EA">
      <w:pPr>
        <w:spacing w:before="120" w:line="278" w:lineRule="auto"/>
        <w:rPr>
          <w:rFonts w:eastAsia="Aptos"/>
          <w:kern w:val="2"/>
          <w:lang w:val="en-AU"/>
          <w14:ligatures w14:val="standardContextual"/>
        </w:rPr>
      </w:pPr>
      <w:r w:rsidRPr="000530C2">
        <w:rPr>
          <w:rFonts w:eastAsia="Aptos"/>
          <w:kern w:val="2"/>
          <w:lang w:val="en-AU"/>
          <w14:ligatures w14:val="standardContextual"/>
        </w:rPr>
        <w:t>By 1 July 2026, the Australian Fisheries Management Authority must implement the following enforceable minimum size limits:</w:t>
      </w:r>
    </w:p>
    <w:p w14:paraId="313E322B" w14:textId="605C6D7C" w:rsidR="000530C2" w:rsidRPr="000530C2" w:rsidRDefault="000530C2" w:rsidP="004875EA">
      <w:pPr>
        <w:numPr>
          <w:ilvl w:val="0"/>
          <w:numId w:val="18"/>
        </w:numPr>
        <w:spacing w:before="120" w:line="278" w:lineRule="auto"/>
        <w:rPr>
          <w:rFonts w:eastAsia="Aptos"/>
          <w:kern w:val="2"/>
          <w:lang w:val="en-AU"/>
          <w14:ligatures w14:val="standardContextual"/>
        </w:rPr>
      </w:pPr>
      <w:r w:rsidRPr="000530C2">
        <w:rPr>
          <w:rFonts w:eastAsia="Aptos"/>
          <w:kern w:val="2"/>
          <w:lang w:val="en-AU"/>
          <w14:ligatures w14:val="standardContextual"/>
        </w:rPr>
        <w:t>prickly redfish (</w:t>
      </w:r>
      <w:proofErr w:type="spellStart"/>
      <w:r w:rsidRPr="000530C2">
        <w:rPr>
          <w:rFonts w:eastAsia="Aptos"/>
          <w:i/>
          <w:iCs/>
          <w:kern w:val="2"/>
          <w:lang w:val="en-AU"/>
          <w14:ligatures w14:val="standardContextual"/>
        </w:rPr>
        <w:t>Thelenota</w:t>
      </w:r>
      <w:proofErr w:type="spellEnd"/>
      <w:r w:rsidRPr="000530C2">
        <w:rPr>
          <w:rFonts w:eastAsia="Aptos"/>
          <w:i/>
          <w:iCs/>
          <w:kern w:val="2"/>
          <w:lang w:val="en-AU"/>
          <w14:ligatures w14:val="standardContextual"/>
        </w:rPr>
        <w:t xml:space="preserve"> ananas</w:t>
      </w:r>
      <w:r w:rsidRPr="000530C2">
        <w:rPr>
          <w:rFonts w:eastAsia="Aptos"/>
          <w:kern w:val="2"/>
          <w:lang w:val="en-AU"/>
          <w14:ligatures w14:val="standardContextual"/>
        </w:rPr>
        <w:t>) – 50</w:t>
      </w:r>
      <w:r w:rsidR="003B7748">
        <w:rPr>
          <w:rFonts w:eastAsia="Aptos"/>
          <w:kern w:val="2"/>
          <w:lang w:val="en-AU"/>
          <w14:ligatures w14:val="standardContextual"/>
        </w:rPr>
        <w:t xml:space="preserve"> </w:t>
      </w:r>
      <w:r w:rsidRPr="000530C2">
        <w:rPr>
          <w:rFonts w:eastAsia="Aptos"/>
          <w:kern w:val="2"/>
          <w:lang w:val="en-AU"/>
          <w14:ligatures w14:val="standardContextual"/>
        </w:rPr>
        <w:t>cm</w:t>
      </w:r>
    </w:p>
    <w:p w14:paraId="3A17667A" w14:textId="77777777" w:rsidR="000530C2" w:rsidRPr="000530C2" w:rsidRDefault="000530C2" w:rsidP="004875EA">
      <w:pPr>
        <w:numPr>
          <w:ilvl w:val="0"/>
          <w:numId w:val="18"/>
        </w:numPr>
        <w:spacing w:before="120" w:line="278" w:lineRule="auto"/>
        <w:rPr>
          <w:rFonts w:eastAsia="Aptos"/>
          <w:kern w:val="2"/>
          <w:lang w:val="en-AU"/>
          <w14:ligatures w14:val="standardContextual"/>
        </w:rPr>
      </w:pPr>
      <w:r w:rsidRPr="000530C2">
        <w:rPr>
          <w:rFonts w:eastAsia="Aptos"/>
          <w:kern w:val="2"/>
          <w:lang w:val="en-AU"/>
          <w14:ligatures w14:val="standardContextual"/>
        </w:rPr>
        <w:t>amberfish (</w:t>
      </w:r>
      <w:proofErr w:type="spellStart"/>
      <w:r w:rsidRPr="000530C2">
        <w:rPr>
          <w:rFonts w:eastAsia="Aptos"/>
          <w:i/>
          <w:iCs/>
          <w:kern w:val="2"/>
          <w:lang w:val="en-AU"/>
          <w14:ligatures w14:val="standardContextual"/>
        </w:rPr>
        <w:t>Thelenota</w:t>
      </w:r>
      <w:proofErr w:type="spellEnd"/>
      <w:r w:rsidRPr="000530C2">
        <w:rPr>
          <w:rFonts w:eastAsia="Aptos"/>
          <w:i/>
          <w:iCs/>
          <w:kern w:val="2"/>
          <w:lang w:val="en-AU"/>
          <w14:ligatures w14:val="standardContextual"/>
        </w:rPr>
        <w:t> </w:t>
      </w:r>
      <w:proofErr w:type="spellStart"/>
      <w:r w:rsidRPr="000530C2">
        <w:rPr>
          <w:rFonts w:eastAsia="Aptos"/>
          <w:i/>
          <w:iCs/>
          <w:kern w:val="2"/>
          <w:lang w:val="en-AU"/>
          <w14:ligatures w14:val="standardContextual"/>
        </w:rPr>
        <w:t>anax</w:t>
      </w:r>
      <w:proofErr w:type="spellEnd"/>
      <w:r w:rsidRPr="000530C2">
        <w:rPr>
          <w:rFonts w:eastAsia="Aptos"/>
          <w:kern w:val="2"/>
          <w:lang w:val="en-AU"/>
          <w14:ligatures w14:val="standardContextual"/>
        </w:rPr>
        <w:t>) – 50 cm</w:t>
      </w:r>
    </w:p>
    <w:p w14:paraId="2EC31B68" w14:textId="77777777" w:rsidR="000530C2" w:rsidRPr="000530C2" w:rsidRDefault="000530C2" w:rsidP="004875EA">
      <w:pPr>
        <w:numPr>
          <w:ilvl w:val="0"/>
          <w:numId w:val="18"/>
        </w:numPr>
        <w:spacing w:before="120" w:line="278" w:lineRule="auto"/>
        <w:rPr>
          <w:rFonts w:eastAsia="Aptos"/>
          <w:kern w:val="2"/>
          <w:lang w:val="en-AU"/>
          <w14:ligatures w14:val="standardContextual"/>
        </w:rPr>
      </w:pPr>
      <w:r w:rsidRPr="000530C2">
        <w:rPr>
          <w:rFonts w:eastAsia="Aptos"/>
          <w:kern w:val="2"/>
          <w:lang w:val="en-AU"/>
          <w14:ligatures w14:val="standardContextual"/>
        </w:rPr>
        <w:t xml:space="preserve">black </w:t>
      </w:r>
      <w:proofErr w:type="spellStart"/>
      <w:r w:rsidRPr="000530C2">
        <w:rPr>
          <w:rFonts w:eastAsia="Aptos"/>
          <w:kern w:val="2"/>
          <w:lang w:val="en-AU"/>
          <w14:ligatures w14:val="standardContextual"/>
        </w:rPr>
        <w:t>teatfish</w:t>
      </w:r>
      <w:proofErr w:type="spellEnd"/>
      <w:r w:rsidRPr="000530C2">
        <w:rPr>
          <w:rFonts w:eastAsia="Aptos"/>
          <w:kern w:val="2"/>
          <w:lang w:val="en-AU"/>
          <w14:ligatures w14:val="standardContextual"/>
        </w:rPr>
        <w:t xml:space="preserve"> (</w:t>
      </w:r>
      <w:r w:rsidRPr="000530C2">
        <w:rPr>
          <w:rFonts w:eastAsia="Aptos"/>
          <w:i/>
          <w:iCs/>
          <w:kern w:val="2"/>
          <w:lang w:val="en-AU"/>
          <w14:ligatures w14:val="standardContextual"/>
        </w:rPr>
        <w:t xml:space="preserve">Holothuria </w:t>
      </w:r>
      <w:proofErr w:type="spellStart"/>
      <w:r w:rsidRPr="000530C2">
        <w:rPr>
          <w:rFonts w:eastAsia="Aptos"/>
          <w:i/>
          <w:iCs/>
          <w:kern w:val="2"/>
          <w:lang w:val="en-AU"/>
          <w14:ligatures w14:val="standardContextual"/>
        </w:rPr>
        <w:t>whitmaei</w:t>
      </w:r>
      <w:proofErr w:type="spellEnd"/>
      <w:r w:rsidRPr="000530C2">
        <w:rPr>
          <w:rFonts w:eastAsia="Aptos"/>
          <w:kern w:val="2"/>
          <w:lang w:val="en-AU"/>
          <w14:ligatures w14:val="standardContextual"/>
        </w:rPr>
        <w:t>) – 33cm</w:t>
      </w:r>
    </w:p>
    <w:p w14:paraId="0DFF2A65" w14:textId="77777777" w:rsidR="000530C2" w:rsidRPr="000530C2" w:rsidRDefault="000530C2" w:rsidP="004875EA">
      <w:pPr>
        <w:numPr>
          <w:ilvl w:val="0"/>
          <w:numId w:val="18"/>
        </w:numPr>
        <w:spacing w:before="120" w:line="278" w:lineRule="auto"/>
        <w:rPr>
          <w:rFonts w:eastAsia="Aptos"/>
          <w:kern w:val="2"/>
          <w:lang w:val="en-AU"/>
          <w14:ligatures w14:val="standardContextual"/>
        </w:rPr>
      </w:pPr>
      <w:r w:rsidRPr="000530C2">
        <w:rPr>
          <w:rFonts w:eastAsia="Aptos"/>
          <w:kern w:val="2"/>
          <w:lang w:val="en-AU"/>
          <w14:ligatures w14:val="standardContextual"/>
        </w:rPr>
        <w:t xml:space="preserve">white </w:t>
      </w:r>
      <w:proofErr w:type="spellStart"/>
      <w:r w:rsidRPr="000530C2">
        <w:rPr>
          <w:rFonts w:eastAsia="Aptos"/>
          <w:kern w:val="2"/>
          <w:lang w:val="en-AU"/>
          <w14:ligatures w14:val="standardContextual"/>
        </w:rPr>
        <w:t>teatfish</w:t>
      </w:r>
      <w:proofErr w:type="spellEnd"/>
      <w:r w:rsidRPr="000530C2">
        <w:rPr>
          <w:rFonts w:eastAsia="Aptos"/>
          <w:kern w:val="2"/>
          <w:lang w:val="en-AU"/>
          <w14:ligatures w14:val="standardContextual"/>
        </w:rPr>
        <w:t xml:space="preserve"> (</w:t>
      </w:r>
      <w:r w:rsidRPr="000530C2">
        <w:rPr>
          <w:rFonts w:eastAsia="Aptos"/>
          <w:i/>
          <w:iCs/>
          <w:kern w:val="2"/>
          <w:lang w:val="en-AU"/>
          <w14:ligatures w14:val="standardContextual"/>
        </w:rPr>
        <w:t xml:space="preserve">Holothuria </w:t>
      </w:r>
      <w:proofErr w:type="spellStart"/>
      <w:r w:rsidRPr="000530C2">
        <w:rPr>
          <w:rFonts w:eastAsia="Aptos"/>
          <w:i/>
          <w:iCs/>
          <w:kern w:val="2"/>
          <w:lang w:val="en-AU"/>
          <w14:ligatures w14:val="standardContextual"/>
        </w:rPr>
        <w:t>fuscogilva</w:t>
      </w:r>
      <w:proofErr w:type="spellEnd"/>
      <w:r w:rsidRPr="000530C2">
        <w:rPr>
          <w:rFonts w:eastAsia="Aptos"/>
          <w:kern w:val="2"/>
          <w:lang w:val="en-AU"/>
          <w14:ligatures w14:val="standardContextual"/>
        </w:rPr>
        <w:t>) – 40cm</w:t>
      </w:r>
    </w:p>
    <w:p w14:paraId="3903EB80" w14:textId="110A0E5B" w:rsidR="000530C2" w:rsidRPr="000530C2" w:rsidRDefault="000530C2" w:rsidP="004875EA">
      <w:pPr>
        <w:spacing w:before="120" w:line="276" w:lineRule="auto"/>
        <w:rPr>
          <w:rFonts w:eastAsia="Aptos"/>
          <w:kern w:val="2"/>
          <w:lang w:val="en-AU"/>
          <w14:ligatures w14:val="standardContextual"/>
        </w:rPr>
      </w:pPr>
      <w:r w:rsidRPr="000530C2">
        <w:rPr>
          <w:rFonts w:eastAsia="Aptos"/>
          <w:kern w:val="2"/>
          <w:lang w:val="en-AU"/>
          <w14:ligatures w14:val="standardContextual"/>
        </w:rPr>
        <w:t>These limits must be maintained until scientific evidence can be provided to substantiate a deviation. </w:t>
      </w:r>
    </w:p>
    <w:p w14:paraId="083A43BA" w14:textId="77777777" w:rsidR="000530C2" w:rsidRPr="000530C2" w:rsidRDefault="000530C2" w:rsidP="004875EA">
      <w:pPr>
        <w:spacing w:before="120" w:line="278" w:lineRule="auto"/>
        <w:rPr>
          <w:rFonts w:eastAsia="Aptos"/>
          <w:kern w:val="2"/>
          <w:lang w:val="en-AU"/>
          <w14:ligatures w14:val="standardContextual"/>
        </w:rPr>
      </w:pPr>
      <w:r w:rsidRPr="000530C2">
        <w:rPr>
          <w:rFonts w:eastAsia="Aptos"/>
          <w:b/>
          <w:bCs/>
          <w:kern w:val="2"/>
          <w:lang w:val="en-AU"/>
          <w14:ligatures w14:val="standardContextual"/>
        </w:rPr>
        <w:t>Condition 9</w:t>
      </w:r>
    </w:p>
    <w:p w14:paraId="71262659" w14:textId="76A632C4" w:rsidR="000530C2" w:rsidRPr="000530C2" w:rsidRDefault="000530C2" w:rsidP="004875EA">
      <w:pPr>
        <w:spacing w:before="120" w:line="276" w:lineRule="auto"/>
        <w:rPr>
          <w:rFonts w:eastAsia="Aptos"/>
          <w:kern w:val="2"/>
          <w:lang w:val="en-AU"/>
          <w14:ligatures w14:val="standardContextual"/>
        </w:rPr>
      </w:pPr>
      <w:r w:rsidRPr="000530C2">
        <w:rPr>
          <w:rFonts w:eastAsia="Aptos"/>
          <w:kern w:val="2"/>
          <w:lang w:val="en-AU"/>
          <w14:ligatures w14:val="standardContextual"/>
        </w:rPr>
        <w:t>By 25 May 2025, the Australian Fisheries Management Authority must establish accurate ratios for converting between all processed and unprocessed forms of prickly redfish (</w:t>
      </w:r>
      <w:proofErr w:type="spellStart"/>
      <w:r w:rsidRPr="000530C2">
        <w:rPr>
          <w:rFonts w:eastAsia="Aptos"/>
          <w:i/>
          <w:iCs/>
          <w:kern w:val="2"/>
          <w:lang w:val="en-AU"/>
          <w14:ligatures w14:val="standardContextual"/>
        </w:rPr>
        <w:t>Thelenota</w:t>
      </w:r>
      <w:proofErr w:type="spellEnd"/>
      <w:r w:rsidRPr="000530C2">
        <w:rPr>
          <w:rFonts w:eastAsia="Aptos"/>
          <w:i/>
          <w:iCs/>
          <w:kern w:val="2"/>
          <w:lang w:val="en-AU"/>
          <w14:ligatures w14:val="standardContextual"/>
        </w:rPr>
        <w:t> ananas</w:t>
      </w:r>
      <w:r w:rsidRPr="000530C2">
        <w:rPr>
          <w:rFonts w:eastAsia="Aptos"/>
          <w:kern w:val="2"/>
          <w:lang w:val="en-AU"/>
          <w14:ligatures w14:val="standardContextual"/>
        </w:rPr>
        <w:t>) and amberfish (</w:t>
      </w:r>
      <w:r w:rsidRPr="000530C2">
        <w:rPr>
          <w:rFonts w:eastAsia="Aptos"/>
          <w:i/>
          <w:iCs/>
          <w:kern w:val="2"/>
          <w:lang w:val="en-AU"/>
          <w14:ligatures w14:val="standardContextual"/>
        </w:rPr>
        <w:t>T. </w:t>
      </w:r>
      <w:proofErr w:type="spellStart"/>
      <w:r w:rsidRPr="000530C2">
        <w:rPr>
          <w:rFonts w:eastAsia="Aptos"/>
          <w:i/>
          <w:iCs/>
          <w:kern w:val="2"/>
          <w:lang w:val="en-AU"/>
          <w14:ligatures w14:val="standardContextual"/>
        </w:rPr>
        <w:t>anax</w:t>
      </w:r>
      <w:proofErr w:type="spellEnd"/>
      <w:r w:rsidRPr="000530C2">
        <w:rPr>
          <w:rFonts w:eastAsia="Aptos"/>
          <w:kern w:val="2"/>
          <w:lang w:val="en-AU"/>
          <w14:ligatures w14:val="standardContextual"/>
        </w:rPr>
        <w:t xml:space="preserve">) used in the Commonwealth Torres Strait </w:t>
      </w:r>
      <w:proofErr w:type="spellStart"/>
      <w:r w:rsidRPr="000530C2">
        <w:rPr>
          <w:rFonts w:eastAsia="Aptos"/>
          <w:kern w:val="2"/>
          <w:lang w:val="en-AU"/>
          <w14:ligatures w14:val="standardContextual"/>
        </w:rPr>
        <w:t>Bêche</w:t>
      </w:r>
      <w:proofErr w:type="spellEnd"/>
      <w:r w:rsidRPr="000530C2">
        <w:rPr>
          <w:rFonts w:eastAsia="Aptos"/>
          <w:kern w:val="2"/>
          <w:lang w:val="en-AU"/>
          <w14:ligatures w14:val="standardContextual"/>
        </w:rPr>
        <w:t>-de-</w:t>
      </w:r>
      <w:proofErr w:type="spellStart"/>
      <w:r w:rsidRPr="000530C2">
        <w:rPr>
          <w:rFonts w:eastAsia="Aptos"/>
          <w:kern w:val="2"/>
          <w:lang w:val="en-AU"/>
          <w14:ligatures w14:val="standardContextual"/>
        </w:rPr>
        <w:t>mer</w:t>
      </w:r>
      <w:proofErr w:type="spellEnd"/>
      <w:r w:rsidRPr="000530C2">
        <w:rPr>
          <w:rFonts w:eastAsia="Aptos"/>
          <w:kern w:val="2"/>
          <w:lang w:val="en-AU"/>
          <w14:ligatures w14:val="standardContextual"/>
        </w:rPr>
        <w:t xml:space="preserve"> Fishery. Conversion ratios should be consistent across Commonwealth and Queensland managed fisheries where appropriate. Precautionary proxy conversion ratios can be adopted from other fisheries or jurisdictions until more accurate conversion ratios can be established.</w:t>
      </w:r>
    </w:p>
    <w:p w14:paraId="3877C739" w14:textId="77777777" w:rsidR="000530C2" w:rsidRPr="000530C2" w:rsidRDefault="000530C2" w:rsidP="004875EA">
      <w:pPr>
        <w:spacing w:before="120" w:line="278" w:lineRule="auto"/>
        <w:rPr>
          <w:rFonts w:eastAsia="Aptos"/>
          <w:kern w:val="2"/>
          <w:lang w:val="en-AU"/>
          <w14:ligatures w14:val="standardContextual"/>
        </w:rPr>
      </w:pPr>
      <w:r w:rsidRPr="000530C2">
        <w:rPr>
          <w:rFonts w:eastAsia="Aptos"/>
          <w:b/>
          <w:bCs/>
          <w:kern w:val="2"/>
          <w:lang w:val="en-AU"/>
          <w14:ligatures w14:val="standardContextual"/>
        </w:rPr>
        <w:lastRenderedPageBreak/>
        <w:t>Condition 10</w:t>
      </w:r>
    </w:p>
    <w:p w14:paraId="4A3D9B33" w14:textId="078CBBCD" w:rsidR="000530C2" w:rsidRPr="000530C2" w:rsidRDefault="000530C2" w:rsidP="004875EA">
      <w:pPr>
        <w:spacing w:before="120" w:line="276" w:lineRule="auto"/>
        <w:rPr>
          <w:rFonts w:eastAsia="Aptos"/>
          <w:kern w:val="2"/>
          <w:lang w:val="en-AU"/>
          <w14:ligatures w14:val="standardContextual"/>
        </w:rPr>
      </w:pPr>
      <w:r w:rsidRPr="000530C2">
        <w:rPr>
          <w:rFonts w:eastAsia="Aptos"/>
          <w:kern w:val="2"/>
          <w:lang w:val="en-AU"/>
          <w14:ligatures w14:val="standardContextual"/>
        </w:rPr>
        <w:t xml:space="preserve">By 25 May 2026, the Australian Fisheries Management Authority must review existing spatial management arrangements to evaluate whether these arrangements are sufficient to manage the risk of localised depletion of sea cucumbers in the Commonwealth Torres Strait </w:t>
      </w:r>
      <w:proofErr w:type="spellStart"/>
      <w:r w:rsidRPr="000530C2">
        <w:rPr>
          <w:rFonts w:eastAsia="Aptos"/>
          <w:kern w:val="2"/>
          <w:lang w:val="en-AU"/>
          <w14:ligatures w14:val="standardContextual"/>
        </w:rPr>
        <w:t>Bêche</w:t>
      </w:r>
      <w:proofErr w:type="spellEnd"/>
      <w:r w:rsidRPr="000530C2">
        <w:rPr>
          <w:rFonts w:eastAsia="Aptos"/>
          <w:kern w:val="2"/>
          <w:lang w:val="en-AU"/>
          <w14:ligatures w14:val="standardContextual"/>
        </w:rPr>
        <w:t>-de-</w:t>
      </w:r>
      <w:proofErr w:type="spellStart"/>
      <w:r w:rsidRPr="000530C2">
        <w:rPr>
          <w:rFonts w:eastAsia="Aptos"/>
          <w:kern w:val="2"/>
          <w:lang w:val="en-AU"/>
          <w14:ligatures w14:val="standardContextual"/>
        </w:rPr>
        <w:t>mer</w:t>
      </w:r>
      <w:proofErr w:type="spellEnd"/>
      <w:r w:rsidRPr="000530C2">
        <w:rPr>
          <w:rFonts w:eastAsia="Aptos"/>
          <w:kern w:val="2"/>
          <w:lang w:val="en-AU"/>
          <w14:ligatures w14:val="standardContextual"/>
        </w:rPr>
        <w:t xml:space="preserve"> Fishery.</w:t>
      </w:r>
    </w:p>
    <w:p w14:paraId="1C2237FF" w14:textId="77777777" w:rsidR="000530C2" w:rsidRPr="000530C2" w:rsidRDefault="000530C2" w:rsidP="004875EA">
      <w:pPr>
        <w:spacing w:before="120" w:line="278" w:lineRule="auto"/>
        <w:rPr>
          <w:rFonts w:eastAsia="Aptos"/>
          <w:kern w:val="2"/>
          <w:lang w:val="en-AU"/>
          <w14:ligatures w14:val="standardContextual"/>
        </w:rPr>
      </w:pPr>
      <w:r w:rsidRPr="000530C2">
        <w:rPr>
          <w:rFonts w:eastAsia="Aptos"/>
          <w:b/>
          <w:bCs/>
          <w:kern w:val="2"/>
          <w:lang w:val="en-AU"/>
          <w14:ligatures w14:val="standardContextual"/>
        </w:rPr>
        <w:t>Condition 11</w:t>
      </w:r>
    </w:p>
    <w:p w14:paraId="175BBC44" w14:textId="77777777" w:rsidR="006C2FA5" w:rsidRDefault="000530C2" w:rsidP="004875EA">
      <w:pPr>
        <w:spacing w:before="120" w:line="276" w:lineRule="auto"/>
        <w:rPr>
          <w:rFonts w:eastAsia="Aptos"/>
          <w:kern w:val="2"/>
          <w:lang w:val="en-AU"/>
          <w14:ligatures w14:val="standardContextual"/>
        </w:rPr>
      </w:pPr>
      <w:r w:rsidRPr="000530C2">
        <w:rPr>
          <w:rFonts w:eastAsia="Aptos"/>
          <w:kern w:val="2"/>
          <w:lang w:val="en-AU"/>
          <w14:ligatures w14:val="standardContextual"/>
        </w:rPr>
        <w:t xml:space="preserve">The Australian Fisheries Management Authority and the Queensland Department of Primary Industries must continue efforts to support coordination of monitoring and management of straddling or otherwise linked sea cucumber stocks in the Commonwealth Coral Sea Fishery, Commonwealth Torres Strait </w:t>
      </w:r>
      <w:proofErr w:type="spellStart"/>
      <w:r w:rsidRPr="000530C2">
        <w:rPr>
          <w:rFonts w:eastAsia="Aptos"/>
          <w:kern w:val="2"/>
          <w:lang w:val="en-AU"/>
          <w14:ligatures w14:val="standardContextual"/>
        </w:rPr>
        <w:t>Bêche</w:t>
      </w:r>
      <w:proofErr w:type="spellEnd"/>
      <w:r w:rsidRPr="000530C2">
        <w:rPr>
          <w:rFonts w:eastAsia="Aptos"/>
          <w:kern w:val="2"/>
          <w:lang w:val="en-AU"/>
          <w14:ligatures w14:val="standardContextual"/>
        </w:rPr>
        <w:t>-de-</w:t>
      </w:r>
      <w:proofErr w:type="spellStart"/>
      <w:r w:rsidRPr="000530C2">
        <w:rPr>
          <w:rFonts w:eastAsia="Aptos"/>
          <w:kern w:val="2"/>
          <w:lang w:val="en-AU"/>
          <w14:ligatures w14:val="standardContextual"/>
        </w:rPr>
        <w:t>mer</w:t>
      </w:r>
      <w:proofErr w:type="spellEnd"/>
      <w:r w:rsidRPr="000530C2">
        <w:rPr>
          <w:rFonts w:eastAsia="Aptos"/>
          <w:kern w:val="2"/>
          <w:lang w:val="en-AU"/>
          <w14:ligatures w14:val="standardContextual"/>
        </w:rPr>
        <w:t xml:space="preserve"> Fishery, and Queensland Sea Cucumber Fishery (East Coast). </w:t>
      </w:r>
    </w:p>
    <w:p w14:paraId="3118B69B" w14:textId="008C09AC" w:rsidR="000530C2" w:rsidRPr="000530C2" w:rsidRDefault="000530C2" w:rsidP="004875EA">
      <w:pPr>
        <w:spacing w:before="120" w:line="276" w:lineRule="auto"/>
        <w:rPr>
          <w:highlight w:val="yellow"/>
        </w:rPr>
      </w:pPr>
      <w:r w:rsidRPr="000530C2">
        <w:rPr>
          <w:rFonts w:eastAsia="Aptos"/>
          <w:kern w:val="2"/>
          <w:lang w:val="en-AU"/>
          <w14:ligatures w14:val="standardContextual"/>
        </w:rPr>
        <w:t>This may include review and further development of harvest strategy frameworks and fishery reference points; temporal and spatial closures; minimum size limits; rotational zone size, timing and move-on provisions; research into life history parameters; Management Strategy Evaluation; and conversion ratios across all three fisheries to reduce risk to species in the region.</w:t>
      </w:r>
    </w:p>
    <w:sectPr w:rsidR="000530C2" w:rsidRPr="000530C2" w:rsidSect="0084723E">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780E9" w14:textId="77777777" w:rsidR="00F601B9" w:rsidRDefault="00F601B9" w:rsidP="00025AAF">
      <w:r>
        <w:separator/>
      </w:r>
    </w:p>
  </w:endnote>
  <w:endnote w:type="continuationSeparator" w:id="0">
    <w:p w14:paraId="423CD04D" w14:textId="77777777" w:rsidR="00F601B9" w:rsidRDefault="00F601B9" w:rsidP="0002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0BD1F" w14:textId="77777777" w:rsidR="00025AAF" w:rsidRDefault="00025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FB75B" w14:textId="77777777" w:rsidR="00025AAF" w:rsidRDefault="00025A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2455A" w14:textId="77777777" w:rsidR="00025AAF" w:rsidRDefault="00025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62E9C" w14:textId="77777777" w:rsidR="00F601B9" w:rsidRDefault="00F601B9" w:rsidP="00025AAF">
      <w:r>
        <w:separator/>
      </w:r>
    </w:p>
  </w:footnote>
  <w:footnote w:type="continuationSeparator" w:id="0">
    <w:p w14:paraId="674579F3" w14:textId="77777777" w:rsidR="00F601B9" w:rsidRDefault="00F601B9" w:rsidP="0002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16506" w14:textId="77777777" w:rsidR="00025AAF" w:rsidRDefault="00025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EB013" w14:textId="77777777" w:rsidR="00025AAF" w:rsidRDefault="00025A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72059" w14:textId="77777777" w:rsidR="00025AAF" w:rsidRDefault="00025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60EB"/>
    <w:multiLevelType w:val="hybridMultilevel"/>
    <w:tmpl w:val="791472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596F8B"/>
    <w:multiLevelType w:val="hybridMultilevel"/>
    <w:tmpl w:val="F190A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7004A7"/>
    <w:multiLevelType w:val="hybridMultilevel"/>
    <w:tmpl w:val="34FC1698"/>
    <w:lvl w:ilvl="0" w:tplc="43BCECB6">
      <w:start w:val="1"/>
      <w:numFmt w:val="lowerLetter"/>
      <w:lvlText w:val="(%1)"/>
      <w:lvlJc w:val="left"/>
      <w:pPr>
        <w:ind w:left="-288" w:hanging="360"/>
      </w:pPr>
      <w:rPr>
        <w:rFont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abstractNum w:abstractNumId="6" w15:restartNumberingAfterBreak="0">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7" w15:restartNumberingAfterBreak="0">
    <w:nsid w:val="475E18D8"/>
    <w:multiLevelType w:val="hybridMultilevel"/>
    <w:tmpl w:val="3DB0D2AE"/>
    <w:lvl w:ilvl="0" w:tplc="AE90683C">
      <w:start w:val="1"/>
      <w:numFmt w:val="lowerLetter"/>
      <w:lvlText w:val="%1)"/>
      <w:lvlJc w:val="left"/>
      <w:pPr>
        <w:ind w:left="870" w:hanging="435"/>
      </w:pPr>
      <w:rPr>
        <w:rFonts w:hint="default"/>
      </w:r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8" w15:restartNumberingAfterBreak="0">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10"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1" w15:restartNumberingAfterBreak="0">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4" w15:restartNumberingAfterBreak="0">
    <w:nsid w:val="665647AE"/>
    <w:multiLevelType w:val="hybridMultilevel"/>
    <w:tmpl w:val="7FF08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78C44223"/>
    <w:multiLevelType w:val="hybridMultilevel"/>
    <w:tmpl w:val="16ECA17A"/>
    <w:lvl w:ilvl="0" w:tplc="6C36CD72">
      <w:start w:val="1"/>
      <w:numFmt w:val="bullet"/>
      <w:pStyle w:val="Stylea"/>
      <w:lvlText w:val=""/>
      <w:lvlJc w:val="left"/>
      <w:pPr>
        <w:ind w:left="-288" w:hanging="360"/>
      </w:pPr>
      <w:rPr>
        <w:rFonts w:ascii="Wingdings" w:hAnsi="Wingding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num w:numId="1" w16cid:durableId="2034531918">
    <w:abstractNumId w:val="9"/>
  </w:num>
  <w:num w:numId="2" w16cid:durableId="74939498">
    <w:abstractNumId w:val="13"/>
  </w:num>
  <w:num w:numId="3" w16cid:durableId="1238709829">
    <w:abstractNumId w:val="11"/>
  </w:num>
  <w:num w:numId="4" w16cid:durableId="404496350">
    <w:abstractNumId w:val="12"/>
  </w:num>
  <w:num w:numId="5" w16cid:durableId="1566068874">
    <w:abstractNumId w:val="8"/>
  </w:num>
  <w:num w:numId="6" w16cid:durableId="408964214">
    <w:abstractNumId w:val="15"/>
  </w:num>
  <w:num w:numId="7" w16cid:durableId="822039019">
    <w:abstractNumId w:val="1"/>
  </w:num>
  <w:num w:numId="8" w16cid:durableId="811867202">
    <w:abstractNumId w:val="2"/>
  </w:num>
  <w:num w:numId="9" w16cid:durableId="2024476011">
    <w:abstractNumId w:val="6"/>
  </w:num>
  <w:num w:numId="10" w16cid:durableId="360595039">
    <w:abstractNumId w:val="3"/>
  </w:num>
  <w:num w:numId="11" w16cid:durableId="688064080">
    <w:abstractNumId w:val="16"/>
  </w:num>
  <w:num w:numId="12" w16cid:durableId="626048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573703">
    <w:abstractNumId w:val="10"/>
  </w:num>
  <w:num w:numId="14" w16cid:durableId="1271667914">
    <w:abstractNumId w:val="5"/>
  </w:num>
  <w:num w:numId="15" w16cid:durableId="1720546730">
    <w:abstractNumId w:val="14"/>
  </w:num>
  <w:num w:numId="16" w16cid:durableId="378676648">
    <w:abstractNumId w:val="7"/>
  </w:num>
  <w:num w:numId="17" w16cid:durableId="99423764">
    <w:abstractNumId w:val="0"/>
  </w:num>
  <w:num w:numId="18" w16cid:durableId="702560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95"/>
    <w:rsid w:val="00025AAF"/>
    <w:rsid w:val="000530C2"/>
    <w:rsid w:val="000944C5"/>
    <w:rsid w:val="0009559B"/>
    <w:rsid w:val="00097482"/>
    <w:rsid w:val="000C7FD3"/>
    <w:rsid w:val="000D7A62"/>
    <w:rsid w:val="000F54BF"/>
    <w:rsid w:val="00135A54"/>
    <w:rsid w:val="00137A53"/>
    <w:rsid w:val="001437D5"/>
    <w:rsid w:val="001754B3"/>
    <w:rsid w:val="001903F6"/>
    <w:rsid w:val="001A6E4C"/>
    <w:rsid w:val="001B30E9"/>
    <w:rsid w:val="001B4AC1"/>
    <w:rsid w:val="001C1983"/>
    <w:rsid w:val="001D1440"/>
    <w:rsid w:val="001D1E4F"/>
    <w:rsid w:val="001F5F57"/>
    <w:rsid w:val="002404E7"/>
    <w:rsid w:val="00251EDD"/>
    <w:rsid w:val="00270AD3"/>
    <w:rsid w:val="00281A75"/>
    <w:rsid w:val="00325288"/>
    <w:rsid w:val="00337560"/>
    <w:rsid w:val="0034188A"/>
    <w:rsid w:val="0036450D"/>
    <w:rsid w:val="00397B00"/>
    <w:rsid w:val="003B7508"/>
    <w:rsid w:val="003B7748"/>
    <w:rsid w:val="003D1D22"/>
    <w:rsid w:val="003E5BC9"/>
    <w:rsid w:val="00403727"/>
    <w:rsid w:val="004440C2"/>
    <w:rsid w:val="004875EA"/>
    <w:rsid w:val="004A21DD"/>
    <w:rsid w:val="004C3DEE"/>
    <w:rsid w:val="004D79A6"/>
    <w:rsid w:val="004F453E"/>
    <w:rsid w:val="005176C3"/>
    <w:rsid w:val="00525563"/>
    <w:rsid w:val="00531E1F"/>
    <w:rsid w:val="005470E3"/>
    <w:rsid w:val="00581628"/>
    <w:rsid w:val="005A3DE7"/>
    <w:rsid w:val="005F60BA"/>
    <w:rsid w:val="00614914"/>
    <w:rsid w:val="0062178C"/>
    <w:rsid w:val="00627964"/>
    <w:rsid w:val="00645729"/>
    <w:rsid w:val="00665B3F"/>
    <w:rsid w:val="0067129A"/>
    <w:rsid w:val="00680FEF"/>
    <w:rsid w:val="00693DD6"/>
    <w:rsid w:val="006A1AFC"/>
    <w:rsid w:val="006C2FA5"/>
    <w:rsid w:val="006F1595"/>
    <w:rsid w:val="006F7D75"/>
    <w:rsid w:val="007556B5"/>
    <w:rsid w:val="00763DB9"/>
    <w:rsid w:val="00795D59"/>
    <w:rsid w:val="007E085C"/>
    <w:rsid w:val="00820264"/>
    <w:rsid w:val="00841004"/>
    <w:rsid w:val="0084723E"/>
    <w:rsid w:val="00854659"/>
    <w:rsid w:val="008716A9"/>
    <w:rsid w:val="00881248"/>
    <w:rsid w:val="00895525"/>
    <w:rsid w:val="008B57A5"/>
    <w:rsid w:val="008E0CF5"/>
    <w:rsid w:val="008F2EEC"/>
    <w:rsid w:val="009132FA"/>
    <w:rsid w:val="00916954"/>
    <w:rsid w:val="00923C5D"/>
    <w:rsid w:val="00934F65"/>
    <w:rsid w:val="00941DE5"/>
    <w:rsid w:val="009500FD"/>
    <w:rsid w:val="00954478"/>
    <w:rsid w:val="009733AD"/>
    <w:rsid w:val="009946F0"/>
    <w:rsid w:val="00995E72"/>
    <w:rsid w:val="009B0E50"/>
    <w:rsid w:val="009C5305"/>
    <w:rsid w:val="00A1569D"/>
    <w:rsid w:val="00A33DED"/>
    <w:rsid w:val="00A52C02"/>
    <w:rsid w:val="00A60572"/>
    <w:rsid w:val="00A834C5"/>
    <w:rsid w:val="00A855CE"/>
    <w:rsid w:val="00AC2D95"/>
    <w:rsid w:val="00AC46A7"/>
    <w:rsid w:val="00AC559D"/>
    <w:rsid w:val="00AD0CDC"/>
    <w:rsid w:val="00AD2B46"/>
    <w:rsid w:val="00AD5D3C"/>
    <w:rsid w:val="00B06522"/>
    <w:rsid w:val="00B11A13"/>
    <w:rsid w:val="00B364D4"/>
    <w:rsid w:val="00B45ECF"/>
    <w:rsid w:val="00B677C8"/>
    <w:rsid w:val="00B85719"/>
    <w:rsid w:val="00BC3821"/>
    <w:rsid w:val="00BC43C2"/>
    <w:rsid w:val="00BD6E87"/>
    <w:rsid w:val="00BE4733"/>
    <w:rsid w:val="00BF533B"/>
    <w:rsid w:val="00BF7A83"/>
    <w:rsid w:val="00C1325A"/>
    <w:rsid w:val="00C26434"/>
    <w:rsid w:val="00C30237"/>
    <w:rsid w:val="00C40170"/>
    <w:rsid w:val="00C414FC"/>
    <w:rsid w:val="00C646AF"/>
    <w:rsid w:val="00C665C2"/>
    <w:rsid w:val="00C8489C"/>
    <w:rsid w:val="00C95304"/>
    <w:rsid w:val="00C97B2F"/>
    <w:rsid w:val="00CD6C33"/>
    <w:rsid w:val="00CD7111"/>
    <w:rsid w:val="00CF5312"/>
    <w:rsid w:val="00D43A3C"/>
    <w:rsid w:val="00D50212"/>
    <w:rsid w:val="00D63915"/>
    <w:rsid w:val="00D7018A"/>
    <w:rsid w:val="00D75ACB"/>
    <w:rsid w:val="00D92154"/>
    <w:rsid w:val="00D97269"/>
    <w:rsid w:val="00DA6600"/>
    <w:rsid w:val="00DD274E"/>
    <w:rsid w:val="00E130FE"/>
    <w:rsid w:val="00E442CE"/>
    <w:rsid w:val="00E46B14"/>
    <w:rsid w:val="00E54D2E"/>
    <w:rsid w:val="00E8043D"/>
    <w:rsid w:val="00ED1E08"/>
    <w:rsid w:val="00F02333"/>
    <w:rsid w:val="00F10DF4"/>
    <w:rsid w:val="00F21B53"/>
    <w:rsid w:val="00F601B9"/>
    <w:rsid w:val="00F7075B"/>
    <w:rsid w:val="00F85821"/>
    <w:rsid w:val="00F93CF7"/>
    <w:rsid w:val="00F96D8E"/>
    <w:rsid w:val="00F96DC0"/>
    <w:rsid w:val="00FA278A"/>
    <w:rsid w:val="00FB3199"/>
    <w:rsid w:val="00FD34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C060C"/>
  <w15:docId w15:val="{FEA90A5D-5DDA-4F2E-9CA4-F8868284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34188A"/>
    <w:pPr>
      <w:keepNext/>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Cambria" w:hAnsi="Cambria"/>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link w:val="CommentText"/>
    <w:semiHidden/>
    <w:rsid w:val="006F1595"/>
    <w:rPr>
      <w:lang w:val="en-US" w:eastAsia="en-US"/>
    </w:rPr>
  </w:style>
  <w:style w:type="character" w:styleId="Hyperlink">
    <w:name w:val="Hyperlink"/>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hAnsi="Arial" w:cs="Arial"/>
      <w:b w:val="0"/>
      <w:sz w:val="22"/>
      <w:lang w:val="en-AU" w:eastAsia="en-AU"/>
    </w:rPr>
  </w:style>
  <w:style w:type="character" w:customStyle="1" w:styleId="Heading3Char">
    <w:name w:val="Heading 3 Char"/>
    <w:link w:val="Heading3"/>
    <w:semiHidden/>
    <w:rsid w:val="006F7D75"/>
    <w:rPr>
      <w:rFonts w:ascii="Cambria" w:eastAsia="Times New Roman" w:hAnsi="Cambria" w:cs="Times New Roman"/>
      <w:b/>
      <w:bCs/>
      <w:sz w:val="26"/>
      <w:szCs w:val="26"/>
      <w:lang w:val="en-US" w:eastAsia="en-US"/>
    </w:rPr>
  </w:style>
  <w:style w:type="paragraph" w:customStyle="1" w:styleId="Stylea">
    <w:name w:val="Style (a)"/>
    <w:basedOn w:val="Normal"/>
    <w:qFormat/>
    <w:rsid w:val="004C3DEE"/>
    <w:pPr>
      <w:numPr>
        <w:numId w:val="11"/>
      </w:numPr>
      <w:ind w:left="714" w:hanging="357"/>
    </w:pPr>
    <w:rPr>
      <w:snapToGrid w:val="0"/>
      <w:color w:val="FF0000"/>
      <w:lang w:val="en-AU"/>
    </w:rPr>
  </w:style>
  <w:style w:type="paragraph" w:styleId="ListParagraph">
    <w:name w:val="List Paragraph"/>
    <w:basedOn w:val="Normal"/>
    <w:uiPriority w:val="34"/>
    <w:qFormat/>
    <w:rsid w:val="00D63915"/>
    <w:pPr>
      <w:tabs>
        <w:tab w:val="left" w:pos="1096"/>
      </w:tabs>
      <w:spacing w:before="60" w:after="60"/>
      <w:ind w:firstLine="181"/>
    </w:pPr>
    <w:rPr>
      <w:rFonts w:eastAsia="Calibri"/>
      <w:snapToGrid w:val="0"/>
      <w:sz w:val="22"/>
      <w:szCs w:val="22"/>
      <w:lang w:val="en-AU"/>
    </w:rPr>
  </w:style>
  <w:style w:type="paragraph" w:styleId="Header">
    <w:name w:val="header"/>
    <w:basedOn w:val="Normal"/>
    <w:link w:val="HeaderChar"/>
    <w:unhideWhenUsed/>
    <w:rsid w:val="00025AAF"/>
    <w:pPr>
      <w:tabs>
        <w:tab w:val="center" w:pos="4513"/>
        <w:tab w:val="right" w:pos="9026"/>
      </w:tabs>
    </w:pPr>
  </w:style>
  <w:style w:type="character" w:customStyle="1" w:styleId="HeaderChar">
    <w:name w:val="Header Char"/>
    <w:basedOn w:val="DefaultParagraphFont"/>
    <w:link w:val="Header"/>
    <w:rsid w:val="00025AAF"/>
    <w:rPr>
      <w:sz w:val="24"/>
      <w:szCs w:val="24"/>
      <w:lang w:val="en-US" w:eastAsia="en-US"/>
    </w:rPr>
  </w:style>
  <w:style w:type="paragraph" w:styleId="Footer">
    <w:name w:val="footer"/>
    <w:basedOn w:val="Normal"/>
    <w:link w:val="FooterChar"/>
    <w:unhideWhenUsed/>
    <w:rsid w:val="00025AAF"/>
    <w:pPr>
      <w:tabs>
        <w:tab w:val="center" w:pos="4513"/>
        <w:tab w:val="right" w:pos="9026"/>
      </w:tabs>
    </w:pPr>
  </w:style>
  <w:style w:type="character" w:customStyle="1" w:styleId="FooterChar">
    <w:name w:val="Footer Char"/>
    <w:basedOn w:val="DefaultParagraphFont"/>
    <w:link w:val="Footer"/>
    <w:rsid w:val="00025AAF"/>
    <w:rPr>
      <w:sz w:val="24"/>
      <w:szCs w:val="24"/>
      <w:lang w:val="en-US" w:eastAsia="en-US"/>
    </w:rPr>
  </w:style>
  <w:style w:type="character" w:styleId="UnresolvedMention">
    <w:name w:val="Unresolved Mention"/>
    <w:basedOn w:val="DefaultParagraphFont"/>
    <w:uiPriority w:val="99"/>
    <w:semiHidden/>
    <w:unhideWhenUsed/>
    <w:rsid w:val="00FD3405"/>
    <w:rPr>
      <w:color w:val="605E5C"/>
      <w:shd w:val="clear" w:color="auto" w:fill="E1DFDD"/>
    </w:rPr>
  </w:style>
  <w:style w:type="paragraph" w:styleId="Revision">
    <w:name w:val="Revision"/>
    <w:hidden/>
    <w:uiPriority w:val="99"/>
    <w:semiHidden/>
    <w:rsid w:val="00F93CF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484F692-5F6C-4F8C-BD7A-5DEB09761F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93ED028CDB524EAE2E3ECB89F95A15" ma:contentTypeVersion="" ma:contentTypeDescription="PDMS Document Site Content Type" ma:contentTypeScope="" ma:versionID="d4df26b4fc6d587f21549784a11069ee">
  <xsd:schema xmlns:xsd="http://www.w3.org/2001/XMLSchema" xmlns:xs="http://www.w3.org/2001/XMLSchema" xmlns:p="http://schemas.microsoft.com/office/2006/metadata/properties" xmlns:ns2="D484F692-5F6C-4F8C-BD7A-5DEB09761F3B" targetNamespace="http://schemas.microsoft.com/office/2006/metadata/properties" ma:root="true" ma:fieldsID="1164299e91ee941eb13bb5136f734bc0" ns2:_="">
    <xsd:import namespace="D484F692-5F6C-4F8C-BD7A-5DEB09761F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4F692-5F6C-4F8C-BD7A-5DEB09761F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F61E2-7DE1-4B0F-A4B3-6DD7DF5A9E1B}">
  <ds:schemaRefs>
    <ds:schemaRef ds:uri="http://schemas.microsoft.com/office/2006/metadata/properties"/>
    <ds:schemaRef ds:uri="http://schemas.microsoft.com/office/infopath/2007/PartnerControls"/>
    <ds:schemaRef ds:uri="D484F692-5F6C-4F8C-BD7A-5DEB09761F3B"/>
  </ds:schemaRefs>
</ds:datastoreItem>
</file>

<file path=customXml/itemProps2.xml><?xml version="1.0" encoding="utf-8"?>
<ds:datastoreItem xmlns:ds="http://schemas.openxmlformats.org/officeDocument/2006/customXml" ds:itemID="{D52C88B8-730D-42C1-B2AC-E93B065AE757}">
  <ds:schemaRefs>
    <ds:schemaRef ds:uri="http://schemas.microsoft.com/sharepoint/v3/contenttype/forms"/>
  </ds:schemaRefs>
</ds:datastoreItem>
</file>

<file path=customXml/itemProps3.xml><?xml version="1.0" encoding="utf-8"?>
<ds:datastoreItem xmlns:ds="http://schemas.openxmlformats.org/officeDocument/2006/customXml" ds:itemID="{37346EF7-E0EA-4EC7-AE5A-A8EAD5529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4F692-5F6C-4F8C-BD7A-5DEB09761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86513-26ED-46F7-8DAF-99625331E85E}">
  <ds:schemaRefs>
    <ds:schemaRef ds:uri="http://schemas.openxmlformats.org/officeDocument/2006/bibliography"/>
  </ds:schemaRefs>
</ds:datastoreItem>
</file>

<file path=docMetadata/LabelInfo.xml><?xml version="1.0" encoding="utf-8"?>
<clbl:labelList xmlns:clbl="http://schemas.microsoft.com/office/2020/mipLabelMetadata">
  <clbl:label id="{938c5fd4-19f6-4faf-97a6-4805fefb2c9e}"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1381</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Wildlife Trade Operation instrument</vt:lpstr>
    </vt:vector>
  </TitlesOfParts>
  <Company>EA</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Trade Operation instrument</dc:title>
  <dc:creator>Steve AULD</dc:creator>
  <cp:lastModifiedBy>Matt FLOOD</cp:lastModifiedBy>
  <cp:revision>16</cp:revision>
  <cp:lastPrinted>2025-01-07T09:17:00Z</cp:lastPrinted>
  <dcterms:created xsi:type="dcterms:W3CDTF">2025-01-07T08:39:00Z</dcterms:created>
  <dcterms:modified xsi:type="dcterms:W3CDTF">2025-01-08T22:39:00Z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0x010100266966F133664895A6EE3632470D45F500AA93ED028CDB524EAE2E3ECB89F95A15</vt:lpwstr>
  </property>
  <property fmtid="{D5CDD505-2E9C-101B-9397-08002B2CF9AE}" pid="3" name="RecordPoint_SubmissionDate">
    <vt:lpwstr/>
  </property>
  <property fmtid="{D5CDD505-2E9C-101B-9397-08002B2CF9AE}" pid="4" name="RecordPoint_RecordNumberSubmitted">
    <vt:lpwstr>000109706</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2021-01-17T17:15:04.3832744+11:00</vt:lpwstr>
  </property>
  <property fmtid="{D5CDD505-2E9C-101B-9397-08002B2CF9AE}" pid="10" name="RecordPoint_ActiveItemUniqueId">
    <vt:lpwstr>{705ac55a-14b8-4483-862e-34df0376b3da}</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