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1E42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609A663" wp14:editId="298F280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99BB9" w14:textId="77777777" w:rsidR="00FA06CA" w:rsidRPr="00E500D4" w:rsidRDefault="00FA06CA" w:rsidP="00FA06CA">
      <w:pPr>
        <w:rPr>
          <w:sz w:val="19"/>
        </w:rPr>
      </w:pPr>
    </w:p>
    <w:p w14:paraId="6947E890" w14:textId="2638F0A9" w:rsidR="00FA06CA" w:rsidRPr="00E500D4" w:rsidRDefault="007679B4" w:rsidP="00FA06CA">
      <w:pPr>
        <w:pStyle w:val="ShortT"/>
      </w:pPr>
      <w:r>
        <w:t>Foreign Acquisitions and Takeovers</w:t>
      </w:r>
      <w:r w:rsidRPr="00DA182D">
        <w:t xml:space="preserve"> </w:t>
      </w:r>
      <w:r>
        <w:t>(Manner of Notification and Application) Approval</w:t>
      </w:r>
      <w:r w:rsidR="009D4DA8">
        <w:t>s</w:t>
      </w:r>
      <w:r>
        <w:t xml:space="preserve"> 202</w:t>
      </w:r>
      <w:r w:rsidR="00471122">
        <w:t>5</w:t>
      </w:r>
    </w:p>
    <w:p w14:paraId="06B1CCC9" w14:textId="0A4F5C36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7436D8" w:rsidRPr="007436D8">
        <w:rPr>
          <w:szCs w:val="22"/>
        </w:rPr>
        <w:t>Thomas Stoddart</w:t>
      </w:r>
      <w:r w:rsidRPr="00BC5754">
        <w:rPr>
          <w:szCs w:val="22"/>
        </w:rPr>
        <w:t xml:space="preserve">, </w:t>
      </w:r>
      <w:r w:rsidR="003A3B99">
        <w:rPr>
          <w:szCs w:val="22"/>
        </w:rPr>
        <w:t>Acting</w:t>
      </w:r>
      <w:r w:rsidR="007679B4">
        <w:rPr>
          <w:szCs w:val="22"/>
        </w:rPr>
        <w:t xml:space="preserve"> Assistant Secretary</w:t>
      </w:r>
      <w:r w:rsidRPr="00BC5754">
        <w:rPr>
          <w:szCs w:val="22"/>
        </w:rPr>
        <w:t xml:space="preserve">, </w:t>
      </w:r>
      <w:r w:rsidR="00AD196B">
        <w:rPr>
          <w:szCs w:val="22"/>
        </w:rPr>
        <w:t xml:space="preserve">Practice and Systems Branch, </w:t>
      </w:r>
      <w:r w:rsidR="007679B4">
        <w:rPr>
          <w:szCs w:val="22"/>
        </w:rPr>
        <w:t xml:space="preserve">Foreign Investment Division, Department of the Treasury, delegate of the Secretary to the Treasury, approve the following manners for giving notices or making applications under the </w:t>
      </w:r>
      <w:r w:rsidR="007679B4" w:rsidRPr="007679B4">
        <w:rPr>
          <w:i/>
          <w:iCs/>
          <w:szCs w:val="22"/>
        </w:rPr>
        <w:t>Foreign Acquisitions and Takeovers Act</w:t>
      </w:r>
      <w:r w:rsidR="00F83766">
        <w:rPr>
          <w:i/>
          <w:iCs/>
          <w:szCs w:val="22"/>
        </w:rPr>
        <w:t> </w:t>
      </w:r>
      <w:r w:rsidR="007679B4" w:rsidRPr="007679B4">
        <w:rPr>
          <w:i/>
          <w:iCs/>
          <w:szCs w:val="22"/>
        </w:rPr>
        <w:t>1975</w:t>
      </w:r>
      <w:r w:rsidRPr="00BC5754">
        <w:rPr>
          <w:szCs w:val="22"/>
        </w:rPr>
        <w:t>.</w:t>
      </w:r>
    </w:p>
    <w:p w14:paraId="6E09E0C8" w14:textId="678E3F28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B9690D">
        <w:rPr>
          <w:szCs w:val="22"/>
        </w:rPr>
        <w:t xml:space="preserve">20 January </w:t>
      </w:r>
      <w:r w:rsidR="007679B4">
        <w:rPr>
          <w:szCs w:val="22"/>
        </w:rPr>
        <w:t>202</w:t>
      </w:r>
      <w:r w:rsidR="00471122">
        <w:rPr>
          <w:szCs w:val="22"/>
        </w:rPr>
        <w:t>5</w:t>
      </w:r>
    </w:p>
    <w:p w14:paraId="69D4A6D8" w14:textId="6C884FA1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E1192C0" w14:textId="7BD642CC" w:rsidR="00FA06CA" w:rsidRPr="00BC5754" w:rsidRDefault="007436D8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436D8">
        <w:rPr>
          <w:szCs w:val="22"/>
        </w:rPr>
        <w:t>Thomas Stoddart</w:t>
      </w:r>
    </w:p>
    <w:p w14:paraId="233780E8" w14:textId="4C2609FD" w:rsidR="00FA06CA" w:rsidRPr="00BC5754" w:rsidRDefault="00AD196B" w:rsidP="00FA06CA">
      <w:pPr>
        <w:pStyle w:val="SignCoverPageEnd"/>
        <w:rPr>
          <w:szCs w:val="22"/>
        </w:rPr>
      </w:pPr>
      <w:r>
        <w:rPr>
          <w:szCs w:val="22"/>
        </w:rPr>
        <w:t>Acting</w:t>
      </w:r>
      <w:r w:rsidR="00C64029">
        <w:rPr>
          <w:szCs w:val="22"/>
        </w:rPr>
        <w:t xml:space="preserve"> Assistant Secretary</w:t>
      </w:r>
      <w:r>
        <w:rPr>
          <w:szCs w:val="22"/>
        </w:rPr>
        <w:br/>
        <w:t>Practice and Systems Branch</w:t>
      </w:r>
      <w:r w:rsidR="009D4DA8">
        <w:rPr>
          <w:szCs w:val="22"/>
        </w:rPr>
        <w:br/>
        <w:t>Foreign Investment Division</w:t>
      </w:r>
      <w:r w:rsidR="009D4DA8">
        <w:rPr>
          <w:szCs w:val="22"/>
        </w:rPr>
        <w:br/>
        <w:t>Department of the Treasury</w:t>
      </w:r>
    </w:p>
    <w:p w14:paraId="2358FDC1" w14:textId="77777777" w:rsidR="00FA06CA" w:rsidRPr="00BC5754" w:rsidRDefault="00FA06CA" w:rsidP="00FA06CA">
      <w:pPr>
        <w:rPr>
          <w:rStyle w:val="CharAmSchNo"/>
        </w:rPr>
      </w:pPr>
    </w:p>
    <w:p w14:paraId="280B94CE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5F586572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5D38B29C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6328EF99" w14:textId="77777777" w:rsidR="00FA06CA" w:rsidRDefault="00FA06CA" w:rsidP="00FA06CA">
      <w:pPr>
        <w:sectPr w:rsidR="00FA06CA" w:rsidSect="00FA1E5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47CB41F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14399D2" w14:textId="35EB47B8" w:rsidR="002700D7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700D7">
        <w:fldChar w:fldCharType="begin"/>
      </w:r>
      <w:r>
        <w:instrText xml:space="preserve"> TOC \o "1-9" </w:instrText>
      </w:r>
      <w:r w:rsidRPr="002700D7">
        <w:fldChar w:fldCharType="separate"/>
      </w:r>
      <w:r w:rsidR="002700D7">
        <w:rPr>
          <w:noProof/>
        </w:rPr>
        <w:t>Part 1—Preliminary</w:t>
      </w:r>
      <w:r w:rsidR="002700D7">
        <w:rPr>
          <w:noProof/>
        </w:rPr>
        <w:tab/>
      </w:r>
      <w:r w:rsidR="002700D7" w:rsidRPr="002700D7">
        <w:rPr>
          <w:b w:val="0"/>
          <w:noProof/>
          <w:sz w:val="18"/>
        </w:rPr>
        <w:fldChar w:fldCharType="begin"/>
      </w:r>
      <w:r w:rsidR="002700D7" w:rsidRPr="002700D7">
        <w:rPr>
          <w:b w:val="0"/>
          <w:noProof/>
          <w:sz w:val="18"/>
        </w:rPr>
        <w:instrText xml:space="preserve"> PAGEREF _Toc153866124 \h </w:instrText>
      </w:r>
      <w:r w:rsidR="002700D7" w:rsidRPr="002700D7">
        <w:rPr>
          <w:b w:val="0"/>
          <w:noProof/>
          <w:sz w:val="18"/>
        </w:rPr>
      </w:r>
      <w:r w:rsidR="002700D7" w:rsidRPr="002700D7">
        <w:rPr>
          <w:b w:val="0"/>
          <w:noProof/>
          <w:sz w:val="18"/>
        </w:rPr>
        <w:fldChar w:fldCharType="separate"/>
      </w:r>
      <w:r w:rsidR="002047CD">
        <w:rPr>
          <w:b w:val="0"/>
          <w:noProof/>
          <w:sz w:val="18"/>
        </w:rPr>
        <w:t>1</w:t>
      </w:r>
      <w:r w:rsidR="002700D7" w:rsidRPr="002700D7">
        <w:rPr>
          <w:b w:val="0"/>
          <w:noProof/>
          <w:sz w:val="18"/>
        </w:rPr>
        <w:fldChar w:fldCharType="end"/>
      </w:r>
    </w:p>
    <w:p w14:paraId="0970D7FF" w14:textId="76D6B65A" w:rsidR="002700D7" w:rsidRDefault="002700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 w:rsidR="000B0B66">
        <w:rPr>
          <w:noProof/>
        </w:rPr>
        <w:tab/>
      </w:r>
      <w:r>
        <w:rPr>
          <w:noProof/>
        </w:rPr>
        <w:tab/>
      </w:r>
      <w:r w:rsidRPr="002700D7">
        <w:rPr>
          <w:noProof/>
        </w:rPr>
        <w:fldChar w:fldCharType="begin"/>
      </w:r>
      <w:r w:rsidRPr="002700D7">
        <w:rPr>
          <w:noProof/>
        </w:rPr>
        <w:instrText xml:space="preserve"> PAGEREF _Toc153866125 \h </w:instrText>
      </w:r>
      <w:r w:rsidRPr="002700D7">
        <w:rPr>
          <w:noProof/>
        </w:rPr>
      </w:r>
      <w:r w:rsidRPr="002700D7">
        <w:rPr>
          <w:noProof/>
        </w:rPr>
        <w:fldChar w:fldCharType="separate"/>
      </w:r>
      <w:r w:rsidR="002047CD">
        <w:rPr>
          <w:noProof/>
        </w:rPr>
        <w:t>1</w:t>
      </w:r>
      <w:r w:rsidRPr="002700D7">
        <w:rPr>
          <w:noProof/>
        </w:rPr>
        <w:fldChar w:fldCharType="end"/>
      </w:r>
    </w:p>
    <w:p w14:paraId="491B08C9" w14:textId="7EDE7EA9" w:rsidR="002700D7" w:rsidRDefault="002700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2700D7">
        <w:rPr>
          <w:noProof/>
        </w:rPr>
        <w:fldChar w:fldCharType="begin"/>
      </w:r>
      <w:r w:rsidRPr="002700D7">
        <w:rPr>
          <w:noProof/>
        </w:rPr>
        <w:instrText xml:space="preserve"> PAGEREF _Toc153866126 \h </w:instrText>
      </w:r>
      <w:r w:rsidRPr="002700D7">
        <w:rPr>
          <w:noProof/>
        </w:rPr>
      </w:r>
      <w:r w:rsidRPr="002700D7">
        <w:rPr>
          <w:noProof/>
        </w:rPr>
        <w:fldChar w:fldCharType="separate"/>
      </w:r>
      <w:r w:rsidR="002047CD">
        <w:rPr>
          <w:noProof/>
        </w:rPr>
        <w:t>1</w:t>
      </w:r>
      <w:r w:rsidRPr="002700D7">
        <w:rPr>
          <w:noProof/>
        </w:rPr>
        <w:fldChar w:fldCharType="end"/>
      </w:r>
    </w:p>
    <w:p w14:paraId="2D2CD4DF" w14:textId="09E236B7" w:rsidR="002700D7" w:rsidRDefault="002700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2700D7">
        <w:rPr>
          <w:noProof/>
        </w:rPr>
        <w:fldChar w:fldCharType="begin"/>
      </w:r>
      <w:r w:rsidRPr="002700D7">
        <w:rPr>
          <w:noProof/>
        </w:rPr>
        <w:instrText xml:space="preserve"> PAGEREF _Toc153866127 \h </w:instrText>
      </w:r>
      <w:r w:rsidRPr="002700D7">
        <w:rPr>
          <w:noProof/>
        </w:rPr>
      </w:r>
      <w:r w:rsidRPr="002700D7">
        <w:rPr>
          <w:noProof/>
        </w:rPr>
        <w:fldChar w:fldCharType="separate"/>
      </w:r>
      <w:r w:rsidR="002047CD">
        <w:rPr>
          <w:noProof/>
        </w:rPr>
        <w:t>1</w:t>
      </w:r>
      <w:r w:rsidRPr="002700D7">
        <w:rPr>
          <w:noProof/>
        </w:rPr>
        <w:fldChar w:fldCharType="end"/>
      </w:r>
    </w:p>
    <w:p w14:paraId="2BEF3E4A" w14:textId="7C044FBC" w:rsidR="002700D7" w:rsidRDefault="002700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2700D7">
        <w:rPr>
          <w:noProof/>
        </w:rPr>
        <w:fldChar w:fldCharType="begin"/>
      </w:r>
      <w:r w:rsidRPr="002700D7">
        <w:rPr>
          <w:noProof/>
        </w:rPr>
        <w:instrText xml:space="preserve"> PAGEREF _Toc153866128 \h </w:instrText>
      </w:r>
      <w:r w:rsidRPr="002700D7">
        <w:rPr>
          <w:noProof/>
        </w:rPr>
      </w:r>
      <w:r w:rsidRPr="002700D7">
        <w:rPr>
          <w:noProof/>
        </w:rPr>
        <w:fldChar w:fldCharType="separate"/>
      </w:r>
      <w:r w:rsidR="002047CD">
        <w:rPr>
          <w:noProof/>
        </w:rPr>
        <w:t>1</w:t>
      </w:r>
      <w:r w:rsidRPr="002700D7">
        <w:rPr>
          <w:noProof/>
        </w:rPr>
        <w:fldChar w:fldCharType="end"/>
      </w:r>
    </w:p>
    <w:p w14:paraId="1435571B" w14:textId="10BD0C6E" w:rsidR="002700D7" w:rsidRDefault="002700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 w:rsidRPr="002700D7">
        <w:rPr>
          <w:noProof/>
        </w:rPr>
        <w:fldChar w:fldCharType="begin"/>
      </w:r>
      <w:r w:rsidRPr="002700D7">
        <w:rPr>
          <w:noProof/>
        </w:rPr>
        <w:instrText xml:space="preserve"> PAGEREF _Toc153866129 \h </w:instrText>
      </w:r>
      <w:r w:rsidRPr="002700D7">
        <w:rPr>
          <w:noProof/>
        </w:rPr>
      </w:r>
      <w:r w:rsidRPr="002700D7">
        <w:rPr>
          <w:noProof/>
        </w:rPr>
        <w:fldChar w:fldCharType="separate"/>
      </w:r>
      <w:r w:rsidR="002047CD">
        <w:rPr>
          <w:noProof/>
        </w:rPr>
        <w:t>1</w:t>
      </w:r>
      <w:r w:rsidRPr="002700D7">
        <w:rPr>
          <w:noProof/>
        </w:rPr>
        <w:fldChar w:fldCharType="end"/>
      </w:r>
    </w:p>
    <w:p w14:paraId="5D5B5F74" w14:textId="7574A86A" w:rsidR="002700D7" w:rsidRDefault="002700D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2—Approved manner for giving notices or making applications under the Act</w:t>
      </w:r>
      <w:r>
        <w:rPr>
          <w:noProof/>
        </w:rPr>
        <w:tab/>
      </w:r>
      <w:r w:rsidRPr="002700D7">
        <w:rPr>
          <w:b w:val="0"/>
          <w:noProof/>
          <w:sz w:val="18"/>
        </w:rPr>
        <w:fldChar w:fldCharType="begin"/>
      </w:r>
      <w:r w:rsidRPr="002700D7">
        <w:rPr>
          <w:b w:val="0"/>
          <w:noProof/>
          <w:sz w:val="18"/>
        </w:rPr>
        <w:instrText xml:space="preserve"> PAGEREF _Toc153866130 \h </w:instrText>
      </w:r>
      <w:r w:rsidRPr="002700D7">
        <w:rPr>
          <w:b w:val="0"/>
          <w:noProof/>
          <w:sz w:val="18"/>
        </w:rPr>
      </w:r>
      <w:r w:rsidRPr="002700D7">
        <w:rPr>
          <w:b w:val="0"/>
          <w:noProof/>
          <w:sz w:val="18"/>
        </w:rPr>
        <w:fldChar w:fldCharType="separate"/>
      </w:r>
      <w:r w:rsidR="002047CD">
        <w:rPr>
          <w:b w:val="0"/>
          <w:noProof/>
          <w:sz w:val="18"/>
        </w:rPr>
        <w:t>3</w:t>
      </w:r>
      <w:r w:rsidRPr="002700D7">
        <w:rPr>
          <w:b w:val="0"/>
          <w:noProof/>
          <w:sz w:val="18"/>
        </w:rPr>
        <w:fldChar w:fldCharType="end"/>
      </w:r>
    </w:p>
    <w:p w14:paraId="1569CB45" w14:textId="6E567F59" w:rsidR="002700D7" w:rsidRDefault="002700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Approved manner of notification and application</w:t>
      </w:r>
      <w:r>
        <w:rPr>
          <w:noProof/>
        </w:rPr>
        <w:tab/>
      </w:r>
      <w:r w:rsidRPr="002700D7">
        <w:rPr>
          <w:noProof/>
        </w:rPr>
        <w:fldChar w:fldCharType="begin"/>
      </w:r>
      <w:r w:rsidRPr="002700D7">
        <w:rPr>
          <w:noProof/>
        </w:rPr>
        <w:instrText xml:space="preserve"> PAGEREF _Toc153866131 \h </w:instrText>
      </w:r>
      <w:r w:rsidRPr="002700D7">
        <w:rPr>
          <w:noProof/>
        </w:rPr>
      </w:r>
      <w:r w:rsidRPr="002700D7">
        <w:rPr>
          <w:noProof/>
        </w:rPr>
        <w:fldChar w:fldCharType="separate"/>
      </w:r>
      <w:r w:rsidR="002047CD">
        <w:rPr>
          <w:noProof/>
        </w:rPr>
        <w:t>3</w:t>
      </w:r>
      <w:r w:rsidRPr="002700D7">
        <w:rPr>
          <w:noProof/>
        </w:rPr>
        <w:fldChar w:fldCharType="end"/>
      </w:r>
    </w:p>
    <w:p w14:paraId="16A7DFA6" w14:textId="18E18897" w:rsidR="002700D7" w:rsidRDefault="002700D7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2700D7">
        <w:rPr>
          <w:b w:val="0"/>
          <w:noProof/>
          <w:sz w:val="18"/>
        </w:rPr>
        <w:fldChar w:fldCharType="begin"/>
      </w:r>
      <w:r w:rsidRPr="002700D7">
        <w:rPr>
          <w:b w:val="0"/>
          <w:noProof/>
          <w:sz w:val="18"/>
        </w:rPr>
        <w:instrText xml:space="preserve"> PAGEREF _Toc153866132 \h </w:instrText>
      </w:r>
      <w:r w:rsidRPr="002700D7">
        <w:rPr>
          <w:b w:val="0"/>
          <w:noProof/>
          <w:sz w:val="18"/>
        </w:rPr>
      </w:r>
      <w:r w:rsidRPr="002700D7">
        <w:rPr>
          <w:b w:val="0"/>
          <w:noProof/>
          <w:sz w:val="18"/>
        </w:rPr>
        <w:fldChar w:fldCharType="separate"/>
      </w:r>
      <w:r w:rsidR="002047CD">
        <w:rPr>
          <w:b w:val="0"/>
          <w:noProof/>
          <w:sz w:val="18"/>
        </w:rPr>
        <w:t>7</w:t>
      </w:r>
      <w:r w:rsidRPr="002700D7">
        <w:rPr>
          <w:b w:val="0"/>
          <w:noProof/>
          <w:sz w:val="18"/>
        </w:rPr>
        <w:fldChar w:fldCharType="end"/>
      </w:r>
    </w:p>
    <w:p w14:paraId="413BA504" w14:textId="378F7E4D" w:rsidR="002700D7" w:rsidRPr="002700D7" w:rsidRDefault="002700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Foreign Acquisitions and Takeovers (Manner of Notification and Application) Approval 2020</w:t>
      </w:r>
      <w:r>
        <w:rPr>
          <w:noProof/>
        </w:rPr>
        <w:tab/>
      </w:r>
      <w:r w:rsidRPr="00EF711C">
        <w:rPr>
          <w:i w:val="0"/>
          <w:iCs/>
          <w:noProof/>
          <w:sz w:val="18"/>
        </w:rPr>
        <w:fldChar w:fldCharType="begin"/>
      </w:r>
      <w:r w:rsidRPr="00EF711C">
        <w:rPr>
          <w:i w:val="0"/>
          <w:iCs/>
          <w:noProof/>
          <w:sz w:val="18"/>
        </w:rPr>
        <w:instrText xml:space="preserve"> PAGEREF _Toc153866133 \h </w:instrText>
      </w:r>
      <w:r w:rsidRPr="00EF711C">
        <w:rPr>
          <w:i w:val="0"/>
          <w:iCs/>
          <w:noProof/>
          <w:sz w:val="18"/>
        </w:rPr>
      </w:r>
      <w:r w:rsidRPr="00EF711C">
        <w:rPr>
          <w:i w:val="0"/>
          <w:iCs/>
          <w:noProof/>
          <w:sz w:val="18"/>
        </w:rPr>
        <w:fldChar w:fldCharType="separate"/>
      </w:r>
      <w:r w:rsidR="002047CD">
        <w:rPr>
          <w:i w:val="0"/>
          <w:iCs/>
          <w:noProof/>
          <w:sz w:val="18"/>
        </w:rPr>
        <w:t>7</w:t>
      </w:r>
      <w:r w:rsidRPr="00EF711C">
        <w:rPr>
          <w:i w:val="0"/>
          <w:iCs/>
          <w:noProof/>
          <w:sz w:val="18"/>
        </w:rPr>
        <w:fldChar w:fldCharType="end"/>
      </w:r>
    </w:p>
    <w:p w14:paraId="3C651183" w14:textId="28366FC2" w:rsidR="00FA06CA" w:rsidRDefault="00FA06CA" w:rsidP="00FA06CA">
      <w:r w:rsidRPr="002700D7">
        <w:rPr>
          <w:sz w:val="18"/>
        </w:rPr>
        <w:fldChar w:fldCharType="end"/>
      </w:r>
    </w:p>
    <w:p w14:paraId="0C5DB0AD" w14:textId="77777777" w:rsidR="00FA06CA" w:rsidRDefault="00FA06CA" w:rsidP="00FA06CA">
      <w:pPr>
        <w:sectPr w:rsidR="00FA06CA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1187271" w14:textId="5773ED31" w:rsidR="00BD44D4" w:rsidRPr="00BD44D4" w:rsidRDefault="00BD44D4" w:rsidP="00BD44D4">
      <w:pPr>
        <w:pStyle w:val="ActHead2"/>
        <w:pageBreakBefore/>
        <w:rPr>
          <w:lang w:eastAsia="en-US"/>
        </w:rPr>
      </w:pPr>
      <w:bookmarkStart w:id="16" w:name="_Toc153866124"/>
      <w:r w:rsidRPr="00BD44D4">
        <w:rPr>
          <w:rStyle w:val="CharPartNo"/>
        </w:rPr>
        <w:lastRenderedPageBreak/>
        <w:t>Part 1</w:t>
      </w:r>
      <w:r>
        <w:t>—</w:t>
      </w:r>
      <w:r w:rsidRPr="00BD44D4">
        <w:rPr>
          <w:rStyle w:val="CharPartText"/>
        </w:rPr>
        <w:t>Preliminary</w:t>
      </w:r>
      <w:bookmarkEnd w:id="16"/>
    </w:p>
    <w:p w14:paraId="250BEC0E" w14:textId="77777777" w:rsidR="00FA06CA" w:rsidRDefault="00FA06CA" w:rsidP="00FA06CA">
      <w:pPr>
        <w:pStyle w:val="ActHead5"/>
      </w:pPr>
      <w:bookmarkStart w:id="17" w:name="_Toc153866125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556BA88E" w14:textId="3D49928E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9D4DA8" w:rsidRPr="009D4DA8">
        <w:rPr>
          <w:i/>
          <w:noProof/>
        </w:rPr>
        <w:t>Foreign Acquisitions and Takeovers (Manner of Notification and Application) Approval</w:t>
      </w:r>
      <w:r w:rsidR="009D4DA8">
        <w:rPr>
          <w:i/>
          <w:noProof/>
        </w:rPr>
        <w:t>s</w:t>
      </w:r>
      <w:r w:rsidR="009D4DA8" w:rsidRPr="009D4DA8">
        <w:rPr>
          <w:i/>
          <w:noProof/>
        </w:rPr>
        <w:t xml:space="preserve"> 202</w:t>
      </w:r>
      <w:r w:rsidR="00471122">
        <w:rPr>
          <w:i/>
          <w:noProof/>
        </w:rPr>
        <w:t>5</w:t>
      </w:r>
      <w:r w:rsidRPr="009A038B">
        <w:t>.</w:t>
      </w:r>
    </w:p>
    <w:p w14:paraId="1E2E36C4" w14:textId="77777777" w:rsidR="00FA06CA" w:rsidRDefault="00FA06CA" w:rsidP="00FA06CA">
      <w:pPr>
        <w:pStyle w:val="ActHead5"/>
      </w:pPr>
      <w:bookmarkStart w:id="18" w:name="_Toc153866126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6DF7B53F" w14:textId="77777777" w:rsidR="00FA06CA" w:rsidRDefault="00FA06CA" w:rsidP="00FA06CA">
      <w:pPr>
        <w:pStyle w:val="subsection"/>
      </w:pPr>
      <w:r>
        <w:tab/>
        <w:t>(1)</w:t>
      </w:r>
      <w:r>
        <w:tab/>
        <w:t>Each provision of instrument specified in column 1 of the table commences, or is taken to have commenced, in accordance with column 2 of the table. Any other statement in column 2 has effect according to its terms.</w:t>
      </w:r>
    </w:p>
    <w:p w14:paraId="52F12CFE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0EA79B3E" w14:textId="77777777" w:rsidTr="009D4DA8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957F6E6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2EE9D4E5" w14:textId="77777777" w:rsidTr="009D4DA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FB4A27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9588F97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5894A07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439573BC" w14:textId="77777777" w:rsidTr="009D4DA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9933D3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F660F4E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965DB29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3D824BC8" w14:textId="77777777" w:rsidTr="009D4DA8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574988" w14:textId="0B0AE296" w:rsidR="00FA06CA" w:rsidRDefault="009D4DA8" w:rsidP="0048252E">
            <w:pPr>
              <w:pStyle w:val="Tabletext"/>
            </w:pPr>
            <w:r>
              <w:t>1</w:t>
            </w:r>
            <w:r w:rsidR="00FA06CA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2ACC98A" w14:textId="6A9A16BB" w:rsidR="009D4DA8" w:rsidRDefault="009D4DA8" w:rsidP="009D4DA8">
            <w:pPr>
              <w:pStyle w:val="Tabletext"/>
            </w:pPr>
            <w:r>
              <w:t xml:space="preserve">The day after this </w:t>
            </w:r>
            <w:r w:rsidRPr="009D4DA8">
              <w:t>instrument</w:t>
            </w:r>
            <w:r>
              <w:t xml:space="preserve">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9BC7286" w14:textId="77777777" w:rsidR="00FA06CA" w:rsidRDefault="00FA06CA" w:rsidP="0048252E">
            <w:pPr>
              <w:pStyle w:val="Tabletext"/>
            </w:pPr>
          </w:p>
        </w:tc>
      </w:tr>
    </w:tbl>
    <w:p w14:paraId="4AA20DF9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45FEECE3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5FD29BBA" w14:textId="77777777" w:rsidR="00FA06CA" w:rsidRDefault="00FA06CA" w:rsidP="00FA06CA">
      <w:pPr>
        <w:pStyle w:val="ActHead5"/>
      </w:pPr>
      <w:bookmarkStart w:id="19" w:name="_Toc153866127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2DAD118D" w14:textId="1B4A1E56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9D4DA8">
        <w:rPr>
          <w:i/>
        </w:rPr>
        <w:t>Foreign Acquisitions and Takeovers Act 1975</w:t>
      </w:r>
      <w:r w:rsidRPr="003C6231">
        <w:t>.</w:t>
      </w:r>
    </w:p>
    <w:p w14:paraId="54EEFF1A" w14:textId="6383EC77" w:rsidR="008A4041" w:rsidRPr="00554826" w:rsidRDefault="008A4041" w:rsidP="008A4041">
      <w:pPr>
        <w:pStyle w:val="ActHead5"/>
      </w:pPr>
      <w:bookmarkStart w:id="20" w:name="_Toc454781205"/>
      <w:bookmarkStart w:id="21" w:name="_Toc153866128"/>
      <w:r>
        <w:t>4</w:t>
      </w:r>
      <w:r w:rsidRPr="00554826">
        <w:t xml:space="preserve">  Schedules</w:t>
      </w:r>
      <w:bookmarkEnd w:id="20"/>
      <w:bookmarkEnd w:id="21"/>
    </w:p>
    <w:p w14:paraId="6FBD70BE" w14:textId="77777777" w:rsidR="008A4041" w:rsidRDefault="008A4041" w:rsidP="008A404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872609" w14:textId="798DEE9E" w:rsidR="00FA06CA" w:rsidRDefault="008A4041" w:rsidP="00FA06CA">
      <w:pPr>
        <w:pStyle w:val="ActHead5"/>
      </w:pPr>
      <w:bookmarkStart w:id="22" w:name="_Toc153866129"/>
      <w:r>
        <w:rPr>
          <w:rStyle w:val="CharSectno"/>
        </w:rPr>
        <w:t>5</w:t>
      </w:r>
      <w:r w:rsidR="00FA06CA">
        <w:t xml:space="preserve">  </w:t>
      </w:r>
      <w:r>
        <w:t>Definitions</w:t>
      </w:r>
      <w:bookmarkEnd w:id="22"/>
    </w:p>
    <w:p w14:paraId="55082686" w14:textId="2E85A51C" w:rsidR="008A4041" w:rsidRPr="008A4041" w:rsidRDefault="008A4041" w:rsidP="008A4041">
      <w:pPr>
        <w:pStyle w:val="notemargin"/>
      </w:pPr>
      <w:r>
        <w:rPr>
          <w:shd w:val="clear" w:color="auto" w:fill="FFFFFF"/>
        </w:rPr>
        <w:t>Note:</w:t>
      </w:r>
      <w:r>
        <w:rPr>
          <w:shd w:val="clear" w:color="auto" w:fill="FFFFFF"/>
        </w:rPr>
        <w:tab/>
      </w:r>
      <w:r w:rsidRPr="008A4041">
        <w:t>Expressions</w:t>
      </w:r>
      <w:r>
        <w:rPr>
          <w:shd w:val="clear" w:color="auto" w:fill="FFFFFF"/>
        </w:rPr>
        <w:t xml:space="preserve"> have the same meaning in this instrument as in the </w:t>
      </w:r>
      <w:r>
        <w:rPr>
          <w:i/>
        </w:rPr>
        <w:t>Foreign Acquisitions and Takeovers Act 1975</w:t>
      </w:r>
      <w:r>
        <w:rPr>
          <w:i/>
          <w:iCs/>
          <w:shd w:val="clear" w:color="auto" w:fill="FFFFFF"/>
        </w:rPr>
        <w:t> </w:t>
      </w:r>
      <w:r>
        <w:rPr>
          <w:shd w:val="clear" w:color="auto" w:fill="FFFFFF"/>
        </w:rPr>
        <w:t>as in force from time to time—see paragraph 13(1)(b) of the </w:t>
      </w:r>
      <w:r>
        <w:rPr>
          <w:i/>
          <w:iCs/>
          <w:shd w:val="clear" w:color="auto" w:fill="FFFFFF"/>
        </w:rPr>
        <w:t>Legislation Act 2003</w:t>
      </w:r>
      <w:r>
        <w:rPr>
          <w:shd w:val="clear" w:color="auto" w:fill="FFFFFF"/>
        </w:rPr>
        <w:t>.</w:t>
      </w:r>
    </w:p>
    <w:p w14:paraId="52CB22FA" w14:textId="44EF799E" w:rsidR="00FA06CA" w:rsidRDefault="00FA06CA" w:rsidP="00FA06CA">
      <w:pPr>
        <w:pStyle w:val="subsection"/>
      </w:pPr>
      <w:r>
        <w:tab/>
      </w:r>
      <w:r>
        <w:tab/>
      </w:r>
      <w:r w:rsidR="008A4041">
        <w:t>In this instrument:</w:t>
      </w:r>
    </w:p>
    <w:p w14:paraId="5161102A" w14:textId="00E6D58C" w:rsidR="008005F1" w:rsidRPr="00602269" w:rsidRDefault="008005F1" w:rsidP="008005F1">
      <w:pPr>
        <w:pStyle w:val="Definition"/>
        <w:rPr>
          <w:bCs/>
          <w:iCs/>
        </w:rPr>
      </w:pPr>
      <w:r>
        <w:rPr>
          <w:b/>
          <w:i/>
        </w:rPr>
        <w:t>ATO foreign investment email address</w:t>
      </w:r>
      <w:r>
        <w:rPr>
          <w:bCs/>
          <w:iCs/>
        </w:rPr>
        <w:t xml:space="preserve"> means the email address </w:t>
      </w:r>
      <w:r w:rsidR="00850C12">
        <w:t>FIPR</w:t>
      </w:r>
      <w:r w:rsidRPr="008005F1">
        <w:t>esidential@ato.gov.au</w:t>
      </w:r>
      <w:r w:rsidRPr="00467B2F">
        <w:rPr>
          <w:rStyle w:val="Hyperlink"/>
          <w:u w:val="none"/>
        </w:rPr>
        <w:t>.</w:t>
      </w:r>
    </w:p>
    <w:p w14:paraId="7C60DDA0" w14:textId="200F0995" w:rsidR="00E623DE" w:rsidRPr="00E623DE" w:rsidRDefault="00E623DE" w:rsidP="00BD44D4">
      <w:pPr>
        <w:pStyle w:val="Definition"/>
        <w:rPr>
          <w:bCs/>
          <w:iCs/>
        </w:rPr>
      </w:pPr>
      <w:r>
        <w:rPr>
          <w:b/>
          <w:i/>
        </w:rPr>
        <w:t xml:space="preserve">ATO </w:t>
      </w:r>
      <w:r w:rsidR="00E02C87">
        <w:rPr>
          <w:b/>
          <w:i/>
        </w:rPr>
        <w:t>Online Services</w:t>
      </w:r>
      <w:r>
        <w:rPr>
          <w:bCs/>
          <w:iCs/>
        </w:rPr>
        <w:t xml:space="preserve"> means the </w:t>
      </w:r>
      <w:r w:rsidR="002B0A33">
        <w:t xml:space="preserve">electronic </w:t>
      </w:r>
      <w:r w:rsidR="00C952A2">
        <w:t xml:space="preserve">application </w:t>
      </w:r>
      <w:r w:rsidR="000055AD">
        <w:t>form</w:t>
      </w:r>
      <w:r w:rsidR="00E02C87">
        <w:t>s</w:t>
      </w:r>
      <w:r w:rsidR="000055AD">
        <w:t xml:space="preserve"> made available </w:t>
      </w:r>
      <w:r w:rsidR="002B0A33">
        <w:t>for</w:t>
      </w:r>
      <w:r w:rsidR="000055AD">
        <w:t xml:space="preserve"> </w:t>
      </w:r>
      <w:r w:rsidR="00050FC1">
        <w:t>foreign investors</w:t>
      </w:r>
      <w:r w:rsidR="000055AD">
        <w:t xml:space="preserve"> </w:t>
      </w:r>
      <w:r w:rsidR="00EB089B">
        <w:t>accessible from</w:t>
      </w:r>
      <w:r w:rsidR="000055AD">
        <w:t xml:space="preserve"> </w:t>
      </w:r>
      <w:r w:rsidR="00050FC1">
        <w:t>onlineservices.</w:t>
      </w:r>
      <w:r w:rsidR="000055AD" w:rsidRPr="000055AD">
        <w:t>ato.gov.au</w:t>
      </w:r>
      <w:r w:rsidR="00050FC1">
        <w:t>/ForeignInvestor/</w:t>
      </w:r>
      <w:r w:rsidR="000055AD" w:rsidRPr="000055AD">
        <w:rPr>
          <w:rStyle w:val="Hyperlink"/>
          <w:color w:val="auto"/>
          <w:u w:val="none"/>
        </w:rPr>
        <w:t>.</w:t>
      </w:r>
    </w:p>
    <w:p w14:paraId="7BAAED60" w14:textId="53CBC8A5" w:rsidR="000148F2" w:rsidRDefault="000F7EAE" w:rsidP="00BD44D4">
      <w:pPr>
        <w:pStyle w:val="Definition"/>
        <w:rPr>
          <w:bCs/>
          <w:iCs/>
        </w:rPr>
      </w:pPr>
      <w:r>
        <w:rPr>
          <w:b/>
          <w:i/>
        </w:rPr>
        <w:t>b</w:t>
      </w:r>
      <w:r w:rsidR="000148F2">
        <w:rPr>
          <w:b/>
          <w:i/>
        </w:rPr>
        <w:t>ui</w:t>
      </w:r>
      <w:r>
        <w:rPr>
          <w:b/>
          <w:i/>
        </w:rPr>
        <w:t>ld-to-rent</w:t>
      </w:r>
      <w:r w:rsidR="00AF29B8">
        <w:rPr>
          <w:b/>
          <w:i/>
        </w:rPr>
        <w:t xml:space="preserve"> </w:t>
      </w:r>
      <w:r w:rsidR="00AE107F">
        <w:rPr>
          <w:b/>
          <w:i/>
        </w:rPr>
        <w:t>development</w:t>
      </w:r>
      <w:r>
        <w:rPr>
          <w:bCs/>
          <w:iCs/>
        </w:rPr>
        <w:t xml:space="preserve"> means a development </w:t>
      </w:r>
      <w:r w:rsidR="005E1EE5">
        <w:rPr>
          <w:bCs/>
          <w:iCs/>
        </w:rPr>
        <w:t xml:space="preserve">of a building </w:t>
      </w:r>
      <w:r w:rsidR="003A3ACE">
        <w:rPr>
          <w:bCs/>
          <w:iCs/>
        </w:rPr>
        <w:t xml:space="preserve">on land </w:t>
      </w:r>
      <w:r>
        <w:rPr>
          <w:bCs/>
          <w:iCs/>
        </w:rPr>
        <w:t>where</w:t>
      </w:r>
      <w:r w:rsidR="000C1191">
        <w:rPr>
          <w:bCs/>
          <w:iCs/>
        </w:rPr>
        <w:t>:</w:t>
      </w:r>
    </w:p>
    <w:p w14:paraId="0256B0C6" w14:textId="53CB0E57" w:rsidR="005A6988" w:rsidRDefault="000C1191" w:rsidP="00E40412">
      <w:pPr>
        <w:pStyle w:val="paragraph"/>
      </w:pPr>
      <w:r>
        <w:tab/>
        <w:t>(a)</w:t>
      </w:r>
      <w:r>
        <w:tab/>
      </w:r>
      <w:r w:rsidR="003C4CEE">
        <w:t xml:space="preserve">the </w:t>
      </w:r>
      <w:r w:rsidR="00C41D65">
        <w:t xml:space="preserve">building </w:t>
      </w:r>
      <w:r w:rsidR="0033154B">
        <w:t>has</w:t>
      </w:r>
      <w:r w:rsidR="004F3533">
        <w:t>,</w:t>
      </w:r>
      <w:r w:rsidR="0033154B">
        <w:t xml:space="preserve"> or will have</w:t>
      </w:r>
      <w:r w:rsidR="00F60AE7">
        <w:t>,</w:t>
      </w:r>
      <w:r w:rsidR="0033154B">
        <w:t xml:space="preserve"> </w:t>
      </w:r>
      <w:r w:rsidR="00752CC9">
        <w:t>50 or more dwellings</w:t>
      </w:r>
      <w:r w:rsidR="005A6988">
        <w:t>;</w:t>
      </w:r>
      <w:r w:rsidR="00511221">
        <w:t xml:space="preserve"> and</w:t>
      </w:r>
    </w:p>
    <w:p w14:paraId="5346ED86" w14:textId="77777777" w:rsidR="000D18F1" w:rsidRDefault="005A6988" w:rsidP="00E40412">
      <w:pPr>
        <w:pStyle w:val="paragraph"/>
      </w:pPr>
      <w:r>
        <w:lastRenderedPageBreak/>
        <w:tab/>
        <w:t>(b)</w:t>
      </w:r>
      <w:r>
        <w:tab/>
      </w:r>
      <w:r w:rsidR="00D86233">
        <w:t xml:space="preserve">each </w:t>
      </w:r>
      <w:r w:rsidR="00D63B45">
        <w:t>of those dwellings</w:t>
      </w:r>
      <w:r w:rsidR="000B300C">
        <w:t>:</w:t>
      </w:r>
    </w:p>
    <w:p w14:paraId="4717210D" w14:textId="6159C90D" w:rsidR="000C1191" w:rsidRDefault="004C7ED7" w:rsidP="000D18F1">
      <w:pPr>
        <w:pStyle w:val="paragraphsub"/>
      </w:pPr>
      <w:r>
        <w:tab/>
        <w:t>(i)</w:t>
      </w:r>
      <w:r>
        <w:tab/>
        <w:t>is</w:t>
      </w:r>
      <w:r w:rsidR="004F3533">
        <w:t>,</w:t>
      </w:r>
      <w:r>
        <w:t xml:space="preserve"> or </w:t>
      </w:r>
      <w:r w:rsidR="00E7637C">
        <w:t>will be</w:t>
      </w:r>
      <w:r w:rsidR="004F3533">
        <w:t>,</w:t>
      </w:r>
      <w:r w:rsidR="003C4CEE">
        <w:t xml:space="preserve"> made</w:t>
      </w:r>
      <w:r w:rsidR="008339BD">
        <w:t xml:space="preserve"> </w:t>
      </w:r>
      <w:r w:rsidR="00E40412">
        <w:t>available to the public to be tenanted by way of lease for period</w:t>
      </w:r>
      <w:r w:rsidR="00233BC5">
        <w:t>s</w:t>
      </w:r>
      <w:r w:rsidR="00E40412">
        <w:t xml:space="preserve"> of </w:t>
      </w:r>
      <w:r w:rsidR="00E04A87">
        <w:t>5</w:t>
      </w:r>
      <w:r w:rsidR="002F65D1">
        <w:t> </w:t>
      </w:r>
      <w:r w:rsidR="00E40412">
        <w:t>years or more</w:t>
      </w:r>
      <w:r w:rsidR="0075088E">
        <w:t>;</w:t>
      </w:r>
      <w:r>
        <w:t xml:space="preserve"> or</w:t>
      </w:r>
    </w:p>
    <w:p w14:paraId="06710549" w14:textId="061367CE" w:rsidR="004C7ED7" w:rsidRDefault="004C7ED7" w:rsidP="000D18F1">
      <w:pPr>
        <w:pStyle w:val="paragraphsub"/>
      </w:pPr>
      <w:r>
        <w:tab/>
        <w:t>(ii)</w:t>
      </w:r>
      <w:r>
        <w:tab/>
      </w:r>
      <w:r w:rsidR="00477A9D">
        <w:t>is being tenanted by way of lease as a result of being made available to the public to be tenanted by way of lease for period</w:t>
      </w:r>
      <w:r w:rsidR="00717D42">
        <w:t>s</w:t>
      </w:r>
      <w:r w:rsidR="00477A9D">
        <w:t xml:space="preserve"> of </w:t>
      </w:r>
      <w:r w:rsidR="00E04A87">
        <w:t>5</w:t>
      </w:r>
      <w:r w:rsidR="00477A9D">
        <w:t xml:space="preserve"> years or more</w:t>
      </w:r>
      <w:r w:rsidR="000F51DD">
        <w:t>; and</w:t>
      </w:r>
    </w:p>
    <w:p w14:paraId="2E7C3DFA" w14:textId="0CE45A70" w:rsidR="0075088E" w:rsidRPr="000C1191" w:rsidRDefault="0075088E" w:rsidP="000C1191">
      <w:pPr>
        <w:pStyle w:val="paragraph"/>
      </w:pPr>
      <w:r>
        <w:tab/>
        <w:t>(</w:t>
      </w:r>
      <w:r w:rsidR="00CC785E">
        <w:t>c</w:t>
      </w:r>
      <w:r>
        <w:t>)</w:t>
      </w:r>
      <w:r>
        <w:tab/>
        <w:t xml:space="preserve">all </w:t>
      </w:r>
      <w:r w:rsidR="004436D8">
        <w:t>the dwellings</w:t>
      </w:r>
      <w:r w:rsidR="001B5F98">
        <w:t>,</w:t>
      </w:r>
      <w:r w:rsidR="004436D8">
        <w:t xml:space="preserve"> and common areas for the dwelling</w:t>
      </w:r>
      <w:r w:rsidR="001B5F98">
        <w:t>s,</w:t>
      </w:r>
      <w:r w:rsidR="004436D8">
        <w:t xml:space="preserve"> are</w:t>
      </w:r>
      <w:r w:rsidR="00864D70">
        <w:t xml:space="preserve"> owned</w:t>
      </w:r>
      <w:r w:rsidR="00F533A1">
        <w:t>,</w:t>
      </w:r>
      <w:r w:rsidR="00864D70">
        <w:t xml:space="preserve"> </w:t>
      </w:r>
      <w:r w:rsidR="003413DB">
        <w:t>or are</w:t>
      </w:r>
      <w:r w:rsidR="004436D8">
        <w:t xml:space="preserve"> </w:t>
      </w:r>
      <w:r w:rsidR="008A108F">
        <w:t>intended to be owned</w:t>
      </w:r>
      <w:r w:rsidR="00F533A1">
        <w:t>,</w:t>
      </w:r>
      <w:r w:rsidR="008A108F">
        <w:t xml:space="preserve"> by a single person</w:t>
      </w:r>
      <w:r w:rsidR="003A20B7">
        <w:t xml:space="preserve"> at any </w:t>
      </w:r>
      <w:r w:rsidR="00F533A1">
        <w:t>one time</w:t>
      </w:r>
      <w:r w:rsidR="00622874">
        <w:t>.</w:t>
      </w:r>
    </w:p>
    <w:p w14:paraId="65ED51C5" w14:textId="75BDC574" w:rsidR="00BD44D4" w:rsidRDefault="001621CB" w:rsidP="00BD44D4">
      <w:pPr>
        <w:pStyle w:val="Definition"/>
      </w:pPr>
      <w:r>
        <w:rPr>
          <w:b/>
          <w:i/>
        </w:rPr>
        <w:t>Treasury</w:t>
      </w:r>
      <w:r w:rsidR="00BD44D4">
        <w:rPr>
          <w:b/>
          <w:i/>
        </w:rPr>
        <w:t xml:space="preserve"> Application Portal</w:t>
      </w:r>
      <w:r w:rsidR="00BD44D4" w:rsidRPr="00E623DE">
        <w:rPr>
          <w:bCs/>
          <w:iCs/>
        </w:rPr>
        <w:t xml:space="preserve"> </w:t>
      </w:r>
      <w:r w:rsidR="00BD44D4" w:rsidRPr="009C2562">
        <w:t>means</w:t>
      </w:r>
      <w:r w:rsidR="00BD44D4">
        <w:t xml:space="preserve"> the web portal </w:t>
      </w:r>
      <w:r w:rsidR="005921DA">
        <w:t>by way of the</w:t>
      </w:r>
      <w:r w:rsidR="00096233">
        <w:t xml:space="preserve"> </w:t>
      </w:r>
      <w:r w:rsidR="005921DA">
        <w:t>“</w:t>
      </w:r>
      <w:r w:rsidR="00C92989">
        <w:t>submit a propos</w:t>
      </w:r>
      <w:r w:rsidR="005921DA">
        <w:t>a</w:t>
      </w:r>
      <w:r w:rsidR="00C92989">
        <w:t>l</w:t>
      </w:r>
      <w:r w:rsidR="005921DA">
        <w:t>”</w:t>
      </w:r>
      <w:r w:rsidR="00096233">
        <w:t xml:space="preserve"> link on</w:t>
      </w:r>
      <w:r w:rsidR="001C7D70">
        <w:t xml:space="preserve"> the webpage at </w:t>
      </w:r>
      <w:r w:rsidR="00BD44D4" w:rsidRPr="00E623DE">
        <w:t>www.foreigninvestment.gov.au</w:t>
      </w:r>
      <w:r w:rsidR="00BD44D4">
        <w:t>.</w:t>
      </w:r>
    </w:p>
    <w:p w14:paraId="09457481" w14:textId="344E8219" w:rsidR="00BD44D4" w:rsidRPr="009C2562" w:rsidRDefault="00BD44D4" w:rsidP="00BD44D4">
      <w:pPr>
        <w:pStyle w:val="Definition"/>
      </w:pPr>
      <w:r>
        <w:rPr>
          <w:b/>
          <w:i/>
        </w:rPr>
        <w:t xml:space="preserve">the </w:t>
      </w: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  <w:iCs/>
        </w:rPr>
        <w:t>Foreign Acquisitions and Takeovers Act 1975</w:t>
      </w:r>
      <w:r>
        <w:t>.</w:t>
      </w:r>
    </w:p>
    <w:p w14:paraId="79492EC1" w14:textId="77777777" w:rsidR="008005F1" w:rsidRDefault="00BD44D4" w:rsidP="009E5F9B">
      <w:pPr>
        <w:pStyle w:val="Definition"/>
        <w:rPr>
          <w:b/>
          <w:i/>
        </w:rPr>
      </w:pPr>
      <w:r>
        <w:rPr>
          <w:b/>
          <w:i/>
        </w:rPr>
        <w:t xml:space="preserve">the Regulation </w:t>
      </w:r>
      <w:r w:rsidRPr="009C2562">
        <w:t>means</w:t>
      </w:r>
      <w:r>
        <w:t xml:space="preserve"> the </w:t>
      </w:r>
      <w:r>
        <w:rPr>
          <w:i/>
          <w:iCs/>
        </w:rPr>
        <w:t>Foreign Acquisitions and Takeovers Regulation 2015</w:t>
      </w:r>
      <w:r>
        <w:t>.</w:t>
      </w:r>
    </w:p>
    <w:p w14:paraId="4D3B4E46" w14:textId="0FB48C68" w:rsidR="009E5F9B" w:rsidRPr="006D40EA" w:rsidRDefault="009E5F9B" w:rsidP="006D40EA">
      <w:pPr>
        <w:pStyle w:val="Definition"/>
        <w:rPr>
          <w:lang w:eastAsia="en-US"/>
        </w:rPr>
      </w:pPr>
      <w:r>
        <w:rPr>
          <w:b/>
          <w:i/>
        </w:rPr>
        <w:t xml:space="preserve">Treasury </w:t>
      </w:r>
      <w:r w:rsidR="00CC56D9">
        <w:rPr>
          <w:b/>
          <w:i/>
        </w:rPr>
        <w:t>application</w:t>
      </w:r>
      <w:r>
        <w:rPr>
          <w:b/>
          <w:i/>
        </w:rPr>
        <w:t xml:space="preserve"> email address</w:t>
      </w:r>
      <w:r>
        <w:rPr>
          <w:bCs/>
          <w:iCs/>
        </w:rPr>
        <w:t xml:space="preserve"> means the email address </w:t>
      </w:r>
      <w:r w:rsidR="006D40EA" w:rsidRPr="006D40EA">
        <w:t>foreigninvestmentapplications@treasury.gov.au</w:t>
      </w:r>
      <w:r w:rsidRPr="00467B2F">
        <w:rPr>
          <w:rStyle w:val="Hyperlink"/>
          <w:u w:val="none"/>
        </w:rPr>
        <w:t>.</w:t>
      </w:r>
    </w:p>
    <w:p w14:paraId="7E7D5E2F" w14:textId="02D25D3E" w:rsidR="003D3E4D" w:rsidRDefault="003D3E4D" w:rsidP="00D13CB4">
      <w:pPr>
        <w:pStyle w:val="Definition"/>
        <w:rPr>
          <w:b/>
          <w:bCs/>
          <w:i/>
          <w:iCs/>
        </w:rPr>
      </w:pPr>
      <w:r>
        <w:rPr>
          <w:b/>
          <w:i/>
        </w:rPr>
        <w:t>Treasury audit email address</w:t>
      </w:r>
      <w:r>
        <w:rPr>
          <w:bCs/>
          <w:iCs/>
        </w:rPr>
        <w:t xml:space="preserve"> means the email address </w:t>
      </w:r>
      <w:r w:rsidR="00C148F1">
        <w:t>foreigninvestmentaudit</w:t>
      </w:r>
      <w:r w:rsidRPr="006D40EA">
        <w:t>@treasury.gov.au</w:t>
      </w:r>
      <w:r w:rsidRPr="00467B2F">
        <w:rPr>
          <w:rStyle w:val="Hyperlink"/>
          <w:u w:val="none"/>
        </w:rPr>
        <w:t>.</w:t>
      </w:r>
    </w:p>
    <w:p w14:paraId="1C5F8BDD" w14:textId="2FAC426F" w:rsidR="00D13CB4" w:rsidRPr="00D13CB4" w:rsidRDefault="00D13CB4" w:rsidP="00D13CB4">
      <w:pPr>
        <w:pStyle w:val="Definition"/>
      </w:pPr>
      <w:r w:rsidRPr="00D13CB4">
        <w:rPr>
          <w:b/>
          <w:bCs/>
          <w:i/>
          <w:iCs/>
        </w:rPr>
        <w:t>Treasury compliance email address</w:t>
      </w:r>
      <w:r w:rsidRPr="00D13CB4">
        <w:t xml:space="preserve"> means the email address foreigninvestmentcompliance@treasury.gov.au.</w:t>
      </w:r>
    </w:p>
    <w:p w14:paraId="24D61D02" w14:textId="7DBCD53A" w:rsidR="00575BE9" w:rsidRPr="00575BE9" w:rsidRDefault="00575BE9" w:rsidP="00D13CB4">
      <w:pPr>
        <w:pStyle w:val="Definition"/>
      </w:pPr>
      <w:r>
        <w:rPr>
          <w:b/>
          <w:bCs/>
          <w:i/>
          <w:iCs/>
        </w:rPr>
        <w:t xml:space="preserve">Treasury </w:t>
      </w:r>
      <w:r w:rsidR="00624B6E">
        <w:rPr>
          <w:b/>
          <w:bCs/>
          <w:i/>
          <w:iCs/>
        </w:rPr>
        <w:t>e</w:t>
      </w:r>
      <w:r>
        <w:rPr>
          <w:b/>
          <w:bCs/>
          <w:i/>
          <w:iCs/>
        </w:rPr>
        <w:t>nquiries email address</w:t>
      </w:r>
      <w:r>
        <w:t xml:space="preserve"> means the email address fo</w:t>
      </w:r>
      <w:r w:rsidR="00624B6E">
        <w:t>reigninvestmentenquiries@treasury.gov.au.</w:t>
      </w:r>
    </w:p>
    <w:p w14:paraId="3556ADE9" w14:textId="069F358D" w:rsidR="00D13CB4" w:rsidRPr="00D13CB4" w:rsidRDefault="00D13CB4" w:rsidP="00D13CB4">
      <w:pPr>
        <w:pStyle w:val="Definition"/>
      </w:pPr>
      <w:r w:rsidRPr="00D13CB4">
        <w:rPr>
          <w:b/>
          <w:bCs/>
          <w:i/>
          <w:iCs/>
        </w:rPr>
        <w:t>Treasury notification email address</w:t>
      </w:r>
      <w:r w:rsidRPr="00D13CB4">
        <w:t xml:space="preserve"> means the email address foreigninvestmentnotifications@treasury.gov.au.</w:t>
      </w:r>
    </w:p>
    <w:p w14:paraId="3BD92D12" w14:textId="7859C5C3" w:rsidR="00284C0A" w:rsidRPr="00284C0A" w:rsidRDefault="00284C0A" w:rsidP="00284C0A">
      <w:pPr>
        <w:pStyle w:val="ActHead2"/>
        <w:pageBreakBefore/>
        <w:rPr>
          <w:lang w:eastAsia="en-US"/>
        </w:rPr>
      </w:pPr>
      <w:bookmarkStart w:id="23" w:name="_Toc153866130"/>
      <w:r w:rsidRPr="00284C0A">
        <w:rPr>
          <w:rStyle w:val="CharPartNo"/>
        </w:rPr>
        <w:lastRenderedPageBreak/>
        <w:t>Part 2</w:t>
      </w:r>
      <w:r>
        <w:t>—</w:t>
      </w:r>
      <w:r w:rsidRPr="00284C0A">
        <w:rPr>
          <w:rStyle w:val="CharPartText"/>
        </w:rPr>
        <w:t>Approved manner for giving notices or making applications under the Act</w:t>
      </w:r>
      <w:bookmarkEnd w:id="23"/>
    </w:p>
    <w:p w14:paraId="6DAB3C42" w14:textId="1C98AF18" w:rsidR="00284C0A" w:rsidRDefault="003E1CC6" w:rsidP="003E1CC6">
      <w:pPr>
        <w:pStyle w:val="ActHead5"/>
      </w:pPr>
      <w:bookmarkStart w:id="24" w:name="_Toc153866131"/>
      <w:r w:rsidRPr="003E1CC6">
        <w:rPr>
          <w:rStyle w:val="CharSectno"/>
        </w:rPr>
        <w:t>6</w:t>
      </w:r>
      <w:r>
        <w:t xml:space="preserve">  Approved manner of notification and application</w:t>
      </w:r>
      <w:bookmarkEnd w:id="24"/>
    </w:p>
    <w:p w14:paraId="1936135C" w14:textId="42C9BED7" w:rsidR="00001A9E" w:rsidRPr="00001A9E" w:rsidRDefault="00DC25C1" w:rsidP="00001A9E">
      <w:pPr>
        <w:pStyle w:val="subsection"/>
      </w:pPr>
      <w:r>
        <w:tab/>
      </w:r>
      <w:r>
        <w:tab/>
        <w:t xml:space="preserve">Under </w:t>
      </w:r>
      <w:r w:rsidR="00682A0A">
        <w:t xml:space="preserve">subsection 135(1) of the Act, </w:t>
      </w:r>
      <w:r w:rsidR="0084014E">
        <w:t xml:space="preserve">for </w:t>
      </w:r>
      <w:r w:rsidR="00682A0A">
        <w:t>each type of notice or application mentioned in a</w:t>
      </w:r>
      <w:r w:rsidR="00290875">
        <w:t xml:space="preserve">n item in the following table, the manner mentioned in that item </w:t>
      </w:r>
      <w:r w:rsidR="0084014E">
        <w:t xml:space="preserve">of the table for </w:t>
      </w:r>
      <w:r w:rsidR="002E47AB">
        <w:t xml:space="preserve">the </w:t>
      </w:r>
      <w:r w:rsidR="0084014E">
        <w:t xml:space="preserve">giving </w:t>
      </w:r>
      <w:r w:rsidR="002E47AB">
        <w:t xml:space="preserve">of </w:t>
      </w:r>
      <w:r w:rsidR="0084014E">
        <w:t xml:space="preserve">the notice or making </w:t>
      </w:r>
      <w:r w:rsidR="002E47AB">
        <w:t xml:space="preserve">of </w:t>
      </w:r>
      <w:r w:rsidR="0084014E">
        <w:t>the application is approved.</w:t>
      </w:r>
    </w:p>
    <w:p w14:paraId="4FDD7C09" w14:textId="77777777" w:rsidR="00BD44D4" w:rsidRDefault="00BD44D4" w:rsidP="002E47AB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B429B3" w14:paraId="48A2F047" w14:textId="77777777" w:rsidTr="00B429B3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A64748" w14:textId="4F7FBD2E" w:rsidR="00B429B3" w:rsidRDefault="00B429B3" w:rsidP="00B429B3">
            <w:pPr>
              <w:pStyle w:val="TableHeading"/>
            </w:pPr>
            <w:r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098AD6" w14:textId="619A21A2" w:rsidR="00B429B3" w:rsidRDefault="00AF7716" w:rsidP="00B429B3">
            <w:pPr>
              <w:pStyle w:val="TableHeading"/>
            </w:pPr>
            <w:r>
              <w:t>Type of notice or application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1FDE61" w14:textId="07AA29AC" w:rsidR="00B429B3" w:rsidRDefault="00AF7716" w:rsidP="00B429B3">
            <w:pPr>
              <w:pStyle w:val="TableHeading"/>
            </w:pPr>
            <w:r>
              <w:t>Approved manner for giving of the notice or making of the application</w:t>
            </w:r>
          </w:p>
        </w:tc>
      </w:tr>
      <w:tr w:rsidR="002C13FE" w14:paraId="009F4CE4" w14:textId="77777777" w:rsidTr="00B429B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DE8A0BF" w14:textId="26F163F0" w:rsidR="002C13FE" w:rsidRDefault="002C13FE" w:rsidP="002C13FE">
            <w:pPr>
              <w:pStyle w:val="Tabletext"/>
            </w:pPr>
            <w:r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43A61F5A" w14:textId="0900A140" w:rsidR="002C13FE" w:rsidRDefault="002C13FE" w:rsidP="002C13FE">
            <w:pPr>
              <w:pStyle w:val="Tabletext"/>
            </w:pPr>
            <w:r>
              <w:t>Notices given in relation to any of the following:</w:t>
            </w:r>
          </w:p>
          <w:p w14:paraId="570DA572" w14:textId="067BB2B8" w:rsidR="002C13FE" w:rsidRPr="002C13FE" w:rsidRDefault="002C13FE" w:rsidP="002C13FE">
            <w:pPr>
              <w:pStyle w:val="Tablea"/>
            </w:pPr>
            <w:r>
              <w:t xml:space="preserve">(a) </w:t>
            </w:r>
            <w:r w:rsidRPr="002C13FE">
              <w:t>notifiable actions</w:t>
            </w:r>
            <w:r w:rsidR="004E64AF">
              <w:t xml:space="preserve"> (</w:t>
            </w:r>
            <w:r w:rsidRPr="002C13FE">
              <w:t xml:space="preserve">other than notifiable actions which relate </w:t>
            </w:r>
            <w:r w:rsidR="00AD459D" w:rsidRPr="002C13FE">
              <w:t xml:space="preserve">only </w:t>
            </w:r>
            <w:r w:rsidRPr="002C13FE">
              <w:t>to interests in residential land</w:t>
            </w:r>
            <w:r w:rsidR="004E64AF">
              <w:t>)</w:t>
            </w:r>
            <w:r w:rsidRPr="002C13FE">
              <w:t>;</w:t>
            </w:r>
          </w:p>
          <w:p w14:paraId="4190F9E1" w14:textId="768CADF2" w:rsidR="002C13FE" w:rsidRPr="002C13FE" w:rsidRDefault="002C13FE" w:rsidP="002C13FE">
            <w:pPr>
              <w:pStyle w:val="Tablea"/>
            </w:pPr>
            <w:r>
              <w:t xml:space="preserve">(b) </w:t>
            </w:r>
            <w:r w:rsidRPr="002C13FE">
              <w:t>significant actions</w:t>
            </w:r>
            <w:r w:rsidR="004E64AF">
              <w:t xml:space="preserve"> (</w:t>
            </w:r>
            <w:r w:rsidRPr="002C13FE">
              <w:t xml:space="preserve">other than significant actions which relate </w:t>
            </w:r>
            <w:r w:rsidR="00AD459D" w:rsidRPr="002C13FE">
              <w:t xml:space="preserve">only </w:t>
            </w:r>
            <w:r w:rsidRPr="002C13FE">
              <w:t>to interests in residential land</w:t>
            </w:r>
            <w:r w:rsidR="004E64AF">
              <w:t>)</w:t>
            </w:r>
            <w:r w:rsidRPr="002C13FE">
              <w:t>;</w:t>
            </w:r>
          </w:p>
          <w:p w14:paraId="71CF030E" w14:textId="24EFA843" w:rsidR="002C13FE" w:rsidRPr="002C13FE" w:rsidRDefault="002C13FE" w:rsidP="002C13FE">
            <w:pPr>
              <w:pStyle w:val="Tablea"/>
            </w:pPr>
            <w:r>
              <w:t xml:space="preserve">(c) </w:t>
            </w:r>
            <w:r w:rsidRPr="002C13FE">
              <w:t>notifiable national security actions;</w:t>
            </w:r>
          </w:p>
          <w:p w14:paraId="506B87C4" w14:textId="686397DE" w:rsidR="002C13FE" w:rsidRDefault="002C13FE" w:rsidP="002C13FE">
            <w:pPr>
              <w:pStyle w:val="Tablea"/>
            </w:pPr>
            <w:r>
              <w:t xml:space="preserve">(d) </w:t>
            </w:r>
            <w:r w:rsidRPr="002C13FE">
              <w:t xml:space="preserve">reviewable national </w:t>
            </w:r>
            <w:r>
              <w:t>security actions.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2C161831" w14:textId="5902F3BF" w:rsidR="00047A1F" w:rsidRDefault="00F52367" w:rsidP="00AD459D">
            <w:pPr>
              <w:pStyle w:val="Tabletext"/>
            </w:pPr>
            <w:r>
              <w:t>One</w:t>
            </w:r>
            <w:r w:rsidR="00047A1F">
              <w:t xml:space="preserve"> of the following manners:</w:t>
            </w:r>
          </w:p>
          <w:p w14:paraId="16BA8A4B" w14:textId="2B7FE8CE" w:rsidR="002C13FE" w:rsidRPr="00255752" w:rsidRDefault="00514BE0" w:rsidP="00255752">
            <w:pPr>
              <w:pStyle w:val="Tablea"/>
            </w:pPr>
            <w:r w:rsidRPr="00255752">
              <w:t xml:space="preserve">(a) </w:t>
            </w:r>
            <w:r w:rsidR="00767A01">
              <w:t xml:space="preserve">if the </w:t>
            </w:r>
            <w:r w:rsidR="003053F8">
              <w:t>Treasury Application Portal</w:t>
            </w:r>
            <w:r w:rsidR="00767A01">
              <w:t xml:space="preserve"> is online</w:t>
            </w:r>
            <w:r w:rsidR="00FD5D14" w:rsidRPr="00255752">
              <w:sym w:font="Symbol" w:char="F0BE"/>
            </w:r>
            <w:r w:rsidRPr="00255752">
              <w:t>t</w:t>
            </w:r>
            <w:r w:rsidR="002C13FE" w:rsidRPr="00255752">
              <w:t xml:space="preserve">hrough the </w:t>
            </w:r>
            <w:r w:rsidR="003053F8">
              <w:t>Treasury Application Portal</w:t>
            </w:r>
            <w:r w:rsidR="002C13FE" w:rsidRPr="00255752">
              <w:t>;</w:t>
            </w:r>
          </w:p>
          <w:p w14:paraId="484455E0" w14:textId="22E0179C" w:rsidR="002C13FE" w:rsidRDefault="00514BE0" w:rsidP="00255752">
            <w:pPr>
              <w:pStyle w:val="Tablea"/>
            </w:pPr>
            <w:r w:rsidRPr="00255752">
              <w:t>(b) i</w:t>
            </w:r>
            <w:r w:rsidR="002C13FE" w:rsidRPr="00255752">
              <w:t xml:space="preserve">f the </w:t>
            </w:r>
            <w:r w:rsidR="003053F8">
              <w:t>Treasury Application Portal</w:t>
            </w:r>
            <w:r w:rsidR="002C13FE" w:rsidRPr="00255752">
              <w:t xml:space="preserve"> is offline</w:t>
            </w:r>
            <w:r w:rsidRPr="00255752">
              <w:sym w:font="Symbol" w:char="F0BE"/>
            </w:r>
            <w:r w:rsidR="002C13FE" w:rsidRPr="00255752">
              <w:t xml:space="preserve">by </w:t>
            </w:r>
            <w:r w:rsidR="00D06144" w:rsidRPr="00255752">
              <w:t>completing the form ‘Application Form – Proposal’</w:t>
            </w:r>
            <w:r w:rsidR="005F22DB" w:rsidRPr="00255752">
              <w:t xml:space="preserve"> (</w:t>
            </w:r>
            <w:r w:rsidR="00D06144" w:rsidRPr="00255752">
              <w:t>available at www.foreigninvestment.gov.au</w:t>
            </w:r>
            <w:r w:rsidR="005F22DB" w:rsidRPr="00255752">
              <w:t xml:space="preserve">) </w:t>
            </w:r>
            <w:r w:rsidR="00255752" w:rsidRPr="00255752">
              <w:t xml:space="preserve">and </w:t>
            </w:r>
            <w:r w:rsidR="00910C78">
              <w:t xml:space="preserve">sending the </w:t>
            </w:r>
            <w:r w:rsidR="00382855">
              <w:t xml:space="preserve">completed </w:t>
            </w:r>
            <w:r w:rsidR="00910C78">
              <w:t>form by</w:t>
            </w:r>
            <w:r w:rsidR="00D06144" w:rsidRPr="00255752">
              <w:t xml:space="preserve"> </w:t>
            </w:r>
            <w:r w:rsidR="002C13FE" w:rsidRPr="00255752">
              <w:t xml:space="preserve">electronic mail to </w:t>
            </w:r>
            <w:r w:rsidR="00910C78">
              <w:t xml:space="preserve">the </w:t>
            </w:r>
            <w:r w:rsidR="00D13CB4">
              <w:t>Treasury application email address</w:t>
            </w:r>
            <w:r w:rsidR="00910C78">
              <w:t>.</w:t>
            </w:r>
          </w:p>
        </w:tc>
      </w:tr>
      <w:tr w:rsidR="002C13FE" w14:paraId="41CDE701" w14:textId="77777777" w:rsidTr="00B429B3">
        <w:tc>
          <w:tcPr>
            <w:tcW w:w="714" w:type="dxa"/>
            <w:shd w:val="clear" w:color="auto" w:fill="auto"/>
          </w:tcPr>
          <w:p w14:paraId="7A558A7C" w14:textId="250B7DE4" w:rsidR="002C13FE" w:rsidRDefault="002C13FE" w:rsidP="002C13FE">
            <w:pPr>
              <w:pStyle w:val="Tabletext"/>
            </w:pPr>
            <w:r>
              <w:t>2</w:t>
            </w:r>
          </w:p>
        </w:tc>
        <w:tc>
          <w:tcPr>
            <w:tcW w:w="3799" w:type="dxa"/>
            <w:shd w:val="clear" w:color="auto" w:fill="auto"/>
          </w:tcPr>
          <w:p w14:paraId="093D1914" w14:textId="3FF119F5" w:rsidR="002C13FE" w:rsidRDefault="002C13FE" w:rsidP="002C13FE">
            <w:pPr>
              <w:pStyle w:val="Tabletext"/>
            </w:pPr>
            <w:r>
              <w:t>Applications made for variations to no objection notifications given in relation to</w:t>
            </w:r>
            <w:r w:rsidR="003E7510">
              <w:t xml:space="preserve"> any of the following</w:t>
            </w:r>
            <w:r>
              <w:t>:</w:t>
            </w:r>
          </w:p>
          <w:p w14:paraId="07F7C3A0" w14:textId="5E77ED8B" w:rsidR="002C13FE" w:rsidRPr="00CF7FFA" w:rsidRDefault="006C69D6" w:rsidP="00CF7FFA">
            <w:pPr>
              <w:pStyle w:val="Tablea"/>
            </w:pPr>
            <w:r>
              <w:t xml:space="preserve">(a) </w:t>
            </w:r>
            <w:r w:rsidR="002C13FE" w:rsidRPr="00CF7FFA">
              <w:t xml:space="preserve">actions described in </w:t>
            </w:r>
            <w:r w:rsidR="001031D0">
              <w:t xml:space="preserve">paragraph </w:t>
            </w:r>
            <w:r w:rsidR="002C13FE" w:rsidRPr="00CF7FFA">
              <w:t>75(1)(b) of the Act</w:t>
            </w:r>
            <w:r w:rsidR="001031D0">
              <w:t xml:space="preserve"> (</w:t>
            </w:r>
            <w:r w:rsidR="002C13FE" w:rsidRPr="00CF7FFA">
              <w:t>other than actions which only relate to interests in residential land</w:t>
            </w:r>
            <w:r w:rsidR="001031D0">
              <w:t>)</w:t>
            </w:r>
            <w:r w:rsidR="002C13FE" w:rsidRPr="00CF7FFA">
              <w:t>;</w:t>
            </w:r>
          </w:p>
          <w:p w14:paraId="47187CCF" w14:textId="6C51D70B" w:rsidR="002C13FE" w:rsidRPr="00CF7FFA" w:rsidRDefault="001031D0" w:rsidP="00CF7FFA">
            <w:pPr>
              <w:pStyle w:val="Tablea"/>
            </w:pPr>
            <w:r>
              <w:t xml:space="preserve">(b) </w:t>
            </w:r>
            <w:r w:rsidR="002C13FE" w:rsidRPr="00CF7FFA">
              <w:t>significant actions</w:t>
            </w:r>
            <w:r>
              <w:t xml:space="preserve"> (</w:t>
            </w:r>
            <w:r w:rsidR="002C13FE" w:rsidRPr="00CF7FFA">
              <w:t>other than significant actions which only relate to interests in residential land</w:t>
            </w:r>
            <w:r>
              <w:t>)</w:t>
            </w:r>
            <w:r w:rsidR="002C13FE" w:rsidRPr="00CF7FFA">
              <w:t>;</w:t>
            </w:r>
          </w:p>
          <w:p w14:paraId="1178E712" w14:textId="504E8120" w:rsidR="002C13FE" w:rsidRPr="00CF7FFA" w:rsidRDefault="003E7510" w:rsidP="00CF7FFA">
            <w:pPr>
              <w:pStyle w:val="Tablea"/>
            </w:pPr>
            <w:r>
              <w:t xml:space="preserve">(c) </w:t>
            </w:r>
            <w:r w:rsidR="002C13FE" w:rsidRPr="00CF7FFA">
              <w:t>notifiable national security actions;</w:t>
            </w:r>
          </w:p>
          <w:p w14:paraId="3EAEB813" w14:textId="7FFB881A" w:rsidR="002C13FE" w:rsidRDefault="003E7510" w:rsidP="00CF7FFA">
            <w:pPr>
              <w:pStyle w:val="Tablea"/>
            </w:pPr>
            <w:r>
              <w:t xml:space="preserve">(d) </w:t>
            </w:r>
            <w:r w:rsidR="002C13FE" w:rsidRPr="00CF7FFA">
              <w:t xml:space="preserve">reviewable national security </w:t>
            </w:r>
            <w:r w:rsidR="002C13FE">
              <w:t>actions.</w:t>
            </w:r>
          </w:p>
        </w:tc>
        <w:tc>
          <w:tcPr>
            <w:tcW w:w="3799" w:type="dxa"/>
            <w:shd w:val="clear" w:color="auto" w:fill="auto"/>
          </w:tcPr>
          <w:p w14:paraId="4F4C4C15" w14:textId="479F0D17" w:rsidR="00CE5469" w:rsidRDefault="00C9739D" w:rsidP="00CE5469">
            <w:pPr>
              <w:pStyle w:val="Tabletext"/>
            </w:pPr>
            <w:r>
              <w:t>One</w:t>
            </w:r>
            <w:r w:rsidR="00CE5469">
              <w:t xml:space="preserve"> of the following manners:</w:t>
            </w:r>
          </w:p>
          <w:p w14:paraId="347B1995" w14:textId="6989ED50" w:rsidR="00CE5469" w:rsidRPr="00255752" w:rsidRDefault="00CE178D" w:rsidP="00CE5469">
            <w:pPr>
              <w:pStyle w:val="Tablea"/>
            </w:pPr>
            <w:r>
              <w:t>(</w:t>
            </w:r>
            <w:r w:rsidR="00CE5469" w:rsidRPr="00255752">
              <w:t xml:space="preserve">a) </w:t>
            </w:r>
            <w:r w:rsidR="00CE5469">
              <w:t xml:space="preserve">if the </w:t>
            </w:r>
            <w:r w:rsidR="003053F8">
              <w:t>Treasury Application Portal</w:t>
            </w:r>
            <w:r w:rsidR="00656CBC">
              <w:t xml:space="preserve"> </w:t>
            </w:r>
            <w:r w:rsidR="00CE5469">
              <w:t>is online</w:t>
            </w:r>
            <w:r w:rsidR="00CE5469" w:rsidRPr="00255752">
              <w:sym w:font="Symbol" w:char="F0BE"/>
            </w:r>
            <w:r w:rsidR="00CE5469" w:rsidRPr="00255752">
              <w:t xml:space="preserve">through the </w:t>
            </w:r>
            <w:r w:rsidR="003053F8">
              <w:t>Treasury Application Portal</w:t>
            </w:r>
            <w:r w:rsidR="00CE5469" w:rsidRPr="00255752">
              <w:t>;</w:t>
            </w:r>
          </w:p>
          <w:p w14:paraId="4FD88E0A" w14:textId="2B539384" w:rsidR="002C13FE" w:rsidRPr="00CE178D" w:rsidRDefault="00CE5469" w:rsidP="00CE178D">
            <w:pPr>
              <w:pStyle w:val="Tablea"/>
            </w:pPr>
            <w:r w:rsidRPr="00255752">
              <w:t xml:space="preserve">(b) if the </w:t>
            </w:r>
            <w:r w:rsidR="003053F8">
              <w:t>Treasury Application Portal</w:t>
            </w:r>
            <w:r w:rsidRPr="00255752">
              <w:t xml:space="preserve"> is offline</w:t>
            </w:r>
            <w:r w:rsidRPr="00255752">
              <w:sym w:font="Symbol" w:char="F0BE"/>
            </w:r>
            <w:r w:rsidRPr="00255752">
              <w:t xml:space="preserve">by completing the form ‘Application Form – </w:t>
            </w:r>
            <w:r w:rsidR="00676343">
              <w:t>Variation</w:t>
            </w:r>
            <w:r w:rsidR="000C630F">
              <w:t>’</w:t>
            </w:r>
            <w:r w:rsidRPr="00255752">
              <w:t xml:space="preserve"> (available at www.foreigninvestment.gov.au) and </w:t>
            </w:r>
            <w:r>
              <w:t>sending the completed form by</w:t>
            </w:r>
            <w:r w:rsidRPr="00255752">
              <w:t xml:space="preserve"> electronic mail to </w:t>
            </w:r>
            <w:r>
              <w:t xml:space="preserve">the </w:t>
            </w:r>
            <w:r w:rsidR="00D13CB4">
              <w:t>Treasury application email address</w:t>
            </w:r>
            <w:r>
              <w:t>.</w:t>
            </w:r>
          </w:p>
        </w:tc>
      </w:tr>
      <w:tr w:rsidR="00AE1E22" w14:paraId="4B6F6EC9" w14:textId="77777777" w:rsidTr="00B429B3">
        <w:tc>
          <w:tcPr>
            <w:tcW w:w="714" w:type="dxa"/>
            <w:shd w:val="clear" w:color="auto" w:fill="auto"/>
          </w:tcPr>
          <w:p w14:paraId="1323F53F" w14:textId="159BC9A1" w:rsidR="00AE1E22" w:rsidRDefault="00AE1E22" w:rsidP="00AE1E22">
            <w:pPr>
              <w:pStyle w:val="Tabletext"/>
            </w:pPr>
            <w:r>
              <w:t>3</w:t>
            </w:r>
          </w:p>
        </w:tc>
        <w:tc>
          <w:tcPr>
            <w:tcW w:w="3799" w:type="dxa"/>
            <w:shd w:val="clear" w:color="auto" w:fill="auto"/>
          </w:tcPr>
          <w:p w14:paraId="0F2F0E3E" w14:textId="4F93CFD2" w:rsidR="005637C9" w:rsidRDefault="00AE1E22" w:rsidP="00AE1E22">
            <w:pPr>
              <w:pStyle w:val="Tabletext"/>
            </w:pPr>
            <w:r>
              <w:t xml:space="preserve">Applications made for exemption certificates under </w:t>
            </w:r>
            <w:r w:rsidR="00D93AAE">
              <w:t xml:space="preserve">any of </w:t>
            </w:r>
            <w:r w:rsidR="005637C9">
              <w:t>the following provisions:</w:t>
            </w:r>
          </w:p>
          <w:p w14:paraId="01E859EF" w14:textId="77777777" w:rsidR="00D93AAE" w:rsidRDefault="00D93AAE" w:rsidP="005637C9">
            <w:pPr>
              <w:pStyle w:val="Tablea"/>
            </w:pPr>
            <w:r>
              <w:t xml:space="preserve">(a) </w:t>
            </w:r>
            <w:r w:rsidR="00AE1E22">
              <w:t>section 58 of the Act</w:t>
            </w:r>
            <w:r>
              <w:t>;</w:t>
            </w:r>
          </w:p>
          <w:p w14:paraId="65842A3B" w14:textId="7E9DB9EB" w:rsidR="00AE1E22" w:rsidRDefault="00D93AAE" w:rsidP="005637C9">
            <w:pPr>
              <w:pStyle w:val="Tablea"/>
            </w:pPr>
            <w:r>
              <w:t xml:space="preserve">(b) </w:t>
            </w:r>
            <w:r w:rsidR="00AE1E22">
              <w:t xml:space="preserve">sections 42, 43, 43BA </w:t>
            </w:r>
            <w:r w:rsidR="00A42973">
              <w:t>and</w:t>
            </w:r>
            <w:r w:rsidR="00AE1E22">
              <w:t xml:space="preserve"> 43BB of the Regulation.</w:t>
            </w:r>
          </w:p>
        </w:tc>
        <w:tc>
          <w:tcPr>
            <w:tcW w:w="3799" w:type="dxa"/>
            <w:shd w:val="clear" w:color="auto" w:fill="auto"/>
          </w:tcPr>
          <w:p w14:paraId="7C75CC81" w14:textId="1A89FF84" w:rsidR="00AE1E22" w:rsidRDefault="00C9739D" w:rsidP="00AE1E22">
            <w:pPr>
              <w:pStyle w:val="Tabletext"/>
            </w:pPr>
            <w:r>
              <w:t>One</w:t>
            </w:r>
            <w:r w:rsidR="00AE1E22">
              <w:t xml:space="preserve"> of the following manners:</w:t>
            </w:r>
          </w:p>
          <w:p w14:paraId="4E337D47" w14:textId="61367435" w:rsidR="00AE1E22" w:rsidRPr="00255752" w:rsidRDefault="00AE1E22" w:rsidP="00AE1E22">
            <w:pPr>
              <w:pStyle w:val="Tablea"/>
            </w:pPr>
            <w:r w:rsidRPr="00255752">
              <w:t xml:space="preserve">(a) </w:t>
            </w:r>
            <w:r>
              <w:t xml:space="preserve">if the </w:t>
            </w:r>
            <w:r w:rsidR="003053F8">
              <w:t>Treasury Application Portal</w:t>
            </w:r>
            <w:r w:rsidR="00656CBC">
              <w:t xml:space="preserve"> </w:t>
            </w:r>
            <w:r>
              <w:t>is online</w:t>
            </w:r>
            <w:r w:rsidRPr="00255752">
              <w:sym w:font="Symbol" w:char="F0BE"/>
            </w:r>
            <w:r w:rsidRPr="00255752">
              <w:t xml:space="preserve">through the </w:t>
            </w:r>
            <w:r w:rsidR="003053F8">
              <w:t>Treasury Application Portal</w:t>
            </w:r>
            <w:r w:rsidRPr="00255752">
              <w:t>;</w:t>
            </w:r>
          </w:p>
          <w:p w14:paraId="1A550A0E" w14:textId="1F978A2E" w:rsidR="00AE1E22" w:rsidRDefault="00AE1E22" w:rsidP="00AE1E22">
            <w:pPr>
              <w:pStyle w:val="Tablea"/>
            </w:pPr>
            <w:r w:rsidRPr="00255752">
              <w:t xml:space="preserve">(b) if the </w:t>
            </w:r>
            <w:r w:rsidR="003053F8">
              <w:t>Treasury Application Portal</w:t>
            </w:r>
            <w:r w:rsidRPr="00255752">
              <w:t xml:space="preserve"> is offline</w:t>
            </w:r>
            <w:r w:rsidRPr="00255752">
              <w:sym w:font="Symbol" w:char="F0BE"/>
            </w:r>
            <w:r w:rsidRPr="00255752">
              <w:t>by completing the form ‘Application Form – Proposal’ (available at www.</w:t>
            </w:r>
            <w:r w:rsidRPr="00AE1E22">
              <w:t>foreigninvestment</w:t>
            </w:r>
            <w:r w:rsidRPr="00255752">
              <w:t xml:space="preserve">.gov.au) and </w:t>
            </w:r>
            <w:r>
              <w:t>sending the completed form by</w:t>
            </w:r>
            <w:r w:rsidRPr="00255752">
              <w:t xml:space="preserve"> electronic mail to </w:t>
            </w:r>
            <w:r>
              <w:t xml:space="preserve">the </w:t>
            </w:r>
            <w:r w:rsidR="00D13CB4">
              <w:t>Treasury application email address</w:t>
            </w:r>
            <w:r>
              <w:t>.</w:t>
            </w:r>
          </w:p>
        </w:tc>
      </w:tr>
      <w:tr w:rsidR="00AE1E22" w14:paraId="39AC0871" w14:textId="77777777" w:rsidTr="00B429B3">
        <w:tc>
          <w:tcPr>
            <w:tcW w:w="714" w:type="dxa"/>
            <w:shd w:val="clear" w:color="auto" w:fill="auto"/>
          </w:tcPr>
          <w:p w14:paraId="0CF9FB9A" w14:textId="4B1BFA17" w:rsidR="00AE1E22" w:rsidRDefault="00AE1E22" w:rsidP="00AE1E22">
            <w:pPr>
              <w:pStyle w:val="Tabletext"/>
            </w:pPr>
            <w:r>
              <w:t>4</w:t>
            </w:r>
          </w:p>
        </w:tc>
        <w:tc>
          <w:tcPr>
            <w:tcW w:w="3799" w:type="dxa"/>
            <w:shd w:val="clear" w:color="auto" w:fill="auto"/>
          </w:tcPr>
          <w:p w14:paraId="1840FAFB" w14:textId="77777777" w:rsidR="004D2A3B" w:rsidRDefault="00AE1E22" w:rsidP="00AE1E22">
            <w:pPr>
              <w:pStyle w:val="Tabletext"/>
            </w:pPr>
            <w:r>
              <w:t xml:space="preserve">Applications made for variations to exemption certificates made under </w:t>
            </w:r>
            <w:r w:rsidR="004D2A3B">
              <w:t>any of the following provisions:</w:t>
            </w:r>
          </w:p>
          <w:p w14:paraId="59183F40" w14:textId="77777777" w:rsidR="004D2A3B" w:rsidRDefault="004D2A3B" w:rsidP="004D2A3B">
            <w:pPr>
              <w:pStyle w:val="Tablea"/>
            </w:pPr>
            <w:r>
              <w:lastRenderedPageBreak/>
              <w:t xml:space="preserve">(a) </w:t>
            </w:r>
            <w:r w:rsidR="00AE1E22">
              <w:t>section 58 of the Act</w:t>
            </w:r>
          </w:p>
          <w:p w14:paraId="6D35E99B" w14:textId="3F0796E5" w:rsidR="00AE1E22" w:rsidRDefault="005D3F55" w:rsidP="004D2A3B">
            <w:pPr>
              <w:pStyle w:val="Tablea"/>
            </w:pPr>
            <w:r>
              <w:t xml:space="preserve">(b) </w:t>
            </w:r>
            <w:r w:rsidR="00AE1E22">
              <w:t xml:space="preserve">sections 42, 43, 43BA </w:t>
            </w:r>
            <w:r w:rsidR="00A42973">
              <w:t>and</w:t>
            </w:r>
            <w:r w:rsidR="00AE1E22">
              <w:t xml:space="preserve"> 43BB of the Regulation.</w:t>
            </w:r>
          </w:p>
        </w:tc>
        <w:tc>
          <w:tcPr>
            <w:tcW w:w="3799" w:type="dxa"/>
            <w:shd w:val="clear" w:color="auto" w:fill="auto"/>
          </w:tcPr>
          <w:p w14:paraId="757BD813" w14:textId="05267516" w:rsidR="007D3C7D" w:rsidRDefault="00C9739D" w:rsidP="007D3C7D">
            <w:pPr>
              <w:pStyle w:val="Tabletext"/>
            </w:pPr>
            <w:r>
              <w:lastRenderedPageBreak/>
              <w:t>One</w:t>
            </w:r>
            <w:r w:rsidR="007D3C7D">
              <w:t xml:space="preserve"> of the following manners:</w:t>
            </w:r>
          </w:p>
          <w:p w14:paraId="2B1D353C" w14:textId="750AEB64" w:rsidR="007D3C7D" w:rsidRPr="00255752" w:rsidRDefault="007D3C7D" w:rsidP="007D3C7D">
            <w:pPr>
              <w:pStyle w:val="Tablea"/>
            </w:pPr>
            <w:r>
              <w:lastRenderedPageBreak/>
              <w:t>(</w:t>
            </w:r>
            <w:r w:rsidRPr="00255752">
              <w:t xml:space="preserve">a) </w:t>
            </w:r>
            <w:r>
              <w:t xml:space="preserve">if the </w:t>
            </w:r>
            <w:r w:rsidR="003053F8">
              <w:t>Treasury Application Portal</w:t>
            </w:r>
            <w:r w:rsidR="00656CBC">
              <w:t xml:space="preserve"> </w:t>
            </w:r>
            <w:r>
              <w:t>is online</w:t>
            </w:r>
            <w:r w:rsidRPr="00255752">
              <w:sym w:font="Symbol" w:char="F0BE"/>
            </w:r>
            <w:r w:rsidRPr="00255752">
              <w:t xml:space="preserve">through the </w:t>
            </w:r>
            <w:r w:rsidR="003053F8">
              <w:t>Treasury Application Portal</w:t>
            </w:r>
            <w:r w:rsidRPr="00255752">
              <w:t>;</w:t>
            </w:r>
          </w:p>
          <w:p w14:paraId="484FD505" w14:textId="61DA0F5C" w:rsidR="00AE1E22" w:rsidRDefault="007D3C7D" w:rsidP="004D2A3B">
            <w:pPr>
              <w:pStyle w:val="Tablea"/>
            </w:pPr>
            <w:r w:rsidRPr="00255752">
              <w:t xml:space="preserve">(b) if the </w:t>
            </w:r>
            <w:r w:rsidR="003053F8">
              <w:t>Treasury Application Portal</w:t>
            </w:r>
            <w:r w:rsidRPr="00255752">
              <w:t xml:space="preserve"> is offline</w:t>
            </w:r>
            <w:r w:rsidRPr="00255752">
              <w:sym w:font="Symbol" w:char="F0BE"/>
            </w:r>
            <w:r w:rsidRPr="00255752">
              <w:t xml:space="preserve">by completing the form ‘Application Form – </w:t>
            </w:r>
            <w:r w:rsidRPr="004D2A3B">
              <w:t>Variation</w:t>
            </w:r>
            <w:r w:rsidR="000C630F">
              <w:t>’</w:t>
            </w:r>
            <w:r w:rsidRPr="00255752">
              <w:t xml:space="preserve"> (available at www.foreigninvestment.gov.au) and </w:t>
            </w:r>
            <w:r>
              <w:t>sending the completed form by</w:t>
            </w:r>
            <w:r w:rsidRPr="00255752">
              <w:t xml:space="preserve"> electronic mail to </w:t>
            </w:r>
            <w:r>
              <w:t xml:space="preserve">the </w:t>
            </w:r>
            <w:r w:rsidR="00D13CB4">
              <w:t>Treasury application email address</w:t>
            </w:r>
            <w:r>
              <w:t>.</w:t>
            </w:r>
          </w:p>
        </w:tc>
      </w:tr>
      <w:tr w:rsidR="00A065CE" w:rsidRPr="00A065CE" w14:paraId="143055C1" w14:textId="77777777" w:rsidTr="00B429B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17CCB8E9" w14:textId="1F0A8BAB" w:rsidR="00A065CE" w:rsidRDefault="00A065CE" w:rsidP="00A065CE">
            <w:pPr>
              <w:pStyle w:val="Tabletext"/>
            </w:pPr>
            <w:r>
              <w:lastRenderedPageBreak/>
              <w:t>5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60A0EAE" w14:textId="2AB2937D" w:rsidR="00A065CE" w:rsidRDefault="00A065CE" w:rsidP="00A065CE">
            <w:pPr>
              <w:pStyle w:val="Tabletext"/>
            </w:pPr>
            <w:r>
              <w:t>Notices given in relation to any of the following:</w:t>
            </w:r>
          </w:p>
          <w:p w14:paraId="5AE21F39" w14:textId="3D1FAA34" w:rsidR="00A065CE" w:rsidRPr="00FC155F" w:rsidRDefault="00A065CE" w:rsidP="00A065CE">
            <w:pPr>
              <w:pStyle w:val="Tablea"/>
            </w:pPr>
            <w:r>
              <w:t xml:space="preserve">(a) </w:t>
            </w:r>
            <w:r w:rsidRPr="00FC155F">
              <w:t>notifiable actions which relate only to interests in residential land;</w:t>
            </w:r>
          </w:p>
          <w:p w14:paraId="23DE7EAA" w14:textId="32989245" w:rsidR="00A065CE" w:rsidRDefault="00A065CE" w:rsidP="00A065CE">
            <w:pPr>
              <w:pStyle w:val="Tablea"/>
            </w:pPr>
            <w:r>
              <w:t xml:space="preserve">(b) </w:t>
            </w:r>
            <w:r w:rsidRPr="00FC155F">
              <w:t xml:space="preserve">significant actions which relate only to interests in residential </w:t>
            </w:r>
            <w:r>
              <w:t>land.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D2457FC" w14:textId="241F0FD2" w:rsidR="00A065CE" w:rsidRDefault="00A065CE" w:rsidP="00A065CE">
            <w:pPr>
              <w:pStyle w:val="Tabletext"/>
            </w:pPr>
            <w:r w:rsidRPr="00A065CE">
              <w:t>Through the ATO Online Services</w:t>
            </w:r>
            <w:r w:rsidR="00294808">
              <w:t xml:space="preserve"> </w:t>
            </w:r>
            <w:r w:rsidR="00AF29B8">
              <w:t>(</w:t>
            </w:r>
            <w:r w:rsidR="00294808">
              <w:t xml:space="preserve">except in relation to a </w:t>
            </w:r>
            <w:r w:rsidR="00AE107F">
              <w:t>build-to-rent development</w:t>
            </w:r>
            <w:r w:rsidR="00AF29B8">
              <w:t>).</w:t>
            </w:r>
          </w:p>
          <w:p w14:paraId="09686B1E" w14:textId="06215EF4" w:rsidR="00D632B5" w:rsidRPr="00026C91" w:rsidRDefault="00D632B5" w:rsidP="00D632B5">
            <w:pPr>
              <w:pStyle w:val="Tabletext"/>
            </w:pPr>
            <w:r>
              <w:t xml:space="preserve">In relation to a </w:t>
            </w:r>
            <w:r w:rsidR="00AE107F">
              <w:t>build-to-rent development</w:t>
            </w:r>
            <w:r w:rsidRPr="00C16ECC">
              <w:t>—</w:t>
            </w:r>
            <w:r w:rsidR="00C9739D">
              <w:t>one</w:t>
            </w:r>
            <w:r>
              <w:t xml:space="preserve"> of the following:</w:t>
            </w:r>
          </w:p>
          <w:p w14:paraId="05E21AF8" w14:textId="6E020A4C" w:rsidR="00D632B5" w:rsidRPr="00C16ECC" w:rsidRDefault="00D632B5" w:rsidP="00D632B5">
            <w:pPr>
              <w:pStyle w:val="Tablea"/>
            </w:pPr>
            <w:r w:rsidRPr="00C16ECC">
              <w:t xml:space="preserve">(a) if the </w:t>
            </w:r>
            <w:r w:rsidR="003053F8">
              <w:t>Treasury Application Portal</w:t>
            </w:r>
            <w:r w:rsidRPr="00C16ECC">
              <w:t xml:space="preserve"> is online</w:t>
            </w:r>
            <w:r w:rsidRPr="00C16ECC">
              <w:sym w:font="Symbol" w:char="F0BE"/>
            </w:r>
            <w:r w:rsidRPr="00C16ECC">
              <w:t xml:space="preserve">through the </w:t>
            </w:r>
            <w:r w:rsidR="003053F8">
              <w:t>Treasury Application Portal</w:t>
            </w:r>
            <w:r w:rsidRPr="00C16ECC">
              <w:t>;</w:t>
            </w:r>
          </w:p>
          <w:p w14:paraId="29AE0631" w14:textId="691A69DB" w:rsidR="00AF29B8" w:rsidRPr="00D632B5" w:rsidRDefault="00D632B5" w:rsidP="00D632B5">
            <w:pPr>
              <w:pStyle w:val="Tablea"/>
            </w:pPr>
            <w:r w:rsidRPr="00C16ECC">
              <w:t xml:space="preserve">(b) if the </w:t>
            </w:r>
            <w:r w:rsidR="003053F8">
              <w:t>Treasury Application Portal</w:t>
            </w:r>
            <w:r w:rsidRPr="00C16ECC">
              <w:t xml:space="preserve"> is offline</w:t>
            </w:r>
            <w:r w:rsidRPr="00C16ECC">
              <w:sym w:font="Symbol" w:char="F0BE"/>
            </w:r>
            <w:r w:rsidRPr="00C16ECC">
              <w:t xml:space="preserve">by completing </w:t>
            </w:r>
            <w:r w:rsidRPr="00255752">
              <w:t xml:space="preserve">the form ‘Application Form – Proposal’ (available at www.foreigninvestment.gov.au) and </w:t>
            </w:r>
            <w:r>
              <w:t>sending the completed form by</w:t>
            </w:r>
            <w:r w:rsidRPr="00255752">
              <w:t xml:space="preserve"> electronic mail to </w:t>
            </w:r>
            <w:r>
              <w:t>the Treasury application email address.</w:t>
            </w:r>
          </w:p>
        </w:tc>
      </w:tr>
      <w:tr w:rsidR="00A065CE" w:rsidRPr="00A065CE" w14:paraId="4DDE52E1" w14:textId="77777777" w:rsidTr="00AF771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567953" w14:textId="74E4C955" w:rsidR="00A065CE" w:rsidRPr="00A065CE" w:rsidRDefault="00A065CE" w:rsidP="00A065CE">
            <w:pPr>
              <w:pStyle w:val="Tabletext"/>
            </w:pPr>
            <w:r w:rsidRPr="00A065CE">
              <w:t>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6F5A0E" w14:textId="0EBE97BB" w:rsidR="00A065CE" w:rsidRPr="00A065CE" w:rsidRDefault="00A065CE" w:rsidP="00A065CE">
            <w:pPr>
              <w:pStyle w:val="Tabletext"/>
            </w:pPr>
            <w:r w:rsidRPr="00A065CE">
              <w:t>Applications made for variations to no objection notifications given in relation to any of the following:</w:t>
            </w:r>
          </w:p>
          <w:p w14:paraId="30DE98DD" w14:textId="4D8B6B76" w:rsidR="00A065CE" w:rsidRPr="00A065CE" w:rsidRDefault="00A065CE" w:rsidP="00A065CE">
            <w:pPr>
              <w:pStyle w:val="Tablea"/>
            </w:pPr>
            <w:r w:rsidRPr="00A065CE">
              <w:t>(a) actions described in paragraph 75(1)(b) of the Act which relate only to interests in residential land;</w:t>
            </w:r>
          </w:p>
          <w:p w14:paraId="19791F13" w14:textId="6B4711C0" w:rsidR="00A065CE" w:rsidRPr="00A065CE" w:rsidRDefault="00A065CE" w:rsidP="00A065CE">
            <w:pPr>
              <w:pStyle w:val="Tablea"/>
            </w:pPr>
            <w:r w:rsidRPr="00A065CE">
              <w:t xml:space="preserve">(b) significant actions which relate only to interests in residential land. 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CB13A5" w14:textId="61516AF0" w:rsidR="00DD1917" w:rsidRDefault="00DD1917" w:rsidP="00DD1917">
            <w:pPr>
              <w:pStyle w:val="Tabletext"/>
            </w:pPr>
            <w:r w:rsidRPr="00A065CE">
              <w:t>Through the ATO Online Services</w:t>
            </w:r>
            <w:r>
              <w:t xml:space="preserve"> (except in relation to a </w:t>
            </w:r>
            <w:r w:rsidR="00AE107F">
              <w:t>build-to-rent development</w:t>
            </w:r>
            <w:r>
              <w:t>).</w:t>
            </w:r>
          </w:p>
          <w:p w14:paraId="78948D13" w14:textId="58BB3A26" w:rsidR="00026C91" w:rsidRPr="00026C91" w:rsidRDefault="00DD1917" w:rsidP="00026C91">
            <w:pPr>
              <w:pStyle w:val="Tabletext"/>
            </w:pPr>
            <w:r>
              <w:t xml:space="preserve">In relation to a </w:t>
            </w:r>
            <w:r w:rsidR="00AE107F">
              <w:t>build-to-rent development</w:t>
            </w:r>
            <w:r w:rsidRPr="00C16ECC">
              <w:t>—</w:t>
            </w:r>
            <w:r w:rsidR="007E54EE">
              <w:t>one</w:t>
            </w:r>
            <w:r w:rsidR="00026C91">
              <w:t xml:space="preserve"> of the following:</w:t>
            </w:r>
          </w:p>
          <w:p w14:paraId="5A093DB3" w14:textId="0F2CEB09" w:rsidR="00C16ECC" w:rsidRPr="00C16ECC" w:rsidRDefault="00C16ECC" w:rsidP="00C16ECC">
            <w:pPr>
              <w:pStyle w:val="Tablea"/>
            </w:pPr>
            <w:r w:rsidRPr="00C16ECC">
              <w:t xml:space="preserve">(a) if the </w:t>
            </w:r>
            <w:r w:rsidR="003053F8">
              <w:t>Treasury Application Portal</w:t>
            </w:r>
            <w:r w:rsidRPr="00C16ECC">
              <w:t xml:space="preserve"> is online</w:t>
            </w:r>
            <w:r w:rsidRPr="00C16ECC">
              <w:sym w:font="Symbol" w:char="F0BE"/>
            </w:r>
            <w:r w:rsidRPr="00C16ECC">
              <w:t xml:space="preserve">through the </w:t>
            </w:r>
            <w:r w:rsidR="003053F8">
              <w:t>Treasury Application Portal</w:t>
            </w:r>
            <w:r w:rsidRPr="00C16ECC">
              <w:t>;</w:t>
            </w:r>
          </w:p>
          <w:p w14:paraId="56A9DF09" w14:textId="6CC41316" w:rsidR="00A065CE" w:rsidRPr="00A065CE" w:rsidRDefault="00C16ECC" w:rsidP="00C16ECC">
            <w:pPr>
              <w:pStyle w:val="Tablea"/>
            </w:pPr>
            <w:r w:rsidRPr="00C16ECC">
              <w:t xml:space="preserve">(b) if the </w:t>
            </w:r>
            <w:r w:rsidR="003053F8">
              <w:t>Treasury Application Portal</w:t>
            </w:r>
            <w:r w:rsidRPr="00C16ECC">
              <w:t xml:space="preserve"> is offline</w:t>
            </w:r>
            <w:r w:rsidRPr="00C16ECC">
              <w:sym w:font="Symbol" w:char="F0BE"/>
            </w:r>
            <w:r w:rsidRPr="00C16ECC">
              <w:t xml:space="preserve">by completing </w:t>
            </w:r>
            <w:r w:rsidRPr="00255752">
              <w:t xml:space="preserve">the form ‘Application Form – Proposal’ (available at www.foreigninvestment.gov.au) and </w:t>
            </w:r>
            <w:r>
              <w:t>sending the completed form by</w:t>
            </w:r>
            <w:r w:rsidRPr="00255752">
              <w:t xml:space="preserve"> electronic mail to </w:t>
            </w:r>
            <w:r>
              <w:t>the Treasury application email address.</w:t>
            </w:r>
          </w:p>
        </w:tc>
      </w:tr>
      <w:tr w:rsidR="00A065CE" w:rsidRPr="00A065CE" w14:paraId="21D27C14" w14:textId="77777777" w:rsidTr="00EC164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2632F5" w14:textId="612396E1" w:rsidR="00A065CE" w:rsidRPr="00A065CE" w:rsidRDefault="00A065CE" w:rsidP="00A065CE">
            <w:pPr>
              <w:pStyle w:val="Tabletext"/>
            </w:pPr>
            <w:r w:rsidRPr="00A065CE">
              <w:t>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7065CC" w14:textId="7CD5EA99" w:rsidR="00A065CE" w:rsidRPr="00A065CE" w:rsidRDefault="00A065CE" w:rsidP="00A065CE">
            <w:pPr>
              <w:pStyle w:val="Tabletext"/>
            </w:pPr>
            <w:r w:rsidRPr="00A065CE">
              <w:t>Applications made for exemption certificates under any of the following provisions:</w:t>
            </w:r>
          </w:p>
          <w:p w14:paraId="5878C535" w14:textId="0C787552" w:rsidR="00A065CE" w:rsidRPr="00A065CE" w:rsidRDefault="00A065CE" w:rsidP="00A065CE">
            <w:pPr>
              <w:pStyle w:val="Tablea"/>
            </w:pPr>
            <w:r w:rsidRPr="00A065CE">
              <w:t>(a) sections 57 and 59 of the Act;</w:t>
            </w:r>
          </w:p>
          <w:p w14:paraId="017D977B" w14:textId="167CB569" w:rsidR="00A065CE" w:rsidRPr="00A065CE" w:rsidRDefault="00A065CE" w:rsidP="00A065CE">
            <w:pPr>
              <w:pStyle w:val="Tablea"/>
            </w:pPr>
            <w:r w:rsidRPr="00A065CE">
              <w:t>(b) sections 43A and 43B of the Regulation.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28FF2F" w14:textId="71C14D58" w:rsidR="00A065CE" w:rsidRPr="00A065CE" w:rsidRDefault="00DD1917" w:rsidP="00D14470">
            <w:pPr>
              <w:pStyle w:val="Tabletext"/>
            </w:pPr>
            <w:r w:rsidRPr="00A065CE">
              <w:t>Through the ATO Online Services</w:t>
            </w:r>
            <w:r>
              <w:t>.</w:t>
            </w:r>
          </w:p>
        </w:tc>
      </w:tr>
      <w:tr w:rsidR="00A065CE" w14:paraId="3D99AEFC" w14:textId="77777777" w:rsidTr="00EC164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4ED3CF" w14:textId="2F1CDC16" w:rsidR="00A065CE" w:rsidRPr="00A065CE" w:rsidRDefault="00A065CE" w:rsidP="00A065CE">
            <w:pPr>
              <w:pStyle w:val="Tabletext"/>
            </w:pPr>
            <w:r w:rsidRPr="00A065CE">
              <w:lastRenderedPageBreak/>
              <w:t>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A5450C" w14:textId="77777777" w:rsidR="00A065CE" w:rsidRPr="00A065CE" w:rsidRDefault="00A065CE" w:rsidP="00A065CE">
            <w:pPr>
              <w:pStyle w:val="Tabletext"/>
            </w:pPr>
            <w:r w:rsidRPr="00A065CE">
              <w:t>Applications made for variations to exemption certificates made under any of the following provisions:</w:t>
            </w:r>
          </w:p>
          <w:p w14:paraId="44EF0313" w14:textId="77777777" w:rsidR="00A065CE" w:rsidRPr="00A065CE" w:rsidRDefault="00A065CE" w:rsidP="00A065CE">
            <w:pPr>
              <w:pStyle w:val="Tabletext"/>
            </w:pPr>
            <w:r w:rsidRPr="00A065CE">
              <w:t>(a) sections 57 or 59 of the Act,</w:t>
            </w:r>
          </w:p>
          <w:p w14:paraId="05209A6C" w14:textId="6157D417" w:rsidR="00A065CE" w:rsidRPr="00A065CE" w:rsidRDefault="00A065CE" w:rsidP="00A065CE">
            <w:pPr>
              <w:pStyle w:val="Tabletext"/>
            </w:pPr>
            <w:r w:rsidRPr="00A065CE">
              <w:t>(b) sections 43A and 43B of the Regulation.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D0DC21" w14:textId="51AE3095" w:rsidR="00A065CE" w:rsidRPr="00A065CE" w:rsidRDefault="00DD1917" w:rsidP="00D14470">
            <w:pPr>
              <w:pStyle w:val="Tabletext"/>
            </w:pPr>
            <w:r w:rsidRPr="00A065CE">
              <w:t>Through the ATO Online Services</w:t>
            </w:r>
            <w:r w:rsidR="00D14470">
              <w:t>.</w:t>
            </w:r>
          </w:p>
        </w:tc>
      </w:tr>
      <w:tr w:rsidR="00A065CE" w14:paraId="7BA8DC63" w14:textId="77777777" w:rsidTr="00EC164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E3802C" w14:textId="102F0FA8" w:rsidR="00A065CE" w:rsidRDefault="00A065CE" w:rsidP="00A065CE">
            <w:pPr>
              <w:pStyle w:val="Tabletext"/>
            </w:pPr>
            <w:r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3556F2" w14:textId="1913E01D" w:rsidR="00A065CE" w:rsidRDefault="00A065CE" w:rsidP="00A065CE">
            <w:pPr>
              <w:pStyle w:val="Tabletext"/>
            </w:pPr>
            <w:r>
              <w:t>Notices required under a condition included in any of the following:</w:t>
            </w:r>
          </w:p>
          <w:p w14:paraId="1B91BEAE" w14:textId="77777777" w:rsidR="00A065CE" w:rsidRDefault="00A065CE" w:rsidP="00A065CE">
            <w:pPr>
              <w:pStyle w:val="Tablea"/>
            </w:pPr>
            <w:r>
              <w:t xml:space="preserve">(a) </w:t>
            </w:r>
            <w:r w:rsidRPr="00F06453">
              <w:t xml:space="preserve">an exemption certificate made under </w:t>
            </w:r>
            <w:r>
              <w:t>any of the following provisions:</w:t>
            </w:r>
          </w:p>
          <w:p w14:paraId="7EDD27FF" w14:textId="77777777" w:rsidR="00A065CE" w:rsidRDefault="00A065CE" w:rsidP="00A065CE">
            <w:pPr>
              <w:pStyle w:val="Tablei"/>
            </w:pPr>
            <w:r>
              <w:t xml:space="preserve">(i) </w:t>
            </w:r>
            <w:r w:rsidRPr="0055203B">
              <w:t>section 58 of the Act</w:t>
            </w:r>
            <w:r>
              <w:t>;</w:t>
            </w:r>
          </w:p>
          <w:p w14:paraId="62555CBA" w14:textId="380D6C1C" w:rsidR="00A065CE" w:rsidRPr="0055203B" w:rsidRDefault="00A065CE" w:rsidP="00A065CE">
            <w:pPr>
              <w:pStyle w:val="Tablei"/>
            </w:pPr>
            <w:r>
              <w:t xml:space="preserve">(ii) </w:t>
            </w:r>
            <w:r w:rsidRPr="0055203B">
              <w:t xml:space="preserve">sections 42, 43,43BA </w:t>
            </w:r>
            <w:r>
              <w:t>and</w:t>
            </w:r>
            <w:r w:rsidRPr="0055203B">
              <w:t xml:space="preserve"> 43BB of the Regulation;</w:t>
            </w:r>
          </w:p>
          <w:p w14:paraId="7FD32B1A" w14:textId="5E5F86B6" w:rsidR="00A065CE" w:rsidRPr="00F06453" w:rsidRDefault="00A065CE" w:rsidP="00A065CE">
            <w:pPr>
              <w:pStyle w:val="Tablea"/>
            </w:pPr>
            <w:r>
              <w:t xml:space="preserve">(b) </w:t>
            </w:r>
            <w:r w:rsidRPr="00F06453">
              <w:t>a no objection notification</w:t>
            </w:r>
            <w:r>
              <w:t xml:space="preserve"> (</w:t>
            </w:r>
            <w:r w:rsidRPr="00F06453">
              <w:t>other than a no objection notification which relates only to interests in residential land</w:t>
            </w:r>
            <w:r>
              <w:t>)</w:t>
            </w:r>
            <w:r w:rsidRPr="00F06453">
              <w:t>; or</w:t>
            </w:r>
          </w:p>
          <w:p w14:paraId="15B8FE44" w14:textId="2ACF0F69" w:rsidR="00A065CE" w:rsidRDefault="00A065CE" w:rsidP="00A065CE">
            <w:pPr>
              <w:pStyle w:val="Tablea"/>
            </w:pPr>
            <w:r>
              <w:t xml:space="preserve">(c) </w:t>
            </w:r>
            <w:r w:rsidRPr="00F06453">
              <w:t>another notice imposi</w:t>
            </w:r>
            <w:r>
              <w:t>ng conditions (other than a notice which relates only to interests in residential land).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A479BA" w14:textId="77777777" w:rsidR="008A6315" w:rsidRDefault="008A6315" w:rsidP="008A6315">
            <w:pPr>
              <w:pStyle w:val="Tabletext"/>
            </w:pPr>
            <w:r>
              <w:t>Any of the following manners:</w:t>
            </w:r>
          </w:p>
          <w:p w14:paraId="59DECA5B" w14:textId="2B2EFFFD" w:rsidR="008A6315" w:rsidRDefault="008A6315" w:rsidP="008A6315">
            <w:pPr>
              <w:pStyle w:val="Tablea"/>
            </w:pPr>
            <w:r>
              <w:t>(</w:t>
            </w:r>
            <w:r w:rsidRPr="00255752">
              <w:t xml:space="preserve">a) </w:t>
            </w:r>
            <w:r>
              <w:t xml:space="preserve">if </w:t>
            </w:r>
            <w:r w:rsidR="00E20E91">
              <w:t>an email address is specified in a certificate</w:t>
            </w:r>
            <w:r w:rsidR="00FE75E8">
              <w:t>, notification</w:t>
            </w:r>
            <w:r w:rsidR="00E20E91">
              <w:t xml:space="preserve"> or notice mentioned in paragraphs (a</w:t>
            </w:r>
            <w:r w:rsidR="00AB5D97">
              <w:t>)</w:t>
            </w:r>
            <w:r w:rsidR="00E20E91">
              <w:t>, (b) or (c)</w:t>
            </w:r>
            <w:r w:rsidR="00AB5D97">
              <w:t xml:space="preserve"> for giving </w:t>
            </w:r>
            <w:r w:rsidR="00CC0810">
              <w:t>this type of notice</w:t>
            </w:r>
            <w:r w:rsidRPr="00255752">
              <w:sym w:font="Symbol" w:char="F0BE"/>
            </w:r>
            <w:r w:rsidR="00CC0810">
              <w:t>by electronic mail to that email addres</w:t>
            </w:r>
            <w:r w:rsidR="0001419E">
              <w:t>s</w:t>
            </w:r>
            <w:r w:rsidR="00CC0810">
              <w:t>;</w:t>
            </w:r>
          </w:p>
          <w:p w14:paraId="74FF27DA" w14:textId="04C613A8" w:rsidR="00A065CE" w:rsidRDefault="00CC0810" w:rsidP="0001419E">
            <w:pPr>
              <w:pStyle w:val="Tablea"/>
            </w:pPr>
            <w:r>
              <w:t xml:space="preserve">(b) </w:t>
            </w:r>
            <w:r w:rsidR="004E4430">
              <w:t>in all cases</w:t>
            </w:r>
            <w:r w:rsidR="0001419E" w:rsidRPr="00255752">
              <w:sym w:font="Symbol" w:char="F0BE"/>
            </w:r>
            <w:r w:rsidR="0001419E">
              <w:t>by electronic mail to the Treasury compliance email address.</w:t>
            </w:r>
          </w:p>
        </w:tc>
      </w:tr>
      <w:tr w:rsidR="00A065CE" w14:paraId="11FBF976" w14:textId="77777777" w:rsidTr="00EC164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36F18E" w14:textId="7008038D" w:rsidR="00A065CE" w:rsidRDefault="00A065CE" w:rsidP="00A065CE">
            <w:pPr>
              <w:pStyle w:val="Tabletext"/>
            </w:pPr>
            <w:r>
              <w:t>10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BF8DCE" w14:textId="1E2B78BA" w:rsidR="00A065CE" w:rsidRDefault="00A065CE" w:rsidP="00A065CE">
            <w:pPr>
              <w:pStyle w:val="Tabletext"/>
            </w:pPr>
            <w:r>
              <w:t>Notices required under a condition included in any of the following:</w:t>
            </w:r>
          </w:p>
          <w:p w14:paraId="251CFE45" w14:textId="77777777" w:rsidR="00A065CE" w:rsidRDefault="00A065CE" w:rsidP="00A065CE">
            <w:pPr>
              <w:pStyle w:val="Tablea"/>
            </w:pPr>
            <w:r>
              <w:t xml:space="preserve">(a) </w:t>
            </w:r>
            <w:r w:rsidRPr="00D13CB4">
              <w:t>an exemption certificate made under</w:t>
            </w:r>
            <w:r>
              <w:t xml:space="preserve"> any of the following provisions:</w:t>
            </w:r>
          </w:p>
          <w:p w14:paraId="6AF4DD06" w14:textId="116CBD2E" w:rsidR="00A065CE" w:rsidRDefault="00A065CE" w:rsidP="00A065CE">
            <w:pPr>
              <w:pStyle w:val="Tablei"/>
            </w:pPr>
            <w:r>
              <w:t>(i)</w:t>
            </w:r>
            <w:r w:rsidRPr="00D13CB4">
              <w:t xml:space="preserve"> section 57 </w:t>
            </w:r>
            <w:r>
              <w:t>and</w:t>
            </w:r>
            <w:r w:rsidRPr="00D13CB4">
              <w:t xml:space="preserve"> 59 of the Act</w:t>
            </w:r>
            <w:r>
              <w:t>;</w:t>
            </w:r>
          </w:p>
          <w:p w14:paraId="7DAFDC3E" w14:textId="56D17457" w:rsidR="00A065CE" w:rsidRPr="00D13CB4" w:rsidRDefault="00A065CE" w:rsidP="00A065CE">
            <w:pPr>
              <w:pStyle w:val="Tablei"/>
            </w:pPr>
            <w:r>
              <w:t xml:space="preserve">(ii) </w:t>
            </w:r>
            <w:r w:rsidRPr="00D13CB4">
              <w:t xml:space="preserve">sections 43A </w:t>
            </w:r>
            <w:r>
              <w:t>and</w:t>
            </w:r>
            <w:r w:rsidRPr="00D13CB4">
              <w:t xml:space="preserve"> 43B of the Regulation;</w:t>
            </w:r>
          </w:p>
          <w:p w14:paraId="5EA13081" w14:textId="3EBEDD76" w:rsidR="00A065CE" w:rsidRPr="00D13CB4" w:rsidRDefault="00A065CE" w:rsidP="00A065CE">
            <w:pPr>
              <w:pStyle w:val="Tablea"/>
            </w:pPr>
            <w:r>
              <w:t xml:space="preserve">(b) </w:t>
            </w:r>
            <w:r w:rsidRPr="00D13CB4">
              <w:t>a no objection notification which relates only to interests in residential land</w:t>
            </w:r>
            <w:r>
              <w:t>;</w:t>
            </w:r>
          </w:p>
          <w:p w14:paraId="20DDAE6D" w14:textId="1159BC59" w:rsidR="00A065CE" w:rsidRDefault="00A065CE" w:rsidP="00A065CE">
            <w:pPr>
              <w:pStyle w:val="Tablea"/>
            </w:pPr>
            <w:r>
              <w:t xml:space="preserve">(c) </w:t>
            </w:r>
            <w:r w:rsidRPr="00D13CB4">
              <w:t xml:space="preserve">another notice imposing conditions which relates only to interests </w:t>
            </w:r>
            <w:r>
              <w:t>in residential land.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D3F291" w14:textId="77777777" w:rsidR="00D42848" w:rsidRDefault="00D42848" w:rsidP="00D42848">
            <w:pPr>
              <w:pStyle w:val="Tabletext"/>
            </w:pPr>
            <w:r>
              <w:t>Any of the following manners:</w:t>
            </w:r>
          </w:p>
          <w:p w14:paraId="460D65CA" w14:textId="05D8517B" w:rsidR="00D42848" w:rsidRDefault="00D42848" w:rsidP="00D42848">
            <w:pPr>
              <w:pStyle w:val="Tablea"/>
            </w:pPr>
            <w:r>
              <w:t>(</w:t>
            </w:r>
            <w:r w:rsidRPr="00255752">
              <w:t xml:space="preserve">a) </w:t>
            </w:r>
            <w:r>
              <w:t>if an email address is specified in a certificate</w:t>
            </w:r>
            <w:r w:rsidR="00FE75E8">
              <w:t>, notification</w:t>
            </w:r>
            <w:r>
              <w:t xml:space="preserve"> or notice mentioned in paragraphs (a), (b) or (c) for giving this type of notice</w:t>
            </w:r>
            <w:r w:rsidRPr="00255752">
              <w:sym w:font="Symbol" w:char="F0BE"/>
            </w:r>
            <w:r>
              <w:t>by electronic mail to that email address;</w:t>
            </w:r>
          </w:p>
          <w:p w14:paraId="73795D44" w14:textId="5939BA3A" w:rsidR="00A065CE" w:rsidRPr="00A065CE" w:rsidRDefault="00D42848" w:rsidP="00FE75E8">
            <w:pPr>
              <w:pStyle w:val="Tablea"/>
            </w:pPr>
            <w:r>
              <w:t xml:space="preserve">(b) </w:t>
            </w:r>
            <w:r w:rsidR="008560AA">
              <w:t>in all cases</w:t>
            </w:r>
            <w:r w:rsidRPr="00255752">
              <w:sym w:font="Symbol" w:char="F0BE"/>
            </w:r>
            <w:r>
              <w:t xml:space="preserve">by electronic mail to </w:t>
            </w:r>
            <w:r w:rsidR="00BE7427">
              <w:t>FIRBc</w:t>
            </w:r>
            <w:r w:rsidR="0046100F">
              <w:t>ompliance@ato.gov.au</w:t>
            </w:r>
            <w:r>
              <w:t>.</w:t>
            </w:r>
          </w:p>
        </w:tc>
      </w:tr>
      <w:tr w:rsidR="00A065CE" w14:paraId="4CD84EB3" w14:textId="77777777" w:rsidTr="00EC164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40DC08" w14:textId="7C5F1FEA" w:rsidR="00A065CE" w:rsidRDefault="00A065CE" w:rsidP="00A065CE">
            <w:pPr>
              <w:pStyle w:val="Tabletext"/>
            </w:pPr>
            <w:r>
              <w:t>11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45FC44" w14:textId="311AD081" w:rsidR="00A065CE" w:rsidRDefault="00A065CE" w:rsidP="00A065CE">
            <w:pPr>
              <w:pStyle w:val="Tabletext"/>
            </w:pPr>
            <w:r>
              <w:t>A notification made for the purposes of paragraph 101(1)(b) of the Act</w:t>
            </w:r>
            <w:r w:rsidR="00361E55">
              <w:t xml:space="preserve"> (other </w:t>
            </w:r>
            <w:r w:rsidR="00D90931">
              <w:t>than a notice which relates only to interests in residential land)</w:t>
            </w:r>
            <w:r>
              <w:t>.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1341F9" w14:textId="77777777" w:rsidR="00136E0D" w:rsidRDefault="00136E0D" w:rsidP="00136E0D">
            <w:pPr>
              <w:pStyle w:val="Tabletext"/>
            </w:pPr>
            <w:r>
              <w:t>Any of the following manners:</w:t>
            </w:r>
          </w:p>
          <w:p w14:paraId="14D694F2" w14:textId="77777777" w:rsidR="00136E0D" w:rsidRDefault="00136E0D" w:rsidP="00136E0D">
            <w:pPr>
              <w:pStyle w:val="Tablea"/>
            </w:pPr>
            <w:r>
              <w:t>(a) by electronic mail to the Treasury compliance email address;</w:t>
            </w:r>
          </w:p>
          <w:p w14:paraId="071CD732" w14:textId="1A853562" w:rsidR="00136E0D" w:rsidRDefault="00136E0D" w:rsidP="00136E0D">
            <w:pPr>
              <w:pStyle w:val="Tablea"/>
            </w:pPr>
            <w:r>
              <w:t xml:space="preserve">(b) by electronic mail to the Treasury </w:t>
            </w:r>
            <w:r w:rsidR="002674C3">
              <w:t>application email address;</w:t>
            </w:r>
          </w:p>
          <w:p w14:paraId="5C4DF9EB" w14:textId="4D5D7DAE" w:rsidR="002674C3" w:rsidRDefault="002674C3" w:rsidP="00136E0D">
            <w:pPr>
              <w:pStyle w:val="Tablea"/>
            </w:pPr>
            <w:r>
              <w:t xml:space="preserve">(c) </w:t>
            </w:r>
            <w:r w:rsidR="005F6D41">
              <w:t>if the Treasury Application Portal is online and accepts the kind of notification</w:t>
            </w:r>
            <w:r w:rsidR="005F6D41" w:rsidRPr="00255752">
              <w:sym w:font="Symbol" w:char="F0BE"/>
            </w:r>
            <w:r w:rsidR="005F6D41" w:rsidRPr="00255752">
              <w:t xml:space="preserve">through the </w:t>
            </w:r>
            <w:r w:rsidR="005F6D41">
              <w:t>Treasury Application Portal</w:t>
            </w:r>
            <w:r w:rsidR="005F6D41" w:rsidRPr="00255752">
              <w:t>;</w:t>
            </w:r>
          </w:p>
          <w:p w14:paraId="2220E699" w14:textId="399C8356" w:rsidR="005F6D41" w:rsidRDefault="005F6D41" w:rsidP="00136E0D">
            <w:pPr>
              <w:pStyle w:val="Tablea"/>
            </w:pPr>
            <w:r>
              <w:t xml:space="preserve">(d) </w:t>
            </w:r>
            <w:r w:rsidR="00BB1E0B">
              <w:t>by electronic mail to the Treasury enquiries email address;</w:t>
            </w:r>
          </w:p>
          <w:p w14:paraId="5C870898" w14:textId="15AC8B80" w:rsidR="00BB1E0B" w:rsidRDefault="00BB1E0B" w:rsidP="00136E0D">
            <w:pPr>
              <w:pStyle w:val="Tablea"/>
            </w:pPr>
            <w:r>
              <w:t xml:space="preserve">(e) by electronic mail to the </w:t>
            </w:r>
            <w:r w:rsidR="003D3E4D">
              <w:t>Treasury</w:t>
            </w:r>
            <w:r>
              <w:t xml:space="preserve"> notification email address;</w:t>
            </w:r>
          </w:p>
          <w:p w14:paraId="4AEBA2FB" w14:textId="3FFA5289" w:rsidR="00A065CE" w:rsidRDefault="003D3E4D" w:rsidP="003D3E4D">
            <w:pPr>
              <w:pStyle w:val="Tablea"/>
            </w:pPr>
            <w:r>
              <w:t>(f) by electronic mail to the Treasury audit email address.</w:t>
            </w:r>
          </w:p>
        </w:tc>
      </w:tr>
      <w:tr w:rsidR="00AC070F" w14:paraId="3F574931" w14:textId="77777777" w:rsidTr="00EC164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91B2BB" w14:textId="23AFAEEC" w:rsidR="00AC070F" w:rsidRDefault="00AC070F" w:rsidP="00A065CE">
            <w:pPr>
              <w:pStyle w:val="Tabletext"/>
            </w:pPr>
            <w:r>
              <w:lastRenderedPageBreak/>
              <w:t>12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82679B" w14:textId="7676E9DC" w:rsidR="00AC070F" w:rsidRDefault="00D90931" w:rsidP="00A065CE">
            <w:pPr>
              <w:pStyle w:val="Tabletext"/>
            </w:pPr>
            <w:r>
              <w:t xml:space="preserve">A notification made for the purposes of paragraph 101(1)(b) of the Act </w:t>
            </w:r>
            <w:r w:rsidRPr="00D13CB4">
              <w:t xml:space="preserve">which relates only to interests </w:t>
            </w:r>
            <w:r>
              <w:t>in residential land.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534530" w14:textId="77777777" w:rsidR="00D90931" w:rsidRDefault="00D90931" w:rsidP="00D90931">
            <w:pPr>
              <w:pStyle w:val="Tabletext"/>
            </w:pPr>
            <w:r>
              <w:t>Any of the following manners:</w:t>
            </w:r>
          </w:p>
          <w:p w14:paraId="4D0A9434" w14:textId="06A1F98F" w:rsidR="00D90931" w:rsidRDefault="00D90931" w:rsidP="00D90931">
            <w:pPr>
              <w:pStyle w:val="Tablea"/>
            </w:pPr>
            <w:r>
              <w:t>(</w:t>
            </w:r>
            <w:r w:rsidR="002D509E">
              <w:t>a</w:t>
            </w:r>
            <w:r>
              <w:t>) by completing the ‘Disclosure and Tip</w:t>
            </w:r>
            <w:r w:rsidR="00A2584C">
              <w:noBreakHyphen/>
            </w:r>
            <w:r>
              <w:t xml:space="preserve">off’ form </w:t>
            </w:r>
            <w:r w:rsidR="00DB2085">
              <w:t>available at www.ato.gov.au</w:t>
            </w:r>
            <w:r>
              <w:t>;</w:t>
            </w:r>
          </w:p>
          <w:p w14:paraId="4D63BFD6" w14:textId="611A80E3" w:rsidR="00AC070F" w:rsidRDefault="00D90931" w:rsidP="002347B8">
            <w:pPr>
              <w:pStyle w:val="Tablea"/>
            </w:pPr>
            <w:r>
              <w:t>(</w:t>
            </w:r>
            <w:r w:rsidR="002D509E">
              <w:t>b</w:t>
            </w:r>
            <w:r>
              <w:t xml:space="preserve">) by </w:t>
            </w:r>
            <w:r w:rsidRPr="002347B8">
              <w:t>electronic</w:t>
            </w:r>
            <w:r>
              <w:t xml:space="preserve"> mail to </w:t>
            </w:r>
            <w:r w:rsidR="00F878BF" w:rsidRPr="003C27AA">
              <w:t>FIRBcompliance@ato.gov.au</w:t>
            </w:r>
            <w:r w:rsidR="00F878BF">
              <w:t>;</w:t>
            </w:r>
          </w:p>
          <w:p w14:paraId="2DCD7D93" w14:textId="75D35BB7" w:rsidR="00F878BF" w:rsidRDefault="00F878BF" w:rsidP="002347B8">
            <w:pPr>
              <w:pStyle w:val="Tablea"/>
            </w:pPr>
            <w:r>
              <w:t xml:space="preserve">(c) by </w:t>
            </w:r>
            <w:r w:rsidRPr="002347B8">
              <w:t>electronic</w:t>
            </w:r>
            <w:r>
              <w:t xml:space="preserve"> mail to </w:t>
            </w:r>
            <w:r w:rsidR="00442ADF" w:rsidRPr="00442ADF">
              <w:t>ATO foreign investment email address</w:t>
            </w:r>
            <w:r w:rsidR="00442ADF">
              <w:t>.</w:t>
            </w:r>
          </w:p>
        </w:tc>
      </w:tr>
      <w:tr w:rsidR="00A065CE" w14:paraId="0591958A" w14:textId="77777777" w:rsidTr="00EC164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A5D2F1" w14:textId="673C57D4" w:rsidR="00A065CE" w:rsidRDefault="00A065CE" w:rsidP="00A065CE">
            <w:pPr>
              <w:pStyle w:val="Tabletext"/>
            </w:pPr>
            <w:r>
              <w:t>1</w:t>
            </w:r>
            <w:r w:rsidR="00AC070F">
              <w:t>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9A3028" w14:textId="269376E0" w:rsidR="00A065CE" w:rsidRDefault="00A065CE" w:rsidP="00A065CE">
            <w:pPr>
              <w:pStyle w:val="Tabletext"/>
            </w:pPr>
            <w:r>
              <w:t>Notices given for the purposes of subsections 98C(2), 98D(2) and 98E(3) of the Act.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3648BE" w14:textId="1F9F4F04" w:rsidR="00A065CE" w:rsidRDefault="00A065CE" w:rsidP="00A065CE">
            <w:pPr>
              <w:pStyle w:val="Tabletext"/>
            </w:pPr>
            <w:r>
              <w:t>By electronic mail to the Treasury notification email address.</w:t>
            </w:r>
          </w:p>
        </w:tc>
      </w:tr>
      <w:tr w:rsidR="00A065CE" w14:paraId="53685D32" w14:textId="77777777" w:rsidTr="00B429B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5131F8E" w14:textId="41B60BAA" w:rsidR="00A065CE" w:rsidRDefault="00A065CE" w:rsidP="00A065CE">
            <w:pPr>
              <w:pStyle w:val="Tabletext"/>
            </w:pPr>
            <w:r>
              <w:t>1</w:t>
            </w:r>
            <w:r w:rsidR="00AC070F">
              <w:t>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9AE500B" w14:textId="36200046" w:rsidR="00A065CE" w:rsidRDefault="00A065CE" w:rsidP="00A065CE">
            <w:pPr>
              <w:pStyle w:val="Tabletext"/>
            </w:pPr>
            <w:r>
              <w:t>Types of notices and applications not mentioned in any other item of this table.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1F10072" w14:textId="340160AD" w:rsidR="00A065CE" w:rsidRDefault="008F0A64" w:rsidP="00A065CE">
            <w:pPr>
              <w:pStyle w:val="Tabletext"/>
            </w:pPr>
            <w:r>
              <w:t>One</w:t>
            </w:r>
            <w:r w:rsidR="00A065CE">
              <w:t xml:space="preserve"> of the following manners:</w:t>
            </w:r>
          </w:p>
          <w:p w14:paraId="15AAC2E6" w14:textId="20B6D3CD" w:rsidR="00A065CE" w:rsidRPr="00255752" w:rsidRDefault="00A065CE" w:rsidP="00A065CE">
            <w:pPr>
              <w:pStyle w:val="Tablea"/>
            </w:pPr>
            <w:r>
              <w:t>(</w:t>
            </w:r>
            <w:r w:rsidRPr="00255752">
              <w:t xml:space="preserve">a) </w:t>
            </w:r>
            <w:r>
              <w:t xml:space="preserve">if the </w:t>
            </w:r>
            <w:r w:rsidR="003053F8">
              <w:t>Treasury Application Portal</w:t>
            </w:r>
            <w:r>
              <w:t xml:space="preserve"> is online and accepts the kind of notice</w:t>
            </w:r>
            <w:r w:rsidRPr="00255752">
              <w:sym w:font="Symbol" w:char="F0BE"/>
            </w:r>
            <w:r w:rsidRPr="00255752">
              <w:t xml:space="preserve">through the </w:t>
            </w:r>
            <w:r w:rsidR="003053F8">
              <w:t>Treasury Application Portal</w:t>
            </w:r>
            <w:r w:rsidRPr="00255752">
              <w:t>;</w:t>
            </w:r>
          </w:p>
          <w:p w14:paraId="3F419E72" w14:textId="0633B786" w:rsidR="00A065CE" w:rsidRDefault="00A065CE" w:rsidP="00A065CE">
            <w:pPr>
              <w:pStyle w:val="Tablea"/>
            </w:pPr>
            <w:r w:rsidRPr="00255752">
              <w:t xml:space="preserve">(b) if the </w:t>
            </w:r>
            <w:r w:rsidR="003053F8">
              <w:t>Treasury Application Portal</w:t>
            </w:r>
            <w:r w:rsidRPr="00255752">
              <w:t xml:space="preserve"> is offline</w:t>
            </w:r>
            <w:r>
              <w:t xml:space="preserve"> or cannot accept the kind of notice</w:t>
            </w:r>
            <w:r w:rsidRPr="00255752">
              <w:sym w:font="Symbol" w:char="F0BE"/>
            </w:r>
            <w:r w:rsidRPr="00255752">
              <w:t xml:space="preserve">by electronic mail to </w:t>
            </w:r>
            <w:r>
              <w:t xml:space="preserve">the Treasury application email address. </w:t>
            </w:r>
          </w:p>
        </w:tc>
      </w:tr>
    </w:tbl>
    <w:p w14:paraId="76A75DE0" w14:textId="77777777" w:rsidR="00B429B3" w:rsidRDefault="00B429B3" w:rsidP="00B429B3">
      <w:pPr>
        <w:pStyle w:val="Tabletext"/>
      </w:pPr>
    </w:p>
    <w:p w14:paraId="34555353" w14:textId="77777777" w:rsidR="003E1CC6" w:rsidRDefault="003E1CC6" w:rsidP="003E2E2C">
      <w:pPr>
        <w:pStyle w:val="ActHead1"/>
        <w:pageBreakBefore/>
        <w:rPr>
          <w:rStyle w:val="CharChapNo"/>
        </w:rPr>
        <w:sectPr w:rsidR="003E1CC6" w:rsidSect="00243018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14:paraId="17707F7D" w14:textId="18C6F2F4" w:rsidR="007A2FC4" w:rsidRPr="003E2E2C" w:rsidRDefault="003E2E2C" w:rsidP="003E2E2C">
      <w:pPr>
        <w:pStyle w:val="ActHead1"/>
        <w:pageBreakBefore/>
        <w:rPr>
          <w:lang w:eastAsia="en-US"/>
        </w:rPr>
      </w:pPr>
      <w:bookmarkStart w:id="37" w:name="_Toc153866132"/>
      <w:r w:rsidRPr="003E2E2C">
        <w:rPr>
          <w:rStyle w:val="CharChapNo"/>
        </w:rPr>
        <w:lastRenderedPageBreak/>
        <w:t>Schedule 1</w:t>
      </w:r>
      <w:r>
        <w:t>—</w:t>
      </w:r>
      <w:r w:rsidRPr="003E2E2C">
        <w:rPr>
          <w:rStyle w:val="CharChapText"/>
        </w:rPr>
        <w:t>Repeals</w:t>
      </w:r>
      <w:bookmarkEnd w:id="37"/>
    </w:p>
    <w:p w14:paraId="73F88EDE" w14:textId="77777777" w:rsidR="00BD7DB9" w:rsidRPr="00D6537E" w:rsidRDefault="00BD7DB9" w:rsidP="00BD7DB9">
      <w:pPr>
        <w:pStyle w:val="ActHead9"/>
      </w:pPr>
      <w:bookmarkStart w:id="38" w:name="_Toc153866133"/>
      <w:r>
        <w:t>Foreign Acquisitions and Takeovers (Manner of Notification and Application) Approval 2020</w:t>
      </w:r>
      <w:bookmarkEnd w:id="38"/>
    </w:p>
    <w:p w14:paraId="218DBDC8" w14:textId="3710B731" w:rsidR="00BD7DB9" w:rsidRDefault="00BD7DB9" w:rsidP="00BD7DB9">
      <w:pPr>
        <w:pStyle w:val="ItemHead"/>
      </w:pPr>
      <w:r w:rsidRPr="00B1728A">
        <w:t xml:space="preserve">1  </w:t>
      </w:r>
      <w:r>
        <w:t>The whole of the instrument</w:t>
      </w:r>
    </w:p>
    <w:p w14:paraId="55B6611F" w14:textId="6A7E600E" w:rsidR="00BD7DB9" w:rsidRDefault="00BD7DB9" w:rsidP="00BD7DB9">
      <w:pPr>
        <w:pStyle w:val="Item"/>
      </w:pPr>
      <w:r>
        <w:t xml:space="preserve">Repeal the </w:t>
      </w:r>
      <w:r w:rsidR="0097069F">
        <w:t>instrument.</w:t>
      </w:r>
    </w:p>
    <w:sectPr w:rsidR="00BD7DB9" w:rsidSect="003E1CC6">
      <w:headerReference w:type="default" r:id="rId29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3999" w14:textId="77777777" w:rsidR="00393659" w:rsidRDefault="00393659" w:rsidP="00FA06CA">
      <w:pPr>
        <w:spacing w:line="240" w:lineRule="auto"/>
      </w:pPr>
      <w:r>
        <w:separator/>
      </w:r>
    </w:p>
  </w:endnote>
  <w:endnote w:type="continuationSeparator" w:id="0">
    <w:p w14:paraId="42A2BC18" w14:textId="77777777" w:rsidR="00393659" w:rsidRDefault="00393659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0FD" w14:textId="03D31811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3CECE49C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CF2F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1437" w14:textId="6CA1091A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5FF9AA21" w14:textId="77777777" w:rsidTr="009D4D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E4572D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F120FB" w14:textId="114C0288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047CD">
            <w:rPr>
              <w:i/>
              <w:noProof/>
              <w:sz w:val="18"/>
            </w:rPr>
            <w:t>Foreign Acquisitions and Takeovers (Manner of Notification and Application) Approvals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8B0989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DCE162C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0C2E" w14:textId="01794E70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424187EE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74147B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2428F5F" w14:textId="4A6897AA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9690D">
            <w:rPr>
              <w:i/>
              <w:noProof/>
              <w:sz w:val="18"/>
            </w:rPr>
            <w:t>Foreign Acquisitions and Takeovers (Manner of Notification and Application) Approvals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82FD70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0C6C6382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03E3" w14:textId="78D70D55" w:rsidR="009706F4" w:rsidRPr="00E33C1C" w:rsidRDefault="009706F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BBBF571" w14:textId="77777777" w:rsidTr="009D4D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981E71" w14:textId="77777777" w:rsidR="009706F4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D49C03" w14:textId="6BBAF084" w:rsidR="009706F4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9690D">
            <w:rPr>
              <w:i/>
              <w:noProof/>
              <w:sz w:val="18"/>
            </w:rPr>
            <w:t>Foreign Acquisitions and Takeovers (Manner of Notification and Application) Approvals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71D317" w14:textId="77777777" w:rsidR="009706F4" w:rsidRDefault="009706F4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3FF71AA" w14:textId="77777777" w:rsidR="009706F4" w:rsidRPr="00ED79B6" w:rsidRDefault="009706F4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A97D" w14:textId="7FD1661E" w:rsidR="009706F4" w:rsidRPr="00E33C1C" w:rsidRDefault="009706F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9" w:name="_Hlk26286453"/>
    <w:bookmarkStart w:id="30" w:name="_Hlk26286454"/>
    <w:bookmarkStart w:id="31" w:name="_Hlk26286457"/>
    <w:bookmarkStart w:id="32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1FB1BA5B" w14:textId="77777777" w:rsidTr="009D4DA8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542EECC3" w14:textId="77777777" w:rsidR="009706F4" w:rsidRDefault="009706F4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273DD234" w14:textId="3A43A57C" w:rsidR="009706F4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9690D">
            <w:rPr>
              <w:i/>
              <w:noProof/>
              <w:sz w:val="18"/>
            </w:rPr>
            <w:t>Foreign Acquisitions and Takeovers (Manner of Notification and Application) Approvals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09B5D4CF" w14:textId="77777777" w:rsidR="009706F4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9"/>
    <w:bookmarkEnd w:id="30"/>
    <w:bookmarkEnd w:id="31"/>
    <w:bookmarkEnd w:id="32"/>
  </w:tbl>
  <w:p w14:paraId="08665CB3" w14:textId="77777777" w:rsidR="009706F4" w:rsidRPr="00ED79B6" w:rsidRDefault="009706F4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40EA" w14:textId="77777777" w:rsidR="009706F4" w:rsidRPr="00E33C1C" w:rsidRDefault="009706F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5" w:name="_Hlk26286455"/>
    <w:bookmarkStart w:id="36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549837C1" w14:textId="77777777" w:rsidTr="009D4DA8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648B1856" w14:textId="77777777" w:rsidR="009706F4" w:rsidRDefault="009706F4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47319872" w14:textId="4318E481" w:rsidR="009706F4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47CD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54B23B42" w14:textId="77777777" w:rsidR="009706F4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5"/>
    <w:bookmarkEnd w:id="36"/>
  </w:tbl>
  <w:p w14:paraId="7DF2215C" w14:textId="77777777" w:rsidR="009706F4" w:rsidRPr="00ED79B6" w:rsidRDefault="009706F4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B903" w14:textId="77777777" w:rsidR="00393659" w:rsidRDefault="00393659" w:rsidP="00FA06CA">
      <w:pPr>
        <w:spacing w:line="240" w:lineRule="auto"/>
      </w:pPr>
      <w:r>
        <w:separator/>
      </w:r>
    </w:p>
  </w:footnote>
  <w:footnote w:type="continuationSeparator" w:id="0">
    <w:p w14:paraId="0DB2AC13" w14:textId="77777777" w:rsidR="00393659" w:rsidRDefault="00393659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0311" w14:textId="3F56F566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5BFD" w14:textId="5AF9DBD2" w:rsidR="003E1CC6" w:rsidRPr="007A1328" w:rsidRDefault="003E1CC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B9690D">
      <w:rPr>
        <w:noProof/>
        <w:sz w:val="20"/>
      </w:rPr>
      <w:t>Repeals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B9690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CA8EA20" w14:textId="590D468C" w:rsidR="003E1CC6" w:rsidRPr="007A1328" w:rsidRDefault="003E1CC6" w:rsidP="00715914">
    <w:pPr>
      <w:jc w:val="right"/>
      <w:rPr>
        <w:sz w:val="20"/>
      </w:rPr>
    </w:pPr>
  </w:p>
  <w:p w14:paraId="772AC488" w14:textId="3AF43E51" w:rsidR="003E1CC6" w:rsidRPr="007A1328" w:rsidRDefault="003E1CC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B7941D4" w14:textId="6DF2ECD2" w:rsidR="003E1CC6" w:rsidRPr="007A1328" w:rsidRDefault="003E1CC6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685C" w14:textId="71F391C3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918A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DE45" w14:textId="2EE36A32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9013" w14:textId="5E3D4B3B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B979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DC2C" w14:textId="546377F2" w:rsidR="009706F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0815608" w14:textId="01331E24" w:rsidR="009706F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9690D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9690D">
      <w:rPr>
        <w:noProof/>
        <w:sz w:val="20"/>
      </w:rPr>
      <w:t>Approved manner for giving notices or making applications under the Act</w:t>
    </w:r>
    <w:r>
      <w:rPr>
        <w:sz w:val="20"/>
      </w:rPr>
      <w:fldChar w:fldCharType="end"/>
    </w:r>
  </w:p>
  <w:p w14:paraId="6CCE46C6" w14:textId="7A20D5EB" w:rsidR="009706F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07DF9EA" w14:textId="77777777" w:rsidR="009706F4" w:rsidRPr="007A1328" w:rsidRDefault="009706F4" w:rsidP="00715914">
    <w:pPr>
      <w:rPr>
        <w:b/>
        <w:sz w:val="24"/>
      </w:rPr>
    </w:pPr>
  </w:p>
  <w:p w14:paraId="3BE953B6" w14:textId="30D8E591" w:rsidR="009706F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047C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9690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5" w:name="_Hlk26286447"/>
  <w:bookmarkStart w:id="26" w:name="_Hlk26286448"/>
  <w:bookmarkStart w:id="27" w:name="_Hlk26286451"/>
  <w:bookmarkStart w:id="28" w:name="_Hlk26286452"/>
  <w:p w14:paraId="232C00F8" w14:textId="6A045C98" w:rsidR="009706F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A2DE1FD" w14:textId="72CBE3EF" w:rsidR="009706F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B9690D">
      <w:rPr>
        <w:sz w:val="20"/>
      </w:rPr>
      <w:fldChar w:fldCharType="separate"/>
    </w:r>
    <w:r w:rsidR="00B9690D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B9690D">
      <w:rPr>
        <w:b/>
        <w:sz w:val="20"/>
      </w:rPr>
      <w:fldChar w:fldCharType="separate"/>
    </w:r>
    <w:r w:rsidR="00B9690D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7D439F94" w14:textId="4BE900B0" w:rsidR="009706F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64DF23E" w14:textId="77777777" w:rsidR="009706F4" w:rsidRPr="007A1328" w:rsidRDefault="009706F4" w:rsidP="00715914">
    <w:pPr>
      <w:jc w:val="right"/>
      <w:rPr>
        <w:b/>
        <w:sz w:val="24"/>
      </w:rPr>
    </w:pPr>
  </w:p>
  <w:p w14:paraId="17530992" w14:textId="68FCA288" w:rsidR="009706F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047C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9690D">
      <w:rPr>
        <w:noProof/>
        <w:sz w:val="24"/>
      </w:rPr>
      <w:t>1</w:t>
    </w:r>
    <w:r w:rsidRPr="007A1328">
      <w:rPr>
        <w:sz w:val="24"/>
      </w:rPr>
      <w:fldChar w:fldCharType="end"/>
    </w:r>
    <w:bookmarkEnd w:id="25"/>
    <w:bookmarkEnd w:id="26"/>
    <w:bookmarkEnd w:id="27"/>
    <w:bookmarkEnd w:id="28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7A3D" w14:textId="77777777" w:rsidR="009706F4" w:rsidRPr="007A1328" w:rsidRDefault="009706F4" w:rsidP="00715914">
    <w:bookmarkStart w:id="33" w:name="_Hlk26286449"/>
    <w:bookmarkStart w:id="34" w:name="_Hlk26286450"/>
    <w:bookmarkEnd w:id="33"/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E719C"/>
    <w:multiLevelType w:val="hybridMultilevel"/>
    <w:tmpl w:val="E404F77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16511"/>
    <w:multiLevelType w:val="hybridMultilevel"/>
    <w:tmpl w:val="D870F8A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42166"/>
    <w:multiLevelType w:val="hybridMultilevel"/>
    <w:tmpl w:val="AE3A88F8"/>
    <w:lvl w:ilvl="0" w:tplc="46023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C7DDB"/>
    <w:multiLevelType w:val="hybridMultilevel"/>
    <w:tmpl w:val="5DDAD23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72C68"/>
    <w:multiLevelType w:val="hybridMultilevel"/>
    <w:tmpl w:val="7DB64AB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031D5"/>
    <w:multiLevelType w:val="hybridMultilevel"/>
    <w:tmpl w:val="CBCC0632"/>
    <w:lvl w:ilvl="0" w:tplc="C8D2C3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1760EE6"/>
    <w:multiLevelType w:val="hybridMultilevel"/>
    <w:tmpl w:val="B64064B2"/>
    <w:lvl w:ilvl="0" w:tplc="34982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705FB"/>
    <w:multiLevelType w:val="hybridMultilevel"/>
    <w:tmpl w:val="06EA804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51A68"/>
    <w:multiLevelType w:val="hybridMultilevel"/>
    <w:tmpl w:val="6A4C4EA0"/>
    <w:lvl w:ilvl="0" w:tplc="BCACBA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46A40"/>
    <w:multiLevelType w:val="hybridMultilevel"/>
    <w:tmpl w:val="BDFC1D7E"/>
    <w:lvl w:ilvl="0" w:tplc="FE7800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26105"/>
    <w:multiLevelType w:val="hybridMultilevel"/>
    <w:tmpl w:val="ED10151E"/>
    <w:lvl w:ilvl="0" w:tplc="F1525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43D7B"/>
    <w:multiLevelType w:val="hybridMultilevel"/>
    <w:tmpl w:val="531CEC1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3238E"/>
    <w:multiLevelType w:val="hybridMultilevel"/>
    <w:tmpl w:val="B5FC0758"/>
    <w:lvl w:ilvl="0" w:tplc="03063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A1482"/>
    <w:multiLevelType w:val="hybridMultilevel"/>
    <w:tmpl w:val="45D67586"/>
    <w:lvl w:ilvl="0" w:tplc="23888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F606A"/>
    <w:multiLevelType w:val="hybridMultilevel"/>
    <w:tmpl w:val="B64AD6A2"/>
    <w:lvl w:ilvl="0" w:tplc="01DC99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95FE1"/>
    <w:multiLevelType w:val="hybridMultilevel"/>
    <w:tmpl w:val="E4A8A72A"/>
    <w:lvl w:ilvl="0" w:tplc="859C1E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66757"/>
    <w:multiLevelType w:val="hybridMultilevel"/>
    <w:tmpl w:val="F118CE8E"/>
    <w:lvl w:ilvl="0" w:tplc="DD64E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922453">
    <w:abstractNumId w:val="9"/>
  </w:num>
  <w:num w:numId="2" w16cid:durableId="1829832228">
    <w:abstractNumId w:val="7"/>
  </w:num>
  <w:num w:numId="3" w16cid:durableId="1339698981">
    <w:abstractNumId w:val="6"/>
  </w:num>
  <w:num w:numId="4" w16cid:durableId="877861031">
    <w:abstractNumId w:val="5"/>
  </w:num>
  <w:num w:numId="5" w16cid:durableId="1279684074">
    <w:abstractNumId w:val="4"/>
  </w:num>
  <w:num w:numId="6" w16cid:durableId="1654408054">
    <w:abstractNumId w:val="8"/>
  </w:num>
  <w:num w:numId="7" w16cid:durableId="860633143">
    <w:abstractNumId w:val="3"/>
  </w:num>
  <w:num w:numId="8" w16cid:durableId="1224021978">
    <w:abstractNumId w:val="2"/>
  </w:num>
  <w:num w:numId="9" w16cid:durableId="483741584">
    <w:abstractNumId w:val="1"/>
  </w:num>
  <w:num w:numId="10" w16cid:durableId="1096903813">
    <w:abstractNumId w:val="0"/>
  </w:num>
  <w:num w:numId="11" w16cid:durableId="971834204">
    <w:abstractNumId w:val="17"/>
  </w:num>
  <w:num w:numId="12" w16cid:durableId="939265460">
    <w:abstractNumId w:val="10"/>
  </w:num>
  <w:num w:numId="13" w16cid:durableId="865407751">
    <w:abstractNumId w:val="14"/>
  </w:num>
  <w:num w:numId="14" w16cid:durableId="440102596">
    <w:abstractNumId w:val="24"/>
  </w:num>
  <w:num w:numId="15" w16cid:durableId="1012684676">
    <w:abstractNumId w:val="11"/>
  </w:num>
  <w:num w:numId="16" w16cid:durableId="1650866850">
    <w:abstractNumId w:val="20"/>
  </w:num>
  <w:num w:numId="17" w16cid:durableId="1574051294">
    <w:abstractNumId w:val="27"/>
  </w:num>
  <w:num w:numId="18" w16cid:durableId="2070610814">
    <w:abstractNumId w:val="13"/>
  </w:num>
  <w:num w:numId="19" w16cid:durableId="2044480845">
    <w:abstractNumId w:val="12"/>
  </w:num>
  <w:num w:numId="20" w16cid:durableId="1071349440">
    <w:abstractNumId w:val="28"/>
  </w:num>
  <w:num w:numId="21" w16cid:durableId="948581042">
    <w:abstractNumId w:val="19"/>
  </w:num>
  <w:num w:numId="22" w16cid:durableId="1799642906">
    <w:abstractNumId w:val="18"/>
  </w:num>
  <w:num w:numId="23" w16cid:durableId="258222941">
    <w:abstractNumId w:val="22"/>
  </w:num>
  <w:num w:numId="24" w16cid:durableId="919608167">
    <w:abstractNumId w:val="26"/>
  </w:num>
  <w:num w:numId="25" w16cid:durableId="923800582">
    <w:abstractNumId w:val="23"/>
  </w:num>
  <w:num w:numId="26" w16cid:durableId="1096557941">
    <w:abstractNumId w:val="15"/>
  </w:num>
  <w:num w:numId="27" w16cid:durableId="1268545237">
    <w:abstractNumId w:val="21"/>
  </w:num>
  <w:num w:numId="28" w16cid:durableId="1246263927">
    <w:abstractNumId w:val="16"/>
  </w:num>
  <w:num w:numId="29" w16cid:durableId="16228096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B4"/>
    <w:rsid w:val="00001A9E"/>
    <w:rsid w:val="000040F0"/>
    <w:rsid w:val="000055AD"/>
    <w:rsid w:val="00012AC2"/>
    <w:rsid w:val="0001419E"/>
    <w:rsid w:val="000148F2"/>
    <w:rsid w:val="00020C6D"/>
    <w:rsid w:val="00026C91"/>
    <w:rsid w:val="00047A1F"/>
    <w:rsid w:val="00050FC1"/>
    <w:rsid w:val="00066267"/>
    <w:rsid w:val="000751E1"/>
    <w:rsid w:val="00080BE0"/>
    <w:rsid w:val="00096233"/>
    <w:rsid w:val="000A4099"/>
    <w:rsid w:val="000B0B66"/>
    <w:rsid w:val="000B300C"/>
    <w:rsid w:val="000B5E80"/>
    <w:rsid w:val="000C1191"/>
    <w:rsid w:val="000C630F"/>
    <w:rsid w:val="000D18F1"/>
    <w:rsid w:val="000F51DD"/>
    <w:rsid w:val="000F7EAE"/>
    <w:rsid w:val="001031D0"/>
    <w:rsid w:val="00103D26"/>
    <w:rsid w:val="00136E0D"/>
    <w:rsid w:val="001621CB"/>
    <w:rsid w:val="00170733"/>
    <w:rsid w:val="00195B9F"/>
    <w:rsid w:val="001B02F0"/>
    <w:rsid w:val="001B2DE2"/>
    <w:rsid w:val="001B3E5F"/>
    <w:rsid w:val="001B5F98"/>
    <w:rsid w:val="001C7D70"/>
    <w:rsid w:val="002014EF"/>
    <w:rsid w:val="002047CD"/>
    <w:rsid w:val="0022168A"/>
    <w:rsid w:val="00233BC5"/>
    <w:rsid w:val="002347B8"/>
    <w:rsid w:val="00254E57"/>
    <w:rsid w:val="00255752"/>
    <w:rsid w:val="0026163C"/>
    <w:rsid w:val="00267263"/>
    <w:rsid w:val="002674C3"/>
    <w:rsid w:val="002700D7"/>
    <w:rsid w:val="00284C0A"/>
    <w:rsid w:val="00290875"/>
    <w:rsid w:val="00294808"/>
    <w:rsid w:val="002A49A5"/>
    <w:rsid w:val="002B0A33"/>
    <w:rsid w:val="002B6A75"/>
    <w:rsid w:val="002C13FE"/>
    <w:rsid w:val="002D509E"/>
    <w:rsid w:val="002D62A1"/>
    <w:rsid w:val="002E47AB"/>
    <w:rsid w:val="002F422F"/>
    <w:rsid w:val="002F65D1"/>
    <w:rsid w:val="003053F8"/>
    <w:rsid w:val="0032019B"/>
    <w:rsid w:val="0033154B"/>
    <w:rsid w:val="003413DB"/>
    <w:rsid w:val="00353F23"/>
    <w:rsid w:val="00361E55"/>
    <w:rsid w:val="00366EE1"/>
    <w:rsid w:val="00382855"/>
    <w:rsid w:val="00387169"/>
    <w:rsid w:val="00393659"/>
    <w:rsid w:val="003A20B7"/>
    <w:rsid w:val="003A3ACE"/>
    <w:rsid w:val="003A3B99"/>
    <w:rsid w:val="003C27AA"/>
    <w:rsid w:val="003C4CEE"/>
    <w:rsid w:val="003D3E4D"/>
    <w:rsid w:val="003D7740"/>
    <w:rsid w:val="003D79C2"/>
    <w:rsid w:val="003E1CC6"/>
    <w:rsid w:val="003E2E2C"/>
    <w:rsid w:val="003E5508"/>
    <w:rsid w:val="003E7510"/>
    <w:rsid w:val="00401E76"/>
    <w:rsid w:val="00403C4D"/>
    <w:rsid w:val="0041105E"/>
    <w:rsid w:val="0041754E"/>
    <w:rsid w:val="00430974"/>
    <w:rsid w:val="00442ADF"/>
    <w:rsid w:val="004436D8"/>
    <w:rsid w:val="004453F5"/>
    <w:rsid w:val="0046100F"/>
    <w:rsid w:val="00467B2F"/>
    <w:rsid w:val="00470138"/>
    <w:rsid w:val="00471122"/>
    <w:rsid w:val="00477A9D"/>
    <w:rsid w:val="00480B39"/>
    <w:rsid w:val="004A278E"/>
    <w:rsid w:val="004C73A3"/>
    <w:rsid w:val="004C7ED7"/>
    <w:rsid w:val="004D2A3B"/>
    <w:rsid w:val="004D6CB2"/>
    <w:rsid w:val="004E4430"/>
    <w:rsid w:val="004E64AF"/>
    <w:rsid w:val="004F3533"/>
    <w:rsid w:val="00511221"/>
    <w:rsid w:val="00514BE0"/>
    <w:rsid w:val="00526D65"/>
    <w:rsid w:val="00527F2B"/>
    <w:rsid w:val="0053091B"/>
    <w:rsid w:val="00544699"/>
    <w:rsid w:val="0055203B"/>
    <w:rsid w:val="00553014"/>
    <w:rsid w:val="005637C9"/>
    <w:rsid w:val="00564368"/>
    <w:rsid w:val="005660D4"/>
    <w:rsid w:val="0056705A"/>
    <w:rsid w:val="00575BE9"/>
    <w:rsid w:val="00584487"/>
    <w:rsid w:val="005921DA"/>
    <w:rsid w:val="005A6988"/>
    <w:rsid w:val="005A6993"/>
    <w:rsid w:val="005B77E4"/>
    <w:rsid w:val="005D03FB"/>
    <w:rsid w:val="005D3C60"/>
    <w:rsid w:val="005D3F55"/>
    <w:rsid w:val="005E1EE5"/>
    <w:rsid w:val="005E623E"/>
    <w:rsid w:val="005F214B"/>
    <w:rsid w:val="005F22DB"/>
    <w:rsid w:val="005F6D41"/>
    <w:rsid w:val="0060120C"/>
    <w:rsid w:val="00602269"/>
    <w:rsid w:val="006073DB"/>
    <w:rsid w:val="0061732C"/>
    <w:rsid w:val="00622874"/>
    <w:rsid w:val="00624B6E"/>
    <w:rsid w:val="00630444"/>
    <w:rsid w:val="00636078"/>
    <w:rsid w:val="00656CBC"/>
    <w:rsid w:val="00656D1A"/>
    <w:rsid w:val="00676343"/>
    <w:rsid w:val="00682A0A"/>
    <w:rsid w:val="006879A2"/>
    <w:rsid w:val="006945C5"/>
    <w:rsid w:val="006B571A"/>
    <w:rsid w:val="006C0995"/>
    <w:rsid w:val="006C69D6"/>
    <w:rsid w:val="006D40EA"/>
    <w:rsid w:val="006E608F"/>
    <w:rsid w:val="006E71F9"/>
    <w:rsid w:val="0070331D"/>
    <w:rsid w:val="007064DB"/>
    <w:rsid w:val="00717D42"/>
    <w:rsid w:val="007343FF"/>
    <w:rsid w:val="00736560"/>
    <w:rsid w:val="007436D8"/>
    <w:rsid w:val="0075088E"/>
    <w:rsid w:val="00752CC9"/>
    <w:rsid w:val="007679B4"/>
    <w:rsid w:val="00767A01"/>
    <w:rsid w:val="00770AE4"/>
    <w:rsid w:val="007805E4"/>
    <w:rsid w:val="007930EB"/>
    <w:rsid w:val="007A2FC4"/>
    <w:rsid w:val="007D078F"/>
    <w:rsid w:val="007D3C7D"/>
    <w:rsid w:val="007D5794"/>
    <w:rsid w:val="007E4BD2"/>
    <w:rsid w:val="007E4E2C"/>
    <w:rsid w:val="007E54EE"/>
    <w:rsid w:val="007E6D8A"/>
    <w:rsid w:val="008005F1"/>
    <w:rsid w:val="00801EAF"/>
    <w:rsid w:val="00802EDD"/>
    <w:rsid w:val="008065EA"/>
    <w:rsid w:val="008339BD"/>
    <w:rsid w:val="0084014E"/>
    <w:rsid w:val="0085046C"/>
    <w:rsid w:val="00850C12"/>
    <w:rsid w:val="008560AA"/>
    <w:rsid w:val="00864D70"/>
    <w:rsid w:val="008755C4"/>
    <w:rsid w:val="00897D8B"/>
    <w:rsid w:val="008A094F"/>
    <w:rsid w:val="008A108F"/>
    <w:rsid w:val="008A4041"/>
    <w:rsid w:val="008A54DA"/>
    <w:rsid w:val="008A6315"/>
    <w:rsid w:val="008C270D"/>
    <w:rsid w:val="008E68B1"/>
    <w:rsid w:val="008F0A64"/>
    <w:rsid w:val="008F6A0E"/>
    <w:rsid w:val="00910C78"/>
    <w:rsid w:val="00927AB9"/>
    <w:rsid w:val="00942000"/>
    <w:rsid w:val="00961173"/>
    <w:rsid w:val="0097069F"/>
    <w:rsid w:val="009706F4"/>
    <w:rsid w:val="009A1FDA"/>
    <w:rsid w:val="009A5C9D"/>
    <w:rsid w:val="009C0A46"/>
    <w:rsid w:val="009C2490"/>
    <w:rsid w:val="009D0080"/>
    <w:rsid w:val="009D4DA8"/>
    <w:rsid w:val="009E1AD1"/>
    <w:rsid w:val="009E5F9B"/>
    <w:rsid w:val="009E6F30"/>
    <w:rsid w:val="00A03CE8"/>
    <w:rsid w:val="00A065CE"/>
    <w:rsid w:val="00A109A2"/>
    <w:rsid w:val="00A24522"/>
    <w:rsid w:val="00A2584C"/>
    <w:rsid w:val="00A42973"/>
    <w:rsid w:val="00A66A37"/>
    <w:rsid w:val="00A71085"/>
    <w:rsid w:val="00A74A3F"/>
    <w:rsid w:val="00A8644E"/>
    <w:rsid w:val="00A90635"/>
    <w:rsid w:val="00AA3891"/>
    <w:rsid w:val="00AB5D97"/>
    <w:rsid w:val="00AC070F"/>
    <w:rsid w:val="00AC2450"/>
    <w:rsid w:val="00AC2CAD"/>
    <w:rsid w:val="00AC74D7"/>
    <w:rsid w:val="00AD196B"/>
    <w:rsid w:val="00AD459D"/>
    <w:rsid w:val="00AD5E85"/>
    <w:rsid w:val="00AE107F"/>
    <w:rsid w:val="00AE1E22"/>
    <w:rsid w:val="00AF29B8"/>
    <w:rsid w:val="00AF7716"/>
    <w:rsid w:val="00B03206"/>
    <w:rsid w:val="00B10793"/>
    <w:rsid w:val="00B429B3"/>
    <w:rsid w:val="00B570F3"/>
    <w:rsid w:val="00B9690D"/>
    <w:rsid w:val="00BB1E0B"/>
    <w:rsid w:val="00BB269E"/>
    <w:rsid w:val="00BD44D4"/>
    <w:rsid w:val="00BD7DB9"/>
    <w:rsid w:val="00BE5B87"/>
    <w:rsid w:val="00BE7427"/>
    <w:rsid w:val="00BF000A"/>
    <w:rsid w:val="00C00A2A"/>
    <w:rsid w:val="00C02203"/>
    <w:rsid w:val="00C148F1"/>
    <w:rsid w:val="00C14E94"/>
    <w:rsid w:val="00C16ECC"/>
    <w:rsid w:val="00C258FF"/>
    <w:rsid w:val="00C41D65"/>
    <w:rsid w:val="00C51E46"/>
    <w:rsid w:val="00C53081"/>
    <w:rsid w:val="00C6386E"/>
    <w:rsid w:val="00C64029"/>
    <w:rsid w:val="00C6415D"/>
    <w:rsid w:val="00C9209D"/>
    <w:rsid w:val="00C92989"/>
    <w:rsid w:val="00C92FA8"/>
    <w:rsid w:val="00C9500F"/>
    <w:rsid w:val="00C952A2"/>
    <w:rsid w:val="00C9739D"/>
    <w:rsid w:val="00CC0810"/>
    <w:rsid w:val="00CC56D9"/>
    <w:rsid w:val="00CC785E"/>
    <w:rsid w:val="00CD089D"/>
    <w:rsid w:val="00CE178D"/>
    <w:rsid w:val="00CE5469"/>
    <w:rsid w:val="00CF7FFA"/>
    <w:rsid w:val="00D0221E"/>
    <w:rsid w:val="00D06144"/>
    <w:rsid w:val="00D13CB4"/>
    <w:rsid w:val="00D14470"/>
    <w:rsid w:val="00D42848"/>
    <w:rsid w:val="00D46E25"/>
    <w:rsid w:val="00D632B5"/>
    <w:rsid w:val="00D63B45"/>
    <w:rsid w:val="00D86233"/>
    <w:rsid w:val="00D872CB"/>
    <w:rsid w:val="00D90931"/>
    <w:rsid w:val="00D93AAE"/>
    <w:rsid w:val="00D95E81"/>
    <w:rsid w:val="00DA1EC0"/>
    <w:rsid w:val="00DA7236"/>
    <w:rsid w:val="00DB2085"/>
    <w:rsid w:val="00DB5201"/>
    <w:rsid w:val="00DC25C1"/>
    <w:rsid w:val="00DD1917"/>
    <w:rsid w:val="00DF66B3"/>
    <w:rsid w:val="00E02C87"/>
    <w:rsid w:val="00E04A87"/>
    <w:rsid w:val="00E06D62"/>
    <w:rsid w:val="00E16B00"/>
    <w:rsid w:val="00E20E91"/>
    <w:rsid w:val="00E40412"/>
    <w:rsid w:val="00E623DE"/>
    <w:rsid w:val="00E751D3"/>
    <w:rsid w:val="00E7637C"/>
    <w:rsid w:val="00E904FE"/>
    <w:rsid w:val="00EA63C2"/>
    <w:rsid w:val="00EB089B"/>
    <w:rsid w:val="00EB4854"/>
    <w:rsid w:val="00EB7262"/>
    <w:rsid w:val="00EC1641"/>
    <w:rsid w:val="00EC5290"/>
    <w:rsid w:val="00ED40BD"/>
    <w:rsid w:val="00ED4DC0"/>
    <w:rsid w:val="00EF1E5A"/>
    <w:rsid w:val="00EF711C"/>
    <w:rsid w:val="00F06453"/>
    <w:rsid w:val="00F4002E"/>
    <w:rsid w:val="00F514CE"/>
    <w:rsid w:val="00F52367"/>
    <w:rsid w:val="00F533A1"/>
    <w:rsid w:val="00F60AE7"/>
    <w:rsid w:val="00F76013"/>
    <w:rsid w:val="00F83766"/>
    <w:rsid w:val="00F878BF"/>
    <w:rsid w:val="00F90C51"/>
    <w:rsid w:val="00FA06CA"/>
    <w:rsid w:val="00FA5265"/>
    <w:rsid w:val="00FC155F"/>
    <w:rsid w:val="00FC1D6D"/>
    <w:rsid w:val="00FD5D14"/>
    <w:rsid w:val="00FE15E0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C0B9F"/>
  <w15:chartTrackingRefBased/>
  <w15:docId w15:val="{76FC4713-3501-438F-8E94-9FBD9E7B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2C13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TSY/47/0036</PT_x002f_Measure_x0020_No.>
    <Keydoc xmlns="a289cb20-8bb9-401f-8d7b-706fb1a2988d" xsi:nil="true"/>
    <Act_x0028_s_x0029_beingamended xmlns="a289cb20-8bb9-401f-8d7b-706fb1a2988d">Foreign Acquisitions and Takeovers (Manner of Notification and Application) Approval 2020</Act_x0028_s_x0029_beingamended>
    <Projectname xmlns="a289cb20-8bb9-401f-8d7b-706fb1a2988d">Foreign Investment Register Reform</Projectname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99</Value>
      <Value>68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Foreign Investment</TermName>
          <TermId xmlns="http://schemas.microsoft.com/office/infopath/2007/PartnerControls">0f148967-1084-4032-b82c-9b7961301188</TermId>
        </TermInfo>
      </Terms>
    </gfba5f33532c49208d2320ce38cc3c2b>
    <_dlc_DocId xmlns="fe39d773-a83d-4623-ae74-f25711a76616">5D7SUYYWNZQE-502602234-158</_dlc_DocId>
    <_dlc_DocIdUrl xmlns="fe39d773-a83d-4623-ae74-f25711a76616">
      <Url>https://austreasury.sharepoint.com/sites/leg-meas-function/_layouts/15/DocIdRedir.aspx?ID=5D7SUYYWNZQE-502602234-158</Url>
      <Description>5D7SUYYWNZQE-502602234-158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C8D2A0D7C14681672C1C1D9EF52D" ma:contentTypeVersion="24" ma:contentTypeDescription="Create a new document." ma:contentTypeScope="" ma:versionID="3ea963885ea0fc2f14cead4f72b91c8c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634ede50-08f7-4191-8578-fb0e72d21b03" targetNamespace="http://schemas.microsoft.com/office/2006/metadata/properties" ma:root="true" ma:fieldsID="0f55ef0d20830a8137c2b741e85213be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634ede50-08f7-4191-8578-fb0e72d21b03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ede50-08f7-4191-8578-fb0e72d21b03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749AB-BEDF-4C7E-9172-14042CE8F7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16F649-AA2B-4E64-B057-654D87C58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0017E-DCEE-4DAB-93E4-689425BA93CA}">
  <ds:schemaRefs>
    <ds:schemaRef ds:uri="http://schemas.microsoft.com/sharepoint/v3"/>
    <ds:schemaRef ds:uri="http://schemas.microsoft.com/office/2006/documentManagement/types"/>
    <ds:schemaRef ds:uri="ff38c824-6e29-4496-8487-69f397e7ed29"/>
    <ds:schemaRef ds:uri="http://schemas.openxmlformats.org/package/2006/metadata/core-properties"/>
    <ds:schemaRef ds:uri="a289cb20-8bb9-401f-8d7b-706fb1a2988d"/>
    <ds:schemaRef ds:uri="http://www.w3.org/XML/1998/namespace"/>
    <ds:schemaRef ds:uri="http://purl.org/dc/terms/"/>
    <ds:schemaRef ds:uri="http://schemas.microsoft.com/office/infopath/2007/PartnerControls"/>
    <ds:schemaRef ds:uri="fe39d773-a83d-4623-ae74-f25711a76616"/>
    <ds:schemaRef ds:uri="http://purl.org/dc/elements/1.1/"/>
    <ds:schemaRef ds:uri="634ede50-08f7-4191-8578-fb0e72d21b0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0F020B-F1BA-489B-9C33-8AA2001D7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634ede50-08f7-4191-8578-fb0e72d21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1158</TotalTime>
  <Pages>11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Leggett, Chris</cp:lastModifiedBy>
  <cp:revision>296</cp:revision>
  <cp:lastPrinted>2025-01-08T22:12:00Z</cp:lastPrinted>
  <dcterms:created xsi:type="dcterms:W3CDTF">2023-06-27T22:01:00Z</dcterms:created>
  <dcterms:modified xsi:type="dcterms:W3CDTF">2025-01-19T23:34:00Z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0x0101000E03C8D2A0D7C14681672C1C1D9EF52D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9914de6e-4d34-4790-8d3d-5ff8411ce654</vt:lpwstr>
  </property>
  <property fmtid="{D5CDD505-2E9C-101B-9397-08002B2CF9AE}" pid="17" name="TSYStatu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99;#Foreign Investment|0f148967-1084-4032-b82c-9b7961301188</vt:lpwstr>
  </property>
  <property fmtid="{D5CDD505-2E9C-101B-9397-08002B2CF9AE}" pid="21" name="eActivity">
    <vt:lpwstr>28;#Legislative measures|0d31ce10-0017-4a46-8d2d-ba60058cb6a2</vt:lpwstr>
  </property>
  <property fmtid="{D5CDD505-2E9C-101B-9397-08002B2CF9AE}" pid="22" name="_docset_NoMedatataSyncRequired">
    <vt:lpwstr>False</vt:lpwstr>
  </property>
  <property fmtid="{D5CDD505-2E9C-101B-9397-08002B2CF9AE}" pid="23" name="MSIP_Label_221efc91-5b9b-47f7-b46d-2bd3ec97b786_Enabled">
    <vt:lpwstr>true</vt:lpwstr>
  </property>
  <property fmtid="{D5CDD505-2E9C-101B-9397-08002B2CF9AE}" pid="24" name="MSIP_Label_221efc91-5b9b-47f7-b46d-2bd3ec97b786_SetDate">
    <vt:lpwstr>2024-09-23T02:23:55Z</vt:lpwstr>
  </property>
  <property fmtid="{D5CDD505-2E9C-101B-9397-08002B2CF9AE}" pid="25" name="MSIP_Label_221efc91-5b9b-47f7-b46d-2bd3ec97b786_Method">
    <vt:lpwstr>Privileged</vt:lpwstr>
  </property>
  <property fmtid="{D5CDD505-2E9C-101B-9397-08002B2CF9AE}" pid="26" name="MSIP_Label_221efc91-5b9b-47f7-b46d-2bd3ec97b786_Name">
    <vt:lpwstr>OS LP AM</vt:lpwstr>
  </property>
  <property fmtid="{D5CDD505-2E9C-101B-9397-08002B2CF9AE}" pid="27" name="MSIP_Label_221efc91-5b9b-47f7-b46d-2bd3ec97b786_SiteId">
    <vt:lpwstr>214f1646-2021-47cc-8397-e3d3a7ba7d9d</vt:lpwstr>
  </property>
  <property fmtid="{D5CDD505-2E9C-101B-9397-08002B2CF9AE}" pid="28" name="MSIP_Label_221efc91-5b9b-47f7-b46d-2bd3ec97b786_ActionId">
    <vt:lpwstr>93e882cc-6d1c-4062-9fea-7e2942a47d6c</vt:lpwstr>
  </property>
  <property fmtid="{D5CDD505-2E9C-101B-9397-08002B2CF9AE}" pid="29" name="MSIP_Label_221efc91-5b9b-47f7-b46d-2bd3ec97b786_ContentBits">
    <vt:lpwstr>0</vt:lpwstr>
  </property>
</Properties>
</file>