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0B07B" w14:textId="77777777" w:rsidR="00715914" w:rsidRPr="005F1388" w:rsidRDefault="00DA186E" w:rsidP="00715914">
      <w:pPr>
        <w:rPr>
          <w:sz w:val="28"/>
        </w:rPr>
      </w:pPr>
      <w:r>
        <w:rPr>
          <w:noProof/>
          <w:lang w:eastAsia="en-AU"/>
        </w:rPr>
        <w:drawing>
          <wp:inline distT="0" distB="0" distL="0" distR="0" wp14:anchorId="35AB679C" wp14:editId="744695D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21F3EBE" w14:textId="77777777" w:rsidR="00715914" w:rsidRPr="00E500D4" w:rsidRDefault="00715914" w:rsidP="00715914">
      <w:pPr>
        <w:rPr>
          <w:sz w:val="19"/>
        </w:rPr>
      </w:pPr>
    </w:p>
    <w:p w14:paraId="73B6D39D" w14:textId="5ED2665C" w:rsidR="00554826" w:rsidRPr="00E500D4" w:rsidRDefault="00754970" w:rsidP="00554826">
      <w:pPr>
        <w:pStyle w:val="ShortT"/>
      </w:pPr>
      <w:r>
        <w:t>Net Zero Economy Authority</w:t>
      </w:r>
      <w:r w:rsidR="00554826" w:rsidRPr="00DA182D">
        <w:t xml:space="preserve"> </w:t>
      </w:r>
      <w:r w:rsidR="00B15760">
        <w:t xml:space="preserve">(Guidelines for Determining a Receiving Employer) </w:t>
      </w:r>
      <w:r w:rsidR="00B15760" w:rsidRPr="00162505">
        <w:t>Notifiable Instrument 202</w:t>
      </w:r>
      <w:r w:rsidR="00B15760">
        <w:t>5</w:t>
      </w:r>
    </w:p>
    <w:p w14:paraId="47E13102" w14:textId="77777777" w:rsidR="00754970" w:rsidRPr="00CB090B" w:rsidRDefault="00754970" w:rsidP="00754970">
      <w:pPr>
        <w:pBdr>
          <w:top w:val="single" w:sz="4" w:space="1" w:color="auto"/>
        </w:pBdr>
        <w:spacing w:before="240"/>
        <w:ind w:right="91"/>
        <w:jc w:val="both"/>
        <w:rPr>
          <w:rFonts w:eastAsia="Times New Roman" w:cs="Times New Roman"/>
          <w:lang w:eastAsia="en-AU"/>
        </w:rPr>
      </w:pPr>
      <w:r w:rsidRPr="43956DCC">
        <w:rPr>
          <w:rFonts w:eastAsia="Times New Roman" w:cs="Times New Roman"/>
          <w:lang w:eastAsia="en-AU"/>
        </w:rPr>
        <w:t>I, David Shankey, Chief Executive Officer of the Net Zero Economy Authority, make the following notifiable instrument.</w:t>
      </w:r>
    </w:p>
    <w:p w14:paraId="2522070D" w14:textId="61EDEA72" w:rsidR="00754970" w:rsidRPr="00CB090B" w:rsidRDefault="00754970" w:rsidP="00754970">
      <w:pPr>
        <w:keepNext/>
        <w:spacing w:before="300" w:line="240" w:lineRule="atLeast"/>
        <w:ind w:right="397"/>
        <w:jc w:val="both"/>
        <w:rPr>
          <w:rFonts w:eastAsia="Calibri" w:cs="Times New Roman"/>
          <w:szCs w:val="22"/>
        </w:rPr>
      </w:pPr>
      <w:r w:rsidRPr="00CB090B">
        <w:rPr>
          <w:rFonts w:eastAsia="Calibri" w:cs="Times New Roman"/>
          <w:szCs w:val="22"/>
        </w:rPr>
        <w:t>Dated</w:t>
      </w:r>
      <w:r w:rsidRPr="00CB090B">
        <w:rPr>
          <w:rFonts w:eastAsia="Calibri" w:cs="Times New Roman"/>
          <w:szCs w:val="22"/>
        </w:rPr>
        <w:tab/>
      </w:r>
      <w:r w:rsidR="00B15760" w:rsidRPr="00B15760">
        <w:rPr>
          <w:rFonts w:eastAsia="Calibri" w:cs="Times New Roman"/>
          <w:szCs w:val="22"/>
        </w:rPr>
        <w:t xml:space="preserve">18 February 2025  </w:t>
      </w:r>
      <w:r w:rsidRPr="00CB090B">
        <w:rPr>
          <w:rFonts w:eastAsia="Calibri" w:cs="Times New Roman"/>
          <w:szCs w:val="22"/>
        </w:rPr>
        <w:tab/>
      </w:r>
      <w:r w:rsidRPr="00CB090B">
        <w:rPr>
          <w:rFonts w:eastAsia="Calibri" w:cs="Times New Roman"/>
          <w:szCs w:val="22"/>
        </w:rPr>
        <w:tab/>
      </w:r>
    </w:p>
    <w:p w14:paraId="257531BA" w14:textId="77777777" w:rsidR="00754970" w:rsidRPr="00CB090B" w:rsidRDefault="00754970" w:rsidP="00754970">
      <w:pPr>
        <w:keepNext/>
        <w:tabs>
          <w:tab w:val="left" w:pos="3402"/>
        </w:tabs>
        <w:spacing w:before="1440" w:line="300" w:lineRule="atLeast"/>
        <w:ind w:right="397"/>
        <w:rPr>
          <w:rFonts w:eastAsia="Calibri" w:cs="Times New Roman"/>
          <w:b/>
          <w:bCs/>
        </w:rPr>
      </w:pPr>
      <w:r w:rsidRPr="715B41C3">
        <w:rPr>
          <w:rFonts w:eastAsia="Calibri" w:cs="Times New Roman"/>
        </w:rPr>
        <w:t xml:space="preserve">David Shankey </w:t>
      </w:r>
    </w:p>
    <w:p w14:paraId="1C01624C" w14:textId="77777777" w:rsidR="00754970" w:rsidRPr="00CB090B" w:rsidRDefault="00754970" w:rsidP="00754970">
      <w:pPr>
        <w:keepNext/>
        <w:pBdr>
          <w:bottom w:val="single" w:sz="4" w:space="12" w:color="auto"/>
        </w:pBdr>
        <w:tabs>
          <w:tab w:val="left" w:pos="3402"/>
        </w:tabs>
        <w:spacing w:line="300" w:lineRule="atLeast"/>
        <w:ind w:right="91"/>
        <w:rPr>
          <w:rFonts w:eastAsia="Times New Roman" w:cs="Times New Roman"/>
          <w:sz w:val="20"/>
          <w:lang w:eastAsia="en-AU"/>
        </w:rPr>
      </w:pPr>
      <w:r w:rsidRPr="00CB090B">
        <w:rPr>
          <w:rFonts w:eastAsia="Times New Roman" w:cs="Times New Roman"/>
          <w:szCs w:val="22"/>
          <w:lang w:eastAsia="en-AU"/>
        </w:rPr>
        <w:t>Chief Executive Officer of the Net Zero Economy Authority</w:t>
      </w:r>
    </w:p>
    <w:p w14:paraId="7C24BA26" w14:textId="77777777" w:rsidR="00554826" w:rsidRDefault="00554826" w:rsidP="00554826"/>
    <w:p w14:paraId="28063B04" w14:textId="77777777" w:rsidR="00554826" w:rsidRPr="00ED79B6" w:rsidRDefault="00554826" w:rsidP="00554826"/>
    <w:p w14:paraId="1212E1FF" w14:textId="77777777" w:rsidR="00F6696E" w:rsidRDefault="00F6696E" w:rsidP="00F6696E"/>
    <w:p w14:paraId="7974A96F" w14:textId="77777777" w:rsidR="00F6696E" w:rsidRDefault="00F6696E" w:rsidP="00F6696E">
      <w:pPr>
        <w:sectPr w:rsidR="00F6696E"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0B94F134" w14:textId="77777777" w:rsidR="007500C8" w:rsidRDefault="00715914" w:rsidP="00715914">
      <w:pPr>
        <w:outlineLvl w:val="0"/>
        <w:rPr>
          <w:sz w:val="36"/>
        </w:rPr>
      </w:pPr>
      <w:r w:rsidRPr="007A1328">
        <w:rPr>
          <w:sz w:val="36"/>
        </w:rPr>
        <w:lastRenderedPageBreak/>
        <w:t>Contents</w:t>
      </w:r>
    </w:p>
    <w:p w14:paraId="6BF5FE54" w14:textId="77777777" w:rsidR="00B418CB" w:rsidRDefault="00B418CB">
      <w:pPr>
        <w:pStyle w:val="TOC5"/>
        <w:rPr>
          <w:rFonts w:asciiTheme="minorHAnsi" w:eastAsiaTheme="minorEastAsia" w:hAnsiTheme="minorHAnsi" w:cstheme="minorBidi"/>
          <w:noProof/>
          <w:kern w:val="0"/>
          <w:sz w:val="22"/>
          <w:szCs w:val="22"/>
        </w:rPr>
      </w:pPr>
      <w:r>
        <w:rPr>
          <w:noProof/>
        </w:rPr>
        <w:t>1</w:t>
      </w:r>
      <w:r>
        <w:rPr>
          <w:noProof/>
        </w:rPr>
        <w:tab/>
        <w:t>Name</w:t>
      </w:r>
      <w:r w:rsidRPr="00B418CB">
        <w:rPr>
          <w:noProof/>
        </w:rPr>
        <w:tab/>
      </w:r>
      <w:r w:rsidR="00754970">
        <w:rPr>
          <w:noProof/>
        </w:rPr>
        <w:t>1</w:t>
      </w:r>
    </w:p>
    <w:p w14:paraId="572ABD52" w14:textId="77777777" w:rsidR="00B418CB" w:rsidRDefault="00B418CB">
      <w:pPr>
        <w:pStyle w:val="TOC5"/>
        <w:rPr>
          <w:rFonts w:asciiTheme="minorHAnsi" w:eastAsiaTheme="minorEastAsia" w:hAnsiTheme="minorHAnsi" w:cstheme="minorBidi"/>
          <w:noProof/>
          <w:kern w:val="0"/>
          <w:sz w:val="22"/>
          <w:szCs w:val="22"/>
        </w:rPr>
      </w:pPr>
      <w:r>
        <w:rPr>
          <w:noProof/>
        </w:rPr>
        <w:t>2</w:t>
      </w:r>
      <w:r>
        <w:rPr>
          <w:noProof/>
        </w:rPr>
        <w:tab/>
        <w:t>Commencement</w:t>
      </w:r>
      <w:r w:rsidRPr="00B418CB">
        <w:rPr>
          <w:noProof/>
        </w:rPr>
        <w:tab/>
      </w:r>
      <w:r w:rsidR="00754970">
        <w:rPr>
          <w:noProof/>
        </w:rPr>
        <w:t>1</w:t>
      </w:r>
    </w:p>
    <w:p w14:paraId="1DADE6B5" w14:textId="77777777" w:rsidR="00B418CB" w:rsidRDefault="00B418CB">
      <w:pPr>
        <w:pStyle w:val="TOC5"/>
        <w:rPr>
          <w:rFonts w:asciiTheme="minorHAnsi" w:eastAsiaTheme="minorEastAsia" w:hAnsiTheme="minorHAnsi" w:cstheme="minorBidi"/>
          <w:noProof/>
          <w:kern w:val="0"/>
          <w:sz w:val="22"/>
          <w:szCs w:val="22"/>
        </w:rPr>
      </w:pPr>
      <w:r>
        <w:rPr>
          <w:noProof/>
        </w:rPr>
        <w:t>3</w:t>
      </w:r>
      <w:r>
        <w:rPr>
          <w:noProof/>
        </w:rPr>
        <w:tab/>
        <w:t>Authority</w:t>
      </w:r>
      <w:r w:rsidRPr="00B418CB">
        <w:rPr>
          <w:noProof/>
        </w:rPr>
        <w:tab/>
      </w:r>
      <w:r w:rsidR="00754970">
        <w:rPr>
          <w:noProof/>
        </w:rPr>
        <w:t>1</w:t>
      </w:r>
    </w:p>
    <w:p w14:paraId="33786128" w14:textId="77777777" w:rsidR="00B418CB" w:rsidRDefault="00B418CB">
      <w:pPr>
        <w:pStyle w:val="TOC5"/>
        <w:rPr>
          <w:rFonts w:asciiTheme="minorHAnsi" w:eastAsiaTheme="minorEastAsia" w:hAnsiTheme="minorHAnsi" w:cstheme="minorBidi"/>
          <w:noProof/>
          <w:kern w:val="0"/>
          <w:sz w:val="22"/>
          <w:szCs w:val="22"/>
        </w:rPr>
      </w:pPr>
      <w:r>
        <w:rPr>
          <w:noProof/>
        </w:rPr>
        <w:t>4</w:t>
      </w:r>
      <w:r>
        <w:rPr>
          <w:noProof/>
        </w:rPr>
        <w:tab/>
        <w:t>Definitions</w:t>
      </w:r>
      <w:r w:rsidRPr="00B418CB">
        <w:rPr>
          <w:noProof/>
        </w:rPr>
        <w:tab/>
      </w:r>
      <w:r w:rsidR="00754970">
        <w:rPr>
          <w:noProof/>
        </w:rPr>
        <w:t>1</w:t>
      </w:r>
    </w:p>
    <w:p w14:paraId="2C34063C" w14:textId="335ED5E5" w:rsidR="00B418CB" w:rsidRDefault="00754970">
      <w:pPr>
        <w:pStyle w:val="TOC5"/>
        <w:rPr>
          <w:rFonts w:asciiTheme="minorHAnsi" w:eastAsiaTheme="minorEastAsia" w:hAnsiTheme="minorHAnsi" w:cstheme="minorBidi"/>
          <w:noProof/>
          <w:kern w:val="0"/>
          <w:sz w:val="22"/>
          <w:szCs w:val="22"/>
        </w:rPr>
      </w:pPr>
      <w:r>
        <w:rPr>
          <w:noProof/>
        </w:rPr>
        <w:t>5</w:t>
      </w:r>
      <w:r>
        <w:rPr>
          <w:noProof/>
        </w:rPr>
        <w:tab/>
      </w:r>
      <w:r w:rsidR="00B15760">
        <w:rPr>
          <w:noProof/>
        </w:rPr>
        <w:t>Guidelines for determining a receiving employer</w:t>
      </w:r>
      <w:r w:rsidR="00B418CB" w:rsidRPr="00B418CB">
        <w:rPr>
          <w:noProof/>
        </w:rPr>
        <w:tab/>
      </w:r>
      <w:r>
        <w:rPr>
          <w:noProof/>
        </w:rPr>
        <w:t>1</w:t>
      </w:r>
    </w:p>
    <w:p w14:paraId="62E0094E" w14:textId="77777777" w:rsidR="00F6696E" w:rsidRDefault="00F6696E" w:rsidP="00F6696E">
      <w:pPr>
        <w:outlineLvl w:val="0"/>
      </w:pPr>
    </w:p>
    <w:p w14:paraId="47D1E98D" w14:textId="77777777" w:rsidR="00F6696E" w:rsidRPr="00A802BC" w:rsidRDefault="00F6696E" w:rsidP="00F6696E">
      <w:pPr>
        <w:outlineLvl w:val="0"/>
        <w:rPr>
          <w:sz w:val="20"/>
        </w:rPr>
      </w:pPr>
    </w:p>
    <w:p w14:paraId="5AF9957F" w14:textId="77777777" w:rsidR="00F6696E" w:rsidRDefault="00F6696E" w:rsidP="00F6696E">
      <w:pPr>
        <w:sectPr w:rsidR="00F6696E" w:rsidSect="00A87A58">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33E909B8" w14:textId="77777777" w:rsidR="00554826" w:rsidRPr="00554826" w:rsidRDefault="00554826" w:rsidP="00554826">
      <w:pPr>
        <w:pStyle w:val="ActHead5"/>
      </w:pPr>
      <w:bookmarkStart w:id="0" w:name="_Toc454512513"/>
      <w:proofErr w:type="gramStart"/>
      <w:r w:rsidRPr="00554826">
        <w:lastRenderedPageBreak/>
        <w:t>1  Name</w:t>
      </w:r>
      <w:bookmarkEnd w:id="0"/>
      <w:proofErr w:type="gramEnd"/>
    </w:p>
    <w:p w14:paraId="0E26B6DB" w14:textId="7F461206" w:rsidR="00554826" w:rsidRDefault="00554826" w:rsidP="00554826">
      <w:pPr>
        <w:pStyle w:val="subsection"/>
      </w:pPr>
      <w:r w:rsidRPr="009C2562">
        <w:tab/>
      </w:r>
      <w:r w:rsidRPr="009C2562">
        <w:tab/>
      </w:r>
      <w:r w:rsidR="00B15760" w:rsidRPr="002776B6">
        <w:t xml:space="preserve">This instrument is the </w:t>
      </w:r>
      <w:bookmarkStart w:id="1" w:name="BKCheck15B_3"/>
      <w:bookmarkEnd w:id="1"/>
      <w:r w:rsidR="00B15760" w:rsidRPr="002776B6">
        <w:rPr>
          <w:i/>
        </w:rPr>
        <w:t>Net Zero Econom</w:t>
      </w:r>
      <w:r w:rsidR="00B15760">
        <w:rPr>
          <w:i/>
        </w:rPr>
        <w:t>y Authority (</w:t>
      </w:r>
      <w:r w:rsidR="00B15760" w:rsidRPr="002776B6">
        <w:rPr>
          <w:i/>
        </w:rPr>
        <w:t>Guidelines</w:t>
      </w:r>
      <w:r w:rsidR="00B15760">
        <w:rPr>
          <w:i/>
        </w:rPr>
        <w:t xml:space="preserve"> for Determining a Receiving Employer</w:t>
      </w:r>
      <w:r w:rsidR="00B15760" w:rsidRPr="002776B6">
        <w:rPr>
          <w:i/>
        </w:rPr>
        <w:t>) Notifiable Instrument 2025.</w:t>
      </w:r>
    </w:p>
    <w:p w14:paraId="7E41AF52" w14:textId="77777777" w:rsidR="00554826" w:rsidRPr="00554826" w:rsidRDefault="00554826" w:rsidP="00554826">
      <w:pPr>
        <w:pStyle w:val="ActHead5"/>
      </w:pPr>
      <w:bookmarkStart w:id="2" w:name="_Toc454512514"/>
      <w:proofErr w:type="gramStart"/>
      <w:r w:rsidRPr="00554826">
        <w:t>2  Commencement</w:t>
      </w:r>
      <w:bookmarkEnd w:id="2"/>
      <w:proofErr w:type="gramEnd"/>
    </w:p>
    <w:p w14:paraId="38EFCCBC" w14:textId="0EF6F73A" w:rsidR="00554826" w:rsidRPr="00754970" w:rsidRDefault="00554826" w:rsidP="00754970">
      <w:pPr>
        <w:tabs>
          <w:tab w:val="right" w:pos="1021"/>
        </w:tabs>
        <w:spacing w:before="180" w:line="240" w:lineRule="auto"/>
        <w:ind w:left="993" w:hanging="3"/>
        <w:rPr>
          <w:rFonts w:eastAsia="Times New Roman" w:cs="Times New Roman"/>
          <w:sz w:val="20"/>
          <w:lang w:eastAsia="en-AU"/>
        </w:rPr>
      </w:pPr>
      <w:r>
        <w:tab/>
      </w:r>
      <w:r>
        <w:tab/>
      </w:r>
      <w:r w:rsidR="00B15760" w:rsidRPr="002776B6">
        <w:t>This instrument commences the day after this instrument is registered.</w:t>
      </w:r>
    </w:p>
    <w:p w14:paraId="628E0A28" w14:textId="77777777" w:rsidR="00554826" w:rsidRPr="00554826" w:rsidRDefault="00554826" w:rsidP="00554826">
      <w:pPr>
        <w:pStyle w:val="ActHead5"/>
      </w:pPr>
      <w:bookmarkStart w:id="3" w:name="_Toc454512515"/>
      <w:proofErr w:type="gramStart"/>
      <w:r w:rsidRPr="00554826">
        <w:t>3  Authority</w:t>
      </w:r>
      <w:bookmarkEnd w:id="3"/>
      <w:proofErr w:type="gramEnd"/>
    </w:p>
    <w:p w14:paraId="7E2893C4" w14:textId="08105BBD" w:rsidR="00754970" w:rsidRPr="0042137E" w:rsidRDefault="00554826" w:rsidP="00754970">
      <w:pPr>
        <w:tabs>
          <w:tab w:val="right" w:pos="1021"/>
        </w:tabs>
        <w:spacing w:before="180" w:line="240" w:lineRule="auto"/>
        <w:ind w:left="993" w:hanging="3"/>
        <w:rPr>
          <w:rFonts w:eastAsia="Times New Roman" w:cs="Times New Roman"/>
          <w:lang w:eastAsia="en-AU"/>
        </w:rPr>
      </w:pPr>
      <w:r w:rsidRPr="009C2562">
        <w:tab/>
      </w:r>
      <w:r w:rsidRPr="009C2562">
        <w:tab/>
      </w:r>
      <w:bookmarkStart w:id="4" w:name="_Toc454512516"/>
      <w:r w:rsidR="00B15760" w:rsidRPr="002776B6">
        <w:t xml:space="preserve">This instrument is made under subsection 6(10) of the </w:t>
      </w:r>
      <w:r w:rsidR="00B15760" w:rsidRPr="002776B6">
        <w:rPr>
          <w:i/>
        </w:rPr>
        <w:t>Net Zero Economy Authority Act 2024</w:t>
      </w:r>
      <w:r w:rsidR="00B15760" w:rsidRPr="002776B6">
        <w:t>.</w:t>
      </w:r>
    </w:p>
    <w:p w14:paraId="75B9D457" w14:textId="77777777" w:rsidR="00554826" w:rsidRPr="00754970" w:rsidRDefault="00554826" w:rsidP="00754970">
      <w:pPr>
        <w:keepNext/>
        <w:keepLines/>
        <w:spacing w:before="280" w:line="240" w:lineRule="auto"/>
        <w:ind w:left="1134" w:hanging="1134"/>
        <w:outlineLvl w:val="4"/>
        <w:rPr>
          <w:rFonts w:eastAsia="Times New Roman" w:cs="Times New Roman"/>
          <w:b/>
          <w:kern w:val="28"/>
          <w:sz w:val="24"/>
          <w:lang w:eastAsia="en-AU"/>
        </w:rPr>
      </w:pPr>
      <w:proofErr w:type="gramStart"/>
      <w:r w:rsidRPr="00754970">
        <w:rPr>
          <w:rFonts w:eastAsia="Times New Roman" w:cs="Times New Roman"/>
          <w:b/>
          <w:kern w:val="28"/>
          <w:sz w:val="24"/>
          <w:lang w:eastAsia="en-AU"/>
        </w:rPr>
        <w:t>4  Definitions</w:t>
      </w:r>
      <w:bookmarkEnd w:id="4"/>
      <w:proofErr w:type="gramEnd"/>
    </w:p>
    <w:p w14:paraId="725D2429" w14:textId="77777777" w:rsidR="00B15760" w:rsidRPr="002776B6" w:rsidRDefault="00B15760" w:rsidP="00B15760">
      <w:pPr>
        <w:pStyle w:val="notetext"/>
        <w:spacing w:line="276" w:lineRule="auto"/>
      </w:pPr>
      <w:bookmarkStart w:id="5" w:name="_Toc454781205"/>
      <w:bookmarkStart w:id="6" w:name="_Toc454512517"/>
      <w:r w:rsidRPr="002776B6">
        <w:t>Note:</w:t>
      </w:r>
      <w:r w:rsidRPr="002776B6">
        <w:tab/>
        <w:t>A number of expressions used in this instrument are defined in the Act, including the following:</w:t>
      </w:r>
    </w:p>
    <w:p w14:paraId="7A412024" w14:textId="77777777" w:rsidR="00B15760" w:rsidRPr="002776B6" w:rsidRDefault="00B15760" w:rsidP="00B15760">
      <w:pPr>
        <w:pStyle w:val="notepara"/>
        <w:numPr>
          <w:ilvl w:val="0"/>
          <w:numId w:val="17"/>
        </w:numPr>
        <w:spacing w:line="276" w:lineRule="auto"/>
      </w:pPr>
      <w:r w:rsidRPr="002776B6">
        <w:t xml:space="preserve">receiving </w:t>
      </w:r>
      <w:proofErr w:type="gramStart"/>
      <w:r w:rsidRPr="002776B6">
        <w:t>employer;</w:t>
      </w:r>
      <w:proofErr w:type="gramEnd"/>
    </w:p>
    <w:p w14:paraId="2F7B10F8" w14:textId="77777777" w:rsidR="00B15760" w:rsidRPr="002776B6" w:rsidRDefault="00B15760" w:rsidP="00B15760">
      <w:pPr>
        <w:pStyle w:val="notepara"/>
        <w:numPr>
          <w:ilvl w:val="0"/>
          <w:numId w:val="17"/>
        </w:numPr>
        <w:spacing w:line="276" w:lineRule="auto"/>
      </w:pPr>
      <w:r w:rsidRPr="002776B6">
        <w:t xml:space="preserve">participating </w:t>
      </w:r>
      <w:proofErr w:type="gramStart"/>
      <w:r w:rsidRPr="002776B6">
        <w:t>employees;</w:t>
      </w:r>
      <w:proofErr w:type="gramEnd"/>
    </w:p>
    <w:p w14:paraId="1F46D8BB" w14:textId="77777777" w:rsidR="00B15760" w:rsidRPr="002776B6" w:rsidRDefault="00B15760" w:rsidP="00B15760">
      <w:pPr>
        <w:pStyle w:val="notepara"/>
        <w:numPr>
          <w:ilvl w:val="0"/>
          <w:numId w:val="17"/>
        </w:numPr>
        <w:spacing w:line="276" w:lineRule="auto"/>
      </w:pPr>
      <w:r w:rsidRPr="002776B6">
        <w:t xml:space="preserve">closing </w:t>
      </w:r>
      <w:proofErr w:type="gramStart"/>
      <w:r w:rsidRPr="002776B6">
        <w:t>employer;</w:t>
      </w:r>
      <w:proofErr w:type="gramEnd"/>
    </w:p>
    <w:p w14:paraId="7BF54137" w14:textId="77777777" w:rsidR="00B15760" w:rsidRPr="002776B6" w:rsidRDefault="00B15760" w:rsidP="00B15760">
      <w:pPr>
        <w:pStyle w:val="notepara"/>
        <w:numPr>
          <w:ilvl w:val="0"/>
          <w:numId w:val="17"/>
        </w:numPr>
        <w:spacing w:line="276" w:lineRule="auto"/>
      </w:pPr>
      <w:r w:rsidRPr="002776B6">
        <w:t>dependent employer.</w:t>
      </w:r>
    </w:p>
    <w:p w14:paraId="0AD3DF88" w14:textId="77777777" w:rsidR="00B15760" w:rsidRPr="002776B6" w:rsidRDefault="00B15760" w:rsidP="00B15760">
      <w:pPr>
        <w:pStyle w:val="subsection"/>
        <w:spacing w:line="276" w:lineRule="auto"/>
      </w:pPr>
      <w:r w:rsidRPr="002776B6">
        <w:tab/>
      </w:r>
      <w:r w:rsidRPr="002776B6">
        <w:tab/>
        <w:t>In this instrument:</w:t>
      </w:r>
    </w:p>
    <w:p w14:paraId="7D332451" w14:textId="77777777" w:rsidR="00B15760" w:rsidRPr="002776B6" w:rsidRDefault="00B15760" w:rsidP="00B15760">
      <w:pPr>
        <w:pStyle w:val="Definition"/>
        <w:spacing w:line="276" w:lineRule="auto"/>
      </w:pPr>
      <w:r w:rsidRPr="002776B6">
        <w:rPr>
          <w:b/>
          <w:i/>
        </w:rPr>
        <w:t>Act</w:t>
      </w:r>
      <w:r w:rsidRPr="002776B6">
        <w:t xml:space="preserve"> means the </w:t>
      </w:r>
      <w:r w:rsidRPr="002776B6">
        <w:rPr>
          <w:i/>
          <w:iCs/>
        </w:rPr>
        <w:t>Net Zero Economy Authority Act 2024</w:t>
      </w:r>
      <w:r w:rsidRPr="002776B6">
        <w:t>.</w:t>
      </w:r>
    </w:p>
    <w:p w14:paraId="2E05354F" w14:textId="77777777" w:rsidR="00B15760" w:rsidRPr="002776B6" w:rsidRDefault="00B15760" w:rsidP="00B15760">
      <w:pPr>
        <w:pStyle w:val="Definition"/>
        <w:spacing w:line="276" w:lineRule="auto"/>
        <w:rPr>
          <w:b/>
          <w:i/>
        </w:rPr>
      </w:pPr>
      <w:r w:rsidRPr="002776B6">
        <w:rPr>
          <w:b/>
          <w:i/>
        </w:rPr>
        <w:t xml:space="preserve">Authority </w:t>
      </w:r>
      <w:r w:rsidRPr="002776B6">
        <w:t xml:space="preserve">means the </w:t>
      </w:r>
      <w:r w:rsidRPr="002776B6">
        <w:rPr>
          <w:iCs/>
        </w:rPr>
        <w:t>Net Zero Economy Authority</w:t>
      </w:r>
      <w:r w:rsidRPr="002776B6">
        <w:rPr>
          <w:i/>
          <w:iCs/>
        </w:rPr>
        <w:t>.</w:t>
      </w:r>
    </w:p>
    <w:p w14:paraId="18DAD12C" w14:textId="77777777" w:rsidR="00B15760" w:rsidRPr="002776B6" w:rsidRDefault="00B15760" w:rsidP="00B15760">
      <w:pPr>
        <w:pStyle w:val="Definition"/>
        <w:spacing w:line="276" w:lineRule="auto"/>
      </w:pPr>
      <w:r w:rsidRPr="002776B6">
        <w:rPr>
          <w:b/>
          <w:i/>
        </w:rPr>
        <w:t xml:space="preserve">CEO </w:t>
      </w:r>
      <w:r w:rsidRPr="002776B6">
        <w:t>has the meaning described in Section 5 of the Act.</w:t>
      </w:r>
    </w:p>
    <w:p w14:paraId="1D9744AD" w14:textId="77777777" w:rsidR="00B15760" w:rsidRPr="002776B6" w:rsidRDefault="00B15760" w:rsidP="00B15760">
      <w:pPr>
        <w:pStyle w:val="Definition"/>
        <w:spacing w:line="276" w:lineRule="auto"/>
      </w:pPr>
      <w:r w:rsidRPr="002776B6">
        <w:rPr>
          <w:b/>
          <w:i/>
        </w:rPr>
        <w:t>Energy Industry Jobs Plan</w:t>
      </w:r>
      <w:r w:rsidRPr="002776B6">
        <w:t xml:space="preserve"> is established by Part 5 of the Act. </w:t>
      </w:r>
    </w:p>
    <w:p w14:paraId="501C0F43" w14:textId="6BFE2499" w:rsidR="00554826" w:rsidRPr="00554826" w:rsidRDefault="00554826" w:rsidP="00554826">
      <w:pPr>
        <w:pStyle w:val="ActHead5"/>
      </w:pPr>
      <w:proofErr w:type="gramStart"/>
      <w:r w:rsidRPr="00554826">
        <w:t xml:space="preserve">5  </w:t>
      </w:r>
      <w:bookmarkEnd w:id="5"/>
      <w:r w:rsidR="00B15760">
        <w:t>Guidelines</w:t>
      </w:r>
      <w:proofErr w:type="gramEnd"/>
      <w:r w:rsidR="00B15760">
        <w:t xml:space="preserve"> for determining</w:t>
      </w:r>
      <w:r w:rsidR="00B15760" w:rsidRPr="002776B6">
        <w:t xml:space="preserve"> a receiving employer</w:t>
      </w:r>
    </w:p>
    <w:bookmarkEnd w:id="6"/>
    <w:p w14:paraId="307CBA91" w14:textId="77777777" w:rsidR="00B15760" w:rsidRPr="002776B6" w:rsidRDefault="00B15760" w:rsidP="00B15760">
      <w:pPr>
        <w:pStyle w:val="subsection"/>
        <w:numPr>
          <w:ilvl w:val="0"/>
          <w:numId w:val="18"/>
        </w:numPr>
        <w:spacing w:line="276" w:lineRule="auto"/>
      </w:pPr>
      <w:r w:rsidRPr="002776B6">
        <w:t>For the purposes of subsection 6(10) of the Act, this instrument establishes the guidelines to which the CEO of the Authority must have regard when specifying receiving employers in a written determination made under subsection 6(6) of the Act.</w:t>
      </w:r>
    </w:p>
    <w:p w14:paraId="3C0E27B7" w14:textId="77777777" w:rsidR="00B15760" w:rsidRPr="002776B6" w:rsidRDefault="00B15760" w:rsidP="00B15760">
      <w:pPr>
        <w:pStyle w:val="ListParagraph"/>
        <w:numPr>
          <w:ilvl w:val="0"/>
          <w:numId w:val="18"/>
        </w:numPr>
        <w:spacing w:after="0" w:line="276" w:lineRule="auto"/>
        <w:rPr>
          <w:rFonts w:ascii="Times New Roman" w:eastAsia="Times New Roman" w:hAnsi="Times New Roman" w:cs="Times New Roman"/>
          <w:lang w:eastAsia="en-AU"/>
        </w:rPr>
      </w:pPr>
      <w:r w:rsidRPr="002776B6">
        <w:rPr>
          <w:rFonts w:ascii="Times New Roman" w:hAnsi="Times New Roman" w:cs="Times New Roman"/>
        </w:rPr>
        <w:t xml:space="preserve">In deciding whether to specify an employer in a determination under subsection 6(6) of the Act, the CEO will give primary consideration to the ability of an employer to support the effective delivery of the Energy Industry Jobs Plan, including the intent that the Energy Industry Jobs Plan attracts </w:t>
      </w:r>
      <w:r w:rsidRPr="002776B6">
        <w:rPr>
          <w:rFonts w:ascii="Times New Roman" w:eastAsia="Times New Roman" w:hAnsi="Times New Roman" w:cs="Times New Roman"/>
          <w:lang w:eastAsia="en-AU"/>
        </w:rPr>
        <w:t xml:space="preserve">sufficient receiving employers to offer a range of suitable employment options to participating employees. </w:t>
      </w:r>
    </w:p>
    <w:p w14:paraId="0616658F" w14:textId="77777777" w:rsidR="00B15760" w:rsidRPr="002776B6" w:rsidRDefault="00B15760" w:rsidP="00B15760">
      <w:pPr>
        <w:pStyle w:val="subsection"/>
        <w:numPr>
          <w:ilvl w:val="0"/>
          <w:numId w:val="18"/>
        </w:numPr>
        <w:spacing w:line="276" w:lineRule="auto"/>
        <w:rPr>
          <w:bCs/>
        </w:rPr>
      </w:pPr>
      <w:r w:rsidRPr="002776B6">
        <w:rPr>
          <w:bCs/>
        </w:rPr>
        <w:t>In deciding whether to specify an employer in a determination under subsection 6(6) of the Act, the CEO may also consider the following factors:</w:t>
      </w:r>
    </w:p>
    <w:p w14:paraId="2442DCC4" w14:textId="77777777" w:rsidR="00B15760" w:rsidRPr="002776B6" w:rsidRDefault="00B15760" w:rsidP="00B15760">
      <w:pPr>
        <w:pStyle w:val="ListParagraph"/>
        <w:numPr>
          <w:ilvl w:val="1"/>
          <w:numId w:val="19"/>
        </w:numPr>
        <w:spacing w:line="276" w:lineRule="auto"/>
        <w:rPr>
          <w:rFonts w:ascii="Times New Roman" w:hAnsi="Times New Roman" w:cs="Times New Roman"/>
        </w:rPr>
      </w:pPr>
      <w:r w:rsidRPr="002776B6">
        <w:rPr>
          <w:rFonts w:ascii="Times New Roman" w:hAnsi="Times New Roman" w:cs="Times New Roman"/>
        </w:rPr>
        <w:lastRenderedPageBreak/>
        <w:t xml:space="preserve">The ability of the employer to provide ongoing employment to participating employees. </w:t>
      </w:r>
    </w:p>
    <w:p w14:paraId="341C1F6C" w14:textId="77777777" w:rsidR="00B15760" w:rsidRPr="002776B6" w:rsidRDefault="00B15760" w:rsidP="00B15760">
      <w:pPr>
        <w:pStyle w:val="ListParagraph"/>
        <w:spacing w:line="276" w:lineRule="auto"/>
        <w:rPr>
          <w:rFonts w:ascii="Times New Roman" w:hAnsi="Times New Roman" w:cs="Times New Roman"/>
        </w:rPr>
      </w:pPr>
    </w:p>
    <w:p w14:paraId="35EE525E" w14:textId="77777777" w:rsidR="00B15760" w:rsidRPr="002776B6" w:rsidRDefault="00B15760" w:rsidP="00B15760">
      <w:pPr>
        <w:pStyle w:val="ListParagraph"/>
        <w:numPr>
          <w:ilvl w:val="1"/>
          <w:numId w:val="19"/>
        </w:numPr>
        <w:spacing w:line="276" w:lineRule="auto"/>
        <w:rPr>
          <w:rFonts w:ascii="Times New Roman" w:hAnsi="Times New Roman" w:cs="Times New Roman"/>
        </w:rPr>
      </w:pPr>
      <w:r w:rsidRPr="002776B6">
        <w:rPr>
          <w:rFonts w:ascii="Times New Roman" w:hAnsi="Times New Roman" w:cs="Times New Roman"/>
        </w:rPr>
        <w:t>The ability of the employer to provide employment in roles that are an appropriate match for the identified skills, competencies, and career aspirations of participating employees, including the employer’s ability to support any additional training needs of participating employees.</w:t>
      </w:r>
    </w:p>
    <w:p w14:paraId="12DABBB7" w14:textId="77777777" w:rsidR="00B15760" w:rsidRPr="002776B6" w:rsidRDefault="00B15760" w:rsidP="00B15760">
      <w:pPr>
        <w:pStyle w:val="ListParagraph"/>
        <w:spacing w:line="276" w:lineRule="auto"/>
        <w:rPr>
          <w:rFonts w:ascii="Times New Roman" w:hAnsi="Times New Roman" w:cs="Times New Roman"/>
        </w:rPr>
      </w:pPr>
    </w:p>
    <w:p w14:paraId="6C600D9B" w14:textId="77777777" w:rsidR="00B15760" w:rsidRPr="002776B6" w:rsidRDefault="00B15760" w:rsidP="00B15760">
      <w:pPr>
        <w:pStyle w:val="ListParagraph"/>
        <w:numPr>
          <w:ilvl w:val="1"/>
          <w:numId w:val="19"/>
        </w:numPr>
        <w:spacing w:line="276" w:lineRule="auto"/>
        <w:rPr>
          <w:rFonts w:ascii="Times New Roman" w:hAnsi="Times New Roman" w:cs="Times New Roman"/>
        </w:rPr>
      </w:pPr>
      <w:r w:rsidRPr="002776B6">
        <w:rPr>
          <w:rFonts w:ascii="Times New Roman" w:hAnsi="Times New Roman" w:cs="Times New Roman"/>
        </w:rPr>
        <w:t>The geographic proximity of the employer to closing employers or their dependent employers.</w:t>
      </w:r>
    </w:p>
    <w:p w14:paraId="3BF6E101" w14:textId="77777777" w:rsidR="00B15760" w:rsidRPr="002776B6" w:rsidRDefault="00B15760" w:rsidP="00B15760">
      <w:pPr>
        <w:pStyle w:val="ListParagraph"/>
        <w:spacing w:line="276" w:lineRule="auto"/>
        <w:rPr>
          <w:rFonts w:ascii="Times New Roman" w:hAnsi="Times New Roman" w:cs="Times New Roman"/>
        </w:rPr>
      </w:pPr>
    </w:p>
    <w:p w14:paraId="0922BA35" w14:textId="77777777" w:rsidR="00B15760" w:rsidRPr="002776B6" w:rsidRDefault="00B15760" w:rsidP="00B15760">
      <w:pPr>
        <w:pStyle w:val="ListParagraph"/>
        <w:numPr>
          <w:ilvl w:val="1"/>
          <w:numId w:val="19"/>
        </w:numPr>
        <w:spacing w:line="276" w:lineRule="auto"/>
        <w:rPr>
          <w:rFonts w:ascii="Times New Roman" w:hAnsi="Times New Roman" w:cs="Times New Roman"/>
        </w:rPr>
      </w:pPr>
      <w:r w:rsidRPr="002776B6">
        <w:rPr>
          <w:rFonts w:ascii="Times New Roman" w:hAnsi="Times New Roman" w:cs="Times New Roman"/>
        </w:rPr>
        <w:t>The ability of the employer to provide a safe work environment, and whether it has work health and safety policies and practices that are compliant with the relevant Commonwealth and State legislation where the receiving employer is located.</w:t>
      </w:r>
    </w:p>
    <w:p w14:paraId="144E4ABD" w14:textId="77777777" w:rsidR="00B15760" w:rsidRPr="002776B6" w:rsidRDefault="00B15760" w:rsidP="00B15760">
      <w:pPr>
        <w:pStyle w:val="ListParagraph"/>
        <w:spacing w:line="276" w:lineRule="auto"/>
        <w:rPr>
          <w:rFonts w:ascii="Times New Roman" w:hAnsi="Times New Roman" w:cs="Times New Roman"/>
        </w:rPr>
      </w:pPr>
    </w:p>
    <w:p w14:paraId="1A95F314" w14:textId="77777777" w:rsidR="00B15760" w:rsidRPr="007D30F9" w:rsidRDefault="00B15760" w:rsidP="00B15760">
      <w:pPr>
        <w:pStyle w:val="ListParagraph"/>
        <w:numPr>
          <w:ilvl w:val="1"/>
          <w:numId w:val="19"/>
        </w:numPr>
        <w:spacing w:line="276" w:lineRule="auto"/>
        <w:rPr>
          <w:rFonts w:ascii="Times New Roman" w:hAnsi="Times New Roman" w:cs="Times New Roman"/>
        </w:rPr>
      </w:pPr>
      <w:r w:rsidRPr="002776B6">
        <w:rPr>
          <w:rFonts w:ascii="Times New Roman" w:hAnsi="Times New Roman" w:cs="Times New Roman"/>
        </w:rPr>
        <w:t xml:space="preserve">The employer’s record of meeting obligations under national fair work, anti-discrimination, and work health and safety legislation. </w:t>
      </w:r>
    </w:p>
    <w:p w14:paraId="059B0582" w14:textId="77777777" w:rsidR="00B15760" w:rsidRPr="002776B6" w:rsidRDefault="00B15760" w:rsidP="00B15760">
      <w:pPr>
        <w:pStyle w:val="ListParagraph"/>
        <w:spacing w:line="276" w:lineRule="auto"/>
        <w:ind w:left="1850"/>
        <w:rPr>
          <w:rFonts w:ascii="Times New Roman" w:hAnsi="Times New Roman" w:cs="Times New Roman"/>
        </w:rPr>
      </w:pPr>
    </w:p>
    <w:p w14:paraId="272F0B65" w14:textId="77777777" w:rsidR="00B15760" w:rsidRPr="002776B6" w:rsidRDefault="00B15760" w:rsidP="00B15760">
      <w:pPr>
        <w:pStyle w:val="ListParagraph"/>
        <w:numPr>
          <w:ilvl w:val="1"/>
          <w:numId w:val="19"/>
        </w:numPr>
        <w:spacing w:line="276" w:lineRule="auto"/>
        <w:rPr>
          <w:rFonts w:ascii="Times New Roman" w:hAnsi="Times New Roman" w:cs="Times New Roman"/>
        </w:rPr>
      </w:pPr>
      <w:r w:rsidRPr="002776B6">
        <w:rPr>
          <w:rFonts w:ascii="Times New Roman" w:hAnsi="Times New Roman" w:cs="Times New Roman"/>
        </w:rPr>
        <w:t xml:space="preserve">The nature and extent of any corporate relationship between the receiving employer and a closing or dependent employer. </w:t>
      </w:r>
      <w:bookmarkStart w:id="7" w:name="_Toc454512520"/>
      <w:r w:rsidRPr="002776B6">
        <w:rPr>
          <w:rFonts w:ascii="Times New Roman" w:hAnsi="Times New Roman" w:cs="Times New Roman"/>
        </w:rPr>
        <w:t xml:space="preserve"> </w:t>
      </w:r>
    </w:p>
    <w:p w14:paraId="52D4D9E3" w14:textId="77777777" w:rsidR="00B15760" w:rsidRPr="002776B6" w:rsidRDefault="00B15760" w:rsidP="00B15760">
      <w:pPr>
        <w:pStyle w:val="ListParagraph"/>
        <w:spacing w:line="276" w:lineRule="auto"/>
        <w:rPr>
          <w:rFonts w:ascii="Times New Roman" w:hAnsi="Times New Roman" w:cs="Times New Roman"/>
        </w:rPr>
      </w:pPr>
    </w:p>
    <w:p w14:paraId="46B555DA" w14:textId="5BC5E057" w:rsidR="00A75FE9" w:rsidRPr="00B15760" w:rsidRDefault="00B15760" w:rsidP="00B15760">
      <w:pPr>
        <w:pStyle w:val="ListParagraph"/>
        <w:numPr>
          <w:ilvl w:val="1"/>
          <w:numId w:val="19"/>
        </w:numPr>
        <w:spacing w:line="276" w:lineRule="auto"/>
        <w:rPr>
          <w:rFonts w:ascii="Times New Roman" w:hAnsi="Times New Roman" w:cs="Times New Roman"/>
        </w:rPr>
      </w:pPr>
      <w:r w:rsidRPr="002776B6">
        <w:rPr>
          <w:rFonts w:ascii="Times New Roman" w:hAnsi="Times New Roman" w:cs="Times New Roman"/>
        </w:rPr>
        <w:t xml:space="preserve">The specific circumstances of the relevant power station closure, including prevailing regional labour market conditions. </w:t>
      </w:r>
      <w:bookmarkEnd w:id="7"/>
    </w:p>
    <w:sectPr w:rsidR="00A75FE9" w:rsidRPr="00B15760"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582AE" w14:textId="77777777" w:rsidR="00754970" w:rsidRDefault="00754970" w:rsidP="00715914">
      <w:pPr>
        <w:spacing w:line="240" w:lineRule="auto"/>
      </w:pPr>
      <w:r>
        <w:separator/>
      </w:r>
    </w:p>
  </w:endnote>
  <w:endnote w:type="continuationSeparator" w:id="0">
    <w:p w14:paraId="5F1EF8B4" w14:textId="77777777" w:rsidR="00754970" w:rsidRDefault="0075497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2BE7"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30A2808B" w14:textId="77777777" w:rsidTr="00B33709">
      <w:tc>
        <w:tcPr>
          <w:tcW w:w="709" w:type="dxa"/>
          <w:tcBorders>
            <w:top w:val="nil"/>
            <w:left w:val="nil"/>
            <w:bottom w:val="nil"/>
            <w:right w:val="nil"/>
          </w:tcBorders>
        </w:tcPr>
        <w:p w14:paraId="3359FA5C"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1DE6732A"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54970">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2CDCE0A2" w14:textId="77777777" w:rsidR="0072147A" w:rsidRDefault="0072147A" w:rsidP="00A369E3">
          <w:pPr>
            <w:spacing w:line="0" w:lineRule="atLeast"/>
            <w:jc w:val="right"/>
            <w:rPr>
              <w:sz w:val="18"/>
            </w:rPr>
          </w:pPr>
        </w:p>
      </w:tc>
    </w:tr>
    <w:tr w:rsidR="0072147A" w14:paraId="1AF07111"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52A183B" w14:textId="77777777" w:rsidR="0072147A" w:rsidRDefault="0072147A" w:rsidP="00A369E3">
          <w:pPr>
            <w:jc w:val="right"/>
            <w:rPr>
              <w:sz w:val="18"/>
            </w:rPr>
          </w:pPr>
        </w:p>
      </w:tc>
    </w:tr>
  </w:tbl>
  <w:p w14:paraId="152E66A8"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8F0F"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1783AA27" w14:textId="77777777" w:rsidTr="00A369E3">
      <w:tc>
        <w:tcPr>
          <w:tcW w:w="1384" w:type="dxa"/>
          <w:tcBorders>
            <w:top w:val="nil"/>
            <w:left w:val="nil"/>
            <w:bottom w:val="nil"/>
            <w:right w:val="nil"/>
          </w:tcBorders>
        </w:tcPr>
        <w:p w14:paraId="660CE938" w14:textId="77777777" w:rsidR="0072147A" w:rsidRDefault="0072147A" w:rsidP="00A369E3">
          <w:pPr>
            <w:spacing w:line="0" w:lineRule="atLeast"/>
            <w:rPr>
              <w:sz w:val="18"/>
            </w:rPr>
          </w:pPr>
        </w:p>
      </w:tc>
      <w:tc>
        <w:tcPr>
          <w:tcW w:w="6379" w:type="dxa"/>
          <w:tcBorders>
            <w:top w:val="nil"/>
            <w:left w:val="nil"/>
            <w:bottom w:val="nil"/>
            <w:right w:val="nil"/>
          </w:tcBorders>
        </w:tcPr>
        <w:p w14:paraId="185C0115"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54970">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1CA24026"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35D05D4D"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123646C" w14:textId="77777777" w:rsidR="0072147A" w:rsidRDefault="0072147A" w:rsidP="00A369E3">
          <w:pPr>
            <w:rPr>
              <w:sz w:val="18"/>
            </w:rPr>
          </w:pPr>
        </w:p>
      </w:tc>
    </w:tr>
  </w:tbl>
  <w:p w14:paraId="15981330"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D594"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0672939C" w14:textId="77777777" w:rsidTr="00B33709">
      <w:tc>
        <w:tcPr>
          <w:tcW w:w="1384" w:type="dxa"/>
          <w:tcBorders>
            <w:top w:val="nil"/>
            <w:left w:val="nil"/>
            <w:bottom w:val="nil"/>
            <w:right w:val="nil"/>
          </w:tcBorders>
        </w:tcPr>
        <w:p w14:paraId="6CA57650" w14:textId="77777777" w:rsidR="0072147A" w:rsidRDefault="0072147A" w:rsidP="00A369E3">
          <w:pPr>
            <w:spacing w:line="0" w:lineRule="atLeast"/>
            <w:rPr>
              <w:sz w:val="18"/>
            </w:rPr>
          </w:pPr>
        </w:p>
      </w:tc>
      <w:tc>
        <w:tcPr>
          <w:tcW w:w="6379" w:type="dxa"/>
          <w:tcBorders>
            <w:top w:val="nil"/>
            <w:left w:val="nil"/>
            <w:bottom w:val="nil"/>
            <w:right w:val="nil"/>
          </w:tcBorders>
        </w:tcPr>
        <w:p w14:paraId="22B8DC51"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28E8CFA4" w14:textId="77777777" w:rsidR="0072147A" w:rsidRDefault="0072147A" w:rsidP="00A369E3">
          <w:pPr>
            <w:spacing w:line="0" w:lineRule="atLeast"/>
            <w:jc w:val="right"/>
            <w:rPr>
              <w:sz w:val="18"/>
            </w:rPr>
          </w:pPr>
        </w:p>
      </w:tc>
    </w:tr>
  </w:tbl>
  <w:p w14:paraId="749570A8"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8813"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1E7F7688" w14:textId="77777777" w:rsidTr="00A87A58">
      <w:tc>
        <w:tcPr>
          <w:tcW w:w="365" w:type="pct"/>
        </w:tcPr>
        <w:p w14:paraId="386DF61A"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6D871BEF"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54970">
            <w:rPr>
              <w:i/>
              <w:noProof/>
              <w:sz w:val="18"/>
            </w:rPr>
            <w:t>Act Name (Subject Matter) Kind of Instrument Year</w:t>
          </w:r>
          <w:r w:rsidRPr="004E1307">
            <w:rPr>
              <w:i/>
              <w:sz w:val="18"/>
            </w:rPr>
            <w:fldChar w:fldCharType="end"/>
          </w:r>
        </w:p>
      </w:tc>
      <w:tc>
        <w:tcPr>
          <w:tcW w:w="947" w:type="pct"/>
        </w:tcPr>
        <w:p w14:paraId="7347A485" w14:textId="77777777" w:rsidR="00F6696E" w:rsidRDefault="00F6696E" w:rsidP="000850AC">
          <w:pPr>
            <w:spacing w:line="0" w:lineRule="atLeast"/>
            <w:jc w:val="right"/>
            <w:rPr>
              <w:sz w:val="18"/>
            </w:rPr>
          </w:pPr>
        </w:p>
      </w:tc>
    </w:tr>
    <w:tr w:rsidR="00F6696E" w14:paraId="7989E9A9" w14:textId="77777777" w:rsidTr="00A87A58">
      <w:tc>
        <w:tcPr>
          <w:tcW w:w="5000" w:type="pct"/>
          <w:gridSpan w:val="3"/>
        </w:tcPr>
        <w:p w14:paraId="1AF30EC2" w14:textId="77777777" w:rsidR="00F6696E" w:rsidRDefault="00F6696E" w:rsidP="000850AC">
          <w:pPr>
            <w:jc w:val="right"/>
            <w:rPr>
              <w:sz w:val="18"/>
            </w:rPr>
          </w:pPr>
        </w:p>
      </w:tc>
    </w:tr>
  </w:tbl>
  <w:p w14:paraId="3AD5F9A5"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5C57"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4A00CE25" w14:textId="77777777" w:rsidTr="00A87A58">
      <w:tc>
        <w:tcPr>
          <w:tcW w:w="947" w:type="pct"/>
        </w:tcPr>
        <w:p w14:paraId="55206B51" w14:textId="77777777" w:rsidR="00F6696E" w:rsidRDefault="00F6696E" w:rsidP="000850AC">
          <w:pPr>
            <w:spacing w:line="0" w:lineRule="atLeast"/>
            <w:rPr>
              <w:sz w:val="18"/>
            </w:rPr>
          </w:pPr>
        </w:p>
      </w:tc>
      <w:tc>
        <w:tcPr>
          <w:tcW w:w="3688" w:type="pct"/>
        </w:tcPr>
        <w:p w14:paraId="57C1EA0D" w14:textId="7DCE63ED"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15760">
            <w:rPr>
              <w:i/>
              <w:noProof/>
              <w:sz w:val="18"/>
            </w:rPr>
            <w:t>Net Zero Economy Authority (Guidelines for Determining a Receiving Employer) Notifiable Instrument 2025</w:t>
          </w:r>
          <w:r w:rsidRPr="004E1307">
            <w:rPr>
              <w:i/>
              <w:sz w:val="18"/>
            </w:rPr>
            <w:fldChar w:fldCharType="end"/>
          </w:r>
        </w:p>
      </w:tc>
      <w:tc>
        <w:tcPr>
          <w:tcW w:w="365" w:type="pct"/>
        </w:tcPr>
        <w:p w14:paraId="453CD694"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46D2D">
            <w:rPr>
              <w:i/>
              <w:noProof/>
              <w:sz w:val="18"/>
            </w:rPr>
            <w:t>i</w:t>
          </w:r>
          <w:r w:rsidRPr="00ED79B6">
            <w:rPr>
              <w:i/>
              <w:sz w:val="18"/>
            </w:rPr>
            <w:fldChar w:fldCharType="end"/>
          </w:r>
        </w:p>
      </w:tc>
    </w:tr>
    <w:tr w:rsidR="00F6696E" w14:paraId="13534A1D" w14:textId="77777777" w:rsidTr="00A87A58">
      <w:tc>
        <w:tcPr>
          <w:tcW w:w="5000" w:type="pct"/>
          <w:gridSpan w:val="3"/>
        </w:tcPr>
        <w:p w14:paraId="1BF14E3D" w14:textId="77777777" w:rsidR="00F6696E" w:rsidRDefault="00F6696E" w:rsidP="000850AC">
          <w:pPr>
            <w:rPr>
              <w:sz w:val="18"/>
            </w:rPr>
          </w:pPr>
        </w:p>
      </w:tc>
    </w:tr>
  </w:tbl>
  <w:p w14:paraId="7D4EE6BD"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A6BA"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4A5E5ACD" w14:textId="77777777" w:rsidTr="00A87A58">
      <w:tc>
        <w:tcPr>
          <w:tcW w:w="365" w:type="pct"/>
        </w:tcPr>
        <w:p w14:paraId="11A739C4"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46D2D">
            <w:rPr>
              <w:i/>
              <w:noProof/>
              <w:sz w:val="18"/>
            </w:rPr>
            <w:t>2</w:t>
          </w:r>
          <w:r w:rsidRPr="00ED79B6">
            <w:rPr>
              <w:i/>
              <w:sz w:val="18"/>
            </w:rPr>
            <w:fldChar w:fldCharType="end"/>
          </w:r>
        </w:p>
      </w:tc>
      <w:tc>
        <w:tcPr>
          <w:tcW w:w="3688" w:type="pct"/>
        </w:tcPr>
        <w:p w14:paraId="575FC1FC" w14:textId="176C6ECA"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15760">
            <w:rPr>
              <w:i/>
              <w:noProof/>
              <w:sz w:val="18"/>
            </w:rPr>
            <w:t>Net Zero Economy Authority (Guidelines for Determining a Receiving Employer) Notifiable Instrument 2025</w:t>
          </w:r>
          <w:r w:rsidRPr="004E1307">
            <w:rPr>
              <w:i/>
              <w:sz w:val="18"/>
            </w:rPr>
            <w:fldChar w:fldCharType="end"/>
          </w:r>
        </w:p>
      </w:tc>
      <w:tc>
        <w:tcPr>
          <w:tcW w:w="947" w:type="pct"/>
        </w:tcPr>
        <w:p w14:paraId="0FA1B9B7" w14:textId="77777777" w:rsidR="008C2EAC" w:rsidRDefault="008C2EAC" w:rsidP="000850AC">
          <w:pPr>
            <w:spacing w:line="0" w:lineRule="atLeast"/>
            <w:jc w:val="right"/>
            <w:rPr>
              <w:sz w:val="18"/>
            </w:rPr>
          </w:pPr>
        </w:p>
      </w:tc>
    </w:tr>
    <w:tr w:rsidR="008C2EAC" w14:paraId="23DD65B6" w14:textId="77777777" w:rsidTr="00A87A58">
      <w:tc>
        <w:tcPr>
          <w:tcW w:w="5000" w:type="pct"/>
          <w:gridSpan w:val="3"/>
        </w:tcPr>
        <w:p w14:paraId="20CE4297" w14:textId="77777777" w:rsidR="008C2EAC" w:rsidRDefault="008C2EAC" w:rsidP="000850AC">
          <w:pPr>
            <w:jc w:val="right"/>
            <w:rPr>
              <w:sz w:val="18"/>
            </w:rPr>
          </w:pPr>
        </w:p>
      </w:tc>
    </w:tr>
  </w:tbl>
  <w:p w14:paraId="7F93BC33"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2EA98"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5F824CA0" w14:textId="77777777" w:rsidTr="00A87A58">
      <w:tc>
        <w:tcPr>
          <w:tcW w:w="947" w:type="pct"/>
        </w:tcPr>
        <w:p w14:paraId="73AED016" w14:textId="77777777" w:rsidR="008C2EAC" w:rsidRDefault="008C2EAC" w:rsidP="000850AC">
          <w:pPr>
            <w:spacing w:line="0" w:lineRule="atLeast"/>
            <w:rPr>
              <w:sz w:val="18"/>
            </w:rPr>
          </w:pPr>
        </w:p>
      </w:tc>
      <w:tc>
        <w:tcPr>
          <w:tcW w:w="3688" w:type="pct"/>
        </w:tcPr>
        <w:p w14:paraId="1471DA66" w14:textId="31D18E06"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15760">
            <w:rPr>
              <w:i/>
              <w:noProof/>
              <w:sz w:val="18"/>
            </w:rPr>
            <w:t>Net Zero Economy Authority (Guidelines for Determining a Receiving Employer) Notifiable Instrument 2025</w:t>
          </w:r>
          <w:r w:rsidRPr="004E1307">
            <w:rPr>
              <w:i/>
              <w:sz w:val="18"/>
            </w:rPr>
            <w:fldChar w:fldCharType="end"/>
          </w:r>
        </w:p>
      </w:tc>
      <w:tc>
        <w:tcPr>
          <w:tcW w:w="365" w:type="pct"/>
        </w:tcPr>
        <w:p w14:paraId="6ED43F03"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46D2D">
            <w:rPr>
              <w:i/>
              <w:noProof/>
              <w:sz w:val="18"/>
            </w:rPr>
            <w:t>1</w:t>
          </w:r>
          <w:r w:rsidRPr="00ED79B6">
            <w:rPr>
              <w:i/>
              <w:sz w:val="18"/>
            </w:rPr>
            <w:fldChar w:fldCharType="end"/>
          </w:r>
        </w:p>
      </w:tc>
    </w:tr>
    <w:tr w:rsidR="008C2EAC" w14:paraId="545F109B" w14:textId="77777777" w:rsidTr="00A87A58">
      <w:tc>
        <w:tcPr>
          <w:tcW w:w="5000" w:type="pct"/>
          <w:gridSpan w:val="3"/>
        </w:tcPr>
        <w:p w14:paraId="24C27DC1" w14:textId="77777777" w:rsidR="008C2EAC" w:rsidRDefault="008C2EAC" w:rsidP="000850AC">
          <w:pPr>
            <w:rPr>
              <w:sz w:val="18"/>
            </w:rPr>
          </w:pPr>
        </w:p>
      </w:tc>
    </w:tr>
  </w:tbl>
  <w:p w14:paraId="5E0CECB0"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AD609" w14:textId="77777777" w:rsidR="00754970" w:rsidRDefault="00754970" w:rsidP="00715914">
      <w:pPr>
        <w:spacing w:line="240" w:lineRule="auto"/>
      </w:pPr>
      <w:r>
        <w:separator/>
      </w:r>
    </w:p>
  </w:footnote>
  <w:footnote w:type="continuationSeparator" w:id="0">
    <w:p w14:paraId="7F79845E" w14:textId="77777777" w:rsidR="00754970" w:rsidRDefault="0075497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9840"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D6DA"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5632C" w14:textId="77777777"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2ED8"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84E9"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A33F" w14:textId="77777777" w:rsidR="004E1307" w:rsidRDefault="004E1307" w:rsidP="00715914">
    <w:pPr>
      <w:rPr>
        <w:sz w:val="20"/>
      </w:rPr>
    </w:pPr>
  </w:p>
  <w:p w14:paraId="73CF780F" w14:textId="77777777" w:rsidR="004E1307" w:rsidRDefault="004E1307" w:rsidP="00715914">
    <w:pPr>
      <w:rPr>
        <w:sz w:val="20"/>
      </w:rPr>
    </w:pPr>
  </w:p>
  <w:p w14:paraId="793DD5ED" w14:textId="77777777" w:rsidR="004E1307" w:rsidRPr="007A1328" w:rsidRDefault="004E1307" w:rsidP="00715914">
    <w:pPr>
      <w:rPr>
        <w:sz w:val="20"/>
      </w:rPr>
    </w:pPr>
  </w:p>
  <w:p w14:paraId="5444D650" w14:textId="77777777" w:rsidR="004E1307" w:rsidRPr="007A1328" w:rsidRDefault="004E1307" w:rsidP="00715914">
    <w:pPr>
      <w:rPr>
        <w:b/>
        <w:sz w:val="24"/>
      </w:rPr>
    </w:pPr>
  </w:p>
  <w:p w14:paraId="6FDEA695"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9F97" w14:textId="77777777" w:rsidR="004E1307" w:rsidRPr="007A1328" w:rsidRDefault="004E1307" w:rsidP="00715914">
    <w:pPr>
      <w:jc w:val="right"/>
      <w:rPr>
        <w:sz w:val="20"/>
      </w:rPr>
    </w:pPr>
  </w:p>
  <w:p w14:paraId="029F4BB6" w14:textId="77777777" w:rsidR="004E1307" w:rsidRPr="007A1328" w:rsidRDefault="004E1307" w:rsidP="00715914">
    <w:pPr>
      <w:jc w:val="right"/>
      <w:rPr>
        <w:sz w:val="20"/>
      </w:rPr>
    </w:pPr>
  </w:p>
  <w:p w14:paraId="34282F27" w14:textId="77777777" w:rsidR="004E1307" w:rsidRPr="007A1328" w:rsidRDefault="004E1307" w:rsidP="00715914">
    <w:pPr>
      <w:jc w:val="right"/>
      <w:rPr>
        <w:sz w:val="20"/>
      </w:rPr>
    </w:pPr>
  </w:p>
  <w:p w14:paraId="04A5C131" w14:textId="77777777" w:rsidR="004E1307" w:rsidRPr="007A1328" w:rsidRDefault="004E1307" w:rsidP="00715914">
    <w:pPr>
      <w:jc w:val="right"/>
      <w:rPr>
        <w:b/>
        <w:sz w:val="24"/>
      </w:rPr>
    </w:pPr>
  </w:p>
  <w:p w14:paraId="65F12CFF"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444A3"/>
    <w:multiLevelType w:val="hybridMultilevel"/>
    <w:tmpl w:val="B39A9034"/>
    <w:lvl w:ilvl="0" w:tplc="A34E6712">
      <w:start w:val="1"/>
      <w:numFmt w:val="decimal"/>
      <w:lvlText w:val="(%1)"/>
      <w:lvlJc w:val="left"/>
      <w:pPr>
        <w:ind w:left="1115" w:hanging="69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F6685"/>
    <w:multiLevelType w:val="hybridMultilevel"/>
    <w:tmpl w:val="549690D2"/>
    <w:lvl w:ilvl="0" w:tplc="A9828BEC">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992981"/>
    <w:multiLevelType w:val="hybridMultilevel"/>
    <w:tmpl w:val="C6D46B88"/>
    <w:lvl w:ilvl="0" w:tplc="E4CAB5D8">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C312F84"/>
    <w:multiLevelType w:val="hybridMultilevel"/>
    <w:tmpl w:val="6798C5F0"/>
    <w:lvl w:ilvl="0" w:tplc="0B56338E">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7" w15:restartNumberingAfterBreak="0">
    <w:nsid w:val="577F76D2"/>
    <w:multiLevelType w:val="hybridMultilevel"/>
    <w:tmpl w:val="73562D56"/>
    <w:lvl w:ilvl="0" w:tplc="60F0666E">
      <w:start w:val="1"/>
      <w:numFmt w:val="lowerLetter"/>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8" w15:restartNumberingAfterBreak="0">
    <w:nsid w:val="5BBC1244"/>
    <w:multiLevelType w:val="hybridMultilevel"/>
    <w:tmpl w:val="B734D634"/>
    <w:lvl w:ilvl="0" w:tplc="0C090017">
      <w:start w:val="1"/>
      <w:numFmt w:val="lowerLetter"/>
      <w:lvlText w:val="%1)"/>
      <w:lvlJc w:val="left"/>
      <w:pPr>
        <w:ind w:left="1130" w:hanging="360"/>
      </w:pPr>
      <w:rPr>
        <w:rFonts w:hint="default"/>
      </w:rPr>
    </w:lvl>
    <w:lvl w:ilvl="1" w:tplc="0C090019">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num w:numId="1" w16cid:durableId="531966018">
    <w:abstractNumId w:val="9"/>
  </w:num>
  <w:num w:numId="2" w16cid:durableId="612902452">
    <w:abstractNumId w:val="7"/>
  </w:num>
  <w:num w:numId="3" w16cid:durableId="1463573727">
    <w:abstractNumId w:val="6"/>
  </w:num>
  <w:num w:numId="4" w16cid:durableId="1686974074">
    <w:abstractNumId w:val="5"/>
  </w:num>
  <w:num w:numId="5" w16cid:durableId="1451827250">
    <w:abstractNumId w:val="4"/>
  </w:num>
  <w:num w:numId="6" w16cid:durableId="1063332839">
    <w:abstractNumId w:val="8"/>
  </w:num>
  <w:num w:numId="7" w16cid:durableId="488331519">
    <w:abstractNumId w:val="3"/>
  </w:num>
  <w:num w:numId="8" w16cid:durableId="285237352">
    <w:abstractNumId w:val="2"/>
  </w:num>
  <w:num w:numId="9" w16cid:durableId="1757942596">
    <w:abstractNumId w:val="1"/>
  </w:num>
  <w:num w:numId="10" w16cid:durableId="569773307">
    <w:abstractNumId w:val="0"/>
  </w:num>
  <w:num w:numId="11" w16cid:durableId="1379547686">
    <w:abstractNumId w:val="15"/>
  </w:num>
  <w:num w:numId="12" w16cid:durableId="165092360">
    <w:abstractNumId w:val="11"/>
  </w:num>
  <w:num w:numId="13" w16cid:durableId="2095395215">
    <w:abstractNumId w:val="13"/>
  </w:num>
  <w:num w:numId="14" w16cid:durableId="1902061328">
    <w:abstractNumId w:val="12"/>
  </w:num>
  <w:num w:numId="15" w16cid:durableId="1238713388">
    <w:abstractNumId w:val="10"/>
  </w:num>
  <w:num w:numId="16" w16cid:durableId="1170174505">
    <w:abstractNumId w:val="17"/>
  </w:num>
  <w:num w:numId="17" w16cid:durableId="750782050">
    <w:abstractNumId w:val="14"/>
  </w:num>
  <w:num w:numId="18" w16cid:durableId="429474968">
    <w:abstractNumId w:val="16"/>
  </w:num>
  <w:num w:numId="19" w16cid:durableId="20520700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removePersonalInformation/>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970"/>
    <w:rsid w:val="00004174"/>
    <w:rsid w:val="00004470"/>
    <w:rsid w:val="000136AF"/>
    <w:rsid w:val="000258B1"/>
    <w:rsid w:val="00040A89"/>
    <w:rsid w:val="000437C1"/>
    <w:rsid w:val="0004455A"/>
    <w:rsid w:val="0005365D"/>
    <w:rsid w:val="000614BF"/>
    <w:rsid w:val="0006709C"/>
    <w:rsid w:val="00074376"/>
    <w:rsid w:val="000978F5"/>
    <w:rsid w:val="000B15CD"/>
    <w:rsid w:val="000B35EB"/>
    <w:rsid w:val="000D05EF"/>
    <w:rsid w:val="000E2261"/>
    <w:rsid w:val="000E78B7"/>
    <w:rsid w:val="000F21C1"/>
    <w:rsid w:val="0010745C"/>
    <w:rsid w:val="00132CEB"/>
    <w:rsid w:val="001339B0"/>
    <w:rsid w:val="00142B62"/>
    <w:rsid w:val="001441B7"/>
    <w:rsid w:val="001516CB"/>
    <w:rsid w:val="00152336"/>
    <w:rsid w:val="00157B8B"/>
    <w:rsid w:val="00166C2F"/>
    <w:rsid w:val="00170761"/>
    <w:rsid w:val="001809D7"/>
    <w:rsid w:val="001939E1"/>
    <w:rsid w:val="00194C3E"/>
    <w:rsid w:val="00195382"/>
    <w:rsid w:val="001B2CB6"/>
    <w:rsid w:val="001C61C5"/>
    <w:rsid w:val="001C69C4"/>
    <w:rsid w:val="001D37EF"/>
    <w:rsid w:val="001E3590"/>
    <w:rsid w:val="001E7407"/>
    <w:rsid w:val="001F5D5E"/>
    <w:rsid w:val="001F6219"/>
    <w:rsid w:val="001F6CD4"/>
    <w:rsid w:val="00206C4D"/>
    <w:rsid w:val="00215AF1"/>
    <w:rsid w:val="002321E8"/>
    <w:rsid w:val="00232984"/>
    <w:rsid w:val="0024010F"/>
    <w:rsid w:val="00240749"/>
    <w:rsid w:val="00243018"/>
    <w:rsid w:val="002564A4"/>
    <w:rsid w:val="0026736C"/>
    <w:rsid w:val="00281308"/>
    <w:rsid w:val="00284719"/>
    <w:rsid w:val="00297ECB"/>
    <w:rsid w:val="002A7BCF"/>
    <w:rsid w:val="002B4B13"/>
    <w:rsid w:val="002C3FD1"/>
    <w:rsid w:val="002D043A"/>
    <w:rsid w:val="002D266B"/>
    <w:rsid w:val="002D6224"/>
    <w:rsid w:val="00304F8B"/>
    <w:rsid w:val="00335BC6"/>
    <w:rsid w:val="003415D3"/>
    <w:rsid w:val="00344338"/>
    <w:rsid w:val="00344701"/>
    <w:rsid w:val="00352B0F"/>
    <w:rsid w:val="00360459"/>
    <w:rsid w:val="0038049F"/>
    <w:rsid w:val="003C6231"/>
    <w:rsid w:val="003D0BFE"/>
    <w:rsid w:val="003D5700"/>
    <w:rsid w:val="003E341B"/>
    <w:rsid w:val="003E4D00"/>
    <w:rsid w:val="004116CD"/>
    <w:rsid w:val="00417EB9"/>
    <w:rsid w:val="00424CA9"/>
    <w:rsid w:val="004276DF"/>
    <w:rsid w:val="00431E9B"/>
    <w:rsid w:val="004379E3"/>
    <w:rsid w:val="0044015E"/>
    <w:rsid w:val="0044291A"/>
    <w:rsid w:val="00467661"/>
    <w:rsid w:val="00472DBE"/>
    <w:rsid w:val="00474A19"/>
    <w:rsid w:val="00477830"/>
    <w:rsid w:val="00487764"/>
    <w:rsid w:val="00496F97"/>
    <w:rsid w:val="004B6C48"/>
    <w:rsid w:val="004C4E59"/>
    <w:rsid w:val="004C6809"/>
    <w:rsid w:val="004E063A"/>
    <w:rsid w:val="004E1307"/>
    <w:rsid w:val="004E7BEC"/>
    <w:rsid w:val="00505D3D"/>
    <w:rsid w:val="00506AF6"/>
    <w:rsid w:val="00516B8D"/>
    <w:rsid w:val="005303C8"/>
    <w:rsid w:val="00537FBC"/>
    <w:rsid w:val="00554826"/>
    <w:rsid w:val="00562877"/>
    <w:rsid w:val="00584811"/>
    <w:rsid w:val="00585784"/>
    <w:rsid w:val="00593AA6"/>
    <w:rsid w:val="00594161"/>
    <w:rsid w:val="00594749"/>
    <w:rsid w:val="005A65D5"/>
    <w:rsid w:val="005B4067"/>
    <w:rsid w:val="005C3F41"/>
    <w:rsid w:val="005D1D92"/>
    <w:rsid w:val="005D2D09"/>
    <w:rsid w:val="00600219"/>
    <w:rsid w:val="00604F2A"/>
    <w:rsid w:val="00620076"/>
    <w:rsid w:val="00627E0A"/>
    <w:rsid w:val="0065488B"/>
    <w:rsid w:val="00670EA1"/>
    <w:rsid w:val="00677CC2"/>
    <w:rsid w:val="0068744B"/>
    <w:rsid w:val="006905DE"/>
    <w:rsid w:val="0069207B"/>
    <w:rsid w:val="006A154F"/>
    <w:rsid w:val="006A437B"/>
    <w:rsid w:val="006B5789"/>
    <w:rsid w:val="006C30C5"/>
    <w:rsid w:val="006C7F8C"/>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31E00"/>
    <w:rsid w:val="007440B7"/>
    <w:rsid w:val="007500C8"/>
    <w:rsid w:val="00754970"/>
    <w:rsid w:val="00756272"/>
    <w:rsid w:val="00762D38"/>
    <w:rsid w:val="007715C9"/>
    <w:rsid w:val="00771613"/>
    <w:rsid w:val="00774EDD"/>
    <w:rsid w:val="007757EC"/>
    <w:rsid w:val="00783E89"/>
    <w:rsid w:val="00793915"/>
    <w:rsid w:val="007C2253"/>
    <w:rsid w:val="007D7911"/>
    <w:rsid w:val="007E163D"/>
    <w:rsid w:val="007E667A"/>
    <w:rsid w:val="007F28C9"/>
    <w:rsid w:val="007F51B2"/>
    <w:rsid w:val="008040DD"/>
    <w:rsid w:val="008117E9"/>
    <w:rsid w:val="00824498"/>
    <w:rsid w:val="00826BD1"/>
    <w:rsid w:val="00854D0B"/>
    <w:rsid w:val="00856A31"/>
    <w:rsid w:val="00857A35"/>
    <w:rsid w:val="00860B4E"/>
    <w:rsid w:val="00867B37"/>
    <w:rsid w:val="008754D0"/>
    <w:rsid w:val="00875D13"/>
    <w:rsid w:val="008855C9"/>
    <w:rsid w:val="00886456"/>
    <w:rsid w:val="00896176"/>
    <w:rsid w:val="008A46E1"/>
    <w:rsid w:val="008A4F43"/>
    <w:rsid w:val="008B2706"/>
    <w:rsid w:val="008C2EAC"/>
    <w:rsid w:val="008D0EE0"/>
    <w:rsid w:val="008E0027"/>
    <w:rsid w:val="008E6067"/>
    <w:rsid w:val="008F54E7"/>
    <w:rsid w:val="00903422"/>
    <w:rsid w:val="009254C3"/>
    <w:rsid w:val="00930E1D"/>
    <w:rsid w:val="00932377"/>
    <w:rsid w:val="00941236"/>
    <w:rsid w:val="00943FD5"/>
    <w:rsid w:val="00947D5A"/>
    <w:rsid w:val="009532A5"/>
    <w:rsid w:val="009545BD"/>
    <w:rsid w:val="00964CF0"/>
    <w:rsid w:val="00977806"/>
    <w:rsid w:val="00982242"/>
    <w:rsid w:val="009868E9"/>
    <w:rsid w:val="009900A3"/>
    <w:rsid w:val="009C3413"/>
    <w:rsid w:val="00A0441E"/>
    <w:rsid w:val="00A12128"/>
    <w:rsid w:val="00A22C98"/>
    <w:rsid w:val="00A231E2"/>
    <w:rsid w:val="00A369E3"/>
    <w:rsid w:val="00A46D2D"/>
    <w:rsid w:val="00A57600"/>
    <w:rsid w:val="00A64912"/>
    <w:rsid w:val="00A6686B"/>
    <w:rsid w:val="00A70A74"/>
    <w:rsid w:val="00A75FE9"/>
    <w:rsid w:val="00AD53CC"/>
    <w:rsid w:val="00AD5641"/>
    <w:rsid w:val="00AF06CF"/>
    <w:rsid w:val="00B07CDB"/>
    <w:rsid w:val="00B15760"/>
    <w:rsid w:val="00B16A31"/>
    <w:rsid w:val="00B17DFD"/>
    <w:rsid w:val="00B25306"/>
    <w:rsid w:val="00B27831"/>
    <w:rsid w:val="00B308FE"/>
    <w:rsid w:val="00B33709"/>
    <w:rsid w:val="00B33B3C"/>
    <w:rsid w:val="00B36392"/>
    <w:rsid w:val="00B418CB"/>
    <w:rsid w:val="00B47444"/>
    <w:rsid w:val="00B50ADC"/>
    <w:rsid w:val="00B566B1"/>
    <w:rsid w:val="00B63834"/>
    <w:rsid w:val="00B80199"/>
    <w:rsid w:val="00B83204"/>
    <w:rsid w:val="00B856E7"/>
    <w:rsid w:val="00BA220B"/>
    <w:rsid w:val="00BA3A57"/>
    <w:rsid w:val="00BB1533"/>
    <w:rsid w:val="00BB4E1A"/>
    <w:rsid w:val="00BC015E"/>
    <w:rsid w:val="00BC76AC"/>
    <w:rsid w:val="00BD0ECB"/>
    <w:rsid w:val="00BE2155"/>
    <w:rsid w:val="00BE719A"/>
    <w:rsid w:val="00BE720A"/>
    <w:rsid w:val="00BF0D73"/>
    <w:rsid w:val="00BF2465"/>
    <w:rsid w:val="00C16619"/>
    <w:rsid w:val="00C25E7F"/>
    <w:rsid w:val="00C2746F"/>
    <w:rsid w:val="00C323D6"/>
    <w:rsid w:val="00C324A0"/>
    <w:rsid w:val="00C42BF8"/>
    <w:rsid w:val="00C50043"/>
    <w:rsid w:val="00C7573B"/>
    <w:rsid w:val="00C97A54"/>
    <w:rsid w:val="00CA5B23"/>
    <w:rsid w:val="00CB602E"/>
    <w:rsid w:val="00CB7E90"/>
    <w:rsid w:val="00CE051D"/>
    <w:rsid w:val="00CE1335"/>
    <w:rsid w:val="00CE493D"/>
    <w:rsid w:val="00CF07FA"/>
    <w:rsid w:val="00CF0BB2"/>
    <w:rsid w:val="00CF3EE8"/>
    <w:rsid w:val="00D13441"/>
    <w:rsid w:val="00D150E7"/>
    <w:rsid w:val="00D52DC2"/>
    <w:rsid w:val="00D53BCC"/>
    <w:rsid w:val="00D54C9E"/>
    <w:rsid w:val="00D6537E"/>
    <w:rsid w:val="00D70DFB"/>
    <w:rsid w:val="00D766DF"/>
    <w:rsid w:val="00D8206C"/>
    <w:rsid w:val="00D91F10"/>
    <w:rsid w:val="00DA186E"/>
    <w:rsid w:val="00DA4116"/>
    <w:rsid w:val="00DB251C"/>
    <w:rsid w:val="00DB4630"/>
    <w:rsid w:val="00DC4F88"/>
    <w:rsid w:val="00DE107C"/>
    <w:rsid w:val="00DF2388"/>
    <w:rsid w:val="00E05704"/>
    <w:rsid w:val="00E338EF"/>
    <w:rsid w:val="00E544BB"/>
    <w:rsid w:val="00E74DC7"/>
    <w:rsid w:val="00E8075A"/>
    <w:rsid w:val="00E940D8"/>
    <w:rsid w:val="00E94D5E"/>
    <w:rsid w:val="00EA7100"/>
    <w:rsid w:val="00EA7F9F"/>
    <w:rsid w:val="00EB1274"/>
    <w:rsid w:val="00ED2BB6"/>
    <w:rsid w:val="00ED34E1"/>
    <w:rsid w:val="00ED3B8D"/>
    <w:rsid w:val="00EE5E36"/>
    <w:rsid w:val="00EF2E3A"/>
    <w:rsid w:val="00F02C7C"/>
    <w:rsid w:val="00F072A7"/>
    <w:rsid w:val="00F078DC"/>
    <w:rsid w:val="00F32BA8"/>
    <w:rsid w:val="00F32EE0"/>
    <w:rsid w:val="00F349F1"/>
    <w:rsid w:val="00F4350D"/>
    <w:rsid w:val="00F479C4"/>
    <w:rsid w:val="00F567F7"/>
    <w:rsid w:val="00F6696E"/>
    <w:rsid w:val="00F73BD6"/>
    <w:rsid w:val="00F83989"/>
    <w:rsid w:val="00F85099"/>
    <w:rsid w:val="00F9379C"/>
    <w:rsid w:val="00F9632C"/>
    <w:rsid w:val="00FA1E52"/>
    <w:rsid w:val="00FB5A08"/>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05C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unhideWhenUsed/>
    <w:qFormat/>
    <w:rsid w:val="00B15760"/>
    <w:pPr>
      <w:spacing w:after="160" w:line="264" w:lineRule="auto"/>
      <w:ind w:left="720"/>
      <w:contextualSpacing/>
    </w:pPr>
    <w:rPr>
      <w:rFonts w:asciiTheme="minorHAnsi" w:eastAsiaTheme="minorEastAsia" w:hAnsiTheme="minorHAns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4EFCB-558F-4021-B172-8AACBEF3A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2024-12-23T22:39:00Z</dcterms:created>
  <dcterms:modified xsi:type="dcterms:W3CDTF">2025-03-21T02:27:00Z</dcterms:modified>
</cp:coreProperties>
</file>