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5444" w14:textId="454EA9C4" w:rsidR="00BC3821" w:rsidRDefault="00962CE2" w:rsidP="001D1E4F">
      <w:pPr>
        <w:keepNext/>
        <w:spacing w:after="120" w:line="276" w:lineRule="auto"/>
        <w:jc w:val="center"/>
        <w:outlineLvl w:val="4"/>
      </w:pPr>
      <w:r>
        <w:rPr>
          <w:noProof/>
        </w:rPr>
        <w:drawing>
          <wp:inline distT="0" distB="0" distL="0" distR="0" wp14:anchorId="4CB1546A" wp14:editId="5923966D">
            <wp:extent cx="1066800" cy="9017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901700"/>
                    </a:xfrm>
                    <a:prstGeom prst="rect">
                      <a:avLst/>
                    </a:prstGeom>
                    <a:noFill/>
                    <a:ln>
                      <a:noFill/>
                    </a:ln>
                  </pic:spPr>
                </pic:pic>
              </a:graphicData>
            </a:graphic>
          </wp:inline>
        </w:drawing>
      </w:r>
    </w:p>
    <w:p w14:paraId="4CB15445" w14:textId="77777777" w:rsidR="00BC3821" w:rsidRDefault="00BC3821" w:rsidP="001D1E4F">
      <w:pPr>
        <w:pStyle w:val="Title"/>
        <w:keepNext/>
        <w:spacing w:after="120" w:line="276" w:lineRule="auto"/>
        <w:ind w:right="0"/>
        <w:outlineLvl w:val="4"/>
        <w:rPr>
          <w:sz w:val="24"/>
        </w:rPr>
      </w:pPr>
      <w:r>
        <w:rPr>
          <w:sz w:val="24"/>
        </w:rPr>
        <w:t>COMMONWEALTH OF AUSTRALIA</w:t>
      </w:r>
    </w:p>
    <w:p w14:paraId="4CB15446" w14:textId="77777777" w:rsidR="00BC3821" w:rsidRPr="00CF5312" w:rsidRDefault="00BC3821" w:rsidP="001D1E4F">
      <w:pPr>
        <w:pStyle w:val="Heading5"/>
        <w:spacing w:after="120" w:line="276" w:lineRule="auto"/>
        <w:ind w:left="0"/>
        <w:jc w:val="center"/>
        <w:rPr>
          <w:b/>
          <w:sz w:val="24"/>
        </w:rPr>
      </w:pPr>
      <w:r w:rsidRPr="00CF5312">
        <w:rPr>
          <w:b/>
          <w:sz w:val="24"/>
        </w:rPr>
        <w:t>Environment Protection and Biodiversity Conservation Act 1999</w:t>
      </w:r>
    </w:p>
    <w:p w14:paraId="4CB15448" w14:textId="314D9596" w:rsidR="00BC3821" w:rsidRPr="00881248" w:rsidRDefault="00BC3821" w:rsidP="001D1E4F">
      <w:pPr>
        <w:pStyle w:val="Heading6"/>
        <w:spacing w:after="120" w:line="276" w:lineRule="auto"/>
        <w:jc w:val="center"/>
        <w:rPr>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r w:rsidR="000A79D6">
        <w:rPr>
          <w:snapToGrid w:val="0"/>
          <w:sz w:val="24"/>
          <w:szCs w:val="24"/>
        </w:rPr>
        <w:t>Victorian Oceanreef Aquaculture</w:t>
      </w:r>
      <w:r w:rsidR="001437D5" w:rsidRPr="001D1E4F">
        <w:rPr>
          <w:snapToGrid w:val="0"/>
          <w:sz w:val="24"/>
          <w:szCs w:val="24"/>
        </w:rPr>
        <w:t>,</w:t>
      </w:r>
      <w:r w:rsidR="000A79D6">
        <w:rPr>
          <w:snapToGrid w:val="0"/>
          <w:sz w:val="24"/>
          <w:szCs w:val="24"/>
        </w:rPr>
        <w:t xml:space="preserve"> </w:t>
      </w:r>
      <w:r w:rsidR="0033114B">
        <w:rPr>
          <w:snapToGrid w:val="0"/>
          <w:sz w:val="24"/>
          <w:szCs w:val="24"/>
        </w:rPr>
        <w:t>March 2025</w:t>
      </w:r>
    </w:p>
    <w:p w14:paraId="0B988075" w14:textId="6ABF0326" w:rsidR="004C3DEE" w:rsidRPr="009C5305" w:rsidRDefault="00BC3821" w:rsidP="001D1E4F">
      <w:pPr>
        <w:spacing w:after="120" w:line="276" w:lineRule="auto"/>
        <w:rPr>
          <w:sz w:val="22"/>
          <w:szCs w:val="22"/>
        </w:rPr>
      </w:pPr>
      <w:r w:rsidRPr="001D1E4F">
        <w:rPr>
          <w:sz w:val="22"/>
          <w:szCs w:val="22"/>
        </w:rPr>
        <w:t xml:space="preserve">I, </w:t>
      </w:r>
      <w:r w:rsidR="522FAC62" w:rsidRPr="001D1E4F">
        <w:rPr>
          <w:sz w:val="22"/>
          <w:szCs w:val="22"/>
        </w:rPr>
        <w:t>JESS</w:t>
      </w:r>
      <w:r w:rsidR="5A379C26" w:rsidRPr="001D1E4F">
        <w:rPr>
          <w:sz w:val="22"/>
          <w:szCs w:val="22"/>
        </w:rPr>
        <w:t>ICA</w:t>
      </w:r>
      <w:r w:rsidR="522FAC62" w:rsidRPr="001D1E4F">
        <w:rPr>
          <w:sz w:val="22"/>
          <w:szCs w:val="22"/>
        </w:rPr>
        <w:t xml:space="preserve"> HOEY</w:t>
      </w:r>
      <w:bookmarkStart w:id="0" w:name="_Hlk40258623"/>
      <w:r w:rsidR="00581628" w:rsidRPr="79A6E740">
        <w:rPr>
          <w:sz w:val="22"/>
          <w:szCs w:val="22"/>
        </w:rPr>
        <w:t>,</w:t>
      </w:r>
      <w:r w:rsidR="002277BD" w:rsidRPr="79A6E740">
        <w:rPr>
          <w:sz w:val="22"/>
          <w:szCs w:val="22"/>
        </w:rPr>
        <w:t xml:space="preserve"> Director</w:t>
      </w:r>
      <w:r w:rsidR="001D1E4F" w:rsidRPr="79A6E740">
        <w:rPr>
          <w:sz w:val="22"/>
          <w:szCs w:val="22"/>
        </w:rPr>
        <w:t>,</w:t>
      </w:r>
      <w:r w:rsidR="002277BD">
        <w:rPr>
          <w:sz w:val="22"/>
          <w:szCs w:val="22"/>
        </w:rPr>
        <w:t xml:space="preserve"> Sustainable Fisheries</w:t>
      </w:r>
      <w:r w:rsidR="57533EE1">
        <w:rPr>
          <w:sz w:val="22"/>
          <w:szCs w:val="22"/>
        </w:rPr>
        <w:t xml:space="preserve"> Section</w:t>
      </w:r>
      <w:r w:rsidR="00581628" w:rsidRPr="001D1E4F">
        <w:rPr>
          <w:sz w:val="22"/>
          <w:szCs w:val="22"/>
        </w:rPr>
        <w:t>, as Delegate of the</w:t>
      </w:r>
      <w:bookmarkEnd w:id="0"/>
      <w:r w:rsidR="00C8489C" w:rsidRPr="001D1E4F">
        <w:rPr>
          <w:sz w:val="22"/>
          <w:szCs w:val="22"/>
        </w:rPr>
        <w:t xml:space="preserve"> M</w:t>
      </w:r>
      <w:r w:rsidR="00581628" w:rsidRPr="001D1E4F">
        <w:rPr>
          <w:sz w:val="22"/>
          <w:szCs w:val="22"/>
        </w:rPr>
        <w:t xml:space="preserve">inister </w:t>
      </w:r>
      <w:r w:rsidR="004C3DEE" w:rsidRPr="001D1E4F">
        <w:rPr>
          <w:sz w:val="22"/>
          <w:szCs w:val="22"/>
        </w:rPr>
        <w:t>for the Environment</w:t>
      </w:r>
      <w:r w:rsidR="001D1E4F" w:rsidRPr="001D1E4F">
        <w:rPr>
          <w:sz w:val="22"/>
          <w:szCs w:val="22"/>
        </w:rPr>
        <w:t xml:space="preserve"> and Water</w:t>
      </w:r>
      <w:r w:rsidR="00FA278A" w:rsidRPr="009C5305">
        <w:rPr>
          <w:sz w:val="22"/>
          <w:szCs w:val="22"/>
        </w:rPr>
        <w:t>,</w:t>
      </w:r>
      <w:r w:rsidRPr="009C5305">
        <w:rPr>
          <w:snapToGrid w:val="0"/>
          <w:sz w:val="22"/>
          <w:szCs w:val="22"/>
        </w:rPr>
        <w:t xml:space="preserve"> </w:t>
      </w:r>
      <w:r w:rsidRPr="009C5305">
        <w:rPr>
          <w:sz w:val="22"/>
          <w:szCs w:val="22"/>
        </w:rPr>
        <w:t>have consid</w:t>
      </w:r>
      <w:r w:rsidR="009B0E50" w:rsidRPr="009C5305">
        <w:rPr>
          <w:sz w:val="22"/>
          <w:szCs w:val="22"/>
        </w:rPr>
        <w:t>ered in accordance with section </w:t>
      </w:r>
      <w:r w:rsidRPr="009C5305">
        <w:rPr>
          <w:sz w:val="22"/>
          <w:szCs w:val="22"/>
        </w:rPr>
        <w:t xml:space="preserve">303FN of the </w:t>
      </w:r>
      <w:r w:rsidRPr="42260AC7">
        <w:rPr>
          <w:i/>
          <w:iCs/>
          <w:sz w:val="22"/>
          <w:szCs w:val="22"/>
        </w:rPr>
        <w:t>Environment Protection and</w:t>
      </w:r>
      <w:r w:rsidRPr="009C5305">
        <w:rPr>
          <w:sz w:val="22"/>
          <w:szCs w:val="22"/>
        </w:rPr>
        <w:t xml:space="preserve"> </w:t>
      </w:r>
      <w:r w:rsidR="009B0E50" w:rsidRPr="42260AC7">
        <w:rPr>
          <w:i/>
          <w:iCs/>
          <w:sz w:val="22"/>
          <w:szCs w:val="22"/>
        </w:rPr>
        <w:t>Biodiversity Conservation Act </w:t>
      </w:r>
      <w:r w:rsidRPr="42260AC7">
        <w:rPr>
          <w:i/>
          <w:iCs/>
          <w:sz w:val="22"/>
          <w:szCs w:val="22"/>
        </w:rPr>
        <w:t xml:space="preserve">1999 </w:t>
      </w:r>
      <w:r w:rsidR="009B0E50" w:rsidRPr="009C5305">
        <w:rPr>
          <w:sz w:val="22"/>
          <w:szCs w:val="22"/>
        </w:rPr>
        <w:t>(EPBC </w:t>
      </w:r>
      <w:r w:rsidRPr="009C5305">
        <w:rPr>
          <w:sz w:val="22"/>
          <w:szCs w:val="22"/>
        </w:rPr>
        <w:t xml:space="preserve">Act) the application from </w:t>
      </w:r>
      <w:r w:rsidR="4A37BA60">
        <w:rPr>
          <w:sz w:val="22"/>
          <w:szCs w:val="22"/>
        </w:rPr>
        <w:t>Oceanreef Aquaculture</w:t>
      </w:r>
      <w:r w:rsidR="00AD2B46">
        <w:rPr>
          <w:sz w:val="22"/>
          <w:szCs w:val="22"/>
        </w:rPr>
        <w:t>,</w:t>
      </w:r>
      <w:r w:rsidRPr="009C5305">
        <w:rPr>
          <w:sz w:val="22"/>
          <w:szCs w:val="22"/>
        </w:rPr>
        <w:t xml:space="preserve"> </w:t>
      </w:r>
      <w:r w:rsidR="006344BD">
        <w:rPr>
          <w:sz w:val="22"/>
          <w:szCs w:val="22"/>
        </w:rPr>
        <w:t>a</w:t>
      </w:r>
      <w:r w:rsidRPr="009C5305">
        <w:rPr>
          <w:sz w:val="22"/>
          <w:szCs w:val="22"/>
        </w:rPr>
        <w:t>nd advice on the ecological sustainability of the operation. I</w:t>
      </w:r>
      <w:r w:rsidR="009B0E50" w:rsidRPr="009C5305">
        <w:rPr>
          <w:sz w:val="22"/>
          <w:szCs w:val="22"/>
        </w:rPr>
        <w:t> </w:t>
      </w:r>
      <w:r w:rsidRPr="009C5305">
        <w:rPr>
          <w:sz w:val="22"/>
          <w:szCs w:val="22"/>
        </w:rPr>
        <w:t>am satisfied on those matters specifi</w:t>
      </w:r>
      <w:r w:rsidR="009B0E50" w:rsidRPr="009C5305">
        <w:rPr>
          <w:sz w:val="22"/>
          <w:szCs w:val="22"/>
        </w:rPr>
        <w:t>ed in section </w:t>
      </w:r>
      <w:r w:rsidR="00C665C2" w:rsidRPr="009C5305">
        <w:rPr>
          <w:sz w:val="22"/>
          <w:szCs w:val="22"/>
        </w:rPr>
        <w:t>303FN of the EPBC </w:t>
      </w:r>
      <w:r w:rsidRPr="009C5305">
        <w:rPr>
          <w:sz w:val="22"/>
          <w:szCs w:val="22"/>
        </w:rPr>
        <w:t>Act. I</w:t>
      </w:r>
      <w:r w:rsidR="009B0E50" w:rsidRPr="009C5305">
        <w:rPr>
          <w:sz w:val="22"/>
          <w:szCs w:val="22"/>
        </w:rPr>
        <w:t> </w:t>
      </w:r>
      <w:r w:rsidRPr="009C5305">
        <w:rPr>
          <w:sz w:val="22"/>
          <w:szCs w:val="22"/>
        </w:rPr>
        <w:t xml:space="preserve">hereby declare the operations for the </w:t>
      </w:r>
      <w:r w:rsidRPr="001D1E4F">
        <w:rPr>
          <w:sz w:val="22"/>
          <w:szCs w:val="22"/>
        </w:rPr>
        <w:t xml:space="preserve">harvesting of </w:t>
      </w:r>
      <w:r w:rsidR="004C3DEE" w:rsidRPr="001D1E4F">
        <w:rPr>
          <w:sz w:val="22"/>
          <w:szCs w:val="22"/>
        </w:rPr>
        <w:t xml:space="preserve">specimens </w:t>
      </w:r>
      <w:r w:rsidR="004C3DEE" w:rsidRPr="001D1E4F">
        <w:rPr>
          <w:snapToGrid w:val="0"/>
          <w:sz w:val="22"/>
          <w:szCs w:val="22"/>
        </w:rPr>
        <w:t xml:space="preserve">that are or are derived from </w:t>
      </w:r>
      <w:r w:rsidR="7C2ECFFD" w:rsidRPr="001D1E4F">
        <w:rPr>
          <w:snapToGrid w:val="0"/>
          <w:sz w:val="22"/>
          <w:szCs w:val="22"/>
        </w:rPr>
        <w:t>weedy seadragons (</w:t>
      </w:r>
      <w:r w:rsidR="7C2ECFFD" w:rsidRPr="42260AC7">
        <w:rPr>
          <w:i/>
          <w:iCs/>
          <w:snapToGrid w:val="0"/>
          <w:sz w:val="22"/>
          <w:szCs w:val="22"/>
        </w:rPr>
        <w:t>Phyllopteryx taeniolatus)</w:t>
      </w:r>
      <w:r w:rsidR="004C3DEE" w:rsidRPr="001D1E4F">
        <w:rPr>
          <w:snapToGrid w:val="0"/>
          <w:sz w:val="22"/>
          <w:szCs w:val="22"/>
        </w:rPr>
        <w:t>, taken in the</w:t>
      </w:r>
      <w:r w:rsidR="006344BD">
        <w:rPr>
          <w:snapToGrid w:val="0"/>
          <w:sz w:val="22"/>
          <w:szCs w:val="22"/>
        </w:rPr>
        <w:t xml:space="preserve"> Victorian Oceanreef Aquaculture</w:t>
      </w:r>
      <w:r w:rsidR="006344BD">
        <w:rPr>
          <w:sz w:val="22"/>
          <w:szCs w:val="22"/>
        </w:rPr>
        <w:t xml:space="preserve"> </w:t>
      </w:r>
      <w:r w:rsidR="004C3DEE" w:rsidRPr="001D1E4F">
        <w:rPr>
          <w:snapToGrid w:val="0"/>
          <w:sz w:val="22"/>
          <w:szCs w:val="22"/>
        </w:rPr>
        <w:t xml:space="preserve">as defined in the </w:t>
      </w:r>
      <w:r w:rsidR="004C3DEE" w:rsidRPr="001D1E4F">
        <w:rPr>
          <w:sz w:val="22"/>
          <w:szCs w:val="22"/>
        </w:rPr>
        <w:t>management regime</w:t>
      </w:r>
      <w:r w:rsidR="009C5305" w:rsidRPr="001D1E4F">
        <w:rPr>
          <w:sz w:val="22"/>
          <w:szCs w:val="22"/>
        </w:rPr>
        <w:t xml:space="preserve"> </w:t>
      </w:r>
      <w:r w:rsidR="004C3DEE" w:rsidRPr="001D1E4F">
        <w:rPr>
          <w:sz w:val="22"/>
          <w:szCs w:val="22"/>
        </w:rPr>
        <w:t xml:space="preserve">in force under </w:t>
      </w:r>
      <w:r w:rsidR="00923C5D" w:rsidRPr="001D1E4F">
        <w:rPr>
          <w:sz w:val="22"/>
          <w:szCs w:val="22"/>
        </w:rPr>
        <w:t>the</w:t>
      </w:r>
      <w:r w:rsidR="000678E3">
        <w:rPr>
          <w:sz w:val="22"/>
          <w:szCs w:val="22"/>
        </w:rPr>
        <w:t xml:space="preserve"> </w:t>
      </w:r>
      <w:r w:rsidR="000678E3" w:rsidRPr="42260AC7">
        <w:rPr>
          <w:i/>
          <w:iCs/>
          <w:sz w:val="22"/>
          <w:szCs w:val="22"/>
        </w:rPr>
        <w:t xml:space="preserve">Fisheries Act 1995 </w:t>
      </w:r>
      <w:r w:rsidR="000678E3" w:rsidRPr="000678E3">
        <w:rPr>
          <w:sz w:val="22"/>
          <w:szCs w:val="22"/>
        </w:rPr>
        <w:t>(Vic) and Fisheries Regulations 2019 (Vic</w:t>
      </w:r>
      <w:r w:rsidR="000678E3">
        <w:rPr>
          <w:sz w:val="22"/>
          <w:szCs w:val="22"/>
        </w:rPr>
        <w:t>)</w:t>
      </w:r>
      <w:r w:rsidR="001D1E4F" w:rsidRPr="00665B3F">
        <w:rPr>
          <w:sz w:val="22"/>
          <w:szCs w:val="22"/>
        </w:rPr>
        <w:t>,</w:t>
      </w:r>
      <w:r w:rsidR="00923C5D" w:rsidRPr="00665B3F">
        <w:rPr>
          <w:sz w:val="22"/>
          <w:szCs w:val="22"/>
        </w:rPr>
        <w:t xml:space="preserve"> </w:t>
      </w:r>
      <w:r w:rsidR="00923C5D" w:rsidRPr="001D1E4F">
        <w:rPr>
          <w:snapToGrid w:val="0"/>
          <w:sz w:val="22"/>
          <w:szCs w:val="22"/>
        </w:rPr>
        <w:t>but not including</w:t>
      </w:r>
      <w:r w:rsidR="001D1E4F">
        <w:rPr>
          <w:snapToGrid w:val="0"/>
          <w:sz w:val="22"/>
          <w:szCs w:val="22"/>
        </w:rPr>
        <w:t>:</w:t>
      </w:r>
    </w:p>
    <w:p w14:paraId="5FD497D5" w14:textId="74B3FF44"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taxa listed under section 209 of the EPBC Act (Australia’s List of Migratory Species), or</w:t>
      </w:r>
    </w:p>
    <w:p w14:paraId="79D1A65C" w14:textId="6AA2A40B"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 xml:space="preserve">specimens that belong to taxa listed under section 248 of the EPBC Act (Australia’s List of Marine Species), </w:t>
      </w:r>
      <w:r w:rsidR="00BF28C9">
        <w:rPr>
          <w:color w:val="auto"/>
          <w:sz w:val="22"/>
          <w:szCs w:val="22"/>
        </w:rPr>
        <w:t>ex</w:t>
      </w:r>
      <w:r w:rsidR="009B30E6">
        <w:rPr>
          <w:color w:val="auto"/>
          <w:sz w:val="22"/>
          <w:szCs w:val="22"/>
        </w:rPr>
        <w:t xml:space="preserve">cept </w:t>
      </w:r>
      <w:r w:rsidR="002873DE">
        <w:rPr>
          <w:color w:val="auto"/>
          <w:sz w:val="22"/>
          <w:szCs w:val="22"/>
        </w:rPr>
        <w:t>for</w:t>
      </w:r>
      <w:r w:rsidR="00315EDE">
        <w:rPr>
          <w:color w:val="auto"/>
          <w:sz w:val="22"/>
          <w:szCs w:val="22"/>
        </w:rPr>
        <w:t xml:space="preserve"> weedy seadragon </w:t>
      </w:r>
      <w:r w:rsidR="00DE4175">
        <w:rPr>
          <w:color w:val="auto"/>
          <w:sz w:val="22"/>
          <w:szCs w:val="22"/>
        </w:rPr>
        <w:t>(</w:t>
      </w:r>
      <w:r w:rsidR="008C7D4F" w:rsidRPr="008C7D4F">
        <w:rPr>
          <w:i/>
          <w:iCs/>
          <w:color w:val="auto"/>
          <w:sz w:val="22"/>
          <w:szCs w:val="22"/>
        </w:rPr>
        <w:t>Phyllopteryx taeniolatus</w:t>
      </w:r>
      <w:r w:rsidR="008C7D4F">
        <w:rPr>
          <w:color w:val="auto"/>
          <w:sz w:val="22"/>
          <w:szCs w:val="22"/>
        </w:rPr>
        <w:t xml:space="preserve">) </w:t>
      </w:r>
      <w:r w:rsidRPr="001D1E4F">
        <w:rPr>
          <w:color w:val="auto"/>
          <w:sz w:val="22"/>
          <w:szCs w:val="22"/>
        </w:rPr>
        <w:t>or</w:t>
      </w:r>
    </w:p>
    <w:p w14:paraId="7AE80B68" w14:textId="7B67A7BF"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eligible listed threatened species, as defined under section</w:t>
      </w:r>
      <w:r w:rsidR="009C5305" w:rsidRPr="001D1E4F">
        <w:rPr>
          <w:color w:val="auto"/>
          <w:sz w:val="22"/>
          <w:szCs w:val="22"/>
        </w:rPr>
        <w:t> </w:t>
      </w:r>
      <w:r w:rsidRPr="001D1E4F">
        <w:rPr>
          <w:color w:val="auto"/>
          <w:sz w:val="22"/>
          <w:szCs w:val="22"/>
        </w:rPr>
        <w:t>303BC of the EPBC Act, or</w:t>
      </w:r>
    </w:p>
    <w:p w14:paraId="330A9BE1" w14:textId="77777777" w:rsidR="00D63915" w:rsidRPr="001D1E4F" w:rsidRDefault="00D63915" w:rsidP="001D1E4F">
      <w:pPr>
        <w:pStyle w:val="Stylea"/>
        <w:numPr>
          <w:ilvl w:val="0"/>
          <w:numId w:val="14"/>
        </w:numPr>
        <w:spacing w:after="120" w:line="276" w:lineRule="auto"/>
        <w:ind w:left="357" w:hanging="357"/>
        <w:rPr>
          <w:color w:val="auto"/>
          <w:sz w:val="22"/>
          <w:szCs w:val="22"/>
        </w:rPr>
      </w:pPr>
      <w:r w:rsidRPr="001D1E4F">
        <w:rPr>
          <w:color w:val="auto"/>
          <w:sz w:val="22"/>
          <w:szCs w:val="22"/>
        </w:rPr>
        <w:t>specimens that belong to taxa listed under section 303CA of the EPBC Act (Australia’s CITES List).</w:t>
      </w:r>
    </w:p>
    <w:p w14:paraId="4CB1544A" w14:textId="2F2DD030" w:rsidR="00BC3821" w:rsidRPr="009C5305" w:rsidRDefault="00BC3821" w:rsidP="001D1E4F">
      <w:pPr>
        <w:spacing w:after="120" w:line="276" w:lineRule="auto"/>
        <w:rPr>
          <w:sz w:val="22"/>
          <w:szCs w:val="22"/>
        </w:rPr>
      </w:pPr>
      <w:r w:rsidRPr="009C5305">
        <w:rPr>
          <w:sz w:val="22"/>
          <w:szCs w:val="22"/>
        </w:rPr>
        <w:t xml:space="preserve">to be an approved </w:t>
      </w:r>
      <w:r w:rsidR="00C665C2" w:rsidRPr="009C5305">
        <w:rPr>
          <w:sz w:val="22"/>
          <w:szCs w:val="22"/>
        </w:rPr>
        <w:t>w</w:t>
      </w:r>
      <w:r w:rsidRPr="009C5305">
        <w:rPr>
          <w:sz w:val="22"/>
          <w:szCs w:val="22"/>
        </w:rPr>
        <w:t xml:space="preserve">ildlife </w:t>
      </w:r>
      <w:r w:rsidR="00C665C2" w:rsidRPr="009C5305">
        <w:rPr>
          <w:sz w:val="22"/>
          <w:szCs w:val="22"/>
        </w:rPr>
        <w:t>t</w:t>
      </w:r>
      <w:r w:rsidRPr="009C5305">
        <w:rPr>
          <w:sz w:val="22"/>
          <w:szCs w:val="22"/>
        </w:rPr>
        <w:t xml:space="preserve">rade </w:t>
      </w:r>
      <w:r w:rsidR="00C665C2" w:rsidRPr="009C5305">
        <w:rPr>
          <w:sz w:val="22"/>
          <w:szCs w:val="22"/>
        </w:rPr>
        <w:t>o</w:t>
      </w:r>
      <w:r w:rsidRPr="009C5305">
        <w:rPr>
          <w:sz w:val="22"/>
          <w:szCs w:val="22"/>
        </w:rPr>
        <w:t>peration, in a</w:t>
      </w:r>
      <w:r w:rsidR="0067129A" w:rsidRPr="009C5305">
        <w:rPr>
          <w:sz w:val="22"/>
          <w:szCs w:val="22"/>
        </w:rPr>
        <w:t>ccordance with subsection 303</w:t>
      </w:r>
      <w:proofErr w:type="gramStart"/>
      <w:r w:rsidR="0067129A" w:rsidRPr="009C5305">
        <w:rPr>
          <w:sz w:val="22"/>
          <w:szCs w:val="22"/>
        </w:rPr>
        <w:t>FN(</w:t>
      </w:r>
      <w:proofErr w:type="gramEnd"/>
      <w:r w:rsidR="0067129A" w:rsidRPr="009C5305">
        <w:rPr>
          <w:sz w:val="22"/>
          <w:szCs w:val="22"/>
        </w:rPr>
        <w:t>2) and paragraph </w:t>
      </w:r>
      <w:r w:rsidRPr="009C5305">
        <w:rPr>
          <w:sz w:val="22"/>
          <w:szCs w:val="22"/>
        </w:rPr>
        <w:t>303FN(10)(d</w:t>
      </w:r>
      <w:r w:rsidR="009132FA" w:rsidRPr="009C5305">
        <w:rPr>
          <w:sz w:val="22"/>
          <w:szCs w:val="22"/>
        </w:rPr>
        <w:t>), for the purposes of the EPBC </w:t>
      </w:r>
      <w:r w:rsidRPr="009C5305">
        <w:rPr>
          <w:sz w:val="22"/>
          <w:szCs w:val="22"/>
        </w:rPr>
        <w:t>Act.</w:t>
      </w:r>
    </w:p>
    <w:p w14:paraId="4CB1544C" w14:textId="77777777" w:rsidR="00BC3821" w:rsidRPr="009C5305" w:rsidRDefault="00BC3821" w:rsidP="001D1E4F">
      <w:pPr>
        <w:spacing w:after="120" w:line="276" w:lineRule="auto"/>
        <w:rPr>
          <w:sz w:val="22"/>
          <w:szCs w:val="22"/>
        </w:rPr>
      </w:pPr>
      <w:r w:rsidRPr="009C5305">
        <w:rPr>
          <w:sz w:val="22"/>
          <w:szCs w:val="22"/>
        </w:rPr>
        <w:t>Unless amended or revoked, this declaration:</w:t>
      </w:r>
    </w:p>
    <w:p w14:paraId="4CB1544D" w14:textId="0B4131A7" w:rsidR="00BC3821" w:rsidRPr="009C5305" w:rsidRDefault="00BC3821" w:rsidP="001D1E4F">
      <w:pPr>
        <w:numPr>
          <w:ilvl w:val="0"/>
          <w:numId w:val="1"/>
        </w:numPr>
        <w:tabs>
          <w:tab w:val="num" w:pos="567"/>
        </w:tabs>
        <w:spacing w:after="120" w:line="276" w:lineRule="auto"/>
        <w:ind w:left="0" w:firstLine="0"/>
        <w:rPr>
          <w:sz w:val="22"/>
          <w:szCs w:val="22"/>
        </w:rPr>
      </w:pPr>
      <w:r w:rsidRPr="009C5305">
        <w:rPr>
          <w:sz w:val="22"/>
          <w:szCs w:val="22"/>
        </w:rPr>
        <w:t xml:space="preserve">is valid until </w:t>
      </w:r>
      <w:r w:rsidR="166C213E" w:rsidRPr="00486279">
        <w:rPr>
          <w:snapToGrid w:val="0"/>
          <w:sz w:val="22"/>
          <w:szCs w:val="22"/>
        </w:rPr>
        <w:t>24 March 2028</w:t>
      </w:r>
      <w:r w:rsidR="00680FEF">
        <w:rPr>
          <w:snapToGrid w:val="0"/>
          <w:sz w:val="22"/>
          <w:szCs w:val="22"/>
        </w:rPr>
        <w:t xml:space="preserve"> </w:t>
      </w:r>
      <w:proofErr w:type="gramStart"/>
      <w:r w:rsidRPr="009C5305">
        <w:rPr>
          <w:sz w:val="22"/>
          <w:szCs w:val="22"/>
        </w:rPr>
        <w:t>and;</w:t>
      </w:r>
      <w:proofErr w:type="gramEnd"/>
    </w:p>
    <w:p w14:paraId="4CB1544E" w14:textId="18EC217E" w:rsidR="00BC3821" w:rsidRPr="009C5305" w:rsidRDefault="00BC3821" w:rsidP="001D1E4F">
      <w:pPr>
        <w:numPr>
          <w:ilvl w:val="0"/>
          <w:numId w:val="1"/>
        </w:numPr>
        <w:tabs>
          <w:tab w:val="num" w:pos="567"/>
        </w:tabs>
        <w:spacing w:after="120" w:line="276" w:lineRule="auto"/>
        <w:ind w:left="0" w:firstLine="0"/>
        <w:rPr>
          <w:sz w:val="22"/>
          <w:szCs w:val="22"/>
        </w:rPr>
      </w:pPr>
      <w:r w:rsidRPr="79A6E740">
        <w:rPr>
          <w:sz w:val="22"/>
          <w:szCs w:val="22"/>
        </w:rPr>
        <w:t>is subject to the conditions applied under</w:t>
      </w:r>
      <w:r w:rsidR="00F96DC0" w:rsidRPr="79A6E740">
        <w:rPr>
          <w:sz w:val="22"/>
          <w:szCs w:val="22"/>
        </w:rPr>
        <w:t xml:space="preserve"> section 303FT specified in </w:t>
      </w:r>
      <w:r w:rsidRPr="79A6E740">
        <w:rPr>
          <w:sz w:val="22"/>
          <w:szCs w:val="22"/>
        </w:rPr>
        <w:t>Schedule</w:t>
      </w:r>
      <w:r w:rsidR="000F54BF" w:rsidRPr="79A6E740">
        <w:rPr>
          <w:sz w:val="22"/>
          <w:szCs w:val="22"/>
        </w:rPr>
        <w:t> 1</w:t>
      </w:r>
      <w:r w:rsidRPr="79A6E740">
        <w:rPr>
          <w:sz w:val="22"/>
          <w:szCs w:val="22"/>
        </w:rPr>
        <w:t>.</w:t>
      </w:r>
    </w:p>
    <w:p w14:paraId="4CB15450" w14:textId="77777777" w:rsidR="00BC3821" w:rsidRPr="009C5305" w:rsidRDefault="00BC3821" w:rsidP="001D1E4F">
      <w:pPr>
        <w:spacing w:after="120" w:line="276" w:lineRule="auto"/>
        <w:jc w:val="center"/>
        <w:rPr>
          <w:sz w:val="22"/>
          <w:szCs w:val="22"/>
        </w:rPr>
      </w:pPr>
    </w:p>
    <w:p w14:paraId="4CB15451" w14:textId="15C5F0BB" w:rsidR="00BC3821" w:rsidRPr="00B251AD" w:rsidRDefault="00AD5D3C" w:rsidP="001D1E4F">
      <w:pPr>
        <w:spacing w:after="120" w:line="276" w:lineRule="auto"/>
        <w:jc w:val="center"/>
        <w:rPr>
          <w:sz w:val="22"/>
          <w:szCs w:val="22"/>
        </w:rPr>
      </w:pPr>
      <w:r w:rsidRPr="00B251AD">
        <w:rPr>
          <w:sz w:val="22"/>
          <w:szCs w:val="22"/>
        </w:rPr>
        <w:t>Dated this</w:t>
      </w:r>
      <w:r w:rsidR="000F54BF" w:rsidRPr="00B251AD">
        <w:rPr>
          <w:sz w:val="22"/>
          <w:szCs w:val="22"/>
        </w:rPr>
        <w:t xml:space="preserve"> </w:t>
      </w:r>
      <w:r w:rsidR="0086512C">
        <w:rPr>
          <w:sz w:val="22"/>
          <w:szCs w:val="22"/>
        </w:rPr>
        <w:t>2</w:t>
      </w:r>
      <w:r w:rsidR="0007721E">
        <w:rPr>
          <w:sz w:val="22"/>
          <w:szCs w:val="22"/>
        </w:rPr>
        <w:t>4</w:t>
      </w:r>
      <w:r w:rsidR="0086512C">
        <w:rPr>
          <w:sz w:val="22"/>
          <w:szCs w:val="22"/>
        </w:rPr>
        <w:t xml:space="preserve"> </w:t>
      </w:r>
      <w:r w:rsidRPr="00B251AD">
        <w:rPr>
          <w:sz w:val="22"/>
          <w:szCs w:val="22"/>
        </w:rPr>
        <w:t>day of</w:t>
      </w:r>
      <w:r w:rsidR="000F54BF" w:rsidRPr="00B251AD">
        <w:rPr>
          <w:sz w:val="22"/>
          <w:szCs w:val="22"/>
        </w:rPr>
        <w:t xml:space="preserve"> </w:t>
      </w:r>
      <w:r w:rsidR="089F6208" w:rsidRPr="00B251AD">
        <w:rPr>
          <w:sz w:val="22"/>
          <w:szCs w:val="22"/>
        </w:rPr>
        <w:t>March 2025</w:t>
      </w:r>
    </w:p>
    <w:p w14:paraId="4CB15456" w14:textId="79C75691" w:rsidR="00BC3821" w:rsidRPr="00B251AD" w:rsidRDefault="00BC3821" w:rsidP="00E130FE">
      <w:pPr>
        <w:spacing w:before="1320" w:after="120" w:line="276" w:lineRule="auto"/>
        <w:jc w:val="center"/>
        <w:rPr>
          <w:sz w:val="22"/>
          <w:szCs w:val="22"/>
        </w:rPr>
      </w:pPr>
      <w:r w:rsidRPr="00B251AD">
        <w:rPr>
          <w:sz w:val="22"/>
          <w:szCs w:val="22"/>
        </w:rPr>
        <w:t>………….…….…</w:t>
      </w:r>
      <w:r w:rsidR="00C035F1">
        <w:rPr>
          <w:sz w:val="22"/>
          <w:szCs w:val="22"/>
        </w:rPr>
        <w:t>JESSICA HOEY</w:t>
      </w:r>
      <w:r w:rsidRPr="00B251AD">
        <w:rPr>
          <w:sz w:val="22"/>
          <w:szCs w:val="22"/>
        </w:rPr>
        <w:t>………………………</w:t>
      </w:r>
      <w:r w:rsidR="00BF533B" w:rsidRPr="00B251AD">
        <w:rPr>
          <w:sz w:val="22"/>
          <w:szCs w:val="22"/>
        </w:rPr>
        <w:t>…</w:t>
      </w:r>
    </w:p>
    <w:p w14:paraId="4CB15457" w14:textId="5BC96FE4" w:rsidR="00BC3821" w:rsidRPr="009C5305" w:rsidRDefault="00BC3821" w:rsidP="001D1E4F">
      <w:pPr>
        <w:spacing w:after="120" w:line="276" w:lineRule="auto"/>
        <w:jc w:val="center"/>
        <w:rPr>
          <w:snapToGrid w:val="0"/>
          <w:sz w:val="22"/>
          <w:szCs w:val="22"/>
        </w:rPr>
      </w:pPr>
      <w:bookmarkStart w:id="1" w:name="_Hlk40258754"/>
      <w:r w:rsidRPr="00B251AD">
        <w:rPr>
          <w:snapToGrid w:val="0"/>
          <w:sz w:val="22"/>
          <w:szCs w:val="22"/>
        </w:rPr>
        <w:t>Delegate of the Minister</w:t>
      </w:r>
      <w:r w:rsidRPr="009C5305">
        <w:rPr>
          <w:snapToGrid w:val="0"/>
          <w:sz w:val="22"/>
          <w:szCs w:val="22"/>
        </w:rPr>
        <w:t xml:space="preserve"> for </w:t>
      </w:r>
      <w:r w:rsidR="00614914" w:rsidRPr="009C5305">
        <w:rPr>
          <w:sz w:val="22"/>
          <w:szCs w:val="22"/>
        </w:rPr>
        <w:t xml:space="preserve">the </w:t>
      </w:r>
      <w:r w:rsidR="00BF533B" w:rsidRPr="009C5305">
        <w:rPr>
          <w:sz w:val="22"/>
          <w:szCs w:val="22"/>
        </w:rPr>
        <w:t>Environment</w:t>
      </w:r>
      <w:r w:rsidR="00B364D4" w:rsidRPr="009C5305">
        <w:rPr>
          <w:sz w:val="22"/>
          <w:szCs w:val="22"/>
        </w:rPr>
        <w:t xml:space="preserve"> </w:t>
      </w:r>
      <w:r w:rsidR="000F54BF">
        <w:rPr>
          <w:sz w:val="22"/>
          <w:szCs w:val="22"/>
        </w:rPr>
        <w:t>and Water</w:t>
      </w:r>
    </w:p>
    <w:bookmarkEnd w:id="1"/>
    <w:p w14:paraId="1C547B98" w14:textId="52727C34" w:rsidR="00AC559D" w:rsidRDefault="00B85719" w:rsidP="00E130FE">
      <w:pPr>
        <w:keepNext/>
        <w:spacing w:after="120" w:line="276" w:lineRule="auto"/>
        <w:rPr>
          <w:sz w:val="18"/>
          <w:szCs w:val="18"/>
        </w:rPr>
      </w:pPr>
      <w:r w:rsidRPr="009C5305">
        <w:rPr>
          <w:sz w:val="18"/>
          <w:szCs w:val="18"/>
        </w:rPr>
        <w:t>Notes:</w:t>
      </w:r>
    </w:p>
    <w:p w14:paraId="3B9694FA" w14:textId="064C7BAD" w:rsidR="00B85719" w:rsidRPr="009C5305" w:rsidRDefault="00B85719" w:rsidP="00AC559D">
      <w:pPr>
        <w:numPr>
          <w:ilvl w:val="0"/>
          <w:numId w:val="15"/>
        </w:numPr>
        <w:spacing w:after="120" w:line="276" w:lineRule="auto"/>
        <w:rPr>
          <w:sz w:val="18"/>
          <w:szCs w:val="18"/>
        </w:rPr>
      </w:pPr>
      <w:r w:rsidRPr="009C5305">
        <w:rPr>
          <w:sz w:val="18"/>
          <w:szCs w:val="18"/>
        </w:rPr>
        <w:t xml:space="preserve">Under the </w:t>
      </w:r>
      <w:r w:rsidRPr="000F54BF">
        <w:rPr>
          <w:i/>
          <w:iCs/>
          <w:sz w:val="18"/>
          <w:szCs w:val="18"/>
        </w:rPr>
        <w:t>Administrative Appeals Tribunal Act 1975</w:t>
      </w:r>
      <w:r w:rsidRPr="009C5305">
        <w:rPr>
          <w:sz w:val="18"/>
          <w:szCs w:val="18"/>
        </w:rPr>
        <w:t xml:space="preserve">, a person whose interests are affected by this decision may apply for a statement of reasons and for independent review of the decision. An application for a statement of </w:t>
      </w:r>
      <w:r w:rsidRPr="009C5305">
        <w:rPr>
          <w:sz w:val="18"/>
          <w:szCs w:val="18"/>
        </w:rPr>
        <w:lastRenderedPageBreak/>
        <w:t xml:space="preserve">reasons may be made in writing to the </w:t>
      </w:r>
      <w:bookmarkStart w:id="2" w:name="_Hlk40258863"/>
      <w:r w:rsidRPr="000F54BF">
        <w:rPr>
          <w:sz w:val="18"/>
          <w:szCs w:val="18"/>
        </w:rPr>
        <w:t xml:space="preserve">Department of </w:t>
      </w:r>
      <w:bookmarkEnd w:id="2"/>
      <w:r w:rsidR="000F54BF" w:rsidRPr="000F54BF">
        <w:rPr>
          <w:sz w:val="18"/>
          <w:szCs w:val="18"/>
        </w:rPr>
        <w:t xml:space="preserve">Climate Change, Energy, the Environment and Water </w:t>
      </w:r>
      <w:r w:rsidRPr="000F54BF">
        <w:rPr>
          <w:sz w:val="18"/>
          <w:szCs w:val="18"/>
        </w:rPr>
        <w:t xml:space="preserve">within 28 days of the date of the declaration. An application for independent review may be made to the Administrative </w:t>
      </w:r>
      <w:r w:rsidR="000F54BF" w:rsidRPr="000F54BF">
        <w:rPr>
          <w:sz w:val="18"/>
          <w:szCs w:val="18"/>
        </w:rPr>
        <w:t xml:space="preserve">Review </w:t>
      </w:r>
      <w:r w:rsidRPr="000F54BF">
        <w:rPr>
          <w:sz w:val="18"/>
          <w:szCs w:val="18"/>
        </w:rPr>
        <w:t xml:space="preserve">Tribunal on payment of the relevant fee within 28 days of the date of the declaration, or if reasons are sought, within 28 days of receipt of reasons. Further information may be obtained from the Director, </w:t>
      </w:r>
      <w:r w:rsidR="000F54BF" w:rsidRPr="000F54BF">
        <w:rPr>
          <w:sz w:val="18"/>
          <w:szCs w:val="18"/>
        </w:rPr>
        <w:t>Sustainable Fisheries Section</w:t>
      </w:r>
      <w:r w:rsidRPr="000F54BF">
        <w:rPr>
          <w:color w:val="000000"/>
          <w:sz w:val="18"/>
          <w:szCs w:val="18"/>
        </w:rPr>
        <w:t xml:space="preserve">, </w:t>
      </w:r>
      <w:r w:rsidRPr="000F54BF">
        <w:rPr>
          <w:sz w:val="18"/>
          <w:szCs w:val="18"/>
        </w:rPr>
        <w:t xml:space="preserve">Department of </w:t>
      </w:r>
      <w:r w:rsidR="000F54BF" w:rsidRPr="000F54BF">
        <w:rPr>
          <w:sz w:val="18"/>
          <w:szCs w:val="18"/>
        </w:rPr>
        <w:t>Climate</w:t>
      </w:r>
      <w:r w:rsidR="000F54BF">
        <w:rPr>
          <w:sz w:val="18"/>
          <w:szCs w:val="18"/>
        </w:rPr>
        <w:t xml:space="preserve"> Change, Energy, the Environment and Water, </w:t>
      </w:r>
      <w:r w:rsidRPr="009C5305">
        <w:rPr>
          <w:snapToGrid w:val="0"/>
          <w:sz w:val="18"/>
          <w:szCs w:val="18"/>
        </w:rPr>
        <w:t>Email: sustainablefisheries@</w:t>
      </w:r>
      <w:r w:rsidR="000F54BF">
        <w:rPr>
          <w:snapToGrid w:val="0"/>
          <w:sz w:val="18"/>
          <w:szCs w:val="18"/>
        </w:rPr>
        <w:t>dcceew</w:t>
      </w:r>
      <w:r w:rsidRPr="009C5305">
        <w:rPr>
          <w:snapToGrid w:val="0"/>
          <w:sz w:val="18"/>
          <w:szCs w:val="18"/>
        </w:rPr>
        <w:t>.gov.au</w:t>
      </w:r>
      <w:r w:rsidRPr="009C5305">
        <w:rPr>
          <w:sz w:val="18"/>
          <w:szCs w:val="18"/>
        </w:rPr>
        <w:t>.</w:t>
      </w:r>
    </w:p>
    <w:p w14:paraId="4249BFDC" w14:textId="76A3228D" w:rsidR="00680FEF" w:rsidRDefault="00B85719" w:rsidP="00680FEF">
      <w:pPr>
        <w:pStyle w:val="BlockText"/>
        <w:spacing w:after="120" w:line="276" w:lineRule="auto"/>
        <w:ind w:left="0" w:right="0"/>
        <w:jc w:val="right"/>
        <w:rPr>
          <w:szCs w:val="24"/>
        </w:rPr>
      </w:pPr>
      <w:r w:rsidRPr="009C5305">
        <w:rPr>
          <w:szCs w:val="24"/>
        </w:rPr>
        <w:br w:type="page"/>
      </w:r>
      <w:r w:rsidR="00680FEF">
        <w:rPr>
          <w:szCs w:val="24"/>
        </w:rPr>
        <w:lastRenderedPageBreak/>
        <w:t>Schedule 1</w:t>
      </w:r>
    </w:p>
    <w:p w14:paraId="4CB15463" w14:textId="409A01A9" w:rsidR="00BC3821" w:rsidRPr="009C5305" w:rsidRDefault="00BC3821" w:rsidP="001D1E4F">
      <w:pPr>
        <w:pStyle w:val="BlockText"/>
        <w:spacing w:after="120" w:line="276" w:lineRule="auto"/>
        <w:ind w:left="0" w:right="0"/>
      </w:pPr>
      <w:r>
        <w:t xml:space="preserve">Declaration of the </w:t>
      </w:r>
      <w:r w:rsidR="00D63915">
        <w:t>h</w:t>
      </w:r>
      <w:r>
        <w:t xml:space="preserve">arvest </w:t>
      </w:r>
      <w:r w:rsidR="00D63915">
        <w:t>o</w:t>
      </w:r>
      <w:r>
        <w:t>perations of the</w:t>
      </w:r>
      <w:r w:rsidR="000F1645">
        <w:t xml:space="preserve"> Victorian Oceanreef Aquaculture</w:t>
      </w:r>
      <w:r>
        <w:t xml:space="preserve"> as an approved </w:t>
      </w:r>
      <w:r w:rsidR="00C665C2">
        <w:t>w</w:t>
      </w:r>
      <w:r>
        <w:t xml:space="preserve">ildlife </w:t>
      </w:r>
      <w:r w:rsidR="00C665C2">
        <w:t>t</w:t>
      </w:r>
      <w:r>
        <w:t xml:space="preserve">rade </w:t>
      </w:r>
      <w:r w:rsidR="00C665C2">
        <w:t>o</w:t>
      </w:r>
      <w:r>
        <w:t xml:space="preserve">peration, </w:t>
      </w:r>
      <w:r w:rsidR="000F1645">
        <w:t>March 2025</w:t>
      </w:r>
    </w:p>
    <w:p w14:paraId="4CB15464" w14:textId="77777777" w:rsidR="00BC3821" w:rsidRPr="00680FEF" w:rsidRDefault="00BC3821" w:rsidP="001D1E4F">
      <w:pPr>
        <w:spacing w:after="120" w:line="276" w:lineRule="auto"/>
        <w:jc w:val="center"/>
        <w:rPr>
          <w:sz w:val="22"/>
          <w:szCs w:val="22"/>
        </w:rPr>
      </w:pPr>
    </w:p>
    <w:p w14:paraId="4CB15465" w14:textId="77777777" w:rsidR="00BC3821" w:rsidRPr="00680FEF" w:rsidRDefault="00BC3821" w:rsidP="001D1E4F">
      <w:pPr>
        <w:spacing w:after="120" w:line="276" w:lineRule="auto"/>
        <w:rPr>
          <w:b/>
          <w:bCs/>
          <w:sz w:val="22"/>
          <w:szCs w:val="22"/>
        </w:rPr>
      </w:pPr>
      <w:r w:rsidRPr="00680FEF">
        <w:rPr>
          <w:b/>
          <w:bCs/>
          <w:sz w:val="22"/>
          <w:szCs w:val="22"/>
        </w:rPr>
        <w:t>ADDITIONAL PROVISIONS (section 303FT)</w:t>
      </w:r>
    </w:p>
    <w:p w14:paraId="4CB15467" w14:textId="7A531755" w:rsidR="00BC3821" w:rsidRPr="00680FEF" w:rsidRDefault="00BC3821" w:rsidP="001D1E4F">
      <w:pPr>
        <w:spacing w:after="120" w:line="276" w:lineRule="auto"/>
        <w:rPr>
          <w:sz w:val="22"/>
          <w:szCs w:val="22"/>
        </w:rPr>
      </w:pPr>
      <w:r w:rsidRPr="00680FEF">
        <w:rPr>
          <w:sz w:val="22"/>
          <w:szCs w:val="22"/>
        </w:rPr>
        <w:t xml:space="preserve">Relating to the harvesting of </w:t>
      </w:r>
      <w:r w:rsidRPr="00680FEF">
        <w:rPr>
          <w:snapToGrid w:val="0"/>
          <w:sz w:val="22"/>
          <w:szCs w:val="22"/>
        </w:rPr>
        <w:t xml:space="preserve">specimens that are, or are derived from, fish or invertebrates, other than </w:t>
      </w:r>
      <w:r w:rsidRPr="00680FEF">
        <w:rPr>
          <w:sz w:val="22"/>
          <w:szCs w:val="22"/>
        </w:rPr>
        <w:t>specimens of species listed under</w:t>
      </w:r>
      <w:r w:rsidR="00DA6600" w:rsidRPr="00680FEF">
        <w:rPr>
          <w:sz w:val="22"/>
          <w:szCs w:val="22"/>
        </w:rPr>
        <w:t xml:space="preserve"> Part 13A </w:t>
      </w:r>
      <w:r w:rsidRPr="00680FEF">
        <w:rPr>
          <w:sz w:val="22"/>
          <w:szCs w:val="22"/>
        </w:rPr>
        <w:t xml:space="preserve">of the </w:t>
      </w:r>
      <w:r w:rsidR="00C665C2" w:rsidRPr="42260AC7">
        <w:rPr>
          <w:i/>
          <w:iCs/>
          <w:sz w:val="22"/>
          <w:szCs w:val="22"/>
        </w:rPr>
        <w:t>Environment</w:t>
      </w:r>
      <w:r w:rsidR="001754B3" w:rsidRPr="42260AC7">
        <w:rPr>
          <w:i/>
          <w:iCs/>
          <w:sz w:val="22"/>
          <w:szCs w:val="22"/>
        </w:rPr>
        <w:t xml:space="preserve"> </w:t>
      </w:r>
      <w:r w:rsidRPr="42260AC7">
        <w:rPr>
          <w:i/>
          <w:iCs/>
          <w:sz w:val="22"/>
          <w:szCs w:val="22"/>
        </w:rPr>
        <w:t>Protection and Biodiversity Conservation Act 1999</w:t>
      </w:r>
      <w:r w:rsidRPr="00680FEF">
        <w:rPr>
          <w:sz w:val="22"/>
          <w:szCs w:val="22"/>
        </w:rPr>
        <w:t xml:space="preserve"> (EPBC Act)</w:t>
      </w:r>
      <w:r w:rsidR="00680FEF">
        <w:rPr>
          <w:sz w:val="22"/>
          <w:szCs w:val="22"/>
        </w:rPr>
        <w:t xml:space="preserve">, unless those </w:t>
      </w:r>
      <w:r w:rsidR="00E130FE">
        <w:rPr>
          <w:sz w:val="22"/>
          <w:szCs w:val="22"/>
        </w:rPr>
        <w:t>specimens</w:t>
      </w:r>
      <w:r w:rsidR="00680FEF">
        <w:rPr>
          <w:sz w:val="22"/>
          <w:szCs w:val="22"/>
        </w:rPr>
        <w:t xml:space="preserve"> are subject to any exceptions as outlined in this declaration</w:t>
      </w:r>
      <w:r w:rsidRPr="00680FEF">
        <w:rPr>
          <w:sz w:val="22"/>
          <w:szCs w:val="22"/>
        </w:rPr>
        <w:t>,</w:t>
      </w:r>
      <w:r w:rsidRPr="00680FEF">
        <w:rPr>
          <w:snapToGrid w:val="0"/>
          <w:sz w:val="22"/>
          <w:szCs w:val="22"/>
        </w:rPr>
        <w:t xml:space="preserve"> taken in the </w:t>
      </w:r>
      <w:r w:rsidR="000F1645">
        <w:rPr>
          <w:snapToGrid w:val="0"/>
          <w:sz w:val="22"/>
          <w:szCs w:val="22"/>
        </w:rPr>
        <w:t xml:space="preserve">Victorian </w:t>
      </w:r>
      <w:r w:rsidR="00CF7E99">
        <w:rPr>
          <w:snapToGrid w:val="0"/>
          <w:sz w:val="22"/>
          <w:szCs w:val="22"/>
        </w:rPr>
        <w:t>Oceanreef Aquaculture</w:t>
      </w:r>
      <w:r w:rsidR="00CF7E99">
        <w:rPr>
          <w:sz w:val="22"/>
          <w:szCs w:val="22"/>
        </w:rPr>
        <w:t>:</w:t>
      </w:r>
    </w:p>
    <w:p w14:paraId="240C3E25" w14:textId="018BDB64" w:rsidR="186682DF" w:rsidRDefault="186682DF" w:rsidP="79A6E740">
      <w:pPr>
        <w:spacing w:after="120" w:line="276" w:lineRule="auto"/>
        <w:rPr>
          <w:sz w:val="22"/>
          <w:szCs w:val="22"/>
        </w:rPr>
      </w:pPr>
      <w:r w:rsidRPr="79A6E740">
        <w:rPr>
          <w:b/>
          <w:bCs/>
          <w:sz w:val="22"/>
          <w:szCs w:val="22"/>
          <w:lang w:val="en-AU"/>
        </w:rPr>
        <w:t>Condition 1</w:t>
      </w:r>
    </w:p>
    <w:p w14:paraId="00D2712A" w14:textId="409F6698" w:rsidR="186682DF" w:rsidRDefault="186682DF" w:rsidP="79A6E740">
      <w:pPr>
        <w:spacing w:after="120" w:line="276" w:lineRule="auto"/>
        <w:rPr>
          <w:sz w:val="22"/>
          <w:szCs w:val="22"/>
        </w:rPr>
      </w:pPr>
      <w:r w:rsidRPr="79A6E740">
        <w:rPr>
          <w:sz w:val="22"/>
          <w:szCs w:val="22"/>
          <w:lang w:val="en-AU"/>
        </w:rPr>
        <w:t>Operation of Oceanreef Aquaculture must be carried out in accordance with the permits issued by the Victorian Fisheries Authority, the Fisheries Act 1995 (Vic) and the Fisheries Regulations 2019 (Vic).</w:t>
      </w:r>
    </w:p>
    <w:p w14:paraId="6EC9918E" w14:textId="23FF64F6" w:rsidR="186682DF" w:rsidRDefault="186682DF" w:rsidP="79A6E740">
      <w:pPr>
        <w:spacing w:after="120" w:line="276" w:lineRule="auto"/>
        <w:rPr>
          <w:sz w:val="22"/>
          <w:szCs w:val="22"/>
        </w:rPr>
      </w:pPr>
      <w:r w:rsidRPr="79A6E740">
        <w:rPr>
          <w:b/>
          <w:bCs/>
          <w:sz w:val="22"/>
          <w:szCs w:val="22"/>
          <w:lang w:val="en-AU"/>
        </w:rPr>
        <w:t>Condition 2</w:t>
      </w:r>
    </w:p>
    <w:p w14:paraId="0435135E" w14:textId="7EA427C0" w:rsidR="186682DF" w:rsidRDefault="186682DF" w:rsidP="79A6E740">
      <w:pPr>
        <w:spacing w:after="120" w:line="276" w:lineRule="auto"/>
        <w:rPr>
          <w:sz w:val="22"/>
          <w:szCs w:val="22"/>
        </w:rPr>
      </w:pPr>
      <w:r w:rsidRPr="79A6E740">
        <w:rPr>
          <w:sz w:val="22"/>
          <w:szCs w:val="22"/>
          <w:lang w:val="en-AU"/>
        </w:rPr>
        <w:t xml:space="preserve">Oceanreef Aquaculture must inform the Department of Climate Change, Energy, the Environment and Water of any changes to the permits which guide operation of Oceanreef Aquaculture or any other management arrangements that may affect the assessment against which </w:t>
      </w:r>
      <w:r w:rsidRPr="0086512C">
        <w:rPr>
          <w:i/>
          <w:iCs/>
          <w:sz w:val="22"/>
          <w:szCs w:val="22"/>
          <w:lang w:val="en-AU"/>
        </w:rPr>
        <w:t>Environment Protection and Biodiversity Conservation Act 1999</w:t>
      </w:r>
      <w:r w:rsidRPr="79A6E740">
        <w:rPr>
          <w:sz w:val="22"/>
          <w:szCs w:val="22"/>
          <w:lang w:val="en-AU"/>
        </w:rPr>
        <w:t xml:space="preserve"> decisions are made.</w:t>
      </w:r>
    </w:p>
    <w:p w14:paraId="7E496DDB" w14:textId="1C278289" w:rsidR="186682DF" w:rsidRDefault="186682DF" w:rsidP="79A6E740">
      <w:pPr>
        <w:spacing w:after="120" w:line="276" w:lineRule="auto"/>
        <w:rPr>
          <w:sz w:val="22"/>
          <w:szCs w:val="22"/>
        </w:rPr>
      </w:pPr>
      <w:r w:rsidRPr="79A6E740">
        <w:rPr>
          <w:b/>
          <w:bCs/>
          <w:sz w:val="22"/>
          <w:szCs w:val="22"/>
          <w:lang w:val="en-AU"/>
        </w:rPr>
        <w:t>Condition 3</w:t>
      </w:r>
    </w:p>
    <w:p w14:paraId="6DC5FBB2" w14:textId="0D86E342" w:rsidR="186682DF" w:rsidRDefault="186682DF" w:rsidP="79A6E740">
      <w:pPr>
        <w:spacing w:after="120" w:line="276" w:lineRule="auto"/>
        <w:rPr>
          <w:sz w:val="22"/>
          <w:szCs w:val="22"/>
        </w:rPr>
      </w:pPr>
      <w:r w:rsidRPr="79A6E740">
        <w:rPr>
          <w:sz w:val="22"/>
          <w:szCs w:val="22"/>
          <w:lang w:val="en-AU"/>
        </w:rPr>
        <w:t>Oceanreef Aquaculture must inform the Department of Climate Change, Energy, the Environment and Water of any intended changes to fisheries legislation that may affect the legislative instruments relevant to this approval.</w:t>
      </w:r>
    </w:p>
    <w:p w14:paraId="59C5E1E9" w14:textId="0EDDCA89" w:rsidR="186682DF" w:rsidRDefault="186682DF" w:rsidP="79A6E740">
      <w:pPr>
        <w:spacing w:after="120" w:line="276" w:lineRule="auto"/>
        <w:rPr>
          <w:sz w:val="22"/>
          <w:szCs w:val="22"/>
        </w:rPr>
      </w:pPr>
      <w:r w:rsidRPr="79A6E740">
        <w:rPr>
          <w:b/>
          <w:bCs/>
          <w:sz w:val="22"/>
          <w:szCs w:val="22"/>
          <w:lang w:val="en-AU"/>
        </w:rPr>
        <w:t>Condition 4</w:t>
      </w:r>
    </w:p>
    <w:p w14:paraId="6CDDC61F" w14:textId="33B1637A" w:rsidR="186682DF" w:rsidRDefault="186682DF" w:rsidP="42260AC7">
      <w:pPr>
        <w:spacing w:after="120" w:line="276" w:lineRule="auto"/>
        <w:rPr>
          <w:sz w:val="22"/>
          <w:szCs w:val="22"/>
        </w:rPr>
      </w:pPr>
      <w:r w:rsidRPr="42260AC7">
        <w:rPr>
          <w:sz w:val="22"/>
          <w:szCs w:val="22"/>
          <w:lang w:val="en-AU"/>
        </w:rPr>
        <w:t xml:space="preserve">Oceanreef Aquaculture must produce and provide reports on </w:t>
      </w:r>
      <w:r w:rsidR="00DA534A">
        <w:rPr>
          <w:sz w:val="22"/>
          <w:szCs w:val="22"/>
          <w:lang w:val="en-AU"/>
        </w:rPr>
        <w:t>their operation</w:t>
      </w:r>
      <w:r w:rsidRPr="42260AC7">
        <w:rPr>
          <w:sz w:val="22"/>
          <w:szCs w:val="22"/>
          <w:lang w:val="en-AU"/>
        </w:rPr>
        <w:t xml:space="preserve"> to the Department of Climate Change, Energy, the Environment and Water by </w:t>
      </w:r>
      <w:r w:rsidR="214A88D9" w:rsidRPr="42260AC7">
        <w:rPr>
          <w:sz w:val="22"/>
          <w:szCs w:val="22"/>
          <w:lang w:val="en-AU"/>
        </w:rPr>
        <w:t>20 November</w:t>
      </w:r>
      <w:r w:rsidRPr="42260AC7">
        <w:rPr>
          <w:sz w:val="22"/>
          <w:szCs w:val="22"/>
          <w:lang w:val="en-AU"/>
        </w:rPr>
        <w:t xml:space="preserve"> annually, as per Appendix B of the Guidelines for the Ecologically Sustainable Management of Fisheries – 2nd Edition.</w:t>
      </w:r>
    </w:p>
    <w:p w14:paraId="305FDD0F" w14:textId="46C88173" w:rsidR="186682DF" w:rsidRDefault="186682DF" w:rsidP="79A6E740">
      <w:pPr>
        <w:spacing w:after="120" w:line="276" w:lineRule="auto"/>
        <w:rPr>
          <w:sz w:val="22"/>
          <w:szCs w:val="22"/>
        </w:rPr>
      </w:pPr>
      <w:r w:rsidRPr="79A6E740">
        <w:rPr>
          <w:b/>
          <w:bCs/>
          <w:sz w:val="22"/>
          <w:szCs w:val="22"/>
          <w:lang w:val="en-AU"/>
        </w:rPr>
        <w:t>Condition 5</w:t>
      </w:r>
    </w:p>
    <w:p w14:paraId="6EFACB1C" w14:textId="21BB409E" w:rsidR="186682DF" w:rsidRDefault="186682DF" w:rsidP="79A6E740">
      <w:pPr>
        <w:spacing w:after="120" w:line="276" w:lineRule="auto"/>
        <w:rPr>
          <w:sz w:val="22"/>
          <w:szCs w:val="22"/>
        </w:rPr>
      </w:pPr>
      <w:r w:rsidRPr="79A6E740">
        <w:rPr>
          <w:sz w:val="22"/>
          <w:szCs w:val="22"/>
          <w:lang w:val="en-AU"/>
        </w:rPr>
        <w:t>Wild caught and cultured syngnathids must not be returned to the wild.</w:t>
      </w:r>
    </w:p>
    <w:p w14:paraId="357B62F2" w14:textId="0DBD420E" w:rsidR="79A6E740" w:rsidRDefault="79A6E740" w:rsidP="79A6E740">
      <w:pPr>
        <w:spacing w:after="120" w:line="276" w:lineRule="auto"/>
        <w:rPr>
          <w:sz w:val="22"/>
          <w:szCs w:val="22"/>
          <w:highlight w:val="yellow"/>
        </w:rPr>
      </w:pPr>
    </w:p>
    <w:sectPr w:rsidR="79A6E740" w:rsidSect="0084723E">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D6F1A" w14:textId="77777777" w:rsidR="00DE0C39" w:rsidRDefault="00DE0C39" w:rsidP="00025AAF">
      <w:r>
        <w:separator/>
      </w:r>
    </w:p>
  </w:endnote>
  <w:endnote w:type="continuationSeparator" w:id="0">
    <w:p w14:paraId="32C58F80" w14:textId="77777777" w:rsidR="00DE0C39" w:rsidRDefault="00DE0C39" w:rsidP="00025AAF">
      <w:r>
        <w:continuationSeparator/>
      </w:r>
    </w:p>
  </w:endnote>
  <w:endnote w:type="continuationNotice" w:id="1">
    <w:p w14:paraId="1BAC17AC" w14:textId="77777777" w:rsidR="00DE0C39" w:rsidRDefault="00DE0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AE1ED" w14:textId="77777777" w:rsidR="00025AAF" w:rsidRDefault="0002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B635" w14:textId="77777777" w:rsidR="00025AAF" w:rsidRDefault="00025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EBA5C" w14:textId="77777777" w:rsidR="00025AAF" w:rsidRDefault="0002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6747" w14:textId="77777777" w:rsidR="00DE0C39" w:rsidRDefault="00DE0C39" w:rsidP="00025AAF">
      <w:r>
        <w:separator/>
      </w:r>
    </w:p>
  </w:footnote>
  <w:footnote w:type="continuationSeparator" w:id="0">
    <w:p w14:paraId="171A17E1" w14:textId="77777777" w:rsidR="00DE0C39" w:rsidRDefault="00DE0C39" w:rsidP="00025AAF">
      <w:r>
        <w:continuationSeparator/>
      </w:r>
    </w:p>
  </w:footnote>
  <w:footnote w:type="continuationNotice" w:id="1">
    <w:p w14:paraId="6E173FFA" w14:textId="77777777" w:rsidR="00DE0C39" w:rsidRDefault="00DE0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8828" w14:textId="77777777" w:rsidR="00025AAF" w:rsidRDefault="0002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576A5" w14:textId="77777777" w:rsidR="00025AAF" w:rsidRDefault="00025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15DAE" w14:textId="77777777" w:rsidR="00025AAF" w:rsidRDefault="0002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4"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7"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8"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1" w15:restartNumberingAfterBreak="0">
    <w:nsid w:val="665647AE"/>
    <w:multiLevelType w:val="hybridMultilevel"/>
    <w:tmpl w:val="7FF088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num w:numId="1" w16cid:durableId="2034531918">
    <w:abstractNumId w:val="6"/>
  </w:num>
  <w:num w:numId="2" w16cid:durableId="74939498">
    <w:abstractNumId w:val="10"/>
  </w:num>
  <w:num w:numId="3" w16cid:durableId="1238709829">
    <w:abstractNumId w:val="8"/>
  </w:num>
  <w:num w:numId="4" w16cid:durableId="404496350">
    <w:abstractNumId w:val="9"/>
  </w:num>
  <w:num w:numId="5" w16cid:durableId="1566068874">
    <w:abstractNumId w:val="5"/>
  </w:num>
  <w:num w:numId="6" w16cid:durableId="408964214">
    <w:abstractNumId w:val="12"/>
  </w:num>
  <w:num w:numId="7" w16cid:durableId="822039019">
    <w:abstractNumId w:val="0"/>
  </w:num>
  <w:num w:numId="8" w16cid:durableId="811867202">
    <w:abstractNumId w:val="1"/>
  </w:num>
  <w:num w:numId="9" w16cid:durableId="2024476011">
    <w:abstractNumId w:val="4"/>
  </w:num>
  <w:num w:numId="10" w16cid:durableId="360595039">
    <w:abstractNumId w:val="2"/>
  </w:num>
  <w:num w:numId="11" w16cid:durableId="688064080">
    <w:abstractNumId w:val="13"/>
  </w:num>
  <w:num w:numId="12" w16cid:durableId="62604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73703">
    <w:abstractNumId w:val="7"/>
  </w:num>
  <w:num w:numId="14" w16cid:durableId="1271667914">
    <w:abstractNumId w:val="3"/>
  </w:num>
  <w:num w:numId="15" w16cid:durableId="1720546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3B"/>
    <w:rsid w:val="00025AAF"/>
    <w:rsid w:val="00053E89"/>
    <w:rsid w:val="0006351F"/>
    <w:rsid w:val="000678E3"/>
    <w:rsid w:val="0007721E"/>
    <w:rsid w:val="00081C17"/>
    <w:rsid w:val="000944C5"/>
    <w:rsid w:val="0009559B"/>
    <w:rsid w:val="00097482"/>
    <w:rsid w:val="000A79D6"/>
    <w:rsid w:val="000C7FD3"/>
    <w:rsid w:val="000F1645"/>
    <w:rsid w:val="000F54BF"/>
    <w:rsid w:val="00121C79"/>
    <w:rsid w:val="00135A54"/>
    <w:rsid w:val="00137A53"/>
    <w:rsid w:val="001437D5"/>
    <w:rsid w:val="00161718"/>
    <w:rsid w:val="001754B3"/>
    <w:rsid w:val="001903F6"/>
    <w:rsid w:val="001B30E9"/>
    <w:rsid w:val="001B4AC1"/>
    <w:rsid w:val="001C1983"/>
    <w:rsid w:val="001D0BDD"/>
    <w:rsid w:val="001D1440"/>
    <w:rsid w:val="001D1E4F"/>
    <w:rsid w:val="001F5F57"/>
    <w:rsid w:val="002277BD"/>
    <w:rsid w:val="00270AD3"/>
    <w:rsid w:val="002757A2"/>
    <w:rsid w:val="00281A75"/>
    <w:rsid w:val="002873DE"/>
    <w:rsid w:val="00315EDE"/>
    <w:rsid w:val="0033114B"/>
    <w:rsid w:val="0034188A"/>
    <w:rsid w:val="0036450D"/>
    <w:rsid w:val="00397B00"/>
    <w:rsid w:val="003B7508"/>
    <w:rsid w:val="003E5BC9"/>
    <w:rsid w:val="004440C2"/>
    <w:rsid w:val="004633C8"/>
    <w:rsid w:val="00486279"/>
    <w:rsid w:val="004A21DD"/>
    <w:rsid w:val="004C3DEE"/>
    <w:rsid w:val="004D79A6"/>
    <w:rsid w:val="005176C3"/>
    <w:rsid w:val="00581628"/>
    <w:rsid w:val="005A3DE7"/>
    <w:rsid w:val="005F60BA"/>
    <w:rsid w:val="00614914"/>
    <w:rsid w:val="0062178C"/>
    <w:rsid w:val="006344BD"/>
    <w:rsid w:val="00645729"/>
    <w:rsid w:val="00665B3F"/>
    <w:rsid w:val="0067129A"/>
    <w:rsid w:val="00680FEF"/>
    <w:rsid w:val="00693DD6"/>
    <w:rsid w:val="006A1AFC"/>
    <w:rsid w:val="006F1595"/>
    <w:rsid w:val="006F7D75"/>
    <w:rsid w:val="007535C6"/>
    <w:rsid w:val="007556B5"/>
    <w:rsid w:val="00780A87"/>
    <w:rsid w:val="00795D59"/>
    <w:rsid w:val="007E085C"/>
    <w:rsid w:val="00820264"/>
    <w:rsid w:val="0084723E"/>
    <w:rsid w:val="00854659"/>
    <w:rsid w:val="0086512C"/>
    <w:rsid w:val="008716A9"/>
    <w:rsid w:val="00873B35"/>
    <w:rsid w:val="00881248"/>
    <w:rsid w:val="008A1753"/>
    <w:rsid w:val="008B57A5"/>
    <w:rsid w:val="008C7D4F"/>
    <w:rsid w:val="008E0CF5"/>
    <w:rsid w:val="008F2EEC"/>
    <w:rsid w:val="009046DF"/>
    <w:rsid w:val="009132FA"/>
    <w:rsid w:val="00916954"/>
    <w:rsid w:val="00923C5D"/>
    <w:rsid w:val="009500FD"/>
    <w:rsid w:val="00954478"/>
    <w:rsid w:val="00962CE2"/>
    <w:rsid w:val="009946F0"/>
    <w:rsid w:val="00995E72"/>
    <w:rsid w:val="009B0E50"/>
    <w:rsid w:val="009B30E6"/>
    <w:rsid w:val="009B52E7"/>
    <w:rsid w:val="009C5305"/>
    <w:rsid w:val="009F28FB"/>
    <w:rsid w:val="00A1569D"/>
    <w:rsid w:val="00A33DED"/>
    <w:rsid w:val="00A52C02"/>
    <w:rsid w:val="00A834C5"/>
    <w:rsid w:val="00AC559D"/>
    <w:rsid w:val="00AD2B46"/>
    <w:rsid w:val="00AD5D3C"/>
    <w:rsid w:val="00B06522"/>
    <w:rsid w:val="00B11A13"/>
    <w:rsid w:val="00B251AD"/>
    <w:rsid w:val="00B364D4"/>
    <w:rsid w:val="00B45ECF"/>
    <w:rsid w:val="00B677C8"/>
    <w:rsid w:val="00B85719"/>
    <w:rsid w:val="00BC3821"/>
    <w:rsid w:val="00BE4733"/>
    <w:rsid w:val="00BF28C9"/>
    <w:rsid w:val="00BF533B"/>
    <w:rsid w:val="00BF7A83"/>
    <w:rsid w:val="00C035F1"/>
    <w:rsid w:val="00C1325A"/>
    <w:rsid w:val="00C26434"/>
    <w:rsid w:val="00C30237"/>
    <w:rsid w:val="00C40170"/>
    <w:rsid w:val="00C646AF"/>
    <w:rsid w:val="00C665C2"/>
    <w:rsid w:val="00C8489C"/>
    <w:rsid w:val="00C97B2F"/>
    <w:rsid w:val="00CF5312"/>
    <w:rsid w:val="00CF7E99"/>
    <w:rsid w:val="00D43A3C"/>
    <w:rsid w:val="00D50212"/>
    <w:rsid w:val="00D545DE"/>
    <w:rsid w:val="00D63915"/>
    <w:rsid w:val="00D75ACB"/>
    <w:rsid w:val="00DA534A"/>
    <w:rsid w:val="00DA6600"/>
    <w:rsid w:val="00DC0376"/>
    <w:rsid w:val="00DD274E"/>
    <w:rsid w:val="00DE0C39"/>
    <w:rsid w:val="00DE4175"/>
    <w:rsid w:val="00E130FE"/>
    <w:rsid w:val="00E442CE"/>
    <w:rsid w:val="00E46B14"/>
    <w:rsid w:val="00E54D2E"/>
    <w:rsid w:val="00E92586"/>
    <w:rsid w:val="00ED1E08"/>
    <w:rsid w:val="00F02333"/>
    <w:rsid w:val="00F10DF4"/>
    <w:rsid w:val="00F21B53"/>
    <w:rsid w:val="00F85821"/>
    <w:rsid w:val="00F96D8E"/>
    <w:rsid w:val="00F96DC0"/>
    <w:rsid w:val="00FA278A"/>
    <w:rsid w:val="00FB3199"/>
    <w:rsid w:val="00FD3405"/>
    <w:rsid w:val="00FE4157"/>
    <w:rsid w:val="089F6208"/>
    <w:rsid w:val="1211724B"/>
    <w:rsid w:val="166C213E"/>
    <w:rsid w:val="18405347"/>
    <w:rsid w:val="186682DF"/>
    <w:rsid w:val="214A88D9"/>
    <w:rsid w:val="2D419F01"/>
    <w:rsid w:val="308801FD"/>
    <w:rsid w:val="3AB2F582"/>
    <w:rsid w:val="42260AC7"/>
    <w:rsid w:val="4A37BA60"/>
    <w:rsid w:val="522FAC62"/>
    <w:rsid w:val="57533EE1"/>
    <w:rsid w:val="5A379C26"/>
    <w:rsid w:val="5B34B674"/>
    <w:rsid w:val="5D913429"/>
    <w:rsid w:val="74557A8E"/>
    <w:rsid w:val="79A6E740"/>
    <w:rsid w:val="7C2EC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5444"/>
  <w15:docId w15:val="{B49DFE78-0C22-46D4-977F-A72DC751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uiPriority w:val="34"/>
    <w:qFormat/>
    <w:rsid w:val="00D63915"/>
    <w:pPr>
      <w:tabs>
        <w:tab w:val="left" w:pos="1096"/>
      </w:tabs>
      <w:spacing w:before="60" w:after="60"/>
      <w:ind w:firstLine="181"/>
    </w:pPr>
    <w:rPr>
      <w:rFonts w:eastAsia="Calibri"/>
      <w:snapToGrid w:val="0"/>
      <w:sz w:val="22"/>
      <w:szCs w:val="22"/>
      <w:lang w:val="en-AU"/>
    </w:rPr>
  </w:style>
  <w:style w:type="paragraph" w:styleId="Header">
    <w:name w:val="header"/>
    <w:basedOn w:val="Normal"/>
    <w:link w:val="HeaderChar"/>
    <w:unhideWhenUsed/>
    <w:rsid w:val="00025AAF"/>
    <w:pPr>
      <w:tabs>
        <w:tab w:val="center" w:pos="4513"/>
        <w:tab w:val="right" w:pos="9026"/>
      </w:tabs>
    </w:pPr>
  </w:style>
  <w:style w:type="character" w:customStyle="1" w:styleId="HeaderChar">
    <w:name w:val="Header Char"/>
    <w:link w:val="Header"/>
    <w:rsid w:val="00025AAF"/>
    <w:rPr>
      <w:sz w:val="24"/>
      <w:szCs w:val="24"/>
      <w:lang w:val="en-US" w:eastAsia="en-US"/>
    </w:rPr>
  </w:style>
  <w:style w:type="paragraph" w:styleId="Footer">
    <w:name w:val="footer"/>
    <w:basedOn w:val="Normal"/>
    <w:link w:val="FooterChar"/>
    <w:unhideWhenUsed/>
    <w:rsid w:val="00025AAF"/>
    <w:pPr>
      <w:tabs>
        <w:tab w:val="center" w:pos="4513"/>
        <w:tab w:val="right" w:pos="9026"/>
      </w:tabs>
    </w:pPr>
  </w:style>
  <w:style w:type="character" w:customStyle="1" w:styleId="FooterChar">
    <w:name w:val="Footer Char"/>
    <w:link w:val="Footer"/>
    <w:rsid w:val="00025AAF"/>
    <w:rPr>
      <w:sz w:val="24"/>
      <w:szCs w:val="24"/>
      <w:lang w:val="en-US" w:eastAsia="en-US"/>
    </w:rPr>
  </w:style>
  <w:style w:type="character" w:styleId="UnresolvedMention">
    <w:name w:val="Unresolved Mention"/>
    <w:uiPriority w:val="99"/>
    <w:semiHidden/>
    <w:unhideWhenUsed/>
    <w:rsid w:val="00FD3405"/>
    <w:rPr>
      <w:color w:val="605E5C"/>
      <w:shd w:val="clear" w:color="auto" w:fill="E1DFDD"/>
    </w:rPr>
  </w:style>
  <w:style w:type="paragraph" w:styleId="Revision">
    <w:name w:val="Revision"/>
    <w:hidden/>
    <w:uiPriority w:val="99"/>
    <w:semiHidden/>
    <w:rsid w:val="004862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8FC7F39AC9294EA35A20C4F9BD6D59" ma:contentTypeVersion="" ma:contentTypeDescription="PDMS Document Site Content Type" ma:contentTypeScope="" ma:versionID="6054a531a7d921ada215450529b8c07f">
  <xsd:schema xmlns:xsd="http://www.w3.org/2001/XMLSchema" xmlns:xs="http://www.w3.org/2001/XMLSchema" xmlns:p="http://schemas.microsoft.com/office/2006/metadata/properties" xmlns:ns2="5F27C0AA-1D27-4E8B-9C36-5E2C8694AFEA" targetNamespace="http://schemas.microsoft.com/office/2006/metadata/properties" ma:root="true" ma:fieldsID="95d5dcbdb91d7e6f9a75c0ff9b236b74" ns2:_="">
    <xsd:import namespace="5F27C0AA-1D27-4E8B-9C36-5E2C8694A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C0AA-1D27-4E8B-9C36-5E2C8694A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F27C0AA-1D27-4E8B-9C36-5E2C8694AFEA" xsi:nil="true"/>
  </documentManagement>
</p:properties>
</file>

<file path=customXml/itemProps1.xml><?xml version="1.0" encoding="utf-8"?>
<ds:datastoreItem xmlns:ds="http://schemas.openxmlformats.org/officeDocument/2006/customXml" ds:itemID="{6DD7EBCF-4476-4BBB-8099-9029BBD67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C0AA-1D27-4E8B-9C36-5E2C8694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86513-26ED-46F7-8DAF-99625331E85E}">
  <ds:schemaRefs>
    <ds:schemaRef ds:uri="http://schemas.openxmlformats.org/officeDocument/2006/bibliography"/>
  </ds:schemaRefs>
</ds:datastoreItem>
</file>

<file path=customXml/itemProps3.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4.xml><?xml version="1.0" encoding="utf-8"?>
<ds:datastoreItem xmlns:ds="http://schemas.openxmlformats.org/officeDocument/2006/customXml" ds:itemID="{254F61E2-7DE1-4B0F-A4B3-6DD7DF5A9E1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5F27C0AA-1D27-4E8B-9C36-5E2C8694AFEA"/>
    <ds:schemaRef ds:uri="http://www.w3.org/XML/1998/namespace"/>
    <ds:schemaRef ds:uri="http://purl.org/dc/elements/1.1/"/>
  </ds:schemaRefs>
</ds:datastoreItem>
</file>

<file path=docMetadata/LabelInfo.xml><?xml version="1.0" encoding="utf-8"?>
<clbl:labelList xmlns:clbl="http://schemas.microsoft.com/office/2020/mipLabelMetadata">
  <clbl:label id="{938c5fd4-19f6-4faf-97a6-4805fefb2c9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3722</Characters>
  <Application>Microsoft Office Word</Application>
  <DocSecurity>0</DocSecurity>
  <Lines>31</Lines>
  <Paragraphs>8</Paragraphs>
  <ScaleCrop>false</ScaleCrop>
  <Company>EA</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Trade Operation instrument</dc:title>
  <dc:subject/>
  <dc:creator>a12990</dc:creator>
  <cp:keywords/>
  <cp:lastModifiedBy>Jessica HOEY</cp:lastModifiedBy>
  <cp:revision>6</cp:revision>
  <cp:lastPrinted>2015-02-25T19:12:00Z</cp:lastPrinted>
  <dcterms:created xsi:type="dcterms:W3CDTF">2025-03-20T02:33:00Z</dcterms:created>
  <dcterms:modified xsi:type="dcterms:W3CDTF">2025-03-25T00:40:00Z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0x010100266966F133664895A6EE3632470D45F500CC8FC7F39AC9294EA35A20C4F9BD6D59</vt:lpwstr>
  </property>
  <property fmtid="{D5CDD505-2E9C-101B-9397-08002B2CF9AE}" pid="3" name="RecordPoint_SubmissionDate">
    <vt:lpwstr/>
  </property>
  <property fmtid="{D5CDD505-2E9C-101B-9397-08002B2CF9AE}" pid="4" name="RecordPoint_RecordNumberSubmitted">
    <vt:lpwstr>000109706</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2021-01-17T17:15:04.3832744+11:00</vt:lpwstr>
  </property>
  <property fmtid="{D5CDD505-2E9C-101B-9397-08002B2CF9AE}" pid="10" name="RecordPoint_ActiveItemUniqueId">
    <vt:lpwstr>{705ac55a-14b8-4483-862e-34df0376b3da}</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MediaServiceImageTags">
    <vt:lpwstr/>
  </property>
</Properties>
</file>