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14BD">
      <w:pPr>
        <w:pStyle w:val="base-text-paragraph"/>
        <w:ind w:left="0"/>
        <w:jc w:val="center"/>
      </w:pPr>
      <w:bookmarkStart w:id="0" w:name="_GoBack"/>
      <w:bookmarkEnd w:id="0"/>
      <w:r>
        <w:t>2004-2005-2006-2007</w:t>
      </w:r>
    </w:p>
    <w:p w:rsidR="00000000" w:rsidRDefault="006914BD">
      <w:pPr>
        <w:pStyle w:val="base-text-paragraph"/>
        <w:ind w:left="0"/>
        <w:jc w:val="center"/>
      </w:pPr>
    </w:p>
    <w:p w:rsidR="00000000" w:rsidRDefault="006914BD">
      <w:pPr>
        <w:pStyle w:val="base-text-paragraph"/>
        <w:ind w:left="0"/>
        <w:jc w:val="center"/>
      </w:pPr>
      <w:r>
        <w:t>THE PARLIAMENT OF THE COMMONWEALTH OF AUSTRALIA</w:t>
      </w:r>
    </w:p>
    <w:p w:rsidR="00000000" w:rsidRDefault="006914BD">
      <w:pPr>
        <w:pStyle w:val="base-text-paragraph"/>
        <w:ind w:left="0"/>
        <w:jc w:val="center"/>
      </w:pPr>
    </w:p>
    <w:p w:rsidR="00000000" w:rsidRDefault="006914BD">
      <w:pPr>
        <w:pStyle w:val="base-text-paragraph"/>
        <w:ind w:left="0"/>
        <w:jc w:val="center"/>
      </w:pPr>
    </w:p>
    <w:p w:rsidR="00000000" w:rsidRDefault="006914BD">
      <w:pPr>
        <w:pStyle w:val="base-text-paragraph"/>
        <w:ind w:left="0"/>
        <w:jc w:val="center"/>
      </w:pPr>
    </w:p>
    <w:p w:rsidR="00000000" w:rsidRDefault="006914BD">
      <w:pPr>
        <w:pStyle w:val="base-text-paragraph"/>
        <w:ind w:left="0"/>
        <w:jc w:val="center"/>
      </w:pPr>
      <w:r>
        <w:t>SENATE</w:t>
      </w:r>
    </w:p>
    <w:p w:rsidR="00000000" w:rsidRDefault="006914BD">
      <w:pPr>
        <w:pStyle w:val="base-text-paragraph"/>
        <w:ind w:left="0"/>
        <w:jc w:val="center"/>
      </w:pPr>
    </w:p>
    <w:p w:rsidR="00000000" w:rsidRDefault="006914BD">
      <w:pPr>
        <w:pStyle w:val="base-text-paragraph"/>
        <w:ind w:left="0"/>
        <w:jc w:val="center"/>
      </w:pPr>
    </w:p>
    <w:p w:rsidR="00000000" w:rsidRDefault="006914BD">
      <w:pPr>
        <w:pStyle w:val="base-text-paragraph"/>
        <w:ind w:left="0"/>
        <w:jc w:val="center"/>
      </w:pPr>
    </w:p>
    <w:p w:rsidR="00000000" w:rsidRDefault="006914BD">
      <w:pPr>
        <w:pStyle w:val="base-text-paragraph"/>
        <w:pBdr>
          <w:top w:val="single" w:sz="6" w:space="12" w:color="auto"/>
          <w:bottom w:val="single" w:sz="6" w:space="12" w:color="auto"/>
        </w:pBdr>
        <w:ind w:left="0"/>
        <w:jc w:val="center"/>
        <w:rPr>
          <w:caps/>
        </w:rPr>
      </w:pPr>
      <w:r>
        <w:rPr>
          <w:caps/>
        </w:rPr>
        <w:t>tax laws amendment (2007 measureS n</w:t>
      </w:r>
      <w:r>
        <w:t>o</w:t>
      </w:r>
      <w:r>
        <w:rPr>
          <w:caps/>
        </w:rPr>
        <w:t>. 5) bill 2007</w:t>
      </w:r>
    </w:p>
    <w:p w:rsidR="00000000" w:rsidRDefault="006914BD">
      <w:pPr>
        <w:pStyle w:val="base-text-paragraph"/>
        <w:ind w:left="0"/>
        <w:jc w:val="center"/>
      </w:pPr>
    </w:p>
    <w:p w:rsidR="00000000" w:rsidRDefault="006914BD">
      <w:pPr>
        <w:pStyle w:val="base-text-paragraph"/>
        <w:ind w:left="0"/>
        <w:jc w:val="center"/>
      </w:pPr>
    </w:p>
    <w:p w:rsidR="00000000" w:rsidRDefault="006914BD">
      <w:pPr>
        <w:pStyle w:val="base-text-paragraph"/>
        <w:ind w:left="0"/>
        <w:jc w:val="center"/>
      </w:pPr>
    </w:p>
    <w:p w:rsidR="00000000" w:rsidRDefault="006914BD">
      <w:pPr>
        <w:pStyle w:val="base-text-paragraph"/>
        <w:ind w:left="0"/>
        <w:jc w:val="center"/>
      </w:pPr>
      <w:r>
        <w:t>SUPPLEMENTARY EXPLANATORY MEMORANDUM</w:t>
      </w:r>
    </w:p>
    <w:p w:rsidR="00000000" w:rsidRDefault="006914BD">
      <w:pPr>
        <w:pStyle w:val="base-text-paragraph"/>
        <w:ind w:left="0"/>
        <w:jc w:val="center"/>
      </w:pPr>
    </w:p>
    <w:p w:rsidR="00000000" w:rsidRDefault="006914BD">
      <w:pPr>
        <w:pStyle w:val="base-text-paragraph"/>
        <w:ind w:left="0"/>
        <w:jc w:val="center"/>
      </w:pPr>
    </w:p>
    <w:p w:rsidR="00000000" w:rsidRDefault="006914BD">
      <w:pPr>
        <w:pStyle w:val="base-text-paragraph"/>
        <w:ind w:left="0"/>
        <w:jc w:val="center"/>
      </w:pPr>
      <w:r>
        <w:t>Amendment and request for amendments to be moved on behalf of the Government</w:t>
      </w:r>
    </w:p>
    <w:p w:rsidR="00000000" w:rsidRDefault="006914BD">
      <w:pPr>
        <w:pStyle w:val="base-text-paragraph"/>
        <w:ind w:left="0"/>
        <w:jc w:val="center"/>
      </w:pPr>
    </w:p>
    <w:p w:rsidR="00000000" w:rsidRDefault="006914BD">
      <w:pPr>
        <w:pStyle w:val="base-text-paragraph"/>
        <w:ind w:left="0"/>
        <w:jc w:val="center"/>
      </w:pPr>
    </w:p>
    <w:p w:rsidR="00000000" w:rsidRDefault="006914BD">
      <w:pPr>
        <w:pStyle w:val="base-text-paragraph"/>
        <w:ind w:left="0"/>
        <w:jc w:val="center"/>
      </w:pPr>
      <w:r>
        <w:t>(C</w:t>
      </w:r>
      <w:r>
        <w:t>irculated by authority of the</w:t>
      </w:r>
      <w:r>
        <w:br/>
        <w:t>Treasurer, the Hon Peter Costello, MP)</w:t>
      </w:r>
    </w:p>
    <w:p w:rsidR="00000000" w:rsidRDefault="006914BD">
      <w:pPr>
        <w:pStyle w:val="base-text-paragraph"/>
        <w:ind w:left="0"/>
        <w:rPr>
          <w:b/>
        </w:rPr>
      </w:pPr>
    </w:p>
    <w:p w:rsidR="00000000" w:rsidRDefault="006914BD">
      <w:pPr>
        <w:pStyle w:val="TOC2"/>
        <w:sectPr w:rsidR="00000000">
          <w:footerReference w:type="first" r:id="rId8"/>
          <w:type w:val="oddPage"/>
          <w:pgSz w:w="11907" w:h="16840" w:code="9"/>
          <w:pgMar w:top="2466" w:right="2098" w:bottom="2466" w:left="2098" w:header="1559" w:footer="1899" w:gutter="0"/>
          <w:pgNumType w:fmt="lowerRoman" w:start="1"/>
          <w:cols w:space="720"/>
          <w:titlePg/>
        </w:sectPr>
      </w:pPr>
    </w:p>
    <w:p w:rsidR="00000000" w:rsidRDefault="006914BD">
      <w:pPr>
        <w:pStyle w:val="TOCHeading"/>
      </w:pPr>
      <w:r>
        <w:rPr>
          <w:sz w:val="60"/>
        </w:rPr>
        <w:lastRenderedPageBreak/>
        <w:t>T</w:t>
      </w:r>
      <w:r>
        <w:t>able of contents</w:t>
      </w:r>
    </w:p>
    <w:p w:rsidR="00000000" w:rsidRDefault="006914BD">
      <w:pPr>
        <w:pStyle w:val="TOC1"/>
        <w:rPr>
          <w:rFonts w:ascii="Times New Roman" w:hAnsi="Times New Roman"/>
          <w:noProof/>
          <w:kern w:val="0"/>
        </w:rPr>
      </w:pPr>
      <w:r>
        <w:rPr>
          <w:i/>
        </w:rPr>
        <w:fldChar w:fldCharType="begin"/>
      </w:r>
      <w:r>
        <w:rPr>
          <w:i/>
        </w:rPr>
        <w:instrText xml:space="preserve"> TOC \t "Chapter Heading,1" </w:instrText>
      </w:r>
      <w:r>
        <w:rPr>
          <w:i/>
        </w:rPr>
        <w:fldChar w:fldCharType="separate"/>
      </w:r>
      <w:r>
        <w:rPr>
          <w:noProof/>
        </w:rPr>
        <w:t>General outline and financial impact</w:t>
      </w:r>
      <w:r>
        <w:rPr>
          <w:noProof/>
        </w:rPr>
        <w:tab/>
      </w:r>
      <w:r>
        <w:rPr>
          <w:noProof/>
        </w:rPr>
        <w:fldChar w:fldCharType="begin"/>
      </w:r>
      <w:r>
        <w:rPr>
          <w:noProof/>
        </w:rPr>
        <w:instrText xml:space="preserve"> PAGEREF _Toc177377704 \h </w:instrText>
      </w:r>
      <w:r>
        <w:rPr>
          <w:noProof/>
          <w:sz w:val="20"/>
        </w:rPr>
      </w:r>
      <w:r>
        <w:rPr>
          <w:noProof/>
        </w:rPr>
        <w:fldChar w:fldCharType="separate"/>
      </w:r>
      <w:r>
        <w:rPr>
          <w:noProof/>
        </w:rPr>
        <w:t>1</w:t>
      </w:r>
      <w:r>
        <w:rPr>
          <w:noProof/>
        </w:rPr>
        <w:fldChar w:fldCharType="end"/>
      </w:r>
    </w:p>
    <w:p w:rsidR="00000000" w:rsidRDefault="006914BD">
      <w:pPr>
        <w:pStyle w:val="TOC1"/>
        <w:rPr>
          <w:rFonts w:ascii="Times New Roman" w:hAnsi="Times New Roman"/>
          <w:noProof/>
          <w:kern w:val="0"/>
        </w:rPr>
      </w:pPr>
      <w:r>
        <w:rPr>
          <w:noProof/>
        </w:rPr>
        <w:t>Chapter 1</w:t>
      </w:r>
      <w:r>
        <w:rPr>
          <w:rFonts w:ascii="Times New Roman" w:hAnsi="Times New Roman"/>
          <w:noProof/>
          <w:kern w:val="0"/>
        </w:rPr>
        <w:tab/>
      </w:r>
      <w:r>
        <w:rPr>
          <w:noProof/>
        </w:rPr>
        <w:t>Film production offsets</w:t>
      </w:r>
      <w:r>
        <w:rPr>
          <w:noProof/>
        </w:rPr>
        <w:tab/>
      </w:r>
      <w:r>
        <w:rPr>
          <w:noProof/>
        </w:rPr>
        <w:fldChar w:fldCharType="begin"/>
      </w:r>
      <w:r>
        <w:rPr>
          <w:noProof/>
        </w:rPr>
        <w:instrText xml:space="preserve"> PAGEREF _Toc177377705 \h </w:instrText>
      </w:r>
      <w:r>
        <w:rPr>
          <w:noProof/>
          <w:sz w:val="20"/>
        </w:rPr>
      </w:r>
      <w:r>
        <w:rPr>
          <w:noProof/>
        </w:rPr>
        <w:fldChar w:fldCharType="separate"/>
      </w:r>
      <w:r>
        <w:rPr>
          <w:noProof/>
        </w:rPr>
        <w:t>3</w:t>
      </w:r>
      <w:r>
        <w:rPr>
          <w:noProof/>
        </w:rPr>
        <w:fldChar w:fldCharType="end"/>
      </w:r>
    </w:p>
    <w:p w:rsidR="00000000" w:rsidRDefault="006914BD">
      <w:pPr>
        <w:pStyle w:val="TOC1"/>
      </w:pPr>
      <w:r>
        <w:rPr>
          <w:i/>
        </w:rPr>
        <w:fldChar w:fldCharType="end"/>
      </w:r>
    </w:p>
    <w:p w:rsidR="00000000" w:rsidRDefault="006914BD">
      <w:pPr>
        <w:pStyle w:val="base-text-paragraph"/>
        <w:sectPr w:rsidR="00000000">
          <w:type w:val="oddPage"/>
          <w:pgSz w:w="11907" w:h="16840" w:code="9"/>
          <w:pgMar w:top="2466" w:right="2098" w:bottom="2466" w:left="2098" w:header="1559" w:footer="1899" w:gutter="0"/>
          <w:pgNumType w:start="1"/>
          <w:cols w:space="720"/>
          <w:titlePg/>
        </w:sectPr>
      </w:pPr>
    </w:p>
    <w:p w:rsidR="00000000" w:rsidRDefault="006914BD">
      <w:pPr>
        <w:pStyle w:val="ChapterHeading"/>
      </w:pPr>
      <w:bookmarkStart w:id="1" w:name="_Toc177377704"/>
      <w:bookmarkStart w:id="2" w:name="_Toc461506705"/>
      <w:r>
        <w:rPr>
          <w:sz w:val="60"/>
        </w:rPr>
        <w:lastRenderedPageBreak/>
        <w:t>G</w:t>
      </w:r>
      <w:r>
        <w:t>eneral outline and financial impact</w:t>
      </w:r>
      <w:bookmarkEnd w:id="1"/>
    </w:p>
    <w:p w:rsidR="00000000" w:rsidRDefault="006914BD">
      <w:pPr>
        <w:pStyle w:val="Heading2"/>
      </w:pPr>
      <w:r>
        <w:t>Film production offsets</w:t>
      </w:r>
    </w:p>
    <w:p w:rsidR="00000000" w:rsidRDefault="006914BD">
      <w:pPr>
        <w:pStyle w:val="base-text-paragraph"/>
      </w:pPr>
      <w:r>
        <w:t>Schedule 10 to the Bill reforms the taxation arrangements for the Australian screen media industry by</w:t>
      </w:r>
      <w:bookmarkStart w:id="3" w:name="OLE_LINK4"/>
      <w:bookmarkStart w:id="4" w:name="OLE_LINK3"/>
      <w:r>
        <w:t xml:space="preserve"> introducing a refundable film tax offset for producers of Australian films (the producer off</w:t>
      </w:r>
      <w:r>
        <w:t xml:space="preserve">set).  </w:t>
      </w:r>
    </w:p>
    <w:p w:rsidR="00000000" w:rsidRDefault="006914BD">
      <w:pPr>
        <w:pStyle w:val="base-text-paragraph"/>
      </w:pPr>
      <w:r>
        <w:t>Where a film is a series or season of a series that is predominantly a cell, stop motion, digital or other animation, the series or season of a series will be eligible if each episode of the series or season of a series is at least 15 commercial minutes in duration.</w:t>
      </w:r>
    </w:p>
    <w:p w:rsidR="00000000" w:rsidRDefault="006914BD">
      <w:pPr>
        <w:pStyle w:val="base-text-paragraph"/>
      </w:pPr>
      <w:r>
        <w:t>Within 12 months after Royal Assent, the Minister with responsibility for the Act will initiate a review to examine the effect of the film production offsets to compare levels of production by the Australian independent production sector</w:t>
      </w:r>
      <w:r>
        <w:t xml:space="preserve"> to production levels of Australian television broadcasters, including commercial free-to-air, subscription and national television broadcasters.  </w:t>
      </w:r>
    </w:p>
    <w:bookmarkEnd w:id="3"/>
    <w:bookmarkEnd w:id="4"/>
    <w:p w:rsidR="00000000" w:rsidRDefault="006914BD">
      <w:pPr>
        <w:pStyle w:val="base-text-paragraph"/>
      </w:pPr>
      <w:r>
        <w:rPr>
          <w:b/>
          <w:i/>
        </w:rPr>
        <w:t>Date of effect</w:t>
      </w:r>
      <w:r>
        <w:t>:  The producer offset applies to qualifying Australian production expenditure incurred:</w:t>
      </w:r>
    </w:p>
    <w:p w:rsidR="00000000" w:rsidRDefault="006914BD" w:rsidP="006914BD">
      <w:pPr>
        <w:pStyle w:val="dotpoint"/>
        <w:numPr>
          <w:ilvl w:val="0"/>
          <w:numId w:val="1"/>
        </w:numPr>
        <w:tabs>
          <w:tab w:val="left" w:pos="2268"/>
        </w:tabs>
        <w:spacing w:before="0"/>
        <w:ind w:left="2269" w:hanging="284"/>
      </w:pPr>
      <w:r>
        <w:t>on or after 1 July 2007; and</w:t>
      </w:r>
    </w:p>
    <w:p w:rsidR="00000000" w:rsidRDefault="006914BD" w:rsidP="006914BD">
      <w:pPr>
        <w:pStyle w:val="dotpoint"/>
        <w:numPr>
          <w:ilvl w:val="0"/>
          <w:numId w:val="1"/>
        </w:numPr>
        <w:tabs>
          <w:tab w:val="left" w:pos="2268"/>
        </w:tabs>
        <w:spacing w:before="0"/>
        <w:ind w:left="2269" w:hanging="284"/>
      </w:pPr>
      <w:r>
        <w:t>before 1 July 2007, to the extent that such expenditure is attributable to goods or services provided on or after 1 July 2007.</w:t>
      </w:r>
    </w:p>
    <w:p w:rsidR="00000000" w:rsidRDefault="006914BD">
      <w:pPr>
        <w:pStyle w:val="base-text-paragraph"/>
      </w:pPr>
      <w:r>
        <w:rPr>
          <w:b/>
          <w:i/>
        </w:rPr>
        <w:t>Proposal announced</w:t>
      </w:r>
      <w:r>
        <w:t>:  The amendment and request for amendments have not previously been announced.</w:t>
      </w:r>
    </w:p>
    <w:p w:rsidR="00000000" w:rsidRDefault="006914BD">
      <w:pPr>
        <w:pStyle w:val="base-text-paragraph"/>
        <w:spacing w:after="240"/>
      </w:pPr>
      <w:r>
        <w:rPr>
          <w:b/>
          <w:i/>
        </w:rPr>
        <w:t>Financi</w:t>
      </w:r>
      <w:r>
        <w:rPr>
          <w:b/>
          <w:i/>
        </w:rPr>
        <w:t>al impact</w:t>
      </w:r>
      <w:r>
        <w:t>:  The request for amendments in relation to animated series will have these financial implications:</w:t>
      </w: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71"/>
        <w:gridCol w:w="1671"/>
        <w:gridCol w:w="1671"/>
        <w:gridCol w:w="1672"/>
      </w:tblGrid>
      <w:tr w:rsidR="00000000">
        <w:tblPrEx>
          <w:tblCellMar>
            <w:top w:w="0" w:type="dxa"/>
            <w:bottom w:w="0" w:type="dxa"/>
          </w:tblCellMar>
        </w:tblPrEx>
        <w:tc>
          <w:tcPr>
            <w:tcW w:w="1671" w:type="dxa"/>
            <w:tcBorders>
              <w:top w:val="single" w:sz="6" w:space="0" w:color="auto"/>
              <w:left w:val="single" w:sz="6" w:space="0" w:color="auto"/>
              <w:bottom w:val="single" w:sz="6" w:space="0" w:color="auto"/>
              <w:right w:val="single" w:sz="6" w:space="0" w:color="auto"/>
            </w:tcBorders>
          </w:tcPr>
          <w:p w:rsidR="00000000" w:rsidRDefault="006914BD">
            <w:pPr>
              <w:pStyle w:val="tableheaderwithintable"/>
            </w:pPr>
            <w:r>
              <w:t>2007-08</w:t>
            </w:r>
          </w:p>
        </w:tc>
        <w:tc>
          <w:tcPr>
            <w:tcW w:w="1671" w:type="dxa"/>
            <w:tcBorders>
              <w:top w:val="single" w:sz="6" w:space="0" w:color="auto"/>
              <w:left w:val="single" w:sz="6" w:space="0" w:color="auto"/>
              <w:bottom w:val="single" w:sz="6" w:space="0" w:color="auto"/>
              <w:right w:val="single" w:sz="6" w:space="0" w:color="auto"/>
            </w:tcBorders>
          </w:tcPr>
          <w:p w:rsidR="00000000" w:rsidRDefault="006914BD">
            <w:pPr>
              <w:pStyle w:val="tableheaderwithintable"/>
            </w:pPr>
            <w:r>
              <w:t>2008-09</w:t>
            </w:r>
          </w:p>
        </w:tc>
        <w:tc>
          <w:tcPr>
            <w:tcW w:w="1671" w:type="dxa"/>
            <w:tcBorders>
              <w:top w:val="single" w:sz="6" w:space="0" w:color="auto"/>
              <w:left w:val="single" w:sz="6" w:space="0" w:color="auto"/>
              <w:bottom w:val="single" w:sz="6" w:space="0" w:color="auto"/>
              <w:right w:val="single" w:sz="6" w:space="0" w:color="auto"/>
            </w:tcBorders>
          </w:tcPr>
          <w:p w:rsidR="00000000" w:rsidRDefault="006914BD">
            <w:pPr>
              <w:pStyle w:val="tableheaderwithintable"/>
            </w:pPr>
            <w:r>
              <w:t>2009-10</w:t>
            </w:r>
          </w:p>
        </w:tc>
        <w:tc>
          <w:tcPr>
            <w:tcW w:w="1672" w:type="dxa"/>
            <w:tcBorders>
              <w:top w:val="single" w:sz="6" w:space="0" w:color="auto"/>
              <w:left w:val="single" w:sz="6" w:space="0" w:color="auto"/>
              <w:bottom w:val="single" w:sz="6" w:space="0" w:color="auto"/>
              <w:right w:val="single" w:sz="6" w:space="0" w:color="auto"/>
            </w:tcBorders>
          </w:tcPr>
          <w:p w:rsidR="00000000" w:rsidRDefault="006914BD">
            <w:pPr>
              <w:pStyle w:val="tableheaderwithintable"/>
            </w:pPr>
            <w:r>
              <w:t>2010-11</w:t>
            </w:r>
          </w:p>
        </w:tc>
      </w:tr>
      <w:tr w:rsidR="00000000">
        <w:tblPrEx>
          <w:tblCellMar>
            <w:top w:w="0" w:type="dxa"/>
            <w:bottom w:w="0" w:type="dxa"/>
          </w:tblCellMar>
        </w:tblPrEx>
        <w:tc>
          <w:tcPr>
            <w:tcW w:w="1671" w:type="dxa"/>
            <w:tcBorders>
              <w:top w:val="single" w:sz="6" w:space="0" w:color="auto"/>
              <w:left w:val="single" w:sz="6" w:space="0" w:color="auto"/>
              <w:bottom w:val="single" w:sz="6" w:space="0" w:color="auto"/>
              <w:right w:val="single" w:sz="6" w:space="0" w:color="auto"/>
            </w:tcBorders>
          </w:tcPr>
          <w:p w:rsidR="00000000" w:rsidRDefault="006914BD">
            <w:pPr>
              <w:pStyle w:val="tabletext"/>
              <w:jc w:val="center"/>
            </w:pPr>
            <w:r>
              <w:t>–$0.1m</w:t>
            </w:r>
          </w:p>
        </w:tc>
        <w:tc>
          <w:tcPr>
            <w:tcW w:w="1671" w:type="dxa"/>
            <w:tcBorders>
              <w:top w:val="single" w:sz="6" w:space="0" w:color="auto"/>
              <w:left w:val="single" w:sz="6" w:space="0" w:color="auto"/>
              <w:bottom w:val="single" w:sz="6" w:space="0" w:color="auto"/>
              <w:right w:val="single" w:sz="6" w:space="0" w:color="auto"/>
            </w:tcBorders>
          </w:tcPr>
          <w:p w:rsidR="00000000" w:rsidRDefault="006914BD">
            <w:pPr>
              <w:pStyle w:val="tabletext"/>
              <w:jc w:val="center"/>
            </w:pPr>
            <w:r>
              <w:t>–$0.1m</w:t>
            </w:r>
          </w:p>
        </w:tc>
        <w:tc>
          <w:tcPr>
            <w:tcW w:w="1671" w:type="dxa"/>
            <w:tcBorders>
              <w:top w:val="single" w:sz="6" w:space="0" w:color="auto"/>
              <w:left w:val="single" w:sz="6" w:space="0" w:color="auto"/>
              <w:bottom w:val="single" w:sz="6" w:space="0" w:color="auto"/>
              <w:right w:val="single" w:sz="6" w:space="0" w:color="auto"/>
            </w:tcBorders>
          </w:tcPr>
          <w:p w:rsidR="00000000" w:rsidRDefault="006914BD">
            <w:pPr>
              <w:pStyle w:val="tabletext"/>
              <w:jc w:val="center"/>
            </w:pPr>
            <w:r>
              <w:t>–$0.1m</w:t>
            </w:r>
          </w:p>
        </w:tc>
        <w:tc>
          <w:tcPr>
            <w:tcW w:w="1672" w:type="dxa"/>
            <w:tcBorders>
              <w:top w:val="single" w:sz="6" w:space="0" w:color="auto"/>
              <w:left w:val="single" w:sz="6" w:space="0" w:color="auto"/>
              <w:bottom w:val="single" w:sz="6" w:space="0" w:color="auto"/>
              <w:right w:val="single" w:sz="6" w:space="0" w:color="auto"/>
            </w:tcBorders>
          </w:tcPr>
          <w:p w:rsidR="00000000" w:rsidRDefault="006914BD">
            <w:pPr>
              <w:pStyle w:val="tabletext"/>
              <w:jc w:val="center"/>
            </w:pPr>
            <w:r>
              <w:t>–$0.1m</w:t>
            </w:r>
          </w:p>
        </w:tc>
      </w:tr>
    </w:tbl>
    <w:p w:rsidR="00000000" w:rsidRDefault="006914BD">
      <w:pPr>
        <w:pStyle w:val="base-text-paragraph"/>
        <w:spacing w:after="240"/>
      </w:pPr>
      <w:r>
        <w:t>The amendment relating to a review in relation to certain production levels will have no financial impact.</w:t>
      </w:r>
    </w:p>
    <w:p w:rsidR="00000000" w:rsidRDefault="006914BD">
      <w:pPr>
        <w:pStyle w:val="base-text-paragraph"/>
        <w:spacing w:before="240"/>
      </w:pPr>
      <w:r>
        <w:rPr>
          <w:b/>
          <w:i/>
        </w:rPr>
        <w:t>Compliance cost impact</w:t>
      </w:r>
      <w:r>
        <w:t>:  Nil.</w:t>
      </w:r>
    </w:p>
    <w:p w:rsidR="00000000" w:rsidRDefault="006914BD">
      <w:pPr>
        <w:pStyle w:val="base-text-paragraph"/>
        <w:sectPr w:rsidR="00000000">
          <w:headerReference w:type="default" r:id="rId9"/>
          <w:type w:val="oddPage"/>
          <w:pgSz w:w="11907" w:h="16840"/>
          <w:pgMar w:top="2466" w:right="2098" w:bottom="2466" w:left="2098" w:header="1559" w:footer="1899" w:gutter="0"/>
          <w:pgNumType w:start="1"/>
          <w:cols w:space="720"/>
        </w:sectPr>
      </w:pPr>
    </w:p>
    <w:p w:rsidR="00000000" w:rsidRDefault="006914BD">
      <w:pPr>
        <w:pStyle w:val="ChapterHeading"/>
      </w:pPr>
      <w:bookmarkStart w:id="5" w:name="_Toc482159001"/>
      <w:bookmarkStart w:id="6" w:name="_Toc177377705"/>
      <w:bookmarkEnd w:id="2"/>
      <w:r>
        <w:rPr>
          <w:sz w:val="60"/>
        </w:rPr>
        <w:lastRenderedPageBreak/>
        <w:t>C</w:t>
      </w:r>
      <w:r>
        <w:rPr>
          <w:sz w:val="30"/>
        </w:rPr>
        <w:t>hapter</w:t>
      </w:r>
      <w:r>
        <w:t xml:space="preserve"> 1</w:t>
      </w:r>
      <w:r>
        <w:tab/>
      </w:r>
      <w:r>
        <w:br/>
      </w:r>
      <w:bookmarkEnd w:id="5"/>
      <w:r>
        <w:t>Film production offsets</w:t>
      </w:r>
      <w:bookmarkEnd w:id="6"/>
    </w:p>
    <w:p w:rsidR="00000000" w:rsidRDefault="006914BD">
      <w:pPr>
        <w:pStyle w:val="Heading2"/>
      </w:pPr>
      <w:r>
        <w:t>Animated series:  Request for amendments 1 and 2</w:t>
      </w:r>
    </w:p>
    <w:p w:rsidR="00000000" w:rsidRDefault="006914BD">
      <w:pPr>
        <w:pStyle w:val="base-text-paragraph"/>
        <w:spacing w:before="240"/>
        <w:rPr>
          <w:b/>
          <w:i/>
          <w:sz w:val="18"/>
        </w:rPr>
      </w:pPr>
      <w:r>
        <w:t>1.1</w:t>
      </w:r>
      <w:r>
        <w:tab/>
        <w:t xml:space="preserve">Animated series, or animated seasons of a series, with episodes of at least 15 commercial minutes in duration are </w:t>
      </w:r>
      <w:r>
        <w:t xml:space="preserve">eligible to access the producer offset.  Such series must be predominantly a cell, stop motion, digital or other animation.  Episodes of 15 commercial minutes would be expected to have an actual duration of at least 10 minutes.  Animated series, or animated seasons of series, must meet all other requirements that apply to series or seasons of series which are not animations.  </w:t>
      </w:r>
      <w:r>
        <w:rPr>
          <w:b/>
          <w:i/>
          <w:sz w:val="18"/>
        </w:rPr>
        <w:t>[QG449, request for amendments 1 and 2]</w:t>
      </w:r>
    </w:p>
    <w:p w:rsidR="00000000" w:rsidRDefault="006914BD">
      <w:pPr>
        <w:pStyle w:val="Heading2"/>
      </w:pPr>
      <w:r>
        <w:t>Review in relation to certain production levels:  Amendment 1</w:t>
      </w:r>
    </w:p>
    <w:p w:rsidR="00000000" w:rsidRDefault="006914BD">
      <w:pPr>
        <w:pStyle w:val="base-text-paragraph"/>
      </w:pPr>
      <w:r>
        <w:t>1.2</w:t>
      </w:r>
      <w:r>
        <w:tab/>
        <w:t>Within 12 months after Roya</w:t>
      </w:r>
      <w:r>
        <w:t>l Assent, the Minister with responsibility for the Act will initiate a review.  The review will examine the effect of the film production offsets to compare levels of production by the Australian independent production sector to production levels of Australian television broadcasters, including commercial free-to-air, subscription and national television broadcasters.  The intent of the review is to examine changes in levels of ‘in-house’ production by broadcasters, compared to television productions made b</w:t>
      </w:r>
      <w:r>
        <w:t xml:space="preserve">y other (‘independent’) producers.  The effect of the producer offset on this balance will be the key focus of the review.  </w:t>
      </w:r>
      <w:r>
        <w:rPr>
          <w:b/>
          <w:i/>
          <w:sz w:val="18"/>
        </w:rPr>
        <w:t>[QG450, amendment 1]</w:t>
      </w:r>
    </w:p>
    <w:sectPr w:rsidR="00000000">
      <w:footerReference w:type="first" r:id="rId10"/>
      <w:type w:val="oddPage"/>
      <w:pgSz w:w="11907" w:h="16840" w:code="9"/>
      <w:pgMar w:top="2466" w:right="2098" w:bottom="2466" w:left="2098" w:header="1559" w:footer="18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4BD">
      <w:r>
        <w:separator/>
      </w:r>
    </w:p>
  </w:endnote>
  <w:endnote w:type="continuationSeparator" w:id="0">
    <w:p w:rsidR="00000000" w:rsidRDefault="0069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4BD">
    <w:pPr>
      <w:tabs>
        <w:tab w:val="center" w:pos="4139"/>
        <w:tab w:val="right" w:pos="8335"/>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4BD">
    <w:pPr>
      <w:pStyle w:val="rightfooter"/>
    </w:pPr>
    <w:r>
      <w:fldChar w:fldCharType="begin"/>
    </w:r>
    <w:r>
      <w:instrText>PAGE</w:instrText>
    </w:r>
    <w:r>
      <w:fldChar w:fldCharType="separate"/>
    </w:r>
    <w:r>
      <w:rPr>
        <w:noProof/>
      </w:rPr>
      <w:t>3</w:t>
    </w:r>
    <w:r>
      <w:fldChar w:fldCharType="end"/>
    </w:r>
  </w:p>
  <w:p w:rsidR="00000000" w:rsidRDefault="006914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4BD">
      <w:r>
        <w:separator/>
      </w:r>
    </w:p>
  </w:footnote>
  <w:footnote w:type="continuationSeparator" w:id="0">
    <w:p w:rsidR="00000000" w:rsidRDefault="0069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D09C48"/>
    <w:lvl w:ilvl="0">
      <w:numFmt w:val="bullet"/>
      <w:lvlText w:val="*"/>
      <w:lvlJc w:val="left"/>
    </w:lvl>
  </w:abstractNum>
  <w:num w:numId="1">
    <w:abstractNumId w:val="0"/>
    <w:lvlOverride w:ilvl="0">
      <w:lvl w:ilvl="0">
        <w:start w:val="1"/>
        <w:numFmt w:val="bullet"/>
        <w:lvlText w:val=""/>
        <w:legacy w:legacy="1" w:legacySpace="120" w:legacyIndent="360"/>
        <w:lvlJc w:val="left"/>
        <w:pPr>
          <w:ind w:left="2345"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BD"/>
    <w:rsid w:val="00691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base-text-paragraph"/>
    <w:next w:val="base-text-paragraph"/>
    <w:qFormat/>
    <w:pPr>
      <w:keepNext/>
      <w:spacing w:before="720" w:after="0"/>
      <w:ind w:left="0"/>
      <w:outlineLvl w:val="0"/>
    </w:pPr>
    <w:rPr>
      <w:rFonts w:ascii="Helvetica" w:hAnsi="Helvetica"/>
      <w:b/>
      <w:caps/>
      <w:kern w:val="28"/>
      <w:sz w:val="28"/>
    </w:rPr>
  </w:style>
  <w:style w:type="paragraph" w:styleId="Heading2">
    <w:name w:val="heading 2"/>
    <w:basedOn w:val="Heading1"/>
    <w:next w:val="base-text-paragraph"/>
    <w:qFormat/>
    <w:pPr>
      <w:spacing w:before="480" w:after="120"/>
      <w:outlineLvl w:val="1"/>
    </w:pPr>
    <w:rPr>
      <w:caps w:val="0"/>
      <w:sz w:val="26"/>
    </w:rPr>
  </w:style>
  <w:style w:type="paragraph" w:styleId="Heading3">
    <w:name w:val="heading 3"/>
    <w:basedOn w:val="Heading2"/>
    <w:next w:val="base-text-paragraph"/>
    <w:qFormat/>
    <w:pPr>
      <w:spacing w:before="240"/>
      <w:outlineLvl w:val="2"/>
    </w:pPr>
    <w:rPr>
      <w:sz w:val="22"/>
    </w:rPr>
  </w:style>
  <w:style w:type="paragraph" w:styleId="Heading4">
    <w:name w:val="heading 4"/>
    <w:basedOn w:val="Heading3"/>
    <w:next w:val="base-text-paragraph"/>
    <w:qFormat/>
    <w:pPr>
      <w:spacing w:before="120"/>
      <w:ind w:left="1140"/>
      <w:outlineLvl w:val="3"/>
    </w:pPr>
    <w:rPr>
      <w:rFonts w:ascii="Times New Roman" w:hAnsi="Times New Roman"/>
      <w:i/>
    </w:rPr>
  </w:style>
  <w:style w:type="paragraph" w:styleId="Heading5">
    <w:name w:val="heading 5"/>
    <w:basedOn w:val="Heading4"/>
    <w:next w:val="base-text-paragraph"/>
    <w:qFormat/>
    <w:pPr>
      <w:outlineLvl w:val="4"/>
    </w:pPr>
    <w:rPr>
      <w:b w:val="0"/>
    </w:rPr>
  </w:style>
  <w:style w:type="paragraph" w:styleId="Heading6">
    <w:name w:val="heading 6"/>
    <w:basedOn w:val="Heading5"/>
    <w:next w:val="base-text-paragraph"/>
    <w:qFormat/>
    <w:pPr>
      <w:ind w:left="1134"/>
      <w:outlineLvl w:val="5"/>
    </w:pPr>
    <w:rPr>
      <w:i w:val="0"/>
      <w:u w:val="single"/>
    </w:rPr>
  </w:style>
  <w:style w:type="paragraph" w:styleId="Heading7">
    <w:name w:val="heading 7"/>
    <w:basedOn w:val="Heading6"/>
    <w:next w:val="base-text-paragraph"/>
    <w:qFormat/>
    <w:pPr>
      <w:outlineLvl w:val="6"/>
    </w:pPr>
  </w:style>
  <w:style w:type="paragraph" w:styleId="Heading8">
    <w:name w:val="heading 8"/>
    <w:basedOn w:val="Heading7"/>
    <w:next w:val="base-text-paragraph"/>
    <w:qFormat/>
    <w:pPr>
      <w:outlineLvl w:val="7"/>
    </w:pPr>
  </w:style>
  <w:style w:type="paragraph" w:styleId="Heading9">
    <w:name w:val="heading 9"/>
    <w:basedOn w:val="Heading8"/>
    <w:next w:val="base-text-paragraph"/>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paragraph">
    <w:name w:val="base-text-paragraph"/>
    <w:pPr>
      <w:tabs>
        <w:tab w:val="left" w:pos="1987"/>
      </w:tabs>
      <w:overflowPunct w:val="0"/>
      <w:autoSpaceDE w:val="0"/>
      <w:autoSpaceDN w:val="0"/>
      <w:adjustRightInd w:val="0"/>
      <w:spacing w:before="120" w:after="120"/>
      <w:ind w:left="1140"/>
      <w:textAlignment w:val="baseline"/>
    </w:pPr>
    <w:rPr>
      <w:sz w:val="22"/>
    </w:rPr>
  </w:style>
  <w:style w:type="paragraph" w:customStyle="1" w:styleId="dotpoint">
    <w:name w:val="dot point"/>
    <w:basedOn w:val="base-text-paragraph"/>
    <w:pPr>
      <w:tabs>
        <w:tab w:val="clear" w:pos="1987"/>
        <w:tab w:val="left" w:pos="2059"/>
        <w:tab w:val="right" w:pos="2268"/>
      </w:tabs>
      <w:ind w:left="2269" w:hanging="284"/>
    </w:pPr>
  </w:style>
  <w:style w:type="paragraph" w:customStyle="1" w:styleId="dotpoint2">
    <w:name w:val="dot point 2"/>
    <w:basedOn w:val="dotpoint"/>
    <w:pPr>
      <w:tabs>
        <w:tab w:val="clear" w:pos="2059"/>
        <w:tab w:val="left" w:pos="2268"/>
      </w:tabs>
      <w:ind w:left="2694" w:hanging="426"/>
    </w:pPr>
  </w:style>
  <w:style w:type="paragraph" w:styleId="Header">
    <w:name w:val="header"/>
    <w:basedOn w:val="Normal"/>
    <w:semiHidden/>
    <w:pPr>
      <w:tabs>
        <w:tab w:val="center" w:pos="4153"/>
        <w:tab w:val="right" w:pos="8306"/>
      </w:tabs>
    </w:pPr>
  </w:style>
  <w:style w:type="paragraph" w:styleId="TOC1">
    <w:name w:val="toc 1"/>
    <w:basedOn w:val="Heading2"/>
    <w:next w:val="TOC2"/>
    <w:semiHidden/>
    <w:pPr>
      <w:tabs>
        <w:tab w:val="clear" w:pos="1987"/>
        <w:tab w:val="left" w:pos="1701"/>
        <w:tab w:val="right" w:leader="dot" w:pos="7711"/>
      </w:tabs>
      <w:spacing w:before="240"/>
      <w:ind w:left="1701" w:hanging="1701"/>
      <w:outlineLvl w:val="9"/>
    </w:pPr>
    <w:rPr>
      <w:b w:val="0"/>
      <w:sz w:val="24"/>
    </w:rPr>
  </w:style>
  <w:style w:type="paragraph" w:customStyle="1" w:styleId="leftheader">
    <w:name w:val="left header"/>
    <w:basedOn w:val="Normal"/>
    <w:next w:val="base-text-paragraph"/>
    <w:pPr>
      <w:pBdr>
        <w:bottom w:val="single" w:sz="6" w:space="1" w:color="auto"/>
      </w:pBdr>
      <w:spacing w:before="120" w:after="120"/>
    </w:pPr>
    <w:rPr>
      <w:i/>
      <w:sz w:val="20"/>
    </w:rPr>
  </w:style>
  <w:style w:type="paragraph" w:customStyle="1" w:styleId="rightheader">
    <w:name w:val="right header"/>
    <w:basedOn w:val="Normal"/>
    <w:next w:val="base-text-paragraph"/>
    <w:pPr>
      <w:pBdr>
        <w:bottom w:val="single" w:sz="6" w:space="1" w:color="auto"/>
      </w:pBdr>
      <w:jc w:val="right"/>
    </w:pPr>
    <w:rPr>
      <w:i/>
      <w:sz w:val="20"/>
    </w:rPr>
  </w:style>
  <w:style w:type="paragraph" w:customStyle="1" w:styleId="exampledotpoint1">
    <w:name w:val="example dot point 1"/>
    <w:basedOn w:val="base-text-paragraph"/>
    <w:pPr>
      <w:tabs>
        <w:tab w:val="left" w:pos="360"/>
      </w:tabs>
      <w:ind w:left="2517" w:hanging="357"/>
    </w:pPr>
    <w:rPr>
      <w:sz w:val="20"/>
    </w:rPr>
  </w:style>
  <w:style w:type="paragraph" w:customStyle="1" w:styleId="exampledotpoint2">
    <w:name w:val="example dot point 2"/>
    <w:basedOn w:val="base-text-paragraph"/>
    <w:pPr>
      <w:tabs>
        <w:tab w:val="left" w:pos="360"/>
      </w:tabs>
      <w:ind w:left="3237" w:hanging="357"/>
    </w:pPr>
    <w:rPr>
      <w:sz w:val="20"/>
    </w:rPr>
  </w:style>
  <w:style w:type="paragraph" w:styleId="TOC2">
    <w:name w:val="toc 2"/>
    <w:basedOn w:val="TOC1"/>
    <w:next w:val="base-text-paragraph"/>
    <w:semiHidden/>
    <w:pPr>
      <w:spacing w:before="120"/>
    </w:pPr>
    <w:rPr>
      <w:rFonts w:ascii="Times New Roman" w:hAnsi="Times New Roman"/>
      <w:sz w:val="22"/>
    </w:rPr>
  </w:style>
  <w:style w:type="paragraph" w:styleId="TOC3">
    <w:name w:val="toc 3"/>
    <w:basedOn w:val="TOC2"/>
    <w:next w:val="base-text-paragraph"/>
    <w:semiHidden/>
    <w:pPr>
      <w:tabs>
        <w:tab w:val="left" w:leader="dot" w:pos="8366"/>
      </w:tabs>
      <w:spacing w:before="0"/>
    </w:pPr>
    <w:rPr>
      <w:b/>
      <w:sz w:val="20"/>
    </w:rPr>
  </w:style>
  <w:style w:type="paragraph" w:customStyle="1" w:styleId="exampletext">
    <w:name w:val="example text"/>
    <w:basedOn w:val="base-text-paragraph"/>
    <w:pPr>
      <w:ind w:left="1985"/>
    </w:pPr>
    <w:rPr>
      <w:sz w:val="20"/>
    </w:rPr>
  </w:style>
  <w:style w:type="paragraph" w:customStyle="1" w:styleId="tabletext">
    <w:name w:val="table text"/>
    <w:basedOn w:val="base-text-paragraph"/>
    <w:pPr>
      <w:spacing w:before="40" w:after="40"/>
      <w:ind w:left="0"/>
    </w:pPr>
    <w:rPr>
      <w:sz w:val="20"/>
    </w:rPr>
  </w:style>
  <w:style w:type="paragraph" w:customStyle="1" w:styleId="tabledotpoint">
    <w:name w:val="table dot point"/>
    <w:basedOn w:val="tabletext"/>
    <w:pPr>
      <w:tabs>
        <w:tab w:val="clear" w:pos="1987"/>
      </w:tabs>
      <w:ind w:left="460" w:hanging="284"/>
    </w:pPr>
  </w:style>
  <w:style w:type="paragraph" w:customStyle="1" w:styleId="TableSummaryheader">
    <w:name w:val="Table Summary header"/>
    <w:basedOn w:val="Normal"/>
    <w:pPr>
      <w:keepNext/>
      <w:keepLines/>
      <w:tabs>
        <w:tab w:val="left" w:pos="1987"/>
      </w:tabs>
      <w:spacing w:before="60" w:after="60"/>
      <w:jc w:val="center"/>
    </w:pPr>
    <w:rPr>
      <w:b/>
      <w:kern w:val="28"/>
      <w:sz w:val="22"/>
    </w:rPr>
  </w:style>
  <w:style w:type="paragraph" w:customStyle="1" w:styleId="tableheaderwithintable">
    <w:name w:val="table header (within table)"/>
    <w:basedOn w:val="Heading4"/>
    <w:pPr>
      <w:keepLines/>
      <w:spacing w:before="60" w:after="60"/>
      <w:ind w:left="0"/>
      <w:jc w:val="center"/>
      <w:outlineLvl w:val="9"/>
    </w:pPr>
    <w:rPr>
      <w:sz w:val="20"/>
    </w:rPr>
  </w:style>
  <w:style w:type="paragraph" w:styleId="TOC4">
    <w:name w:val="toc 4"/>
    <w:basedOn w:val="base-text-paragraph"/>
    <w:next w:val="base-text-paragraph"/>
    <w:semiHidden/>
    <w:pPr>
      <w:ind w:left="600"/>
    </w:pPr>
  </w:style>
  <w:style w:type="paragraph" w:styleId="TOC5">
    <w:name w:val="toc 5"/>
    <w:basedOn w:val="base-text-paragraph"/>
    <w:next w:val="base-text-paragraph"/>
    <w:semiHidden/>
    <w:pPr>
      <w:ind w:left="800"/>
    </w:pPr>
  </w:style>
  <w:style w:type="paragraph" w:styleId="TOC6">
    <w:name w:val="toc 6"/>
    <w:basedOn w:val="base-text-paragraph"/>
    <w:next w:val="base-text-paragraph"/>
    <w:semiHidden/>
    <w:pPr>
      <w:ind w:left="1000"/>
    </w:pPr>
  </w:style>
  <w:style w:type="paragraph" w:styleId="TOC7">
    <w:name w:val="toc 7"/>
    <w:basedOn w:val="base-text-paragraph"/>
    <w:next w:val="base-text-paragraph"/>
    <w:semiHidden/>
    <w:pPr>
      <w:ind w:left="1200"/>
    </w:pPr>
  </w:style>
  <w:style w:type="paragraph" w:styleId="TOC8">
    <w:name w:val="toc 8"/>
    <w:basedOn w:val="base-text-paragraph"/>
    <w:next w:val="base-text-paragraph"/>
    <w:semiHidden/>
    <w:pPr>
      <w:ind w:left="1400"/>
    </w:pPr>
  </w:style>
  <w:style w:type="paragraph" w:styleId="TOC9">
    <w:name w:val="toc 9"/>
    <w:basedOn w:val="base-text-paragraph"/>
    <w:next w:val="base-text-paragraph"/>
    <w:semiHidden/>
    <w:pPr>
      <w:ind w:left="1600"/>
    </w:pPr>
  </w:style>
  <w:style w:type="paragraph" w:customStyle="1" w:styleId="leftfooter">
    <w:name w:val="left footer"/>
    <w:basedOn w:val="Footer"/>
  </w:style>
  <w:style w:type="paragraph" w:customStyle="1" w:styleId="rightfooter">
    <w:name w:val="right footer"/>
    <w:basedOn w:val="Normal"/>
    <w:pPr>
      <w:pBdr>
        <w:top w:val="single" w:sz="6" w:space="1" w:color="auto"/>
      </w:pBdr>
      <w:jc w:val="right"/>
    </w:pPr>
    <w:rPr>
      <w:i/>
      <w:sz w:val="20"/>
    </w:rPr>
  </w:style>
  <w:style w:type="paragraph" w:customStyle="1" w:styleId="Tabledotpoint2">
    <w:name w:val="Table dot point 2"/>
    <w:basedOn w:val="tabletext"/>
    <w:next w:val="tabletext"/>
    <w:pPr>
      <w:tabs>
        <w:tab w:val="clear" w:pos="1987"/>
        <w:tab w:val="left" w:pos="819"/>
      </w:tabs>
      <w:ind w:left="743" w:hanging="284"/>
    </w:pPr>
  </w:style>
  <w:style w:type="character" w:styleId="FollowedHyperlink">
    <w:name w:val="FollowedHyperlink"/>
    <w:basedOn w:val="DefaultParagraphFont"/>
    <w:rPr>
      <w:color w:val="800080"/>
      <w:u w:val="single"/>
    </w:rPr>
  </w:style>
  <w:style w:type="paragraph" w:styleId="TOCHeading">
    <w:name w:val="TOC Heading"/>
    <w:basedOn w:val="ChapterHeading"/>
    <w:next w:val="TOC1"/>
    <w:qFormat/>
    <w:pPr>
      <w:spacing w:after="240"/>
    </w:pPr>
  </w:style>
  <w:style w:type="paragraph" w:customStyle="1" w:styleId="ChapterHeading">
    <w:name w:val="Chapter Heading"/>
    <w:basedOn w:val="Heading2"/>
    <w:next w:val="Heading2"/>
    <w:pPr>
      <w:pBdr>
        <w:top w:val="single" w:sz="6" w:space="1" w:color="auto"/>
        <w:bottom w:val="single" w:sz="6" w:space="1" w:color="auto"/>
      </w:pBdr>
      <w:spacing w:before="240" w:after="0"/>
      <w:outlineLvl w:val="9"/>
    </w:pPr>
    <w:rPr>
      <w:i/>
      <w:sz w:val="38"/>
    </w:rPr>
  </w:style>
  <w:style w:type="paragraph" w:customStyle="1" w:styleId="ExampleHeading">
    <w:name w:val="Example Heading"/>
    <w:basedOn w:val="base-text-paragraph"/>
    <w:next w:val="Normal"/>
    <w:pPr>
      <w:keepNext/>
      <w:keepLines/>
    </w:pPr>
    <w:rPr>
      <w:b/>
    </w:rPr>
  </w:style>
  <w:style w:type="paragraph" w:customStyle="1" w:styleId="exampleindent">
    <w:name w:val="example indent"/>
    <w:basedOn w:val="exampletext"/>
    <w:next w:val="exampletext"/>
    <w:pPr>
      <w:tabs>
        <w:tab w:val="clear" w:pos="1987"/>
        <w:tab w:val="left" w:pos="2552"/>
      </w:tabs>
      <w:ind w:left="2160"/>
    </w:pPr>
  </w:style>
  <w:style w:type="paragraph" w:customStyle="1" w:styleId="paraindent">
    <w:name w:val="para indent"/>
    <w:basedOn w:val="base-text-paragraph"/>
    <w:next w:val="base-text-paragraph"/>
    <w:pPr>
      <w:ind w:left="1985"/>
    </w:pPr>
  </w:style>
  <w:style w:type="paragraph" w:customStyle="1" w:styleId="TableHeadingoutsidetable">
    <w:name w:val="Table Heading (outside table)"/>
    <w:basedOn w:val="Heading4"/>
    <w:next w:val="tableheaderwithintable"/>
    <w:pPr>
      <w:outlineLvl w:val="9"/>
    </w:pPr>
    <w:rPr>
      <w:i w:val="0"/>
    </w:rPr>
  </w:style>
  <w:style w:type="paragraph" w:customStyle="1" w:styleId="Diagram">
    <w:name w:val="Diagram"/>
    <w:basedOn w:val="Normal"/>
    <w:rPr>
      <w:sz w:val="20"/>
    </w:rPr>
  </w:style>
  <w:style w:type="paragraph" w:customStyle="1" w:styleId="Step">
    <w:name w:val="Step"/>
    <w:basedOn w:val="base-text-paragraph"/>
    <w:pPr>
      <w:ind w:left="1928" w:hanging="794"/>
    </w:pPr>
  </w:style>
  <w:style w:type="paragraph" w:customStyle="1" w:styleId="Footnote">
    <w:name w:val="Footnote"/>
    <w:basedOn w:val="FootnoteText"/>
    <w:next w:val="FootnoteText"/>
    <w:pPr>
      <w:tabs>
        <w:tab w:val="left" w:pos="284"/>
      </w:tabs>
      <w:spacing w:before="40" w:after="40"/>
      <w:ind w:left="284" w:hanging="284"/>
    </w:pPr>
  </w:style>
  <w:style w:type="paragraph" w:styleId="FootnoteText">
    <w:name w:val="footnote text"/>
    <w:basedOn w:val="Normal"/>
    <w:semiHidden/>
    <w:rPr>
      <w:sz w:val="20"/>
    </w:rPr>
  </w:style>
  <w:style w:type="paragraph" w:styleId="Footer">
    <w:name w:val="footer"/>
    <w:basedOn w:val="base-text-paragraph"/>
    <w:semiHidden/>
    <w:pPr>
      <w:pBdr>
        <w:top w:val="single" w:sz="6" w:space="1" w:color="auto"/>
      </w:pBdr>
      <w:tabs>
        <w:tab w:val="clear" w:pos="1987"/>
        <w:tab w:val="right" w:pos="4147"/>
        <w:tab w:val="right" w:pos="8338"/>
      </w:tabs>
      <w:spacing w:before="240"/>
      <w:ind w:left="0"/>
    </w:pPr>
    <w:rPr>
      <w:i/>
      <w:sz w:val="20"/>
    </w:rPr>
  </w:style>
  <w:style w:type="character" w:customStyle="1" w:styleId="base-text-paragraphChar">
    <w:name w:val="base-text-paragraph Char"/>
    <w:basedOn w:val="DefaultParagraphFont"/>
    <w:rPr>
      <w:noProof w:val="0"/>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base-text-paragraph"/>
    <w:next w:val="base-text-paragraph"/>
    <w:qFormat/>
    <w:pPr>
      <w:keepNext/>
      <w:spacing w:before="720" w:after="0"/>
      <w:ind w:left="0"/>
      <w:outlineLvl w:val="0"/>
    </w:pPr>
    <w:rPr>
      <w:rFonts w:ascii="Helvetica" w:hAnsi="Helvetica"/>
      <w:b/>
      <w:caps/>
      <w:kern w:val="28"/>
      <w:sz w:val="28"/>
    </w:rPr>
  </w:style>
  <w:style w:type="paragraph" w:styleId="Heading2">
    <w:name w:val="heading 2"/>
    <w:basedOn w:val="Heading1"/>
    <w:next w:val="base-text-paragraph"/>
    <w:qFormat/>
    <w:pPr>
      <w:spacing w:before="480" w:after="120"/>
      <w:outlineLvl w:val="1"/>
    </w:pPr>
    <w:rPr>
      <w:caps w:val="0"/>
      <w:sz w:val="26"/>
    </w:rPr>
  </w:style>
  <w:style w:type="paragraph" w:styleId="Heading3">
    <w:name w:val="heading 3"/>
    <w:basedOn w:val="Heading2"/>
    <w:next w:val="base-text-paragraph"/>
    <w:qFormat/>
    <w:pPr>
      <w:spacing w:before="240"/>
      <w:outlineLvl w:val="2"/>
    </w:pPr>
    <w:rPr>
      <w:sz w:val="22"/>
    </w:rPr>
  </w:style>
  <w:style w:type="paragraph" w:styleId="Heading4">
    <w:name w:val="heading 4"/>
    <w:basedOn w:val="Heading3"/>
    <w:next w:val="base-text-paragraph"/>
    <w:qFormat/>
    <w:pPr>
      <w:spacing w:before="120"/>
      <w:ind w:left="1140"/>
      <w:outlineLvl w:val="3"/>
    </w:pPr>
    <w:rPr>
      <w:rFonts w:ascii="Times New Roman" w:hAnsi="Times New Roman"/>
      <w:i/>
    </w:rPr>
  </w:style>
  <w:style w:type="paragraph" w:styleId="Heading5">
    <w:name w:val="heading 5"/>
    <w:basedOn w:val="Heading4"/>
    <w:next w:val="base-text-paragraph"/>
    <w:qFormat/>
    <w:pPr>
      <w:outlineLvl w:val="4"/>
    </w:pPr>
    <w:rPr>
      <w:b w:val="0"/>
    </w:rPr>
  </w:style>
  <w:style w:type="paragraph" w:styleId="Heading6">
    <w:name w:val="heading 6"/>
    <w:basedOn w:val="Heading5"/>
    <w:next w:val="base-text-paragraph"/>
    <w:qFormat/>
    <w:pPr>
      <w:ind w:left="1134"/>
      <w:outlineLvl w:val="5"/>
    </w:pPr>
    <w:rPr>
      <w:i w:val="0"/>
      <w:u w:val="single"/>
    </w:rPr>
  </w:style>
  <w:style w:type="paragraph" w:styleId="Heading7">
    <w:name w:val="heading 7"/>
    <w:basedOn w:val="Heading6"/>
    <w:next w:val="base-text-paragraph"/>
    <w:qFormat/>
    <w:pPr>
      <w:outlineLvl w:val="6"/>
    </w:pPr>
  </w:style>
  <w:style w:type="paragraph" w:styleId="Heading8">
    <w:name w:val="heading 8"/>
    <w:basedOn w:val="Heading7"/>
    <w:next w:val="base-text-paragraph"/>
    <w:qFormat/>
    <w:pPr>
      <w:outlineLvl w:val="7"/>
    </w:pPr>
  </w:style>
  <w:style w:type="paragraph" w:styleId="Heading9">
    <w:name w:val="heading 9"/>
    <w:basedOn w:val="Heading8"/>
    <w:next w:val="base-text-paragraph"/>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paragraph">
    <w:name w:val="base-text-paragraph"/>
    <w:pPr>
      <w:tabs>
        <w:tab w:val="left" w:pos="1987"/>
      </w:tabs>
      <w:overflowPunct w:val="0"/>
      <w:autoSpaceDE w:val="0"/>
      <w:autoSpaceDN w:val="0"/>
      <w:adjustRightInd w:val="0"/>
      <w:spacing w:before="120" w:after="120"/>
      <w:ind w:left="1140"/>
      <w:textAlignment w:val="baseline"/>
    </w:pPr>
    <w:rPr>
      <w:sz w:val="22"/>
    </w:rPr>
  </w:style>
  <w:style w:type="paragraph" w:customStyle="1" w:styleId="dotpoint">
    <w:name w:val="dot point"/>
    <w:basedOn w:val="base-text-paragraph"/>
    <w:pPr>
      <w:tabs>
        <w:tab w:val="clear" w:pos="1987"/>
        <w:tab w:val="left" w:pos="2059"/>
        <w:tab w:val="right" w:pos="2268"/>
      </w:tabs>
      <w:ind w:left="2269" w:hanging="284"/>
    </w:pPr>
  </w:style>
  <w:style w:type="paragraph" w:customStyle="1" w:styleId="dotpoint2">
    <w:name w:val="dot point 2"/>
    <w:basedOn w:val="dotpoint"/>
    <w:pPr>
      <w:tabs>
        <w:tab w:val="clear" w:pos="2059"/>
        <w:tab w:val="left" w:pos="2268"/>
      </w:tabs>
      <w:ind w:left="2694" w:hanging="426"/>
    </w:pPr>
  </w:style>
  <w:style w:type="paragraph" w:styleId="Header">
    <w:name w:val="header"/>
    <w:basedOn w:val="Normal"/>
    <w:semiHidden/>
    <w:pPr>
      <w:tabs>
        <w:tab w:val="center" w:pos="4153"/>
        <w:tab w:val="right" w:pos="8306"/>
      </w:tabs>
    </w:pPr>
  </w:style>
  <w:style w:type="paragraph" w:styleId="TOC1">
    <w:name w:val="toc 1"/>
    <w:basedOn w:val="Heading2"/>
    <w:next w:val="TOC2"/>
    <w:semiHidden/>
    <w:pPr>
      <w:tabs>
        <w:tab w:val="clear" w:pos="1987"/>
        <w:tab w:val="left" w:pos="1701"/>
        <w:tab w:val="right" w:leader="dot" w:pos="7711"/>
      </w:tabs>
      <w:spacing w:before="240"/>
      <w:ind w:left="1701" w:hanging="1701"/>
      <w:outlineLvl w:val="9"/>
    </w:pPr>
    <w:rPr>
      <w:b w:val="0"/>
      <w:sz w:val="24"/>
    </w:rPr>
  </w:style>
  <w:style w:type="paragraph" w:customStyle="1" w:styleId="leftheader">
    <w:name w:val="left header"/>
    <w:basedOn w:val="Normal"/>
    <w:next w:val="base-text-paragraph"/>
    <w:pPr>
      <w:pBdr>
        <w:bottom w:val="single" w:sz="6" w:space="1" w:color="auto"/>
      </w:pBdr>
      <w:spacing w:before="120" w:after="120"/>
    </w:pPr>
    <w:rPr>
      <w:i/>
      <w:sz w:val="20"/>
    </w:rPr>
  </w:style>
  <w:style w:type="paragraph" w:customStyle="1" w:styleId="rightheader">
    <w:name w:val="right header"/>
    <w:basedOn w:val="Normal"/>
    <w:next w:val="base-text-paragraph"/>
    <w:pPr>
      <w:pBdr>
        <w:bottom w:val="single" w:sz="6" w:space="1" w:color="auto"/>
      </w:pBdr>
      <w:jc w:val="right"/>
    </w:pPr>
    <w:rPr>
      <w:i/>
      <w:sz w:val="20"/>
    </w:rPr>
  </w:style>
  <w:style w:type="paragraph" w:customStyle="1" w:styleId="exampledotpoint1">
    <w:name w:val="example dot point 1"/>
    <w:basedOn w:val="base-text-paragraph"/>
    <w:pPr>
      <w:tabs>
        <w:tab w:val="left" w:pos="360"/>
      </w:tabs>
      <w:ind w:left="2517" w:hanging="357"/>
    </w:pPr>
    <w:rPr>
      <w:sz w:val="20"/>
    </w:rPr>
  </w:style>
  <w:style w:type="paragraph" w:customStyle="1" w:styleId="exampledotpoint2">
    <w:name w:val="example dot point 2"/>
    <w:basedOn w:val="base-text-paragraph"/>
    <w:pPr>
      <w:tabs>
        <w:tab w:val="left" w:pos="360"/>
      </w:tabs>
      <w:ind w:left="3237" w:hanging="357"/>
    </w:pPr>
    <w:rPr>
      <w:sz w:val="20"/>
    </w:rPr>
  </w:style>
  <w:style w:type="paragraph" w:styleId="TOC2">
    <w:name w:val="toc 2"/>
    <w:basedOn w:val="TOC1"/>
    <w:next w:val="base-text-paragraph"/>
    <w:semiHidden/>
    <w:pPr>
      <w:spacing w:before="120"/>
    </w:pPr>
    <w:rPr>
      <w:rFonts w:ascii="Times New Roman" w:hAnsi="Times New Roman"/>
      <w:sz w:val="22"/>
    </w:rPr>
  </w:style>
  <w:style w:type="paragraph" w:styleId="TOC3">
    <w:name w:val="toc 3"/>
    <w:basedOn w:val="TOC2"/>
    <w:next w:val="base-text-paragraph"/>
    <w:semiHidden/>
    <w:pPr>
      <w:tabs>
        <w:tab w:val="left" w:leader="dot" w:pos="8366"/>
      </w:tabs>
      <w:spacing w:before="0"/>
    </w:pPr>
    <w:rPr>
      <w:b/>
      <w:sz w:val="20"/>
    </w:rPr>
  </w:style>
  <w:style w:type="paragraph" w:customStyle="1" w:styleId="exampletext">
    <w:name w:val="example text"/>
    <w:basedOn w:val="base-text-paragraph"/>
    <w:pPr>
      <w:ind w:left="1985"/>
    </w:pPr>
    <w:rPr>
      <w:sz w:val="20"/>
    </w:rPr>
  </w:style>
  <w:style w:type="paragraph" w:customStyle="1" w:styleId="tabletext">
    <w:name w:val="table text"/>
    <w:basedOn w:val="base-text-paragraph"/>
    <w:pPr>
      <w:spacing w:before="40" w:after="40"/>
      <w:ind w:left="0"/>
    </w:pPr>
    <w:rPr>
      <w:sz w:val="20"/>
    </w:rPr>
  </w:style>
  <w:style w:type="paragraph" w:customStyle="1" w:styleId="tabledotpoint">
    <w:name w:val="table dot point"/>
    <w:basedOn w:val="tabletext"/>
    <w:pPr>
      <w:tabs>
        <w:tab w:val="clear" w:pos="1987"/>
      </w:tabs>
      <w:ind w:left="460" w:hanging="284"/>
    </w:pPr>
  </w:style>
  <w:style w:type="paragraph" w:customStyle="1" w:styleId="TableSummaryheader">
    <w:name w:val="Table Summary header"/>
    <w:basedOn w:val="Normal"/>
    <w:pPr>
      <w:keepNext/>
      <w:keepLines/>
      <w:tabs>
        <w:tab w:val="left" w:pos="1987"/>
      </w:tabs>
      <w:spacing w:before="60" w:after="60"/>
      <w:jc w:val="center"/>
    </w:pPr>
    <w:rPr>
      <w:b/>
      <w:kern w:val="28"/>
      <w:sz w:val="22"/>
    </w:rPr>
  </w:style>
  <w:style w:type="paragraph" w:customStyle="1" w:styleId="tableheaderwithintable">
    <w:name w:val="table header (within table)"/>
    <w:basedOn w:val="Heading4"/>
    <w:pPr>
      <w:keepLines/>
      <w:spacing w:before="60" w:after="60"/>
      <w:ind w:left="0"/>
      <w:jc w:val="center"/>
      <w:outlineLvl w:val="9"/>
    </w:pPr>
    <w:rPr>
      <w:sz w:val="20"/>
    </w:rPr>
  </w:style>
  <w:style w:type="paragraph" w:styleId="TOC4">
    <w:name w:val="toc 4"/>
    <w:basedOn w:val="base-text-paragraph"/>
    <w:next w:val="base-text-paragraph"/>
    <w:semiHidden/>
    <w:pPr>
      <w:ind w:left="600"/>
    </w:pPr>
  </w:style>
  <w:style w:type="paragraph" w:styleId="TOC5">
    <w:name w:val="toc 5"/>
    <w:basedOn w:val="base-text-paragraph"/>
    <w:next w:val="base-text-paragraph"/>
    <w:semiHidden/>
    <w:pPr>
      <w:ind w:left="800"/>
    </w:pPr>
  </w:style>
  <w:style w:type="paragraph" w:styleId="TOC6">
    <w:name w:val="toc 6"/>
    <w:basedOn w:val="base-text-paragraph"/>
    <w:next w:val="base-text-paragraph"/>
    <w:semiHidden/>
    <w:pPr>
      <w:ind w:left="1000"/>
    </w:pPr>
  </w:style>
  <w:style w:type="paragraph" w:styleId="TOC7">
    <w:name w:val="toc 7"/>
    <w:basedOn w:val="base-text-paragraph"/>
    <w:next w:val="base-text-paragraph"/>
    <w:semiHidden/>
    <w:pPr>
      <w:ind w:left="1200"/>
    </w:pPr>
  </w:style>
  <w:style w:type="paragraph" w:styleId="TOC8">
    <w:name w:val="toc 8"/>
    <w:basedOn w:val="base-text-paragraph"/>
    <w:next w:val="base-text-paragraph"/>
    <w:semiHidden/>
    <w:pPr>
      <w:ind w:left="1400"/>
    </w:pPr>
  </w:style>
  <w:style w:type="paragraph" w:styleId="TOC9">
    <w:name w:val="toc 9"/>
    <w:basedOn w:val="base-text-paragraph"/>
    <w:next w:val="base-text-paragraph"/>
    <w:semiHidden/>
    <w:pPr>
      <w:ind w:left="1600"/>
    </w:pPr>
  </w:style>
  <w:style w:type="paragraph" w:customStyle="1" w:styleId="leftfooter">
    <w:name w:val="left footer"/>
    <w:basedOn w:val="Footer"/>
  </w:style>
  <w:style w:type="paragraph" w:customStyle="1" w:styleId="rightfooter">
    <w:name w:val="right footer"/>
    <w:basedOn w:val="Normal"/>
    <w:pPr>
      <w:pBdr>
        <w:top w:val="single" w:sz="6" w:space="1" w:color="auto"/>
      </w:pBdr>
      <w:jc w:val="right"/>
    </w:pPr>
    <w:rPr>
      <w:i/>
      <w:sz w:val="20"/>
    </w:rPr>
  </w:style>
  <w:style w:type="paragraph" w:customStyle="1" w:styleId="Tabledotpoint2">
    <w:name w:val="Table dot point 2"/>
    <w:basedOn w:val="tabletext"/>
    <w:next w:val="tabletext"/>
    <w:pPr>
      <w:tabs>
        <w:tab w:val="clear" w:pos="1987"/>
        <w:tab w:val="left" w:pos="819"/>
      </w:tabs>
      <w:ind w:left="743" w:hanging="284"/>
    </w:pPr>
  </w:style>
  <w:style w:type="character" w:styleId="FollowedHyperlink">
    <w:name w:val="FollowedHyperlink"/>
    <w:basedOn w:val="DefaultParagraphFont"/>
    <w:rPr>
      <w:color w:val="800080"/>
      <w:u w:val="single"/>
    </w:rPr>
  </w:style>
  <w:style w:type="paragraph" w:styleId="TOCHeading">
    <w:name w:val="TOC Heading"/>
    <w:basedOn w:val="ChapterHeading"/>
    <w:next w:val="TOC1"/>
    <w:qFormat/>
    <w:pPr>
      <w:spacing w:after="240"/>
    </w:pPr>
  </w:style>
  <w:style w:type="paragraph" w:customStyle="1" w:styleId="ChapterHeading">
    <w:name w:val="Chapter Heading"/>
    <w:basedOn w:val="Heading2"/>
    <w:next w:val="Heading2"/>
    <w:pPr>
      <w:pBdr>
        <w:top w:val="single" w:sz="6" w:space="1" w:color="auto"/>
        <w:bottom w:val="single" w:sz="6" w:space="1" w:color="auto"/>
      </w:pBdr>
      <w:spacing w:before="240" w:after="0"/>
      <w:outlineLvl w:val="9"/>
    </w:pPr>
    <w:rPr>
      <w:i/>
      <w:sz w:val="38"/>
    </w:rPr>
  </w:style>
  <w:style w:type="paragraph" w:customStyle="1" w:styleId="ExampleHeading">
    <w:name w:val="Example Heading"/>
    <w:basedOn w:val="base-text-paragraph"/>
    <w:next w:val="Normal"/>
    <w:pPr>
      <w:keepNext/>
      <w:keepLines/>
    </w:pPr>
    <w:rPr>
      <w:b/>
    </w:rPr>
  </w:style>
  <w:style w:type="paragraph" w:customStyle="1" w:styleId="exampleindent">
    <w:name w:val="example indent"/>
    <w:basedOn w:val="exampletext"/>
    <w:next w:val="exampletext"/>
    <w:pPr>
      <w:tabs>
        <w:tab w:val="clear" w:pos="1987"/>
        <w:tab w:val="left" w:pos="2552"/>
      </w:tabs>
      <w:ind w:left="2160"/>
    </w:pPr>
  </w:style>
  <w:style w:type="paragraph" w:customStyle="1" w:styleId="paraindent">
    <w:name w:val="para indent"/>
    <w:basedOn w:val="base-text-paragraph"/>
    <w:next w:val="base-text-paragraph"/>
    <w:pPr>
      <w:ind w:left="1985"/>
    </w:pPr>
  </w:style>
  <w:style w:type="paragraph" w:customStyle="1" w:styleId="TableHeadingoutsidetable">
    <w:name w:val="Table Heading (outside table)"/>
    <w:basedOn w:val="Heading4"/>
    <w:next w:val="tableheaderwithintable"/>
    <w:pPr>
      <w:outlineLvl w:val="9"/>
    </w:pPr>
    <w:rPr>
      <w:i w:val="0"/>
    </w:rPr>
  </w:style>
  <w:style w:type="paragraph" w:customStyle="1" w:styleId="Diagram">
    <w:name w:val="Diagram"/>
    <w:basedOn w:val="Normal"/>
    <w:rPr>
      <w:sz w:val="20"/>
    </w:rPr>
  </w:style>
  <w:style w:type="paragraph" w:customStyle="1" w:styleId="Step">
    <w:name w:val="Step"/>
    <w:basedOn w:val="base-text-paragraph"/>
    <w:pPr>
      <w:ind w:left="1928" w:hanging="794"/>
    </w:pPr>
  </w:style>
  <w:style w:type="paragraph" w:customStyle="1" w:styleId="Footnote">
    <w:name w:val="Footnote"/>
    <w:basedOn w:val="FootnoteText"/>
    <w:next w:val="FootnoteText"/>
    <w:pPr>
      <w:tabs>
        <w:tab w:val="left" w:pos="284"/>
      </w:tabs>
      <w:spacing w:before="40" w:after="40"/>
      <w:ind w:left="284" w:hanging="284"/>
    </w:pPr>
  </w:style>
  <w:style w:type="paragraph" w:styleId="FootnoteText">
    <w:name w:val="footnote text"/>
    <w:basedOn w:val="Normal"/>
    <w:semiHidden/>
    <w:rPr>
      <w:sz w:val="20"/>
    </w:rPr>
  </w:style>
  <w:style w:type="paragraph" w:styleId="Footer">
    <w:name w:val="footer"/>
    <w:basedOn w:val="base-text-paragraph"/>
    <w:semiHidden/>
    <w:pPr>
      <w:pBdr>
        <w:top w:val="single" w:sz="6" w:space="1" w:color="auto"/>
      </w:pBdr>
      <w:tabs>
        <w:tab w:val="clear" w:pos="1987"/>
        <w:tab w:val="right" w:pos="4147"/>
        <w:tab w:val="right" w:pos="8338"/>
      </w:tabs>
      <w:spacing w:before="240"/>
      <w:ind w:left="0"/>
    </w:pPr>
    <w:rPr>
      <w:i/>
      <w:sz w:val="20"/>
    </w:rPr>
  </w:style>
  <w:style w:type="character" w:customStyle="1" w:styleId="base-text-paragraphChar">
    <w:name w:val="base-text-paragraph Char"/>
    <w:basedOn w:val="DefaultParagraphFont"/>
    <w:rPr>
      <w:noProof w:val="0"/>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Administration\Lmt-master%20template%20NO%20gloss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Lmt-master template NO glossary.dot</Template>
  <TotalTime>0</TotalTime>
  <Pages>7</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1996-97</vt:lpstr>
    </vt:vector>
  </TitlesOfParts>
  <Company>ATO</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1996-97</dc:title>
  <dc:creator>ceb</dc:creator>
  <cp:lastModifiedBy>Andrew Newbery</cp:lastModifiedBy>
  <cp:revision>2</cp:revision>
  <cp:lastPrinted>2007-09-17T05:15:00Z</cp:lastPrinted>
  <dcterms:created xsi:type="dcterms:W3CDTF">2017-10-09T03:12:00Z</dcterms:created>
  <dcterms:modified xsi:type="dcterms:W3CDTF">2017-10-09T03:12:00Z</dcterms:modified>
</cp:coreProperties>
</file>