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F" w:rsidRPr="00166DDD" w:rsidRDefault="00C164CA" w:rsidP="0048364F">
      <w:pPr>
        <w:pStyle w:val="Session"/>
      </w:pPr>
      <w:r w:rsidRPr="00166DDD">
        <w:t>2010</w:t>
      </w:r>
      <w:r w:rsidR="00166DDD" w:rsidRPr="00166DDD">
        <w:noBreakHyphen/>
      </w:r>
      <w:r w:rsidR="007634AD" w:rsidRPr="00166DDD">
        <w:t>2011</w:t>
      </w:r>
    </w:p>
    <w:p w:rsidR="0048364F" w:rsidRPr="00166DDD" w:rsidRDefault="0048364F" w:rsidP="0048364F">
      <w:pPr>
        <w:rPr>
          <w:sz w:val="28"/>
        </w:rPr>
      </w:pPr>
    </w:p>
    <w:p w:rsidR="0048364F" w:rsidRPr="00166DDD" w:rsidRDefault="0048364F" w:rsidP="0048364F">
      <w:pPr>
        <w:rPr>
          <w:sz w:val="28"/>
        </w:rPr>
      </w:pPr>
      <w:r w:rsidRPr="00166DDD">
        <w:rPr>
          <w:sz w:val="28"/>
        </w:rPr>
        <w:t>The Parliament of the</w:t>
      </w:r>
    </w:p>
    <w:p w:rsidR="0048364F" w:rsidRPr="00166DDD" w:rsidRDefault="0048364F" w:rsidP="0048364F">
      <w:pPr>
        <w:rPr>
          <w:sz w:val="28"/>
        </w:rPr>
      </w:pPr>
      <w:r w:rsidRPr="00166DDD">
        <w:rPr>
          <w:sz w:val="28"/>
        </w:rPr>
        <w:t>Commonwealth of Australia</w:t>
      </w:r>
    </w:p>
    <w:p w:rsidR="0048364F" w:rsidRPr="00166DDD" w:rsidRDefault="0048364F" w:rsidP="0048364F">
      <w:pPr>
        <w:rPr>
          <w:sz w:val="28"/>
        </w:rPr>
      </w:pPr>
    </w:p>
    <w:p w:rsidR="0048364F" w:rsidRPr="00166DDD" w:rsidRDefault="0048364F" w:rsidP="0048364F">
      <w:pPr>
        <w:pStyle w:val="House"/>
      </w:pPr>
      <w:r w:rsidRPr="00166DDD">
        <w:t>HOUSE OF REPRESENTATIVES</w:t>
      </w:r>
    </w:p>
    <w:p w:rsidR="0048364F" w:rsidRPr="00166DDD" w:rsidRDefault="0048364F" w:rsidP="0048364F"/>
    <w:p w:rsidR="0048364F" w:rsidRPr="00166DDD" w:rsidRDefault="0048364F" w:rsidP="0048364F"/>
    <w:p w:rsidR="0048364F" w:rsidRPr="00166DDD" w:rsidRDefault="0048364F" w:rsidP="0048364F"/>
    <w:p w:rsidR="0048364F" w:rsidRPr="00166DDD" w:rsidRDefault="0048364F" w:rsidP="0048364F"/>
    <w:p w:rsidR="0048364F" w:rsidRPr="00166DDD" w:rsidRDefault="0048364F" w:rsidP="0048364F">
      <w:pPr>
        <w:pStyle w:val="Reading"/>
      </w:pPr>
      <w:r w:rsidRPr="00166DDD">
        <w:t>Presented and read a first time</w:t>
      </w:r>
    </w:p>
    <w:p w:rsidR="0048364F" w:rsidRPr="00166DDD" w:rsidRDefault="0048364F" w:rsidP="0048364F">
      <w:pPr>
        <w:rPr>
          <w:sz w:val="19"/>
        </w:rPr>
      </w:pPr>
    </w:p>
    <w:p w:rsidR="0048364F" w:rsidRPr="00166DDD" w:rsidRDefault="0048364F" w:rsidP="0048364F">
      <w:pPr>
        <w:rPr>
          <w:sz w:val="19"/>
        </w:rPr>
      </w:pPr>
    </w:p>
    <w:p w:rsidR="00166DDD" w:rsidRPr="00166DDD" w:rsidRDefault="00166DDD" w:rsidP="0048364F">
      <w:pPr>
        <w:rPr>
          <w:sz w:val="19"/>
        </w:rPr>
      </w:pPr>
      <w:bookmarkStart w:id="0" w:name="ConfidenceBlock"/>
      <w:bookmarkEnd w:id="0"/>
    </w:p>
    <w:p w:rsidR="00166DDD" w:rsidRPr="00166DDD" w:rsidRDefault="00166DDD" w:rsidP="0048364F">
      <w:pPr>
        <w:rPr>
          <w:sz w:val="19"/>
        </w:rPr>
      </w:pPr>
    </w:p>
    <w:p w:rsidR="00166DDD" w:rsidRPr="00166DDD" w:rsidRDefault="00166DDD" w:rsidP="0048364F">
      <w:pPr>
        <w:rPr>
          <w:sz w:val="19"/>
        </w:rPr>
      </w:pPr>
    </w:p>
    <w:p w:rsidR="0048364F" w:rsidRPr="00166DDD" w:rsidRDefault="0048364F" w:rsidP="0048364F">
      <w:pPr>
        <w:rPr>
          <w:sz w:val="19"/>
        </w:rPr>
      </w:pPr>
    </w:p>
    <w:p w:rsidR="0048364F" w:rsidRPr="00166DDD" w:rsidRDefault="0048364F" w:rsidP="0048364F">
      <w:pPr>
        <w:rPr>
          <w:sz w:val="19"/>
        </w:rPr>
      </w:pPr>
    </w:p>
    <w:p w:rsidR="0048364F" w:rsidRPr="00166DDD" w:rsidRDefault="0048364F" w:rsidP="0048364F">
      <w:pPr>
        <w:rPr>
          <w:sz w:val="19"/>
        </w:rPr>
      </w:pPr>
    </w:p>
    <w:p w:rsidR="0048364F" w:rsidRPr="00166DDD" w:rsidRDefault="0048364F" w:rsidP="0048364F">
      <w:pPr>
        <w:rPr>
          <w:sz w:val="19"/>
        </w:rPr>
      </w:pPr>
    </w:p>
    <w:p w:rsidR="0048364F" w:rsidRPr="00166DDD" w:rsidRDefault="009D3E88" w:rsidP="0048364F">
      <w:pPr>
        <w:pStyle w:val="ShortT"/>
      </w:pPr>
      <w:r w:rsidRPr="00166DDD">
        <w:t>Social Security Amendment (Supporting Australian Victims of Terrorism Overseas)</w:t>
      </w:r>
      <w:r w:rsidR="00C164CA" w:rsidRPr="00166DDD">
        <w:t xml:space="preserve"> Bill 201</w:t>
      </w:r>
      <w:r w:rsidR="007634AD" w:rsidRPr="00166DDD">
        <w:t>1</w:t>
      </w:r>
    </w:p>
    <w:p w:rsidR="0048364F" w:rsidRPr="00166DDD" w:rsidRDefault="0048364F" w:rsidP="0048364F"/>
    <w:p w:rsidR="0048364F" w:rsidRPr="00166DDD" w:rsidRDefault="00C164CA" w:rsidP="0048364F">
      <w:pPr>
        <w:pStyle w:val="Actno"/>
      </w:pPr>
      <w:r w:rsidRPr="00166DDD">
        <w:t>No.      , 201</w:t>
      </w:r>
      <w:r w:rsidR="007634AD" w:rsidRPr="00166DDD">
        <w:t>1</w:t>
      </w:r>
    </w:p>
    <w:p w:rsidR="0048364F" w:rsidRPr="00166DDD" w:rsidRDefault="0048364F" w:rsidP="0048364F"/>
    <w:p w:rsidR="0048364F" w:rsidRPr="00166DDD" w:rsidRDefault="0048364F" w:rsidP="0048364F">
      <w:pPr>
        <w:pStyle w:val="Portfolio"/>
      </w:pPr>
      <w:r w:rsidRPr="00166DDD">
        <w:t>(</w:t>
      </w:r>
      <w:proofErr w:type="spellStart"/>
      <w:r w:rsidR="009D3E88" w:rsidRPr="00166DDD">
        <w:t>Attorney</w:t>
      </w:r>
      <w:r w:rsidR="00166DDD" w:rsidRPr="00166DDD">
        <w:noBreakHyphen/>
      </w:r>
      <w:r w:rsidR="009D3E88" w:rsidRPr="00166DDD">
        <w:t>General</w:t>
      </w:r>
      <w:proofErr w:type="spellEnd"/>
      <w:r w:rsidRPr="00166DDD">
        <w:t>)</w:t>
      </w:r>
    </w:p>
    <w:p w:rsidR="0048364F" w:rsidRPr="00166DDD" w:rsidRDefault="0048364F" w:rsidP="0048364F"/>
    <w:p w:rsidR="0048364F" w:rsidRPr="00166DDD" w:rsidRDefault="0048364F" w:rsidP="0048364F"/>
    <w:p w:rsidR="0048364F" w:rsidRPr="00166DDD" w:rsidRDefault="0048364F" w:rsidP="0048364F"/>
    <w:p w:rsidR="0048364F" w:rsidRPr="00166DDD" w:rsidRDefault="0048364F" w:rsidP="0048364F">
      <w:pPr>
        <w:pStyle w:val="LongT"/>
      </w:pPr>
      <w:r w:rsidRPr="00166DDD">
        <w:t xml:space="preserve">A Bill for an Act to </w:t>
      </w:r>
      <w:r w:rsidR="005E2951" w:rsidRPr="00166DDD">
        <w:t xml:space="preserve">provide </w:t>
      </w:r>
      <w:r w:rsidR="009D3E88" w:rsidRPr="00166DDD">
        <w:t xml:space="preserve">support for </w:t>
      </w:r>
      <w:r w:rsidR="007C7202" w:rsidRPr="00166DDD">
        <w:t xml:space="preserve">Australian </w:t>
      </w:r>
      <w:r w:rsidR="009D3E88" w:rsidRPr="00166DDD">
        <w:t>victims of terrorist acts occurr</w:t>
      </w:r>
      <w:r w:rsidR="00443CAC" w:rsidRPr="00166DDD">
        <w:t>ing</w:t>
      </w:r>
      <w:r w:rsidR="009D3E88" w:rsidRPr="00166DDD">
        <w:t xml:space="preserve"> overseas</w:t>
      </w:r>
      <w:r w:rsidRPr="00166DDD">
        <w:t>, and for related purposes</w:t>
      </w:r>
    </w:p>
    <w:p w:rsidR="0048364F" w:rsidRPr="00166DDD" w:rsidRDefault="0048364F" w:rsidP="0048364F">
      <w:pPr>
        <w:pStyle w:val="Header"/>
        <w:tabs>
          <w:tab w:val="clear" w:pos="4150"/>
          <w:tab w:val="clear" w:pos="8307"/>
        </w:tabs>
      </w:pPr>
      <w:r w:rsidRPr="00166DDD">
        <w:rPr>
          <w:rStyle w:val="CharAmSchNo"/>
        </w:rPr>
        <w:t xml:space="preserve"> </w:t>
      </w:r>
      <w:r w:rsidRPr="00166DDD">
        <w:rPr>
          <w:rStyle w:val="CharAmSchText"/>
        </w:rPr>
        <w:t xml:space="preserve"> </w:t>
      </w:r>
    </w:p>
    <w:p w:rsidR="0048364F" w:rsidRPr="00166DDD" w:rsidRDefault="0048364F" w:rsidP="0048364F">
      <w:pPr>
        <w:pStyle w:val="Header"/>
        <w:tabs>
          <w:tab w:val="clear" w:pos="4150"/>
          <w:tab w:val="clear" w:pos="8307"/>
        </w:tabs>
      </w:pPr>
      <w:r w:rsidRPr="00166DDD">
        <w:rPr>
          <w:rStyle w:val="CharAmPartNo"/>
        </w:rPr>
        <w:t xml:space="preserve"> </w:t>
      </w:r>
      <w:r w:rsidRPr="00166DDD">
        <w:rPr>
          <w:rStyle w:val="CharAmPartText"/>
        </w:rPr>
        <w:t xml:space="preserve"> </w:t>
      </w:r>
    </w:p>
    <w:p w:rsidR="0048364F" w:rsidRPr="00166DDD" w:rsidRDefault="0048364F" w:rsidP="0048364F">
      <w:pPr>
        <w:sectPr w:rsidR="0048364F" w:rsidRPr="00166DDD" w:rsidSect="00166DDD">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166DDD" w:rsidRDefault="0048364F" w:rsidP="00526C55">
      <w:pPr>
        <w:rPr>
          <w:sz w:val="36"/>
        </w:rPr>
      </w:pPr>
      <w:r w:rsidRPr="00166DDD">
        <w:rPr>
          <w:sz w:val="36"/>
        </w:rPr>
        <w:lastRenderedPageBreak/>
        <w:t>Contents</w:t>
      </w:r>
    </w:p>
    <w:bookmarkStart w:id="1" w:name="BKCheck15B_1"/>
    <w:bookmarkEnd w:id="1"/>
    <w:p w:rsidR="00166DDD" w:rsidRDefault="00E810A2">
      <w:pPr>
        <w:pStyle w:val="TOC5"/>
        <w:rPr>
          <w:rFonts w:asciiTheme="minorHAnsi" w:eastAsiaTheme="minorEastAsia" w:hAnsiTheme="minorHAnsi" w:cstheme="minorBidi"/>
          <w:noProof/>
          <w:kern w:val="0"/>
          <w:sz w:val="22"/>
          <w:szCs w:val="22"/>
        </w:rPr>
      </w:pPr>
      <w:r w:rsidRPr="00E810A2">
        <w:fldChar w:fldCharType="begin"/>
      </w:r>
      <w:r w:rsidR="00166DDD">
        <w:instrText xml:space="preserve"> TOC \o "1-9" </w:instrText>
      </w:r>
      <w:r w:rsidRPr="00E810A2">
        <w:fldChar w:fldCharType="separate"/>
      </w:r>
      <w:r w:rsidR="00166DDD">
        <w:rPr>
          <w:noProof/>
        </w:rPr>
        <w:t>1</w:t>
      </w:r>
      <w:r w:rsidR="00166DDD">
        <w:rPr>
          <w:noProof/>
        </w:rPr>
        <w:tab/>
        <w:t>Short title</w:t>
      </w:r>
      <w:r w:rsidR="00166DDD" w:rsidRPr="00166DDD">
        <w:rPr>
          <w:noProof/>
        </w:rPr>
        <w:tab/>
      </w:r>
      <w:r w:rsidRPr="00166DDD">
        <w:rPr>
          <w:noProof/>
        </w:rPr>
        <w:fldChar w:fldCharType="begin"/>
      </w:r>
      <w:r w:rsidR="00166DDD" w:rsidRPr="00166DDD">
        <w:rPr>
          <w:noProof/>
        </w:rPr>
        <w:instrText xml:space="preserve"> PAGEREF _Toc288487055 \h </w:instrText>
      </w:r>
      <w:r w:rsidRPr="00166DDD">
        <w:rPr>
          <w:noProof/>
        </w:rPr>
      </w:r>
      <w:r w:rsidRPr="00166DDD">
        <w:rPr>
          <w:noProof/>
        </w:rPr>
        <w:fldChar w:fldCharType="separate"/>
      </w:r>
      <w:r w:rsidR="00166DDD" w:rsidRPr="00166DDD">
        <w:rPr>
          <w:noProof/>
        </w:rPr>
        <w:t>1</w:t>
      </w:r>
      <w:r w:rsidRPr="00166DDD">
        <w:rPr>
          <w:noProof/>
        </w:rPr>
        <w:fldChar w:fldCharType="end"/>
      </w:r>
    </w:p>
    <w:p w:rsidR="00166DDD" w:rsidRDefault="00166DDD">
      <w:pPr>
        <w:pStyle w:val="TOC5"/>
        <w:rPr>
          <w:rFonts w:asciiTheme="minorHAnsi" w:eastAsiaTheme="minorEastAsia" w:hAnsiTheme="minorHAnsi" w:cstheme="minorBidi"/>
          <w:noProof/>
          <w:kern w:val="0"/>
          <w:sz w:val="22"/>
          <w:szCs w:val="22"/>
        </w:rPr>
      </w:pPr>
      <w:r>
        <w:rPr>
          <w:noProof/>
        </w:rPr>
        <w:t>2</w:t>
      </w:r>
      <w:r>
        <w:rPr>
          <w:noProof/>
        </w:rPr>
        <w:tab/>
        <w:t>Commencement</w:t>
      </w:r>
      <w:r w:rsidRPr="00166DDD">
        <w:rPr>
          <w:noProof/>
        </w:rPr>
        <w:tab/>
      </w:r>
      <w:r w:rsidR="00E810A2" w:rsidRPr="00166DDD">
        <w:rPr>
          <w:noProof/>
        </w:rPr>
        <w:fldChar w:fldCharType="begin"/>
      </w:r>
      <w:r w:rsidRPr="00166DDD">
        <w:rPr>
          <w:noProof/>
        </w:rPr>
        <w:instrText xml:space="preserve"> PAGEREF _Toc288487056 \h </w:instrText>
      </w:r>
      <w:r w:rsidR="00E810A2" w:rsidRPr="00166DDD">
        <w:rPr>
          <w:noProof/>
        </w:rPr>
      </w:r>
      <w:r w:rsidR="00E810A2" w:rsidRPr="00166DDD">
        <w:rPr>
          <w:noProof/>
        </w:rPr>
        <w:fldChar w:fldCharType="separate"/>
      </w:r>
      <w:r w:rsidRPr="00166DDD">
        <w:rPr>
          <w:noProof/>
        </w:rPr>
        <w:t>1</w:t>
      </w:r>
      <w:r w:rsidR="00E810A2" w:rsidRPr="00166DDD">
        <w:rPr>
          <w:noProof/>
        </w:rPr>
        <w:fldChar w:fldCharType="end"/>
      </w:r>
    </w:p>
    <w:p w:rsidR="00166DDD" w:rsidRDefault="00166DDD">
      <w:pPr>
        <w:pStyle w:val="TOC5"/>
        <w:rPr>
          <w:rFonts w:asciiTheme="minorHAnsi" w:eastAsiaTheme="minorEastAsia" w:hAnsiTheme="minorHAnsi" w:cstheme="minorBidi"/>
          <w:noProof/>
          <w:kern w:val="0"/>
          <w:sz w:val="22"/>
          <w:szCs w:val="22"/>
        </w:rPr>
      </w:pPr>
      <w:r>
        <w:rPr>
          <w:noProof/>
        </w:rPr>
        <w:t>3</w:t>
      </w:r>
      <w:r>
        <w:rPr>
          <w:noProof/>
        </w:rPr>
        <w:tab/>
        <w:t>Schedule(s)</w:t>
      </w:r>
      <w:r w:rsidRPr="00166DDD">
        <w:rPr>
          <w:noProof/>
        </w:rPr>
        <w:tab/>
      </w:r>
      <w:r w:rsidR="00E810A2" w:rsidRPr="00166DDD">
        <w:rPr>
          <w:noProof/>
        </w:rPr>
        <w:fldChar w:fldCharType="begin"/>
      </w:r>
      <w:r w:rsidRPr="00166DDD">
        <w:rPr>
          <w:noProof/>
        </w:rPr>
        <w:instrText xml:space="preserve"> PAGEREF _Toc288487057 \h </w:instrText>
      </w:r>
      <w:r w:rsidR="00E810A2" w:rsidRPr="00166DDD">
        <w:rPr>
          <w:noProof/>
        </w:rPr>
      </w:r>
      <w:r w:rsidR="00E810A2" w:rsidRPr="00166DDD">
        <w:rPr>
          <w:noProof/>
        </w:rPr>
        <w:fldChar w:fldCharType="separate"/>
      </w:r>
      <w:r w:rsidRPr="00166DDD">
        <w:rPr>
          <w:noProof/>
        </w:rPr>
        <w:t>2</w:t>
      </w:r>
      <w:r w:rsidR="00E810A2" w:rsidRPr="00166DDD">
        <w:rPr>
          <w:noProof/>
        </w:rPr>
        <w:fldChar w:fldCharType="end"/>
      </w:r>
    </w:p>
    <w:p w:rsidR="00166DDD" w:rsidRDefault="00166DDD">
      <w:pPr>
        <w:pStyle w:val="TOC6"/>
        <w:rPr>
          <w:rFonts w:asciiTheme="minorHAnsi" w:eastAsiaTheme="minorEastAsia" w:hAnsiTheme="minorHAnsi" w:cstheme="minorBidi"/>
          <w:b w:val="0"/>
          <w:noProof/>
          <w:kern w:val="0"/>
          <w:sz w:val="22"/>
          <w:szCs w:val="22"/>
        </w:rPr>
      </w:pPr>
      <w:r>
        <w:rPr>
          <w:noProof/>
        </w:rPr>
        <w:t>Schedule 1—Amendments</w:t>
      </w:r>
      <w:r w:rsidRPr="00166DDD">
        <w:rPr>
          <w:b w:val="0"/>
          <w:noProof/>
          <w:sz w:val="18"/>
        </w:rPr>
        <w:tab/>
      </w:r>
      <w:r w:rsidR="00E810A2" w:rsidRPr="00166DDD">
        <w:rPr>
          <w:b w:val="0"/>
          <w:noProof/>
          <w:sz w:val="18"/>
        </w:rPr>
        <w:fldChar w:fldCharType="begin"/>
      </w:r>
      <w:r w:rsidRPr="00166DDD">
        <w:rPr>
          <w:b w:val="0"/>
          <w:noProof/>
          <w:sz w:val="18"/>
        </w:rPr>
        <w:instrText xml:space="preserve"> PAGEREF _Toc288487058 \h </w:instrText>
      </w:r>
      <w:r w:rsidR="00E810A2" w:rsidRPr="00166DDD">
        <w:rPr>
          <w:b w:val="0"/>
          <w:noProof/>
          <w:sz w:val="18"/>
        </w:rPr>
      </w:r>
      <w:r w:rsidR="00E810A2" w:rsidRPr="00166DDD">
        <w:rPr>
          <w:b w:val="0"/>
          <w:noProof/>
          <w:sz w:val="18"/>
        </w:rPr>
        <w:fldChar w:fldCharType="separate"/>
      </w:r>
      <w:r w:rsidRPr="00166DDD">
        <w:rPr>
          <w:b w:val="0"/>
          <w:noProof/>
          <w:sz w:val="18"/>
        </w:rPr>
        <w:t>3</w:t>
      </w:r>
      <w:r w:rsidR="00E810A2" w:rsidRPr="00166DDD">
        <w:rPr>
          <w:b w:val="0"/>
          <w:noProof/>
          <w:sz w:val="18"/>
        </w:rPr>
        <w:fldChar w:fldCharType="end"/>
      </w:r>
    </w:p>
    <w:p w:rsidR="00166DDD" w:rsidRDefault="00166DDD">
      <w:pPr>
        <w:pStyle w:val="TOC7"/>
        <w:rPr>
          <w:rFonts w:asciiTheme="minorHAnsi" w:eastAsiaTheme="minorEastAsia" w:hAnsiTheme="minorHAnsi" w:cstheme="minorBidi"/>
          <w:noProof/>
          <w:kern w:val="0"/>
          <w:sz w:val="22"/>
          <w:szCs w:val="22"/>
        </w:rPr>
      </w:pPr>
      <w:r>
        <w:rPr>
          <w:noProof/>
        </w:rPr>
        <w:t>Part 1—Main amendments</w:t>
      </w:r>
      <w:r w:rsidRPr="00166DDD">
        <w:rPr>
          <w:noProof/>
          <w:sz w:val="18"/>
        </w:rPr>
        <w:tab/>
      </w:r>
      <w:r w:rsidR="00E810A2" w:rsidRPr="00166DDD">
        <w:rPr>
          <w:noProof/>
          <w:sz w:val="18"/>
        </w:rPr>
        <w:fldChar w:fldCharType="begin"/>
      </w:r>
      <w:r w:rsidRPr="00166DDD">
        <w:rPr>
          <w:noProof/>
          <w:sz w:val="18"/>
        </w:rPr>
        <w:instrText xml:space="preserve"> PAGEREF _Toc288487059 \h </w:instrText>
      </w:r>
      <w:r w:rsidR="00E810A2" w:rsidRPr="00166DDD">
        <w:rPr>
          <w:noProof/>
          <w:sz w:val="18"/>
        </w:rPr>
      </w:r>
      <w:r w:rsidR="00E810A2" w:rsidRPr="00166DDD">
        <w:rPr>
          <w:noProof/>
          <w:sz w:val="18"/>
        </w:rPr>
        <w:fldChar w:fldCharType="separate"/>
      </w:r>
      <w:r w:rsidRPr="00166DDD">
        <w:rPr>
          <w:noProof/>
          <w:sz w:val="18"/>
        </w:rPr>
        <w:t>3</w:t>
      </w:r>
      <w:r w:rsidR="00E810A2" w:rsidRPr="00166DDD">
        <w:rPr>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Social Security Act 1991</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_Toc288487060 \h </w:instrText>
      </w:r>
      <w:r w:rsidR="00E810A2" w:rsidRPr="00166DDD">
        <w:rPr>
          <w:i w:val="0"/>
          <w:noProof/>
          <w:sz w:val="18"/>
        </w:rPr>
      </w:r>
      <w:r w:rsidR="00E810A2" w:rsidRPr="00166DDD">
        <w:rPr>
          <w:i w:val="0"/>
          <w:noProof/>
          <w:sz w:val="18"/>
        </w:rPr>
        <w:fldChar w:fldCharType="separate"/>
      </w:r>
      <w:r w:rsidRPr="00166DDD">
        <w:rPr>
          <w:i w:val="0"/>
          <w:noProof/>
          <w:sz w:val="18"/>
        </w:rPr>
        <w:t>3</w:t>
      </w:r>
      <w:r w:rsidR="00E810A2" w:rsidRPr="00166DDD">
        <w:rPr>
          <w:i w:val="0"/>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Social Security (Administration) Act 1999</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_Toc288487073 \h </w:instrText>
      </w:r>
      <w:r w:rsidR="00E810A2" w:rsidRPr="00166DDD">
        <w:rPr>
          <w:i w:val="0"/>
          <w:noProof/>
          <w:sz w:val="18"/>
        </w:rPr>
      </w:r>
      <w:r w:rsidR="00E810A2" w:rsidRPr="00166DDD">
        <w:rPr>
          <w:i w:val="0"/>
          <w:noProof/>
          <w:sz w:val="18"/>
        </w:rPr>
        <w:fldChar w:fldCharType="separate"/>
      </w:r>
      <w:r w:rsidRPr="00166DDD">
        <w:rPr>
          <w:i w:val="0"/>
          <w:noProof/>
          <w:sz w:val="18"/>
        </w:rPr>
        <w:t>10</w:t>
      </w:r>
      <w:r w:rsidR="00E810A2" w:rsidRPr="00166DDD">
        <w:rPr>
          <w:i w:val="0"/>
          <w:noProof/>
          <w:sz w:val="18"/>
        </w:rPr>
        <w:fldChar w:fldCharType="end"/>
      </w:r>
    </w:p>
    <w:p w:rsidR="00166DDD" w:rsidRDefault="00166DDD">
      <w:pPr>
        <w:pStyle w:val="TOC7"/>
        <w:rPr>
          <w:rFonts w:asciiTheme="minorHAnsi" w:eastAsiaTheme="minorEastAsia" w:hAnsiTheme="minorHAnsi" w:cstheme="minorBidi"/>
          <w:noProof/>
          <w:kern w:val="0"/>
          <w:sz w:val="22"/>
          <w:szCs w:val="22"/>
        </w:rPr>
      </w:pPr>
      <w:r>
        <w:rPr>
          <w:noProof/>
        </w:rPr>
        <w:t>Part 2—Other amendments</w:t>
      </w:r>
      <w:r w:rsidRPr="00166DDD">
        <w:rPr>
          <w:noProof/>
          <w:sz w:val="18"/>
        </w:rPr>
        <w:tab/>
      </w:r>
      <w:r w:rsidR="00E810A2" w:rsidRPr="00166DDD">
        <w:rPr>
          <w:noProof/>
          <w:sz w:val="18"/>
        </w:rPr>
        <w:fldChar w:fldCharType="begin"/>
      </w:r>
      <w:r w:rsidRPr="00166DDD">
        <w:rPr>
          <w:noProof/>
          <w:sz w:val="18"/>
        </w:rPr>
        <w:instrText xml:space="preserve"> PAGEREF _Toc288487077 \h </w:instrText>
      </w:r>
      <w:r w:rsidR="00E810A2" w:rsidRPr="00166DDD">
        <w:rPr>
          <w:noProof/>
          <w:sz w:val="18"/>
        </w:rPr>
      </w:r>
      <w:r w:rsidR="00E810A2" w:rsidRPr="00166DDD">
        <w:rPr>
          <w:noProof/>
          <w:sz w:val="18"/>
        </w:rPr>
        <w:fldChar w:fldCharType="separate"/>
      </w:r>
      <w:r w:rsidRPr="00166DDD">
        <w:rPr>
          <w:noProof/>
          <w:sz w:val="18"/>
        </w:rPr>
        <w:t>13</w:t>
      </w:r>
      <w:r w:rsidR="00E810A2" w:rsidRPr="00166DDD">
        <w:rPr>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A New Tax System (Family Assistance) Act 1999</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_Toc288487078 \h </w:instrText>
      </w:r>
      <w:r w:rsidR="00E810A2" w:rsidRPr="00166DDD">
        <w:rPr>
          <w:i w:val="0"/>
          <w:noProof/>
          <w:sz w:val="18"/>
        </w:rPr>
      </w:r>
      <w:r w:rsidR="00E810A2" w:rsidRPr="00166DDD">
        <w:rPr>
          <w:i w:val="0"/>
          <w:noProof/>
          <w:sz w:val="18"/>
        </w:rPr>
        <w:fldChar w:fldCharType="separate"/>
      </w:r>
      <w:r w:rsidRPr="00166DDD">
        <w:rPr>
          <w:i w:val="0"/>
          <w:noProof/>
          <w:sz w:val="18"/>
        </w:rPr>
        <w:t>13</w:t>
      </w:r>
      <w:r w:rsidR="00E810A2" w:rsidRPr="00166DDD">
        <w:rPr>
          <w:i w:val="0"/>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_Toc288487079 \h </w:instrText>
      </w:r>
      <w:r w:rsidR="00E810A2" w:rsidRPr="00166DDD">
        <w:rPr>
          <w:i w:val="0"/>
          <w:noProof/>
          <w:sz w:val="18"/>
        </w:rPr>
      </w:r>
      <w:r w:rsidR="00E810A2" w:rsidRPr="00166DDD">
        <w:rPr>
          <w:i w:val="0"/>
          <w:noProof/>
          <w:sz w:val="18"/>
        </w:rPr>
        <w:fldChar w:fldCharType="separate"/>
      </w:r>
      <w:r w:rsidRPr="00166DDD">
        <w:rPr>
          <w:i w:val="0"/>
          <w:noProof/>
          <w:sz w:val="18"/>
        </w:rPr>
        <w:t>13</w:t>
      </w:r>
      <w:r w:rsidR="00E810A2" w:rsidRPr="00166DDD">
        <w:rPr>
          <w:i w:val="0"/>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Income Tax Assessment Act 1997</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_Toc288487080 \h </w:instrText>
      </w:r>
      <w:r w:rsidR="00E810A2" w:rsidRPr="00166DDD">
        <w:rPr>
          <w:i w:val="0"/>
          <w:noProof/>
          <w:sz w:val="18"/>
        </w:rPr>
      </w:r>
      <w:r w:rsidR="00E810A2" w:rsidRPr="00166DDD">
        <w:rPr>
          <w:i w:val="0"/>
          <w:noProof/>
          <w:sz w:val="18"/>
        </w:rPr>
        <w:fldChar w:fldCharType="separate"/>
      </w:r>
      <w:r w:rsidRPr="00166DDD">
        <w:rPr>
          <w:i w:val="0"/>
          <w:noProof/>
          <w:sz w:val="18"/>
        </w:rPr>
        <w:t>13</w:t>
      </w:r>
      <w:r w:rsidR="00E810A2" w:rsidRPr="00166DDD">
        <w:rPr>
          <w:i w:val="0"/>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_Toc288487081 \h </w:instrText>
      </w:r>
      <w:r w:rsidR="00E810A2" w:rsidRPr="00166DDD">
        <w:rPr>
          <w:i w:val="0"/>
          <w:noProof/>
          <w:sz w:val="18"/>
        </w:rPr>
      </w:r>
      <w:r w:rsidR="00E810A2" w:rsidRPr="00166DDD">
        <w:rPr>
          <w:i w:val="0"/>
          <w:noProof/>
          <w:sz w:val="18"/>
        </w:rPr>
        <w:fldChar w:fldCharType="separate"/>
      </w:r>
      <w:r w:rsidRPr="00166DDD">
        <w:rPr>
          <w:i w:val="0"/>
          <w:noProof/>
          <w:sz w:val="18"/>
        </w:rPr>
        <w:t>13</w:t>
      </w:r>
      <w:r w:rsidR="00E810A2" w:rsidRPr="00166DDD">
        <w:rPr>
          <w:i w:val="0"/>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Social Security Act 1991</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_Toc288487082 \h </w:instrText>
      </w:r>
      <w:r w:rsidR="00E810A2" w:rsidRPr="00166DDD">
        <w:rPr>
          <w:i w:val="0"/>
          <w:noProof/>
          <w:sz w:val="18"/>
        </w:rPr>
      </w:r>
      <w:r w:rsidR="00E810A2" w:rsidRPr="00166DDD">
        <w:rPr>
          <w:i w:val="0"/>
          <w:noProof/>
          <w:sz w:val="18"/>
        </w:rPr>
        <w:fldChar w:fldCharType="separate"/>
      </w:r>
      <w:r w:rsidRPr="00166DDD">
        <w:rPr>
          <w:i w:val="0"/>
          <w:noProof/>
          <w:sz w:val="18"/>
        </w:rPr>
        <w:t>14</w:t>
      </w:r>
      <w:r w:rsidR="00E810A2" w:rsidRPr="00166DDD">
        <w:rPr>
          <w:i w:val="0"/>
          <w:noProof/>
          <w:sz w:val="18"/>
        </w:rPr>
        <w:fldChar w:fldCharType="end"/>
      </w:r>
    </w:p>
    <w:p w:rsidR="00166DDD" w:rsidRDefault="00166DDD">
      <w:pPr>
        <w:pStyle w:val="TOC9"/>
        <w:rPr>
          <w:rFonts w:asciiTheme="minorHAnsi" w:eastAsiaTheme="minorEastAsia" w:hAnsiTheme="minorHAnsi" w:cstheme="minorBidi"/>
          <w:i w:val="0"/>
          <w:noProof/>
          <w:kern w:val="0"/>
          <w:sz w:val="22"/>
          <w:szCs w:val="22"/>
        </w:rPr>
      </w:pPr>
      <w:r>
        <w:rPr>
          <w:noProof/>
        </w:rPr>
        <w:t>Social Security (Administration) Act 1999</w:t>
      </w:r>
      <w:r w:rsidRPr="00166DDD">
        <w:rPr>
          <w:i w:val="0"/>
          <w:noProof/>
          <w:sz w:val="18"/>
        </w:rPr>
        <w:tab/>
      </w:r>
      <w:r w:rsidR="00E810A2" w:rsidRPr="00166DDD">
        <w:rPr>
          <w:i w:val="0"/>
          <w:noProof/>
          <w:sz w:val="18"/>
        </w:rPr>
        <w:fldChar w:fldCharType="begin"/>
      </w:r>
      <w:r w:rsidRPr="00166DDD">
        <w:rPr>
          <w:i w:val="0"/>
          <w:noProof/>
          <w:sz w:val="18"/>
        </w:rPr>
        <w:instrText xml:space="preserve"> PAGEREF _Toc288487083 \h </w:instrText>
      </w:r>
      <w:r w:rsidR="00E810A2" w:rsidRPr="00166DDD">
        <w:rPr>
          <w:i w:val="0"/>
          <w:noProof/>
          <w:sz w:val="18"/>
        </w:rPr>
      </w:r>
      <w:r w:rsidR="00E810A2" w:rsidRPr="00166DDD">
        <w:rPr>
          <w:i w:val="0"/>
          <w:noProof/>
          <w:sz w:val="18"/>
        </w:rPr>
        <w:fldChar w:fldCharType="separate"/>
      </w:r>
      <w:r w:rsidRPr="00166DDD">
        <w:rPr>
          <w:i w:val="0"/>
          <w:noProof/>
          <w:sz w:val="18"/>
        </w:rPr>
        <w:t>14</w:t>
      </w:r>
      <w:r w:rsidR="00E810A2" w:rsidRPr="00166DDD">
        <w:rPr>
          <w:i w:val="0"/>
          <w:noProof/>
          <w:sz w:val="18"/>
        </w:rPr>
        <w:fldChar w:fldCharType="end"/>
      </w:r>
    </w:p>
    <w:p w:rsidR="0048364F" w:rsidRPr="00166DDD" w:rsidRDefault="00E810A2" w:rsidP="0048364F">
      <w:r>
        <w:fldChar w:fldCharType="end"/>
      </w:r>
    </w:p>
    <w:p w:rsidR="0048364F" w:rsidRPr="00166DDD" w:rsidRDefault="0048364F" w:rsidP="0048364F">
      <w:pPr>
        <w:sectPr w:rsidR="0048364F" w:rsidRPr="00166DDD" w:rsidSect="00166DDD">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166DDD" w:rsidRDefault="00166DDD" w:rsidP="00166DDD">
      <w:pPr>
        <w:pStyle w:val="Page1"/>
      </w:pPr>
      <w:r w:rsidRPr="00166DDD">
        <w:lastRenderedPageBreak/>
        <w:t>A Bill for an Act to provide support for Australian victims of terrorist acts occurring overseas, and for related purposes</w:t>
      </w:r>
    </w:p>
    <w:p w:rsidR="0048364F" w:rsidRPr="00166DDD" w:rsidRDefault="0048364F" w:rsidP="00166DDD">
      <w:pPr>
        <w:spacing w:before="240" w:line="240" w:lineRule="auto"/>
        <w:rPr>
          <w:sz w:val="32"/>
        </w:rPr>
      </w:pPr>
      <w:r w:rsidRPr="00166DDD">
        <w:rPr>
          <w:sz w:val="32"/>
        </w:rPr>
        <w:t>The Parliament of Australia enacts:</w:t>
      </w:r>
    </w:p>
    <w:p w:rsidR="0048364F" w:rsidRPr="00166DDD" w:rsidRDefault="0048364F" w:rsidP="00166DDD">
      <w:pPr>
        <w:pStyle w:val="ActHead5"/>
      </w:pPr>
      <w:bookmarkStart w:id="2" w:name="_Toc288487055"/>
      <w:r w:rsidRPr="00166DDD">
        <w:rPr>
          <w:rStyle w:val="CharSectno"/>
        </w:rPr>
        <w:t>1</w:t>
      </w:r>
      <w:r w:rsidRPr="00166DDD">
        <w:t xml:space="preserve">  Short title</w:t>
      </w:r>
      <w:bookmarkEnd w:id="2"/>
    </w:p>
    <w:p w:rsidR="0048364F" w:rsidRPr="00166DDD" w:rsidRDefault="0048364F" w:rsidP="00166DDD">
      <w:pPr>
        <w:pStyle w:val="subsection"/>
      </w:pPr>
      <w:r w:rsidRPr="00166DDD">
        <w:tab/>
      </w:r>
      <w:r w:rsidRPr="00166DDD">
        <w:tab/>
        <w:t xml:space="preserve">This Act may be cited as the </w:t>
      </w:r>
      <w:r w:rsidR="007C7202" w:rsidRPr="00166DDD">
        <w:rPr>
          <w:i/>
        </w:rPr>
        <w:t>Social Security Amendment (Supporting Australian Victims of Terrorism Overseas) Act 2011</w:t>
      </w:r>
      <w:r w:rsidRPr="00166DDD">
        <w:t>.</w:t>
      </w:r>
    </w:p>
    <w:p w:rsidR="0048364F" w:rsidRPr="00166DDD" w:rsidRDefault="0048364F" w:rsidP="00166DDD">
      <w:pPr>
        <w:pStyle w:val="ActHead5"/>
      </w:pPr>
      <w:bookmarkStart w:id="3" w:name="_Toc288487056"/>
      <w:r w:rsidRPr="00166DDD">
        <w:rPr>
          <w:rStyle w:val="CharSectno"/>
        </w:rPr>
        <w:t>2</w:t>
      </w:r>
      <w:r w:rsidRPr="00166DDD">
        <w:t xml:space="preserve">  Commencement</w:t>
      </w:r>
      <w:bookmarkEnd w:id="3"/>
    </w:p>
    <w:p w:rsidR="0048364F" w:rsidRPr="00166DDD" w:rsidRDefault="0048364F" w:rsidP="00166DDD">
      <w:pPr>
        <w:pStyle w:val="subsection"/>
      </w:pPr>
      <w:r w:rsidRPr="00166DDD">
        <w:tab/>
        <w:t>(1)</w:t>
      </w:r>
      <w:r w:rsidRPr="00166DDD">
        <w:tab/>
        <w:t>Each provision of this Act specified in column 1 of the table commences, or is taken to have commenced, in accordance with column 2 of the table. Any other statement in column 2 has effect according to its terms.</w:t>
      </w:r>
    </w:p>
    <w:p w:rsidR="0048364F" w:rsidRPr="00166DDD" w:rsidRDefault="0048364F" w:rsidP="00166DD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tblPr>
      <w:tblGrid>
        <w:gridCol w:w="1701"/>
        <w:gridCol w:w="3828"/>
        <w:gridCol w:w="1582"/>
      </w:tblGrid>
      <w:tr w:rsidR="0048364F" w:rsidRPr="00166DDD" w:rsidTr="00526C55">
        <w:trPr>
          <w:tblHeader/>
        </w:trPr>
        <w:tc>
          <w:tcPr>
            <w:tcW w:w="7111" w:type="dxa"/>
            <w:gridSpan w:val="3"/>
            <w:tcBorders>
              <w:top w:val="single" w:sz="12" w:space="0" w:color="auto"/>
              <w:bottom w:val="single" w:sz="6" w:space="0" w:color="auto"/>
            </w:tcBorders>
            <w:shd w:val="clear" w:color="auto" w:fill="auto"/>
          </w:tcPr>
          <w:p w:rsidR="0048364F" w:rsidRPr="00166DDD" w:rsidRDefault="0048364F" w:rsidP="00166DDD">
            <w:pPr>
              <w:pStyle w:val="Tabletext"/>
              <w:keepNext/>
            </w:pPr>
            <w:r w:rsidRPr="00166DDD">
              <w:rPr>
                <w:b/>
              </w:rPr>
              <w:lastRenderedPageBreak/>
              <w:t>Commencement information</w:t>
            </w:r>
          </w:p>
        </w:tc>
      </w:tr>
      <w:tr w:rsidR="0048364F" w:rsidRPr="00166DDD" w:rsidTr="00526C55">
        <w:trPr>
          <w:tblHeader/>
        </w:trPr>
        <w:tc>
          <w:tcPr>
            <w:tcW w:w="1701" w:type="dxa"/>
            <w:tcBorders>
              <w:top w:val="single" w:sz="6" w:space="0" w:color="auto"/>
              <w:bottom w:val="single" w:sz="6" w:space="0" w:color="auto"/>
            </w:tcBorders>
            <w:shd w:val="clear" w:color="auto" w:fill="auto"/>
          </w:tcPr>
          <w:p w:rsidR="0048364F" w:rsidRPr="00166DDD" w:rsidRDefault="0048364F" w:rsidP="00166DDD">
            <w:pPr>
              <w:pStyle w:val="Tabletext"/>
              <w:keepNext/>
            </w:pPr>
            <w:r w:rsidRPr="00166DDD">
              <w:rPr>
                <w:b/>
              </w:rPr>
              <w:t>Column 1</w:t>
            </w:r>
          </w:p>
        </w:tc>
        <w:tc>
          <w:tcPr>
            <w:tcW w:w="3828" w:type="dxa"/>
            <w:tcBorders>
              <w:top w:val="single" w:sz="6" w:space="0" w:color="auto"/>
              <w:bottom w:val="single" w:sz="6" w:space="0" w:color="auto"/>
            </w:tcBorders>
            <w:shd w:val="clear" w:color="auto" w:fill="auto"/>
          </w:tcPr>
          <w:p w:rsidR="0048364F" w:rsidRPr="00166DDD" w:rsidRDefault="0048364F" w:rsidP="00166DDD">
            <w:pPr>
              <w:pStyle w:val="Tabletext"/>
              <w:keepNext/>
            </w:pPr>
            <w:r w:rsidRPr="00166DDD">
              <w:rPr>
                <w:b/>
              </w:rPr>
              <w:t>Column 2</w:t>
            </w:r>
          </w:p>
        </w:tc>
        <w:tc>
          <w:tcPr>
            <w:tcW w:w="1582" w:type="dxa"/>
            <w:tcBorders>
              <w:top w:val="single" w:sz="6" w:space="0" w:color="auto"/>
              <w:bottom w:val="single" w:sz="6" w:space="0" w:color="auto"/>
            </w:tcBorders>
            <w:shd w:val="clear" w:color="auto" w:fill="auto"/>
          </w:tcPr>
          <w:p w:rsidR="0048364F" w:rsidRPr="00166DDD" w:rsidRDefault="0048364F" w:rsidP="00166DDD">
            <w:pPr>
              <w:pStyle w:val="Tabletext"/>
              <w:keepNext/>
            </w:pPr>
            <w:r w:rsidRPr="00166DDD">
              <w:rPr>
                <w:b/>
              </w:rPr>
              <w:t>Column 3</w:t>
            </w:r>
          </w:p>
        </w:tc>
      </w:tr>
      <w:tr w:rsidR="0048364F" w:rsidRPr="00166DDD" w:rsidTr="00526C55">
        <w:trPr>
          <w:tblHeader/>
        </w:trPr>
        <w:tc>
          <w:tcPr>
            <w:tcW w:w="1701" w:type="dxa"/>
            <w:tcBorders>
              <w:top w:val="single" w:sz="6" w:space="0" w:color="auto"/>
              <w:bottom w:val="single" w:sz="12" w:space="0" w:color="auto"/>
            </w:tcBorders>
            <w:shd w:val="clear" w:color="auto" w:fill="auto"/>
          </w:tcPr>
          <w:p w:rsidR="0048364F" w:rsidRPr="00166DDD" w:rsidRDefault="0048364F" w:rsidP="00166DDD">
            <w:pPr>
              <w:pStyle w:val="Tabletext"/>
              <w:keepNext/>
            </w:pPr>
            <w:r w:rsidRPr="00166DDD">
              <w:rPr>
                <w:b/>
              </w:rPr>
              <w:t>Provision(s)</w:t>
            </w:r>
          </w:p>
        </w:tc>
        <w:tc>
          <w:tcPr>
            <w:tcW w:w="3828" w:type="dxa"/>
            <w:tcBorders>
              <w:top w:val="single" w:sz="6" w:space="0" w:color="auto"/>
              <w:bottom w:val="single" w:sz="12" w:space="0" w:color="auto"/>
            </w:tcBorders>
            <w:shd w:val="clear" w:color="auto" w:fill="auto"/>
          </w:tcPr>
          <w:p w:rsidR="0048364F" w:rsidRPr="00166DDD" w:rsidRDefault="0048364F" w:rsidP="00166DDD">
            <w:pPr>
              <w:pStyle w:val="Tabletext"/>
              <w:keepNext/>
            </w:pPr>
            <w:r w:rsidRPr="00166DDD">
              <w:rPr>
                <w:b/>
              </w:rPr>
              <w:t>Commencement</w:t>
            </w:r>
          </w:p>
        </w:tc>
        <w:tc>
          <w:tcPr>
            <w:tcW w:w="1582" w:type="dxa"/>
            <w:tcBorders>
              <w:top w:val="single" w:sz="6" w:space="0" w:color="auto"/>
              <w:bottom w:val="single" w:sz="12" w:space="0" w:color="auto"/>
            </w:tcBorders>
            <w:shd w:val="clear" w:color="auto" w:fill="auto"/>
          </w:tcPr>
          <w:p w:rsidR="0048364F" w:rsidRPr="00166DDD" w:rsidRDefault="0048364F" w:rsidP="00166DDD">
            <w:pPr>
              <w:pStyle w:val="Tabletext"/>
              <w:keepNext/>
            </w:pPr>
            <w:r w:rsidRPr="00166DDD">
              <w:rPr>
                <w:b/>
              </w:rPr>
              <w:t>Date/Details</w:t>
            </w:r>
          </w:p>
        </w:tc>
      </w:tr>
      <w:tr w:rsidR="0048364F" w:rsidRPr="00166DDD" w:rsidTr="00526C55">
        <w:tc>
          <w:tcPr>
            <w:tcW w:w="1701" w:type="dxa"/>
            <w:tcBorders>
              <w:top w:val="single" w:sz="12" w:space="0" w:color="auto"/>
              <w:bottom w:val="single" w:sz="4" w:space="0" w:color="auto"/>
            </w:tcBorders>
            <w:shd w:val="clear" w:color="auto" w:fill="auto"/>
          </w:tcPr>
          <w:p w:rsidR="0048364F" w:rsidRPr="00166DDD" w:rsidRDefault="0048364F" w:rsidP="00166DDD">
            <w:pPr>
              <w:pStyle w:val="Tabletext"/>
            </w:pPr>
            <w:r w:rsidRPr="00166DDD">
              <w:t>1.  Sections</w:t>
            </w:r>
            <w:r w:rsidR="00166DDD" w:rsidRPr="00166DDD">
              <w:t> </w:t>
            </w:r>
            <w:r w:rsidRPr="00166DDD">
              <w:t>1 to</w:t>
            </w:r>
            <w:r w:rsidR="00CD2B40" w:rsidRPr="00166DDD">
              <w:t xml:space="preserve"> </w:t>
            </w:r>
            <w:r w:rsidR="00F2704B" w:rsidRPr="00166DDD">
              <w:t>3</w:t>
            </w:r>
            <w:r w:rsidRPr="00166DDD">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166DDD" w:rsidRDefault="0048364F" w:rsidP="00166DDD">
            <w:pPr>
              <w:pStyle w:val="Tabletext"/>
            </w:pPr>
            <w:r w:rsidRPr="00166DDD">
              <w:t>The day this Act receives the Royal Assent.</w:t>
            </w:r>
          </w:p>
        </w:tc>
        <w:tc>
          <w:tcPr>
            <w:tcW w:w="1582" w:type="dxa"/>
            <w:tcBorders>
              <w:top w:val="single" w:sz="12" w:space="0" w:color="auto"/>
              <w:bottom w:val="single" w:sz="4" w:space="0" w:color="auto"/>
            </w:tcBorders>
            <w:shd w:val="clear" w:color="auto" w:fill="auto"/>
          </w:tcPr>
          <w:p w:rsidR="0048364F" w:rsidRPr="00166DDD" w:rsidRDefault="0048364F" w:rsidP="00166DDD">
            <w:pPr>
              <w:pStyle w:val="Tabletext"/>
            </w:pPr>
          </w:p>
        </w:tc>
      </w:tr>
      <w:tr w:rsidR="0048364F" w:rsidRPr="00166DDD" w:rsidTr="00526C55">
        <w:tc>
          <w:tcPr>
            <w:tcW w:w="1701" w:type="dxa"/>
            <w:tcBorders>
              <w:bottom w:val="single" w:sz="12" w:space="0" w:color="auto"/>
            </w:tcBorders>
            <w:shd w:val="clear" w:color="auto" w:fill="auto"/>
          </w:tcPr>
          <w:p w:rsidR="0048364F" w:rsidRPr="00166DDD" w:rsidRDefault="0048364F" w:rsidP="00166DDD">
            <w:pPr>
              <w:pStyle w:val="Tabletext"/>
            </w:pPr>
            <w:r w:rsidRPr="00166DDD">
              <w:t xml:space="preserve">2.  </w:t>
            </w:r>
            <w:r w:rsidR="00D9217A" w:rsidRPr="00166DDD">
              <w:t>Schedule</w:t>
            </w:r>
            <w:r w:rsidR="00166DDD" w:rsidRPr="00166DDD">
              <w:t> </w:t>
            </w:r>
            <w:r w:rsidR="00D9217A" w:rsidRPr="00166DDD">
              <w:t>1</w:t>
            </w:r>
          </w:p>
        </w:tc>
        <w:tc>
          <w:tcPr>
            <w:tcW w:w="3828" w:type="dxa"/>
            <w:tcBorders>
              <w:bottom w:val="single" w:sz="12" w:space="0" w:color="auto"/>
            </w:tcBorders>
            <w:shd w:val="clear" w:color="auto" w:fill="auto"/>
          </w:tcPr>
          <w:p w:rsidR="00D9217A" w:rsidRPr="00166DDD" w:rsidRDefault="00D9217A" w:rsidP="00166DDD">
            <w:pPr>
              <w:pStyle w:val="Tabletext"/>
            </w:pPr>
            <w:r w:rsidRPr="00166DDD">
              <w:t>A single day to be fixed by Proclamation.</w:t>
            </w:r>
          </w:p>
          <w:p w:rsidR="0048364F" w:rsidRPr="00166DDD" w:rsidRDefault="00D9217A" w:rsidP="00166DDD">
            <w:pPr>
              <w:pStyle w:val="Tabletext"/>
            </w:pPr>
            <w:r w:rsidRPr="00166DDD">
              <w:t>However, if any of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48364F" w:rsidRPr="00166DDD" w:rsidRDefault="0048364F" w:rsidP="00166DDD">
            <w:pPr>
              <w:pStyle w:val="Tabletext"/>
            </w:pPr>
          </w:p>
        </w:tc>
      </w:tr>
    </w:tbl>
    <w:p w:rsidR="0048364F" w:rsidRPr="00166DDD" w:rsidRDefault="00201D27" w:rsidP="00166DDD">
      <w:pPr>
        <w:pStyle w:val="notetext"/>
      </w:pPr>
      <w:r w:rsidRPr="00166DDD">
        <w:rPr>
          <w:snapToGrid w:val="0"/>
          <w:lang w:eastAsia="en-US"/>
        </w:rPr>
        <w:t xml:space="preserve">Note: </w:t>
      </w:r>
      <w:r w:rsidRPr="00166DDD">
        <w:rPr>
          <w:snapToGrid w:val="0"/>
          <w:lang w:eastAsia="en-US"/>
        </w:rPr>
        <w:tab/>
        <w:t>This table relates only to the provisions of this Act as originally enacted. It will not be amended to deal with any later amendments of this Act.</w:t>
      </w:r>
    </w:p>
    <w:p w:rsidR="0048364F" w:rsidRPr="00166DDD" w:rsidRDefault="0048364F" w:rsidP="00166DDD">
      <w:pPr>
        <w:pStyle w:val="subsection"/>
      </w:pPr>
      <w:r w:rsidRPr="00166DDD">
        <w:tab/>
        <w:t>(2)</w:t>
      </w:r>
      <w:r w:rsidRPr="00166DDD">
        <w:tab/>
      </w:r>
      <w:r w:rsidR="00201D27" w:rsidRPr="00166DDD">
        <w:t xml:space="preserve">Any information in </w:t>
      </w:r>
      <w:r w:rsidR="00877D48" w:rsidRPr="00166DDD">
        <w:t>c</w:t>
      </w:r>
      <w:r w:rsidR="00201D27" w:rsidRPr="00166DDD">
        <w:t>olumn 3 of the table is not part of this Act. Information may be inserted in this column, or information in it may be edited, in any published version of this Act.</w:t>
      </w:r>
    </w:p>
    <w:p w:rsidR="0048364F" w:rsidRPr="00166DDD" w:rsidRDefault="00F2704B" w:rsidP="00166DDD">
      <w:pPr>
        <w:pStyle w:val="ActHead5"/>
      </w:pPr>
      <w:bookmarkStart w:id="4" w:name="_Toc288487057"/>
      <w:r w:rsidRPr="00166DDD">
        <w:rPr>
          <w:rStyle w:val="CharSectno"/>
        </w:rPr>
        <w:t>3</w:t>
      </w:r>
      <w:r w:rsidR="0048364F" w:rsidRPr="00166DDD">
        <w:t xml:space="preserve">  Schedule(s)</w:t>
      </w:r>
      <w:bookmarkEnd w:id="4"/>
    </w:p>
    <w:p w:rsidR="0048364F" w:rsidRPr="00166DDD" w:rsidRDefault="0048364F" w:rsidP="00166DDD">
      <w:pPr>
        <w:pStyle w:val="subsection"/>
      </w:pPr>
      <w:r w:rsidRPr="00166DDD">
        <w:tab/>
      </w:r>
      <w:r w:rsidRPr="00166DDD">
        <w:tab/>
        <w:t>Each Act that is specified in a Schedule to this Act is amended or repealed as set out in the applicable items in the Schedule concerned, and any other item in a Schedule to this Act has effect according to its terms.</w:t>
      </w:r>
    </w:p>
    <w:p w:rsidR="000F07E4" w:rsidRPr="00166DDD" w:rsidRDefault="000F07E4" w:rsidP="00166DDD">
      <w:pPr>
        <w:pStyle w:val="PageBreak"/>
      </w:pPr>
      <w:r w:rsidRPr="00166DDD">
        <w:br w:type="page"/>
      </w:r>
    </w:p>
    <w:p w:rsidR="0035018A" w:rsidRPr="00166DDD" w:rsidRDefault="0035018A" w:rsidP="00166DDD">
      <w:pPr>
        <w:pStyle w:val="ActHead6"/>
      </w:pPr>
      <w:bookmarkStart w:id="5" w:name="_Toc288487058"/>
      <w:r w:rsidRPr="00166DDD">
        <w:rPr>
          <w:rStyle w:val="CharAmSchNo"/>
        </w:rPr>
        <w:lastRenderedPageBreak/>
        <w:t>Schedule</w:t>
      </w:r>
      <w:r w:rsidR="00166DDD" w:rsidRPr="00166DDD">
        <w:rPr>
          <w:rStyle w:val="CharAmSchNo"/>
        </w:rPr>
        <w:t> </w:t>
      </w:r>
      <w:r w:rsidRPr="00166DDD">
        <w:rPr>
          <w:rStyle w:val="CharAmSchNo"/>
        </w:rPr>
        <w:t>1</w:t>
      </w:r>
      <w:r w:rsidRPr="00166DDD">
        <w:t>—</w:t>
      </w:r>
      <w:r w:rsidRPr="00166DDD">
        <w:rPr>
          <w:rStyle w:val="CharAmSchText"/>
        </w:rPr>
        <w:t>Amendments</w:t>
      </w:r>
      <w:bookmarkEnd w:id="5"/>
    </w:p>
    <w:p w:rsidR="0035018A" w:rsidRPr="00166DDD" w:rsidRDefault="0035018A" w:rsidP="00166DDD">
      <w:pPr>
        <w:pStyle w:val="ActHead7"/>
      </w:pPr>
      <w:bookmarkStart w:id="6" w:name="_Toc288487059"/>
      <w:r w:rsidRPr="00166DDD">
        <w:rPr>
          <w:rStyle w:val="CharAmPartNo"/>
        </w:rPr>
        <w:t>Part</w:t>
      </w:r>
      <w:r w:rsidR="00166DDD" w:rsidRPr="00166DDD">
        <w:rPr>
          <w:rStyle w:val="CharAmPartNo"/>
        </w:rPr>
        <w:t> </w:t>
      </w:r>
      <w:r w:rsidRPr="00166DDD">
        <w:rPr>
          <w:rStyle w:val="CharAmPartNo"/>
        </w:rPr>
        <w:t>1</w:t>
      </w:r>
      <w:r w:rsidRPr="00166DDD">
        <w:t>—</w:t>
      </w:r>
      <w:r w:rsidRPr="00166DDD">
        <w:rPr>
          <w:rStyle w:val="CharAmPartText"/>
        </w:rPr>
        <w:t>Main amendments</w:t>
      </w:r>
      <w:bookmarkEnd w:id="6"/>
    </w:p>
    <w:p w:rsidR="0035018A" w:rsidRPr="00166DDD" w:rsidRDefault="0035018A" w:rsidP="00166DDD">
      <w:pPr>
        <w:pStyle w:val="ActHead9"/>
        <w:rPr>
          <w:i w:val="0"/>
        </w:rPr>
      </w:pPr>
      <w:bookmarkStart w:id="7" w:name="_Toc288487060"/>
      <w:r w:rsidRPr="00166DDD">
        <w:t>Social Security Act 1991</w:t>
      </w:r>
      <w:bookmarkEnd w:id="7"/>
    </w:p>
    <w:p w:rsidR="000F07E4" w:rsidRPr="00166DDD" w:rsidRDefault="000F07E4" w:rsidP="00166DDD">
      <w:pPr>
        <w:pStyle w:val="ItemHead"/>
      </w:pPr>
      <w:r w:rsidRPr="00166DDD">
        <w:t>1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Australian Victim of Terrorism Overseas Payment</w:t>
      </w:r>
      <w:r w:rsidRPr="00166DDD">
        <w:t xml:space="preserve"> or </w:t>
      </w:r>
      <w:r w:rsidRPr="00166DDD">
        <w:rPr>
          <w:b/>
          <w:i/>
        </w:rPr>
        <w:t>AVTOP</w:t>
      </w:r>
      <w:r w:rsidRPr="00166DDD">
        <w:t xml:space="preserve"> means a payment under Part</w:t>
      </w:r>
      <w:r w:rsidR="00166DDD" w:rsidRPr="00166DDD">
        <w:t> </w:t>
      </w:r>
      <w:r w:rsidRPr="00166DDD">
        <w:t>2.24AA.</w:t>
      </w:r>
    </w:p>
    <w:p w:rsidR="000F07E4" w:rsidRPr="00166DDD" w:rsidRDefault="000F07E4" w:rsidP="00166DDD">
      <w:pPr>
        <w:pStyle w:val="ItemHead"/>
      </w:pPr>
      <w:r w:rsidRPr="00166DDD">
        <w:t>2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AVTOP</w:t>
      </w:r>
      <w:r w:rsidRPr="00166DDD">
        <w:t xml:space="preserve">: see </w:t>
      </w:r>
      <w:r w:rsidRPr="00166DDD">
        <w:rPr>
          <w:b/>
          <w:i/>
        </w:rPr>
        <w:t>Australian Victim of Terrorism Overseas Payment</w:t>
      </w:r>
      <w:r w:rsidRPr="00166DDD">
        <w:t>.</w:t>
      </w:r>
    </w:p>
    <w:p w:rsidR="000F07E4" w:rsidRPr="00166DDD" w:rsidRDefault="000F07E4" w:rsidP="00166DDD">
      <w:pPr>
        <w:pStyle w:val="ItemHead"/>
      </w:pPr>
      <w:r w:rsidRPr="00166DDD">
        <w:t>3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AVTOP Principles</w:t>
      </w:r>
      <w:r w:rsidRPr="00166DDD">
        <w:t xml:space="preserve"> means the AVTOP Principles made by the Minister under section</w:t>
      </w:r>
      <w:r w:rsidR="00166DDD" w:rsidRPr="00166DDD">
        <w:t> </w:t>
      </w:r>
      <w:r w:rsidRPr="00166DDD">
        <w:t>1061PAF.</w:t>
      </w:r>
    </w:p>
    <w:p w:rsidR="000F07E4" w:rsidRPr="00166DDD" w:rsidRDefault="000F07E4" w:rsidP="00166DDD">
      <w:pPr>
        <w:pStyle w:val="ItemHead"/>
      </w:pPr>
      <w:r w:rsidRPr="00166DDD">
        <w:t>4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close family member</w:t>
      </w:r>
      <w:r w:rsidRPr="00166DDD">
        <w:t xml:space="preserve"> has the meaning given by subsection 1061PAA(4).</w:t>
      </w:r>
    </w:p>
    <w:p w:rsidR="000F07E4" w:rsidRPr="00166DDD" w:rsidRDefault="000F07E4" w:rsidP="00166DDD">
      <w:pPr>
        <w:pStyle w:val="ItemHead"/>
      </w:pPr>
      <w:r w:rsidRPr="00166DDD">
        <w:t>5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declared overseas terrorist act</w:t>
      </w:r>
      <w:r w:rsidRPr="00166DDD">
        <w:t xml:space="preserve"> means a terrorist act in respect of which there is a declaration under subsection 35B(1).</w:t>
      </w:r>
    </w:p>
    <w:p w:rsidR="000F07E4" w:rsidRPr="00166DDD" w:rsidRDefault="000F07E4" w:rsidP="00166DDD">
      <w:pPr>
        <w:pStyle w:val="ItemHead"/>
      </w:pPr>
      <w:r w:rsidRPr="00166DDD">
        <w:t>6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 xml:space="preserve">primary victim </w:t>
      </w:r>
      <w:r w:rsidRPr="00166DDD">
        <w:t>of a declared overseas terrorist act has the meaning given by subsection 1061PAA(2).</w:t>
      </w:r>
    </w:p>
    <w:p w:rsidR="000F07E4" w:rsidRPr="00166DDD" w:rsidRDefault="000F07E4" w:rsidP="00166DDD">
      <w:pPr>
        <w:pStyle w:val="ItemHead"/>
      </w:pPr>
      <w:r w:rsidRPr="00166DDD">
        <w:lastRenderedPageBreak/>
        <w:t>7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 xml:space="preserve">secondary victim </w:t>
      </w:r>
      <w:r w:rsidRPr="00166DDD">
        <w:t>of a declared overseas terrorist act has the meaning given by subsection 1061PAA(3).</w:t>
      </w:r>
    </w:p>
    <w:p w:rsidR="000F07E4" w:rsidRPr="00166DDD" w:rsidRDefault="000F07E4" w:rsidP="00166DDD">
      <w:pPr>
        <w:pStyle w:val="ItemHead"/>
      </w:pPr>
      <w:r w:rsidRPr="00166DDD">
        <w:t>8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terrorist act</w:t>
      </w:r>
      <w:r w:rsidRPr="00166DDD">
        <w:t xml:space="preserve"> has the same meaning as in subsection 100.1(1) of the </w:t>
      </w:r>
      <w:r w:rsidRPr="00166DDD">
        <w:rPr>
          <w:i/>
        </w:rPr>
        <w:t>Criminal Code</w:t>
      </w:r>
      <w:r w:rsidRPr="00166DDD">
        <w:t>.</w:t>
      </w:r>
    </w:p>
    <w:p w:rsidR="000F07E4" w:rsidRPr="00166DDD" w:rsidRDefault="000F07E4" w:rsidP="00166DDD">
      <w:pPr>
        <w:pStyle w:val="ItemHead"/>
      </w:pPr>
      <w:r w:rsidRPr="00166DDD">
        <w:t>9  After section</w:t>
      </w:r>
      <w:r w:rsidR="00166DDD" w:rsidRPr="00166DDD">
        <w:t> </w:t>
      </w:r>
      <w:r w:rsidRPr="00166DDD">
        <w:t>35A</w:t>
      </w:r>
    </w:p>
    <w:p w:rsidR="000F07E4" w:rsidRPr="00166DDD" w:rsidRDefault="000F07E4" w:rsidP="00166DDD">
      <w:pPr>
        <w:pStyle w:val="Item"/>
      </w:pPr>
      <w:r w:rsidRPr="00166DDD">
        <w:t>Insert:</w:t>
      </w:r>
    </w:p>
    <w:p w:rsidR="000F07E4" w:rsidRPr="00166DDD" w:rsidRDefault="000F07E4" w:rsidP="00166DDD">
      <w:pPr>
        <w:pStyle w:val="ActHead5"/>
      </w:pPr>
      <w:bookmarkStart w:id="8" w:name="_Toc288487061"/>
      <w:r w:rsidRPr="00166DDD">
        <w:rPr>
          <w:rStyle w:val="CharSectno"/>
        </w:rPr>
        <w:t>35B</w:t>
      </w:r>
      <w:r w:rsidRPr="00166DDD">
        <w:t xml:space="preserve">  Declared overseas terrorist act</w:t>
      </w:r>
      <w:bookmarkEnd w:id="8"/>
    </w:p>
    <w:p w:rsidR="000F07E4" w:rsidRPr="00166DDD" w:rsidRDefault="000F07E4" w:rsidP="00166DDD">
      <w:pPr>
        <w:pStyle w:val="subsection"/>
      </w:pPr>
      <w:r w:rsidRPr="00166DDD">
        <w:tab/>
        <w:t>(1)</w:t>
      </w:r>
      <w:r w:rsidRPr="00166DDD">
        <w:tab/>
        <w:t>The Prime Minister may, by legislative instrument, declare that a terrorist act that occurs outside Australia is a declared overseas terrorist act.</w:t>
      </w:r>
    </w:p>
    <w:p w:rsidR="000F07E4" w:rsidRPr="00166DDD" w:rsidRDefault="000F07E4" w:rsidP="00166DDD">
      <w:pPr>
        <w:pStyle w:val="subsection"/>
      </w:pPr>
      <w:r w:rsidRPr="00166DDD">
        <w:tab/>
        <w:t>(2)</w:t>
      </w:r>
      <w:r w:rsidRPr="00166DDD">
        <w:tab/>
        <w:t xml:space="preserve">If the Prime Minister makes a declaration under </w:t>
      </w:r>
      <w:r w:rsidR="00166DDD" w:rsidRPr="00166DDD">
        <w:t>subsection (</w:t>
      </w:r>
      <w:r w:rsidRPr="00166DDD">
        <w:t>1), then the Minister is taken to have made a determination under subsection 36(1) that the terrorist act is a major disaster.</w:t>
      </w:r>
    </w:p>
    <w:p w:rsidR="000F07E4" w:rsidRPr="00166DDD" w:rsidRDefault="000F07E4" w:rsidP="00166DDD">
      <w:pPr>
        <w:pStyle w:val="ItemHead"/>
      </w:pPr>
      <w:r w:rsidRPr="00166DDD">
        <w:t>10  At the end of subsection 36(1)</w:t>
      </w:r>
    </w:p>
    <w:p w:rsidR="000F07E4" w:rsidRPr="00166DDD" w:rsidRDefault="000F07E4" w:rsidP="00166DDD">
      <w:pPr>
        <w:pStyle w:val="Item"/>
      </w:pPr>
      <w:r w:rsidRPr="00166DDD">
        <w:t>Add:</w:t>
      </w:r>
    </w:p>
    <w:p w:rsidR="000F07E4" w:rsidRPr="00166DDD" w:rsidRDefault="000F07E4" w:rsidP="00166DDD">
      <w:pPr>
        <w:pStyle w:val="notetext"/>
      </w:pPr>
      <w:r w:rsidRPr="00166DDD">
        <w:t>Note:</w:t>
      </w:r>
      <w:r w:rsidRPr="00166DDD">
        <w:tab/>
        <w:t xml:space="preserve">If the Prime Minister makes a declaration under subsection 35B(1) that a terrorist act is a declared overseas terrorist act, the Minister is taken to have made a determination under </w:t>
      </w:r>
      <w:r w:rsidR="00166DDD" w:rsidRPr="00166DDD">
        <w:t>subsection (</w:t>
      </w:r>
      <w:r w:rsidRPr="00166DDD">
        <w:t>1) of this section that the terrorist act is a major disaster (see subsection 35B(2)).</w:t>
      </w:r>
    </w:p>
    <w:p w:rsidR="000F07E4" w:rsidRPr="00166DDD" w:rsidRDefault="000F07E4" w:rsidP="00166DDD">
      <w:pPr>
        <w:pStyle w:val="ItemHead"/>
      </w:pPr>
      <w:r w:rsidRPr="00166DDD">
        <w:t>11  After Part</w:t>
      </w:r>
      <w:r w:rsidR="00166DDD" w:rsidRPr="00166DDD">
        <w:t> </w:t>
      </w:r>
      <w:r w:rsidRPr="00166DDD">
        <w:t>2.24</w:t>
      </w:r>
    </w:p>
    <w:p w:rsidR="000F07E4" w:rsidRPr="00166DDD" w:rsidRDefault="000F07E4" w:rsidP="00166DDD">
      <w:pPr>
        <w:pStyle w:val="Item"/>
      </w:pPr>
      <w:r w:rsidRPr="00166DDD">
        <w:t>Insert:</w:t>
      </w:r>
    </w:p>
    <w:p w:rsidR="000F07E4" w:rsidRPr="00166DDD" w:rsidRDefault="000F07E4" w:rsidP="00166DDD">
      <w:pPr>
        <w:pStyle w:val="ActHead2"/>
        <w:rPr>
          <w:szCs w:val="40"/>
        </w:rPr>
      </w:pPr>
      <w:bookmarkStart w:id="9" w:name="_Toc288487062"/>
      <w:r w:rsidRPr="00166DDD">
        <w:rPr>
          <w:rStyle w:val="CharPartNo"/>
        </w:rPr>
        <w:lastRenderedPageBreak/>
        <w:t>Part</w:t>
      </w:r>
      <w:r w:rsidR="00166DDD" w:rsidRPr="00166DDD">
        <w:rPr>
          <w:rStyle w:val="CharPartNo"/>
        </w:rPr>
        <w:t> </w:t>
      </w:r>
      <w:r w:rsidRPr="00166DDD">
        <w:rPr>
          <w:rStyle w:val="CharPartNo"/>
        </w:rPr>
        <w:t>2.24AA</w:t>
      </w:r>
      <w:r w:rsidRPr="00166DDD">
        <w:t>—</w:t>
      </w:r>
      <w:r w:rsidRPr="00166DDD">
        <w:rPr>
          <w:rStyle w:val="CharPartText"/>
        </w:rPr>
        <w:t>Australian Victim of Terrorism Overseas Payment</w:t>
      </w:r>
      <w:bookmarkEnd w:id="9"/>
    </w:p>
    <w:p w:rsidR="000F07E4" w:rsidRPr="00166DDD" w:rsidRDefault="000F07E4" w:rsidP="00166DDD">
      <w:pPr>
        <w:pStyle w:val="ActHead3"/>
      </w:pPr>
      <w:bookmarkStart w:id="10" w:name="_Toc288487063"/>
      <w:r w:rsidRPr="00166DDD">
        <w:rPr>
          <w:rStyle w:val="CharDivNo"/>
        </w:rPr>
        <w:t>Division</w:t>
      </w:r>
      <w:r w:rsidR="00166DDD" w:rsidRPr="00166DDD">
        <w:rPr>
          <w:rStyle w:val="CharDivNo"/>
        </w:rPr>
        <w:t> </w:t>
      </w:r>
      <w:r w:rsidRPr="00166DDD">
        <w:rPr>
          <w:rStyle w:val="CharDivNo"/>
        </w:rPr>
        <w:t>1</w:t>
      </w:r>
      <w:r w:rsidRPr="00166DDD">
        <w:t>—</w:t>
      </w:r>
      <w:r w:rsidRPr="00166DDD">
        <w:rPr>
          <w:rStyle w:val="CharDivText"/>
        </w:rPr>
        <w:t>Qualification for Australian Victim of Terrorism Overseas Payment</w:t>
      </w:r>
      <w:bookmarkEnd w:id="10"/>
    </w:p>
    <w:p w:rsidR="000F07E4" w:rsidRPr="00166DDD" w:rsidRDefault="000F07E4" w:rsidP="00166DDD">
      <w:pPr>
        <w:pStyle w:val="ActHead5"/>
        <w:rPr>
          <w:szCs w:val="40"/>
        </w:rPr>
      </w:pPr>
      <w:bookmarkStart w:id="11" w:name="_Toc288487064"/>
      <w:r w:rsidRPr="00166DDD">
        <w:rPr>
          <w:rStyle w:val="CharSectno"/>
        </w:rPr>
        <w:t>1061PAA</w:t>
      </w:r>
      <w:r w:rsidRPr="00166DDD">
        <w:t xml:space="preserve">  Qualification for Australian Victim of Terrorism Overseas Payment</w:t>
      </w:r>
      <w:bookmarkEnd w:id="11"/>
    </w:p>
    <w:p w:rsidR="000F07E4" w:rsidRPr="00166DDD" w:rsidRDefault="000F07E4" w:rsidP="00166DDD">
      <w:pPr>
        <w:pStyle w:val="SubsectionHead"/>
      </w:pPr>
      <w:r w:rsidRPr="00166DDD">
        <w:t>Qualification for AVTOP</w:t>
      </w:r>
    </w:p>
    <w:p w:rsidR="000F07E4" w:rsidRPr="00166DDD" w:rsidRDefault="000F07E4" w:rsidP="00166DDD">
      <w:pPr>
        <w:pStyle w:val="subsection"/>
        <w:rPr>
          <w:szCs w:val="40"/>
        </w:rPr>
      </w:pPr>
      <w:r w:rsidRPr="00166DDD">
        <w:tab/>
        <w:t>(1)</w:t>
      </w:r>
      <w:r w:rsidRPr="00166DDD">
        <w:tab/>
        <w:t>A person is qualified for an Australian Victim of Terrorism Overseas Payment</w:t>
      </w:r>
      <w:r w:rsidRPr="00166DDD">
        <w:rPr>
          <w:szCs w:val="40"/>
        </w:rPr>
        <w:t xml:space="preserve"> if:</w:t>
      </w:r>
    </w:p>
    <w:p w:rsidR="000F07E4" w:rsidRPr="00166DDD" w:rsidRDefault="000F07E4" w:rsidP="00166DDD">
      <w:pPr>
        <w:pStyle w:val="paragraph"/>
      </w:pPr>
      <w:r w:rsidRPr="00166DDD">
        <w:tab/>
        <w:t>(a)</w:t>
      </w:r>
      <w:r w:rsidRPr="00166DDD">
        <w:tab/>
        <w:t>the person is a primary victim or a secondary victim of a declared overseas terrorist act; and</w:t>
      </w:r>
    </w:p>
    <w:p w:rsidR="000F07E4" w:rsidRPr="00166DDD" w:rsidRDefault="000F07E4" w:rsidP="00166DDD">
      <w:pPr>
        <w:pStyle w:val="paragraph"/>
      </w:pPr>
      <w:r w:rsidRPr="00166DDD">
        <w:tab/>
        <w:t>(b)</w:t>
      </w:r>
      <w:r w:rsidRPr="00166DDD">
        <w:tab/>
        <w:t>the person and the person’s close family members were not involved in the commission of the terrorist act; and</w:t>
      </w:r>
    </w:p>
    <w:p w:rsidR="000F07E4" w:rsidRPr="00166DDD" w:rsidRDefault="000F07E4" w:rsidP="00166DDD">
      <w:pPr>
        <w:pStyle w:val="paragraph"/>
      </w:pPr>
      <w:r w:rsidRPr="00166DDD">
        <w:tab/>
        <w:t>(c)</w:t>
      </w:r>
      <w:r w:rsidRPr="00166DDD">
        <w:tab/>
        <w:t>the person:</w:t>
      </w:r>
    </w:p>
    <w:p w:rsidR="000F07E4" w:rsidRPr="00166DDD" w:rsidRDefault="000F07E4" w:rsidP="00166DDD">
      <w:pPr>
        <w:pStyle w:val="paragraphsub"/>
      </w:pPr>
      <w:r w:rsidRPr="00166DDD">
        <w:tab/>
        <w:t>(</w:t>
      </w:r>
      <w:proofErr w:type="spellStart"/>
      <w:r w:rsidRPr="00166DDD">
        <w:t>i</w:t>
      </w:r>
      <w:proofErr w:type="spellEnd"/>
      <w:r w:rsidRPr="00166DDD">
        <w:t>)</w:t>
      </w:r>
      <w:r w:rsidRPr="00166DDD">
        <w:tab/>
        <w:t>is an Australian resident on the day the terrorist act occurred; or</w:t>
      </w:r>
    </w:p>
    <w:p w:rsidR="000F07E4" w:rsidRPr="00166DDD" w:rsidRDefault="000F07E4" w:rsidP="00166DDD">
      <w:pPr>
        <w:pStyle w:val="paragraphsub"/>
      </w:pPr>
      <w:r w:rsidRPr="00166DDD">
        <w:tab/>
        <w:t>(ii)</w:t>
      </w:r>
      <w:r w:rsidRPr="00166DDD">
        <w:tab/>
        <w:t xml:space="preserve">is covered by a determination under </w:t>
      </w:r>
      <w:r w:rsidR="00166DDD" w:rsidRPr="00166DDD">
        <w:t>subsection (</w:t>
      </w:r>
      <w:r w:rsidRPr="00166DDD">
        <w:t>6).</w:t>
      </w:r>
    </w:p>
    <w:p w:rsidR="000F07E4" w:rsidRPr="00166DDD" w:rsidRDefault="000F07E4" w:rsidP="00166DDD">
      <w:pPr>
        <w:pStyle w:val="notetext"/>
      </w:pPr>
      <w:r w:rsidRPr="00166DDD">
        <w:t>Note:</w:t>
      </w:r>
      <w:r w:rsidRPr="00166DDD">
        <w:tab/>
        <w:t>For declared overseas terrorist act see section</w:t>
      </w:r>
      <w:r w:rsidR="00166DDD" w:rsidRPr="00166DDD">
        <w:t> </w:t>
      </w:r>
      <w:r w:rsidRPr="00166DDD">
        <w:t>35B.</w:t>
      </w:r>
    </w:p>
    <w:p w:rsidR="000F07E4" w:rsidRPr="00166DDD" w:rsidRDefault="000F07E4" w:rsidP="00166DDD">
      <w:pPr>
        <w:pStyle w:val="SubsectionHead"/>
      </w:pPr>
      <w:r w:rsidRPr="00166DDD">
        <w:t xml:space="preserve">Meaning of </w:t>
      </w:r>
      <w:r w:rsidRPr="00166DDD">
        <w:rPr>
          <w:b/>
        </w:rPr>
        <w:t>primary victim</w:t>
      </w:r>
    </w:p>
    <w:p w:rsidR="000F07E4" w:rsidRPr="00166DDD" w:rsidRDefault="000F07E4" w:rsidP="00166DDD">
      <w:pPr>
        <w:pStyle w:val="subsection"/>
      </w:pPr>
      <w:r w:rsidRPr="00166DDD">
        <w:tab/>
        <w:t>(2)</w:t>
      </w:r>
      <w:r w:rsidRPr="00166DDD">
        <w:tab/>
        <w:t xml:space="preserve">A person is a </w:t>
      </w:r>
      <w:r w:rsidRPr="00166DDD">
        <w:rPr>
          <w:b/>
          <w:i/>
        </w:rPr>
        <w:t>primary victim</w:t>
      </w:r>
      <w:r w:rsidRPr="00166DDD">
        <w:rPr>
          <w:i/>
        </w:rPr>
        <w:t xml:space="preserve"> </w:t>
      </w:r>
      <w:r w:rsidRPr="00166DDD">
        <w:t>of a declared overseas terrorist act if the person:</w:t>
      </w:r>
    </w:p>
    <w:p w:rsidR="000F07E4" w:rsidRPr="00166DDD" w:rsidRDefault="000F07E4" w:rsidP="00166DDD">
      <w:pPr>
        <w:pStyle w:val="paragraph"/>
      </w:pPr>
      <w:r w:rsidRPr="00166DDD">
        <w:tab/>
        <w:t>(a)</w:t>
      </w:r>
      <w:r w:rsidRPr="00166DDD">
        <w:tab/>
        <w:t>was in the place where the terrorist act occurred; and</w:t>
      </w:r>
    </w:p>
    <w:p w:rsidR="000F07E4" w:rsidRPr="00166DDD" w:rsidRDefault="000F07E4" w:rsidP="00166DDD">
      <w:pPr>
        <w:pStyle w:val="paragraph"/>
      </w:pPr>
      <w:r w:rsidRPr="00166DDD">
        <w:tab/>
        <w:t>(b)</w:t>
      </w:r>
      <w:r w:rsidRPr="00166DDD">
        <w:tab/>
        <w:t xml:space="preserve">was harmed (within the meaning of the </w:t>
      </w:r>
      <w:r w:rsidRPr="00166DDD">
        <w:rPr>
          <w:i/>
        </w:rPr>
        <w:t>Criminal Code</w:t>
      </w:r>
      <w:r w:rsidRPr="00166DDD">
        <w:t>) as a direct result of the terrorist act.</w:t>
      </w:r>
    </w:p>
    <w:p w:rsidR="000F07E4" w:rsidRPr="00166DDD" w:rsidRDefault="000F07E4" w:rsidP="00166DDD">
      <w:pPr>
        <w:pStyle w:val="SubsectionHead"/>
      </w:pPr>
      <w:r w:rsidRPr="00166DDD">
        <w:t xml:space="preserve">Meaning of </w:t>
      </w:r>
      <w:r w:rsidRPr="00166DDD">
        <w:rPr>
          <w:b/>
        </w:rPr>
        <w:t>secondary victim</w:t>
      </w:r>
    </w:p>
    <w:p w:rsidR="000F07E4" w:rsidRPr="00166DDD" w:rsidRDefault="000F07E4" w:rsidP="00166DDD">
      <w:pPr>
        <w:pStyle w:val="subsection"/>
      </w:pPr>
      <w:r w:rsidRPr="00166DDD">
        <w:tab/>
        <w:t>(3)</w:t>
      </w:r>
      <w:r w:rsidRPr="00166DDD">
        <w:tab/>
        <w:t>A person is a</w:t>
      </w:r>
      <w:r w:rsidRPr="00166DDD">
        <w:rPr>
          <w:b/>
          <w:i/>
        </w:rPr>
        <w:t xml:space="preserve"> secondary victim</w:t>
      </w:r>
      <w:r w:rsidRPr="00166DDD">
        <w:rPr>
          <w:i/>
        </w:rPr>
        <w:t xml:space="preserve"> </w:t>
      </w:r>
      <w:r w:rsidRPr="00166DDD">
        <w:t>of a declared overseas terrorist act if the person is a close family member of a person who:</w:t>
      </w:r>
    </w:p>
    <w:p w:rsidR="000F07E4" w:rsidRPr="00166DDD" w:rsidRDefault="000F07E4" w:rsidP="00166DDD">
      <w:pPr>
        <w:pStyle w:val="paragraph"/>
      </w:pPr>
      <w:r w:rsidRPr="00166DDD">
        <w:tab/>
        <w:t>(a)</w:t>
      </w:r>
      <w:r w:rsidRPr="00166DDD">
        <w:tab/>
        <w:t>was in the place where the terrorist act occurred; and</w:t>
      </w:r>
    </w:p>
    <w:p w:rsidR="000F07E4" w:rsidRPr="00166DDD" w:rsidRDefault="000F07E4" w:rsidP="00166DDD">
      <w:pPr>
        <w:pStyle w:val="paragraph"/>
      </w:pPr>
      <w:r w:rsidRPr="00166DDD">
        <w:tab/>
        <w:t>(b)</w:t>
      </w:r>
      <w:r w:rsidRPr="00166DDD">
        <w:tab/>
        <w:t>died, before the end of 2 years starting on the day the terrorist act occurred, as a direct result of the terrorist act.</w:t>
      </w:r>
    </w:p>
    <w:p w:rsidR="000F07E4" w:rsidRPr="00166DDD" w:rsidRDefault="000F07E4" w:rsidP="00166DDD">
      <w:pPr>
        <w:pStyle w:val="SubsectionHead"/>
      </w:pPr>
      <w:r w:rsidRPr="00166DDD">
        <w:lastRenderedPageBreak/>
        <w:t xml:space="preserve">Meaning of </w:t>
      </w:r>
      <w:r w:rsidRPr="00166DDD">
        <w:rPr>
          <w:b/>
        </w:rPr>
        <w:t>close family members</w:t>
      </w:r>
    </w:p>
    <w:p w:rsidR="000F07E4" w:rsidRPr="00166DDD" w:rsidRDefault="000F07E4" w:rsidP="00166DDD">
      <w:pPr>
        <w:pStyle w:val="subsection"/>
      </w:pPr>
      <w:r w:rsidRPr="00166DDD">
        <w:rPr>
          <w:b/>
          <w:i/>
        </w:rPr>
        <w:tab/>
      </w:r>
      <w:r w:rsidRPr="00166DDD">
        <w:t>(4)</w:t>
      </w:r>
      <w:r w:rsidRPr="00166DDD">
        <w:tab/>
        <w:t xml:space="preserve">The following are a person’s </w:t>
      </w:r>
      <w:r w:rsidRPr="00166DDD">
        <w:rPr>
          <w:b/>
          <w:i/>
        </w:rPr>
        <w:t>close family members</w:t>
      </w:r>
      <w:r w:rsidRPr="00166DDD">
        <w:t>:</w:t>
      </w:r>
    </w:p>
    <w:p w:rsidR="000F07E4" w:rsidRPr="00166DDD" w:rsidRDefault="000F07E4" w:rsidP="00166DDD">
      <w:pPr>
        <w:pStyle w:val="paragraph"/>
      </w:pPr>
      <w:r w:rsidRPr="00166DDD">
        <w:tab/>
        <w:t>(a)</w:t>
      </w:r>
      <w:r w:rsidRPr="00166DDD">
        <w:tab/>
        <w:t>the person’s partner;</w:t>
      </w:r>
    </w:p>
    <w:p w:rsidR="000F07E4" w:rsidRPr="00166DDD" w:rsidRDefault="000F07E4" w:rsidP="00166DDD">
      <w:pPr>
        <w:pStyle w:val="paragraph"/>
      </w:pPr>
      <w:r w:rsidRPr="00166DDD">
        <w:tab/>
        <w:t>(b)</w:t>
      </w:r>
      <w:r w:rsidRPr="00166DDD">
        <w:tab/>
        <w:t>the person’s child;</w:t>
      </w:r>
    </w:p>
    <w:p w:rsidR="000F07E4" w:rsidRPr="00166DDD" w:rsidRDefault="000F07E4" w:rsidP="00166DDD">
      <w:pPr>
        <w:pStyle w:val="paragraph"/>
      </w:pPr>
      <w:r w:rsidRPr="00166DDD">
        <w:tab/>
        <w:t>(c)</w:t>
      </w:r>
      <w:r w:rsidRPr="00166DDD">
        <w:tab/>
        <w:t>the person’s parent;</w:t>
      </w:r>
    </w:p>
    <w:p w:rsidR="000F07E4" w:rsidRPr="00166DDD" w:rsidRDefault="000F07E4" w:rsidP="00166DDD">
      <w:pPr>
        <w:pStyle w:val="paragraph"/>
      </w:pPr>
      <w:r w:rsidRPr="00166DDD">
        <w:tab/>
        <w:t>(d)</w:t>
      </w:r>
      <w:r w:rsidRPr="00166DDD">
        <w:tab/>
        <w:t>the person’s sibling;</w:t>
      </w:r>
    </w:p>
    <w:p w:rsidR="000F07E4" w:rsidRPr="00166DDD" w:rsidRDefault="000F07E4" w:rsidP="00166DDD">
      <w:pPr>
        <w:pStyle w:val="paragraph"/>
      </w:pPr>
      <w:r w:rsidRPr="00166DDD">
        <w:tab/>
        <w:t>(e)</w:t>
      </w:r>
      <w:r w:rsidRPr="00166DDD">
        <w:tab/>
        <w:t>the person’s legal guardian.</w:t>
      </w:r>
    </w:p>
    <w:p w:rsidR="000F07E4" w:rsidRPr="00166DDD" w:rsidRDefault="000F07E4" w:rsidP="00166DDD">
      <w:pPr>
        <w:pStyle w:val="SubsectionHead"/>
      </w:pPr>
      <w:r w:rsidRPr="00166DDD">
        <w:t xml:space="preserve">Meaning of </w:t>
      </w:r>
      <w:r w:rsidRPr="00166DDD">
        <w:rPr>
          <w:b/>
        </w:rPr>
        <w:t>involved</w:t>
      </w:r>
    </w:p>
    <w:p w:rsidR="000F07E4" w:rsidRPr="00166DDD" w:rsidRDefault="000F07E4" w:rsidP="00166DDD">
      <w:pPr>
        <w:pStyle w:val="subsection"/>
        <w:rPr>
          <w:szCs w:val="40"/>
        </w:rPr>
      </w:pPr>
      <w:r w:rsidRPr="00166DDD">
        <w:rPr>
          <w:szCs w:val="40"/>
        </w:rPr>
        <w:tab/>
        <w:t>(5)</w:t>
      </w:r>
      <w:r w:rsidRPr="00166DDD">
        <w:rPr>
          <w:szCs w:val="40"/>
        </w:rPr>
        <w:tab/>
        <w:t xml:space="preserve">A person was </w:t>
      </w:r>
      <w:r w:rsidRPr="00166DDD">
        <w:rPr>
          <w:b/>
          <w:i/>
          <w:szCs w:val="40"/>
        </w:rPr>
        <w:t xml:space="preserve">involved </w:t>
      </w:r>
      <w:r w:rsidRPr="00166DDD">
        <w:rPr>
          <w:szCs w:val="40"/>
        </w:rPr>
        <w:t>in the commission of a declared overseas terrorist act if the person:</w:t>
      </w:r>
    </w:p>
    <w:p w:rsidR="000F07E4" w:rsidRPr="00166DDD" w:rsidRDefault="000F07E4" w:rsidP="00166DDD">
      <w:pPr>
        <w:pStyle w:val="paragraph"/>
      </w:pPr>
      <w:r w:rsidRPr="00166DDD">
        <w:tab/>
        <w:t>(a)</w:t>
      </w:r>
      <w:r w:rsidRPr="00166DDD">
        <w:tab/>
        <w:t>aided, abetted, counselled or procured the terrorist act; or</w:t>
      </w:r>
    </w:p>
    <w:p w:rsidR="000F07E4" w:rsidRPr="00166DDD" w:rsidRDefault="000F07E4" w:rsidP="00166DDD">
      <w:pPr>
        <w:pStyle w:val="paragraph"/>
      </w:pPr>
      <w:r w:rsidRPr="00166DDD">
        <w:tab/>
        <w:t>(b)</w:t>
      </w:r>
      <w:r w:rsidRPr="00166DDD">
        <w:tab/>
        <w:t>induced the terrorist act, whether through threats or promises or otherwise; or</w:t>
      </w:r>
    </w:p>
    <w:p w:rsidR="000F07E4" w:rsidRPr="00166DDD" w:rsidRDefault="000F07E4" w:rsidP="00166DDD">
      <w:pPr>
        <w:pStyle w:val="paragraph"/>
      </w:pPr>
      <w:r w:rsidRPr="00166DDD">
        <w:tab/>
        <w:t>(c)</w:t>
      </w:r>
      <w:r w:rsidRPr="00166DDD">
        <w:tab/>
        <w:t>was in any way (directly or indirectly) knowingly concerned in, or a party to, the terrorist act; or</w:t>
      </w:r>
    </w:p>
    <w:p w:rsidR="000F07E4" w:rsidRPr="00166DDD" w:rsidRDefault="000F07E4" w:rsidP="00166DDD">
      <w:pPr>
        <w:pStyle w:val="paragraph"/>
      </w:pPr>
      <w:r w:rsidRPr="00166DDD">
        <w:tab/>
        <w:t>(d)</w:t>
      </w:r>
      <w:r w:rsidRPr="00166DDD">
        <w:tab/>
        <w:t>conspired with others to effect the terrorist act.</w:t>
      </w:r>
    </w:p>
    <w:p w:rsidR="000F07E4" w:rsidRPr="00166DDD" w:rsidRDefault="000F07E4" w:rsidP="00166DDD">
      <w:pPr>
        <w:pStyle w:val="SubsectionHead"/>
      </w:pPr>
      <w:r w:rsidRPr="00166DDD">
        <w:t>Ministerial determination</w:t>
      </w:r>
    </w:p>
    <w:p w:rsidR="000F07E4" w:rsidRPr="00166DDD" w:rsidRDefault="000F07E4" w:rsidP="00166DDD">
      <w:pPr>
        <w:pStyle w:val="subsection"/>
        <w:rPr>
          <w:szCs w:val="40"/>
        </w:rPr>
      </w:pPr>
      <w:r w:rsidRPr="00166DDD">
        <w:rPr>
          <w:szCs w:val="40"/>
        </w:rPr>
        <w:tab/>
        <w:t>(6)</w:t>
      </w:r>
      <w:r w:rsidRPr="00166DDD">
        <w:rPr>
          <w:szCs w:val="40"/>
        </w:rPr>
        <w:tab/>
        <w:t xml:space="preserve">The Minister may, by legislative instrument, determine a specified class of persons for the purposes of </w:t>
      </w:r>
      <w:r w:rsidR="00166DDD" w:rsidRPr="00166DDD">
        <w:rPr>
          <w:szCs w:val="40"/>
        </w:rPr>
        <w:t>subparagraph (</w:t>
      </w:r>
      <w:r w:rsidRPr="00166DDD">
        <w:rPr>
          <w:szCs w:val="40"/>
        </w:rPr>
        <w:t>1)(c)(ii).</w:t>
      </w:r>
    </w:p>
    <w:p w:rsidR="000F07E4" w:rsidRPr="00166DDD" w:rsidRDefault="000F07E4" w:rsidP="00166DDD">
      <w:pPr>
        <w:pStyle w:val="ActHead5"/>
      </w:pPr>
      <w:bookmarkStart w:id="12" w:name="_Toc288487065"/>
      <w:r w:rsidRPr="00166DDD">
        <w:rPr>
          <w:rStyle w:val="CharSectno"/>
        </w:rPr>
        <w:t>1061PAB</w:t>
      </w:r>
      <w:r w:rsidRPr="00166DDD">
        <w:t xml:space="preserve">  Whether a person can be qualified for more than one AVTOP in relation to the same terrorist act</w:t>
      </w:r>
      <w:bookmarkEnd w:id="12"/>
    </w:p>
    <w:p w:rsidR="000F07E4" w:rsidRPr="00166DDD" w:rsidRDefault="000F07E4" w:rsidP="00166DDD">
      <w:pPr>
        <w:pStyle w:val="SubsectionHead"/>
      </w:pPr>
      <w:r w:rsidRPr="00166DDD">
        <w:t>Only one AVTOP for primary victim as primary victim</w:t>
      </w:r>
    </w:p>
    <w:p w:rsidR="000F07E4" w:rsidRPr="00166DDD" w:rsidRDefault="000F07E4" w:rsidP="00166DDD">
      <w:pPr>
        <w:pStyle w:val="subsection"/>
        <w:rPr>
          <w:szCs w:val="40"/>
        </w:rPr>
      </w:pPr>
      <w:r w:rsidRPr="00166DDD">
        <w:rPr>
          <w:szCs w:val="40"/>
        </w:rPr>
        <w:tab/>
        <w:t>(1)</w:t>
      </w:r>
      <w:r w:rsidRPr="00166DDD">
        <w:rPr>
          <w:szCs w:val="40"/>
        </w:rPr>
        <w:tab/>
        <w:t>A person cannot be qualified as a primary victim for more than one AVTOP in relation to the same declared overseas terrorist act.</w:t>
      </w:r>
    </w:p>
    <w:p w:rsidR="000F07E4" w:rsidRPr="00166DDD" w:rsidRDefault="000F07E4" w:rsidP="00166DDD">
      <w:pPr>
        <w:pStyle w:val="SubsectionHead"/>
      </w:pPr>
      <w:r w:rsidRPr="00166DDD">
        <w:t>Only one AVTOP for secondary victims for same family member</w:t>
      </w:r>
    </w:p>
    <w:p w:rsidR="000F07E4" w:rsidRPr="00166DDD" w:rsidRDefault="000F07E4" w:rsidP="00166DDD">
      <w:pPr>
        <w:pStyle w:val="subsection"/>
        <w:rPr>
          <w:szCs w:val="40"/>
        </w:rPr>
      </w:pPr>
      <w:r w:rsidRPr="00166DDD">
        <w:rPr>
          <w:szCs w:val="40"/>
        </w:rPr>
        <w:tab/>
        <w:t>(2)</w:t>
      </w:r>
      <w:r w:rsidRPr="00166DDD">
        <w:rPr>
          <w:szCs w:val="40"/>
        </w:rPr>
        <w:tab/>
        <w:t xml:space="preserve">A person cannot be qualified as a secondary victim for more than one AVTOP </w:t>
      </w:r>
      <w:r w:rsidRPr="00166DDD">
        <w:t>in relation to the same close family member</w:t>
      </w:r>
      <w:r w:rsidRPr="00166DDD">
        <w:rPr>
          <w:szCs w:val="40"/>
        </w:rPr>
        <w:t>.</w:t>
      </w:r>
    </w:p>
    <w:p w:rsidR="000F07E4" w:rsidRPr="00166DDD" w:rsidRDefault="000F07E4" w:rsidP="00166DDD">
      <w:pPr>
        <w:pStyle w:val="SubsectionHead"/>
      </w:pPr>
      <w:r w:rsidRPr="00166DDD">
        <w:t>When victims can qualify for more than one AVTOP</w:t>
      </w:r>
    </w:p>
    <w:p w:rsidR="000F07E4" w:rsidRPr="00166DDD" w:rsidRDefault="000F07E4" w:rsidP="00166DDD">
      <w:pPr>
        <w:pStyle w:val="subsection"/>
        <w:rPr>
          <w:szCs w:val="40"/>
        </w:rPr>
      </w:pPr>
      <w:r w:rsidRPr="00166DDD">
        <w:rPr>
          <w:szCs w:val="40"/>
        </w:rPr>
        <w:tab/>
        <w:t>(3)</w:t>
      </w:r>
      <w:r w:rsidRPr="00166DDD">
        <w:rPr>
          <w:szCs w:val="40"/>
        </w:rPr>
        <w:tab/>
        <w:t>A person can be qualified for more than one AVTOP in relation to the same declared overseas terrorist act if the person:</w:t>
      </w:r>
    </w:p>
    <w:p w:rsidR="000F07E4" w:rsidRPr="00166DDD" w:rsidRDefault="000F07E4" w:rsidP="00166DDD">
      <w:pPr>
        <w:pStyle w:val="paragraph"/>
      </w:pPr>
      <w:r w:rsidRPr="00166DDD">
        <w:lastRenderedPageBreak/>
        <w:tab/>
        <w:t>(a)</w:t>
      </w:r>
      <w:r w:rsidRPr="00166DDD">
        <w:tab/>
        <w:t>is a primary victim and a secondary victim of the terrorist act (whether as a secondary victim in relation to one, or more than one, close family member); or</w:t>
      </w:r>
    </w:p>
    <w:p w:rsidR="000F07E4" w:rsidRPr="00166DDD" w:rsidRDefault="000F07E4" w:rsidP="00166DDD">
      <w:pPr>
        <w:pStyle w:val="paragraph"/>
      </w:pPr>
      <w:r w:rsidRPr="00166DDD">
        <w:tab/>
        <w:t>(b)</w:t>
      </w:r>
      <w:r w:rsidRPr="00166DDD">
        <w:tab/>
        <w:t>is a secondary victim of the terrorist act in relation to more than one close family member.</w:t>
      </w:r>
    </w:p>
    <w:p w:rsidR="000F07E4" w:rsidRPr="00166DDD" w:rsidRDefault="000F07E4" w:rsidP="00166DDD">
      <w:pPr>
        <w:pStyle w:val="ActHead3"/>
      </w:pPr>
      <w:bookmarkStart w:id="13" w:name="_Toc288487066"/>
      <w:r w:rsidRPr="00166DDD">
        <w:rPr>
          <w:rStyle w:val="CharDivNo"/>
        </w:rPr>
        <w:t>Division</w:t>
      </w:r>
      <w:r w:rsidR="00166DDD" w:rsidRPr="00166DDD">
        <w:rPr>
          <w:rStyle w:val="CharDivNo"/>
        </w:rPr>
        <w:t> </w:t>
      </w:r>
      <w:r w:rsidRPr="00166DDD">
        <w:rPr>
          <w:rStyle w:val="CharDivNo"/>
        </w:rPr>
        <w:t>2</w:t>
      </w:r>
      <w:r w:rsidRPr="00166DDD">
        <w:t>—</w:t>
      </w:r>
      <w:r w:rsidRPr="00166DDD">
        <w:rPr>
          <w:rStyle w:val="CharDivText"/>
        </w:rPr>
        <w:t>Payability of Australian Victim of Terrorism Overseas Payment to secondary victims</w:t>
      </w:r>
      <w:bookmarkEnd w:id="13"/>
    </w:p>
    <w:p w:rsidR="000F07E4" w:rsidRPr="00166DDD" w:rsidRDefault="000F07E4" w:rsidP="00166DDD">
      <w:pPr>
        <w:pStyle w:val="ActHead5"/>
      </w:pPr>
      <w:bookmarkStart w:id="14" w:name="_Toc288487067"/>
      <w:r w:rsidRPr="00166DDD">
        <w:rPr>
          <w:rStyle w:val="CharSectno"/>
        </w:rPr>
        <w:t>1061PAC</w:t>
      </w:r>
      <w:r w:rsidRPr="00166DDD">
        <w:t xml:space="preserve">  When AVTOP for secondary victims is not payable</w:t>
      </w:r>
      <w:bookmarkEnd w:id="14"/>
    </w:p>
    <w:p w:rsidR="000F07E4" w:rsidRPr="00166DDD" w:rsidRDefault="000F07E4" w:rsidP="00166DDD">
      <w:pPr>
        <w:pStyle w:val="subsection"/>
      </w:pPr>
      <w:r w:rsidRPr="00166DDD">
        <w:tab/>
      </w:r>
      <w:r w:rsidRPr="00166DDD">
        <w:tab/>
        <w:t>If:</w:t>
      </w:r>
    </w:p>
    <w:p w:rsidR="000F07E4" w:rsidRPr="00166DDD" w:rsidRDefault="000F07E4" w:rsidP="00166DDD">
      <w:pPr>
        <w:pStyle w:val="paragraph"/>
      </w:pPr>
      <w:r w:rsidRPr="00166DDD">
        <w:tab/>
        <w:t>(a)</w:t>
      </w:r>
      <w:r w:rsidRPr="00166DDD">
        <w:tab/>
        <w:t>a person makes a claim for an AVTOP as a secondary victim in relation to a close family member who has died as a direct result of a declared overseas terrorist act; and</w:t>
      </w:r>
    </w:p>
    <w:p w:rsidR="000F07E4" w:rsidRPr="00166DDD" w:rsidRDefault="000F07E4" w:rsidP="00166DDD">
      <w:pPr>
        <w:pStyle w:val="paragraph"/>
      </w:pPr>
      <w:r w:rsidRPr="00166DDD">
        <w:tab/>
        <w:t>(b)</w:t>
      </w:r>
      <w:r w:rsidRPr="00166DDD">
        <w:tab/>
        <w:t>either:</w:t>
      </w:r>
    </w:p>
    <w:p w:rsidR="000F07E4" w:rsidRPr="00166DDD" w:rsidRDefault="000F07E4" w:rsidP="00166DDD">
      <w:pPr>
        <w:pStyle w:val="paragraphsub"/>
      </w:pPr>
      <w:r w:rsidRPr="00166DDD">
        <w:tab/>
        <w:t>(</w:t>
      </w:r>
      <w:proofErr w:type="spellStart"/>
      <w:r w:rsidRPr="00166DDD">
        <w:t>i</w:t>
      </w:r>
      <w:proofErr w:type="spellEnd"/>
      <w:r w:rsidRPr="00166DDD">
        <w:t>)</w:t>
      </w:r>
      <w:r w:rsidRPr="00166DDD">
        <w:tab/>
        <w:t>before the claim was made, one or more persons were granted an AVTOP as secondary victims in relation to the close family member; or</w:t>
      </w:r>
    </w:p>
    <w:p w:rsidR="000F07E4" w:rsidRPr="00166DDD" w:rsidRDefault="000F07E4" w:rsidP="00166DDD">
      <w:pPr>
        <w:pStyle w:val="paragraphsub"/>
      </w:pPr>
      <w:r w:rsidRPr="00166DDD">
        <w:tab/>
        <w:t>(ii)</w:t>
      </w:r>
      <w:r w:rsidRPr="00166DDD">
        <w:tab/>
        <w:t>the Secretary had notified the person under subsection</w:t>
      </w:r>
      <w:r w:rsidR="00BD78D0" w:rsidRPr="00166DDD">
        <w:t xml:space="preserve"> </w:t>
      </w:r>
      <w:r w:rsidRPr="00166DDD">
        <w:t>35B(2) of the Administration Act of the person’s entitlement to make a claim, but the person did not make the claim before the day specified in the notice;</w:t>
      </w:r>
    </w:p>
    <w:p w:rsidR="000F07E4" w:rsidRPr="00166DDD" w:rsidRDefault="000F07E4" w:rsidP="00166DDD">
      <w:pPr>
        <w:pStyle w:val="subsection2"/>
      </w:pPr>
      <w:r w:rsidRPr="00166DDD">
        <w:t>then the AVTOP is not payable to the person.</w:t>
      </w:r>
    </w:p>
    <w:p w:rsidR="000F07E4" w:rsidRPr="00166DDD" w:rsidRDefault="000F07E4" w:rsidP="00166DDD">
      <w:pPr>
        <w:pStyle w:val="ActHead3"/>
      </w:pPr>
      <w:bookmarkStart w:id="15" w:name="_Toc288487068"/>
      <w:r w:rsidRPr="00166DDD">
        <w:rPr>
          <w:rStyle w:val="CharDivNo"/>
        </w:rPr>
        <w:t>Division</w:t>
      </w:r>
      <w:r w:rsidR="00166DDD" w:rsidRPr="00166DDD">
        <w:rPr>
          <w:rStyle w:val="CharDivNo"/>
        </w:rPr>
        <w:t> </w:t>
      </w:r>
      <w:r w:rsidRPr="00166DDD">
        <w:rPr>
          <w:rStyle w:val="CharDivNo"/>
        </w:rPr>
        <w:t>3</w:t>
      </w:r>
      <w:r w:rsidRPr="00166DDD">
        <w:t>—</w:t>
      </w:r>
      <w:r w:rsidRPr="00166DDD">
        <w:rPr>
          <w:rStyle w:val="CharDivText"/>
        </w:rPr>
        <w:t>Amount of Australian Victim of Terrorism Overseas Payment</w:t>
      </w:r>
      <w:bookmarkEnd w:id="15"/>
    </w:p>
    <w:p w:rsidR="000F07E4" w:rsidRPr="00166DDD" w:rsidRDefault="000F07E4" w:rsidP="00166DDD">
      <w:pPr>
        <w:pStyle w:val="ActHead5"/>
      </w:pPr>
      <w:bookmarkStart w:id="16" w:name="_Toc288487069"/>
      <w:r w:rsidRPr="00166DDD">
        <w:rPr>
          <w:rStyle w:val="CharSectno"/>
        </w:rPr>
        <w:t>1061PAD</w:t>
      </w:r>
      <w:r w:rsidRPr="00166DDD">
        <w:t xml:space="preserve">  Amount of AVTOP for a primary victim</w:t>
      </w:r>
      <w:bookmarkEnd w:id="16"/>
    </w:p>
    <w:p w:rsidR="000F07E4" w:rsidRPr="00166DDD" w:rsidRDefault="000F07E4" w:rsidP="00166DDD">
      <w:pPr>
        <w:pStyle w:val="subsection"/>
      </w:pPr>
      <w:r w:rsidRPr="00166DDD">
        <w:tab/>
        <w:t>(1)</w:t>
      </w:r>
      <w:r w:rsidRPr="00166DDD">
        <w:tab/>
        <w:t>The Secretary must determine the amount of an AVTOP payable to a person who is a primary victim of a declared overseas terrorist act.</w:t>
      </w:r>
    </w:p>
    <w:p w:rsidR="000F07E4" w:rsidRPr="00166DDD" w:rsidRDefault="000F07E4" w:rsidP="00166DDD">
      <w:pPr>
        <w:pStyle w:val="subsection"/>
      </w:pPr>
      <w:r w:rsidRPr="00166DDD">
        <w:tab/>
        <w:t>(2)</w:t>
      </w:r>
      <w:r w:rsidRPr="00166DDD">
        <w:tab/>
        <w:t xml:space="preserve">The determination must be made in accordance with </w:t>
      </w:r>
      <w:r w:rsidR="00166DDD" w:rsidRPr="00166DDD">
        <w:t>subsection (</w:t>
      </w:r>
      <w:r w:rsidR="00B56F62" w:rsidRPr="00166DDD">
        <w:t xml:space="preserve">3) and </w:t>
      </w:r>
      <w:r w:rsidRPr="00166DDD">
        <w:t>the AVTOP Principles under section</w:t>
      </w:r>
      <w:r w:rsidR="00166DDD" w:rsidRPr="00166DDD">
        <w:t> </w:t>
      </w:r>
      <w:r w:rsidRPr="00166DDD">
        <w:t>1061PAF.</w:t>
      </w:r>
    </w:p>
    <w:p w:rsidR="000F07E4" w:rsidRPr="00166DDD" w:rsidRDefault="000F07E4" w:rsidP="00166DDD">
      <w:pPr>
        <w:pStyle w:val="subsection"/>
      </w:pPr>
      <w:r w:rsidRPr="00166DDD">
        <w:tab/>
        <w:t>(3)</w:t>
      </w:r>
      <w:r w:rsidRPr="00166DDD">
        <w:tab/>
        <w:t>The amount must not exceed $75,000.</w:t>
      </w:r>
    </w:p>
    <w:p w:rsidR="000F07E4" w:rsidRPr="00166DDD" w:rsidRDefault="000F07E4" w:rsidP="00166DDD">
      <w:pPr>
        <w:pStyle w:val="ActHead5"/>
      </w:pPr>
      <w:bookmarkStart w:id="17" w:name="_Toc288487070"/>
      <w:r w:rsidRPr="00166DDD">
        <w:rPr>
          <w:rStyle w:val="CharSectno"/>
        </w:rPr>
        <w:lastRenderedPageBreak/>
        <w:t>1061PAE</w:t>
      </w:r>
      <w:r w:rsidRPr="00166DDD">
        <w:t xml:space="preserve">  Amount of AVTOP for a secondary victim</w:t>
      </w:r>
      <w:bookmarkEnd w:id="17"/>
    </w:p>
    <w:p w:rsidR="000F07E4" w:rsidRPr="00166DDD" w:rsidRDefault="000F07E4" w:rsidP="00166DDD">
      <w:pPr>
        <w:pStyle w:val="SubsectionHead"/>
      </w:pPr>
      <w:r w:rsidRPr="00166DDD">
        <w:t>Secretary to determine amount of AVTOP</w:t>
      </w:r>
    </w:p>
    <w:p w:rsidR="000F07E4" w:rsidRPr="00166DDD" w:rsidRDefault="000F07E4" w:rsidP="00166DDD">
      <w:pPr>
        <w:pStyle w:val="subsection"/>
      </w:pPr>
      <w:r w:rsidRPr="00166DDD">
        <w:tab/>
        <w:t>(1)</w:t>
      </w:r>
      <w:r w:rsidRPr="00166DDD">
        <w:tab/>
        <w:t xml:space="preserve">The Secretary must determine the amount of an AVTOP (the </w:t>
      </w:r>
      <w:r w:rsidRPr="00166DDD">
        <w:rPr>
          <w:b/>
          <w:i/>
        </w:rPr>
        <w:t>relevant AVTOP</w:t>
      </w:r>
      <w:r w:rsidRPr="00166DDD">
        <w:t>) payable to a person who is a secondary victim in relation to a close family member who has died as a direct result of a declared overseas terrorist act.</w:t>
      </w:r>
    </w:p>
    <w:p w:rsidR="000F07E4" w:rsidRPr="00166DDD" w:rsidRDefault="000F07E4" w:rsidP="00166DDD">
      <w:pPr>
        <w:pStyle w:val="subsection"/>
      </w:pPr>
      <w:r w:rsidRPr="00166DDD">
        <w:tab/>
        <w:t>(2)</w:t>
      </w:r>
      <w:r w:rsidRPr="00166DDD">
        <w:tab/>
        <w:t xml:space="preserve">The determination must be made in accordance with </w:t>
      </w:r>
      <w:r w:rsidR="00166DDD" w:rsidRPr="00166DDD">
        <w:t>subsections (</w:t>
      </w:r>
      <w:r w:rsidR="00B56F62" w:rsidRPr="00166DDD">
        <w:t>3) to (5)</w:t>
      </w:r>
      <w:r w:rsidRPr="00166DDD">
        <w:t xml:space="preserve"> and the AVTOP Principles under section</w:t>
      </w:r>
      <w:r w:rsidR="00166DDD" w:rsidRPr="00166DDD">
        <w:t> </w:t>
      </w:r>
      <w:r w:rsidRPr="00166DDD">
        <w:t>1061PAF.</w:t>
      </w:r>
    </w:p>
    <w:p w:rsidR="000F07E4" w:rsidRPr="00166DDD" w:rsidRDefault="000F07E4" w:rsidP="00166DDD">
      <w:pPr>
        <w:pStyle w:val="subsection"/>
      </w:pPr>
      <w:r w:rsidRPr="00166DDD">
        <w:tab/>
        <w:t>(3)</w:t>
      </w:r>
      <w:r w:rsidRPr="00166DDD">
        <w:tab/>
        <w:t>The amount must not exceed $75,000.</w:t>
      </w:r>
    </w:p>
    <w:p w:rsidR="000F07E4" w:rsidRPr="00166DDD" w:rsidRDefault="000F07E4" w:rsidP="00166DDD">
      <w:pPr>
        <w:pStyle w:val="SubsectionHead"/>
      </w:pPr>
      <w:r w:rsidRPr="00166DDD">
        <w:t>Limit on total payments in relation to close family member</w:t>
      </w:r>
    </w:p>
    <w:p w:rsidR="000F07E4" w:rsidRPr="00166DDD" w:rsidRDefault="000F07E4" w:rsidP="00166DDD">
      <w:pPr>
        <w:pStyle w:val="subsection"/>
      </w:pPr>
      <w:r w:rsidRPr="00166DDD">
        <w:tab/>
        <w:t>(4)</w:t>
      </w:r>
      <w:r w:rsidRPr="00166DDD">
        <w:tab/>
        <w:t>If the person is not the only secondary victim who has made a claim as a secondary victim in relation to the close family member, then, when working out the amount of the relevant AVTOP, the Secretary must ensure that the sum of all the AVTOPs (including the relevant AVTOP) that are paid in relation to the close family member does not exceed $75,000.</w:t>
      </w:r>
    </w:p>
    <w:p w:rsidR="000F07E4" w:rsidRPr="00166DDD" w:rsidRDefault="000F07E4" w:rsidP="00166DDD">
      <w:pPr>
        <w:pStyle w:val="SubsectionHead"/>
      </w:pPr>
      <w:r w:rsidRPr="00166DDD">
        <w:t>Limit on total payments to secondary victim</w:t>
      </w:r>
    </w:p>
    <w:p w:rsidR="000F07E4" w:rsidRPr="00166DDD" w:rsidRDefault="000F07E4" w:rsidP="00166DDD">
      <w:pPr>
        <w:pStyle w:val="subsection"/>
      </w:pPr>
      <w:r w:rsidRPr="00166DDD">
        <w:tab/>
        <w:t>(5)</w:t>
      </w:r>
      <w:r w:rsidRPr="00166DDD">
        <w:tab/>
        <w:t>If:</w:t>
      </w:r>
    </w:p>
    <w:p w:rsidR="000F07E4" w:rsidRPr="00166DDD" w:rsidRDefault="000F07E4" w:rsidP="00166DDD">
      <w:pPr>
        <w:pStyle w:val="paragraph"/>
      </w:pPr>
      <w:r w:rsidRPr="00166DDD">
        <w:tab/>
        <w:t>(a)</w:t>
      </w:r>
      <w:r w:rsidRPr="00166DDD">
        <w:tab/>
        <w:t>the person is also a secondary victim of the terrorist act in relation to one or more other close family members; and</w:t>
      </w:r>
    </w:p>
    <w:p w:rsidR="000F07E4" w:rsidRPr="00166DDD" w:rsidRDefault="000F07E4" w:rsidP="00166DDD">
      <w:pPr>
        <w:pStyle w:val="paragraph"/>
      </w:pPr>
      <w:r w:rsidRPr="00166DDD">
        <w:tab/>
        <w:t>(b)</w:t>
      </w:r>
      <w:r w:rsidRPr="00166DDD">
        <w:tab/>
        <w:t>an AVTOP has been paid to the person in relation to any of those other family members;</w:t>
      </w:r>
    </w:p>
    <w:p w:rsidR="000F07E4" w:rsidRPr="00166DDD" w:rsidRDefault="000F07E4" w:rsidP="00166DDD">
      <w:pPr>
        <w:pStyle w:val="subsection2"/>
      </w:pPr>
      <w:r w:rsidRPr="00166DDD">
        <w:t>then, when working out the amount of the relevant AVTOP, the Secretary must ensure that the sum of all the AVTOPs (including the relevant AVTOP) that are paid to the person as a secondary victim of the terrorist act does not exceed $75,000.</w:t>
      </w:r>
    </w:p>
    <w:p w:rsidR="000F07E4" w:rsidRPr="00166DDD" w:rsidRDefault="000F07E4" w:rsidP="00166DDD">
      <w:pPr>
        <w:pStyle w:val="ActHead5"/>
      </w:pPr>
      <w:bookmarkStart w:id="18" w:name="_Toc288487071"/>
      <w:r w:rsidRPr="00166DDD">
        <w:rPr>
          <w:rStyle w:val="CharSectno"/>
        </w:rPr>
        <w:t>1061PAF</w:t>
      </w:r>
      <w:r w:rsidRPr="00166DDD">
        <w:t xml:space="preserve">  AVTOP Principles</w:t>
      </w:r>
      <w:bookmarkEnd w:id="18"/>
    </w:p>
    <w:p w:rsidR="000F07E4" w:rsidRPr="00166DDD" w:rsidRDefault="000F07E4" w:rsidP="00166DDD">
      <w:pPr>
        <w:pStyle w:val="subsection"/>
        <w:rPr>
          <w:szCs w:val="22"/>
        </w:rPr>
      </w:pPr>
      <w:r w:rsidRPr="00166DDD">
        <w:rPr>
          <w:szCs w:val="22"/>
        </w:rPr>
        <w:tab/>
        <w:t>(1)</w:t>
      </w:r>
      <w:r w:rsidRPr="00166DDD">
        <w:rPr>
          <w:szCs w:val="22"/>
        </w:rPr>
        <w:tab/>
        <w:t xml:space="preserve">The Minister must, by legislative instrument, determine the principles (the </w:t>
      </w:r>
      <w:r w:rsidRPr="00166DDD">
        <w:rPr>
          <w:b/>
          <w:i/>
        </w:rPr>
        <w:t xml:space="preserve">AVTOP </w:t>
      </w:r>
      <w:r w:rsidRPr="00166DDD">
        <w:rPr>
          <w:b/>
          <w:i/>
          <w:szCs w:val="22"/>
        </w:rPr>
        <w:t>Principles</w:t>
      </w:r>
      <w:r w:rsidRPr="00166DDD">
        <w:t>) to be applied for the purposes of determining the amount of an AVTOP payable to a person in relation to a declared overseas terrorist act.</w:t>
      </w:r>
    </w:p>
    <w:p w:rsidR="000F07E4" w:rsidRPr="00166DDD" w:rsidRDefault="000F07E4" w:rsidP="00166DDD">
      <w:pPr>
        <w:pStyle w:val="subsection"/>
        <w:rPr>
          <w:szCs w:val="22"/>
        </w:rPr>
      </w:pPr>
      <w:r w:rsidRPr="00166DDD">
        <w:lastRenderedPageBreak/>
        <w:tab/>
        <w:t>(2)</w:t>
      </w:r>
      <w:r w:rsidRPr="00166DDD">
        <w:tab/>
        <w:t xml:space="preserve">Without limiting </w:t>
      </w:r>
      <w:r w:rsidR="00166DDD" w:rsidRPr="00166DDD">
        <w:t>subsection (</w:t>
      </w:r>
      <w:r w:rsidRPr="00166DDD">
        <w:t xml:space="preserve">1), the AVTOP Principles </w:t>
      </w:r>
      <w:r w:rsidRPr="00166DDD">
        <w:rPr>
          <w:szCs w:val="22"/>
        </w:rPr>
        <w:t>may provide that the following factors are to be taken into account when determining the amount of the payment:</w:t>
      </w:r>
    </w:p>
    <w:p w:rsidR="000F07E4" w:rsidRPr="00166DDD" w:rsidRDefault="000F07E4" w:rsidP="00166DDD">
      <w:pPr>
        <w:pStyle w:val="paragraph"/>
      </w:pPr>
      <w:r w:rsidRPr="00166DDD">
        <w:tab/>
        <w:t>(a)</w:t>
      </w:r>
      <w:r w:rsidRPr="00166DDD">
        <w:tab/>
        <w:t>for a primary victim:</w:t>
      </w:r>
    </w:p>
    <w:p w:rsidR="000F07E4" w:rsidRPr="00166DDD" w:rsidRDefault="000F07E4" w:rsidP="00166DDD">
      <w:pPr>
        <w:pStyle w:val="paragraphsub"/>
      </w:pPr>
      <w:r w:rsidRPr="00166DDD">
        <w:tab/>
        <w:t>(</w:t>
      </w:r>
      <w:proofErr w:type="spellStart"/>
      <w:r w:rsidRPr="00166DDD">
        <w:t>i</w:t>
      </w:r>
      <w:proofErr w:type="spellEnd"/>
      <w:r w:rsidRPr="00166DDD">
        <w:t>)</w:t>
      </w:r>
      <w:r w:rsidRPr="00166DDD">
        <w:tab/>
        <w:t>the nature of the injury or disease suffered as a direct result of the terrorist act; and</w:t>
      </w:r>
    </w:p>
    <w:p w:rsidR="000F07E4" w:rsidRPr="00166DDD" w:rsidRDefault="000F07E4" w:rsidP="00166DDD">
      <w:pPr>
        <w:pStyle w:val="paragraphsub"/>
      </w:pPr>
      <w:r w:rsidRPr="00166DDD">
        <w:tab/>
        <w:t>(ii)</w:t>
      </w:r>
      <w:r w:rsidRPr="00166DDD">
        <w:tab/>
        <w:t>the duration of the injury or disease; and</w:t>
      </w:r>
    </w:p>
    <w:p w:rsidR="000F07E4" w:rsidRPr="00166DDD" w:rsidRDefault="000F07E4" w:rsidP="00166DDD">
      <w:pPr>
        <w:pStyle w:val="paragraphsub"/>
      </w:pPr>
      <w:r w:rsidRPr="00166DDD">
        <w:tab/>
        <w:t>(iii)</w:t>
      </w:r>
      <w:r w:rsidRPr="00166DDD">
        <w:tab/>
        <w:t>the impact of the injury or disease on the person’s bodily and mental functions; and</w:t>
      </w:r>
    </w:p>
    <w:p w:rsidR="000F07E4" w:rsidRPr="00166DDD" w:rsidRDefault="000F07E4" w:rsidP="00166DDD">
      <w:pPr>
        <w:pStyle w:val="paragraphsub"/>
      </w:pPr>
      <w:r w:rsidRPr="00166DDD">
        <w:tab/>
        <w:t>(iv)</w:t>
      </w:r>
      <w:r w:rsidRPr="00166DDD">
        <w:tab/>
        <w:t>the impact of the injury or disease on the person’s life; and</w:t>
      </w:r>
    </w:p>
    <w:p w:rsidR="000F07E4" w:rsidRPr="00166DDD" w:rsidRDefault="000F07E4" w:rsidP="00166DDD">
      <w:pPr>
        <w:pStyle w:val="paragraphsub"/>
      </w:pPr>
      <w:r w:rsidRPr="00166DDD">
        <w:tab/>
        <w:t>(v)</w:t>
      </w:r>
      <w:r w:rsidRPr="00166DDD">
        <w:tab/>
        <w:t>the likelihood of the person suffering future loss, injury or disease as a direct result of the terrorist act; and</w:t>
      </w:r>
    </w:p>
    <w:p w:rsidR="000F07E4" w:rsidRPr="00166DDD" w:rsidRDefault="000F07E4" w:rsidP="00166DDD">
      <w:pPr>
        <w:pStyle w:val="paragraphsub"/>
      </w:pPr>
      <w:r w:rsidRPr="00166DDD">
        <w:tab/>
        <w:t>(vi)</w:t>
      </w:r>
      <w:r w:rsidRPr="00166DDD">
        <w:tab/>
        <w:t>the circumstances in which the injury or disease was incurred; and</w:t>
      </w:r>
    </w:p>
    <w:p w:rsidR="000F07E4" w:rsidRPr="00166DDD" w:rsidRDefault="000F07E4" w:rsidP="00166DDD">
      <w:pPr>
        <w:pStyle w:val="paragraphsub"/>
      </w:pPr>
      <w:r w:rsidRPr="00166DDD">
        <w:tab/>
        <w:t>(vii)</w:t>
      </w:r>
      <w:r w:rsidRPr="00166DDD">
        <w:tab/>
        <w:t>whether the person was directed by an official of Australia or a foreign country not to go to the place where the terrorist act occurred;</w:t>
      </w:r>
    </w:p>
    <w:p w:rsidR="000F07E4" w:rsidRPr="00166DDD" w:rsidRDefault="000F07E4" w:rsidP="00166DDD">
      <w:pPr>
        <w:pStyle w:val="paragraph"/>
      </w:pPr>
      <w:r w:rsidRPr="00166DDD">
        <w:tab/>
        <w:t>(b)</w:t>
      </w:r>
      <w:r w:rsidRPr="00166DDD">
        <w:tab/>
        <w:t>for a secondary victim in relation to a close family member who has died:</w:t>
      </w:r>
    </w:p>
    <w:p w:rsidR="000F07E4" w:rsidRPr="00166DDD" w:rsidRDefault="000F07E4" w:rsidP="00166DDD">
      <w:pPr>
        <w:pStyle w:val="paragraphsub"/>
      </w:pPr>
      <w:r w:rsidRPr="00166DDD">
        <w:tab/>
        <w:t>(</w:t>
      </w:r>
      <w:proofErr w:type="spellStart"/>
      <w:r w:rsidRPr="00166DDD">
        <w:t>i</w:t>
      </w:r>
      <w:proofErr w:type="spellEnd"/>
      <w:r w:rsidRPr="00166DDD">
        <w:t>)</w:t>
      </w:r>
      <w:r w:rsidRPr="00166DDD">
        <w:tab/>
        <w:t>whether the person was dependant on the close family member; and</w:t>
      </w:r>
    </w:p>
    <w:p w:rsidR="000F07E4" w:rsidRPr="00166DDD" w:rsidRDefault="000F07E4" w:rsidP="00166DDD">
      <w:pPr>
        <w:pStyle w:val="paragraphsub"/>
      </w:pPr>
      <w:r w:rsidRPr="00166DDD">
        <w:tab/>
        <w:t>(ii)</w:t>
      </w:r>
      <w:r w:rsidRPr="00166DDD">
        <w:tab/>
        <w:t>the nature of the relationship between the person and the close family member; and</w:t>
      </w:r>
    </w:p>
    <w:p w:rsidR="00D02FEF" w:rsidRPr="00166DDD" w:rsidRDefault="00D02FEF" w:rsidP="00166DDD">
      <w:pPr>
        <w:pStyle w:val="paragraphsub"/>
      </w:pPr>
      <w:r w:rsidRPr="00166DDD">
        <w:tab/>
        <w:t>(iii)</w:t>
      </w:r>
      <w:r w:rsidRPr="00166DDD">
        <w:tab/>
        <w:t xml:space="preserve">the circumstances in which the </w:t>
      </w:r>
      <w:r w:rsidR="00CE6D60" w:rsidRPr="00166DDD">
        <w:t>close family member died</w:t>
      </w:r>
      <w:r w:rsidRPr="00166DDD">
        <w:t>; and</w:t>
      </w:r>
    </w:p>
    <w:p w:rsidR="000F07E4" w:rsidRPr="00166DDD" w:rsidRDefault="000F07E4" w:rsidP="00166DDD">
      <w:pPr>
        <w:pStyle w:val="paragraphsub"/>
      </w:pPr>
      <w:r w:rsidRPr="00166DDD">
        <w:tab/>
        <w:t>(i</w:t>
      </w:r>
      <w:r w:rsidR="00D02FEF" w:rsidRPr="00166DDD">
        <w:t>v</w:t>
      </w:r>
      <w:r w:rsidRPr="00166DDD">
        <w:t>)</w:t>
      </w:r>
      <w:r w:rsidRPr="00166DDD">
        <w:tab/>
        <w:t>whether the close family member was directed by an official of Australia or a foreign country not to go to the place where the terrorist act occurred;</w:t>
      </w:r>
      <w:r w:rsidR="00B56F62" w:rsidRPr="00166DDD">
        <w:t xml:space="preserve"> and</w:t>
      </w:r>
    </w:p>
    <w:p w:rsidR="000F07E4" w:rsidRPr="00166DDD" w:rsidRDefault="00D02FEF" w:rsidP="00166DDD">
      <w:pPr>
        <w:pStyle w:val="paragraphsub"/>
      </w:pPr>
      <w:r w:rsidRPr="00166DDD">
        <w:tab/>
        <w:t>(</w:t>
      </w:r>
      <w:r w:rsidR="000F07E4" w:rsidRPr="00166DDD">
        <w:t>v)</w:t>
      </w:r>
      <w:r w:rsidR="000F07E4" w:rsidRPr="00166DDD">
        <w:tab/>
        <w:t>whether there are other persons who have made a claim for an AVTOP as a secondary victim in relation to the close family member; and</w:t>
      </w:r>
    </w:p>
    <w:p w:rsidR="000F07E4" w:rsidRPr="00166DDD" w:rsidRDefault="000F07E4" w:rsidP="00166DDD">
      <w:pPr>
        <w:pStyle w:val="paragraphsub"/>
      </w:pPr>
      <w:r w:rsidRPr="00166DDD">
        <w:tab/>
        <w:t>(v</w:t>
      </w:r>
      <w:r w:rsidR="00D02FEF" w:rsidRPr="00166DDD">
        <w:t>i</w:t>
      </w:r>
      <w:r w:rsidRPr="00166DDD">
        <w:t>)</w:t>
      </w:r>
      <w:r w:rsidRPr="00166DDD">
        <w:tab/>
        <w:t>if there are such other secondary victims and the person and each of the other secondary victims agree on the amount of the AVTOP that each should be paid—that agreement; and</w:t>
      </w:r>
    </w:p>
    <w:p w:rsidR="000F07E4" w:rsidRPr="00166DDD" w:rsidRDefault="000F07E4" w:rsidP="00166DDD">
      <w:pPr>
        <w:pStyle w:val="paragraphsub"/>
      </w:pPr>
      <w:r w:rsidRPr="00166DDD">
        <w:tab/>
        <w:t>(vi</w:t>
      </w:r>
      <w:r w:rsidR="00D02FEF" w:rsidRPr="00166DDD">
        <w:t>i</w:t>
      </w:r>
      <w:r w:rsidRPr="00166DDD">
        <w:t>)</w:t>
      </w:r>
      <w:r w:rsidRPr="00166DDD">
        <w:tab/>
        <w:t xml:space="preserve">if there are such other secondary victims and the person and each of the other secondary victims have not agreed on the amount of the AVTOP that each should be </w:t>
      </w:r>
      <w:r w:rsidRPr="00166DDD">
        <w:lastRenderedPageBreak/>
        <w:t>paid—whether the person has also made a claim as a secondary victim of the terrorist act in relation to another close family member;</w:t>
      </w:r>
    </w:p>
    <w:p w:rsidR="000F07E4" w:rsidRPr="00166DDD" w:rsidRDefault="000F07E4" w:rsidP="00166DDD">
      <w:pPr>
        <w:pStyle w:val="paragraph"/>
      </w:pPr>
      <w:r w:rsidRPr="00166DDD">
        <w:tab/>
        <w:t>(c)</w:t>
      </w:r>
      <w:r w:rsidRPr="00166DDD">
        <w:tab/>
        <w:t>for a primary victim or a secondary victim:</w:t>
      </w:r>
    </w:p>
    <w:p w:rsidR="000F07E4" w:rsidRPr="00166DDD" w:rsidRDefault="000F07E4" w:rsidP="00166DDD">
      <w:pPr>
        <w:pStyle w:val="paragraphsub"/>
      </w:pPr>
      <w:r w:rsidRPr="00166DDD">
        <w:tab/>
        <w:t>(</w:t>
      </w:r>
      <w:proofErr w:type="spellStart"/>
      <w:r w:rsidRPr="00166DDD">
        <w:t>i</w:t>
      </w:r>
      <w:proofErr w:type="spellEnd"/>
      <w:r w:rsidRPr="00166DDD">
        <w:t>)</w:t>
      </w:r>
      <w:r w:rsidRPr="00166DDD">
        <w:tab/>
        <w:t>whether there was travel advice on an Australian government website advising against travelling to the foreign country, region or place where the terrorist act occurred; and</w:t>
      </w:r>
    </w:p>
    <w:p w:rsidR="000F07E4" w:rsidRPr="00166DDD" w:rsidRDefault="000F07E4" w:rsidP="00166DDD">
      <w:pPr>
        <w:pStyle w:val="paragraphsub"/>
      </w:pPr>
      <w:r w:rsidRPr="00166DDD">
        <w:tab/>
        <w:t>(ii)</w:t>
      </w:r>
      <w:r w:rsidRPr="00166DDD">
        <w:tab/>
        <w:t>whether the person has been paid or is likely to be paid an amount by the Commonwealth, a State, a Territory, a foreign country or any other person or entity in relation to the terrorist act.</w:t>
      </w:r>
    </w:p>
    <w:p w:rsidR="000F07E4" w:rsidRPr="00166DDD" w:rsidRDefault="000F07E4" w:rsidP="00166DDD">
      <w:pPr>
        <w:pStyle w:val="ActHead5"/>
      </w:pPr>
      <w:bookmarkStart w:id="19" w:name="_Toc288487072"/>
      <w:r w:rsidRPr="00166DDD">
        <w:rPr>
          <w:rStyle w:val="CharSectno"/>
        </w:rPr>
        <w:t>1061PAG</w:t>
      </w:r>
      <w:r w:rsidRPr="00166DDD">
        <w:t xml:space="preserve">  Consultation on the AVTOP Principles</w:t>
      </w:r>
      <w:bookmarkEnd w:id="19"/>
    </w:p>
    <w:p w:rsidR="000F07E4" w:rsidRPr="00166DDD" w:rsidRDefault="000F07E4" w:rsidP="00166DDD">
      <w:pPr>
        <w:pStyle w:val="subsection"/>
      </w:pPr>
      <w:r w:rsidRPr="00166DDD">
        <w:tab/>
        <w:t>(1)</w:t>
      </w:r>
      <w:r w:rsidRPr="00166DDD">
        <w:tab/>
        <w:t>Before determining the AVTOP Principles under section</w:t>
      </w:r>
      <w:r w:rsidR="00166DDD" w:rsidRPr="00166DDD">
        <w:t> </w:t>
      </w:r>
      <w:r w:rsidRPr="00166DDD">
        <w:t xml:space="preserve">1061PAF, the Minister must consult with representatives of the following groups (the </w:t>
      </w:r>
      <w:r w:rsidRPr="00166DDD">
        <w:rPr>
          <w:b/>
          <w:i/>
        </w:rPr>
        <w:t>consultation groups</w:t>
      </w:r>
      <w:r w:rsidRPr="00166DDD">
        <w:t>):</w:t>
      </w:r>
    </w:p>
    <w:p w:rsidR="000F07E4" w:rsidRPr="00166DDD" w:rsidRDefault="000F07E4" w:rsidP="00166DDD">
      <w:pPr>
        <w:pStyle w:val="paragraph"/>
      </w:pPr>
      <w:r w:rsidRPr="00166DDD">
        <w:tab/>
        <w:t>(a)</w:t>
      </w:r>
      <w:r w:rsidRPr="00166DDD">
        <w:tab/>
        <w:t>victims of overseas terrorist acts and their families;</w:t>
      </w:r>
    </w:p>
    <w:p w:rsidR="000F07E4" w:rsidRPr="00166DDD" w:rsidRDefault="000F07E4" w:rsidP="00166DDD">
      <w:pPr>
        <w:pStyle w:val="paragraph"/>
      </w:pPr>
      <w:r w:rsidRPr="00166DDD">
        <w:tab/>
        <w:t>(b)</w:t>
      </w:r>
      <w:r w:rsidRPr="00166DDD">
        <w:tab/>
        <w:t>community or welfare organisations;</w:t>
      </w:r>
    </w:p>
    <w:p w:rsidR="000F07E4" w:rsidRPr="00166DDD" w:rsidRDefault="000F07E4" w:rsidP="00166DDD">
      <w:pPr>
        <w:pStyle w:val="paragraph"/>
      </w:pPr>
      <w:r w:rsidRPr="00166DDD">
        <w:tab/>
        <w:t>(c)</w:t>
      </w:r>
      <w:r w:rsidRPr="00166DDD">
        <w:tab/>
        <w:t>health professionals;</w:t>
      </w:r>
    </w:p>
    <w:p w:rsidR="000F07E4" w:rsidRPr="00166DDD" w:rsidRDefault="000F07E4" w:rsidP="00166DDD">
      <w:pPr>
        <w:pStyle w:val="paragraph"/>
      </w:pPr>
      <w:r w:rsidRPr="00166DDD">
        <w:tab/>
        <w:t>(d)</w:t>
      </w:r>
      <w:r w:rsidRPr="00166DDD">
        <w:tab/>
        <w:t>international humanitarian agencies;</w:t>
      </w:r>
    </w:p>
    <w:p w:rsidR="000F07E4" w:rsidRPr="00166DDD" w:rsidRDefault="000F07E4" w:rsidP="00166DDD">
      <w:pPr>
        <w:pStyle w:val="paragraph"/>
      </w:pPr>
      <w:r w:rsidRPr="00166DDD">
        <w:tab/>
        <w:t>(e)</w:t>
      </w:r>
      <w:r w:rsidRPr="00166DDD">
        <w:tab/>
        <w:t>any other persons the Minister considers appropriate to consult.</w:t>
      </w:r>
    </w:p>
    <w:p w:rsidR="000F07E4" w:rsidRPr="00166DDD" w:rsidRDefault="000F07E4" w:rsidP="00166DDD">
      <w:pPr>
        <w:pStyle w:val="subsection"/>
      </w:pPr>
      <w:r w:rsidRPr="00166DDD">
        <w:tab/>
        <w:t>(2)</w:t>
      </w:r>
      <w:r w:rsidRPr="00166DDD">
        <w:tab/>
        <w:t>The Minister must also consult representatives of the consultation groups each year after the year in which the AVTOP Principles commence.</w:t>
      </w:r>
    </w:p>
    <w:p w:rsidR="000F07E4" w:rsidRPr="00166DDD" w:rsidRDefault="000F07E4" w:rsidP="00166DDD">
      <w:pPr>
        <w:pStyle w:val="subsection"/>
      </w:pPr>
      <w:r w:rsidRPr="00166DDD">
        <w:tab/>
        <w:t>(3)</w:t>
      </w:r>
      <w:r w:rsidRPr="00166DDD">
        <w:tab/>
        <w:t>A failure to consult as required by this section does not affect the validity of the AVTOP Principles.</w:t>
      </w:r>
    </w:p>
    <w:p w:rsidR="000F07E4" w:rsidRPr="00166DDD" w:rsidRDefault="000F07E4" w:rsidP="00166DDD">
      <w:pPr>
        <w:pStyle w:val="ActHead9"/>
        <w:rPr>
          <w:i w:val="0"/>
        </w:rPr>
      </w:pPr>
      <w:bookmarkStart w:id="20" w:name="_Toc288487073"/>
      <w:r w:rsidRPr="00166DDD">
        <w:t>Social Security (Administration) Act 1999</w:t>
      </w:r>
      <w:bookmarkEnd w:id="20"/>
    </w:p>
    <w:p w:rsidR="000F07E4" w:rsidRPr="00166DDD" w:rsidRDefault="000F07E4" w:rsidP="00166DDD">
      <w:pPr>
        <w:pStyle w:val="ItemHead"/>
      </w:pPr>
      <w:r w:rsidRPr="00166DDD">
        <w:t>12  After Subdivision FA of Division</w:t>
      </w:r>
      <w:r w:rsidR="00166DDD" w:rsidRPr="00166DDD">
        <w:t> </w:t>
      </w:r>
      <w:r w:rsidRPr="00166DDD">
        <w:t>1 of Part</w:t>
      </w:r>
      <w:r w:rsidR="00166DDD" w:rsidRPr="00166DDD">
        <w:t> </w:t>
      </w:r>
      <w:r w:rsidRPr="00166DDD">
        <w:t>3</w:t>
      </w:r>
    </w:p>
    <w:p w:rsidR="000F07E4" w:rsidRPr="00166DDD" w:rsidRDefault="000F07E4" w:rsidP="00166DDD">
      <w:pPr>
        <w:pStyle w:val="Item"/>
      </w:pPr>
      <w:r w:rsidRPr="00166DDD">
        <w:t>Insert:</w:t>
      </w:r>
    </w:p>
    <w:p w:rsidR="000F07E4" w:rsidRPr="00166DDD" w:rsidRDefault="000F07E4" w:rsidP="00166DDD">
      <w:pPr>
        <w:pStyle w:val="ActHead4"/>
      </w:pPr>
      <w:bookmarkStart w:id="21" w:name="_Toc288487074"/>
      <w:r w:rsidRPr="00166DDD">
        <w:rPr>
          <w:rStyle w:val="CharSubdNo"/>
        </w:rPr>
        <w:lastRenderedPageBreak/>
        <w:t>Subdivision FB</w:t>
      </w:r>
      <w:r w:rsidRPr="00166DDD">
        <w:t>—</w:t>
      </w:r>
      <w:r w:rsidRPr="00166DDD">
        <w:rPr>
          <w:rStyle w:val="CharSubdText"/>
        </w:rPr>
        <w:t>Time limit for claims for AVTOP</w:t>
      </w:r>
      <w:bookmarkEnd w:id="21"/>
    </w:p>
    <w:p w:rsidR="000F07E4" w:rsidRPr="00166DDD" w:rsidRDefault="000F07E4" w:rsidP="00166DDD">
      <w:pPr>
        <w:pStyle w:val="ActHead5"/>
      </w:pPr>
      <w:bookmarkStart w:id="22" w:name="_Toc288487075"/>
      <w:r w:rsidRPr="00166DDD">
        <w:rPr>
          <w:rStyle w:val="CharSectno"/>
        </w:rPr>
        <w:t>27B</w:t>
      </w:r>
      <w:r w:rsidRPr="00166DDD">
        <w:t xml:space="preserve">  Time limit for claims for AVTOP</w:t>
      </w:r>
      <w:bookmarkEnd w:id="22"/>
    </w:p>
    <w:p w:rsidR="000F07E4" w:rsidRPr="00166DDD" w:rsidRDefault="000F07E4" w:rsidP="00166DDD">
      <w:pPr>
        <w:pStyle w:val="subsection"/>
      </w:pPr>
      <w:r w:rsidRPr="00166DDD">
        <w:tab/>
        <w:t>(1)</w:t>
      </w:r>
      <w:r w:rsidRPr="00166DDD">
        <w:tab/>
        <w:t>A claim for an AVTOP by a primary victim of a declared overseas terrorist act must be lodged within 2 years after the day the declaration is made under subsection 35B(1) of the 1991 Act.</w:t>
      </w:r>
    </w:p>
    <w:p w:rsidR="000F07E4" w:rsidRPr="00166DDD" w:rsidRDefault="000F07E4" w:rsidP="00166DDD">
      <w:pPr>
        <w:pStyle w:val="subsection"/>
      </w:pPr>
      <w:r w:rsidRPr="00166DDD">
        <w:tab/>
        <w:t>(2)</w:t>
      </w:r>
      <w:r w:rsidRPr="00166DDD">
        <w:tab/>
        <w:t>A claim for an AVTOP by a secondary victim of a declared overseas terrorist act must be lodged within 12 months after the day the close family member to whom the claim relates died.</w:t>
      </w:r>
    </w:p>
    <w:p w:rsidR="000F07E4" w:rsidRPr="00166DDD" w:rsidRDefault="000F07E4" w:rsidP="00166DDD">
      <w:pPr>
        <w:pStyle w:val="subsection"/>
      </w:pPr>
      <w:r w:rsidRPr="00166DDD">
        <w:tab/>
        <w:t>(3)</w:t>
      </w:r>
      <w:r w:rsidRPr="00166DDD">
        <w:tab/>
        <w:t xml:space="preserve">However, a claim may be lodged after the period referred to in </w:t>
      </w:r>
      <w:r w:rsidR="00166DDD" w:rsidRPr="00166DDD">
        <w:t>subsection (</w:t>
      </w:r>
      <w:r w:rsidRPr="00166DDD">
        <w:t>1) or (2) if the Secretary is satisfied that:</w:t>
      </w:r>
    </w:p>
    <w:p w:rsidR="000F07E4" w:rsidRPr="00166DDD" w:rsidRDefault="000F07E4" w:rsidP="00166DDD">
      <w:pPr>
        <w:pStyle w:val="paragraph"/>
      </w:pPr>
      <w:r w:rsidRPr="00166DDD">
        <w:tab/>
        <w:t>(a)</w:t>
      </w:r>
      <w:r w:rsidRPr="00166DDD">
        <w:tab/>
        <w:t xml:space="preserve">there are special circumstances applying to the person’s claim that justify a late </w:t>
      </w:r>
      <w:proofErr w:type="spellStart"/>
      <w:r w:rsidRPr="00166DDD">
        <w:t>lodgment</w:t>
      </w:r>
      <w:proofErr w:type="spellEnd"/>
      <w:r w:rsidRPr="00166DDD">
        <w:t>; and</w:t>
      </w:r>
    </w:p>
    <w:p w:rsidR="000F07E4" w:rsidRPr="00166DDD" w:rsidRDefault="000F07E4" w:rsidP="00166DDD">
      <w:pPr>
        <w:pStyle w:val="paragraph"/>
      </w:pPr>
      <w:r w:rsidRPr="00166DDD">
        <w:tab/>
        <w:t>(b)</w:t>
      </w:r>
      <w:r w:rsidRPr="00166DDD">
        <w:tab/>
        <w:t>the claim is lodged within a reasonable period having regard to those circumstances.</w:t>
      </w:r>
    </w:p>
    <w:p w:rsidR="000F07E4" w:rsidRPr="00166DDD" w:rsidRDefault="000F07E4" w:rsidP="00166DDD">
      <w:pPr>
        <w:pStyle w:val="ItemHead"/>
      </w:pPr>
      <w:r w:rsidRPr="00166DDD">
        <w:t xml:space="preserve">13  At the end of </w:t>
      </w:r>
      <w:r w:rsidR="004B2D98" w:rsidRPr="00166DDD">
        <w:t xml:space="preserve">Subdivision J of </w:t>
      </w:r>
      <w:r w:rsidRPr="00166DDD">
        <w:t>Division</w:t>
      </w:r>
      <w:r w:rsidR="00166DDD" w:rsidRPr="00166DDD">
        <w:t> </w:t>
      </w:r>
      <w:r w:rsidRPr="00166DDD">
        <w:t>1 of Part</w:t>
      </w:r>
      <w:r w:rsidR="00166DDD" w:rsidRPr="00166DDD">
        <w:t> </w:t>
      </w:r>
      <w:r w:rsidRPr="00166DDD">
        <w:t>3</w:t>
      </w:r>
    </w:p>
    <w:p w:rsidR="000F07E4" w:rsidRPr="00166DDD" w:rsidRDefault="000F07E4" w:rsidP="00166DDD">
      <w:pPr>
        <w:pStyle w:val="Item"/>
      </w:pPr>
      <w:r w:rsidRPr="00166DDD">
        <w:t>Add:</w:t>
      </w:r>
    </w:p>
    <w:p w:rsidR="000F07E4" w:rsidRPr="00166DDD" w:rsidRDefault="000F07E4" w:rsidP="00166DDD">
      <w:pPr>
        <w:pStyle w:val="ActHead5"/>
      </w:pPr>
      <w:bookmarkStart w:id="23" w:name="_Toc288487076"/>
      <w:r w:rsidRPr="00166DDD">
        <w:rPr>
          <w:rStyle w:val="CharSectno"/>
        </w:rPr>
        <w:t>35B</w:t>
      </w:r>
      <w:r w:rsidRPr="00166DDD">
        <w:t xml:space="preserve">  Secondary victim claims for AVTOP</w:t>
      </w:r>
      <w:bookmarkEnd w:id="23"/>
    </w:p>
    <w:p w:rsidR="000F07E4" w:rsidRPr="00166DDD" w:rsidRDefault="000F07E4" w:rsidP="00166DDD">
      <w:pPr>
        <w:pStyle w:val="subsection"/>
      </w:pPr>
      <w:r w:rsidRPr="00166DDD">
        <w:tab/>
        <w:t>(1)</w:t>
      </w:r>
      <w:r w:rsidRPr="00166DDD">
        <w:tab/>
        <w:t xml:space="preserve">If a person makes a claim for an AVTOP as a secondary victim in relation to a close family member who has died, the Secretary must make reasonable inquiries as to whether there are other persons </w:t>
      </w:r>
      <w:r w:rsidR="00B56F62" w:rsidRPr="00166DDD">
        <w:t xml:space="preserve">(a </w:t>
      </w:r>
      <w:r w:rsidR="00B56F62" w:rsidRPr="00166DDD">
        <w:rPr>
          <w:b/>
          <w:i/>
        </w:rPr>
        <w:t>potential claimant</w:t>
      </w:r>
      <w:r w:rsidR="00B56F62" w:rsidRPr="00166DDD">
        <w:t xml:space="preserve">) </w:t>
      </w:r>
      <w:r w:rsidRPr="00166DDD">
        <w:t>who may also qualify for an AVTOP as a secondary victim in relation to the same close family member.</w:t>
      </w:r>
    </w:p>
    <w:p w:rsidR="000F07E4" w:rsidRPr="00166DDD" w:rsidRDefault="000F07E4" w:rsidP="00166DDD">
      <w:pPr>
        <w:pStyle w:val="subsection"/>
      </w:pPr>
      <w:r w:rsidRPr="00166DDD">
        <w:tab/>
        <w:t>(2)</w:t>
      </w:r>
      <w:r w:rsidRPr="00166DDD">
        <w:tab/>
        <w:t xml:space="preserve">If the Secretary considers there </w:t>
      </w:r>
      <w:r w:rsidR="00B56F62" w:rsidRPr="00166DDD">
        <w:t xml:space="preserve">are potential </w:t>
      </w:r>
      <w:r w:rsidR="00837A23" w:rsidRPr="00166DDD">
        <w:t>claimant</w:t>
      </w:r>
      <w:r w:rsidR="00B56F62" w:rsidRPr="00166DDD">
        <w:t>s</w:t>
      </w:r>
      <w:r w:rsidR="003B32E8" w:rsidRPr="00166DDD">
        <w:t xml:space="preserve">, the Secretary must </w:t>
      </w:r>
      <w:r w:rsidR="00AD2E16" w:rsidRPr="00166DDD">
        <w:t>give each</w:t>
      </w:r>
      <w:r w:rsidR="00837A23" w:rsidRPr="00166DDD">
        <w:t xml:space="preserve"> of them</w:t>
      </w:r>
      <w:r w:rsidRPr="00166DDD">
        <w:t xml:space="preserve"> </w:t>
      </w:r>
      <w:r w:rsidR="00837A23" w:rsidRPr="00166DDD">
        <w:t xml:space="preserve">a </w:t>
      </w:r>
      <w:r w:rsidR="003B32E8" w:rsidRPr="00166DDD">
        <w:t xml:space="preserve">written notice </w:t>
      </w:r>
      <w:r w:rsidR="00837A23" w:rsidRPr="00166DDD">
        <w:t xml:space="preserve">stating </w:t>
      </w:r>
      <w:r w:rsidRPr="00166DDD">
        <w:t>that:</w:t>
      </w:r>
    </w:p>
    <w:p w:rsidR="000F07E4" w:rsidRPr="00166DDD" w:rsidRDefault="000F07E4" w:rsidP="00166DDD">
      <w:pPr>
        <w:pStyle w:val="paragraph"/>
      </w:pPr>
      <w:r w:rsidRPr="00166DDD">
        <w:tab/>
        <w:t>(a)</w:t>
      </w:r>
      <w:r w:rsidRPr="00166DDD">
        <w:tab/>
      </w:r>
      <w:r w:rsidR="00B56F62" w:rsidRPr="00166DDD">
        <w:t xml:space="preserve">he or she </w:t>
      </w:r>
      <w:r w:rsidRPr="00166DDD">
        <w:t>may make a claim for an AVTOP as a secondary victim in relation to the close family member; and</w:t>
      </w:r>
    </w:p>
    <w:p w:rsidR="000F07E4" w:rsidRPr="00166DDD" w:rsidRDefault="000F07E4" w:rsidP="00166DDD">
      <w:pPr>
        <w:pStyle w:val="paragraph"/>
      </w:pPr>
      <w:r w:rsidRPr="00166DDD">
        <w:tab/>
        <w:t>(b)</w:t>
      </w:r>
      <w:r w:rsidRPr="00166DDD">
        <w:tab/>
      </w:r>
      <w:r w:rsidR="00B56F62" w:rsidRPr="00166DDD">
        <w:t>he or she</w:t>
      </w:r>
      <w:r w:rsidRPr="00166DDD">
        <w:t xml:space="preserve"> m</w:t>
      </w:r>
      <w:r w:rsidR="003B32E8" w:rsidRPr="00166DDD">
        <w:t xml:space="preserve">ust make a claim before the day (the </w:t>
      </w:r>
      <w:r w:rsidR="003B32E8" w:rsidRPr="00166DDD">
        <w:rPr>
          <w:b/>
          <w:i/>
        </w:rPr>
        <w:t>claim due day</w:t>
      </w:r>
      <w:r w:rsidR="003B32E8" w:rsidRPr="00166DDD">
        <w:t xml:space="preserve">) </w:t>
      </w:r>
      <w:r w:rsidRPr="00166DDD">
        <w:t>specified in the notice; and</w:t>
      </w:r>
    </w:p>
    <w:p w:rsidR="000F07E4" w:rsidRPr="00166DDD" w:rsidRDefault="000F07E4" w:rsidP="00166DDD">
      <w:pPr>
        <w:pStyle w:val="paragraph"/>
      </w:pPr>
      <w:r w:rsidRPr="00166DDD">
        <w:tab/>
        <w:t>(c)</w:t>
      </w:r>
      <w:r w:rsidRPr="00166DDD">
        <w:tab/>
        <w:t xml:space="preserve">if </w:t>
      </w:r>
      <w:r w:rsidR="00B56F62" w:rsidRPr="00166DDD">
        <w:t>he or she</w:t>
      </w:r>
      <w:r w:rsidRPr="00166DDD">
        <w:t xml:space="preserve"> fails to make a claim by th</w:t>
      </w:r>
      <w:r w:rsidR="003B32E8" w:rsidRPr="00166DDD">
        <w:t>e claim due</w:t>
      </w:r>
      <w:r w:rsidRPr="00166DDD">
        <w:t xml:space="preserve"> day, an AVTOP in relation to the close family member will not be payable</w:t>
      </w:r>
      <w:r w:rsidR="00B56F62" w:rsidRPr="00166DDD">
        <w:t xml:space="preserve"> to him or her</w:t>
      </w:r>
      <w:r w:rsidRPr="00166DDD">
        <w:t>.</w:t>
      </w:r>
    </w:p>
    <w:p w:rsidR="000F07E4" w:rsidRPr="00166DDD" w:rsidRDefault="000F07E4" w:rsidP="00166DDD">
      <w:pPr>
        <w:pStyle w:val="subsection"/>
      </w:pPr>
      <w:r w:rsidRPr="00166DDD">
        <w:tab/>
        <w:t>(3)</w:t>
      </w:r>
      <w:r w:rsidRPr="00166DDD">
        <w:tab/>
        <w:t xml:space="preserve">The </w:t>
      </w:r>
      <w:r w:rsidR="003B32E8" w:rsidRPr="00166DDD">
        <w:t xml:space="preserve">claim due </w:t>
      </w:r>
      <w:r w:rsidRPr="00166DDD">
        <w:t xml:space="preserve">day must be at least 30 days after the day the notice is given to the </w:t>
      </w:r>
      <w:r w:rsidR="00B56F62" w:rsidRPr="00166DDD">
        <w:t>potential claimant</w:t>
      </w:r>
      <w:r w:rsidRPr="00166DDD">
        <w:t>.</w:t>
      </w:r>
    </w:p>
    <w:p w:rsidR="00501805" w:rsidRPr="00166DDD" w:rsidRDefault="00BD78D0" w:rsidP="00166DDD">
      <w:pPr>
        <w:pStyle w:val="subsection"/>
      </w:pPr>
      <w:r w:rsidRPr="00166DDD">
        <w:lastRenderedPageBreak/>
        <w:tab/>
        <w:t>(4)</w:t>
      </w:r>
      <w:r w:rsidRPr="00166DDD">
        <w:tab/>
      </w:r>
      <w:r w:rsidR="00B56F62" w:rsidRPr="00166DDD">
        <w:t>If the Secretary is satisfied that it is appropriate to do so, t</w:t>
      </w:r>
      <w:r w:rsidR="00837A23" w:rsidRPr="00166DDD">
        <w:t>he Secreta</w:t>
      </w:r>
      <w:r w:rsidR="00501805" w:rsidRPr="00166DDD">
        <w:t>ry may change the claim due day to a later day.</w:t>
      </w:r>
    </w:p>
    <w:p w:rsidR="00306A4C" w:rsidRPr="00166DDD" w:rsidRDefault="00985B6C" w:rsidP="00166DDD">
      <w:pPr>
        <w:pStyle w:val="subsection"/>
      </w:pPr>
      <w:r w:rsidRPr="00166DDD">
        <w:tab/>
        <w:t>(5)</w:t>
      </w:r>
      <w:r w:rsidRPr="00166DDD">
        <w:tab/>
        <w:t>If</w:t>
      </w:r>
      <w:r w:rsidR="00837A23" w:rsidRPr="00166DDD">
        <w:t xml:space="preserve"> </w:t>
      </w:r>
      <w:r w:rsidRPr="00166DDD">
        <w:t>the Secretary changes the claim due day</w:t>
      </w:r>
      <w:r w:rsidR="00AD2E16" w:rsidRPr="00166DDD">
        <w:t xml:space="preserve"> under </w:t>
      </w:r>
      <w:r w:rsidR="00166DDD" w:rsidRPr="00166DDD">
        <w:t>subsection (</w:t>
      </w:r>
      <w:r w:rsidR="00AD2E16" w:rsidRPr="00166DDD">
        <w:t>4)</w:t>
      </w:r>
      <w:r w:rsidR="00501805" w:rsidRPr="00166DDD">
        <w:t>, then</w:t>
      </w:r>
      <w:r w:rsidR="00306A4C" w:rsidRPr="00166DDD">
        <w:t>:</w:t>
      </w:r>
    </w:p>
    <w:p w:rsidR="00501805" w:rsidRPr="00166DDD" w:rsidRDefault="00501805" w:rsidP="00166DDD">
      <w:pPr>
        <w:pStyle w:val="paragraph"/>
      </w:pPr>
      <w:r w:rsidRPr="00166DDD">
        <w:tab/>
        <w:t>(a)</w:t>
      </w:r>
      <w:r w:rsidRPr="00166DDD">
        <w:tab/>
        <w:t xml:space="preserve">the Secretary must change the claim due day for </w:t>
      </w:r>
      <w:r w:rsidR="00AD2E16" w:rsidRPr="00166DDD">
        <w:t>each</w:t>
      </w:r>
      <w:r w:rsidRPr="00166DDD">
        <w:t xml:space="preserve"> of the potential claimants to the new claim day; and</w:t>
      </w:r>
    </w:p>
    <w:p w:rsidR="00985B6C" w:rsidRPr="00166DDD" w:rsidRDefault="00501805" w:rsidP="00166DDD">
      <w:pPr>
        <w:pStyle w:val="paragraph"/>
      </w:pPr>
      <w:r w:rsidRPr="00166DDD">
        <w:tab/>
        <w:t>(b)</w:t>
      </w:r>
      <w:r w:rsidRPr="00166DDD">
        <w:tab/>
      </w:r>
      <w:r w:rsidR="006D766C" w:rsidRPr="00166DDD">
        <w:t xml:space="preserve">the Secretary must give </w:t>
      </w:r>
      <w:r w:rsidR="00AD2E16" w:rsidRPr="00166DDD">
        <w:t>each</w:t>
      </w:r>
      <w:r w:rsidRPr="00166DDD">
        <w:t xml:space="preserve"> of </w:t>
      </w:r>
      <w:r w:rsidR="00837A23" w:rsidRPr="00166DDD">
        <w:t>the potential claimant</w:t>
      </w:r>
      <w:r w:rsidRPr="00166DDD">
        <w:t>s</w:t>
      </w:r>
      <w:r w:rsidR="00837A23" w:rsidRPr="00166DDD">
        <w:t xml:space="preserve"> a</w:t>
      </w:r>
      <w:r w:rsidR="006D766C" w:rsidRPr="00166DDD">
        <w:t xml:space="preserve"> written notice of the new claim </w:t>
      </w:r>
      <w:r w:rsidR="00837A23" w:rsidRPr="00166DDD">
        <w:t xml:space="preserve">due </w:t>
      </w:r>
      <w:r w:rsidR="00306A4C" w:rsidRPr="00166DDD">
        <w:t>day; and</w:t>
      </w:r>
    </w:p>
    <w:p w:rsidR="00306A4C" w:rsidRPr="00166DDD" w:rsidRDefault="00306A4C" w:rsidP="00166DDD">
      <w:pPr>
        <w:pStyle w:val="paragraph"/>
      </w:pPr>
      <w:r w:rsidRPr="00166DDD">
        <w:tab/>
      </w:r>
      <w:r w:rsidR="00501805" w:rsidRPr="00166DDD">
        <w:t>(c</w:t>
      </w:r>
      <w:r w:rsidRPr="00166DDD">
        <w:t>)</w:t>
      </w:r>
      <w:r w:rsidRPr="00166DDD">
        <w:tab/>
      </w:r>
      <w:r w:rsidR="00501805" w:rsidRPr="00166DDD">
        <w:t xml:space="preserve">the </w:t>
      </w:r>
      <w:r w:rsidRPr="00166DDD">
        <w:t xml:space="preserve">new claim due day is taken to be the day specified in the notice under </w:t>
      </w:r>
      <w:r w:rsidR="00166DDD" w:rsidRPr="00166DDD">
        <w:t>subsection (</w:t>
      </w:r>
      <w:r w:rsidRPr="00166DDD">
        <w:t xml:space="preserve">2) </w:t>
      </w:r>
      <w:r w:rsidR="00501805" w:rsidRPr="00166DDD">
        <w:t>for the purposes of subparagraph 1061PAC(b)(ii) of the 1991 Act</w:t>
      </w:r>
      <w:r w:rsidRPr="00166DDD">
        <w:t>.</w:t>
      </w:r>
    </w:p>
    <w:p w:rsidR="000F07E4" w:rsidRPr="00166DDD" w:rsidRDefault="000F07E4" w:rsidP="00166DDD">
      <w:pPr>
        <w:pStyle w:val="ItemHead"/>
      </w:pPr>
      <w:r w:rsidRPr="00166DDD">
        <w:t>14  At the end of section</w:t>
      </w:r>
      <w:r w:rsidR="00166DDD" w:rsidRPr="00166DDD">
        <w:t> </w:t>
      </w:r>
      <w:r w:rsidRPr="00166DDD">
        <w:t>36</w:t>
      </w:r>
    </w:p>
    <w:p w:rsidR="000F07E4" w:rsidRPr="00166DDD" w:rsidRDefault="000F07E4" w:rsidP="00166DDD">
      <w:pPr>
        <w:pStyle w:val="Item"/>
      </w:pPr>
      <w:r w:rsidRPr="00166DDD">
        <w:t>Add:</w:t>
      </w:r>
    </w:p>
    <w:p w:rsidR="000F07E4" w:rsidRPr="00166DDD" w:rsidRDefault="000F07E4" w:rsidP="00166DDD">
      <w:pPr>
        <w:pStyle w:val="subsection"/>
      </w:pPr>
      <w:r w:rsidRPr="00166DDD">
        <w:tab/>
        <w:t>(3)</w:t>
      </w:r>
      <w:r w:rsidRPr="00166DDD">
        <w:tab/>
        <w:t>If more than one person makes a claim for an AVTOP as a secondary victim of a declared overseas terrorist act in relation to the same close family member, the Secretary must determine the claims at the same time.</w:t>
      </w:r>
    </w:p>
    <w:p w:rsidR="004B2D98" w:rsidRPr="00166DDD" w:rsidRDefault="004B2D98" w:rsidP="00166DDD">
      <w:pPr>
        <w:pStyle w:val="PageBreak"/>
      </w:pPr>
      <w:r w:rsidRPr="00166DDD">
        <w:br w:type="page"/>
      </w:r>
    </w:p>
    <w:p w:rsidR="000F07E4" w:rsidRPr="00166DDD" w:rsidRDefault="000F07E4" w:rsidP="00166DDD">
      <w:pPr>
        <w:pStyle w:val="ActHead7"/>
      </w:pPr>
      <w:bookmarkStart w:id="24" w:name="_Toc288487077"/>
      <w:r w:rsidRPr="00166DDD">
        <w:rPr>
          <w:rStyle w:val="CharAmPartNo"/>
        </w:rPr>
        <w:lastRenderedPageBreak/>
        <w:t>Part</w:t>
      </w:r>
      <w:r w:rsidR="00166DDD" w:rsidRPr="00166DDD">
        <w:rPr>
          <w:rStyle w:val="CharAmPartNo"/>
        </w:rPr>
        <w:t> </w:t>
      </w:r>
      <w:r w:rsidRPr="00166DDD">
        <w:rPr>
          <w:rStyle w:val="CharAmPartNo"/>
        </w:rPr>
        <w:t>2</w:t>
      </w:r>
      <w:r w:rsidRPr="00166DDD">
        <w:t>—</w:t>
      </w:r>
      <w:r w:rsidRPr="00166DDD">
        <w:rPr>
          <w:rStyle w:val="CharAmPartText"/>
        </w:rPr>
        <w:t>Other amendments</w:t>
      </w:r>
      <w:bookmarkEnd w:id="24"/>
    </w:p>
    <w:p w:rsidR="000F07E4" w:rsidRPr="00166DDD" w:rsidRDefault="000F07E4" w:rsidP="00166DDD">
      <w:pPr>
        <w:pStyle w:val="ActHead9"/>
        <w:rPr>
          <w:i w:val="0"/>
        </w:rPr>
      </w:pPr>
      <w:bookmarkStart w:id="25" w:name="_Toc288487078"/>
      <w:r w:rsidRPr="00166DDD">
        <w:t>A New Tax System (Family Assistance) Act 1999</w:t>
      </w:r>
      <w:bookmarkEnd w:id="25"/>
    </w:p>
    <w:p w:rsidR="000F07E4" w:rsidRPr="00166DDD" w:rsidRDefault="000F07E4" w:rsidP="00166DDD">
      <w:pPr>
        <w:pStyle w:val="ItemHead"/>
      </w:pPr>
      <w:r w:rsidRPr="00166DDD">
        <w:t>15  After paragraph 7(c) of Schedule</w:t>
      </w:r>
      <w:r w:rsidR="00166DDD" w:rsidRPr="00166DDD">
        <w:t> </w:t>
      </w:r>
      <w:r w:rsidRPr="00166DDD">
        <w:t>3</w:t>
      </w:r>
    </w:p>
    <w:p w:rsidR="000F07E4" w:rsidRPr="00166DDD" w:rsidRDefault="000F07E4" w:rsidP="00166DDD">
      <w:pPr>
        <w:pStyle w:val="Item"/>
      </w:pPr>
      <w:r w:rsidRPr="00166DDD">
        <w:t>Insert:</w:t>
      </w:r>
    </w:p>
    <w:p w:rsidR="000F07E4" w:rsidRPr="00166DDD" w:rsidRDefault="000F07E4" w:rsidP="00166DDD">
      <w:pPr>
        <w:pStyle w:val="paragraph"/>
      </w:pPr>
      <w:r w:rsidRPr="00166DDD">
        <w:tab/>
        <w:t>(ca)</w:t>
      </w:r>
      <w:r w:rsidRPr="00166DDD">
        <w:tab/>
        <w:t>an Australian Victim of Terrorism Overseas Payment under Part</w:t>
      </w:r>
      <w:r w:rsidR="00166DDD" w:rsidRPr="00166DDD">
        <w:t> </w:t>
      </w:r>
      <w:r w:rsidRPr="00166DDD">
        <w:t xml:space="preserve">2.24AA of the </w:t>
      </w:r>
      <w:r w:rsidRPr="00166DDD">
        <w:rPr>
          <w:i/>
        </w:rPr>
        <w:t>Social Security Act 1991</w:t>
      </w:r>
      <w:r w:rsidRPr="00166DDD">
        <w:t>;</w:t>
      </w:r>
    </w:p>
    <w:p w:rsidR="000F07E4" w:rsidRPr="00166DDD" w:rsidRDefault="000F07E4" w:rsidP="00166DDD">
      <w:pPr>
        <w:pStyle w:val="ActHead9"/>
        <w:rPr>
          <w:i w:val="0"/>
        </w:rPr>
      </w:pPr>
      <w:bookmarkStart w:id="26" w:name="_Toc288487079"/>
      <w:r w:rsidRPr="00166DDD">
        <w:t>Health and Other Services (Compensation) Act 1995</w:t>
      </w:r>
      <w:bookmarkEnd w:id="26"/>
    </w:p>
    <w:p w:rsidR="000F07E4" w:rsidRPr="00166DDD" w:rsidRDefault="000F07E4" w:rsidP="00166DDD">
      <w:pPr>
        <w:pStyle w:val="ItemHead"/>
      </w:pPr>
      <w:r w:rsidRPr="00166DDD">
        <w:t>16  After paragraph 4(2)(b)</w:t>
      </w:r>
    </w:p>
    <w:p w:rsidR="000F07E4" w:rsidRPr="00166DDD" w:rsidRDefault="000F07E4" w:rsidP="00166DDD">
      <w:pPr>
        <w:pStyle w:val="Item"/>
      </w:pPr>
      <w:r w:rsidRPr="00166DDD">
        <w:t>Insert:</w:t>
      </w:r>
    </w:p>
    <w:p w:rsidR="000F07E4" w:rsidRPr="00166DDD" w:rsidRDefault="000F07E4" w:rsidP="00166DDD">
      <w:pPr>
        <w:pStyle w:val="paragraph"/>
      </w:pPr>
      <w:r w:rsidRPr="00166DDD">
        <w:tab/>
        <w:t>(</w:t>
      </w:r>
      <w:proofErr w:type="spellStart"/>
      <w:r w:rsidRPr="00166DDD">
        <w:t>ba</w:t>
      </w:r>
      <w:proofErr w:type="spellEnd"/>
      <w:r w:rsidRPr="00166DDD">
        <w:t>)</w:t>
      </w:r>
      <w:r w:rsidRPr="00166DDD">
        <w:tab/>
        <w:t>a payment of an Australian Victim of Terrorism Overseas Payment under Part</w:t>
      </w:r>
      <w:r w:rsidR="00166DDD" w:rsidRPr="00166DDD">
        <w:t> </w:t>
      </w:r>
      <w:r w:rsidRPr="00166DDD">
        <w:t xml:space="preserve">2.24AA of the </w:t>
      </w:r>
      <w:r w:rsidRPr="00166DDD">
        <w:rPr>
          <w:i/>
        </w:rPr>
        <w:t>Social Security Act 1991</w:t>
      </w:r>
      <w:r w:rsidRPr="00166DDD">
        <w:t>; or</w:t>
      </w:r>
    </w:p>
    <w:p w:rsidR="000F07E4" w:rsidRPr="00166DDD" w:rsidRDefault="000F07E4" w:rsidP="00166DDD">
      <w:pPr>
        <w:pStyle w:val="ActHead9"/>
        <w:rPr>
          <w:i w:val="0"/>
        </w:rPr>
      </w:pPr>
      <w:bookmarkStart w:id="27" w:name="_Toc288487080"/>
      <w:r w:rsidRPr="00166DDD">
        <w:t>Income Tax Assessment Act 1997</w:t>
      </w:r>
      <w:bookmarkEnd w:id="27"/>
    </w:p>
    <w:p w:rsidR="000F07E4" w:rsidRPr="00166DDD" w:rsidRDefault="000F07E4" w:rsidP="00166DDD">
      <w:pPr>
        <w:pStyle w:val="ItemHead"/>
      </w:pPr>
      <w:r w:rsidRPr="00166DDD">
        <w:t>17  After subsection 52</w:t>
      </w:r>
      <w:r w:rsidR="00166DDD" w:rsidRPr="00166DDD">
        <w:noBreakHyphen/>
      </w:r>
      <w:r w:rsidRPr="00166DDD">
        <w:t>10(1J)</w:t>
      </w:r>
    </w:p>
    <w:p w:rsidR="000F07E4" w:rsidRPr="00166DDD" w:rsidRDefault="000F07E4" w:rsidP="00166DDD">
      <w:pPr>
        <w:pStyle w:val="Item"/>
      </w:pPr>
      <w:r w:rsidRPr="00166DDD">
        <w:t>Insert:</w:t>
      </w:r>
    </w:p>
    <w:p w:rsidR="000F07E4" w:rsidRPr="00166DDD" w:rsidRDefault="000F07E4" w:rsidP="00166DDD">
      <w:pPr>
        <w:pStyle w:val="subsection"/>
      </w:pPr>
      <w:r w:rsidRPr="00166DDD">
        <w:tab/>
        <w:t>(1K)</w:t>
      </w:r>
      <w:r w:rsidRPr="00166DDD">
        <w:tab/>
        <w:t>Australian Victim of Terrorism Overseas Payment under Part</w:t>
      </w:r>
      <w:r w:rsidR="00166DDD" w:rsidRPr="00166DDD">
        <w:t> </w:t>
      </w:r>
      <w:r w:rsidRPr="00166DDD">
        <w:t xml:space="preserve">2.24AA the </w:t>
      </w:r>
      <w:r w:rsidRPr="00166DDD">
        <w:rPr>
          <w:i/>
        </w:rPr>
        <w:t>Social Security Act 1991</w:t>
      </w:r>
      <w:r w:rsidRPr="00166DDD">
        <w:t xml:space="preserve"> is exempt from income tax.</w:t>
      </w:r>
    </w:p>
    <w:p w:rsidR="000F07E4" w:rsidRPr="00166DDD" w:rsidRDefault="000F07E4" w:rsidP="00166DDD">
      <w:pPr>
        <w:pStyle w:val="ItemHead"/>
      </w:pPr>
      <w:r w:rsidRPr="00166DDD">
        <w:t>18  Section</w:t>
      </w:r>
      <w:r w:rsidR="00166DDD" w:rsidRPr="00166DDD">
        <w:t> </w:t>
      </w:r>
      <w:r w:rsidRPr="00166DDD">
        <w:t>52</w:t>
      </w:r>
      <w:r w:rsidR="00166DDD" w:rsidRPr="00166DDD">
        <w:noBreakHyphen/>
      </w:r>
      <w:r w:rsidRPr="00166DDD">
        <w:t>40 (after table item</w:t>
      </w:r>
      <w:r w:rsidR="00166DDD" w:rsidRPr="00166DDD">
        <w:t> </w:t>
      </w:r>
      <w:r w:rsidRPr="00166DDD">
        <w:t>2AA)</w:t>
      </w:r>
    </w:p>
    <w:p w:rsidR="000F07E4" w:rsidRPr="00166DDD" w:rsidRDefault="000F07E4" w:rsidP="00166DDD">
      <w:pPr>
        <w:pStyle w:val="Item"/>
      </w:pPr>
      <w:r w:rsidRPr="00166DDD">
        <w:t>Insert:</w:t>
      </w:r>
    </w:p>
    <w:tbl>
      <w:tblPr>
        <w:tblW w:w="0" w:type="auto"/>
        <w:tblInd w:w="119" w:type="dxa"/>
        <w:tblLayout w:type="fixed"/>
        <w:tblLook w:val="0000"/>
      </w:tblPr>
      <w:tblGrid>
        <w:gridCol w:w="697"/>
        <w:gridCol w:w="1559"/>
        <w:gridCol w:w="1277"/>
        <w:gridCol w:w="1700"/>
        <w:gridCol w:w="1843"/>
      </w:tblGrid>
      <w:tr w:rsidR="000F07E4" w:rsidRPr="00166DDD" w:rsidTr="00BD78D0">
        <w:trPr>
          <w:cantSplit/>
        </w:trPr>
        <w:tc>
          <w:tcPr>
            <w:tcW w:w="697" w:type="dxa"/>
            <w:shd w:val="clear" w:color="auto" w:fill="auto"/>
          </w:tcPr>
          <w:p w:rsidR="000F07E4" w:rsidRPr="00166DDD" w:rsidRDefault="000F07E4" w:rsidP="00166DDD">
            <w:pPr>
              <w:pStyle w:val="Tabletext"/>
            </w:pPr>
            <w:r w:rsidRPr="00166DDD">
              <w:t>2AB</w:t>
            </w:r>
          </w:p>
        </w:tc>
        <w:tc>
          <w:tcPr>
            <w:tcW w:w="1559" w:type="dxa"/>
            <w:shd w:val="clear" w:color="auto" w:fill="auto"/>
          </w:tcPr>
          <w:p w:rsidR="000F07E4" w:rsidRPr="00166DDD" w:rsidRDefault="000F07E4" w:rsidP="00166DDD">
            <w:pPr>
              <w:pStyle w:val="Tabletext"/>
            </w:pPr>
            <w:r w:rsidRPr="00166DDD">
              <w:t>Australian Victim of Terrorism Overseas Payment</w:t>
            </w:r>
          </w:p>
        </w:tc>
        <w:tc>
          <w:tcPr>
            <w:tcW w:w="1277" w:type="dxa"/>
            <w:shd w:val="clear" w:color="auto" w:fill="auto"/>
          </w:tcPr>
          <w:p w:rsidR="000F07E4" w:rsidRPr="00166DDD" w:rsidRDefault="000F07E4" w:rsidP="00166DDD">
            <w:pPr>
              <w:pStyle w:val="Tabletext"/>
            </w:pPr>
            <w:r w:rsidRPr="00166DDD">
              <w:t>Part</w:t>
            </w:r>
            <w:r w:rsidR="00166DDD" w:rsidRPr="00166DDD">
              <w:t> </w:t>
            </w:r>
            <w:r w:rsidRPr="00166DDD">
              <w:t>2.24AA</w:t>
            </w:r>
          </w:p>
        </w:tc>
        <w:tc>
          <w:tcPr>
            <w:tcW w:w="1700" w:type="dxa"/>
            <w:shd w:val="clear" w:color="auto" w:fill="auto"/>
          </w:tcPr>
          <w:p w:rsidR="000F07E4" w:rsidRPr="00166DDD" w:rsidRDefault="000F07E4" w:rsidP="00166DDD">
            <w:pPr>
              <w:pStyle w:val="Tabletext"/>
            </w:pPr>
            <w:r w:rsidRPr="00166DDD">
              <w:t>Not applicable</w:t>
            </w:r>
          </w:p>
        </w:tc>
        <w:tc>
          <w:tcPr>
            <w:tcW w:w="1843" w:type="dxa"/>
            <w:shd w:val="clear" w:color="auto" w:fill="auto"/>
          </w:tcPr>
          <w:p w:rsidR="000F07E4" w:rsidRPr="00166DDD" w:rsidRDefault="000F07E4" w:rsidP="00166DDD">
            <w:pPr>
              <w:pStyle w:val="Tabletext"/>
            </w:pPr>
            <w:r w:rsidRPr="00166DDD">
              <w:t>Not applicable</w:t>
            </w:r>
          </w:p>
        </w:tc>
      </w:tr>
    </w:tbl>
    <w:p w:rsidR="000F07E4" w:rsidRPr="00166DDD" w:rsidRDefault="000F07E4" w:rsidP="00166DDD">
      <w:pPr>
        <w:pStyle w:val="ActHead9"/>
        <w:rPr>
          <w:i w:val="0"/>
        </w:rPr>
      </w:pPr>
      <w:bookmarkStart w:id="28" w:name="_Toc288487081"/>
      <w:r w:rsidRPr="00166DDD">
        <w:t>Safety, Rehabilitation and Compensation Act 1988</w:t>
      </w:r>
      <w:bookmarkEnd w:id="28"/>
    </w:p>
    <w:p w:rsidR="000F07E4" w:rsidRPr="00166DDD" w:rsidRDefault="000F07E4" w:rsidP="00166DDD">
      <w:pPr>
        <w:pStyle w:val="ItemHead"/>
      </w:pPr>
      <w:r w:rsidRPr="00166DDD">
        <w:t>19  Subsection 48(9)</w:t>
      </w:r>
    </w:p>
    <w:p w:rsidR="000F07E4" w:rsidRPr="00166DDD" w:rsidRDefault="000F07E4" w:rsidP="00166DDD">
      <w:pPr>
        <w:pStyle w:val="Item"/>
      </w:pPr>
      <w:r w:rsidRPr="00166DDD">
        <w:t>Repeal the subsection, substitute:</w:t>
      </w:r>
    </w:p>
    <w:p w:rsidR="000F07E4" w:rsidRPr="00166DDD" w:rsidRDefault="000F07E4" w:rsidP="00166DDD">
      <w:pPr>
        <w:pStyle w:val="subsection"/>
      </w:pPr>
      <w:r w:rsidRPr="00166DDD">
        <w:lastRenderedPageBreak/>
        <w:tab/>
        <w:t>(9)</w:t>
      </w:r>
      <w:r w:rsidRPr="00166DDD">
        <w:tab/>
        <w:t xml:space="preserve">In this section, </w:t>
      </w:r>
      <w:r w:rsidRPr="00166DDD">
        <w:rPr>
          <w:b/>
          <w:i/>
        </w:rPr>
        <w:t>damages</w:t>
      </w:r>
      <w:r w:rsidRPr="00166DDD">
        <w:t xml:space="preserve"> does not include the following:</w:t>
      </w:r>
    </w:p>
    <w:p w:rsidR="000F07E4" w:rsidRPr="00166DDD" w:rsidRDefault="000F07E4" w:rsidP="00166DDD">
      <w:pPr>
        <w:pStyle w:val="paragraph"/>
      </w:pPr>
      <w:r w:rsidRPr="00166DDD">
        <w:tab/>
        <w:t>(a)</w:t>
      </w:r>
      <w:r w:rsidRPr="00166DDD">
        <w:tab/>
        <w:t>an amount of damages paid to the Commonwealth in accordance with section</w:t>
      </w:r>
      <w:r w:rsidR="00166DDD" w:rsidRPr="00166DDD">
        <w:t> </w:t>
      </w:r>
      <w:r w:rsidRPr="00166DDD">
        <w:t xml:space="preserve">76 of the </w:t>
      </w:r>
      <w:r w:rsidRPr="00166DDD">
        <w:rPr>
          <w:i/>
        </w:rPr>
        <w:t>Veterans’ Entitlements Act 1986</w:t>
      </w:r>
      <w:r w:rsidRPr="00166DDD">
        <w:t>;</w:t>
      </w:r>
    </w:p>
    <w:p w:rsidR="000F07E4" w:rsidRPr="00166DDD" w:rsidRDefault="000F07E4" w:rsidP="00166DDD">
      <w:pPr>
        <w:pStyle w:val="paragraph"/>
      </w:pPr>
      <w:r w:rsidRPr="00166DDD">
        <w:tab/>
        <w:t>(b)</w:t>
      </w:r>
      <w:r w:rsidRPr="00166DDD">
        <w:tab/>
        <w:t>an Australian Victim of Terrorism Overseas Payment under Part</w:t>
      </w:r>
      <w:r w:rsidR="00166DDD" w:rsidRPr="00166DDD">
        <w:t> </w:t>
      </w:r>
      <w:r w:rsidRPr="00166DDD">
        <w:t xml:space="preserve">2.24AA of the </w:t>
      </w:r>
      <w:r w:rsidRPr="00166DDD">
        <w:rPr>
          <w:i/>
        </w:rPr>
        <w:t>Social Security Act 1991</w:t>
      </w:r>
      <w:r w:rsidRPr="00166DDD">
        <w:t>.</w:t>
      </w:r>
    </w:p>
    <w:p w:rsidR="000F07E4" w:rsidRPr="00166DDD" w:rsidRDefault="000F07E4" w:rsidP="00166DDD">
      <w:pPr>
        <w:pStyle w:val="ActHead9"/>
        <w:rPr>
          <w:i w:val="0"/>
        </w:rPr>
      </w:pPr>
      <w:bookmarkStart w:id="29" w:name="_Toc288487082"/>
      <w:r w:rsidRPr="00166DDD">
        <w:t>Social Security Act 1991</w:t>
      </w:r>
      <w:bookmarkEnd w:id="29"/>
    </w:p>
    <w:p w:rsidR="000F07E4" w:rsidRPr="00166DDD" w:rsidRDefault="000F07E4" w:rsidP="00166DDD">
      <w:pPr>
        <w:pStyle w:val="ItemHead"/>
      </w:pPr>
      <w:r w:rsidRPr="00166DDD">
        <w:t xml:space="preserve">20  Subsection 14A(1) (after </w:t>
      </w:r>
      <w:r w:rsidR="00166DDD" w:rsidRPr="00166DDD">
        <w:t>paragraph (</w:t>
      </w:r>
      <w:proofErr w:type="spellStart"/>
      <w:r w:rsidRPr="00166DDD">
        <w:t>da</w:t>
      </w:r>
      <w:proofErr w:type="spellEnd"/>
      <w:r w:rsidRPr="00166DDD">
        <w:t xml:space="preserve">) of the definition of </w:t>
      </w:r>
      <w:r w:rsidRPr="00166DDD">
        <w:rPr>
          <w:i/>
        </w:rPr>
        <w:t>liquid assets</w:t>
      </w:r>
      <w:r w:rsidRPr="00166DDD">
        <w:t>)</w:t>
      </w:r>
    </w:p>
    <w:p w:rsidR="000F07E4" w:rsidRPr="00166DDD" w:rsidRDefault="000F07E4" w:rsidP="00166DDD">
      <w:pPr>
        <w:pStyle w:val="Item"/>
      </w:pPr>
      <w:r w:rsidRPr="00166DDD">
        <w:t>Insert:</w:t>
      </w:r>
    </w:p>
    <w:p w:rsidR="000F07E4" w:rsidRPr="00166DDD" w:rsidRDefault="000F07E4" w:rsidP="00166DDD">
      <w:pPr>
        <w:pStyle w:val="paragraph"/>
      </w:pPr>
      <w:r w:rsidRPr="00166DDD">
        <w:tab/>
        <w:t>(db)</w:t>
      </w:r>
      <w:r w:rsidRPr="00166DDD">
        <w:tab/>
        <w:t>an amount of an AVTOP that the person received, if the Secretary is satisfied that the length of time since receiving the payment is still reasonable in the circumstances; or</w:t>
      </w:r>
    </w:p>
    <w:p w:rsidR="000F07E4" w:rsidRPr="00166DDD" w:rsidRDefault="000F07E4" w:rsidP="00166DDD">
      <w:pPr>
        <w:pStyle w:val="ItemHead"/>
      </w:pPr>
      <w:r w:rsidRPr="00166DDD">
        <w:t>21  Section</w:t>
      </w:r>
      <w:r w:rsidR="00166DDD" w:rsidRPr="00166DDD">
        <w:t> </w:t>
      </w:r>
      <w:r w:rsidRPr="00166DDD">
        <w:t xml:space="preserve">19B (after </w:t>
      </w:r>
      <w:r w:rsidR="00166DDD" w:rsidRPr="00166DDD">
        <w:t>paragraph (</w:t>
      </w:r>
      <w:r w:rsidRPr="00166DDD">
        <w:t xml:space="preserve">g) of the definition of </w:t>
      </w:r>
      <w:r w:rsidRPr="00166DDD">
        <w:rPr>
          <w:i/>
        </w:rPr>
        <w:t>liquid assets</w:t>
      </w:r>
      <w:r w:rsidRPr="00166DDD">
        <w:t>)</w:t>
      </w:r>
    </w:p>
    <w:p w:rsidR="000F07E4" w:rsidRPr="00166DDD" w:rsidRDefault="000F07E4" w:rsidP="00166DDD">
      <w:pPr>
        <w:pStyle w:val="Item"/>
      </w:pPr>
      <w:r w:rsidRPr="00166DDD">
        <w:t>Insert:</w:t>
      </w:r>
    </w:p>
    <w:p w:rsidR="000F07E4" w:rsidRPr="00166DDD" w:rsidRDefault="000F07E4" w:rsidP="00166DDD">
      <w:pPr>
        <w:pStyle w:val="paragraph"/>
      </w:pPr>
      <w:r w:rsidRPr="00166DDD">
        <w:tab/>
        <w:t>; or (h)</w:t>
      </w:r>
      <w:r w:rsidRPr="00166DDD">
        <w:tab/>
        <w:t>an amount of an AVTOP that the person received, if the Secretary is satisfied that the length of time since receiving the payment is still reasonable in the circumstances.</w:t>
      </w:r>
    </w:p>
    <w:p w:rsidR="000F07E4" w:rsidRPr="00166DDD" w:rsidRDefault="000F07E4" w:rsidP="00166DDD">
      <w:pPr>
        <w:pStyle w:val="ItemHead"/>
      </w:pPr>
      <w:r w:rsidRPr="00166DDD">
        <w:t>22  Subsection 23(1)</w:t>
      </w:r>
    </w:p>
    <w:p w:rsidR="000F07E4" w:rsidRPr="00166DDD" w:rsidRDefault="000F07E4" w:rsidP="00166DDD">
      <w:pPr>
        <w:pStyle w:val="Item"/>
      </w:pPr>
      <w:r w:rsidRPr="00166DDD">
        <w:t>Insert:</w:t>
      </w:r>
    </w:p>
    <w:p w:rsidR="000F07E4" w:rsidRPr="00166DDD" w:rsidRDefault="000F07E4" w:rsidP="00166DDD">
      <w:pPr>
        <w:pStyle w:val="Definition"/>
      </w:pPr>
      <w:r w:rsidRPr="00166DDD">
        <w:rPr>
          <w:b/>
          <w:i/>
        </w:rPr>
        <w:t xml:space="preserve">involved </w:t>
      </w:r>
      <w:r w:rsidRPr="00166DDD">
        <w:t>in the commission of a declared overseas terrorist act has the meaning given by subsection 1061PAA(5).</w:t>
      </w:r>
    </w:p>
    <w:p w:rsidR="000F07E4" w:rsidRPr="00166DDD" w:rsidRDefault="000F07E4" w:rsidP="00166DDD">
      <w:pPr>
        <w:pStyle w:val="ActHead9"/>
        <w:rPr>
          <w:i w:val="0"/>
        </w:rPr>
      </w:pPr>
      <w:bookmarkStart w:id="30" w:name="_Toc288487083"/>
      <w:r w:rsidRPr="00166DDD">
        <w:t>Social Security (Administration) Act 1999</w:t>
      </w:r>
      <w:bookmarkEnd w:id="30"/>
    </w:p>
    <w:p w:rsidR="000F07E4" w:rsidRPr="00166DDD" w:rsidRDefault="000F07E4" w:rsidP="00166DDD">
      <w:pPr>
        <w:pStyle w:val="ItemHead"/>
      </w:pPr>
      <w:r w:rsidRPr="00166DDD">
        <w:t>23  At the end of subsection 16(6)</w:t>
      </w:r>
    </w:p>
    <w:p w:rsidR="000F07E4" w:rsidRPr="00166DDD" w:rsidRDefault="000F07E4" w:rsidP="00166DDD">
      <w:pPr>
        <w:pStyle w:val="Item"/>
      </w:pPr>
      <w:r w:rsidRPr="00166DDD">
        <w:t>Add:</w:t>
      </w:r>
    </w:p>
    <w:p w:rsidR="000F07E4" w:rsidRPr="00166DDD" w:rsidRDefault="000F07E4" w:rsidP="00166DDD">
      <w:pPr>
        <w:pStyle w:val="paragraph"/>
      </w:pPr>
      <w:r w:rsidRPr="00166DDD">
        <w:tab/>
        <w:t>; or (c)</w:t>
      </w:r>
      <w:r w:rsidRPr="00166DDD">
        <w:tab/>
        <w:t>claims for AVTOP.</w:t>
      </w:r>
    </w:p>
    <w:p w:rsidR="000F07E4" w:rsidRPr="00166DDD" w:rsidRDefault="000F07E4" w:rsidP="00166DDD">
      <w:pPr>
        <w:pStyle w:val="ItemHead"/>
      </w:pPr>
      <w:r w:rsidRPr="00166DDD">
        <w:t>24  After subsection 31(1)</w:t>
      </w:r>
    </w:p>
    <w:p w:rsidR="000F07E4" w:rsidRPr="00166DDD" w:rsidRDefault="000F07E4" w:rsidP="00166DDD">
      <w:pPr>
        <w:pStyle w:val="Item"/>
      </w:pPr>
      <w:r w:rsidRPr="00166DDD">
        <w:t>Insert:</w:t>
      </w:r>
    </w:p>
    <w:p w:rsidR="000F07E4" w:rsidRPr="00166DDD" w:rsidRDefault="000F07E4" w:rsidP="00166DDD">
      <w:pPr>
        <w:pStyle w:val="subsection"/>
      </w:pPr>
      <w:r w:rsidRPr="00166DDD">
        <w:tab/>
        <w:t>(1A)</w:t>
      </w:r>
      <w:r w:rsidRPr="00166DDD">
        <w:tab/>
        <w:t>Section</w:t>
      </w:r>
      <w:r w:rsidR="00166DDD" w:rsidRPr="00166DDD">
        <w:t> </w:t>
      </w:r>
      <w:r w:rsidRPr="00166DDD">
        <w:t>29 does not apply to a claim for an AVTOP.</w:t>
      </w:r>
    </w:p>
    <w:p w:rsidR="000F07E4" w:rsidRPr="00166DDD" w:rsidRDefault="000F07E4" w:rsidP="00166DDD">
      <w:pPr>
        <w:pStyle w:val="ItemHead"/>
      </w:pPr>
      <w:r w:rsidRPr="00166DDD">
        <w:lastRenderedPageBreak/>
        <w:t>25  Subsection 36(1)</w:t>
      </w:r>
    </w:p>
    <w:p w:rsidR="000F07E4" w:rsidRPr="00166DDD" w:rsidRDefault="000F07E4" w:rsidP="00166DDD">
      <w:pPr>
        <w:pStyle w:val="Item"/>
      </w:pPr>
      <w:r w:rsidRPr="00166DDD">
        <w:t>Omit “</w:t>
      </w:r>
      <w:r w:rsidR="00166DDD" w:rsidRPr="00166DDD">
        <w:t>subsection (</w:t>
      </w:r>
      <w:r w:rsidRPr="00166DDD">
        <w:t>2)”, substitute “this section”.</w:t>
      </w:r>
    </w:p>
    <w:p w:rsidR="000F07E4" w:rsidRPr="00166DDD" w:rsidRDefault="000F07E4" w:rsidP="00166DDD">
      <w:pPr>
        <w:pStyle w:val="ItemHead"/>
      </w:pPr>
      <w:r w:rsidRPr="00166DDD">
        <w:t>26  After section</w:t>
      </w:r>
      <w:r w:rsidR="00166DDD" w:rsidRPr="00166DDD">
        <w:t> </w:t>
      </w:r>
      <w:r w:rsidRPr="00166DDD">
        <w:t>46A</w:t>
      </w:r>
    </w:p>
    <w:p w:rsidR="000F07E4" w:rsidRPr="00166DDD" w:rsidRDefault="000F07E4" w:rsidP="00166DDD">
      <w:pPr>
        <w:pStyle w:val="Item"/>
      </w:pPr>
      <w:r w:rsidRPr="00166DDD">
        <w:t>Insert:</w:t>
      </w:r>
    </w:p>
    <w:p w:rsidR="000F07E4" w:rsidRPr="00166DDD" w:rsidRDefault="000F07E4" w:rsidP="00166DDD">
      <w:pPr>
        <w:pStyle w:val="ActHead5"/>
      </w:pPr>
      <w:bookmarkStart w:id="31" w:name="_Toc288487084"/>
      <w:r w:rsidRPr="00166DDD">
        <w:rPr>
          <w:rStyle w:val="CharSectno"/>
        </w:rPr>
        <w:t>46B</w:t>
      </w:r>
      <w:r w:rsidRPr="00166DDD">
        <w:t xml:space="preserve">  Payment of AVTOP</w:t>
      </w:r>
      <w:bookmarkEnd w:id="31"/>
    </w:p>
    <w:p w:rsidR="000F07E4" w:rsidRPr="00166DDD" w:rsidRDefault="000F07E4" w:rsidP="00166DDD">
      <w:pPr>
        <w:pStyle w:val="subsection"/>
      </w:pPr>
      <w:r w:rsidRPr="00166DDD">
        <w:tab/>
        <w:t>(1)</w:t>
      </w:r>
      <w:r w:rsidRPr="00166DDD">
        <w:tab/>
        <w:t xml:space="preserve">Unless the Secretary makes a determination under </w:t>
      </w:r>
      <w:r w:rsidR="00166DDD" w:rsidRPr="00166DDD">
        <w:t>subsection (</w:t>
      </w:r>
      <w:r w:rsidRPr="00166DDD">
        <w:t>2), a person’s AVTOP is to be paid in accordance with section</w:t>
      </w:r>
      <w:r w:rsidR="00166DDD" w:rsidRPr="00166DDD">
        <w:t> </w:t>
      </w:r>
      <w:r w:rsidRPr="00166DDD">
        <w:t>47.</w:t>
      </w:r>
    </w:p>
    <w:p w:rsidR="000F07E4" w:rsidRPr="00166DDD" w:rsidRDefault="000F07E4" w:rsidP="00166DDD">
      <w:pPr>
        <w:pStyle w:val="subsection"/>
      </w:pPr>
      <w:r w:rsidRPr="00166DDD">
        <w:tab/>
        <w:t>(2)</w:t>
      </w:r>
      <w:r w:rsidRPr="00166DDD">
        <w:tab/>
        <w:t>If the Secretary considers that it is appropriate for a person’s AVTOP to be paid by instalments, the Secretary may determine that the person’s AVTOP is to be so paid.</w:t>
      </w:r>
    </w:p>
    <w:p w:rsidR="000F07E4" w:rsidRPr="00166DDD" w:rsidRDefault="000F07E4" w:rsidP="00166DDD">
      <w:pPr>
        <w:pStyle w:val="ItemHead"/>
      </w:pPr>
      <w:r w:rsidRPr="00166DDD">
        <w:t xml:space="preserve">27  Subsection 47(1) (after </w:t>
      </w:r>
      <w:r w:rsidR="00166DDD" w:rsidRPr="00166DDD">
        <w:t>paragraph (</w:t>
      </w:r>
      <w:proofErr w:type="spellStart"/>
      <w:r w:rsidRPr="00166DDD">
        <w:t>aa</w:t>
      </w:r>
      <w:proofErr w:type="spellEnd"/>
      <w:r w:rsidRPr="00166DDD">
        <w:t xml:space="preserve">) of the definition of </w:t>
      </w:r>
      <w:r w:rsidRPr="00166DDD">
        <w:rPr>
          <w:i/>
        </w:rPr>
        <w:t>lump sum benefit</w:t>
      </w:r>
      <w:r w:rsidRPr="00166DDD">
        <w:t>)</w:t>
      </w:r>
    </w:p>
    <w:p w:rsidR="000F07E4" w:rsidRPr="00166DDD" w:rsidRDefault="000F07E4" w:rsidP="00166DDD">
      <w:pPr>
        <w:pStyle w:val="Item"/>
      </w:pPr>
      <w:r w:rsidRPr="00166DDD">
        <w:t>Insert:</w:t>
      </w:r>
    </w:p>
    <w:p w:rsidR="000F07E4" w:rsidRPr="00166DDD" w:rsidRDefault="000F07E4" w:rsidP="00166DDD">
      <w:pPr>
        <w:pStyle w:val="paragraph"/>
        <w:rPr>
          <w:szCs w:val="40"/>
        </w:rPr>
      </w:pPr>
      <w:r w:rsidRPr="00166DDD">
        <w:tab/>
        <w:t>(</w:t>
      </w:r>
      <w:proofErr w:type="spellStart"/>
      <w:r w:rsidRPr="00166DDD">
        <w:t>aaa</w:t>
      </w:r>
      <w:proofErr w:type="spellEnd"/>
      <w:r w:rsidRPr="00166DDD">
        <w:t>)</w:t>
      </w:r>
      <w:r w:rsidRPr="00166DDD">
        <w:tab/>
        <w:t>AVTOP, except where the Secretary has made a determination under subsection 46B(2)</w:t>
      </w:r>
      <w:r w:rsidRPr="00166DDD">
        <w:rPr>
          <w:szCs w:val="40"/>
        </w:rPr>
        <w:t>; or</w:t>
      </w:r>
    </w:p>
    <w:sectPr w:rsidR="000F07E4" w:rsidRPr="00166DDD" w:rsidSect="00166DDD">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08" w:rsidRDefault="00795008" w:rsidP="0048364F">
      <w:pPr>
        <w:spacing w:line="240" w:lineRule="auto"/>
      </w:pPr>
      <w:r>
        <w:separator/>
      </w:r>
    </w:p>
  </w:endnote>
  <w:endnote w:type="continuationSeparator" w:id="0">
    <w:p w:rsidR="00795008" w:rsidRDefault="00795008" w:rsidP="004836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166DDD" w:rsidRDefault="00795008" w:rsidP="00166DDD">
    <w:pPr>
      <w:pStyle w:val="Foote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166DDD" w:rsidRDefault="00795008" w:rsidP="00166DDD">
    <w:pPr>
      <w:pStyle w:val="Foote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ED79B6" w:rsidRDefault="00795008" w:rsidP="00166DDD">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ED79B6" w:rsidRDefault="00795008" w:rsidP="00166DDD">
    <w:pPr>
      <w:pBdr>
        <w:top w:val="single" w:sz="6" w:space="1" w:color="auto"/>
      </w:pBdr>
      <w:spacing w:before="120"/>
      <w:rPr>
        <w:sz w:val="18"/>
      </w:rPr>
    </w:pPr>
  </w:p>
  <w:p w:rsidR="00795008" w:rsidRPr="00ED79B6" w:rsidRDefault="00E810A2" w:rsidP="0048364F">
    <w:pPr>
      <w:jc w:val="right"/>
      <w:rPr>
        <w:i/>
        <w:sz w:val="18"/>
      </w:rPr>
    </w:pPr>
    <w:r w:rsidRPr="00ED79B6">
      <w:rPr>
        <w:i/>
        <w:sz w:val="18"/>
      </w:rPr>
      <w:fldChar w:fldCharType="begin"/>
    </w:r>
    <w:r w:rsidR="00795008">
      <w:rPr>
        <w:i/>
        <w:sz w:val="18"/>
      </w:rPr>
      <w:instrText xml:space="preserve"> DOCPROPERTY ShortT </w:instrText>
    </w:r>
    <w:r w:rsidRPr="00ED79B6">
      <w:rPr>
        <w:i/>
        <w:sz w:val="18"/>
      </w:rPr>
      <w:fldChar w:fldCharType="separate"/>
    </w:r>
    <w:r w:rsidR="0033513A">
      <w:rPr>
        <w:i/>
        <w:sz w:val="18"/>
      </w:rPr>
      <w:t>Social Security Amendment (Supporting Australian Victims of Terrorism Overseas) Bill 2011</w:t>
    </w:r>
    <w:r w:rsidRPr="00ED79B6">
      <w:rPr>
        <w:i/>
        <w:sz w:val="18"/>
      </w:rPr>
      <w:fldChar w:fldCharType="end"/>
    </w:r>
    <w:r w:rsidR="00795008" w:rsidRPr="00ED79B6">
      <w:rPr>
        <w:i/>
        <w:sz w:val="18"/>
      </w:rPr>
      <w:t xml:space="preserve">       </w:t>
    </w:r>
    <w:r w:rsidRPr="00ED79B6">
      <w:rPr>
        <w:i/>
        <w:sz w:val="18"/>
      </w:rPr>
      <w:fldChar w:fldCharType="begin"/>
    </w:r>
    <w:r w:rsidR="00795008">
      <w:rPr>
        <w:i/>
        <w:sz w:val="18"/>
      </w:rPr>
      <w:instrText xml:space="preserve"> DOCPROPERTY ActNo </w:instrText>
    </w:r>
    <w:r w:rsidRPr="00ED79B6">
      <w:rPr>
        <w:i/>
        <w:sz w:val="18"/>
      </w:rPr>
      <w:fldChar w:fldCharType="separate"/>
    </w:r>
    <w:r w:rsidR="0033513A">
      <w:rPr>
        <w:i/>
        <w:sz w:val="18"/>
      </w:rPr>
      <w:t>No.      , 2011</w:t>
    </w:r>
    <w:r w:rsidRPr="00ED79B6">
      <w:rPr>
        <w:i/>
        <w:sz w:val="18"/>
      </w:rPr>
      <w:fldChar w:fldCharType="end"/>
    </w:r>
    <w:r w:rsidR="00795008" w:rsidRPr="00ED79B6">
      <w:rPr>
        <w:i/>
        <w:sz w:val="18"/>
      </w:rPr>
      <w:t xml:space="preserve">       </w:t>
    </w:r>
    <w:r w:rsidRPr="00ED79B6">
      <w:rPr>
        <w:i/>
        <w:sz w:val="18"/>
      </w:rPr>
      <w:fldChar w:fldCharType="begin"/>
    </w:r>
    <w:r w:rsidR="00795008" w:rsidRPr="00ED79B6">
      <w:rPr>
        <w:i/>
        <w:sz w:val="18"/>
      </w:rPr>
      <w:instrText xml:space="preserve"> PAGE </w:instrText>
    </w:r>
    <w:r w:rsidRPr="00ED79B6">
      <w:rPr>
        <w:i/>
        <w:sz w:val="18"/>
      </w:rPr>
      <w:fldChar w:fldCharType="separate"/>
    </w:r>
    <w:r w:rsidR="00166DDD">
      <w:rPr>
        <w:i/>
        <w:noProof/>
        <w:sz w:val="18"/>
      </w:rPr>
      <w:t>ii</w:t>
    </w:r>
    <w:r w:rsidRPr="00ED79B6">
      <w:rPr>
        <w:i/>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ED79B6" w:rsidRDefault="00795008" w:rsidP="00166DDD">
    <w:pPr>
      <w:pBdr>
        <w:top w:val="single" w:sz="6" w:space="1" w:color="auto"/>
      </w:pBdr>
      <w:spacing w:before="120"/>
      <w:rPr>
        <w:sz w:val="18"/>
      </w:rPr>
    </w:pPr>
  </w:p>
  <w:p w:rsidR="00795008" w:rsidRPr="00ED79B6" w:rsidRDefault="00E810A2" w:rsidP="0048364F">
    <w:pPr>
      <w:rPr>
        <w:i/>
        <w:sz w:val="18"/>
      </w:rPr>
    </w:pPr>
    <w:r w:rsidRPr="00ED79B6">
      <w:rPr>
        <w:i/>
        <w:sz w:val="18"/>
      </w:rPr>
      <w:fldChar w:fldCharType="begin"/>
    </w:r>
    <w:r w:rsidR="00795008" w:rsidRPr="00ED79B6">
      <w:rPr>
        <w:i/>
        <w:sz w:val="18"/>
      </w:rPr>
      <w:instrText xml:space="preserve"> PAGE </w:instrText>
    </w:r>
    <w:r w:rsidRPr="00ED79B6">
      <w:rPr>
        <w:i/>
        <w:sz w:val="18"/>
      </w:rPr>
      <w:fldChar w:fldCharType="separate"/>
    </w:r>
    <w:r w:rsidR="006C34A6">
      <w:rPr>
        <w:i/>
        <w:noProof/>
        <w:sz w:val="18"/>
      </w:rPr>
      <w:t>i</w:t>
    </w:r>
    <w:r w:rsidRPr="00ED79B6">
      <w:rPr>
        <w:i/>
        <w:sz w:val="18"/>
      </w:rPr>
      <w:fldChar w:fldCharType="end"/>
    </w:r>
    <w:r w:rsidR="00795008" w:rsidRPr="00ED79B6">
      <w:rPr>
        <w:i/>
        <w:sz w:val="18"/>
      </w:rPr>
      <w:t xml:space="preserve">       </w:t>
    </w:r>
    <w:r w:rsidRPr="00ED79B6">
      <w:rPr>
        <w:i/>
        <w:sz w:val="18"/>
      </w:rPr>
      <w:fldChar w:fldCharType="begin"/>
    </w:r>
    <w:r w:rsidR="00795008">
      <w:rPr>
        <w:i/>
        <w:sz w:val="18"/>
      </w:rPr>
      <w:instrText xml:space="preserve"> DOCPROPERTY ShortT </w:instrText>
    </w:r>
    <w:r w:rsidRPr="00ED79B6">
      <w:rPr>
        <w:i/>
        <w:sz w:val="18"/>
      </w:rPr>
      <w:fldChar w:fldCharType="separate"/>
    </w:r>
    <w:r w:rsidR="0033513A">
      <w:rPr>
        <w:i/>
        <w:sz w:val="18"/>
      </w:rPr>
      <w:t>Social Security Amendment (Supporting Australian Victims of Terrorism Overseas) Bill 2011</w:t>
    </w:r>
    <w:r w:rsidRPr="00ED79B6">
      <w:rPr>
        <w:i/>
        <w:sz w:val="18"/>
      </w:rPr>
      <w:fldChar w:fldCharType="end"/>
    </w:r>
    <w:r w:rsidR="00795008" w:rsidRPr="00ED79B6">
      <w:rPr>
        <w:i/>
        <w:sz w:val="18"/>
      </w:rPr>
      <w:t xml:space="preserve">       </w:t>
    </w:r>
    <w:r w:rsidRPr="00ED79B6">
      <w:rPr>
        <w:i/>
        <w:sz w:val="18"/>
      </w:rPr>
      <w:fldChar w:fldCharType="begin"/>
    </w:r>
    <w:r w:rsidR="00795008">
      <w:rPr>
        <w:i/>
        <w:sz w:val="18"/>
      </w:rPr>
      <w:instrText xml:space="preserve"> DOCPROPERTY ActNo </w:instrText>
    </w:r>
    <w:r w:rsidRPr="00ED79B6">
      <w:rPr>
        <w:i/>
        <w:sz w:val="18"/>
      </w:rPr>
      <w:fldChar w:fldCharType="separate"/>
    </w:r>
    <w:r w:rsidR="0033513A">
      <w:rPr>
        <w:i/>
        <w:sz w:val="18"/>
      </w:rPr>
      <w:t>No.      , 2011</w:t>
    </w:r>
    <w:r w:rsidRPr="00ED79B6">
      <w:rPr>
        <w:i/>
        <w:sz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A961C4" w:rsidRDefault="00795008" w:rsidP="00166DDD">
    <w:pPr>
      <w:pBdr>
        <w:top w:val="single" w:sz="6" w:space="1" w:color="auto"/>
      </w:pBdr>
      <w:spacing w:before="120"/>
      <w:jc w:val="right"/>
      <w:rPr>
        <w:sz w:val="18"/>
      </w:rPr>
    </w:pPr>
  </w:p>
  <w:p w:rsidR="00795008" w:rsidRPr="00A961C4" w:rsidRDefault="00E810A2" w:rsidP="0048364F">
    <w:pPr>
      <w:rPr>
        <w:i/>
        <w:sz w:val="18"/>
      </w:rPr>
    </w:pPr>
    <w:r w:rsidRPr="00A961C4">
      <w:rPr>
        <w:i/>
        <w:sz w:val="18"/>
      </w:rPr>
      <w:fldChar w:fldCharType="begin"/>
    </w:r>
    <w:r w:rsidR="00795008" w:rsidRPr="00A961C4">
      <w:rPr>
        <w:i/>
        <w:sz w:val="18"/>
      </w:rPr>
      <w:instrText xml:space="preserve"> PAGE </w:instrText>
    </w:r>
    <w:r w:rsidRPr="00A961C4">
      <w:rPr>
        <w:i/>
        <w:sz w:val="18"/>
      </w:rPr>
      <w:fldChar w:fldCharType="separate"/>
    </w:r>
    <w:r w:rsidR="006C34A6">
      <w:rPr>
        <w:i/>
        <w:noProof/>
        <w:sz w:val="18"/>
      </w:rPr>
      <w:t>14</w:t>
    </w:r>
    <w:r w:rsidRPr="00A961C4">
      <w:rPr>
        <w:i/>
        <w:sz w:val="18"/>
      </w:rPr>
      <w:fldChar w:fldCharType="end"/>
    </w:r>
    <w:r w:rsidR="00795008" w:rsidRPr="00A961C4">
      <w:rPr>
        <w:i/>
        <w:sz w:val="18"/>
      </w:rPr>
      <w:t xml:space="preserve">            </w:t>
    </w:r>
    <w:r w:rsidRPr="00A961C4">
      <w:rPr>
        <w:i/>
        <w:sz w:val="18"/>
      </w:rPr>
      <w:fldChar w:fldCharType="begin"/>
    </w:r>
    <w:r w:rsidR="00795008">
      <w:rPr>
        <w:i/>
        <w:sz w:val="18"/>
      </w:rPr>
      <w:instrText xml:space="preserve"> DOCPROPERTY ShortT </w:instrText>
    </w:r>
    <w:r w:rsidRPr="00A961C4">
      <w:rPr>
        <w:i/>
        <w:sz w:val="18"/>
      </w:rPr>
      <w:fldChar w:fldCharType="separate"/>
    </w:r>
    <w:r w:rsidR="0033513A">
      <w:rPr>
        <w:i/>
        <w:sz w:val="18"/>
      </w:rPr>
      <w:t>Social Security Amendment (Supporting Australian Victims of Terrorism Overseas) Bill 2011</w:t>
    </w:r>
    <w:r w:rsidRPr="00A961C4">
      <w:rPr>
        <w:i/>
        <w:sz w:val="18"/>
      </w:rPr>
      <w:fldChar w:fldCharType="end"/>
    </w:r>
    <w:r w:rsidR="00795008" w:rsidRPr="00A961C4">
      <w:rPr>
        <w:i/>
        <w:sz w:val="18"/>
      </w:rPr>
      <w:t xml:space="preserve">       </w:t>
    </w:r>
    <w:r w:rsidRPr="00A961C4">
      <w:rPr>
        <w:i/>
        <w:sz w:val="18"/>
      </w:rPr>
      <w:fldChar w:fldCharType="begin"/>
    </w:r>
    <w:r w:rsidR="00795008">
      <w:rPr>
        <w:i/>
        <w:sz w:val="18"/>
      </w:rPr>
      <w:instrText xml:space="preserve"> DOCPROPERTY ActNo </w:instrText>
    </w:r>
    <w:r w:rsidRPr="00A961C4">
      <w:rPr>
        <w:i/>
        <w:sz w:val="18"/>
      </w:rPr>
      <w:fldChar w:fldCharType="separate"/>
    </w:r>
    <w:r w:rsidR="0033513A">
      <w:rPr>
        <w:i/>
        <w:sz w:val="18"/>
      </w:rPr>
      <w:t>No.      , 2011</w:t>
    </w:r>
    <w:r w:rsidRPr="00A961C4">
      <w:rPr>
        <w:i/>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A961C4" w:rsidRDefault="00795008" w:rsidP="00166DDD">
    <w:pPr>
      <w:pBdr>
        <w:top w:val="single" w:sz="6" w:space="1" w:color="auto"/>
      </w:pBdr>
      <w:spacing w:before="120"/>
      <w:rPr>
        <w:sz w:val="18"/>
      </w:rPr>
    </w:pPr>
  </w:p>
  <w:p w:rsidR="00795008" w:rsidRPr="00A961C4" w:rsidRDefault="00E810A2" w:rsidP="0048364F">
    <w:pPr>
      <w:jc w:val="right"/>
      <w:rPr>
        <w:i/>
        <w:sz w:val="18"/>
      </w:rPr>
    </w:pPr>
    <w:r w:rsidRPr="00A961C4">
      <w:rPr>
        <w:i/>
        <w:sz w:val="18"/>
      </w:rPr>
      <w:fldChar w:fldCharType="begin"/>
    </w:r>
    <w:r w:rsidR="00795008">
      <w:rPr>
        <w:i/>
        <w:sz w:val="18"/>
      </w:rPr>
      <w:instrText xml:space="preserve"> DOCPROPERTY ShortT </w:instrText>
    </w:r>
    <w:r w:rsidRPr="00A961C4">
      <w:rPr>
        <w:i/>
        <w:sz w:val="18"/>
      </w:rPr>
      <w:fldChar w:fldCharType="separate"/>
    </w:r>
    <w:r w:rsidR="0033513A">
      <w:rPr>
        <w:i/>
        <w:sz w:val="18"/>
      </w:rPr>
      <w:t>Social Security Amendment (Supporting Australian Victims of Terrorism Overseas) Bill 2011</w:t>
    </w:r>
    <w:r w:rsidRPr="00A961C4">
      <w:rPr>
        <w:i/>
        <w:sz w:val="18"/>
      </w:rPr>
      <w:fldChar w:fldCharType="end"/>
    </w:r>
    <w:r w:rsidR="00795008" w:rsidRPr="00A961C4">
      <w:rPr>
        <w:i/>
        <w:sz w:val="18"/>
      </w:rPr>
      <w:t xml:space="preserve">       </w:t>
    </w:r>
    <w:r w:rsidRPr="00A961C4">
      <w:rPr>
        <w:i/>
        <w:sz w:val="18"/>
      </w:rPr>
      <w:fldChar w:fldCharType="begin"/>
    </w:r>
    <w:r w:rsidR="00795008">
      <w:rPr>
        <w:i/>
        <w:sz w:val="18"/>
      </w:rPr>
      <w:instrText xml:space="preserve"> DOCPROPERTY ActNo </w:instrText>
    </w:r>
    <w:r w:rsidRPr="00A961C4">
      <w:rPr>
        <w:i/>
        <w:sz w:val="18"/>
      </w:rPr>
      <w:fldChar w:fldCharType="separate"/>
    </w:r>
    <w:r w:rsidR="0033513A">
      <w:rPr>
        <w:i/>
        <w:sz w:val="18"/>
      </w:rPr>
      <w:t>No.      , 2011</w:t>
    </w:r>
    <w:r w:rsidRPr="00A961C4">
      <w:rPr>
        <w:i/>
        <w:sz w:val="18"/>
      </w:rPr>
      <w:fldChar w:fldCharType="end"/>
    </w:r>
    <w:r w:rsidR="00795008" w:rsidRPr="00A961C4">
      <w:rPr>
        <w:i/>
        <w:sz w:val="18"/>
      </w:rPr>
      <w:t xml:space="preserve">            </w:t>
    </w:r>
    <w:r w:rsidRPr="00A961C4">
      <w:rPr>
        <w:i/>
        <w:sz w:val="18"/>
      </w:rPr>
      <w:fldChar w:fldCharType="begin"/>
    </w:r>
    <w:r w:rsidR="00795008" w:rsidRPr="00A961C4">
      <w:rPr>
        <w:i/>
        <w:sz w:val="18"/>
      </w:rPr>
      <w:instrText xml:space="preserve"> PAGE </w:instrText>
    </w:r>
    <w:r w:rsidRPr="00A961C4">
      <w:rPr>
        <w:i/>
        <w:sz w:val="18"/>
      </w:rPr>
      <w:fldChar w:fldCharType="separate"/>
    </w:r>
    <w:r w:rsidR="006C34A6">
      <w:rPr>
        <w:i/>
        <w:noProof/>
        <w:sz w:val="18"/>
      </w:rPr>
      <w:t>15</w:t>
    </w:r>
    <w:r w:rsidRPr="00A961C4">
      <w:rPr>
        <w:i/>
        <w:sz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A961C4" w:rsidRDefault="00795008" w:rsidP="00166DDD">
    <w:pPr>
      <w:pBdr>
        <w:top w:val="single" w:sz="6" w:space="1" w:color="auto"/>
      </w:pBdr>
      <w:spacing w:before="120"/>
      <w:rPr>
        <w:sz w:val="18"/>
      </w:rPr>
    </w:pPr>
  </w:p>
  <w:p w:rsidR="00795008" w:rsidRPr="00A961C4" w:rsidRDefault="00E810A2" w:rsidP="0048364F">
    <w:pPr>
      <w:jc w:val="right"/>
      <w:rPr>
        <w:i/>
        <w:sz w:val="18"/>
      </w:rPr>
    </w:pPr>
    <w:r w:rsidRPr="00A961C4">
      <w:rPr>
        <w:i/>
        <w:sz w:val="18"/>
      </w:rPr>
      <w:fldChar w:fldCharType="begin"/>
    </w:r>
    <w:r w:rsidR="00795008">
      <w:rPr>
        <w:i/>
        <w:sz w:val="18"/>
      </w:rPr>
      <w:instrText xml:space="preserve"> DOCPROPERTY ShortT </w:instrText>
    </w:r>
    <w:r w:rsidRPr="00A961C4">
      <w:rPr>
        <w:i/>
        <w:sz w:val="18"/>
      </w:rPr>
      <w:fldChar w:fldCharType="separate"/>
    </w:r>
    <w:r w:rsidR="0033513A">
      <w:rPr>
        <w:i/>
        <w:sz w:val="18"/>
      </w:rPr>
      <w:t>Social Security Amendment (Supporting Australian Victims of Terrorism Overseas) Bill 2011</w:t>
    </w:r>
    <w:r w:rsidRPr="00A961C4">
      <w:rPr>
        <w:i/>
        <w:sz w:val="18"/>
      </w:rPr>
      <w:fldChar w:fldCharType="end"/>
    </w:r>
    <w:r w:rsidR="00795008" w:rsidRPr="00A961C4">
      <w:rPr>
        <w:i/>
        <w:sz w:val="18"/>
      </w:rPr>
      <w:t xml:space="preserve">       </w:t>
    </w:r>
    <w:r w:rsidRPr="00A961C4">
      <w:rPr>
        <w:i/>
        <w:sz w:val="18"/>
      </w:rPr>
      <w:fldChar w:fldCharType="begin"/>
    </w:r>
    <w:r w:rsidR="00795008">
      <w:rPr>
        <w:i/>
        <w:sz w:val="18"/>
      </w:rPr>
      <w:instrText xml:space="preserve"> DOCPROPERTY ActNo </w:instrText>
    </w:r>
    <w:r w:rsidRPr="00A961C4">
      <w:rPr>
        <w:i/>
        <w:sz w:val="18"/>
      </w:rPr>
      <w:fldChar w:fldCharType="separate"/>
    </w:r>
    <w:r w:rsidR="0033513A">
      <w:rPr>
        <w:i/>
        <w:sz w:val="18"/>
      </w:rPr>
      <w:t>No.      , 2011</w:t>
    </w:r>
    <w:r w:rsidRPr="00A961C4">
      <w:rPr>
        <w:i/>
        <w:sz w:val="18"/>
      </w:rPr>
      <w:fldChar w:fldCharType="end"/>
    </w:r>
    <w:r w:rsidR="00795008" w:rsidRPr="00A961C4">
      <w:rPr>
        <w:i/>
        <w:sz w:val="18"/>
      </w:rPr>
      <w:t xml:space="preserve">       </w:t>
    </w:r>
    <w:r w:rsidRPr="00A961C4">
      <w:rPr>
        <w:i/>
        <w:sz w:val="18"/>
      </w:rPr>
      <w:fldChar w:fldCharType="begin"/>
    </w:r>
    <w:r w:rsidR="00795008" w:rsidRPr="00A961C4">
      <w:rPr>
        <w:i/>
        <w:sz w:val="18"/>
      </w:rPr>
      <w:instrText xml:space="preserve"> PAGE </w:instrText>
    </w:r>
    <w:r w:rsidRPr="00A961C4">
      <w:rPr>
        <w:i/>
        <w:sz w:val="18"/>
      </w:rPr>
      <w:fldChar w:fldCharType="separate"/>
    </w:r>
    <w:r w:rsidR="006C34A6">
      <w:rPr>
        <w:i/>
        <w:noProof/>
        <w:sz w:val="18"/>
      </w:rPr>
      <w:t>1</w:t>
    </w:r>
    <w:r w:rsidRPr="00A961C4">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08" w:rsidRDefault="00795008" w:rsidP="0048364F">
      <w:pPr>
        <w:spacing w:line="240" w:lineRule="auto"/>
      </w:pPr>
      <w:r>
        <w:separator/>
      </w:r>
    </w:p>
  </w:footnote>
  <w:footnote w:type="continuationSeparator" w:id="0">
    <w:p w:rsidR="00795008" w:rsidRDefault="00795008" w:rsidP="004836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5F1388" w:rsidRDefault="00795008" w:rsidP="0048364F">
    <w:pPr>
      <w:pStyle w:val="Header"/>
      <w:tabs>
        <w:tab w:val="clear" w:pos="4150"/>
        <w:tab w:val="clear" w:pos="8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5F1388" w:rsidRDefault="00795008" w:rsidP="0048364F">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5F1388" w:rsidRDefault="00795008" w:rsidP="0048364F">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ED79B6" w:rsidRDefault="00795008" w:rsidP="0048364F">
    <w:pPr>
      <w:pBdr>
        <w:bottom w:val="single" w:sz="12" w:space="1" w:color="auto"/>
      </w:pBdr>
      <w:spacing w:before="1000" w:line="240"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ED79B6" w:rsidRDefault="00795008" w:rsidP="0048364F">
    <w:pPr>
      <w:pBdr>
        <w:bottom w:val="single" w:sz="12" w:space="1" w:color="auto"/>
      </w:pBdr>
      <w:spacing w:before="1000" w:line="240"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ED79B6" w:rsidRDefault="00795008" w:rsidP="0048364F">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A961C4" w:rsidRDefault="00E810A2" w:rsidP="0048364F">
    <w:pPr>
      <w:rPr>
        <w:b/>
        <w:sz w:val="20"/>
      </w:rPr>
    </w:pPr>
    <w:r>
      <w:rPr>
        <w:b/>
        <w:sz w:val="20"/>
      </w:rPr>
      <w:fldChar w:fldCharType="begin"/>
    </w:r>
    <w:r w:rsidR="00795008">
      <w:rPr>
        <w:b/>
        <w:sz w:val="20"/>
      </w:rPr>
      <w:instrText xml:space="preserve"> STYLEREF CharAmSchNo </w:instrText>
    </w:r>
    <w:r w:rsidR="006C34A6">
      <w:rPr>
        <w:b/>
        <w:sz w:val="20"/>
      </w:rPr>
      <w:fldChar w:fldCharType="separate"/>
    </w:r>
    <w:r w:rsidR="006C34A6">
      <w:rPr>
        <w:b/>
        <w:noProof/>
        <w:sz w:val="20"/>
      </w:rPr>
      <w:t>Schedule 1</w:t>
    </w:r>
    <w:r>
      <w:rPr>
        <w:b/>
        <w:sz w:val="20"/>
      </w:rPr>
      <w:fldChar w:fldCharType="end"/>
    </w:r>
    <w:r w:rsidR="00795008" w:rsidRPr="00A961C4">
      <w:rPr>
        <w:sz w:val="20"/>
      </w:rPr>
      <w:t xml:space="preserve">  </w:t>
    </w:r>
    <w:r>
      <w:rPr>
        <w:sz w:val="20"/>
      </w:rPr>
      <w:fldChar w:fldCharType="begin"/>
    </w:r>
    <w:r w:rsidR="00795008">
      <w:rPr>
        <w:sz w:val="20"/>
      </w:rPr>
      <w:instrText xml:space="preserve"> STYLEREF CharAmSchText </w:instrText>
    </w:r>
    <w:r w:rsidR="006C34A6">
      <w:rPr>
        <w:sz w:val="20"/>
      </w:rPr>
      <w:fldChar w:fldCharType="separate"/>
    </w:r>
    <w:r w:rsidR="006C34A6">
      <w:rPr>
        <w:noProof/>
        <w:sz w:val="20"/>
      </w:rPr>
      <w:t>Amendments</w:t>
    </w:r>
    <w:r>
      <w:rPr>
        <w:sz w:val="20"/>
      </w:rPr>
      <w:fldChar w:fldCharType="end"/>
    </w:r>
  </w:p>
  <w:p w:rsidR="00795008" w:rsidRPr="00A961C4" w:rsidRDefault="00E810A2" w:rsidP="0048364F">
    <w:pPr>
      <w:rPr>
        <w:b/>
        <w:sz w:val="20"/>
      </w:rPr>
    </w:pPr>
    <w:r>
      <w:rPr>
        <w:b/>
        <w:sz w:val="20"/>
      </w:rPr>
      <w:fldChar w:fldCharType="begin"/>
    </w:r>
    <w:r w:rsidR="00795008">
      <w:rPr>
        <w:b/>
        <w:sz w:val="20"/>
      </w:rPr>
      <w:instrText xml:space="preserve"> STYLEREF CharAmPartNo </w:instrText>
    </w:r>
    <w:r w:rsidR="006C34A6">
      <w:rPr>
        <w:b/>
        <w:sz w:val="20"/>
      </w:rPr>
      <w:fldChar w:fldCharType="separate"/>
    </w:r>
    <w:r w:rsidR="006C34A6">
      <w:rPr>
        <w:b/>
        <w:noProof/>
        <w:sz w:val="20"/>
      </w:rPr>
      <w:t>Part 2</w:t>
    </w:r>
    <w:r>
      <w:rPr>
        <w:b/>
        <w:sz w:val="20"/>
      </w:rPr>
      <w:fldChar w:fldCharType="end"/>
    </w:r>
    <w:r w:rsidR="00795008" w:rsidRPr="00A961C4">
      <w:rPr>
        <w:sz w:val="20"/>
      </w:rPr>
      <w:t xml:space="preserve">  </w:t>
    </w:r>
    <w:r>
      <w:rPr>
        <w:sz w:val="20"/>
      </w:rPr>
      <w:fldChar w:fldCharType="begin"/>
    </w:r>
    <w:r w:rsidR="00795008">
      <w:rPr>
        <w:sz w:val="20"/>
      </w:rPr>
      <w:instrText xml:space="preserve"> STYLEREF CharAmPartText </w:instrText>
    </w:r>
    <w:r w:rsidR="006C34A6">
      <w:rPr>
        <w:sz w:val="20"/>
      </w:rPr>
      <w:fldChar w:fldCharType="separate"/>
    </w:r>
    <w:r w:rsidR="006C34A6">
      <w:rPr>
        <w:noProof/>
        <w:sz w:val="20"/>
      </w:rPr>
      <w:t>Other amendments</w:t>
    </w:r>
    <w:r>
      <w:rPr>
        <w:sz w:val="20"/>
      </w:rPr>
      <w:fldChar w:fldCharType="end"/>
    </w:r>
  </w:p>
  <w:p w:rsidR="00795008" w:rsidRPr="00A961C4" w:rsidRDefault="00795008" w:rsidP="0048364F">
    <w:pPr>
      <w:pBdr>
        <w:bottom w:val="single" w:sz="6" w:space="1"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A961C4" w:rsidRDefault="00E810A2" w:rsidP="0048364F">
    <w:pPr>
      <w:jc w:val="right"/>
      <w:rPr>
        <w:sz w:val="20"/>
      </w:rPr>
    </w:pPr>
    <w:r w:rsidRPr="00A961C4">
      <w:rPr>
        <w:sz w:val="20"/>
      </w:rPr>
      <w:fldChar w:fldCharType="begin"/>
    </w:r>
    <w:r w:rsidR="00795008" w:rsidRPr="00A961C4">
      <w:rPr>
        <w:sz w:val="20"/>
      </w:rPr>
      <w:instrText xml:space="preserve"> STYLEREF CharAmSchText </w:instrText>
    </w:r>
    <w:r w:rsidRPr="00A961C4">
      <w:rPr>
        <w:sz w:val="20"/>
      </w:rPr>
      <w:fldChar w:fldCharType="separate"/>
    </w:r>
    <w:r w:rsidR="006C34A6">
      <w:rPr>
        <w:noProof/>
        <w:sz w:val="20"/>
      </w:rPr>
      <w:t>Amendments</w:t>
    </w:r>
    <w:r w:rsidRPr="00A961C4">
      <w:rPr>
        <w:sz w:val="20"/>
      </w:rPr>
      <w:fldChar w:fldCharType="end"/>
    </w:r>
    <w:r w:rsidR="00795008" w:rsidRPr="00A961C4">
      <w:rPr>
        <w:sz w:val="20"/>
      </w:rPr>
      <w:t xml:space="preserve"> </w:t>
    </w:r>
    <w:r w:rsidR="00795008" w:rsidRPr="00A961C4">
      <w:rPr>
        <w:b/>
        <w:sz w:val="20"/>
      </w:rPr>
      <w:t xml:space="preserve"> </w:t>
    </w:r>
    <w:r>
      <w:rPr>
        <w:b/>
        <w:sz w:val="20"/>
      </w:rPr>
      <w:fldChar w:fldCharType="begin"/>
    </w:r>
    <w:r w:rsidR="00795008">
      <w:rPr>
        <w:b/>
        <w:sz w:val="20"/>
      </w:rPr>
      <w:instrText xml:space="preserve"> STYLEREF CharAmSchNo </w:instrText>
    </w:r>
    <w:r>
      <w:rPr>
        <w:b/>
        <w:sz w:val="20"/>
      </w:rPr>
      <w:fldChar w:fldCharType="separate"/>
    </w:r>
    <w:r w:rsidR="006C34A6">
      <w:rPr>
        <w:b/>
        <w:noProof/>
        <w:sz w:val="20"/>
      </w:rPr>
      <w:t>Schedule 1</w:t>
    </w:r>
    <w:r>
      <w:rPr>
        <w:b/>
        <w:sz w:val="20"/>
      </w:rPr>
      <w:fldChar w:fldCharType="end"/>
    </w:r>
  </w:p>
  <w:p w:rsidR="00795008" w:rsidRPr="00A961C4" w:rsidRDefault="00E810A2" w:rsidP="0048364F">
    <w:pPr>
      <w:jc w:val="right"/>
      <w:rPr>
        <w:b/>
        <w:sz w:val="20"/>
      </w:rPr>
    </w:pPr>
    <w:r w:rsidRPr="00A961C4">
      <w:rPr>
        <w:sz w:val="20"/>
      </w:rPr>
      <w:fldChar w:fldCharType="begin"/>
    </w:r>
    <w:r w:rsidR="00795008" w:rsidRPr="00A961C4">
      <w:rPr>
        <w:sz w:val="20"/>
      </w:rPr>
      <w:instrText xml:space="preserve"> STYLEREF CharAmPartText </w:instrText>
    </w:r>
    <w:r w:rsidRPr="00A961C4">
      <w:rPr>
        <w:sz w:val="20"/>
      </w:rPr>
      <w:fldChar w:fldCharType="separate"/>
    </w:r>
    <w:r w:rsidR="006C34A6">
      <w:rPr>
        <w:noProof/>
        <w:sz w:val="20"/>
      </w:rPr>
      <w:t>Other amendments</w:t>
    </w:r>
    <w:r w:rsidRPr="00A961C4">
      <w:rPr>
        <w:sz w:val="20"/>
      </w:rPr>
      <w:fldChar w:fldCharType="end"/>
    </w:r>
    <w:r w:rsidR="00795008" w:rsidRPr="00A961C4">
      <w:rPr>
        <w:sz w:val="20"/>
      </w:rPr>
      <w:t xml:space="preserve"> </w:t>
    </w:r>
    <w:r w:rsidR="00795008" w:rsidRPr="00A961C4">
      <w:rPr>
        <w:b/>
        <w:sz w:val="20"/>
      </w:rPr>
      <w:t xml:space="preserve"> </w:t>
    </w:r>
    <w:r w:rsidRPr="00A961C4">
      <w:rPr>
        <w:b/>
        <w:sz w:val="20"/>
      </w:rPr>
      <w:fldChar w:fldCharType="begin"/>
    </w:r>
    <w:r w:rsidR="00795008" w:rsidRPr="00A961C4">
      <w:rPr>
        <w:b/>
        <w:sz w:val="20"/>
      </w:rPr>
      <w:instrText xml:space="preserve"> STYLEREF CharAmPartNo </w:instrText>
    </w:r>
    <w:r w:rsidRPr="00A961C4">
      <w:rPr>
        <w:b/>
        <w:sz w:val="20"/>
      </w:rPr>
      <w:fldChar w:fldCharType="separate"/>
    </w:r>
    <w:r w:rsidR="006C34A6">
      <w:rPr>
        <w:b/>
        <w:noProof/>
        <w:sz w:val="20"/>
      </w:rPr>
      <w:t>Part 2</w:t>
    </w:r>
    <w:r w:rsidRPr="00A961C4">
      <w:rPr>
        <w:b/>
        <w:sz w:val="20"/>
      </w:rPr>
      <w:fldChar w:fldCharType="end"/>
    </w:r>
  </w:p>
  <w:p w:rsidR="00795008" w:rsidRPr="00A961C4" w:rsidRDefault="00795008" w:rsidP="0048364F">
    <w:pPr>
      <w:pBdr>
        <w:bottom w:val="single" w:sz="6" w:space="1" w:color="auto"/>
      </w:pBd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08" w:rsidRPr="00A961C4" w:rsidRDefault="00795008" w:rsidP="00483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E5F3F21"/>
    <w:multiLevelType w:val="hybridMultilevel"/>
    <w:tmpl w:val="C142AD2C"/>
    <w:lvl w:ilvl="0" w:tplc="0F9E7EC4">
      <w:start w:val="6141"/>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TrueTypeFonts/>
  <w:saveSubsetFonts/>
  <w:proofState w:spelling="clean"/>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B0AA1"/>
    <w:rsid w:val="00007990"/>
    <w:rsid w:val="00007B32"/>
    <w:rsid w:val="0001093B"/>
    <w:rsid w:val="000113BC"/>
    <w:rsid w:val="00011C5C"/>
    <w:rsid w:val="00012C7F"/>
    <w:rsid w:val="000136AF"/>
    <w:rsid w:val="00021E07"/>
    <w:rsid w:val="000273C4"/>
    <w:rsid w:val="00031965"/>
    <w:rsid w:val="00032192"/>
    <w:rsid w:val="00033A9F"/>
    <w:rsid w:val="00037683"/>
    <w:rsid w:val="00040504"/>
    <w:rsid w:val="00040659"/>
    <w:rsid w:val="000429B6"/>
    <w:rsid w:val="00045113"/>
    <w:rsid w:val="000614BF"/>
    <w:rsid w:val="000657AA"/>
    <w:rsid w:val="00083BFA"/>
    <w:rsid w:val="000859E7"/>
    <w:rsid w:val="000903AF"/>
    <w:rsid w:val="00094F49"/>
    <w:rsid w:val="000954C9"/>
    <w:rsid w:val="00095842"/>
    <w:rsid w:val="000A1154"/>
    <w:rsid w:val="000A3F4D"/>
    <w:rsid w:val="000B07D5"/>
    <w:rsid w:val="000B652A"/>
    <w:rsid w:val="000B7644"/>
    <w:rsid w:val="000C1F65"/>
    <w:rsid w:val="000C69B8"/>
    <w:rsid w:val="000C7A62"/>
    <w:rsid w:val="000D05EF"/>
    <w:rsid w:val="000D450D"/>
    <w:rsid w:val="000D4AC7"/>
    <w:rsid w:val="000D7A1D"/>
    <w:rsid w:val="000E1E2B"/>
    <w:rsid w:val="000E6BCA"/>
    <w:rsid w:val="000F07E4"/>
    <w:rsid w:val="000F21C1"/>
    <w:rsid w:val="001025AA"/>
    <w:rsid w:val="00102879"/>
    <w:rsid w:val="00103E98"/>
    <w:rsid w:val="001054A0"/>
    <w:rsid w:val="0010745C"/>
    <w:rsid w:val="00115292"/>
    <w:rsid w:val="00124184"/>
    <w:rsid w:val="001266E4"/>
    <w:rsid w:val="00130A80"/>
    <w:rsid w:val="00130A88"/>
    <w:rsid w:val="0013515D"/>
    <w:rsid w:val="001372CF"/>
    <w:rsid w:val="001401E8"/>
    <w:rsid w:val="001403F9"/>
    <w:rsid w:val="00141293"/>
    <w:rsid w:val="001413D0"/>
    <w:rsid w:val="00141ABF"/>
    <w:rsid w:val="001437C7"/>
    <w:rsid w:val="00143F2C"/>
    <w:rsid w:val="00147B7C"/>
    <w:rsid w:val="001568A5"/>
    <w:rsid w:val="00157802"/>
    <w:rsid w:val="00166C2F"/>
    <w:rsid w:val="00166DDD"/>
    <w:rsid w:val="00167E3F"/>
    <w:rsid w:val="00171564"/>
    <w:rsid w:val="00174CBC"/>
    <w:rsid w:val="001766CF"/>
    <w:rsid w:val="00176CBB"/>
    <w:rsid w:val="001903F0"/>
    <w:rsid w:val="00192271"/>
    <w:rsid w:val="0019314C"/>
    <w:rsid w:val="001939E1"/>
    <w:rsid w:val="00193A1C"/>
    <w:rsid w:val="00193CD2"/>
    <w:rsid w:val="00194DB1"/>
    <w:rsid w:val="00195382"/>
    <w:rsid w:val="001A5549"/>
    <w:rsid w:val="001B6D66"/>
    <w:rsid w:val="001B7A5D"/>
    <w:rsid w:val="001C69C4"/>
    <w:rsid w:val="001C6EFC"/>
    <w:rsid w:val="001C716B"/>
    <w:rsid w:val="001D052E"/>
    <w:rsid w:val="001D242A"/>
    <w:rsid w:val="001E1A4F"/>
    <w:rsid w:val="001E3590"/>
    <w:rsid w:val="001E60C9"/>
    <w:rsid w:val="001E7407"/>
    <w:rsid w:val="001F44E3"/>
    <w:rsid w:val="001F4DFC"/>
    <w:rsid w:val="00201D27"/>
    <w:rsid w:val="00201FEC"/>
    <w:rsid w:val="00203D66"/>
    <w:rsid w:val="00203ECF"/>
    <w:rsid w:val="002048D9"/>
    <w:rsid w:val="002075A9"/>
    <w:rsid w:val="002100AE"/>
    <w:rsid w:val="0021149C"/>
    <w:rsid w:val="00212D08"/>
    <w:rsid w:val="00215EE9"/>
    <w:rsid w:val="00223DE8"/>
    <w:rsid w:val="00230E5B"/>
    <w:rsid w:val="00232D46"/>
    <w:rsid w:val="002351AE"/>
    <w:rsid w:val="00235CD8"/>
    <w:rsid w:val="00240749"/>
    <w:rsid w:val="00241693"/>
    <w:rsid w:val="00245122"/>
    <w:rsid w:val="00245AC9"/>
    <w:rsid w:val="00246494"/>
    <w:rsid w:val="002534FA"/>
    <w:rsid w:val="00253E6C"/>
    <w:rsid w:val="002579F3"/>
    <w:rsid w:val="00257D63"/>
    <w:rsid w:val="00260F69"/>
    <w:rsid w:val="002654CA"/>
    <w:rsid w:val="0026641D"/>
    <w:rsid w:val="00270C4C"/>
    <w:rsid w:val="0027591C"/>
    <w:rsid w:val="00276B98"/>
    <w:rsid w:val="00277806"/>
    <w:rsid w:val="002919D7"/>
    <w:rsid w:val="002929BD"/>
    <w:rsid w:val="002955BA"/>
    <w:rsid w:val="00295760"/>
    <w:rsid w:val="00297ECB"/>
    <w:rsid w:val="002A0571"/>
    <w:rsid w:val="002B238D"/>
    <w:rsid w:val="002B3B39"/>
    <w:rsid w:val="002B3E81"/>
    <w:rsid w:val="002C0813"/>
    <w:rsid w:val="002C32B4"/>
    <w:rsid w:val="002C4EB0"/>
    <w:rsid w:val="002C540D"/>
    <w:rsid w:val="002D043A"/>
    <w:rsid w:val="002E3760"/>
    <w:rsid w:val="002E4952"/>
    <w:rsid w:val="002F3CDE"/>
    <w:rsid w:val="002F604B"/>
    <w:rsid w:val="003065B7"/>
    <w:rsid w:val="00306A4C"/>
    <w:rsid w:val="00313446"/>
    <w:rsid w:val="003222F3"/>
    <w:rsid w:val="00322B7F"/>
    <w:rsid w:val="00323889"/>
    <w:rsid w:val="0033513A"/>
    <w:rsid w:val="00340F47"/>
    <w:rsid w:val="003415D3"/>
    <w:rsid w:val="00342118"/>
    <w:rsid w:val="00344FB6"/>
    <w:rsid w:val="00345036"/>
    <w:rsid w:val="0034716B"/>
    <w:rsid w:val="00347C10"/>
    <w:rsid w:val="00347D36"/>
    <w:rsid w:val="0035018A"/>
    <w:rsid w:val="0035165C"/>
    <w:rsid w:val="003525DB"/>
    <w:rsid w:val="00352B0F"/>
    <w:rsid w:val="00360043"/>
    <w:rsid w:val="00363137"/>
    <w:rsid w:val="00363872"/>
    <w:rsid w:val="003668FF"/>
    <w:rsid w:val="003701CE"/>
    <w:rsid w:val="00370C18"/>
    <w:rsid w:val="003719EB"/>
    <w:rsid w:val="00381B62"/>
    <w:rsid w:val="00384AEB"/>
    <w:rsid w:val="00386749"/>
    <w:rsid w:val="0039450B"/>
    <w:rsid w:val="00397535"/>
    <w:rsid w:val="003A5632"/>
    <w:rsid w:val="003A67EE"/>
    <w:rsid w:val="003A7B05"/>
    <w:rsid w:val="003A7EF1"/>
    <w:rsid w:val="003B2109"/>
    <w:rsid w:val="003B282A"/>
    <w:rsid w:val="003B32E8"/>
    <w:rsid w:val="003C2845"/>
    <w:rsid w:val="003C57F7"/>
    <w:rsid w:val="003D0BFE"/>
    <w:rsid w:val="003D3276"/>
    <w:rsid w:val="003D4133"/>
    <w:rsid w:val="003D5700"/>
    <w:rsid w:val="003D79FA"/>
    <w:rsid w:val="003E33DF"/>
    <w:rsid w:val="003E68B9"/>
    <w:rsid w:val="003F5ACF"/>
    <w:rsid w:val="003F765E"/>
    <w:rsid w:val="00401F57"/>
    <w:rsid w:val="004058E3"/>
    <w:rsid w:val="00407191"/>
    <w:rsid w:val="004116CD"/>
    <w:rsid w:val="00412E76"/>
    <w:rsid w:val="0041407C"/>
    <w:rsid w:val="004147A7"/>
    <w:rsid w:val="0042080F"/>
    <w:rsid w:val="00422CDA"/>
    <w:rsid w:val="00424CA9"/>
    <w:rsid w:val="00432BE2"/>
    <w:rsid w:val="0043307B"/>
    <w:rsid w:val="00441D1E"/>
    <w:rsid w:val="0044291A"/>
    <w:rsid w:val="00443CAC"/>
    <w:rsid w:val="00447A8D"/>
    <w:rsid w:val="00451997"/>
    <w:rsid w:val="0045283B"/>
    <w:rsid w:val="0045668C"/>
    <w:rsid w:val="0045699B"/>
    <w:rsid w:val="0046123A"/>
    <w:rsid w:val="00462640"/>
    <w:rsid w:val="004660B8"/>
    <w:rsid w:val="004673AB"/>
    <w:rsid w:val="00470F88"/>
    <w:rsid w:val="00473085"/>
    <w:rsid w:val="0048364F"/>
    <w:rsid w:val="0049236F"/>
    <w:rsid w:val="00496F97"/>
    <w:rsid w:val="004A2B70"/>
    <w:rsid w:val="004B010B"/>
    <w:rsid w:val="004B0FFA"/>
    <w:rsid w:val="004B2D98"/>
    <w:rsid w:val="004B3F0B"/>
    <w:rsid w:val="004C742A"/>
    <w:rsid w:val="004D0001"/>
    <w:rsid w:val="004D7D0D"/>
    <w:rsid w:val="004E4A68"/>
    <w:rsid w:val="004F1FAC"/>
    <w:rsid w:val="004F51A0"/>
    <w:rsid w:val="004F5ED8"/>
    <w:rsid w:val="00500F68"/>
    <w:rsid w:val="00501805"/>
    <w:rsid w:val="00502CB9"/>
    <w:rsid w:val="00503E48"/>
    <w:rsid w:val="00506537"/>
    <w:rsid w:val="0051075F"/>
    <w:rsid w:val="00516B8D"/>
    <w:rsid w:val="00523A15"/>
    <w:rsid w:val="00526C55"/>
    <w:rsid w:val="00527598"/>
    <w:rsid w:val="0053482A"/>
    <w:rsid w:val="00536B4F"/>
    <w:rsid w:val="00537FBC"/>
    <w:rsid w:val="00542794"/>
    <w:rsid w:val="00543208"/>
    <w:rsid w:val="005475E0"/>
    <w:rsid w:val="00547D7B"/>
    <w:rsid w:val="00550957"/>
    <w:rsid w:val="00551A73"/>
    <w:rsid w:val="005555D9"/>
    <w:rsid w:val="0055719D"/>
    <w:rsid w:val="00557F2B"/>
    <w:rsid w:val="0058340A"/>
    <w:rsid w:val="00584811"/>
    <w:rsid w:val="0058649F"/>
    <w:rsid w:val="00591DE1"/>
    <w:rsid w:val="00593AA6"/>
    <w:rsid w:val="00593DF7"/>
    <w:rsid w:val="00594161"/>
    <w:rsid w:val="00594749"/>
    <w:rsid w:val="00595CB1"/>
    <w:rsid w:val="005A15DF"/>
    <w:rsid w:val="005A3A71"/>
    <w:rsid w:val="005A7FCE"/>
    <w:rsid w:val="005B4067"/>
    <w:rsid w:val="005B5EE8"/>
    <w:rsid w:val="005C3F41"/>
    <w:rsid w:val="005C43DA"/>
    <w:rsid w:val="005C55E3"/>
    <w:rsid w:val="005C59B3"/>
    <w:rsid w:val="005D3335"/>
    <w:rsid w:val="005D3566"/>
    <w:rsid w:val="005D44C6"/>
    <w:rsid w:val="005E0922"/>
    <w:rsid w:val="005E2951"/>
    <w:rsid w:val="005F1B72"/>
    <w:rsid w:val="00600219"/>
    <w:rsid w:val="00600CA6"/>
    <w:rsid w:val="00601C91"/>
    <w:rsid w:val="00603A1C"/>
    <w:rsid w:val="00604B52"/>
    <w:rsid w:val="0060614C"/>
    <w:rsid w:val="006108BC"/>
    <w:rsid w:val="00616B95"/>
    <w:rsid w:val="006172EB"/>
    <w:rsid w:val="00622FF0"/>
    <w:rsid w:val="00623206"/>
    <w:rsid w:val="006253D0"/>
    <w:rsid w:val="00625C1C"/>
    <w:rsid w:val="00626AE7"/>
    <w:rsid w:val="006310D6"/>
    <w:rsid w:val="006362CA"/>
    <w:rsid w:val="0064124E"/>
    <w:rsid w:val="006413EF"/>
    <w:rsid w:val="0064484A"/>
    <w:rsid w:val="00647A60"/>
    <w:rsid w:val="00653CD5"/>
    <w:rsid w:val="00654339"/>
    <w:rsid w:val="006608A8"/>
    <w:rsid w:val="00677CC2"/>
    <w:rsid w:val="00680BEE"/>
    <w:rsid w:val="00681B84"/>
    <w:rsid w:val="00683430"/>
    <w:rsid w:val="00685F42"/>
    <w:rsid w:val="00687B5B"/>
    <w:rsid w:val="00687C0A"/>
    <w:rsid w:val="0069207B"/>
    <w:rsid w:val="00692140"/>
    <w:rsid w:val="00695FAF"/>
    <w:rsid w:val="00696118"/>
    <w:rsid w:val="006A0946"/>
    <w:rsid w:val="006B0698"/>
    <w:rsid w:val="006C34A6"/>
    <w:rsid w:val="006C6208"/>
    <w:rsid w:val="006C7F8C"/>
    <w:rsid w:val="006D01D7"/>
    <w:rsid w:val="006D3037"/>
    <w:rsid w:val="006D4CEF"/>
    <w:rsid w:val="006D766C"/>
    <w:rsid w:val="006E0AF6"/>
    <w:rsid w:val="006E157F"/>
    <w:rsid w:val="006F1481"/>
    <w:rsid w:val="006F2B1B"/>
    <w:rsid w:val="00700455"/>
    <w:rsid w:val="007005B0"/>
    <w:rsid w:val="00700B2C"/>
    <w:rsid w:val="00700F90"/>
    <w:rsid w:val="00701C9E"/>
    <w:rsid w:val="007060A9"/>
    <w:rsid w:val="0070746A"/>
    <w:rsid w:val="00713084"/>
    <w:rsid w:val="0071472C"/>
    <w:rsid w:val="0071521C"/>
    <w:rsid w:val="00716871"/>
    <w:rsid w:val="0072533D"/>
    <w:rsid w:val="0073118F"/>
    <w:rsid w:val="0073137F"/>
    <w:rsid w:val="00731E00"/>
    <w:rsid w:val="007355DE"/>
    <w:rsid w:val="007439CB"/>
    <w:rsid w:val="007440B7"/>
    <w:rsid w:val="00744C1C"/>
    <w:rsid w:val="00751DDA"/>
    <w:rsid w:val="0075318E"/>
    <w:rsid w:val="007634AD"/>
    <w:rsid w:val="00767F50"/>
    <w:rsid w:val="007715C9"/>
    <w:rsid w:val="00771E2E"/>
    <w:rsid w:val="00772A62"/>
    <w:rsid w:val="00774EDD"/>
    <w:rsid w:val="007757EC"/>
    <w:rsid w:val="00777982"/>
    <w:rsid w:val="0078024A"/>
    <w:rsid w:val="00784DF4"/>
    <w:rsid w:val="00785838"/>
    <w:rsid w:val="00786539"/>
    <w:rsid w:val="00790F42"/>
    <w:rsid w:val="00791479"/>
    <w:rsid w:val="00793D1A"/>
    <w:rsid w:val="00794478"/>
    <w:rsid w:val="00795008"/>
    <w:rsid w:val="007963CC"/>
    <w:rsid w:val="007976DE"/>
    <w:rsid w:val="007A0051"/>
    <w:rsid w:val="007A0AA3"/>
    <w:rsid w:val="007A3772"/>
    <w:rsid w:val="007A3D42"/>
    <w:rsid w:val="007A47DE"/>
    <w:rsid w:val="007B3315"/>
    <w:rsid w:val="007B6586"/>
    <w:rsid w:val="007C4152"/>
    <w:rsid w:val="007C7202"/>
    <w:rsid w:val="007D2322"/>
    <w:rsid w:val="007D3356"/>
    <w:rsid w:val="007E025C"/>
    <w:rsid w:val="007E04B6"/>
    <w:rsid w:val="007E119D"/>
    <w:rsid w:val="007E1A61"/>
    <w:rsid w:val="007E7326"/>
    <w:rsid w:val="007E7D4A"/>
    <w:rsid w:val="008019E1"/>
    <w:rsid w:val="008051E4"/>
    <w:rsid w:val="00805D9E"/>
    <w:rsid w:val="00807CB8"/>
    <w:rsid w:val="0081069B"/>
    <w:rsid w:val="00811876"/>
    <w:rsid w:val="00811906"/>
    <w:rsid w:val="0081209D"/>
    <w:rsid w:val="00814AA2"/>
    <w:rsid w:val="00825FB7"/>
    <w:rsid w:val="00830C78"/>
    <w:rsid w:val="00833097"/>
    <w:rsid w:val="00835EDE"/>
    <w:rsid w:val="00837A23"/>
    <w:rsid w:val="008466F8"/>
    <w:rsid w:val="0085397D"/>
    <w:rsid w:val="008567F2"/>
    <w:rsid w:val="00856A31"/>
    <w:rsid w:val="00866791"/>
    <w:rsid w:val="00867EDF"/>
    <w:rsid w:val="00870727"/>
    <w:rsid w:val="00873F84"/>
    <w:rsid w:val="008754D0"/>
    <w:rsid w:val="0087771E"/>
    <w:rsid w:val="00877D48"/>
    <w:rsid w:val="008815A7"/>
    <w:rsid w:val="00883A2D"/>
    <w:rsid w:val="00885C40"/>
    <w:rsid w:val="008871CD"/>
    <w:rsid w:val="0089207D"/>
    <w:rsid w:val="0089329D"/>
    <w:rsid w:val="008A39E7"/>
    <w:rsid w:val="008A55F1"/>
    <w:rsid w:val="008B553F"/>
    <w:rsid w:val="008B5EC1"/>
    <w:rsid w:val="008C118C"/>
    <w:rsid w:val="008C3932"/>
    <w:rsid w:val="008C64C8"/>
    <w:rsid w:val="008D0EE0"/>
    <w:rsid w:val="008D15E0"/>
    <w:rsid w:val="008D18FB"/>
    <w:rsid w:val="008E77E8"/>
    <w:rsid w:val="008F4F1C"/>
    <w:rsid w:val="008F5EB3"/>
    <w:rsid w:val="008F61C4"/>
    <w:rsid w:val="0091126F"/>
    <w:rsid w:val="009215D7"/>
    <w:rsid w:val="00921FA8"/>
    <w:rsid w:val="00932377"/>
    <w:rsid w:val="009326B8"/>
    <w:rsid w:val="0094283F"/>
    <w:rsid w:val="009567D4"/>
    <w:rsid w:val="00965DF0"/>
    <w:rsid w:val="00970F47"/>
    <w:rsid w:val="00974209"/>
    <w:rsid w:val="009811B9"/>
    <w:rsid w:val="00981EFE"/>
    <w:rsid w:val="009834E2"/>
    <w:rsid w:val="00985B6C"/>
    <w:rsid w:val="00986F4C"/>
    <w:rsid w:val="00987731"/>
    <w:rsid w:val="009915F2"/>
    <w:rsid w:val="00997A1E"/>
    <w:rsid w:val="009A2667"/>
    <w:rsid w:val="009A72BD"/>
    <w:rsid w:val="009C00E0"/>
    <w:rsid w:val="009C315C"/>
    <w:rsid w:val="009C3494"/>
    <w:rsid w:val="009D3C80"/>
    <w:rsid w:val="009D3E88"/>
    <w:rsid w:val="009E2B3C"/>
    <w:rsid w:val="009F4506"/>
    <w:rsid w:val="009F48D0"/>
    <w:rsid w:val="009F6FA4"/>
    <w:rsid w:val="00A16C36"/>
    <w:rsid w:val="00A1712D"/>
    <w:rsid w:val="00A20284"/>
    <w:rsid w:val="00A21E6C"/>
    <w:rsid w:val="00A231E2"/>
    <w:rsid w:val="00A2381A"/>
    <w:rsid w:val="00A320E1"/>
    <w:rsid w:val="00A43FED"/>
    <w:rsid w:val="00A536E1"/>
    <w:rsid w:val="00A64912"/>
    <w:rsid w:val="00A701D6"/>
    <w:rsid w:val="00A70A74"/>
    <w:rsid w:val="00A75744"/>
    <w:rsid w:val="00A806A5"/>
    <w:rsid w:val="00A809C5"/>
    <w:rsid w:val="00A83FED"/>
    <w:rsid w:val="00A86A95"/>
    <w:rsid w:val="00A91E79"/>
    <w:rsid w:val="00A94BC1"/>
    <w:rsid w:val="00A96E02"/>
    <w:rsid w:val="00A974A0"/>
    <w:rsid w:val="00AA6A54"/>
    <w:rsid w:val="00AB1476"/>
    <w:rsid w:val="00AB3C39"/>
    <w:rsid w:val="00AB68F0"/>
    <w:rsid w:val="00AC3EBA"/>
    <w:rsid w:val="00AC4E43"/>
    <w:rsid w:val="00AC6F4B"/>
    <w:rsid w:val="00AD0777"/>
    <w:rsid w:val="00AD0EA6"/>
    <w:rsid w:val="00AD16B8"/>
    <w:rsid w:val="00AD1B21"/>
    <w:rsid w:val="00AD2E16"/>
    <w:rsid w:val="00AD5641"/>
    <w:rsid w:val="00AD6273"/>
    <w:rsid w:val="00AD6C68"/>
    <w:rsid w:val="00AE368B"/>
    <w:rsid w:val="00AF61AC"/>
    <w:rsid w:val="00B03237"/>
    <w:rsid w:val="00B06E0B"/>
    <w:rsid w:val="00B11073"/>
    <w:rsid w:val="00B1375C"/>
    <w:rsid w:val="00B1718E"/>
    <w:rsid w:val="00B23650"/>
    <w:rsid w:val="00B328D0"/>
    <w:rsid w:val="00B3349D"/>
    <w:rsid w:val="00B33B3C"/>
    <w:rsid w:val="00B33D02"/>
    <w:rsid w:val="00B348A2"/>
    <w:rsid w:val="00B3667F"/>
    <w:rsid w:val="00B40B86"/>
    <w:rsid w:val="00B4511E"/>
    <w:rsid w:val="00B5095B"/>
    <w:rsid w:val="00B52C8D"/>
    <w:rsid w:val="00B52D15"/>
    <w:rsid w:val="00B56F62"/>
    <w:rsid w:val="00B67683"/>
    <w:rsid w:val="00B72C82"/>
    <w:rsid w:val="00B7399E"/>
    <w:rsid w:val="00B81830"/>
    <w:rsid w:val="00B836BA"/>
    <w:rsid w:val="00BA2624"/>
    <w:rsid w:val="00BA5026"/>
    <w:rsid w:val="00BA5287"/>
    <w:rsid w:val="00BA69CF"/>
    <w:rsid w:val="00BB0AA1"/>
    <w:rsid w:val="00BC6E49"/>
    <w:rsid w:val="00BD427F"/>
    <w:rsid w:val="00BD48FA"/>
    <w:rsid w:val="00BD686E"/>
    <w:rsid w:val="00BD78D0"/>
    <w:rsid w:val="00BD7D0D"/>
    <w:rsid w:val="00BE07B0"/>
    <w:rsid w:val="00BE118F"/>
    <w:rsid w:val="00BE17F0"/>
    <w:rsid w:val="00BE719A"/>
    <w:rsid w:val="00BE720A"/>
    <w:rsid w:val="00BF2A31"/>
    <w:rsid w:val="00BF6110"/>
    <w:rsid w:val="00C02F0D"/>
    <w:rsid w:val="00C040BE"/>
    <w:rsid w:val="00C067E5"/>
    <w:rsid w:val="00C06FA6"/>
    <w:rsid w:val="00C1153C"/>
    <w:rsid w:val="00C1215E"/>
    <w:rsid w:val="00C13FE0"/>
    <w:rsid w:val="00C164CA"/>
    <w:rsid w:val="00C20324"/>
    <w:rsid w:val="00C207EF"/>
    <w:rsid w:val="00C21E3B"/>
    <w:rsid w:val="00C27DD9"/>
    <w:rsid w:val="00C31DB9"/>
    <w:rsid w:val="00C35AD0"/>
    <w:rsid w:val="00C42BF8"/>
    <w:rsid w:val="00C4514C"/>
    <w:rsid w:val="00C458E1"/>
    <w:rsid w:val="00C460AE"/>
    <w:rsid w:val="00C47457"/>
    <w:rsid w:val="00C50043"/>
    <w:rsid w:val="00C55E54"/>
    <w:rsid w:val="00C56595"/>
    <w:rsid w:val="00C6293C"/>
    <w:rsid w:val="00C63752"/>
    <w:rsid w:val="00C679D3"/>
    <w:rsid w:val="00C73E42"/>
    <w:rsid w:val="00C7573B"/>
    <w:rsid w:val="00C76CF3"/>
    <w:rsid w:val="00C778F1"/>
    <w:rsid w:val="00C82E8A"/>
    <w:rsid w:val="00C838E5"/>
    <w:rsid w:val="00C83D6E"/>
    <w:rsid w:val="00C8549C"/>
    <w:rsid w:val="00CA3C47"/>
    <w:rsid w:val="00CC2D42"/>
    <w:rsid w:val="00CC7928"/>
    <w:rsid w:val="00CD16E3"/>
    <w:rsid w:val="00CD2B40"/>
    <w:rsid w:val="00CD5256"/>
    <w:rsid w:val="00CE12E0"/>
    <w:rsid w:val="00CE3DCD"/>
    <w:rsid w:val="00CE6D60"/>
    <w:rsid w:val="00CF0BB2"/>
    <w:rsid w:val="00CF3355"/>
    <w:rsid w:val="00CF53B6"/>
    <w:rsid w:val="00D01729"/>
    <w:rsid w:val="00D02FEF"/>
    <w:rsid w:val="00D10212"/>
    <w:rsid w:val="00D13441"/>
    <w:rsid w:val="00D22EB8"/>
    <w:rsid w:val="00D243A3"/>
    <w:rsid w:val="00D31430"/>
    <w:rsid w:val="00D4064F"/>
    <w:rsid w:val="00D418FF"/>
    <w:rsid w:val="00D4418B"/>
    <w:rsid w:val="00D45073"/>
    <w:rsid w:val="00D510AE"/>
    <w:rsid w:val="00D52089"/>
    <w:rsid w:val="00D52EFE"/>
    <w:rsid w:val="00D64E29"/>
    <w:rsid w:val="00D66611"/>
    <w:rsid w:val="00D70DFB"/>
    <w:rsid w:val="00D746A1"/>
    <w:rsid w:val="00D74854"/>
    <w:rsid w:val="00D755E1"/>
    <w:rsid w:val="00D766DF"/>
    <w:rsid w:val="00D84614"/>
    <w:rsid w:val="00D9217A"/>
    <w:rsid w:val="00DA019A"/>
    <w:rsid w:val="00DA0D2F"/>
    <w:rsid w:val="00DA15B7"/>
    <w:rsid w:val="00DA2E46"/>
    <w:rsid w:val="00DA526A"/>
    <w:rsid w:val="00DB0734"/>
    <w:rsid w:val="00DB4E40"/>
    <w:rsid w:val="00DC38BF"/>
    <w:rsid w:val="00DC4428"/>
    <w:rsid w:val="00DC4989"/>
    <w:rsid w:val="00DC6AFF"/>
    <w:rsid w:val="00DC7B1B"/>
    <w:rsid w:val="00DD0441"/>
    <w:rsid w:val="00DD5AC6"/>
    <w:rsid w:val="00DD5FE6"/>
    <w:rsid w:val="00DE3093"/>
    <w:rsid w:val="00DF5993"/>
    <w:rsid w:val="00DF709F"/>
    <w:rsid w:val="00E03A4D"/>
    <w:rsid w:val="00E05704"/>
    <w:rsid w:val="00E0657C"/>
    <w:rsid w:val="00E3160F"/>
    <w:rsid w:val="00E32B18"/>
    <w:rsid w:val="00E35696"/>
    <w:rsid w:val="00E368D1"/>
    <w:rsid w:val="00E37D63"/>
    <w:rsid w:val="00E54292"/>
    <w:rsid w:val="00E637D5"/>
    <w:rsid w:val="00E71026"/>
    <w:rsid w:val="00E74DC7"/>
    <w:rsid w:val="00E7709A"/>
    <w:rsid w:val="00E80DF3"/>
    <w:rsid w:val="00E810A2"/>
    <w:rsid w:val="00E8638D"/>
    <w:rsid w:val="00E87699"/>
    <w:rsid w:val="00E93D60"/>
    <w:rsid w:val="00E9676C"/>
    <w:rsid w:val="00E969D9"/>
    <w:rsid w:val="00EA7B91"/>
    <w:rsid w:val="00EA7C79"/>
    <w:rsid w:val="00EB167B"/>
    <w:rsid w:val="00EC3287"/>
    <w:rsid w:val="00EC3726"/>
    <w:rsid w:val="00EC3AF4"/>
    <w:rsid w:val="00EC73FF"/>
    <w:rsid w:val="00ED084A"/>
    <w:rsid w:val="00ED278A"/>
    <w:rsid w:val="00ED420D"/>
    <w:rsid w:val="00ED4320"/>
    <w:rsid w:val="00EE2E05"/>
    <w:rsid w:val="00EE3035"/>
    <w:rsid w:val="00EE5B29"/>
    <w:rsid w:val="00EF2E3A"/>
    <w:rsid w:val="00EF7D05"/>
    <w:rsid w:val="00F047E2"/>
    <w:rsid w:val="00F07503"/>
    <w:rsid w:val="00F078DC"/>
    <w:rsid w:val="00F13B27"/>
    <w:rsid w:val="00F13E86"/>
    <w:rsid w:val="00F1772F"/>
    <w:rsid w:val="00F22F5B"/>
    <w:rsid w:val="00F25E25"/>
    <w:rsid w:val="00F2704B"/>
    <w:rsid w:val="00F35F19"/>
    <w:rsid w:val="00F37CF6"/>
    <w:rsid w:val="00F41583"/>
    <w:rsid w:val="00F428D2"/>
    <w:rsid w:val="00F52E6D"/>
    <w:rsid w:val="00F55D04"/>
    <w:rsid w:val="00F5676A"/>
    <w:rsid w:val="00F6005F"/>
    <w:rsid w:val="00F63C50"/>
    <w:rsid w:val="00F677A9"/>
    <w:rsid w:val="00F75BDF"/>
    <w:rsid w:val="00F7665D"/>
    <w:rsid w:val="00F8335E"/>
    <w:rsid w:val="00F83E6F"/>
    <w:rsid w:val="00F84CF5"/>
    <w:rsid w:val="00F95057"/>
    <w:rsid w:val="00F9584D"/>
    <w:rsid w:val="00FA093D"/>
    <w:rsid w:val="00FA420B"/>
    <w:rsid w:val="00FA6C98"/>
    <w:rsid w:val="00FB2BF3"/>
    <w:rsid w:val="00FB44E1"/>
    <w:rsid w:val="00FB51AA"/>
    <w:rsid w:val="00FD397A"/>
    <w:rsid w:val="00FD42F2"/>
    <w:rsid w:val="00FE3FE8"/>
    <w:rsid w:val="00FF619A"/>
    <w:rsid w:val="00FF61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6DDD"/>
    <w:pPr>
      <w:spacing w:line="260" w:lineRule="atLeast"/>
    </w:pPr>
    <w:rPr>
      <w:sz w:val="22"/>
    </w:rPr>
  </w:style>
  <w:style w:type="paragraph" w:styleId="Heading1">
    <w:name w:val="heading 1"/>
    <w:basedOn w:val="Normal"/>
    <w:next w:val="Normal"/>
    <w:link w:val="Heading1Char"/>
    <w:uiPriority w:val="9"/>
    <w:qFormat/>
    <w:rsid w:val="00D921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21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21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21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21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1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1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17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9217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66DDD"/>
  </w:style>
  <w:style w:type="paragraph" w:customStyle="1" w:styleId="OPCParaBase">
    <w:name w:val="OPCParaBase"/>
    <w:qFormat/>
    <w:rsid w:val="00166DDD"/>
    <w:pPr>
      <w:spacing w:line="260" w:lineRule="atLeast"/>
    </w:pPr>
    <w:rPr>
      <w:rFonts w:eastAsia="Times New Roman" w:cs="Times New Roman"/>
      <w:sz w:val="22"/>
      <w:lang w:eastAsia="en-AU"/>
    </w:rPr>
  </w:style>
  <w:style w:type="paragraph" w:customStyle="1" w:styleId="ShortT">
    <w:name w:val="ShortT"/>
    <w:basedOn w:val="OPCParaBase"/>
    <w:next w:val="Normal"/>
    <w:qFormat/>
    <w:rsid w:val="00166DDD"/>
    <w:pPr>
      <w:spacing w:line="240" w:lineRule="auto"/>
    </w:pPr>
    <w:rPr>
      <w:b/>
      <w:sz w:val="40"/>
    </w:rPr>
  </w:style>
  <w:style w:type="paragraph" w:customStyle="1" w:styleId="ActHead1">
    <w:name w:val="ActHead 1"/>
    <w:aliases w:val="c"/>
    <w:basedOn w:val="OPCParaBase"/>
    <w:next w:val="Normal"/>
    <w:qFormat/>
    <w:rsid w:val="00166D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6D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6D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6D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66D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6D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6D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6D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6D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6DDD"/>
  </w:style>
  <w:style w:type="paragraph" w:customStyle="1" w:styleId="Blocks">
    <w:name w:val="Blocks"/>
    <w:aliases w:val="bb"/>
    <w:basedOn w:val="OPCParaBase"/>
    <w:qFormat/>
    <w:rsid w:val="00166DDD"/>
    <w:pPr>
      <w:spacing w:line="240" w:lineRule="auto"/>
    </w:pPr>
    <w:rPr>
      <w:sz w:val="24"/>
    </w:rPr>
  </w:style>
  <w:style w:type="paragraph" w:customStyle="1" w:styleId="BoxText">
    <w:name w:val="BoxText"/>
    <w:aliases w:val="bt"/>
    <w:basedOn w:val="OPCParaBase"/>
    <w:qFormat/>
    <w:rsid w:val="00166D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6DDD"/>
    <w:rPr>
      <w:b/>
    </w:rPr>
  </w:style>
  <w:style w:type="paragraph" w:customStyle="1" w:styleId="BoxHeadItalic">
    <w:name w:val="BoxHeadItalic"/>
    <w:aliases w:val="bhi"/>
    <w:basedOn w:val="BoxText"/>
    <w:next w:val="BoxStep"/>
    <w:qFormat/>
    <w:rsid w:val="00166DDD"/>
    <w:rPr>
      <w:i/>
    </w:rPr>
  </w:style>
  <w:style w:type="paragraph" w:customStyle="1" w:styleId="BoxList">
    <w:name w:val="BoxList"/>
    <w:aliases w:val="bl"/>
    <w:basedOn w:val="BoxText"/>
    <w:qFormat/>
    <w:rsid w:val="00166DDD"/>
    <w:pPr>
      <w:ind w:left="1559" w:hanging="425"/>
    </w:pPr>
  </w:style>
  <w:style w:type="paragraph" w:customStyle="1" w:styleId="BoxNote">
    <w:name w:val="BoxNote"/>
    <w:aliases w:val="bn"/>
    <w:basedOn w:val="BoxText"/>
    <w:qFormat/>
    <w:rsid w:val="00166DDD"/>
    <w:pPr>
      <w:tabs>
        <w:tab w:val="left" w:pos="1985"/>
      </w:tabs>
      <w:spacing w:before="122" w:line="198" w:lineRule="exact"/>
      <w:ind w:left="2948" w:hanging="1814"/>
    </w:pPr>
    <w:rPr>
      <w:sz w:val="18"/>
    </w:rPr>
  </w:style>
  <w:style w:type="paragraph" w:customStyle="1" w:styleId="BoxPara">
    <w:name w:val="BoxPara"/>
    <w:aliases w:val="bp"/>
    <w:basedOn w:val="BoxText"/>
    <w:qFormat/>
    <w:rsid w:val="00166DDD"/>
    <w:pPr>
      <w:tabs>
        <w:tab w:val="right" w:pos="2268"/>
      </w:tabs>
      <w:ind w:left="2552" w:hanging="1418"/>
    </w:pPr>
  </w:style>
  <w:style w:type="paragraph" w:customStyle="1" w:styleId="BoxStep">
    <w:name w:val="BoxStep"/>
    <w:aliases w:val="bs"/>
    <w:basedOn w:val="BoxText"/>
    <w:qFormat/>
    <w:rsid w:val="00166DDD"/>
    <w:pPr>
      <w:ind w:left="1985" w:hanging="851"/>
    </w:pPr>
  </w:style>
  <w:style w:type="character" w:customStyle="1" w:styleId="CharAmPartNo">
    <w:name w:val="CharAmPartNo"/>
    <w:basedOn w:val="OPCCharBase"/>
    <w:qFormat/>
    <w:rsid w:val="00166DDD"/>
  </w:style>
  <w:style w:type="character" w:customStyle="1" w:styleId="CharAmPartText">
    <w:name w:val="CharAmPartText"/>
    <w:basedOn w:val="OPCCharBase"/>
    <w:qFormat/>
    <w:rsid w:val="00166DDD"/>
  </w:style>
  <w:style w:type="character" w:customStyle="1" w:styleId="CharAmSchNo">
    <w:name w:val="CharAmSchNo"/>
    <w:basedOn w:val="OPCCharBase"/>
    <w:qFormat/>
    <w:rsid w:val="00166DDD"/>
  </w:style>
  <w:style w:type="character" w:customStyle="1" w:styleId="CharAmSchText">
    <w:name w:val="CharAmSchText"/>
    <w:basedOn w:val="OPCCharBase"/>
    <w:qFormat/>
    <w:rsid w:val="00166DDD"/>
  </w:style>
  <w:style w:type="character" w:customStyle="1" w:styleId="CharBoldItalic">
    <w:name w:val="CharBoldItalic"/>
    <w:basedOn w:val="OPCCharBase"/>
    <w:uiPriority w:val="1"/>
    <w:qFormat/>
    <w:rsid w:val="00166DDD"/>
    <w:rPr>
      <w:b/>
      <w:i/>
    </w:rPr>
  </w:style>
  <w:style w:type="character" w:customStyle="1" w:styleId="CharChapNo">
    <w:name w:val="CharChapNo"/>
    <w:basedOn w:val="OPCCharBase"/>
    <w:uiPriority w:val="1"/>
    <w:qFormat/>
    <w:rsid w:val="00166DDD"/>
  </w:style>
  <w:style w:type="character" w:customStyle="1" w:styleId="CharChapText">
    <w:name w:val="CharChapText"/>
    <w:basedOn w:val="OPCCharBase"/>
    <w:uiPriority w:val="1"/>
    <w:qFormat/>
    <w:rsid w:val="00166DDD"/>
  </w:style>
  <w:style w:type="character" w:customStyle="1" w:styleId="CharDivNo">
    <w:name w:val="CharDivNo"/>
    <w:basedOn w:val="OPCCharBase"/>
    <w:uiPriority w:val="1"/>
    <w:qFormat/>
    <w:rsid w:val="00166DDD"/>
  </w:style>
  <w:style w:type="character" w:customStyle="1" w:styleId="CharDivText">
    <w:name w:val="CharDivText"/>
    <w:basedOn w:val="OPCCharBase"/>
    <w:uiPriority w:val="1"/>
    <w:qFormat/>
    <w:rsid w:val="00166DDD"/>
  </w:style>
  <w:style w:type="character" w:customStyle="1" w:styleId="CharItalic">
    <w:name w:val="CharItalic"/>
    <w:basedOn w:val="OPCCharBase"/>
    <w:uiPriority w:val="1"/>
    <w:qFormat/>
    <w:rsid w:val="00166DDD"/>
    <w:rPr>
      <w:i/>
    </w:rPr>
  </w:style>
  <w:style w:type="character" w:customStyle="1" w:styleId="CharPartNo">
    <w:name w:val="CharPartNo"/>
    <w:basedOn w:val="OPCCharBase"/>
    <w:uiPriority w:val="1"/>
    <w:qFormat/>
    <w:rsid w:val="00166DDD"/>
  </w:style>
  <w:style w:type="character" w:customStyle="1" w:styleId="CharPartText">
    <w:name w:val="CharPartText"/>
    <w:basedOn w:val="OPCCharBase"/>
    <w:uiPriority w:val="1"/>
    <w:qFormat/>
    <w:rsid w:val="00166DDD"/>
  </w:style>
  <w:style w:type="character" w:customStyle="1" w:styleId="CharSectno">
    <w:name w:val="CharSectno"/>
    <w:basedOn w:val="OPCCharBase"/>
    <w:qFormat/>
    <w:rsid w:val="00166DDD"/>
  </w:style>
  <w:style w:type="character" w:customStyle="1" w:styleId="CharSubdNo">
    <w:name w:val="CharSubdNo"/>
    <w:basedOn w:val="OPCCharBase"/>
    <w:uiPriority w:val="1"/>
    <w:qFormat/>
    <w:rsid w:val="00166DDD"/>
  </w:style>
  <w:style w:type="character" w:customStyle="1" w:styleId="CharSubdText">
    <w:name w:val="CharSubdText"/>
    <w:basedOn w:val="OPCCharBase"/>
    <w:uiPriority w:val="1"/>
    <w:qFormat/>
    <w:rsid w:val="00166DDD"/>
  </w:style>
  <w:style w:type="paragraph" w:customStyle="1" w:styleId="CTA--">
    <w:name w:val="CTA --"/>
    <w:basedOn w:val="OPCParaBase"/>
    <w:next w:val="Normal"/>
    <w:rsid w:val="00166DDD"/>
    <w:pPr>
      <w:spacing w:before="60" w:line="240" w:lineRule="atLeast"/>
      <w:ind w:left="142" w:hanging="142"/>
    </w:pPr>
    <w:rPr>
      <w:sz w:val="20"/>
    </w:rPr>
  </w:style>
  <w:style w:type="paragraph" w:customStyle="1" w:styleId="CTA-">
    <w:name w:val="CTA -"/>
    <w:basedOn w:val="OPCParaBase"/>
    <w:rsid w:val="00166DDD"/>
    <w:pPr>
      <w:spacing w:before="60" w:line="240" w:lineRule="atLeast"/>
      <w:ind w:left="85" w:hanging="85"/>
    </w:pPr>
    <w:rPr>
      <w:sz w:val="20"/>
    </w:rPr>
  </w:style>
  <w:style w:type="paragraph" w:customStyle="1" w:styleId="CTA---">
    <w:name w:val="CTA ---"/>
    <w:basedOn w:val="OPCParaBase"/>
    <w:next w:val="Normal"/>
    <w:rsid w:val="00166DDD"/>
    <w:pPr>
      <w:spacing w:before="60" w:line="240" w:lineRule="atLeast"/>
      <w:ind w:left="198" w:hanging="198"/>
    </w:pPr>
    <w:rPr>
      <w:sz w:val="20"/>
    </w:rPr>
  </w:style>
  <w:style w:type="paragraph" w:customStyle="1" w:styleId="CTA----">
    <w:name w:val="CTA ----"/>
    <w:basedOn w:val="OPCParaBase"/>
    <w:next w:val="Normal"/>
    <w:rsid w:val="00166DDD"/>
    <w:pPr>
      <w:spacing w:before="60" w:line="240" w:lineRule="atLeast"/>
      <w:ind w:left="255" w:hanging="255"/>
    </w:pPr>
    <w:rPr>
      <w:sz w:val="20"/>
    </w:rPr>
  </w:style>
  <w:style w:type="paragraph" w:customStyle="1" w:styleId="CTA1a">
    <w:name w:val="CTA 1(a)"/>
    <w:basedOn w:val="OPCParaBase"/>
    <w:rsid w:val="00166DDD"/>
    <w:pPr>
      <w:tabs>
        <w:tab w:val="right" w:pos="414"/>
      </w:tabs>
      <w:spacing w:before="40" w:line="240" w:lineRule="atLeast"/>
      <w:ind w:left="675" w:hanging="675"/>
    </w:pPr>
    <w:rPr>
      <w:sz w:val="20"/>
    </w:rPr>
  </w:style>
  <w:style w:type="paragraph" w:customStyle="1" w:styleId="CTA1ai">
    <w:name w:val="CTA 1(a)(i)"/>
    <w:basedOn w:val="OPCParaBase"/>
    <w:rsid w:val="00166DDD"/>
    <w:pPr>
      <w:tabs>
        <w:tab w:val="right" w:pos="1004"/>
      </w:tabs>
      <w:spacing w:before="40" w:line="240" w:lineRule="atLeast"/>
      <w:ind w:left="1253" w:hanging="1253"/>
    </w:pPr>
    <w:rPr>
      <w:sz w:val="20"/>
    </w:rPr>
  </w:style>
  <w:style w:type="paragraph" w:customStyle="1" w:styleId="CTA2a">
    <w:name w:val="CTA 2(a)"/>
    <w:basedOn w:val="OPCParaBase"/>
    <w:rsid w:val="00166DDD"/>
    <w:pPr>
      <w:tabs>
        <w:tab w:val="right" w:pos="482"/>
      </w:tabs>
      <w:spacing w:before="40" w:line="240" w:lineRule="atLeast"/>
      <w:ind w:left="748" w:hanging="748"/>
    </w:pPr>
    <w:rPr>
      <w:sz w:val="20"/>
    </w:rPr>
  </w:style>
  <w:style w:type="paragraph" w:customStyle="1" w:styleId="CTA2ai">
    <w:name w:val="CTA 2(a)(i)"/>
    <w:basedOn w:val="OPCParaBase"/>
    <w:rsid w:val="00166DDD"/>
    <w:pPr>
      <w:tabs>
        <w:tab w:val="right" w:pos="1089"/>
      </w:tabs>
      <w:spacing w:before="40" w:line="240" w:lineRule="atLeast"/>
      <w:ind w:left="1327" w:hanging="1327"/>
    </w:pPr>
    <w:rPr>
      <w:sz w:val="20"/>
    </w:rPr>
  </w:style>
  <w:style w:type="paragraph" w:customStyle="1" w:styleId="CTA3a">
    <w:name w:val="CTA 3(a)"/>
    <w:basedOn w:val="OPCParaBase"/>
    <w:rsid w:val="00166DDD"/>
    <w:pPr>
      <w:tabs>
        <w:tab w:val="right" w:pos="556"/>
      </w:tabs>
      <w:spacing w:before="40" w:line="240" w:lineRule="atLeast"/>
      <w:ind w:left="805" w:hanging="805"/>
    </w:pPr>
    <w:rPr>
      <w:sz w:val="20"/>
    </w:rPr>
  </w:style>
  <w:style w:type="paragraph" w:customStyle="1" w:styleId="CTA3ai">
    <w:name w:val="CTA 3(a)(i)"/>
    <w:basedOn w:val="OPCParaBase"/>
    <w:rsid w:val="00166DDD"/>
    <w:pPr>
      <w:tabs>
        <w:tab w:val="right" w:pos="1140"/>
      </w:tabs>
      <w:spacing w:before="40" w:line="240" w:lineRule="atLeast"/>
      <w:ind w:left="1361" w:hanging="1361"/>
    </w:pPr>
    <w:rPr>
      <w:sz w:val="20"/>
    </w:rPr>
  </w:style>
  <w:style w:type="paragraph" w:customStyle="1" w:styleId="CTA4a">
    <w:name w:val="CTA 4(a)"/>
    <w:basedOn w:val="OPCParaBase"/>
    <w:rsid w:val="00166DDD"/>
    <w:pPr>
      <w:tabs>
        <w:tab w:val="right" w:pos="624"/>
      </w:tabs>
      <w:spacing w:before="40" w:line="240" w:lineRule="atLeast"/>
      <w:ind w:left="873" w:hanging="873"/>
    </w:pPr>
    <w:rPr>
      <w:sz w:val="20"/>
    </w:rPr>
  </w:style>
  <w:style w:type="paragraph" w:customStyle="1" w:styleId="CTA4ai">
    <w:name w:val="CTA 4(a)(i)"/>
    <w:basedOn w:val="OPCParaBase"/>
    <w:rsid w:val="00166DDD"/>
    <w:pPr>
      <w:tabs>
        <w:tab w:val="right" w:pos="1213"/>
      </w:tabs>
      <w:spacing w:before="40" w:line="240" w:lineRule="atLeast"/>
      <w:ind w:left="1452" w:hanging="1452"/>
    </w:pPr>
    <w:rPr>
      <w:sz w:val="20"/>
    </w:rPr>
  </w:style>
  <w:style w:type="paragraph" w:customStyle="1" w:styleId="CTACAPS">
    <w:name w:val="CTA CAPS"/>
    <w:basedOn w:val="OPCParaBase"/>
    <w:rsid w:val="00166DDD"/>
    <w:pPr>
      <w:spacing w:before="60" w:line="240" w:lineRule="atLeast"/>
    </w:pPr>
    <w:rPr>
      <w:sz w:val="20"/>
    </w:rPr>
  </w:style>
  <w:style w:type="paragraph" w:customStyle="1" w:styleId="CTAright">
    <w:name w:val="CTA right"/>
    <w:basedOn w:val="OPCParaBase"/>
    <w:rsid w:val="00166DDD"/>
    <w:pPr>
      <w:spacing w:before="60" w:line="240" w:lineRule="auto"/>
      <w:jc w:val="right"/>
    </w:pPr>
    <w:rPr>
      <w:sz w:val="20"/>
    </w:rPr>
  </w:style>
  <w:style w:type="paragraph" w:customStyle="1" w:styleId="subsection">
    <w:name w:val="subsection"/>
    <w:aliases w:val="ss"/>
    <w:basedOn w:val="OPCParaBase"/>
    <w:link w:val="subsectionChar"/>
    <w:rsid w:val="00166DDD"/>
    <w:pPr>
      <w:tabs>
        <w:tab w:val="right" w:pos="1021"/>
      </w:tabs>
      <w:spacing w:before="180" w:line="240" w:lineRule="auto"/>
      <w:ind w:left="1134" w:hanging="1134"/>
    </w:pPr>
  </w:style>
  <w:style w:type="paragraph" w:customStyle="1" w:styleId="Definition">
    <w:name w:val="Definition"/>
    <w:aliases w:val="dd"/>
    <w:basedOn w:val="OPCParaBase"/>
    <w:rsid w:val="00166DDD"/>
    <w:pPr>
      <w:spacing w:before="180" w:line="240" w:lineRule="auto"/>
      <w:ind w:left="1134"/>
    </w:pPr>
  </w:style>
  <w:style w:type="paragraph" w:customStyle="1" w:styleId="ETAsubitem">
    <w:name w:val="ETA(subitem)"/>
    <w:basedOn w:val="OPCParaBase"/>
    <w:rsid w:val="00166DDD"/>
    <w:pPr>
      <w:tabs>
        <w:tab w:val="right" w:pos="340"/>
      </w:tabs>
      <w:spacing w:before="60" w:line="240" w:lineRule="auto"/>
      <w:ind w:left="454" w:hanging="454"/>
    </w:pPr>
    <w:rPr>
      <w:sz w:val="20"/>
    </w:rPr>
  </w:style>
  <w:style w:type="paragraph" w:customStyle="1" w:styleId="ETApara">
    <w:name w:val="ETA(para)"/>
    <w:basedOn w:val="OPCParaBase"/>
    <w:rsid w:val="00166DDD"/>
    <w:pPr>
      <w:tabs>
        <w:tab w:val="right" w:pos="754"/>
      </w:tabs>
      <w:spacing w:before="60" w:line="240" w:lineRule="auto"/>
      <w:ind w:left="828" w:hanging="828"/>
    </w:pPr>
    <w:rPr>
      <w:sz w:val="20"/>
    </w:rPr>
  </w:style>
  <w:style w:type="paragraph" w:customStyle="1" w:styleId="ETAsubpara">
    <w:name w:val="ETA(subpara)"/>
    <w:basedOn w:val="OPCParaBase"/>
    <w:rsid w:val="00166DDD"/>
    <w:pPr>
      <w:tabs>
        <w:tab w:val="right" w:pos="1083"/>
      </w:tabs>
      <w:spacing w:before="60" w:line="240" w:lineRule="auto"/>
      <w:ind w:left="1191" w:hanging="1191"/>
    </w:pPr>
    <w:rPr>
      <w:sz w:val="20"/>
    </w:rPr>
  </w:style>
  <w:style w:type="paragraph" w:customStyle="1" w:styleId="ETAsub-subpara">
    <w:name w:val="ETA(sub-subpara)"/>
    <w:basedOn w:val="OPCParaBase"/>
    <w:rsid w:val="00166DDD"/>
    <w:pPr>
      <w:tabs>
        <w:tab w:val="right" w:pos="1412"/>
      </w:tabs>
      <w:spacing w:before="60" w:line="240" w:lineRule="auto"/>
      <w:ind w:left="1525" w:hanging="1525"/>
    </w:pPr>
    <w:rPr>
      <w:sz w:val="20"/>
    </w:rPr>
  </w:style>
  <w:style w:type="paragraph" w:customStyle="1" w:styleId="Formula">
    <w:name w:val="Formula"/>
    <w:basedOn w:val="OPCParaBase"/>
    <w:rsid w:val="00166DDD"/>
    <w:pPr>
      <w:spacing w:line="240" w:lineRule="auto"/>
      <w:ind w:left="1134"/>
    </w:pPr>
    <w:rPr>
      <w:sz w:val="20"/>
    </w:rPr>
  </w:style>
  <w:style w:type="paragraph" w:styleId="Header">
    <w:name w:val="header"/>
    <w:basedOn w:val="OPCParaBase"/>
    <w:link w:val="HeaderChar"/>
    <w:unhideWhenUsed/>
    <w:rsid w:val="00166D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6DDD"/>
    <w:rPr>
      <w:rFonts w:eastAsia="Times New Roman" w:cs="Times New Roman"/>
      <w:sz w:val="16"/>
      <w:lang w:eastAsia="en-AU"/>
    </w:rPr>
  </w:style>
  <w:style w:type="paragraph" w:customStyle="1" w:styleId="House">
    <w:name w:val="House"/>
    <w:basedOn w:val="OPCParaBase"/>
    <w:rsid w:val="00166DDD"/>
    <w:pPr>
      <w:spacing w:line="240" w:lineRule="auto"/>
    </w:pPr>
    <w:rPr>
      <w:sz w:val="28"/>
    </w:rPr>
  </w:style>
  <w:style w:type="paragraph" w:customStyle="1" w:styleId="Item">
    <w:name w:val="Item"/>
    <w:aliases w:val="i"/>
    <w:basedOn w:val="OPCParaBase"/>
    <w:next w:val="ItemHead"/>
    <w:rsid w:val="00166DDD"/>
    <w:pPr>
      <w:keepLines/>
      <w:spacing w:before="80" w:line="240" w:lineRule="auto"/>
      <w:ind w:left="709"/>
    </w:pPr>
  </w:style>
  <w:style w:type="paragraph" w:customStyle="1" w:styleId="ItemHead">
    <w:name w:val="ItemHead"/>
    <w:aliases w:val="ih"/>
    <w:basedOn w:val="OPCParaBase"/>
    <w:next w:val="Item"/>
    <w:rsid w:val="00166DDD"/>
    <w:pPr>
      <w:keepLines/>
      <w:spacing w:before="220" w:line="240" w:lineRule="auto"/>
      <w:ind w:left="709" w:hanging="709"/>
    </w:pPr>
    <w:rPr>
      <w:rFonts w:ascii="Arial" w:hAnsi="Arial"/>
      <w:b/>
      <w:kern w:val="28"/>
      <w:sz w:val="24"/>
    </w:rPr>
  </w:style>
  <w:style w:type="paragraph" w:customStyle="1" w:styleId="LongT">
    <w:name w:val="LongT"/>
    <w:basedOn w:val="OPCParaBase"/>
    <w:rsid w:val="00166DDD"/>
    <w:pPr>
      <w:spacing w:line="240" w:lineRule="auto"/>
    </w:pPr>
    <w:rPr>
      <w:b/>
      <w:sz w:val="32"/>
    </w:rPr>
  </w:style>
  <w:style w:type="paragraph" w:customStyle="1" w:styleId="notedraft">
    <w:name w:val="note(draft)"/>
    <w:aliases w:val="nd"/>
    <w:basedOn w:val="OPCParaBase"/>
    <w:rsid w:val="00166DDD"/>
    <w:pPr>
      <w:spacing w:before="240" w:line="240" w:lineRule="auto"/>
      <w:ind w:left="284" w:hanging="284"/>
    </w:pPr>
    <w:rPr>
      <w:i/>
      <w:sz w:val="24"/>
    </w:rPr>
  </w:style>
  <w:style w:type="paragraph" w:customStyle="1" w:styleId="notemargin">
    <w:name w:val="note(margin)"/>
    <w:aliases w:val="nm"/>
    <w:basedOn w:val="OPCParaBase"/>
    <w:rsid w:val="00166DDD"/>
    <w:pPr>
      <w:tabs>
        <w:tab w:val="left" w:pos="709"/>
      </w:tabs>
      <w:spacing w:before="122" w:line="198" w:lineRule="exact"/>
      <w:ind w:left="709" w:hanging="709"/>
    </w:pPr>
    <w:rPr>
      <w:sz w:val="18"/>
    </w:rPr>
  </w:style>
  <w:style w:type="paragraph" w:customStyle="1" w:styleId="noteToPara">
    <w:name w:val="noteToPara"/>
    <w:aliases w:val="ntp"/>
    <w:basedOn w:val="OPCParaBase"/>
    <w:rsid w:val="00166DDD"/>
    <w:pPr>
      <w:spacing w:before="122" w:line="198" w:lineRule="exact"/>
      <w:ind w:left="2353" w:hanging="709"/>
    </w:pPr>
    <w:rPr>
      <w:sz w:val="18"/>
    </w:rPr>
  </w:style>
  <w:style w:type="paragraph" w:customStyle="1" w:styleId="noteParlAmend">
    <w:name w:val="note(ParlAmend)"/>
    <w:aliases w:val="npp"/>
    <w:basedOn w:val="OPCParaBase"/>
    <w:next w:val="ParlAmend"/>
    <w:rsid w:val="00166DDD"/>
    <w:pPr>
      <w:spacing w:line="240" w:lineRule="auto"/>
      <w:jc w:val="right"/>
    </w:pPr>
    <w:rPr>
      <w:rFonts w:ascii="Arial" w:hAnsi="Arial"/>
      <w:b/>
      <w:i/>
    </w:rPr>
  </w:style>
  <w:style w:type="paragraph" w:customStyle="1" w:styleId="notetext">
    <w:name w:val="note(text)"/>
    <w:aliases w:val="n"/>
    <w:basedOn w:val="OPCParaBase"/>
    <w:rsid w:val="00166DDD"/>
    <w:pPr>
      <w:spacing w:before="122" w:line="198" w:lineRule="exact"/>
      <w:ind w:left="1985" w:hanging="851"/>
    </w:pPr>
    <w:rPr>
      <w:sz w:val="18"/>
    </w:rPr>
  </w:style>
  <w:style w:type="paragraph" w:customStyle="1" w:styleId="Page1">
    <w:name w:val="Page1"/>
    <w:basedOn w:val="OPCParaBase"/>
    <w:rsid w:val="00166DDD"/>
    <w:pPr>
      <w:spacing w:before="5600" w:line="240" w:lineRule="auto"/>
    </w:pPr>
    <w:rPr>
      <w:b/>
      <w:sz w:val="32"/>
    </w:rPr>
  </w:style>
  <w:style w:type="paragraph" w:customStyle="1" w:styleId="PageBreak">
    <w:name w:val="PageBreak"/>
    <w:aliases w:val="pb"/>
    <w:basedOn w:val="OPCParaBase"/>
    <w:rsid w:val="00166DDD"/>
    <w:pPr>
      <w:spacing w:line="240" w:lineRule="auto"/>
    </w:pPr>
    <w:rPr>
      <w:sz w:val="20"/>
    </w:rPr>
  </w:style>
  <w:style w:type="paragraph" w:customStyle="1" w:styleId="paragraphsub">
    <w:name w:val="paragraph(sub)"/>
    <w:aliases w:val="aa"/>
    <w:basedOn w:val="OPCParaBase"/>
    <w:rsid w:val="00166DDD"/>
    <w:pPr>
      <w:tabs>
        <w:tab w:val="right" w:pos="1985"/>
      </w:tabs>
      <w:spacing w:before="40" w:line="240" w:lineRule="auto"/>
      <w:ind w:left="2098" w:hanging="2098"/>
    </w:pPr>
  </w:style>
  <w:style w:type="paragraph" w:customStyle="1" w:styleId="paragraphsub-sub">
    <w:name w:val="paragraph(sub-sub)"/>
    <w:aliases w:val="aaa"/>
    <w:basedOn w:val="OPCParaBase"/>
    <w:rsid w:val="00166DDD"/>
    <w:pPr>
      <w:tabs>
        <w:tab w:val="right" w:pos="2722"/>
      </w:tabs>
      <w:spacing w:before="40" w:line="240" w:lineRule="auto"/>
      <w:ind w:left="2835" w:hanging="2835"/>
    </w:pPr>
  </w:style>
  <w:style w:type="paragraph" w:customStyle="1" w:styleId="paragraph">
    <w:name w:val="paragraph"/>
    <w:aliases w:val="a"/>
    <w:basedOn w:val="OPCParaBase"/>
    <w:link w:val="paragraphChar"/>
    <w:rsid w:val="00166DDD"/>
    <w:pPr>
      <w:tabs>
        <w:tab w:val="right" w:pos="1531"/>
      </w:tabs>
      <w:spacing w:before="40" w:line="240" w:lineRule="auto"/>
      <w:ind w:left="1644" w:hanging="1644"/>
    </w:pPr>
  </w:style>
  <w:style w:type="paragraph" w:customStyle="1" w:styleId="ParlAmend">
    <w:name w:val="ParlAmend"/>
    <w:aliases w:val="pp"/>
    <w:basedOn w:val="OPCParaBase"/>
    <w:rsid w:val="00166DDD"/>
    <w:pPr>
      <w:spacing w:before="240" w:line="240" w:lineRule="atLeast"/>
      <w:ind w:hanging="567"/>
    </w:pPr>
    <w:rPr>
      <w:sz w:val="24"/>
    </w:rPr>
  </w:style>
  <w:style w:type="paragraph" w:customStyle="1" w:styleId="Penalty">
    <w:name w:val="Penalty"/>
    <w:basedOn w:val="OPCParaBase"/>
    <w:rsid w:val="00166DDD"/>
    <w:pPr>
      <w:tabs>
        <w:tab w:val="left" w:pos="2977"/>
      </w:tabs>
      <w:spacing w:before="180" w:line="240" w:lineRule="auto"/>
      <w:ind w:left="1985" w:hanging="851"/>
    </w:pPr>
  </w:style>
  <w:style w:type="paragraph" w:customStyle="1" w:styleId="Portfolio">
    <w:name w:val="Portfolio"/>
    <w:basedOn w:val="OPCParaBase"/>
    <w:rsid w:val="00166DDD"/>
    <w:pPr>
      <w:spacing w:line="240" w:lineRule="auto"/>
    </w:pPr>
    <w:rPr>
      <w:i/>
      <w:sz w:val="20"/>
    </w:rPr>
  </w:style>
  <w:style w:type="paragraph" w:customStyle="1" w:styleId="Preamble">
    <w:name w:val="Preamble"/>
    <w:basedOn w:val="OPCParaBase"/>
    <w:next w:val="Normal"/>
    <w:rsid w:val="00166D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6DDD"/>
    <w:pPr>
      <w:spacing w:line="240" w:lineRule="auto"/>
    </w:pPr>
    <w:rPr>
      <w:i/>
      <w:sz w:val="20"/>
    </w:rPr>
  </w:style>
  <w:style w:type="paragraph" w:customStyle="1" w:styleId="Session">
    <w:name w:val="Session"/>
    <w:basedOn w:val="OPCParaBase"/>
    <w:rsid w:val="00166DDD"/>
    <w:pPr>
      <w:spacing w:line="240" w:lineRule="auto"/>
    </w:pPr>
    <w:rPr>
      <w:sz w:val="28"/>
    </w:rPr>
  </w:style>
  <w:style w:type="paragraph" w:customStyle="1" w:styleId="Sponsor">
    <w:name w:val="Sponsor"/>
    <w:basedOn w:val="OPCParaBase"/>
    <w:rsid w:val="00166DDD"/>
    <w:pPr>
      <w:spacing w:line="240" w:lineRule="auto"/>
    </w:pPr>
    <w:rPr>
      <w:i/>
    </w:rPr>
  </w:style>
  <w:style w:type="paragraph" w:customStyle="1" w:styleId="Subitem">
    <w:name w:val="Subitem"/>
    <w:aliases w:val="iss"/>
    <w:basedOn w:val="OPCParaBase"/>
    <w:rsid w:val="00166DDD"/>
    <w:pPr>
      <w:spacing w:before="180" w:line="240" w:lineRule="auto"/>
      <w:ind w:left="709" w:hanging="709"/>
    </w:pPr>
  </w:style>
  <w:style w:type="paragraph" w:customStyle="1" w:styleId="SubitemHead">
    <w:name w:val="SubitemHead"/>
    <w:aliases w:val="issh"/>
    <w:basedOn w:val="OPCParaBase"/>
    <w:rsid w:val="00166D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6DDD"/>
    <w:pPr>
      <w:spacing w:before="40" w:line="240" w:lineRule="auto"/>
      <w:ind w:left="1134"/>
    </w:pPr>
  </w:style>
  <w:style w:type="paragraph" w:customStyle="1" w:styleId="SubsectionHead">
    <w:name w:val="SubsectionHead"/>
    <w:aliases w:val="ssh"/>
    <w:basedOn w:val="OPCParaBase"/>
    <w:next w:val="subsection"/>
    <w:rsid w:val="00166DDD"/>
    <w:pPr>
      <w:keepNext/>
      <w:keepLines/>
      <w:spacing w:before="240" w:line="240" w:lineRule="auto"/>
      <w:ind w:left="1134"/>
    </w:pPr>
    <w:rPr>
      <w:i/>
    </w:rPr>
  </w:style>
  <w:style w:type="paragraph" w:customStyle="1" w:styleId="Tablea">
    <w:name w:val="Table(a)"/>
    <w:aliases w:val="ta"/>
    <w:basedOn w:val="OPCParaBase"/>
    <w:rsid w:val="00166DDD"/>
    <w:pPr>
      <w:spacing w:before="60" w:line="240" w:lineRule="auto"/>
      <w:ind w:left="284" w:hanging="284"/>
    </w:pPr>
    <w:rPr>
      <w:sz w:val="20"/>
    </w:rPr>
  </w:style>
  <w:style w:type="paragraph" w:customStyle="1" w:styleId="TableAA">
    <w:name w:val="Table(AA)"/>
    <w:aliases w:val="taaa"/>
    <w:basedOn w:val="OPCParaBase"/>
    <w:rsid w:val="00166D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6D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6DDD"/>
    <w:pPr>
      <w:spacing w:before="60" w:line="240" w:lineRule="atLeast"/>
    </w:pPr>
    <w:rPr>
      <w:sz w:val="20"/>
    </w:rPr>
  </w:style>
  <w:style w:type="paragraph" w:customStyle="1" w:styleId="TLPBoxTextnote">
    <w:name w:val="TLPBoxText(note"/>
    <w:aliases w:val="right)"/>
    <w:basedOn w:val="OPCParaBase"/>
    <w:rsid w:val="00166D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6D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6DDD"/>
    <w:pPr>
      <w:spacing w:before="122" w:line="198" w:lineRule="exact"/>
      <w:ind w:left="1985" w:hanging="851"/>
      <w:jc w:val="right"/>
    </w:pPr>
    <w:rPr>
      <w:sz w:val="18"/>
    </w:rPr>
  </w:style>
  <w:style w:type="paragraph" w:customStyle="1" w:styleId="TLPTableBullet">
    <w:name w:val="TLPTableBullet"/>
    <w:aliases w:val="ttb"/>
    <w:basedOn w:val="OPCParaBase"/>
    <w:rsid w:val="00166DDD"/>
    <w:pPr>
      <w:spacing w:line="240" w:lineRule="exact"/>
      <w:ind w:left="284" w:hanging="284"/>
    </w:pPr>
    <w:rPr>
      <w:sz w:val="20"/>
    </w:rPr>
  </w:style>
  <w:style w:type="paragraph" w:styleId="TOC1">
    <w:name w:val="toc 1"/>
    <w:basedOn w:val="OPCParaBase"/>
    <w:next w:val="Normal"/>
    <w:uiPriority w:val="39"/>
    <w:semiHidden/>
    <w:unhideWhenUsed/>
    <w:rsid w:val="00166DD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6DD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6DD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6DD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6DD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6D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6D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66D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6D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6DDD"/>
    <w:pPr>
      <w:keepLines/>
      <w:spacing w:before="240" w:after="120" w:line="240" w:lineRule="auto"/>
      <w:ind w:left="794"/>
    </w:pPr>
    <w:rPr>
      <w:b/>
      <w:kern w:val="28"/>
      <w:sz w:val="20"/>
    </w:rPr>
  </w:style>
  <w:style w:type="paragraph" w:customStyle="1" w:styleId="TofSectsHeading">
    <w:name w:val="TofSects(Heading)"/>
    <w:basedOn w:val="OPCParaBase"/>
    <w:rsid w:val="00166DDD"/>
    <w:pPr>
      <w:spacing w:before="240" w:after="120" w:line="240" w:lineRule="auto"/>
    </w:pPr>
    <w:rPr>
      <w:b/>
      <w:sz w:val="24"/>
    </w:rPr>
  </w:style>
  <w:style w:type="paragraph" w:customStyle="1" w:styleId="TofSectsSection">
    <w:name w:val="TofSects(Section)"/>
    <w:basedOn w:val="OPCParaBase"/>
    <w:rsid w:val="00166DDD"/>
    <w:pPr>
      <w:keepLines/>
      <w:spacing w:before="40" w:line="240" w:lineRule="auto"/>
      <w:ind w:left="1588" w:hanging="794"/>
    </w:pPr>
    <w:rPr>
      <w:kern w:val="28"/>
      <w:sz w:val="18"/>
    </w:rPr>
  </w:style>
  <w:style w:type="paragraph" w:customStyle="1" w:styleId="TofSectsSubdiv">
    <w:name w:val="TofSects(Subdiv)"/>
    <w:basedOn w:val="OPCParaBase"/>
    <w:rsid w:val="00166DDD"/>
    <w:pPr>
      <w:keepLines/>
      <w:spacing w:before="80" w:line="240" w:lineRule="auto"/>
      <w:ind w:left="1588" w:hanging="794"/>
    </w:pPr>
    <w:rPr>
      <w:kern w:val="28"/>
    </w:rPr>
  </w:style>
  <w:style w:type="paragraph" w:customStyle="1" w:styleId="WRStyle">
    <w:name w:val="WR Style"/>
    <w:aliases w:val="WR"/>
    <w:basedOn w:val="OPCParaBase"/>
    <w:rsid w:val="00166DDD"/>
    <w:pPr>
      <w:spacing w:before="240" w:line="240" w:lineRule="auto"/>
      <w:ind w:left="284" w:hanging="284"/>
    </w:pPr>
    <w:rPr>
      <w:b/>
      <w:i/>
      <w:kern w:val="28"/>
      <w:sz w:val="24"/>
    </w:rPr>
  </w:style>
  <w:style w:type="paragraph" w:customStyle="1" w:styleId="notepara">
    <w:name w:val="note(para)"/>
    <w:aliases w:val="na"/>
    <w:basedOn w:val="OPCParaBase"/>
    <w:rsid w:val="00166DDD"/>
    <w:pPr>
      <w:spacing w:before="40" w:line="198" w:lineRule="exact"/>
      <w:ind w:left="2354" w:hanging="369"/>
    </w:pPr>
    <w:rPr>
      <w:sz w:val="18"/>
    </w:rPr>
  </w:style>
  <w:style w:type="paragraph" w:styleId="Footer">
    <w:name w:val="footer"/>
    <w:link w:val="FooterChar"/>
    <w:rsid w:val="00166D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66DDD"/>
    <w:rPr>
      <w:rFonts w:eastAsia="Times New Roman" w:cs="Times New Roman"/>
      <w:sz w:val="22"/>
      <w:szCs w:val="24"/>
      <w:lang w:eastAsia="en-AU"/>
    </w:rPr>
  </w:style>
  <w:style w:type="character" w:styleId="LineNumber">
    <w:name w:val="line number"/>
    <w:basedOn w:val="OPCCharBase"/>
    <w:uiPriority w:val="99"/>
    <w:semiHidden/>
    <w:unhideWhenUsed/>
    <w:rsid w:val="00166DDD"/>
    <w:rPr>
      <w:sz w:val="16"/>
    </w:rPr>
  </w:style>
  <w:style w:type="character" w:customStyle="1" w:styleId="paragraphChar">
    <w:name w:val="paragraph Char"/>
    <w:aliases w:val="a Char"/>
    <w:basedOn w:val="DefaultParagraphFont"/>
    <w:link w:val="paragraph"/>
    <w:rsid w:val="00D45073"/>
    <w:rPr>
      <w:rFonts w:eastAsia="Times New Roman" w:cs="Times New Roman"/>
      <w:sz w:val="22"/>
      <w:lang w:eastAsia="en-AU"/>
    </w:rPr>
  </w:style>
  <w:style w:type="character" w:customStyle="1" w:styleId="subsectionChar">
    <w:name w:val="subsection Char"/>
    <w:aliases w:val="ss Char"/>
    <w:basedOn w:val="DefaultParagraphFont"/>
    <w:link w:val="subsection"/>
    <w:rsid w:val="00D45073"/>
    <w:rPr>
      <w:rFonts w:eastAsia="Times New Roman" w:cs="Times New Roman"/>
      <w:sz w:val="22"/>
      <w:lang w:eastAsia="en-AU"/>
    </w:rPr>
  </w:style>
  <w:style w:type="paragraph" w:styleId="ListParagraph">
    <w:name w:val="List Paragraph"/>
    <w:basedOn w:val="Normal"/>
    <w:uiPriority w:val="34"/>
    <w:qFormat/>
    <w:rsid w:val="00503E48"/>
    <w:pPr>
      <w:spacing w:line="240" w:lineRule="auto"/>
      <w:ind w:left="720"/>
    </w:pPr>
    <w:rPr>
      <w:rFonts w:ascii="Calibri" w:hAnsi="Calibri" w:cs="Calibri"/>
      <w:szCs w:val="22"/>
      <w:lang w:eastAsia="en-AU"/>
    </w:rPr>
  </w:style>
  <w:style w:type="table" w:customStyle="1" w:styleId="CFlag">
    <w:name w:val="CFlag"/>
    <w:basedOn w:val="TableNormal"/>
    <w:uiPriority w:val="99"/>
    <w:rsid w:val="00867EDF"/>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2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921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9217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9217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9217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9217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9217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921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9217A"/>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5679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2007\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4000-7581-42A3-9925-AC9DF422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19</Pages>
  <Words>3169</Words>
  <Characters>15880</Characters>
  <Application>Microsoft Office Word</Application>
  <DocSecurity>0</DocSecurity>
  <PresentationFormat/>
  <Lines>407</Lines>
  <Paragraphs>235</Paragraphs>
  <ScaleCrop>false</ScaleCrop>
  <HeadingPairs>
    <vt:vector size="2" baseType="variant">
      <vt:variant>
        <vt:lpstr>Title</vt:lpstr>
      </vt:variant>
      <vt:variant>
        <vt:i4>1</vt:i4>
      </vt:variant>
    </vt:vector>
  </HeadingPairs>
  <TitlesOfParts>
    <vt:vector size="1" baseType="lpstr">
      <vt:lpstr>Social Security Amendment (Supporting Australian Victims of Terrorism Overseas) Bill 2011</vt:lpstr>
    </vt:vector>
  </TitlesOfParts>
  <LinksUpToDate>false</LinksUpToDate>
  <CharactersWithSpaces>18814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2011-03-21T04:38:00Z</cp:lastPrinted>
  <dcterms:created xsi:type="dcterms:W3CDTF">2011-03-25T06:08:00Z</dcterms:created>
  <dcterms:modified xsi:type="dcterms:W3CDTF">2011-03-25T06:09:00Z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Social Security Amendment (Supporting Australian Victims of Terrorism Overseas) Bill 2011</vt:lpwstr>
  </property>
  <property fmtid="{D5CDD505-2E9C-101B-9397-08002B2CF9AE}" pid="4" name="Actno">
    <vt:lpwstr>No.      , 2011</vt:lpwstr>
  </property>
</Properties>
</file>