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F9A" w:rsidRDefault="009A5F9A" w:rsidP="00E14BA9">
      <w:pPr>
        <w:jc w:val="center"/>
      </w:pPr>
      <w:r>
        <w:t>2010</w:t>
      </w:r>
      <w:r w:rsidR="00A254CC">
        <w:t>-2011</w:t>
      </w:r>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r>
        <w:t xml:space="preserve">THE PARLIAMENT OF THE COMMONWEALTH OF </w:t>
      </w:r>
      <w:smartTag w:uri="urn:schemas-microsoft-com:office:smarttags" w:element="place">
        <w:smartTag w:uri="urn:schemas-microsoft-com:office:smarttags" w:element="country-region">
          <w:r>
            <w:t>AUSTRALIA</w:t>
          </w:r>
        </w:smartTag>
      </w:smartTag>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r>
        <w:t>HOUSE OF REPRESENTATIVES</w:t>
      </w:r>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p>
    <w:p w:rsidR="009A5F9A" w:rsidRPr="00E53654" w:rsidRDefault="009A5F9A" w:rsidP="00E14BA9">
      <w:pPr>
        <w:jc w:val="center"/>
        <w:rPr>
          <w:b/>
        </w:rPr>
      </w:pPr>
      <w:r>
        <w:rPr>
          <w:b/>
        </w:rPr>
        <w:t xml:space="preserve">OFFSHORE </w:t>
      </w:r>
      <w:r w:rsidR="006D7E73">
        <w:rPr>
          <w:b/>
        </w:rPr>
        <w:t xml:space="preserve">RESOURCES </w:t>
      </w:r>
      <w:r>
        <w:rPr>
          <w:b/>
        </w:rPr>
        <w:t>LEGI</w:t>
      </w:r>
      <w:r w:rsidR="00A254CC">
        <w:rPr>
          <w:b/>
        </w:rPr>
        <w:t xml:space="preserve">SLATION AMENDMENT </w:t>
      </w:r>
      <w:r w:rsidR="00A94BEA">
        <w:rPr>
          <w:b/>
        </w:rPr>
        <w:br/>
      </w:r>
      <w:r w:rsidR="00A254CC">
        <w:rPr>
          <w:b/>
        </w:rPr>
        <w:t>(</w:t>
      </w:r>
      <w:r w:rsidR="006D7E73">
        <w:rPr>
          <w:b/>
        </w:rPr>
        <w:t>PERSONAL PROPERTY SECURITIES</w:t>
      </w:r>
      <w:r>
        <w:rPr>
          <w:b/>
        </w:rPr>
        <w:t>) BILL 201</w:t>
      </w:r>
      <w:r w:rsidR="00A254CC">
        <w:rPr>
          <w:b/>
        </w:rPr>
        <w:t>1</w:t>
      </w:r>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r>
        <w:t>EXPLANATORY MEMORANDUM</w:t>
      </w:r>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p>
    <w:p w:rsidR="009A5F9A" w:rsidRDefault="009A5F9A" w:rsidP="00E14BA9">
      <w:pPr>
        <w:jc w:val="center"/>
      </w:pPr>
    </w:p>
    <w:p w:rsidR="00A705A7" w:rsidRDefault="009A5F9A" w:rsidP="00A705A7">
      <w:pPr>
        <w:jc w:val="center"/>
        <w:sectPr w:rsidR="00A705A7" w:rsidSect="00A705A7">
          <w:headerReference w:type="default" r:id="rId7"/>
          <w:footerReference w:type="even" r:id="rId8"/>
          <w:footerReference w:type="default" r:id="rId9"/>
          <w:pgSz w:w="11906" w:h="16838"/>
          <w:pgMar w:top="1440" w:right="1800" w:bottom="1440" w:left="1800" w:header="708" w:footer="708" w:gutter="0"/>
          <w:pgNumType w:start="1"/>
          <w:cols w:space="708"/>
          <w:docGrid w:linePitch="360"/>
        </w:sectPr>
      </w:pPr>
      <w:r>
        <w:t xml:space="preserve">(Circulated by authority of </w:t>
      </w:r>
      <w:bookmarkStart w:id="0" w:name="OLE_LINK16"/>
      <w:bookmarkStart w:id="1" w:name="OLE_LINK17"/>
      <w:r>
        <w:t xml:space="preserve">the Minister for Resources and Energy, </w:t>
      </w:r>
      <w:r>
        <w:br/>
        <w:t>the Honourable Martin Ferguson AM, MP</w:t>
      </w:r>
      <w:bookmarkEnd w:id="0"/>
      <w:bookmarkEnd w:id="1"/>
      <w:r w:rsidR="00A705A7">
        <w:t>)</w:t>
      </w:r>
    </w:p>
    <w:p w:rsidR="00A94BEA" w:rsidRPr="00A705A7" w:rsidRDefault="009A5F9A" w:rsidP="00A705A7">
      <w:pPr>
        <w:jc w:val="center"/>
      </w:pPr>
      <w:r>
        <w:rPr>
          <w:b/>
        </w:rPr>
        <w:lastRenderedPageBreak/>
        <w:t xml:space="preserve">OFFSHORE </w:t>
      </w:r>
      <w:r w:rsidR="006D7E73">
        <w:rPr>
          <w:b/>
        </w:rPr>
        <w:t>RESOURCES</w:t>
      </w:r>
      <w:r>
        <w:rPr>
          <w:b/>
        </w:rPr>
        <w:t xml:space="preserve"> LEGI</w:t>
      </w:r>
      <w:r w:rsidR="006A74F8">
        <w:rPr>
          <w:b/>
        </w:rPr>
        <w:t xml:space="preserve">SLATION AMENDMENT </w:t>
      </w:r>
    </w:p>
    <w:p w:rsidR="009A5F9A" w:rsidRDefault="006A74F8" w:rsidP="009434E3">
      <w:pPr>
        <w:jc w:val="center"/>
        <w:rPr>
          <w:b/>
        </w:rPr>
      </w:pPr>
      <w:r>
        <w:rPr>
          <w:b/>
        </w:rPr>
        <w:t>(</w:t>
      </w:r>
      <w:r w:rsidR="006D7E73">
        <w:rPr>
          <w:b/>
        </w:rPr>
        <w:t>PERSONAL PROPERTY SECURITIES</w:t>
      </w:r>
      <w:r w:rsidR="009A5F9A">
        <w:rPr>
          <w:b/>
        </w:rPr>
        <w:t>) BILL 201</w:t>
      </w:r>
      <w:r>
        <w:rPr>
          <w:b/>
        </w:rPr>
        <w:t>1</w:t>
      </w:r>
    </w:p>
    <w:p w:rsidR="009A5F9A" w:rsidRDefault="009A5F9A" w:rsidP="00E14BA9">
      <w:pPr>
        <w:rPr>
          <w:b/>
        </w:rPr>
      </w:pPr>
    </w:p>
    <w:p w:rsidR="009A5F9A" w:rsidRDefault="009A5F9A" w:rsidP="00E14BA9">
      <w:pPr>
        <w:rPr>
          <w:b/>
        </w:rPr>
      </w:pPr>
    </w:p>
    <w:p w:rsidR="009A5F9A" w:rsidRDefault="009A5F9A" w:rsidP="00E14BA9">
      <w:pPr>
        <w:rPr>
          <w:b/>
        </w:rPr>
      </w:pPr>
      <w:r>
        <w:rPr>
          <w:b/>
        </w:rPr>
        <w:t>GENERAL OUTLINE</w:t>
      </w:r>
    </w:p>
    <w:p w:rsidR="009A5F9A" w:rsidRDefault="009A5F9A" w:rsidP="00E14BA9">
      <w:pPr>
        <w:rPr>
          <w:b/>
        </w:rPr>
      </w:pPr>
    </w:p>
    <w:p w:rsidR="00B26ABF" w:rsidRDefault="009A5F9A" w:rsidP="0054145D">
      <w:bookmarkStart w:id="2" w:name="OLE_LINK1"/>
      <w:bookmarkStart w:id="3" w:name="OLE_LINK2"/>
      <w:r w:rsidRPr="00474168">
        <w:t xml:space="preserve">The purpose of the Bill is to </w:t>
      </w:r>
      <w:r w:rsidR="00132A20">
        <w:t>amend</w:t>
      </w:r>
      <w:r>
        <w:t xml:space="preserve"> the </w:t>
      </w:r>
      <w:r w:rsidR="00E84626">
        <w:rPr>
          <w:i/>
        </w:rPr>
        <w:t>Offshore Petroleum and Greenhouse Gas Storage Act 2006</w:t>
      </w:r>
      <w:r w:rsidR="00E84626">
        <w:t xml:space="preserve"> (the OPGGS Act) </w:t>
      </w:r>
      <w:r w:rsidR="00AE65DD">
        <w:t xml:space="preserve">and the </w:t>
      </w:r>
      <w:r w:rsidR="00AE65DD">
        <w:rPr>
          <w:i/>
        </w:rPr>
        <w:t xml:space="preserve">Offshore Minerals Act 1994 </w:t>
      </w:r>
      <w:r w:rsidR="00AE65DD">
        <w:t xml:space="preserve">(the OMA) </w:t>
      </w:r>
      <w:r w:rsidR="00E05F19">
        <w:t>to</w:t>
      </w:r>
      <w:r w:rsidR="0054145D">
        <w:t xml:space="preserve"> </w:t>
      </w:r>
      <w:r w:rsidR="00E84626">
        <w:t xml:space="preserve">exclude application of the </w:t>
      </w:r>
      <w:r w:rsidR="00E84626">
        <w:rPr>
          <w:i/>
        </w:rPr>
        <w:t xml:space="preserve">Personal </w:t>
      </w:r>
      <w:smartTag w:uri="urn:schemas-microsoft-com:office:smarttags" w:element="PersonName">
        <w:r w:rsidR="00E84626">
          <w:rPr>
            <w:i/>
          </w:rPr>
          <w:t>Property</w:t>
        </w:r>
      </w:smartTag>
      <w:r w:rsidR="00E84626">
        <w:rPr>
          <w:i/>
        </w:rPr>
        <w:t xml:space="preserve"> Securities Act 2009</w:t>
      </w:r>
      <w:r w:rsidR="00AE65DD">
        <w:rPr>
          <w:i/>
        </w:rPr>
        <w:t xml:space="preserve"> </w:t>
      </w:r>
      <w:r w:rsidR="00AE65DD">
        <w:t>(the PPS Act)</w:t>
      </w:r>
      <w:r w:rsidR="00E84626">
        <w:t xml:space="preserve">. </w:t>
      </w:r>
    </w:p>
    <w:p w:rsidR="00AE65DD" w:rsidRDefault="00AE65DD" w:rsidP="0054145D"/>
    <w:p w:rsidR="00AE65DD" w:rsidRDefault="00AE65DD" w:rsidP="00AE65DD">
      <w:r>
        <w:t xml:space="preserve">The PPS Act establishes a single national personal property securities register (PPS Register) which, while yet to commence operation, is intended to become the primary register of personal property security interests throughout </w:t>
      </w:r>
      <w:smartTag w:uri="urn:schemas-microsoft-com:office:smarttags" w:element="country-region">
        <w:smartTag w:uri="urn:schemas-microsoft-com:office:smarttags" w:element="place">
          <w:r>
            <w:t>Australia</w:t>
          </w:r>
        </w:smartTag>
      </w:smartTag>
      <w:r>
        <w:t xml:space="preserve">. </w:t>
      </w:r>
      <w:r w:rsidRPr="002165DE">
        <w:t>Commonwealth legislation</w:t>
      </w:r>
      <w:r>
        <w:t xml:space="preserve">, including the </w:t>
      </w:r>
      <w:r w:rsidRPr="00AE65DD">
        <w:t xml:space="preserve">OPGGS Act and the </w:t>
      </w:r>
      <w:r>
        <w:t>OMA,</w:t>
      </w:r>
      <w:r w:rsidRPr="002165DE">
        <w:t xml:space="preserve"> is not automatically affected by the PPS Act</w:t>
      </w:r>
      <w:r>
        <w:t>, i.e. it does not override existing registration requirements enshrined in Commonwealth legislation</w:t>
      </w:r>
      <w:r w:rsidRPr="002165DE">
        <w:t xml:space="preserve">.  </w:t>
      </w:r>
      <w:r>
        <w:t xml:space="preserve">However, it is stated Commonwealth policy that, in order to remove duplication and increase clarity, existing </w:t>
      </w:r>
      <w:r w:rsidRPr="002165DE">
        <w:t>approval and registration requirement</w:t>
      </w:r>
      <w:r>
        <w:t>s</w:t>
      </w:r>
      <w:r w:rsidRPr="002165DE">
        <w:t xml:space="preserve"> </w:t>
      </w:r>
      <w:r>
        <w:t>for</w:t>
      </w:r>
      <w:r w:rsidRPr="002165DE">
        <w:t xml:space="preserve"> personal property securit</w:t>
      </w:r>
      <w:r w:rsidR="00244EDA">
        <w:t>ies,</w:t>
      </w:r>
      <w:r w:rsidRPr="002165DE">
        <w:t xml:space="preserve"> </w:t>
      </w:r>
      <w:r w:rsidR="00244EDA">
        <w:t xml:space="preserve">and dealings in these securities, </w:t>
      </w:r>
      <w:r w:rsidRPr="002165DE">
        <w:t>are</w:t>
      </w:r>
      <w:r>
        <w:t xml:space="preserve"> either</w:t>
      </w:r>
      <w:r w:rsidRPr="002165DE">
        <w:t xml:space="preserve"> removed from Commonwealth Acts</w:t>
      </w:r>
      <w:r>
        <w:t xml:space="preserve"> so that PPS Act registration requirements only will apply,</w:t>
      </w:r>
      <w:r w:rsidRPr="002165DE">
        <w:t xml:space="preserve"> </w:t>
      </w:r>
      <w:r w:rsidRPr="00AE65DD">
        <w:t>or</w:t>
      </w:r>
      <w:r w:rsidRPr="002165DE">
        <w:t xml:space="preserve"> that the PPS Act is expressly excluded from application to personal property under </w:t>
      </w:r>
      <w:r>
        <w:t xml:space="preserve">relevant </w:t>
      </w:r>
      <w:r w:rsidRPr="002165DE">
        <w:t>Commonwealth Acts</w:t>
      </w:r>
      <w:r>
        <w:t xml:space="preserve"> dealing with </w:t>
      </w:r>
      <w:r w:rsidR="00B835F8">
        <w:t>personal</w:t>
      </w:r>
      <w:r>
        <w:t xml:space="preserve"> </w:t>
      </w:r>
      <w:r w:rsidR="00B835F8">
        <w:t>property and interests in</w:t>
      </w:r>
      <w:r w:rsidR="00D56F08">
        <w:t xml:space="preserve"> </w:t>
      </w:r>
      <w:r w:rsidR="00B835F8">
        <w:t>personal property.</w:t>
      </w:r>
    </w:p>
    <w:p w:rsidR="00AE65DD" w:rsidRDefault="00AE65DD" w:rsidP="00AE65DD"/>
    <w:p w:rsidR="00C31750" w:rsidRDefault="00244EDA" w:rsidP="0054145D">
      <w:r>
        <w:t xml:space="preserve">Chapters 4 and 5 of the OPGGS Act relate to registration of transfers of, and dealings in, petroleum titles and greenhouse gas titles respectively.  </w:t>
      </w:r>
      <w:r w:rsidR="00C31750">
        <w:t>Chapter 3 of the OMA relates to registration and dealings for offshore minerals titles.</w:t>
      </w:r>
    </w:p>
    <w:p w:rsidR="00C31750" w:rsidRDefault="00C31750" w:rsidP="0054145D"/>
    <w:p w:rsidR="00AE65DD" w:rsidRDefault="00C31750" w:rsidP="0054145D">
      <w:r>
        <w:t xml:space="preserve">If </w:t>
      </w:r>
      <w:r w:rsidR="00800929">
        <w:t>no</w:t>
      </w:r>
      <w:r>
        <w:t xml:space="preserve"> amendments </w:t>
      </w:r>
      <w:r w:rsidR="00800929">
        <w:t xml:space="preserve">are made </w:t>
      </w:r>
      <w:r>
        <w:t xml:space="preserve">to the OPGGS Act and OMA, offshore petroleum, greenhouse gas and minerals titles will be “personal property” for the purposes of the PPS Act, and the registration and other provisions of the PPS Act will apply to these titles, in addition to the requirements of the OPGGS Act and the OMA.  </w:t>
      </w:r>
      <w:r w:rsidR="00AE65DD">
        <w:t>This Bill</w:t>
      </w:r>
      <w:r>
        <w:t xml:space="preserve"> implements the Commonwealth’s policy decision to</w:t>
      </w:r>
      <w:r w:rsidR="00AE65DD" w:rsidRPr="004510DD">
        <w:t xml:space="preserve"> expressly exclude application of the PPS Act for the purposes of</w:t>
      </w:r>
      <w:r w:rsidR="00AE65DD">
        <w:t xml:space="preserve"> dealings relating to titles under the OPGGS Act and the OMA. Unlike Commonwealth legislation, State and Territory legislation will be automatically overridden by the PPS Act if it contains inconsistent personal property security registration requirements.  State and </w:t>
      </w:r>
      <w:smartTag w:uri="urn:schemas-microsoft-com:office:smarttags" w:element="State">
        <w:smartTag w:uri="urn:schemas-microsoft-com:office:smarttags" w:element="place">
          <w:r w:rsidR="00AE65DD">
            <w:t>Northern Territory</w:t>
          </w:r>
        </w:smartTag>
      </w:smartTag>
      <w:r w:rsidR="00AE65DD">
        <w:t xml:space="preserve"> governments have advised the Commonwealth, through consultation</w:t>
      </w:r>
      <w:r>
        <w:t>,</w:t>
      </w:r>
      <w:r w:rsidR="00AE65DD">
        <w:t xml:space="preserve"> that they are electing to </w:t>
      </w:r>
      <w:r w:rsidR="00AE65DD" w:rsidRPr="00AE65DD">
        <w:t>opt out of or exclude</w:t>
      </w:r>
      <w:r w:rsidR="00AE65DD">
        <w:t xml:space="preserve"> the operation of the PPS Act for their onshore mining schemes.  Therefore excluding application of the PPS Act to the OPGGS Act and the OMA will </w:t>
      </w:r>
      <w:bookmarkStart w:id="4" w:name="OLE_LINK3"/>
      <w:bookmarkStart w:id="5" w:name="OLE_LINK6"/>
      <w:r w:rsidR="00AE65DD">
        <w:t>ensure consistency between the onshore and offshore mining regimes</w:t>
      </w:r>
      <w:bookmarkEnd w:id="4"/>
      <w:bookmarkEnd w:id="5"/>
      <w:r w:rsidR="00AE65DD">
        <w:t xml:space="preserve">, and minimise a potential regulatory burden and costs to the mining industry and its investors in complying with different registration requirements, potentially skewing investment between onshore and offshore, and having to keep abreast of developments. </w:t>
      </w:r>
    </w:p>
    <w:p w:rsidR="00AE65DD" w:rsidRDefault="00AE65DD" w:rsidP="0054145D"/>
    <w:p w:rsidR="00AE65DD" w:rsidRDefault="00AE65DD" w:rsidP="00AE65DD">
      <w:r>
        <w:t xml:space="preserve">In addition to the reasoning above, </w:t>
      </w:r>
      <w:r w:rsidRPr="003626C3">
        <w:t>under the registration requirements in the OPGGS</w:t>
      </w:r>
      <w:r>
        <w:t xml:space="preserve"> </w:t>
      </w:r>
      <w:r w:rsidRPr="003626C3">
        <w:t>A</w:t>
      </w:r>
      <w:r>
        <w:t>ct</w:t>
      </w:r>
      <w:r w:rsidRPr="003626C3">
        <w:t xml:space="preserve">, </w:t>
      </w:r>
      <w:r>
        <w:t>the</w:t>
      </w:r>
      <w:bookmarkStart w:id="6" w:name="OLE_LINK4"/>
      <w:bookmarkStart w:id="7" w:name="OLE_LINK5"/>
      <w:r>
        <w:t xml:space="preserve"> regulator (currently the Designated Authority (DA)</w:t>
      </w:r>
      <w:r w:rsidR="00800929">
        <w:t>)</w:t>
      </w:r>
      <w:bookmarkEnd w:id="6"/>
      <w:bookmarkEnd w:id="7"/>
      <w:r>
        <w:t xml:space="preserve"> </w:t>
      </w:r>
      <w:r w:rsidRPr="003626C3">
        <w:t xml:space="preserve">has the ability to refuse </w:t>
      </w:r>
      <w:r w:rsidR="00800929">
        <w:t>to approve a dealing in relation to</w:t>
      </w:r>
      <w:r w:rsidRPr="003626C3">
        <w:t xml:space="preserve"> a</w:t>
      </w:r>
      <w:r>
        <w:t xml:space="preserve"> petroleum</w:t>
      </w:r>
      <w:r w:rsidRPr="003626C3">
        <w:t xml:space="preserve"> title</w:t>
      </w:r>
      <w:r>
        <w:t xml:space="preserve">, and the responsible Commonwealth Minister has the ability to refuse </w:t>
      </w:r>
      <w:r w:rsidR="00800929">
        <w:t>to approve a dealing in relation to</w:t>
      </w:r>
      <w:r>
        <w:t xml:space="preserve"> a greenhouse gas title.  </w:t>
      </w:r>
      <w:r w:rsidR="00800929">
        <w:t xml:space="preserve">With respect to a petroleum title, the responsible Commonwealth Minister also has the power to issue a direction to the DA in relation </w:t>
      </w:r>
      <w:r w:rsidR="00800929">
        <w:lastRenderedPageBreak/>
        <w:t>to the exercise of the DA’s power to approve or refuse to approve a dealing in relation to the petroleum title.  The DA must comply with any such direction.</w:t>
      </w:r>
      <w:r>
        <w:t xml:space="preserve"> </w:t>
      </w:r>
      <w:r w:rsidRPr="003626C3">
        <w:t>Th</w:t>
      </w:r>
      <w:r>
        <w:t xml:space="preserve">is ability to refuse </w:t>
      </w:r>
      <w:r w:rsidR="00800929">
        <w:t xml:space="preserve">approval and </w:t>
      </w:r>
      <w:r>
        <w:t>registration of an interest underpins the</w:t>
      </w:r>
      <w:r w:rsidRPr="003626C3">
        <w:t xml:space="preserve"> purpose of the registration requirement</w:t>
      </w:r>
      <w:r>
        <w:t>,</w:t>
      </w:r>
      <w:r w:rsidRPr="003626C3">
        <w:t xml:space="preserve"> to enable the </w:t>
      </w:r>
      <w:r>
        <w:t>Australian G</w:t>
      </w:r>
      <w:r w:rsidRPr="003626C3">
        <w:t xml:space="preserve">overnment to ensure the suitability of the entities that potentially are able to exercise control over the exploitation of </w:t>
      </w:r>
      <w:smartTag w:uri="urn:schemas-microsoft-com:office:smarttags" w:element="country-region">
        <w:smartTag w:uri="urn:schemas-microsoft-com:office:smarttags" w:element="place">
          <w:r w:rsidRPr="003626C3">
            <w:t>Australia</w:t>
          </w:r>
        </w:smartTag>
      </w:smartTag>
      <w:r w:rsidRPr="003626C3">
        <w:t>’s o</w:t>
      </w:r>
      <w:r>
        <w:t>ffshore petroleum resources.  Given t</w:t>
      </w:r>
      <w:r w:rsidRPr="003626C3">
        <w:t>here will be no similar ‘approval’ or ‘vetting’</w:t>
      </w:r>
      <w:r>
        <w:t xml:space="preserve"> facility under the PPS Act</w:t>
      </w:r>
      <w:r w:rsidRPr="003626C3">
        <w:t xml:space="preserve"> for dealings to be refused, and instead upon registration of the interest on the PPS Register it will automatically come into force</w:t>
      </w:r>
      <w:r>
        <w:t>, it is necessary to maintain and distinguish OPGGS Act registration of interests as d</w:t>
      </w:r>
      <w:r w:rsidRPr="003626C3">
        <w:t xml:space="preserve">eferral to the PPS Act would raise serious </w:t>
      </w:r>
      <w:r>
        <w:t xml:space="preserve">policy </w:t>
      </w:r>
      <w:r w:rsidRPr="003626C3">
        <w:t xml:space="preserve">questions about </w:t>
      </w:r>
      <w:bookmarkStart w:id="8" w:name="OLE_LINK7"/>
      <w:bookmarkStart w:id="9" w:name="OLE_LINK9"/>
      <w:r w:rsidRPr="003626C3">
        <w:t>the management and security of national resources. </w:t>
      </w:r>
      <w:bookmarkEnd w:id="8"/>
      <w:bookmarkEnd w:id="9"/>
    </w:p>
    <w:p w:rsidR="00CA1AF8" w:rsidRDefault="00CA1AF8" w:rsidP="00AE65DD"/>
    <w:p w:rsidR="00AE65DD" w:rsidRPr="00E84626" w:rsidRDefault="00CA1AF8" w:rsidP="0054145D">
      <w:r>
        <w:t xml:space="preserve">The Bill amends the OPGGS Act and the OMA to provide that all types of title and licence granted </w:t>
      </w:r>
      <w:r w:rsidR="00324DEA">
        <w:t xml:space="preserve">or various types of </w:t>
      </w:r>
      <w:r w:rsidR="00B64A27">
        <w:t xml:space="preserve">rights and </w:t>
      </w:r>
      <w:r w:rsidR="00324DEA">
        <w:t xml:space="preserve">interests acquired in relation to those titles and licences </w:t>
      </w:r>
      <w:r>
        <w:t xml:space="preserve">under either piece of legislation is not personal property for the purposes of the PPS Act. </w:t>
      </w:r>
      <w:r w:rsidR="00B64A27">
        <w:t>T</w:t>
      </w:r>
      <w:r>
        <w:t xml:space="preserve">his means that any </w:t>
      </w:r>
      <w:r w:rsidR="00324DEA">
        <w:t>security</w:t>
      </w:r>
      <w:r>
        <w:t xml:space="preserve"> interests acquired in these titles or </w:t>
      </w:r>
      <w:r w:rsidR="00324DEA">
        <w:t xml:space="preserve">licences or interests </w:t>
      </w:r>
      <w:r>
        <w:t xml:space="preserve">are not personal property securities for the purpose of the PPS Act. </w:t>
      </w:r>
    </w:p>
    <w:bookmarkEnd w:id="2"/>
    <w:bookmarkEnd w:id="3"/>
    <w:p w:rsidR="009A5F9A" w:rsidRDefault="009A5F9A" w:rsidP="00E14BA9">
      <w:pPr>
        <w:rPr>
          <w:b/>
        </w:rPr>
      </w:pPr>
    </w:p>
    <w:p w:rsidR="009A5F9A" w:rsidRDefault="009A5F9A" w:rsidP="00E14BA9">
      <w:pPr>
        <w:rPr>
          <w:b/>
        </w:rPr>
      </w:pPr>
      <w:r>
        <w:rPr>
          <w:b/>
        </w:rPr>
        <w:t>FINANCIAL IMPACT STATEMENT</w:t>
      </w:r>
    </w:p>
    <w:p w:rsidR="009A5F9A" w:rsidRDefault="009A5F9A" w:rsidP="00E14BA9">
      <w:pPr>
        <w:rPr>
          <w:b/>
        </w:rPr>
      </w:pPr>
    </w:p>
    <w:p w:rsidR="009A5F9A" w:rsidRPr="00993807" w:rsidRDefault="00414297" w:rsidP="00E14BA9">
      <w:pPr>
        <w:rPr>
          <w:b/>
        </w:rPr>
      </w:pPr>
      <w:r>
        <w:t>Nil</w:t>
      </w:r>
      <w:r w:rsidR="00097A3B">
        <w:t xml:space="preserve"> financial impact on the Australian Government Budget</w:t>
      </w:r>
      <w:r>
        <w:t xml:space="preserve">. </w:t>
      </w:r>
    </w:p>
    <w:p w:rsidR="009A5F9A" w:rsidRDefault="009A5F9A" w:rsidP="00E14BA9"/>
    <w:p w:rsidR="009A5F9A" w:rsidRPr="00CA1AF8" w:rsidRDefault="009A5F9A" w:rsidP="00E14BA9">
      <w:pPr>
        <w:rPr>
          <w:b/>
        </w:rPr>
      </w:pPr>
      <w:bookmarkStart w:id="10" w:name="OLE_LINK8"/>
      <w:bookmarkStart w:id="11" w:name="OLE_LINK15"/>
      <w:r w:rsidRPr="00CA1AF8">
        <w:rPr>
          <w:b/>
        </w:rPr>
        <w:t>REGULATORY IMPACT STATEMENT</w:t>
      </w:r>
    </w:p>
    <w:p w:rsidR="009A5F9A" w:rsidRPr="00CA1AF8" w:rsidRDefault="009A5F9A" w:rsidP="00E14BA9"/>
    <w:p w:rsidR="009A5F9A" w:rsidRPr="00C04D65" w:rsidRDefault="009A5F9A" w:rsidP="00E14BA9">
      <w:r w:rsidRPr="00CA1AF8">
        <w:t xml:space="preserve">This bill does not impose any new regulatory burden on the </w:t>
      </w:r>
      <w:r w:rsidR="00DE529B">
        <w:t xml:space="preserve">offshore </w:t>
      </w:r>
      <w:r w:rsidRPr="00CA1AF8">
        <w:t>petroleum</w:t>
      </w:r>
      <w:r w:rsidR="00DE529B">
        <w:t>, greenhouse gas or minerals</w:t>
      </w:r>
      <w:r w:rsidRPr="00CA1AF8">
        <w:t xml:space="preserve"> industr</w:t>
      </w:r>
      <w:r w:rsidR="00DE529B">
        <w:t>ies</w:t>
      </w:r>
      <w:r w:rsidRPr="00CA1AF8">
        <w:t>.</w:t>
      </w:r>
      <w:r w:rsidR="00B61A4A" w:rsidRPr="00CA1AF8">
        <w:t xml:space="preserve"> </w:t>
      </w:r>
      <w:r w:rsidR="00E84626" w:rsidRPr="00CA1AF8">
        <w:t xml:space="preserve">Consultation with State and </w:t>
      </w:r>
      <w:smartTag w:uri="urn:schemas-microsoft-com:office:smarttags" w:element="State">
        <w:smartTag w:uri="urn:schemas-microsoft-com:office:smarttags" w:element="place">
          <w:r w:rsidR="00E84626" w:rsidRPr="00CA1AF8">
            <w:t>Northern Territory</w:t>
          </w:r>
        </w:smartTag>
      </w:smartTag>
      <w:r w:rsidR="00E84626" w:rsidRPr="00CA1AF8">
        <w:t xml:space="preserve"> government counterparts </w:t>
      </w:r>
      <w:r w:rsidR="00CA1AF8" w:rsidRPr="00CA1AF8">
        <w:t>has confirmed their intent to exclude application of the PPS Act to onshore mining</w:t>
      </w:r>
      <w:r w:rsidR="00CA1AF8">
        <w:t>.</w:t>
      </w:r>
      <w:r w:rsidR="00AE473D">
        <w:t xml:space="preserve"> </w:t>
      </w:r>
      <w:r w:rsidR="00CA1AF8">
        <w:t xml:space="preserve"> </w:t>
      </w:r>
      <w:r w:rsidR="00AE473D">
        <w:t xml:space="preserve"> </w:t>
      </w:r>
    </w:p>
    <w:bookmarkEnd w:id="10"/>
    <w:bookmarkEnd w:id="11"/>
    <w:p w:rsidR="009A5F9A" w:rsidRDefault="009A5F9A" w:rsidP="00E14BA9"/>
    <w:p w:rsidR="009A5F9A" w:rsidRDefault="009A5F9A" w:rsidP="00E14BA9">
      <w:pPr>
        <w:rPr>
          <w:b/>
        </w:rPr>
      </w:pPr>
      <w:r>
        <w:br w:type="page"/>
      </w:r>
      <w:r>
        <w:rPr>
          <w:b/>
        </w:rPr>
        <w:lastRenderedPageBreak/>
        <w:t>NOTES ON INDIVIDUAL CLAUSES</w:t>
      </w:r>
    </w:p>
    <w:p w:rsidR="009A5F9A" w:rsidRDefault="009A5F9A" w:rsidP="00E14BA9">
      <w:pPr>
        <w:rPr>
          <w:b/>
        </w:rPr>
      </w:pPr>
    </w:p>
    <w:p w:rsidR="009A5F9A" w:rsidRDefault="009A5F9A" w:rsidP="00E14BA9">
      <w:pPr>
        <w:rPr>
          <w:u w:val="single"/>
        </w:rPr>
      </w:pPr>
      <w:r>
        <w:rPr>
          <w:u w:val="single"/>
        </w:rPr>
        <w:t>Clause 1 - Short title</w:t>
      </w:r>
    </w:p>
    <w:p w:rsidR="009A5F9A" w:rsidRDefault="009A5F9A" w:rsidP="00E14BA9">
      <w:pPr>
        <w:rPr>
          <w:u w:val="single"/>
        </w:rPr>
      </w:pPr>
    </w:p>
    <w:p w:rsidR="009A5F9A" w:rsidRPr="00B4584B" w:rsidRDefault="009A5F9A" w:rsidP="00E14BA9">
      <w:r w:rsidRPr="00B4584B">
        <w:t>Clause 1 is a formal provision specifying the short title of the Bill.</w:t>
      </w:r>
    </w:p>
    <w:p w:rsidR="009A5F9A" w:rsidRDefault="009A5F9A" w:rsidP="00E14BA9">
      <w:pPr>
        <w:rPr>
          <w:u w:val="single"/>
        </w:rPr>
      </w:pPr>
    </w:p>
    <w:p w:rsidR="009A5F9A" w:rsidRDefault="009A5F9A" w:rsidP="00E14BA9">
      <w:pPr>
        <w:rPr>
          <w:u w:val="single"/>
        </w:rPr>
      </w:pPr>
      <w:r>
        <w:rPr>
          <w:u w:val="single"/>
        </w:rPr>
        <w:t>Clause 2 - Commencement</w:t>
      </w:r>
    </w:p>
    <w:p w:rsidR="009A5F9A" w:rsidRDefault="009A5F9A" w:rsidP="00E14BA9"/>
    <w:p w:rsidR="009A5F9A" w:rsidRPr="00CA1AF8" w:rsidRDefault="009A5F9A" w:rsidP="00E14BA9">
      <w:r w:rsidRPr="00CA1AF8">
        <w:t xml:space="preserve">Sections 1 to 3 in the Bill will commence on the day the </w:t>
      </w:r>
      <w:r w:rsidR="00966647">
        <w:t>amending Act</w:t>
      </w:r>
      <w:r w:rsidRPr="00CA1AF8">
        <w:t xml:space="preserve"> receives Royal Assent.</w:t>
      </w:r>
    </w:p>
    <w:p w:rsidR="009A5F9A" w:rsidRPr="00CA1AF8" w:rsidRDefault="009A5F9A" w:rsidP="00E14BA9"/>
    <w:p w:rsidR="009A5F9A" w:rsidRPr="00CA1AF8" w:rsidRDefault="009A5F9A" w:rsidP="00CA1AF8">
      <w:pPr>
        <w:pStyle w:val="Tabletext"/>
        <w:rPr>
          <w:sz w:val="24"/>
          <w:szCs w:val="24"/>
        </w:rPr>
      </w:pPr>
      <w:r w:rsidRPr="00CA1AF8">
        <w:rPr>
          <w:sz w:val="24"/>
          <w:szCs w:val="24"/>
        </w:rPr>
        <w:t xml:space="preserve">Schedule 1 </w:t>
      </w:r>
      <w:r w:rsidR="00CA1AF8" w:rsidRPr="00CA1AF8">
        <w:rPr>
          <w:sz w:val="24"/>
          <w:szCs w:val="24"/>
        </w:rPr>
        <w:t xml:space="preserve">will commence on the later date of </w:t>
      </w:r>
      <w:r w:rsidR="00CA1AF8" w:rsidRPr="00CA1AF8">
        <w:rPr>
          <w:sz w:val="24"/>
          <w:szCs w:val="24"/>
          <w:u w:val="single"/>
        </w:rPr>
        <w:t>either</w:t>
      </w:r>
      <w:r w:rsidR="00CA1AF8">
        <w:rPr>
          <w:sz w:val="24"/>
          <w:szCs w:val="24"/>
        </w:rPr>
        <w:t xml:space="preserve"> </w:t>
      </w:r>
      <w:r w:rsidR="00CA1AF8" w:rsidRPr="00CA1AF8">
        <w:rPr>
          <w:sz w:val="24"/>
          <w:szCs w:val="24"/>
        </w:rPr>
        <w:t>the day after th</w:t>
      </w:r>
      <w:r w:rsidR="00CA1AF8">
        <w:rPr>
          <w:sz w:val="24"/>
          <w:szCs w:val="24"/>
        </w:rPr>
        <w:t>e</w:t>
      </w:r>
      <w:r w:rsidR="00CA1AF8" w:rsidRPr="00CA1AF8">
        <w:rPr>
          <w:sz w:val="24"/>
          <w:szCs w:val="24"/>
        </w:rPr>
        <w:t xml:space="preserve"> </w:t>
      </w:r>
      <w:r w:rsidR="00966647">
        <w:rPr>
          <w:sz w:val="24"/>
          <w:szCs w:val="24"/>
        </w:rPr>
        <w:t xml:space="preserve">amending </w:t>
      </w:r>
      <w:r w:rsidR="00CA1AF8" w:rsidRPr="00CA1AF8">
        <w:rPr>
          <w:sz w:val="24"/>
          <w:szCs w:val="24"/>
        </w:rPr>
        <w:t xml:space="preserve">Act receives </w:t>
      </w:r>
      <w:r w:rsidR="00CA1AF8">
        <w:rPr>
          <w:sz w:val="24"/>
          <w:szCs w:val="24"/>
        </w:rPr>
        <w:t xml:space="preserve">the </w:t>
      </w:r>
      <w:r w:rsidR="00CA1AF8" w:rsidRPr="00CA1AF8">
        <w:rPr>
          <w:sz w:val="24"/>
          <w:szCs w:val="24"/>
        </w:rPr>
        <w:t xml:space="preserve">Royal Assent </w:t>
      </w:r>
      <w:r w:rsidR="00CA1AF8" w:rsidRPr="00CA1AF8">
        <w:rPr>
          <w:sz w:val="24"/>
          <w:szCs w:val="24"/>
          <w:u w:val="single"/>
        </w:rPr>
        <w:t>or</w:t>
      </w:r>
      <w:r w:rsidR="00CA1AF8" w:rsidRPr="00CA1AF8">
        <w:rPr>
          <w:sz w:val="24"/>
          <w:szCs w:val="24"/>
        </w:rPr>
        <w:t xml:space="preserve"> the registration commencement time within the meaning of the </w:t>
      </w:r>
      <w:r w:rsidR="00CA1AF8" w:rsidRPr="00CA1AF8">
        <w:rPr>
          <w:i/>
          <w:sz w:val="24"/>
          <w:szCs w:val="24"/>
        </w:rPr>
        <w:t xml:space="preserve">Personal </w:t>
      </w:r>
      <w:smartTag w:uri="urn:schemas-microsoft-com:office:smarttags" w:element="PersonName">
        <w:r w:rsidR="00CA1AF8" w:rsidRPr="00CA1AF8">
          <w:rPr>
            <w:i/>
            <w:sz w:val="24"/>
            <w:szCs w:val="24"/>
          </w:rPr>
          <w:t>Property</w:t>
        </w:r>
      </w:smartTag>
      <w:r w:rsidR="00CA1AF8" w:rsidRPr="00CA1AF8">
        <w:rPr>
          <w:i/>
          <w:sz w:val="24"/>
          <w:szCs w:val="24"/>
        </w:rPr>
        <w:t xml:space="preserve"> Securities Act 2009</w:t>
      </w:r>
      <w:r w:rsidR="00CA1AF8" w:rsidRPr="00CA1AF8">
        <w:rPr>
          <w:sz w:val="24"/>
          <w:szCs w:val="24"/>
        </w:rPr>
        <w:t>.</w:t>
      </w:r>
    </w:p>
    <w:p w:rsidR="009A5F9A" w:rsidRDefault="009A5F9A" w:rsidP="00E14BA9"/>
    <w:p w:rsidR="009A5F9A" w:rsidRPr="00B23D5E" w:rsidRDefault="009A5F9A" w:rsidP="00E14BA9">
      <w:pPr>
        <w:rPr>
          <w:color w:val="000000"/>
          <w:u w:val="single"/>
        </w:rPr>
      </w:pPr>
      <w:r>
        <w:rPr>
          <w:color w:val="000000"/>
          <w:u w:val="single"/>
        </w:rPr>
        <w:t>Clause 3</w:t>
      </w:r>
      <w:r w:rsidRPr="00B23D5E">
        <w:rPr>
          <w:color w:val="000000"/>
          <w:u w:val="single"/>
        </w:rPr>
        <w:t xml:space="preserve"> - Schedules</w:t>
      </w:r>
    </w:p>
    <w:p w:rsidR="009A5F9A" w:rsidRPr="00B23D5E" w:rsidRDefault="009A5F9A" w:rsidP="00E14BA9">
      <w:pPr>
        <w:rPr>
          <w:color w:val="000000"/>
        </w:rPr>
      </w:pPr>
    </w:p>
    <w:p w:rsidR="009A5F9A" w:rsidRDefault="009A5F9A" w:rsidP="00E14BA9">
      <w:pPr>
        <w:rPr>
          <w:color w:val="000000"/>
        </w:rPr>
      </w:pPr>
      <w:r w:rsidRPr="00B23D5E">
        <w:rPr>
          <w:color w:val="000000"/>
        </w:rPr>
        <w:t xml:space="preserve">This clause </w:t>
      </w:r>
      <w:r>
        <w:rPr>
          <w:color w:val="000000"/>
        </w:rPr>
        <w:t xml:space="preserve">gives effect to the provisions in the Schedules to </w:t>
      </w:r>
      <w:r w:rsidR="00B235D4">
        <w:rPr>
          <w:color w:val="000000"/>
        </w:rPr>
        <w:t>this Bill</w:t>
      </w:r>
      <w:r>
        <w:rPr>
          <w:color w:val="000000"/>
        </w:rPr>
        <w:t>.</w:t>
      </w:r>
    </w:p>
    <w:p w:rsidR="009A5F9A" w:rsidRDefault="009A5F9A" w:rsidP="00E14BA9">
      <w:pPr>
        <w:rPr>
          <w:u w:val="single"/>
        </w:rPr>
      </w:pPr>
    </w:p>
    <w:p w:rsidR="009A5F9A" w:rsidRPr="006551FC" w:rsidRDefault="009A5F9A" w:rsidP="00E14BA9">
      <w:pPr>
        <w:rPr>
          <w:b/>
          <w:u w:val="single"/>
        </w:rPr>
      </w:pPr>
      <w:r w:rsidRPr="006551FC">
        <w:rPr>
          <w:b/>
          <w:u w:val="single"/>
        </w:rPr>
        <w:t>Schedule 1 - Amendments</w:t>
      </w:r>
    </w:p>
    <w:p w:rsidR="009A5F9A" w:rsidRDefault="009A5F9A" w:rsidP="00E14BA9">
      <w:pPr>
        <w:rPr>
          <w:u w:val="single"/>
        </w:rPr>
      </w:pPr>
    </w:p>
    <w:p w:rsidR="009D7CDE" w:rsidRDefault="009A5F9A" w:rsidP="007B0CFC">
      <w:r w:rsidRPr="00FF117C">
        <w:rPr>
          <w:u w:val="single"/>
        </w:rPr>
        <w:t>Item</w:t>
      </w:r>
      <w:r w:rsidR="00850B4F" w:rsidRPr="00FF117C">
        <w:rPr>
          <w:u w:val="single"/>
        </w:rPr>
        <w:t>s</w:t>
      </w:r>
      <w:r w:rsidRPr="00FF117C">
        <w:rPr>
          <w:u w:val="single"/>
        </w:rPr>
        <w:t xml:space="preserve"> </w:t>
      </w:r>
      <w:r w:rsidR="00EA7913" w:rsidRPr="00FF117C">
        <w:rPr>
          <w:u w:val="single"/>
        </w:rPr>
        <w:t>1</w:t>
      </w:r>
      <w:r w:rsidR="00850B4F" w:rsidRPr="00FF117C">
        <w:rPr>
          <w:u w:val="single"/>
        </w:rPr>
        <w:t xml:space="preserve"> </w:t>
      </w:r>
      <w:r w:rsidR="00CA1AF8" w:rsidRPr="00FF117C">
        <w:rPr>
          <w:u w:val="single"/>
        </w:rPr>
        <w:t>– after section 439</w:t>
      </w:r>
    </w:p>
    <w:p w:rsidR="009A5F9A" w:rsidRDefault="009A5F9A" w:rsidP="00E14BA9"/>
    <w:p w:rsidR="00324DEA" w:rsidRPr="00324DEA" w:rsidRDefault="00B80D76" w:rsidP="00324DEA">
      <w:pPr>
        <w:pStyle w:val="NormalWeb"/>
      </w:pPr>
      <w:r>
        <w:t xml:space="preserve">This item inserts a new section 439A into the OMA which </w:t>
      </w:r>
      <w:r w:rsidR="00324DEA">
        <w:t xml:space="preserve">provides </w:t>
      </w:r>
      <w:r>
        <w:t xml:space="preserve">that a licence </w:t>
      </w:r>
      <w:r w:rsidR="00324DEA">
        <w:t xml:space="preserve">or </w:t>
      </w:r>
      <w:r w:rsidR="00324DEA" w:rsidRPr="000B58BD">
        <w:t xml:space="preserve">an interest </w:t>
      </w:r>
      <w:r w:rsidR="00324DEA">
        <w:t xml:space="preserve">or right </w:t>
      </w:r>
      <w:r w:rsidR="00324DEA" w:rsidRPr="000B58BD">
        <w:t>in</w:t>
      </w:r>
      <w:r w:rsidR="00324DEA">
        <w:t xml:space="preserve">, or in relation to, a licence </w:t>
      </w:r>
      <w:r>
        <w:t xml:space="preserve">granted under the OMA </w:t>
      </w:r>
      <w:r w:rsidR="00324DEA">
        <w:t>are</w:t>
      </w:r>
      <w:r w:rsidR="00324DEA" w:rsidRPr="00F37E65">
        <w:t xml:space="preserve"> </w:t>
      </w:r>
      <w:r w:rsidRPr="00F37E65">
        <w:t xml:space="preserve">declared not to be personal property for the purposes of the </w:t>
      </w:r>
      <w:r w:rsidR="00966647">
        <w:t>PPS Act</w:t>
      </w:r>
      <w:r w:rsidRPr="00F37E65">
        <w:t>.</w:t>
      </w:r>
      <w:r w:rsidR="00966647">
        <w:t xml:space="preserve"> </w:t>
      </w:r>
      <w:r w:rsidR="00324DEA">
        <w:t>T</w:t>
      </w:r>
      <w:r w:rsidR="00966647">
        <w:t xml:space="preserve">his means that any </w:t>
      </w:r>
      <w:r w:rsidR="00324DEA">
        <w:t>securities</w:t>
      </w:r>
      <w:r w:rsidR="00966647">
        <w:t xml:space="preserve"> acquired in these </w:t>
      </w:r>
      <w:r w:rsidR="00324DEA">
        <w:t xml:space="preserve">items </w:t>
      </w:r>
      <w:r w:rsidR="00966647">
        <w:t>are not personal property securities for the purpose of the PPS Act.</w:t>
      </w:r>
      <w:r w:rsidR="00324DEA">
        <w:t xml:space="preserve"> In other words a security which is acquired, when a </w:t>
      </w:r>
      <w:hyperlink r:id="rId10" w:tgtFrame="_self" w:history="1">
        <w:r w:rsidR="00324DEA" w:rsidRPr="00B64A27">
          <w:t>secured party</w:t>
        </w:r>
      </w:hyperlink>
      <w:r w:rsidR="00324DEA">
        <w:t xml:space="preserve"> takes an interest in these items as security for a loan or other obligation, or enters into a transaction that involves the supply of secured finance, will not be governed by the   </w:t>
      </w:r>
      <w:r w:rsidR="00324DEA" w:rsidRPr="00CA1AF8">
        <w:rPr>
          <w:i/>
        </w:rPr>
        <w:t xml:space="preserve">Personal </w:t>
      </w:r>
      <w:smartTag w:uri="urn:schemas-microsoft-com:office:smarttags" w:element="PersonName">
        <w:r w:rsidR="00324DEA" w:rsidRPr="00CA1AF8">
          <w:rPr>
            <w:i/>
          </w:rPr>
          <w:t>Property</w:t>
        </w:r>
      </w:smartTag>
      <w:r w:rsidR="00324DEA" w:rsidRPr="00CA1AF8">
        <w:rPr>
          <w:i/>
        </w:rPr>
        <w:t xml:space="preserve"> Securities Act 2009</w:t>
      </w:r>
      <w:r w:rsidR="00324DEA">
        <w:t>.</w:t>
      </w:r>
    </w:p>
    <w:p w:rsidR="00C810D3" w:rsidRDefault="00C810D3" w:rsidP="00E14BA9">
      <w:pPr>
        <w:rPr>
          <w:u w:val="single"/>
        </w:rPr>
      </w:pPr>
    </w:p>
    <w:p w:rsidR="006B413A" w:rsidRPr="00B80D76" w:rsidRDefault="00C810D3" w:rsidP="00E14BA9">
      <w:pPr>
        <w:rPr>
          <w:u w:val="single"/>
        </w:rPr>
      </w:pPr>
      <w:r w:rsidRPr="00FF117C">
        <w:rPr>
          <w:u w:val="single"/>
        </w:rPr>
        <w:t xml:space="preserve">Item </w:t>
      </w:r>
      <w:r w:rsidR="00B80D76" w:rsidRPr="00FF117C">
        <w:rPr>
          <w:u w:val="single"/>
        </w:rPr>
        <w:t>2  - after Part 9.10A</w:t>
      </w:r>
    </w:p>
    <w:p w:rsidR="002756EB" w:rsidRDefault="002756EB" w:rsidP="00E14BA9"/>
    <w:p w:rsidR="009F15ED" w:rsidRDefault="00B80D76" w:rsidP="00E14BA9">
      <w:r>
        <w:t>This item inserts a new Part 9.10B into the OPGGS Act</w:t>
      </w:r>
      <w:r w:rsidR="00966647" w:rsidRPr="00966647">
        <w:t xml:space="preserve"> </w:t>
      </w:r>
      <w:r w:rsidR="00966647">
        <w:t xml:space="preserve">which </w:t>
      </w:r>
      <w:r w:rsidR="00324DEA">
        <w:t xml:space="preserve">provides </w:t>
      </w:r>
      <w:r w:rsidR="00966647">
        <w:t xml:space="preserve">that the listed permits, leases, licences, and authorities granted </w:t>
      </w:r>
      <w:r w:rsidR="00324DEA">
        <w:t xml:space="preserve">or </w:t>
      </w:r>
      <w:r w:rsidR="00324DEA" w:rsidRPr="000B58BD">
        <w:t xml:space="preserve">interest, right, determination or option referred </w:t>
      </w:r>
      <w:r w:rsidR="00324DEA">
        <w:t xml:space="preserve">to in sections 486 and 537 </w:t>
      </w:r>
      <w:r w:rsidR="00966647">
        <w:t>under the OPGGSA are</w:t>
      </w:r>
      <w:r w:rsidR="00966647" w:rsidRPr="00F37E65">
        <w:t xml:space="preserve"> declared not to be personal property for the purposes of the </w:t>
      </w:r>
      <w:r w:rsidR="00966647">
        <w:t xml:space="preserve">PPS Act. </w:t>
      </w:r>
      <w:r w:rsidR="00324DEA">
        <w:t>T</w:t>
      </w:r>
      <w:r w:rsidR="00966647">
        <w:t xml:space="preserve">his means that any </w:t>
      </w:r>
      <w:r w:rsidR="00324DEA">
        <w:t xml:space="preserve">securities </w:t>
      </w:r>
      <w:r w:rsidR="00966647">
        <w:t xml:space="preserve">acquired in these </w:t>
      </w:r>
      <w:r w:rsidR="00324DEA">
        <w:t xml:space="preserve">items </w:t>
      </w:r>
      <w:r w:rsidR="00966647">
        <w:t>are not personal property securities for the purpose of the PPS Act.</w:t>
      </w:r>
      <w:r w:rsidR="00324DEA">
        <w:t xml:space="preserve"> In other words a security which is acquired, when a </w:t>
      </w:r>
      <w:hyperlink r:id="rId11" w:tgtFrame="_self" w:history="1">
        <w:r w:rsidR="00324DEA" w:rsidRPr="00B64A27">
          <w:t>secured party</w:t>
        </w:r>
      </w:hyperlink>
      <w:r w:rsidR="00324DEA" w:rsidRPr="00B64A27">
        <w:t xml:space="preserve"> takes</w:t>
      </w:r>
      <w:r w:rsidR="00324DEA">
        <w:t xml:space="preserve"> an interest in these items as security for a loan or other obligation, or enters into a transaction that involves the supply of secured finance, will not be governed by the   </w:t>
      </w:r>
      <w:r w:rsidR="00324DEA" w:rsidRPr="00CA1AF8">
        <w:rPr>
          <w:i/>
        </w:rPr>
        <w:t xml:space="preserve">Personal </w:t>
      </w:r>
      <w:smartTag w:uri="urn:schemas-microsoft-com:office:smarttags" w:element="PersonName">
        <w:r w:rsidR="00324DEA" w:rsidRPr="00CA1AF8">
          <w:rPr>
            <w:i/>
          </w:rPr>
          <w:t>Property</w:t>
        </w:r>
      </w:smartTag>
      <w:r w:rsidR="00324DEA" w:rsidRPr="00CA1AF8">
        <w:rPr>
          <w:i/>
        </w:rPr>
        <w:t xml:space="preserve"> Securities Act 2009</w:t>
      </w:r>
      <w:r w:rsidR="00324DEA">
        <w:t>.</w:t>
      </w:r>
    </w:p>
    <w:p w:rsidR="009F15ED" w:rsidRDefault="009F15ED" w:rsidP="00E14BA9"/>
    <w:p w:rsidR="009F15ED" w:rsidRPr="00C330B0" w:rsidRDefault="009F15ED" w:rsidP="00E14BA9">
      <w:pPr>
        <w:rPr>
          <w:u w:val="single"/>
        </w:rPr>
      </w:pPr>
    </w:p>
    <w:p w:rsidR="009A5F9A" w:rsidRPr="00C33218" w:rsidRDefault="00132A20" w:rsidP="00276034">
      <w:r>
        <w:t xml:space="preserve"> </w:t>
      </w:r>
    </w:p>
    <w:sectPr w:rsidR="009A5F9A" w:rsidRPr="00C33218" w:rsidSect="00A705A7">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7AB" w:rsidRDefault="00F347AB" w:rsidP="00CB1195">
      <w:r>
        <w:separator/>
      </w:r>
    </w:p>
  </w:endnote>
  <w:endnote w:type="continuationSeparator" w:id="0">
    <w:p w:rsidR="00F347AB" w:rsidRDefault="00F347AB" w:rsidP="00CB11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08" w:rsidRDefault="002E7639" w:rsidP="00A705A7">
    <w:pPr>
      <w:pStyle w:val="Footer"/>
      <w:framePr w:wrap="around" w:vAnchor="text" w:hAnchor="margin" w:xAlign="center" w:y="1"/>
      <w:rPr>
        <w:rStyle w:val="PageNumber"/>
      </w:rPr>
    </w:pPr>
    <w:r>
      <w:rPr>
        <w:rStyle w:val="PageNumber"/>
      </w:rPr>
      <w:fldChar w:fldCharType="begin"/>
    </w:r>
    <w:r w:rsidR="00D56F08">
      <w:rPr>
        <w:rStyle w:val="PageNumber"/>
      </w:rPr>
      <w:instrText xml:space="preserve">PAGE  </w:instrText>
    </w:r>
    <w:r>
      <w:rPr>
        <w:rStyle w:val="PageNumber"/>
      </w:rPr>
      <w:fldChar w:fldCharType="end"/>
    </w:r>
  </w:p>
  <w:p w:rsidR="00D56F08" w:rsidRDefault="00D56F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08" w:rsidRDefault="00D56F08" w:rsidP="00A705A7">
    <w:pPr>
      <w:pStyle w:val="Footer"/>
      <w:jc w:val="center"/>
    </w:pPr>
  </w:p>
  <w:p w:rsidR="00D56F08" w:rsidRDefault="00D56F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08" w:rsidRDefault="002E7639" w:rsidP="00A705A7">
    <w:pPr>
      <w:pStyle w:val="Footer"/>
      <w:jc w:val="center"/>
    </w:pPr>
    <w:r>
      <w:rPr>
        <w:rStyle w:val="PageNumber"/>
      </w:rPr>
      <w:fldChar w:fldCharType="begin"/>
    </w:r>
    <w:r w:rsidR="00D56F08">
      <w:rPr>
        <w:rStyle w:val="PageNumber"/>
      </w:rPr>
      <w:instrText xml:space="preserve"> PAGE </w:instrText>
    </w:r>
    <w:r>
      <w:rPr>
        <w:rStyle w:val="PageNumber"/>
      </w:rPr>
      <w:fldChar w:fldCharType="separate"/>
    </w:r>
    <w:r w:rsidR="00037184">
      <w:rPr>
        <w:rStyle w:val="PageNumber"/>
        <w:noProof/>
      </w:rPr>
      <w:t>3</w:t>
    </w:r>
    <w:r>
      <w:rPr>
        <w:rStyle w:val="PageNumber"/>
      </w:rPr>
      <w:fldChar w:fldCharType="end"/>
    </w:r>
  </w:p>
  <w:p w:rsidR="00D56F08" w:rsidRDefault="00D56F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7AB" w:rsidRDefault="00F347AB" w:rsidP="00CB1195">
      <w:r>
        <w:separator/>
      </w:r>
    </w:p>
  </w:footnote>
  <w:footnote w:type="continuationSeparator" w:id="0">
    <w:p w:rsidR="00F347AB" w:rsidRDefault="00F347AB" w:rsidP="00CB1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08" w:rsidRPr="00B718E1" w:rsidRDefault="00D56F08" w:rsidP="00B718E1">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514"/>
    <w:multiLevelType w:val="hybridMultilevel"/>
    <w:tmpl w:val="856E38B2"/>
    <w:lvl w:ilvl="0" w:tplc="B84A978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AA22627"/>
    <w:multiLevelType w:val="hybridMultilevel"/>
    <w:tmpl w:val="A7806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6D4538"/>
    <w:multiLevelType w:val="multilevel"/>
    <w:tmpl w:val="1AD4AD1A"/>
    <w:name w:val="AGSCorp"/>
    <w:lvl w:ilvl="0">
      <w:start w:val="1"/>
      <w:numFmt w:val="decimal"/>
      <w:pStyle w:val="NumberLevel1"/>
      <w:lvlText w:val="%1."/>
      <w:lvlJc w:val="left"/>
      <w:pPr>
        <w:tabs>
          <w:tab w:val="num" w:pos="0"/>
        </w:tabs>
        <w:ind w:left="0" w:hanging="709"/>
      </w:pPr>
      <w:rPr>
        <w:rFonts w:hint="default"/>
        <w:sz w:val="20"/>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3">
    <w:nsid w:val="2BA06478"/>
    <w:multiLevelType w:val="hybridMultilevel"/>
    <w:tmpl w:val="5CAA6F46"/>
    <w:lvl w:ilvl="0" w:tplc="B84A978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D042ABF"/>
    <w:multiLevelType w:val="hybridMultilevel"/>
    <w:tmpl w:val="3306C056"/>
    <w:lvl w:ilvl="0" w:tplc="A8A67F48">
      <w:start w:val="1"/>
      <w:numFmt w:val="bullet"/>
      <w:lvlText w:val=""/>
      <w:lvlJc w:val="left"/>
      <w:pPr>
        <w:tabs>
          <w:tab w:val="num" w:pos="347"/>
        </w:tabs>
        <w:ind w:left="347" w:hanging="227"/>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5">
    <w:nsid w:val="4F2C1400"/>
    <w:multiLevelType w:val="hybridMultilevel"/>
    <w:tmpl w:val="DEAAA9BC"/>
    <w:lvl w:ilvl="0" w:tplc="B84A9786">
      <w:start w:val="1"/>
      <w:numFmt w:val="bullet"/>
      <w:lvlText w:val=""/>
      <w:lvlJc w:val="left"/>
      <w:pPr>
        <w:tabs>
          <w:tab w:val="num" w:pos="780"/>
        </w:tabs>
        <w:ind w:left="780" w:hanging="36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nsid w:val="521A704C"/>
    <w:multiLevelType w:val="multilevel"/>
    <w:tmpl w:val="D89A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F70B47"/>
    <w:multiLevelType w:val="hybridMultilevel"/>
    <w:tmpl w:val="AA2C0604"/>
    <w:lvl w:ilvl="0" w:tplc="B84A978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20"/>
  <w:noPunctuationKerning/>
  <w:characterSpacingControl w:val="doNotCompress"/>
  <w:footnotePr>
    <w:footnote w:id="-1"/>
    <w:footnote w:id="0"/>
  </w:footnotePr>
  <w:endnotePr>
    <w:endnote w:id="-1"/>
    <w:endnote w:id="0"/>
  </w:endnotePr>
  <w:compat/>
  <w:rsids>
    <w:rsidRoot w:val="00E14BA9"/>
    <w:rsid w:val="00001515"/>
    <w:rsid w:val="00016A9F"/>
    <w:rsid w:val="0002266E"/>
    <w:rsid w:val="000255D5"/>
    <w:rsid w:val="00031C39"/>
    <w:rsid w:val="00037184"/>
    <w:rsid w:val="000422D3"/>
    <w:rsid w:val="000458B0"/>
    <w:rsid w:val="0005011F"/>
    <w:rsid w:val="00051E2F"/>
    <w:rsid w:val="00052837"/>
    <w:rsid w:val="00055273"/>
    <w:rsid w:val="0006371F"/>
    <w:rsid w:val="00065DB3"/>
    <w:rsid w:val="00072F49"/>
    <w:rsid w:val="00077F09"/>
    <w:rsid w:val="000803BF"/>
    <w:rsid w:val="000843F0"/>
    <w:rsid w:val="00087279"/>
    <w:rsid w:val="00092F06"/>
    <w:rsid w:val="0009437E"/>
    <w:rsid w:val="00097A3B"/>
    <w:rsid w:val="000A3295"/>
    <w:rsid w:val="000A3CD4"/>
    <w:rsid w:val="000A69D1"/>
    <w:rsid w:val="000A69E9"/>
    <w:rsid w:val="000B7B85"/>
    <w:rsid w:val="000C0C21"/>
    <w:rsid w:val="000C2C23"/>
    <w:rsid w:val="000D0494"/>
    <w:rsid w:val="000E0380"/>
    <w:rsid w:val="000F06CF"/>
    <w:rsid w:val="000F16DE"/>
    <w:rsid w:val="000F17A4"/>
    <w:rsid w:val="000F6AFF"/>
    <w:rsid w:val="000F7567"/>
    <w:rsid w:val="00132A20"/>
    <w:rsid w:val="001335A8"/>
    <w:rsid w:val="00134F9A"/>
    <w:rsid w:val="0013764C"/>
    <w:rsid w:val="00140914"/>
    <w:rsid w:val="00140AAF"/>
    <w:rsid w:val="001530BA"/>
    <w:rsid w:val="001566B9"/>
    <w:rsid w:val="00164EA2"/>
    <w:rsid w:val="00167983"/>
    <w:rsid w:val="001714FA"/>
    <w:rsid w:val="00171EA5"/>
    <w:rsid w:val="001862C5"/>
    <w:rsid w:val="00187FDC"/>
    <w:rsid w:val="00197502"/>
    <w:rsid w:val="001A018B"/>
    <w:rsid w:val="001A73F6"/>
    <w:rsid w:val="001C023D"/>
    <w:rsid w:val="001D18E9"/>
    <w:rsid w:val="001D3FAA"/>
    <w:rsid w:val="001D4323"/>
    <w:rsid w:val="001D44B5"/>
    <w:rsid w:val="002036F2"/>
    <w:rsid w:val="00205049"/>
    <w:rsid w:val="0021149F"/>
    <w:rsid w:val="00215667"/>
    <w:rsid w:val="0021591C"/>
    <w:rsid w:val="00220481"/>
    <w:rsid w:val="00222556"/>
    <w:rsid w:val="00225B6D"/>
    <w:rsid w:val="00237724"/>
    <w:rsid w:val="002429F4"/>
    <w:rsid w:val="00244EDA"/>
    <w:rsid w:val="0025561A"/>
    <w:rsid w:val="00255E61"/>
    <w:rsid w:val="00257458"/>
    <w:rsid w:val="00261FE8"/>
    <w:rsid w:val="002756EB"/>
    <w:rsid w:val="00276034"/>
    <w:rsid w:val="0028669B"/>
    <w:rsid w:val="002A5FEA"/>
    <w:rsid w:val="002B0434"/>
    <w:rsid w:val="002B3DE4"/>
    <w:rsid w:val="002C6FBD"/>
    <w:rsid w:val="002D5A10"/>
    <w:rsid w:val="002E5DD1"/>
    <w:rsid w:val="002E7639"/>
    <w:rsid w:val="002F12A5"/>
    <w:rsid w:val="002F3AA2"/>
    <w:rsid w:val="00302EB4"/>
    <w:rsid w:val="00311D0D"/>
    <w:rsid w:val="00314263"/>
    <w:rsid w:val="00315122"/>
    <w:rsid w:val="00315737"/>
    <w:rsid w:val="0032122A"/>
    <w:rsid w:val="00324DEA"/>
    <w:rsid w:val="00326593"/>
    <w:rsid w:val="003331DC"/>
    <w:rsid w:val="003460C4"/>
    <w:rsid w:val="003556D7"/>
    <w:rsid w:val="00363100"/>
    <w:rsid w:val="00376133"/>
    <w:rsid w:val="00393501"/>
    <w:rsid w:val="00394F07"/>
    <w:rsid w:val="00396DB3"/>
    <w:rsid w:val="003A285F"/>
    <w:rsid w:val="003B7570"/>
    <w:rsid w:val="003C0570"/>
    <w:rsid w:val="003C4848"/>
    <w:rsid w:val="003C51B5"/>
    <w:rsid w:val="003D0C6A"/>
    <w:rsid w:val="003D5335"/>
    <w:rsid w:val="003D7377"/>
    <w:rsid w:val="003E027E"/>
    <w:rsid w:val="003E2510"/>
    <w:rsid w:val="003F4249"/>
    <w:rsid w:val="003F5E31"/>
    <w:rsid w:val="003F663E"/>
    <w:rsid w:val="00406608"/>
    <w:rsid w:val="00407991"/>
    <w:rsid w:val="00414297"/>
    <w:rsid w:val="0042641C"/>
    <w:rsid w:val="00433593"/>
    <w:rsid w:val="00436BDC"/>
    <w:rsid w:val="004447D8"/>
    <w:rsid w:val="00446C70"/>
    <w:rsid w:val="00452EC0"/>
    <w:rsid w:val="00462D00"/>
    <w:rsid w:val="00464113"/>
    <w:rsid w:val="00465B0C"/>
    <w:rsid w:val="00466F24"/>
    <w:rsid w:val="00467DFC"/>
    <w:rsid w:val="00474168"/>
    <w:rsid w:val="004805CF"/>
    <w:rsid w:val="00480C44"/>
    <w:rsid w:val="004833A9"/>
    <w:rsid w:val="004A4077"/>
    <w:rsid w:val="004A6BC9"/>
    <w:rsid w:val="004B3A81"/>
    <w:rsid w:val="004C00E6"/>
    <w:rsid w:val="004C3094"/>
    <w:rsid w:val="004C48C4"/>
    <w:rsid w:val="004C70A1"/>
    <w:rsid w:val="004D5692"/>
    <w:rsid w:val="004E261E"/>
    <w:rsid w:val="004E62DB"/>
    <w:rsid w:val="004F52F4"/>
    <w:rsid w:val="005055CF"/>
    <w:rsid w:val="005107FA"/>
    <w:rsid w:val="005211DB"/>
    <w:rsid w:val="005216DE"/>
    <w:rsid w:val="00523D0F"/>
    <w:rsid w:val="005318C0"/>
    <w:rsid w:val="0053316B"/>
    <w:rsid w:val="0054145D"/>
    <w:rsid w:val="00546867"/>
    <w:rsid w:val="0055257A"/>
    <w:rsid w:val="0055310F"/>
    <w:rsid w:val="00583FDF"/>
    <w:rsid w:val="00584AD5"/>
    <w:rsid w:val="00584DF3"/>
    <w:rsid w:val="00590237"/>
    <w:rsid w:val="005910BA"/>
    <w:rsid w:val="005916CA"/>
    <w:rsid w:val="005945D3"/>
    <w:rsid w:val="00596429"/>
    <w:rsid w:val="005A3ABE"/>
    <w:rsid w:val="005B1485"/>
    <w:rsid w:val="005C0DE1"/>
    <w:rsid w:val="005C0FAF"/>
    <w:rsid w:val="005C19A6"/>
    <w:rsid w:val="005C4C3C"/>
    <w:rsid w:val="005D5D50"/>
    <w:rsid w:val="005D71AC"/>
    <w:rsid w:val="005E395D"/>
    <w:rsid w:val="005E4FC6"/>
    <w:rsid w:val="005F53D6"/>
    <w:rsid w:val="005F7E48"/>
    <w:rsid w:val="00600E91"/>
    <w:rsid w:val="00601C5E"/>
    <w:rsid w:val="00602AC2"/>
    <w:rsid w:val="00616329"/>
    <w:rsid w:val="00621FA0"/>
    <w:rsid w:val="006262C1"/>
    <w:rsid w:val="00654166"/>
    <w:rsid w:val="006551FC"/>
    <w:rsid w:val="00656100"/>
    <w:rsid w:val="00657E95"/>
    <w:rsid w:val="00666EB3"/>
    <w:rsid w:val="00673FA9"/>
    <w:rsid w:val="00684BED"/>
    <w:rsid w:val="00692A86"/>
    <w:rsid w:val="00693285"/>
    <w:rsid w:val="00693FD8"/>
    <w:rsid w:val="006A74F8"/>
    <w:rsid w:val="006B1E9B"/>
    <w:rsid w:val="006B413A"/>
    <w:rsid w:val="006C35F5"/>
    <w:rsid w:val="006C3E72"/>
    <w:rsid w:val="006D32D6"/>
    <w:rsid w:val="006D7E73"/>
    <w:rsid w:val="006E6519"/>
    <w:rsid w:val="00701554"/>
    <w:rsid w:val="007018FC"/>
    <w:rsid w:val="00701AB1"/>
    <w:rsid w:val="0070260D"/>
    <w:rsid w:val="00703C50"/>
    <w:rsid w:val="007110AB"/>
    <w:rsid w:val="00714EA2"/>
    <w:rsid w:val="00724E67"/>
    <w:rsid w:val="00727AD9"/>
    <w:rsid w:val="00741C32"/>
    <w:rsid w:val="00751190"/>
    <w:rsid w:val="007555A6"/>
    <w:rsid w:val="00765C86"/>
    <w:rsid w:val="007664FD"/>
    <w:rsid w:val="007739A7"/>
    <w:rsid w:val="0078363C"/>
    <w:rsid w:val="0078505D"/>
    <w:rsid w:val="00785AEE"/>
    <w:rsid w:val="0079144F"/>
    <w:rsid w:val="00797FE0"/>
    <w:rsid w:val="007A6AC5"/>
    <w:rsid w:val="007A79E3"/>
    <w:rsid w:val="007B0CFC"/>
    <w:rsid w:val="007B49AF"/>
    <w:rsid w:val="007C0C0E"/>
    <w:rsid w:val="007D4B9B"/>
    <w:rsid w:val="007F059C"/>
    <w:rsid w:val="007F1456"/>
    <w:rsid w:val="007F588B"/>
    <w:rsid w:val="00800929"/>
    <w:rsid w:val="00801F63"/>
    <w:rsid w:val="00802A47"/>
    <w:rsid w:val="00810C1F"/>
    <w:rsid w:val="00816913"/>
    <w:rsid w:val="008175B2"/>
    <w:rsid w:val="008209B1"/>
    <w:rsid w:val="00823A13"/>
    <w:rsid w:val="008267A5"/>
    <w:rsid w:val="00826AF5"/>
    <w:rsid w:val="008350C9"/>
    <w:rsid w:val="00836E6A"/>
    <w:rsid w:val="00837799"/>
    <w:rsid w:val="008379B5"/>
    <w:rsid w:val="00842E49"/>
    <w:rsid w:val="0084675C"/>
    <w:rsid w:val="00850708"/>
    <w:rsid w:val="00850B4F"/>
    <w:rsid w:val="00857962"/>
    <w:rsid w:val="0086191B"/>
    <w:rsid w:val="008709B2"/>
    <w:rsid w:val="00873DB9"/>
    <w:rsid w:val="00874FDE"/>
    <w:rsid w:val="0088560D"/>
    <w:rsid w:val="00892D5A"/>
    <w:rsid w:val="008943D3"/>
    <w:rsid w:val="008B04CF"/>
    <w:rsid w:val="008B4E0D"/>
    <w:rsid w:val="008B70CB"/>
    <w:rsid w:val="008D14E0"/>
    <w:rsid w:val="008D3AAA"/>
    <w:rsid w:val="008D499C"/>
    <w:rsid w:val="008D5DE5"/>
    <w:rsid w:val="008E0A8C"/>
    <w:rsid w:val="008E160B"/>
    <w:rsid w:val="008E2210"/>
    <w:rsid w:val="008F2832"/>
    <w:rsid w:val="008F4661"/>
    <w:rsid w:val="00900BB9"/>
    <w:rsid w:val="00902C0C"/>
    <w:rsid w:val="00923384"/>
    <w:rsid w:val="009246D9"/>
    <w:rsid w:val="00927E82"/>
    <w:rsid w:val="00933533"/>
    <w:rsid w:val="009434E3"/>
    <w:rsid w:val="00953118"/>
    <w:rsid w:val="00953752"/>
    <w:rsid w:val="00961641"/>
    <w:rsid w:val="00962013"/>
    <w:rsid w:val="00964F0D"/>
    <w:rsid w:val="00966647"/>
    <w:rsid w:val="00967DC6"/>
    <w:rsid w:val="00967EB2"/>
    <w:rsid w:val="00981258"/>
    <w:rsid w:val="0098662D"/>
    <w:rsid w:val="00993807"/>
    <w:rsid w:val="00995879"/>
    <w:rsid w:val="009A4CD7"/>
    <w:rsid w:val="009A5F9A"/>
    <w:rsid w:val="009B73EF"/>
    <w:rsid w:val="009D09E1"/>
    <w:rsid w:val="009D7CDE"/>
    <w:rsid w:val="009F15ED"/>
    <w:rsid w:val="009F21A4"/>
    <w:rsid w:val="00A1055C"/>
    <w:rsid w:val="00A13663"/>
    <w:rsid w:val="00A15B5B"/>
    <w:rsid w:val="00A23976"/>
    <w:rsid w:val="00A254CC"/>
    <w:rsid w:val="00A30827"/>
    <w:rsid w:val="00A4342C"/>
    <w:rsid w:val="00A453A4"/>
    <w:rsid w:val="00A47C76"/>
    <w:rsid w:val="00A52588"/>
    <w:rsid w:val="00A541AE"/>
    <w:rsid w:val="00A64FA0"/>
    <w:rsid w:val="00A705A7"/>
    <w:rsid w:val="00A80BCF"/>
    <w:rsid w:val="00A94279"/>
    <w:rsid w:val="00A94BEA"/>
    <w:rsid w:val="00AA1FE7"/>
    <w:rsid w:val="00AA7C67"/>
    <w:rsid w:val="00AB5CE3"/>
    <w:rsid w:val="00AC1355"/>
    <w:rsid w:val="00AC622F"/>
    <w:rsid w:val="00AD3A5A"/>
    <w:rsid w:val="00AE473D"/>
    <w:rsid w:val="00AE65DD"/>
    <w:rsid w:val="00B11D6A"/>
    <w:rsid w:val="00B235D4"/>
    <w:rsid w:val="00B23D5E"/>
    <w:rsid w:val="00B25F5A"/>
    <w:rsid w:val="00B26ABF"/>
    <w:rsid w:val="00B37AAE"/>
    <w:rsid w:val="00B40D08"/>
    <w:rsid w:val="00B44ABC"/>
    <w:rsid w:val="00B4584B"/>
    <w:rsid w:val="00B52006"/>
    <w:rsid w:val="00B568E7"/>
    <w:rsid w:val="00B61A4A"/>
    <w:rsid w:val="00B61C81"/>
    <w:rsid w:val="00B6216B"/>
    <w:rsid w:val="00B621BE"/>
    <w:rsid w:val="00B64A27"/>
    <w:rsid w:val="00B711A9"/>
    <w:rsid w:val="00B718E1"/>
    <w:rsid w:val="00B72AD7"/>
    <w:rsid w:val="00B80D76"/>
    <w:rsid w:val="00B8255A"/>
    <w:rsid w:val="00B835F8"/>
    <w:rsid w:val="00B91F52"/>
    <w:rsid w:val="00B95110"/>
    <w:rsid w:val="00BA45C6"/>
    <w:rsid w:val="00BA7771"/>
    <w:rsid w:val="00BB7FD4"/>
    <w:rsid w:val="00BC137C"/>
    <w:rsid w:val="00BD4580"/>
    <w:rsid w:val="00BD77F9"/>
    <w:rsid w:val="00BE328B"/>
    <w:rsid w:val="00BF3672"/>
    <w:rsid w:val="00C04D65"/>
    <w:rsid w:val="00C116E8"/>
    <w:rsid w:val="00C143F1"/>
    <w:rsid w:val="00C16B28"/>
    <w:rsid w:val="00C27C82"/>
    <w:rsid w:val="00C31750"/>
    <w:rsid w:val="00C330B0"/>
    <w:rsid w:val="00C33218"/>
    <w:rsid w:val="00C42A0D"/>
    <w:rsid w:val="00C42CEA"/>
    <w:rsid w:val="00C435F9"/>
    <w:rsid w:val="00C46D50"/>
    <w:rsid w:val="00C5166E"/>
    <w:rsid w:val="00C57630"/>
    <w:rsid w:val="00C77B8E"/>
    <w:rsid w:val="00C810D3"/>
    <w:rsid w:val="00C85F54"/>
    <w:rsid w:val="00C96463"/>
    <w:rsid w:val="00CA1AF8"/>
    <w:rsid w:val="00CB1195"/>
    <w:rsid w:val="00CB2AFE"/>
    <w:rsid w:val="00CB30F2"/>
    <w:rsid w:val="00CB47A6"/>
    <w:rsid w:val="00CB56C5"/>
    <w:rsid w:val="00CC27F8"/>
    <w:rsid w:val="00CC6679"/>
    <w:rsid w:val="00CC7603"/>
    <w:rsid w:val="00CD65F8"/>
    <w:rsid w:val="00D02A86"/>
    <w:rsid w:val="00D02C76"/>
    <w:rsid w:val="00D0514A"/>
    <w:rsid w:val="00D2503A"/>
    <w:rsid w:val="00D331D9"/>
    <w:rsid w:val="00D41844"/>
    <w:rsid w:val="00D41A65"/>
    <w:rsid w:val="00D43496"/>
    <w:rsid w:val="00D44C97"/>
    <w:rsid w:val="00D549AF"/>
    <w:rsid w:val="00D56F08"/>
    <w:rsid w:val="00D57C8F"/>
    <w:rsid w:val="00D7248A"/>
    <w:rsid w:val="00D7511E"/>
    <w:rsid w:val="00D825F6"/>
    <w:rsid w:val="00D83700"/>
    <w:rsid w:val="00D83B33"/>
    <w:rsid w:val="00D96AF3"/>
    <w:rsid w:val="00DA0FBE"/>
    <w:rsid w:val="00DA2C16"/>
    <w:rsid w:val="00DA5EB5"/>
    <w:rsid w:val="00DB4DC8"/>
    <w:rsid w:val="00DE529B"/>
    <w:rsid w:val="00DF7BDF"/>
    <w:rsid w:val="00E05F19"/>
    <w:rsid w:val="00E13416"/>
    <w:rsid w:val="00E14BA9"/>
    <w:rsid w:val="00E2290E"/>
    <w:rsid w:val="00E27EA0"/>
    <w:rsid w:val="00E317C6"/>
    <w:rsid w:val="00E45463"/>
    <w:rsid w:val="00E53654"/>
    <w:rsid w:val="00E649F7"/>
    <w:rsid w:val="00E70348"/>
    <w:rsid w:val="00E751DB"/>
    <w:rsid w:val="00E77133"/>
    <w:rsid w:val="00E7753B"/>
    <w:rsid w:val="00E81CA0"/>
    <w:rsid w:val="00E84626"/>
    <w:rsid w:val="00E90F43"/>
    <w:rsid w:val="00E9373D"/>
    <w:rsid w:val="00EA3FD7"/>
    <w:rsid w:val="00EA7913"/>
    <w:rsid w:val="00EB13BA"/>
    <w:rsid w:val="00EB4E88"/>
    <w:rsid w:val="00EB61DE"/>
    <w:rsid w:val="00EB6753"/>
    <w:rsid w:val="00EC17C0"/>
    <w:rsid w:val="00EC3D28"/>
    <w:rsid w:val="00ED7999"/>
    <w:rsid w:val="00EE273C"/>
    <w:rsid w:val="00EE38C5"/>
    <w:rsid w:val="00EE45A1"/>
    <w:rsid w:val="00EE5F4A"/>
    <w:rsid w:val="00F00086"/>
    <w:rsid w:val="00F011B2"/>
    <w:rsid w:val="00F02FE7"/>
    <w:rsid w:val="00F057BB"/>
    <w:rsid w:val="00F117EF"/>
    <w:rsid w:val="00F13041"/>
    <w:rsid w:val="00F169D3"/>
    <w:rsid w:val="00F2242C"/>
    <w:rsid w:val="00F2504A"/>
    <w:rsid w:val="00F25CDA"/>
    <w:rsid w:val="00F26EA1"/>
    <w:rsid w:val="00F347AB"/>
    <w:rsid w:val="00F45D7F"/>
    <w:rsid w:val="00F52A93"/>
    <w:rsid w:val="00F61822"/>
    <w:rsid w:val="00F62A2F"/>
    <w:rsid w:val="00F728B6"/>
    <w:rsid w:val="00F728F7"/>
    <w:rsid w:val="00F7353E"/>
    <w:rsid w:val="00F819A0"/>
    <w:rsid w:val="00F848CD"/>
    <w:rsid w:val="00F9582D"/>
    <w:rsid w:val="00F97B30"/>
    <w:rsid w:val="00FA3E28"/>
    <w:rsid w:val="00FA41D4"/>
    <w:rsid w:val="00FA4C5F"/>
    <w:rsid w:val="00FA4DAD"/>
    <w:rsid w:val="00FA69D2"/>
    <w:rsid w:val="00FA6B67"/>
    <w:rsid w:val="00FB40C4"/>
    <w:rsid w:val="00FB753C"/>
    <w:rsid w:val="00FC0382"/>
    <w:rsid w:val="00FC59F6"/>
    <w:rsid w:val="00FC697E"/>
    <w:rsid w:val="00FC7160"/>
    <w:rsid w:val="00FD5A2A"/>
    <w:rsid w:val="00FF03AD"/>
    <w:rsid w:val="00FF0AE8"/>
    <w:rsid w:val="00FF117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4BA9"/>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7D4B9B"/>
    <w:rPr>
      <w:rFonts w:cs="Times New Roman"/>
      <w:sz w:val="24"/>
      <w:szCs w:val="24"/>
    </w:rPr>
  </w:style>
  <w:style w:type="paragraph" w:styleId="ListParagraph">
    <w:name w:val="List Paragraph"/>
    <w:basedOn w:val="Normal"/>
    <w:uiPriority w:val="99"/>
    <w:qFormat/>
    <w:rsid w:val="00E14BA9"/>
    <w:pPr>
      <w:spacing w:after="200" w:line="276" w:lineRule="auto"/>
      <w:ind w:left="720"/>
      <w:contextualSpacing/>
    </w:pPr>
    <w:rPr>
      <w:rFonts w:ascii="Calibri" w:hAnsi="Calibri"/>
      <w:sz w:val="22"/>
      <w:szCs w:val="22"/>
      <w:lang w:eastAsia="en-US"/>
    </w:rPr>
  </w:style>
  <w:style w:type="character" w:styleId="Emphasis">
    <w:name w:val="Emphasis"/>
    <w:basedOn w:val="DefaultParagraphFont"/>
    <w:uiPriority w:val="99"/>
    <w:qFormat/>
    <w:rsid w:val="000E0380"/>
    <w:rPr>
      <w:rFonts w:cs="Times New Roman"/>
      <w:i/>
      <w:iCs/>
    </w:rPr>
  </w:style>
  <w:style w:type="paragraph" w:customStyle="1" w:styleId="legcohead4">
    <w:name w:val="legcohead4"/>
    <w:basedOn w:val="Normal"/>
    <w:uiPriority w:val="99"/>
    <w:rsid w:val="00B72AD7"/>
    <w:rPr>
      <w:szCs w:val="20"/>
      <w:u w:val="single"/>
    </w:rPr>
  </w:style>
  <w:style w:type="paragraph" w:styleId="BalloonText">
    <w:name w:val="Balloon Text"/>
    <w:basedOn w:val="Normal"/>
    <w:link w:val="BalloonTextChar"/>
    <w:uiPriority w:val="99"/>
    <w:rsid w:val="00B95110"/>
    <w:rPr>
      <w:rFonts w:ascii="Tahoma" w:hAnsi="Tahoma" w:cs="Tahoma"/>
      <w:sz w:val="16"/>
      <w:szCs w:val="16"/>
    </w:rPr>
  </w:style>
  <w:style w:type="character" w:customStyle="1" w:styleId="BalloonTextChar">
    <w:name w:val="Balloon Text Char"/>
    <w:basedOn w:val="DefaultParagraphFont"/>
    <w:link w:val="BalloonText"/>
    <w:uiPriority w:val="99"/>
    <w:locked/>
    <w:rsid w:val="00B95110"/>
    <w:rPr>
      <w:rFonts w:ascii="Tahoma" w:hAnsi="Tahoma" w:cs="Tahoma"/>
      <w:sz w:val="16"/>
      <w:szCs w:val="16"/>
    </w:rPr>
  </w:style>
  <w:style w:type="character" w:styleId="CommentReference">
    <w:name w:val="annotation reference"/>
    <w:basedOn w:val="DefaultParagraphFont"/>
    <w:uiPriority w:val="99"/>
    <w:rsid w:val="00857962"/>
    <w:rPr>
      <w:rFonts w:cs="Times New Roman"/>
      <w:sz w:val="16"/>
      <w:szCs w:val="16"/>
    </w:rPr>
  </w:style>
  <w:style w:type="paragraph" w:styleId="CommentText">
    <w:name w:val="annotation text"/>
    <w:basedOn w:val="Normal"/>
    <w:link w:val="CommentTextChar"/>
    <w:uiPriority w:val="99"/>
    <w:rsid w:val="00857962"/>
    <w:rPr>
      <w:sz w:val="20"/>
      <w:szCs w:val="20"/>
    </w:rPr>
  </w:style>
  <w:style w:type="character" w:customStyle="1" w:styleId="CommentTextChar">
    <w:name w:val="Comment Text Char"/>
    <w:basedOn w:val="DefaultParagraphFont"/>
    <w:link w:val="CommentText"/>
    <w:uiPriority w:val="99"/>
    <w:locked/>
    <w:rsid w:val="00857962"/>
    <w:rPr>
      <w:rFonts w:cs="Times New Roman"/>
    </w:rPr>
  </w:style>
  <w:style w:type="paragraph" w:styleId="CommentSubject">
    <w:name w:val="annotation subject"/>
    <w:basedOn w:val="CommentText"/>
    <w:next w:val="CommentText"/>
    <w:link w:val="CommentSubjectChar"/>
    <w:uiPriority w:val="99"/>
    <w:rsid w:val="00857962"/>
    <w:rPr>
      <w:b/>
      <w:bCs/>
    </w:rPr>
  </w:style>
  <w:style w:type="character" w:customStyle="1" w:styleId="CommentSubjectChar">
    <w:name w:val="Comment Subject Char"/>
    <w:basedOn w:val="CommentTextChar"/>
    <w:link w:val="CommentSubject"/>
    <w:uiPriority w:val="99"/>
    <w:locked/>
    <w:rsid w:val="00857962"/>
    <w:rPr>
      <w:b/>
      <w:bCs/>
    </w:rPr>
  </w:style>
  <w:style w:type="paragraph" w:customStyle="1" w:styleId="ItemHead">
    <w:name w:val="ItemHead"/>
    <w:aliases w:val="ih"/>
    <w:basedOn w:val="Normal"/>
    <w:next w:val="Normal"/>
    <w:uiPriority w:val="99"/>
    <w:rsid w:val="005C0FAF"/>
    <w:pPr>
      <w:keepLines/>
      <w:spacing w:before="220"/>
      <w:ind w:left="709" w:hanging="709"/>
    </w:pPr>
    <w:rPr>
      <w:rFonts w:ascii="Arial" w:hAnsi="Arial"/>
      <w:b/>
      <w:kern w:val="28"/>
      <w:szCs w:val="20"/>
    </w:rPr>
  </w:style>
  <w:style w:type="paragraph" w:customStyle="1" w:styleId="subsection">
    <w:name w:val="subsection"/>
    <w:aliases w:val="ss"/>
    <w:basedOn w:val="Normal"/>
    <w:uiPriority w:val="99"/>
    <w:rsid w:val="005C0FAF"/>
    <w:pPr>
      <w:tabs>
        <w:tab w:val="right" w:pos="1021"/>
      </w:tabs>
      <w:spacing w:before="180"/>
      <w:ind w:left="1134" w:hanging="1134"/>
    </w:pPr>
    <w:rPr>
      <w:sz w:val="22"/>
      <w:szCs w:val="20"/>
    </w:rPr>
  </w:style>
  <w:style w:type="paragraph" w:customStyle="1" w:styleId="Definition">
    <w:name w:val="Definition"/>
    <w:aliases w:val="dd"/>
    <w:basedOn w:val="Normal"/>
    <w:uiPriority w:val="99"/>
    <w:rsid w:val="005C0FAF"/>
    <w:pPr>
      <w:spacing w:before="180"/>
      <w:ind w:left="1134"/>
    </w:pPr>
    <w:rPr>
      <w:sz w:val="22"/>
      <w:szCs w:val="20"/>
    </w:rPr>
  </w:style>
  <w:style w:type="paragraph" w:customStyle="1" w:styleId="Item">
    <w:name w:val="Item"/>
    <w:aliases w:val="i"/>
    <w:basedOn w:val="Normal"/>
    <w:next w:val="ItemHead"/>
    <w:uiPriority w:val="99"/>
    <w:rsid w:val="005C0FAF"/>
    <w:pPr>
      <w:keepLines/>
      <w:spacing w:before="80"/>
      <w:ind w:left="709"/>
    </w:pPr>
    <w:rPr>
      <w:sz w:val="22"/>
      <w:szCs w:val="20"/>
    </w:rPr>
  </w:style>
  <w:style w:type="paragraph" w:customStyle="1" w:styleId="paragraphsub">
    <w:name w:val="paragraph(sub)"/>
    <w:aliases w:val="aa"/>
    <w:basedOn w:val="Normal"/>
    <w:uiPriority w:val="99"/>
    <w:rsid w:val="005C0FAF"/>
    <w:pPr>
      <w:tabs>
        <w:tab w:val="right" w:pos="1985"/>
      </w:tabs>
      <w:spacing w:before="40"/>
      <w:ind w:left="2098" w:hanging="2098"/>
    </w:pPr>
    <w:rPr>
      <w:sz w:val="22"/>
      <w:szCs w:val="20"/>
    </w:rPr>
  </w:style>
  <w:style w:type="paragraph" w:customStyle="1" w:styleId="paragraph">
    <w:name w:val="paragraph"/>
    <w:aliases w:val="a"/>
    <w:basedOn w:val="Normal"/>
    <w:uiPriority w:val="99"/>
    <w:rsid w:val="005C0FAF"/>
    <w:pPr>
      <w:tabs>
        <w:tab w:val="right" w:pos="1531"/>
      </w:tabs>
      <w:spacing w:before="40"/>
      <w:ind w:left="1644" w:hanging="1644"/>
    </w:pPr>
    <w:rPr>
      <w:sz w:val="22"/>
      <w:szCs w:val="20"/>
    </w:rPr>
  </w:style>
  <w:style w:type="paragraph" w:customStyle="1" w:styleId="subsection2">
    <w:name w:val="subsection2"/>
    <w:aliases w:val="ss2"/>
    <w:basedOn w:val="Normal"/>
    <w:next w:val="subsection"/>
    <w:uiPriority w:val="99"/>
    <w:rsid w:val="005C0FAF"/>
    <w:pPr>
      <w:spacing w:before="40"/>
      <w:ind w:left="1134"/>
    </w:pPr>
    <w:rPr>
      <w:sz w:val="22"/>
      <w:szCs w:val="20"/>
    </w:rPr>
  </w:style>
  <w:style w:type="paragraph" w:customStyle="1" w:styleId="SubsectionHead">
    <w:name w:val="SubsectionHead"/>
    <w:aliases w:val="ssh"/>
    <w:basedOn w:val="Normal"/>
    <w:next w:val="subsection"/>
    <w:uiPriority w:val="99"/>
    <w:rsid w:val="005C0FAF"/>
    <w:pPr>
      <w:keepNext/>
      <w:keepLines/>
      <w:spacing w:before="240"/>
      <w:ind w:left="1134"/>
    </w:pPr>
    <w:rPr>
      <w:i/>
      <w:sz w:val="22"/>
      <w:szCs w:val="20"/>
    </w:rPr>
  </w:style>
  <w:style w:type="paragraph" w:styleId="Footer">
    <w:name w:val="footer"/>
    <w:basedOn w:val="Normal"/>
    <w:link w:val="FooterChar"/>
    <w:uiPriority w:val="99"/>
    <w:unhideWhenUsed/>
    <w:rsid w:val="00CB1195"/>
    <w:pPr>
      <w:tabs>
        <w:tab w:val="center" w:pos="4513"/>
        <w:tab w:val="right" w:pos="9026"/>
      </w:tabs>
    </w:pPr>
  </w:style>
  <w:style w:type="character" w:customStyle="1" w:styleId="FooterChar">
    <w:name w:val="Footer Char"/>
    <w:basedOn w:val="DefaultParagraphFont"/>
    <w:link w:val="Footer"/>
    <w:uiPriority w:val="99"/>
    <w:rsid w:val="00CB1195"/>
    <w:rPr>
      <w:sz w:val="24"/>
      <w:szCs w:val="24"/>
    </w:rPr>
  </w:style>
  <w:style w:type="character" w:styleId="PageNumber">
    <w:name w:val="page number"/>
    <w:basedOn w:val="DefaultParagraphFont"/>
    <w:rsid w:val="00A705A7"/>
  </w:style>
  <w:style w:type="paragraph" w:customStyle="1" w:styleId="BoxList">
    <w:name w:val="BoxList"/>
    <w:aliases w:val="bl"/>
    <w:basedOn w:val="Normal"/>
    <w:rsid w:val="0098662D"/>
    <w:pPr>
      <w:pBdr>
        <w:top w:val="single" w:sz="6" w:space="5" w:color="auto"/>
        <w:left w:val="single" w:sz="6" w:space="5" w:color="auto"/>
        <w:bottom w:val="single" w:sz="6" w:space="5" w:color="auto"/>
        <w:right w:val="single" w:sz="6" w:space="5" w:color="auto"/>
      </w:pBdr>
      <w:spacing w:before="240"/>
      <w:ind w:left="1559" w:hanging="425"/>
    </w:pPr>
    <w:rPr>
      <w:sz w:val="22"/>
      <w:szCs w:val="20"/>
    </w:rPr>
  </w:style>
  <w:style w:type="paragraph" w:customStyle="1" w:styleId="BoxPara">
    <w:name w:val="BoxPara"/>
    <w:aliases w:val="bp"/>
    <w:basedOn w:val="Normal"/>
    <w:rsid w:val="0098662D"/>
    <w:pPr>
      <w:pBdr>
        <w:top w:val="single" w:sz="6" w:space="5" w:color="auto"/>
        <w:left w:val="single" w:sz="6" w:space="5" w:color="auto"/>
        <w:bottom w:val="single" w:sz="6" w:space="5" w:color="auto"/>
        <w:right w:val="single" w:sz="6" w:space="5" w:color="auto"/>
      </w:pBdr>
      <w:tabs>
        <w:tab w:val="right" w:pos="2268"/>
      </w:tabs>
      <w:spacing w:before="240"/>
      <w:ind w:left="2552" w:hanging="1418"/>
    </w:pPr>
    <w:rPr>
      <w:sz w:val="22"/>
      <w:szCs w:val="20"/>
    </w:rPr>
  </w:style>
  <w:style w:type="paragraph" w:customStyle="1" w:styleId="NumberLevel1">
    <w:name w:val="Number Level 1"/>
    <w:basedOn w:val="Normal"/>
    <w:next w:val="NumberLevel2"/>
    <w:rsid w:val="00AE65DD"/>
    <w:pPr>
      <w:keepNext/>
      <w:numPr>
        <w:numId w:val="8"/>
      </w:numPr>
      <w:spacing w:before="200" w:line="280" w:lineRule="atLeast"/>
      <w:outlineLvl w:val="0"/>
    </w:pPr>
    <w:rPr>
      <w:rFonts w:ascii="Arial" w:hAnsi="Arial" w:cs="Arial"/>
      <w:b/>
      <w:caps/>
      <w:sz w:val="20"/>
      <w:szCs w:val="22"/>
    </w:rPr>
  </w:style>
  <w:style w:type="paragraph" w:customStyle="1" w:styleId="NumberLevel2">
    <w:name w:val="Number Level 2"/>
    <w:basedOn w:val="Normal"/>
    <w:rsid w:val="00AE65DD"/>
    <w:pPr>
      <w:numPr>
        <w:ilvl w:val="1"/>
        <w:numId w:val="8"/>
      </w:numPr>
      <w:spacing w:before="140" w:after="140" w:line="280" w:lineRule="atLeast"/>
      <w:outlineLvl w:val="1"/>
    </w:pPr>
    <w:rPr>
      <w:rFonts w:ascii="Arial" w:hAnsi="Arial" w:cs="Arial"/>
      <w:sz w:val="22"/>
      <w:szCs w:val="22"/>
    </w:rPr>
  </w:style>
  <w:style w:type="paragraph" w:customStyle="1" w:styleId="NumberLevel3">
    <w:name w:val="Number Level 3"/>
    <w:basedOn w:val="Normal"/>
    <w:rsid w:val="00AE65DD"/>
    <w:pPr>
      <w:numPr>
        <w:ilvl w:val="2"/>
        <w:numId w:val="8"/>
      </w:numPr>
      <w:spacing w:before="140" w:after="140" w:line="280" w:lineRule="atLeast"/>
      <w:outlineLvl w:val="2"/>
    </w:pPr>
    <w:rPr>
      <w:rFonts w:ascii="Arial" w:hAnsi="Arial" w:cs="Arial"/>
      <w:sz w:val="22"/>
      <w:szCs w:val="22"/>
    </w:rPr>
  </w:style>
  <w:style w:type="paragraph" w:customStyle="1" w:styleId="NumberLevel4">
    <w:name w:val="Number Level 4"/>
    <w:basedOn w:val="Normal"/>
    <w:rsid w:val="00AE65DD"/>
    <w:pPr>
      <w:numPr>
        <w:ilvl w:val="3"/>
        <w:numId w:val="8"/>
      </w:numPr>
      <w:spacing w:after="140" w:line="280" w:lineRule="atLeast"/>
      <w:outlineLvl w:val="3"/>
    </w:pPr>
    <w:rPr>
      <w:rFonts w:ascii="Arial" w:hAnsi="Arial" w:cs="Arial"/>
      <w:sz w:val="22"/>
      <w:szCs w:val="22"/>
    </w:rPr>
  </w:style>
  <w:style w:type="paragraph" w:customStyle="1" w:styleId="NumberLevel5">
    <w:name w:val="Number Level 5"/>
    <w:basedOn w:val="Normal"/>
    <w:semiHidden/>
    <w:rsid w:val="00AE65DD"/>
    <w:pPr>
      <w:numPr>
        <w:ilvl w:val="4"/>
        <w:numId w:val="8"/>
      </w:numPr>
      <w:spacing w:after="140" w:line="280" w:lineRule="atLeast"/>
      <w:outlineLvl w:val="4"/>
    </w:pPr>
    <w:rPr>
      <w:rFonts w:ascii="Arial" w:hAnsi="Arial" w:cs="Arial"/>
      <w:sz w:val="22"/>
      <w:szCs w:val="22"/>
    </w:rPr>
  </w:style>
  <w:style w:type="paragraph" w:customStyle="1" w:styleId="NumberLevel6">
    <w:name w:val="Number Level 6"/>
    <w:basedOn w:val="NumberLevel5"/>
    <w:semiHidden/>
    <w:rsid w:val="00AE65DD"/>
    <w:pPr>
      <w:numPr>
        <w:ilvl w:val="5"/>
      </w:numPr>
      <w:outlineLvl w:val="5"/>
    </w:pPr>
  </w:style>
  <w:style w:type="paragraph" w:customStyle="1" w:styleId="NumberLevel7">
    <w:name w:val="Number Level 7"/>
    <w:basedOn w:val="NumberLevel6"/>
    <w:semiHidden/>
    <w:rsid w:val="00AE65DD"/>
    <w:pPr>
      <w:numPr>
        <w:ilvl w:val="6"/>
      </w:numPr>
      <w:outlineLvl w:val="6"/>
    </w:pPr>
  </w:style>
  <w:style w:type="paragraph" w:customStyle="1" w:styleId="NumberLevel8">
    <w:name w:val="Number Level 8"/>
    <w:basedOn w:val="NumberLevel7"/>
    <w:semiHidden/>
    <w:rsid w:val="00AE65DD"/>
    <w:pPr>
      <w:numPr>
        <w:ilvl w:val="7"/>
      </w:numPr>
      <w:outlineLvl w:val="7"/>
    </w:pPr>
  </w:style>
  <w:style w:type="paragraph" w:customStyle="1" w:styleId="NumberLevel9">
    <w:name w:val="Number Level 9"/>
    <w:basedOn w:val="NumberLevel8"/>
    <w:semiHidden/>
    <w:rsid w:val="00AE65DD"/>
    <w:pPr>
      <w:numPr>
        <w:ilvl w:val="8"/>
      </w:numPr>
      <w:outlineLvl w:val="8"/>
    </w:pPr>
  </w:style>
  <w:style w:type="paragraph" w:customStyle="1" w:styleId="Tablea">
    <w:name w:val="Table(a)"/>
    <w:aliases w:val="ta"/>
    <w:basedOn w:val="Normal"/>
    <w:rsid w:val="00CA1AF8"/>
    <w:pPr>
      <w:spacing w:before="60"/>
      <w:ind w:left="284" w:hanging="284"/>
    </w:pPr>
    <w:rPr>
      <w:sz w:val="20"/>
      <w:szCs w:val="20"/>
    </w:rPr>
  </w:style>
  <w:style w:type="paragraph" w:customStyle="1" w:styleId="Tabletext">
    <w:name w:val="Tabletext"/>
    <w:aliases w:val="tt"/>
    <w:basedOn w:val="Normal"/>
    <w:rsid w:val="00CA1AF8"/>
    <w:pPr>
      <w:spacing w:before="60" w:line="240" w:lineRule="atLeast"/>
    </w:pPr>
    <w:rPr>
      <w:sz w:val="20"/>
      <w:szCs w:val="20"/>
    </w:rPr>
  </w:style>
  <w:style w:type="paragraph" w:styleId="NormalWeb">
    <w:name w:val="Normal (Web)"/>
    <w:basedOn w:val="Normal"/>
    <w:rsid w:val="00324DEA"/>
    <w:pPr>
      <w:spacing w:before="100" w:beforeAutospacing="1" w:after="100" w:afterAutospacing="1"/>
    </w:pPr>
  </w:style>
  <w:style w:type="character" w:styleId="Hyperlink">
    <w:name w:val="Hyperlink"/>
    <w:basedOn w:val="DefaultParagraphFont"/>
    <w:rsid w:val="00324DEA"/>
    <w:rPr>
      <w:color w:val="0000FF"/>
      <w:u w:val="single"/>
    </w:rPr>
  </w:style>
</w:styles>
</file>

<file path=word/webSettings.xml><?xml version="1.0" encoding="utf-8"?>
<w:webSettings xmlns:r="http://schemas.openxmlformats.org/officeDocument/2006/relationships" xmlns:w="http://schemas.openxmlformats.org/wordprocessingml/2006/main">
  <w:divs>
    <w:div w:id="409042667">
      <w:bodyDiv w:val="1"/>
      <w:marLeft w:val="0"/>
      <w:marRight w:val="0"/>
      <w:marTop w:val="0"/>
      <w:marBottom w:val="0"/>
      <w:divBdr>
        <w:top w:val="none" w:sz="0" w:space="0" w:color="auto"/>
        <w:left w:val="none" w:sz="0" w:space="0" w:color="auto"/>
        <w:bottom w:val="none" w:sz="0" w:space="0" w:color="auto"/>
        <w:right w:val="none" w:sz="0" w:space="0" w:color="auto"/>
      </w:divBdr>
      <w:divsChild>
        <w:div w:id="131768669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21413998">
      <w:bodyDiv w:val="1"/>
      <w:marLeft w:val="0"/>
      <w:marRight w:val="0"/>
      <w:marTop w:val="0"/>
      <w:marBottom w:val="0"/>
      <w:divBdr>
        <w:top w:val="none" w:sz="0" w:space="0" w:color="auto"/>
        <w:left w:val="none" w:sz="0" w:space="0" w:color="auto"/>
        <w:bottom w:val="none" w:sz="0" w:space="0" w:color="auto"/>
        <w:right w:val="none" w:sz="0" w:space="0" w:color="auto"/>
      </w:divBdr>
    </w:div>
    <w:div w:id="753165185">
      <w:bodyDiv w:val="1"/>
      <w:marLeft w:val="0"/>
      <w:marRight w:val="0"/>
      <w:marTop w:val="0"/>
      <w:marBottom w:val="0"/>
      <w:divBdr>
        <w:top w:val="none" w:sz="0" w:space="0" w:color="auto"/>
        <w:left w:val="none" w:sz="0" w:space="0" w:color="auto"/>
        <w:bottom w:val="none" w:sz="0" w:space="0" w:color="auto"/>
        <w:right w:val="none" w:sz="0" w:space="0" w:color="auto"/>
      </w:divBdr>
      <w:divsChild>
        <w:div w:id="121893016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27554120">
      <w:bodyDiv w:val="1"/>
      <w:marLeft w:val="0"/>
      <w:marRight w:val="0"/>
      <w:marTop w:val="0"/>
      <w:marBottom w:val="0"/>
      <w:divBdr>
        <w:top w:val="none" w:sz="0" w:space="0" w:color="auto"/>
        <w:left w:val="none" w:sz="0" w:space="0" w:color="auto"/>
        <w:bottom w:val="none" w:sz="0" w:space="0" w:color="auto"/>
        <w:right w:val="none" w:sz="0" w:space="0" w:color="auto"/>
      </w:divBdr>
      <w:divsChild>
        <w:div w:id="1847479950">
          <w:marLeft w:val="0"/>
          <w:marRight w:val="0"/>
          <w:marTop w:val="0"/>
          <w:marBottom w:val="0"/>
          <w:divBdr>
            <w:top w:val="none" w:sz="0" w:space="0" w:color="auto"/>
            <w:left w:val="none" w:sz="0" w:space="0" w:color="auto"/>
            <w:bottom w:val="none" w:sz="0" w:space="0" w:color="auto"/>
            <w:right w:val="none" w:sz="0" w:space="0" w:color="auto"/>
          </w:divBdr>
          <w:divsChild>
            <w:div w:id="408040898">
              <w:marLeft w:val="0"/>
              <w:marRight w:val="0"/>
              <w:marTop w:val="0"/>
              <w:marBottom w:val="0"/>
              <w:divBdr>
                <w:top w:val="none" w:sz="0" w:space="0" w:color="auto"/>
                <w:left w:val="none" w:sz="0" w:space="0" w:color="auto"/>
                <w:bottom w:val="none" w:sz="0" w:space="0" w:color="auto"/>
                <w:right w:val="none" w:sz="0" w:space="0" w:color="auto"/>
              </w:divBdr>
              <w:divsChild>
                <w:div w:id="2051026484">
                  <w:marLeft w:val="0"/>
                  <w:marRight w:val="0"/>
                  <w:marTop w:val="0"/>
                  <w:marBottom w:val="0"/>
                  <w:divBdr>
                    <w:top w:val="none" w:sz="0" w:space="0" w:color="auto"/>
                    <w:left w:val="none" w:sz="0" w:space="0" w:color="auto"/>
                    <w:bottom w:val="none" w:sz="0" w:space="0" w:color="auto"/>
                    <w:right w:val="none" w:sz="0" w:space="0" w:color="auto"/>
                  </w:divBdr>
                  <w:divsChild>
                    <w:div w:id="2045791584">
                      <w:marLeft w:val="0"/>
                      <w:marRight w:val="0"/>
                      <w:marTop w:val="0"/>
                      <w:marBottom w:val="0"/>
                      <w:divBdr>
                        <w:top w:val="none" w:sz="0" w:space="0" w:color="auto"/>
                        <w:left w:val="none" w:sz="0" w:space="0" w:color="auto"/>
                        <w:bottom w:val="none" w:sz="0" w:space="0" w:color="auto"/>
                        <w:right w:val="none" w:sz="0" w:space="0" w:color="auto"/>
                      </w:divBdr>
                      <w:divsChild>
                        <w:div w:id="19963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psr.gov.au/www/ppsr/ppsr.nsf/Page/SecuredParty_SecuredParty" TargetMode="External"/><Relationship Id="rId5" Type="http://schemas.openxmlformats.org/officeDocument/2006/relationships/footnotes" Target="footnotes.xml"/><Relationship Id="rId10" Type="http://schemas.openxmlformats.org/officeDocument/2006/relationships/hyperlink" Target="http://www.ppsr.gov.au/www/ppsr/ppsr.nsf/Page/SecuredParty_SecuredPart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6409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2008-2009-2010</vt:lpstr>
    </vt:vector>
  </TitlesOfParts>
  <Company>DIISR</Company>
  <LinksUpToDate>false</LinksUpToDate>
  <CharactersWithSpaces>7553</CharactersWithSpaces>
  <SharedDoc>false</SharedDoc>
  <HLinks>
    <vt:vector size="12" baseType="variant">
      <vt:variant>
        <vt:i4>3211289</vt:i4>
      </vt:variant>
      <vt:variant>
        <vt:i4>3</vt:i4>
      </vt:variant>
      <vt:variant>
        <vt:i4>0</vt:i4>
      </vt:variant>
      <vt:variant>
        <vt:i4>5</vt:i4>
      </vt:variant>
      <vt:variant>
        <vt:lpwstr>http://www.ppsr.gov.au/www/ppsr/ppsr.nsf/Page/SecuredParty_SecuredParty</vt:lpwstr>
      </vt:variant>
      <vt:variant>
        <vt:lpwstr/>
      </vt:variant>
      <vt:variant>
        <vt:i4>3211289</vt:i4>
      </vt:variant>
      <vt:variant>
        <vt:i4>0</vt:i4>
      </vt:variant>
      <vt:variant>
        <vt:i4>0</vt:i4>
      </vt:variant>
      <vt:variant>
        <vt:i4>5</vt:i4>
      </vt:variant>
      <vt:variant>
        <vt:lpwstr>http://www.ppsr.gov.au/www/ppsr/ppsr.nsf/Page/SecuredParty_SecuredParty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2008-2009-2010</dc:title>
  <dc:creator>MJamieson</dc:creator>
  <cp:lastModifiedBy>italit</cp:lastModifiedBy>
  <cp:revision>2</cp:revision>
  <cp:lastPrinted>2011-02-08T06:48:00Z</cp:lastPrinted>
  <dcterms:created xsi:type="dcterms:W3CDTF">2011-05-26T05:28:00Z</dcterms:created>
  <dcterms:modified xsi:type="dcterms:W3CDTF">2011-05-26T05:28:00Z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