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9A" w:rsidRDefault="00B9029A" w:rsidP="001C590E">
      <w:pPr>
        <w:pStyle w:val="Baseparagraphcentred"/>
      </w:pPr>
      <w:r>
        <w:t>2010-2011-2012</w:t>
      </w:r>
    </w:p>
    <w:p w:rsidR="00B9029A" w:rsidRDefault="00B9029A" w:rsidP="001C590E">
      <w:pPr>
        <w:pStyle w:val="Baseparagraphcentred"/>
      </w:pPr>
    </w:p>
    <w:p w:rsidR="00B9029A" w:rsidRDefault="00B9029A" w:rsidP="001C590E">
      <w:pPr>
        <w:pStyle w:val="Baseparagraphcentred"/>
      </w:pPr>
      <w:r>
        <w:t>THE PARLIAMENT OF THE COMMONWEALTH OF AUSTRALIA</w:t>
      </w:r>
    </w:p>
    <w:p w:rsidR="00B9029A" w:rsidRDefault="00B9029A" w:rsidP="001C590E">
      <w:pPr>
        <w:pStyle w:val="Baseparagraphcentred"/>
      </w:pPr>
    </w:p>
    <w:p w:rsidR="00B9029A" w:rsidRDefault="00B9029A" w:rsidP="001C590E">
      <w:pPr>
        <w:pStyle w:val="Baseparagraphcentred"/>
      </w:pPr>
    </w:p>
    <w:p w:rsidR="00B9029A" w:rsidRDefault="00B9029A" w:rsidP="001C590E">
      <w:pPr>
        <w:pStyle w:val="Baseparagraphcentred"/>
      </w:pPr>
    </w:p>
    <w:p w:rsidR="00B9029A" w:rsidRDefault="00B9029A" w:rsidP="001C590E">
      <w:pPr>
        <w:pStyle w:val="Baseparagraphcentred"/>
      </w:pPr>
      <w:r>
        <w:t>HOUSE OF REPRESENTATIVES</w:t>
      </w:r>
    </w:p>
    <w:p w:rsidR="00B9029A" w:rsidRDefault="00B9029A" w:rsidP="001C590E">
      <w:pPr>
        <w:pStyle w:val="Baseparagraphcentred"/>
      </w:pPr>
    </w:p>
    <w:p w:rsidR="00B9029A" w:rsidRDefault="00B9029A" w:rsidP="001C590E">
      <w:pPr>
        <w:pStyle w:val="Baseparagraphcentred"/>
      </w:pPr>
    </w:p>
    <w:p w:rsidR="00B9029A" w:rsidRDefault="00B9029A" w:rsidP="001C590E">
      <w:pPr>
        <w:pStyle w:val="Baseparagraphcentred"/>
      </w:pPr>
    </w:p>
    <w:p w:rsidR="00B9029A" w:rsidRDefault="00B9029A" w:rsidP="00B9029A">
      <w:pPr>
        <w:pStyle w:val="BillName"/>
      </w:pPr>
      <w:r>
        <w:t>tax laws amendment (medicare levy and medicare levy surcharge) bill 2012</w:t>
      </w:r>
    </w:p>
    <w:p w:rsidR="00B9029A" w:rsidRDefault="00B9029A" w:rsidP="001C590E">
      <w:pPr>
        <w:pStyle w:val="Baseparagraphcentred"/>
      </w:pPr>
    </w:p>
    <w:p w:rsidR="00B9029A" w:rsidRDefault="00B9029A" w:rsidP="001C590E">
      <w:pPr>
        <w:pStyle w:val="Baseparagraphcentred"/>
      </w:pPr>
    </w:p>
    <w:p w:rsidR="00B9029A" w:rsidRDefault="00B9029A" w:rsidP="001C590E">
      <w:pPr>
        <w:pStyle w:val="Baseparagraphcentred"/>
      </w:pPr>
    </w:p>
    <w:p w:rsidR="00B9029A" w:rsidRDefault="00B9029A" w:rsidP="001C590E">
      <w:pPr>
        <w:pStyle w:val="Baseparagraphcentred"/>
      </w:pPr>
    </w:p>
    <w:p w:rsidR="00B9029A" w:rsidRDefault="00B9029A" w:rsidP="001C590E">
      <w:pPr>
        <w:pStyle w:val="Baseparagraphcentred"/>
      </w:pPr>
      <w:r>
        <w:t>EXPLANATORY MEMORANDUM</w:t>
      </w:r>
    </w:p>
    <w:p w:rsidR="00B9029A" w:rsidRDefault="00B9029A" w:rsidP="001C590E">
      <w:pPr>
        <w:pStyle w:val="Baseparagraphcentred"/>
      </w:pPr>
    </w:p>
    <w:p w:rsidR="00B9029A" w:rsidRDefault="00B9029A" w:rsidP="001C590E">
      <w:pPr>
        <w:pStyle w:val="Baseparagraphcentred"/>
      </w:pPr>
    </w:p>
    <w:p w:rsidR="00B9029A" w:rsidRDefault="00B9029A" w:rsidP="001C590E">
      <w:pPr>
        <w:pStyle w:val="Baseparagraphcentred"/>
      </w:pPr>
    </w:p>
    <w:p w:rsidR="00B9029A" w:rsidRDefault="00B9029A" w:rsidP="001C590E">
      <w:pPr>
        <w:pStyle w:val="Baseparagraphcentred"/>
      </w:pPr>
    </w:p>
    <w:p w:rsidR="00B9029A" w:rsidRDefault="00B9029A" w:rsidP="001C590E">
      <w:pPr>
        <w:pStyle w:val="Baseparagraphcentred"/>
      </w:pPr>
      <w:r>
        <w:t>(Circulated by the authority of the</w:t>
      </w:r>
      <w:r>
        <w:br/>
        <w:t>Deputy Prime Minister and Treasurer, the Hon Wayne Swan MP)</w:t>
      </w:r>
    </w:p>
    <w:p w:rsidR="00B9029A" w:rsidRDefault="00B9029A" w:rsidP="001C590E"/>
    <w:p w:rsidR="00B9029A" w:rsidRDefault="00B9029A" w:rsidP="001C590E">
      <w:pPr>
        <w:sectPr w:rsidR="00B9029A" w:rsidSect="001C590E">
          <w:headerReference w:type="even" r:id="rId9"/>
          <w:headerReference w:type="default" r:id="rId10"/>
          <w:footerReference w:type="even" r:id="rId11"/>
          <w:footerReference w:type="default" r:id="rId12"/>
          <w:type w:val="oddPage"/>
          <w:pgSz w:w="11906" w:h="16838" w:code="9"/>
          <w:pgMar w:top="2466" w:right="2098" w:bottom="2466" w:left="2098" w:header="1559" w:footer="1899" w:gutter="0"/>
          <w:cols w:space="708"/>
          <w:titlePg/>
          <w:docGrid w:linePitch="360"/>
        </w:sectPr>
      </w:pPr>
    </w:p>
    <w:p w:rsidR="00B9029A" w:rsidRPr="003E0794" w:rsidRDefault="00B9029A" w:rsidP="001C590E">
      <w:pPr>
        <w:pStyle w:val="TOCHeading"/>
      </w:pPr>
      <w:r w:rsidRPr="003E0794">
        <w:lastRenderedPageBreak/>
        <w:t>Table of contents</w:t>
      </w:r>
    </w:p>
    <w:p w:rsidR="00546157" w:rsidRDefault="00B9029A">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546157">
        <w:t>Glossary</w:t>
      </w:r>
      <w:r w:rsidR="00546157">
        <w:tab/>
      </w:r>
      <w:r w:rsidR="00546157">
        <w:fldChar w:fldCharType="begin"/>
      </w:r>
      <w:r w:rsidR="00546157">
        <w:instrText xml:space="preserve"> PAGEREF _Toc322686185 \h </w:instrText>
      </w:r>
      <w:r w:rsidR="00546157">
        <w:fldChar w:fldCharType="separate"/>
      </w:r>
      <w:r w:rsidR="00962CC3">
        <w:t>1</w:t>
      </w:r>
      <w:r w:rsidR="00546157">
        <w:fldChar w:fldCharType="end"/>
      </w:r>
    </w:p>
    <w:p w:rsidR="00546157" w:rsidRDefault="00546157">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_Toc322686186 \h </w:instrText>
      </w:r>
      <w:r>
        <w:fldChar w:fldCharType="separate"/>
      </w:r>
      <w:r w:rsidR="00962CC3">
        <w:t>3</w:t>
      </w:r>
      <w:r>
        <w:fldChar w:fldCharType="end"/>
      </w:r>
    </w:p>
    <w:p w:rsidR="00546157" w:rsidRDefault="00546157">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Medicare levy and Medicare levy surcharge low</w:t>
      </w:r>
      <w:r>
        <w:rPr>
          <w:noProof/>
        </w:rPr>
        <w:noBreakHyphen/>
        <w:t>income thresholds</w:t>
      </w:r>
      <w:r>
        <w:rPr>
          <w:noProof/>
        </w:rPr>
        <w:tab/>
      </w:r>
      <w:r>
        <w:rPr>
          <w:noProof/>
        </w:rPr>
        <w:fldChar w:fldCharType="begin"/>
      </w:r>
      <w:r>
        <w:rPr>
          <w:noProof/>
        </w:rPr>
        <w:instrText xml:space="preserve"> PAGEREF _Toc322686187 \h </w:instrText>
      </w:r>
      <w:r>
        <w:rPr>
          <w:noProof/>
        </w:rPr>
      </w:r>
      <w:r>
        <w:rPr>
          <w:noProof/>
        </w:rPr>
        <w:fldChar w:fldCharType="separate"/>
      </w:r>
      <w:r w:rsidR="00962CC3">
        <w:rPr>
          <w:noProof/>
        </w:rPr>
        <w:t>5</w:t>
      </w:r>
      <w:r>
        <w:rPr>
          <w:noProof/>
        </w:rPr>
        <w:fldChar w:fldCharType="end"/>
      </w:r>
    </w:p>
    <w:p w:rsidR="00546157" w:rsidRDefault="00546157">
      <w:pPr>
        <w:pStyle w:val="TOC2"/>
        <w:rPr>
          <w:rFonts w:asciiTheme="minorHAnsi" w:eastAsiaTheme="minorEastAsia" w:hAnsiTheme="minorHAnsi" w:cstheme="minorBidi"/>
          <w:sz w:val="22"/>
          <w:szCs w:val="22"/>
        </w:rPr>
      </w:pPr>
      <w:r>
        <w:t>Index</w:t>
      </w:r>
      <w:r>
        <w:tab/>
      </w:r>
      <w:r>
        <w:fldChar w:fldCharType="begin"/>
      </w:r>
      <w:r>
        <w:instrText xml:space="preserve"> PAGEREF _Toc322686188 \h </w:instrText>
      </w:r>
      <w:r>
        <w:fldChar w:fldCharType="separate"/>
      </w:r>
      <w:r w:rsidR="00962CC3">
        <w:t>11</w:t>
      </w:r>
      <w:r>
        <w:fldChar w:fldCharType="end"/>
      </w:r>
    </w:p>
    <w:p w:rsidR="00B9029A" w:rsidRDefault="00B9029A" w:rsidP="001C590E">
      <w:pPr>
        <w:pStyle w:val="base-text-paragraphnonumbers"/>
      </w:pPr>
      <w:r>
        <w:rPr>
          <w:b/>
          <w:bCs/>
          <w:noProof/>
          <w:lang w:val="en-US"/>
        </w:rPr>
        <w:fldChar w:fldCharType="end"/>
      </w:r>
    </w:p>
    <w:p w:rsidR="00B9029A" w:rsidRDefault="00B9029A" w:rsidP="001C590E">
      <w:pPr>
        <w:pStyle w:val="Hiddentext"/>
      </w:pPr>
      <w:r>
        <w:t>Do not remove section break.</w:t>
      </w:r>
    </w:p>
    <w:p w:rsidR="00B9029A" w:rsidRDefault="00B9029A" w:rsidP="001C590E">
      <w:pPr>
        <w:pStyle w:val="base-text-paragraphnonumbers"/>
        <w:sectPr w:rsidR="00B9029A" w:rsidSect="001C590E">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2466" w:right="2098" w:bottom="2466" w:left="2098" w:header="1559" w:footer="1899" w:gutter="0"/>
          <w:cols w:space="708"/>
          <w:titlePg/>
          <w:docGrid w:linePitch="360"/>
        </w:sectPr>
      </w:pPr>
    </w:p>
    <w:p w:rsidR="00B9029A" w:rsidRPr="00D67ADC" w:rsidRDefault="00B9029A" w:rsidP="001C590E">
      <w:pPr>
        <w:pStyle w:val="Chapterheadingsubdocument"/>
      </w:pPr>
      <w:bookmarkStart w:id="0" w:name="_Toc322686185"/>
      <w:r w:rsidRPr="00D67ADC">
        <w:lastRenderedPageBreak/>
        <w:t>Glossary</w:t>
      </w:r>
      <w:bookmarkEnd w:id="0"/>
    </w:p>
    <w:p w:rsidR="00B9029A" w:rsidRDefault="00B9029A" w:rsidP="001C590E">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9029A" w:rsidRPr="00123D96" w:rsidTr="001C590E">
        <w:tc>
          <w:tcPr>
            <w:tcW w:w="2721" w:type="dxa"/>
          </w:tcPr>
          <w:p w:rsidR="00B9029A" w:rsidRPr="00123D96" w:rsidRDefault="00B9029A" w:rsidP="001C590E">
            <w:pPr>
              <w:pStyle w:val="tableheaderwithintable"/>
            </w:pPr>
            <w:r w:rsidRPr="00123D96">
              <w:t>Abbreviation</w:t>
            </w:r>
          </w:p>
        </w:tc>
        <w:tc>
          <w:tcPr>
            <w:tcW w:w="3885" w:type="dxa"/>
          </w:tcPr>
          <w:p w:rsidR="00B9029A" w:rsidRPr="00123D96" w:rsidRDefault="00B9029A" w:rsidP="001C590E">
            <w:pPr>
              <w:pStyle w:val="tableheaderwithintable"/>
            </w:pPr>
            <w:r w:rsidRPr="00123D96">
              <w:t>Definition</w:t>
            </w:r>
          </w:p>
        </w:tc>
      </w:tr>
      <w:tr w:rsidR="00B9029A" w:rsidRPr="002C43E8" w:rsidTr="001C590E">
        <w:tc>
          <w:tcPr>
            <w:tcW w:w="2721" w:type="dxa"/>
          </w:tcPr>
          <w:p w:rsidR="00B9029A" w:rsidRPr="002C43E8" w:rsidRDefault="00B9029A" w:rsidP="001C590E">
            <w:pPr>
              <w:pStyle w:val="Glossarytabletext"/>
              <w:rPr>
                <w:lang w:val="en-US" w:eastAsia="en-US"/>
              </w:rPr>
            </w:pPr>
            <w:r>
              <w:rPr>
                <w:lang w:val="en-US" w:eastAsia="en-US"/>
              </w:rPr>
              <w:t>the surcharge</w:t>
            </w:r>
          </w:p>
        </w:tc>
        <w:tc>
          <w:tcPr>
            <w:tcW w:w="3885" w:type="dxa"/>
          </w:tcPr>
          <w:p w:rsidR="00B9029A" w:rsidRPr="002C43E8" w:rsidRDefault="00B9029A" w:rsidP="001C590E">
            <w:pPr>
              <w:pStyle w:val="Glossarytabletext"/>
              <w:rPr>
                <w:lang w:val="en-US" w:eastAsia="en-US"/>
              </w:rPr>
            </w:pPr>
            <w:r>
              <w:rPr>
                <w:lang w:val="en-US" w:eastAsia="en-US"/>
              </w:rPr>
              <w:t>Medicare levy surcharge</w:t>
            </w:r>
          </w:p>
        </w:tc>
      </w:tr>
      <w:tr w:rsidR="00B9029A" w:rsidRPr="002C43E8" w:rsidTr="001C590E">
        <w:tc>
          <w:tcPr>
            <w:tcW w:w="2721" w:type="dxa"/>
          </w:tcPr>
          <w:p w:rsidR="00B9029A" w:rsidRPr="002C43E8" w:rsidRDefault="00B9029A" w:rsidP="001C590E">
            <w:pPr>
              <w:pStyle w:val="Glossarytabletext"/>
              <w:rPr>
                <w:lang w:val="en-US" w:eastAsia="en-US"/>
              </w:rPr>
            </w:pPr>
            <w:r>
              <w:rPr>
                <w:lang w:val="en-US" w:eastAsia="en-US"/>
              </w:rPr>
              <w:t>threshold amount</w:t>
            </w:r>
          </w:p>
        </w:tc>
        <w:tc>
          <w:tcPr>
            <w:tcW w:w="3885" w:type="dxa"/>
          </w:tcPr>
          <w:p w:rsidR="00B9029A" w:rsidRPr="002C43E8" w:rsidRDefault="00B9029A" w:rsidP="001C590E">
            <w:pPr>
              <w:pStyle w:val="Glossarytabletext"/>
              <w:rPr>
                <w:lang w:val="en-US" w:eastAsia="en-US"/>
              </w:rPr>
            </w:pPr>
            <w:r>
              <w:rPr>
                <w:lang w:val="en-US" w:eastAsia="en-US"/>
              </w:rPr>
              <w:t>Medicare levy and Medicare levy surcharge low-income threshold amount</w:t>
            </w:r>
          </w:p>
        </w:tc>
      </w:tr>
    </w:tbl>
    <w:p w:rsidR="00B9029A" w:rsidRDefault="00B9029A" w:rsidP="001C590E">
      <w:pPr>
        <w:sectPr w:rsidR="00B9029A" w:rsidSect="001C590E">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pgNumType w:start="1"/>
          <w:cols w:space="708"/>
          <w:titlePg/>
          <w:docGrid w:linePitch="360"/>
        </w:sectPr>
      </w:pPr>
    </w:p>
    <w:p w:rsidR="00B9029A" w:rsidRPr="00D67ADC" w:rsidRDefault="00B9029A" w:rsidP="001C590E">
      <w:pPr>
        <w:pStyle w:val="Chapterheadingsubdocument"/>
      </w:pPr>
      <w:bookmarkStart w:id="1" w:name="_Toc322686186"/>
      <w:r w:rsidRPr="00D67ADC">
        <w:lastRenderedPageBreak/>
        <w:t>General outline and financial impact</w:t>
      </w:r>
      <w:bookmarkEnd w:id="1"/>
    </w:p>
    <w:p w:rsidR="00B9029A" w:rsidRDefault="00B9029A" w:rsidP="001C590E">
      <w:pPr>
        <w:pStyle w:val="Heading2"/>
      </w:pPr>
      <w:r>
        <w:t>Medicare levy and Medicare levy surcharge low-income thresholds</w:t>
      </w:r>
    </w:p>
    <w:p w:rsidR="00B9029A" w:rsidRDefault="00B9029A" w:rsidP="001C590E">
      <w:pPr>
        <w:pStyle w:val="base-text-paragraphnonumbers"/>
      </w:pPr>
      <w:r>
        <w:t>This bill amends:</w:t>
      </w:r>
    </w:p>
    <w:p w:rsidR="00B9029A" w:rsidRDefault="00B9029A" w:rsidP="001C590E">
      <w:pPr>
        <w:pStyle w:val="Bullet"/>
      </w:pPr>
      <w:r>
        <w:t xml:space="preserve">the </w:t>
      </w:r>
      <w:r w:rsidRPr="008B3803">
        <w:rPr>
          <w:i/>
        </w:rPr>
        <w:t>Medicare Levy Act 1986</w:t>
      </w:r>
      <w:r>
        <w:t xml:space="preserve"> to:</w:t>
      </w:r>
    </w:p>
    <w:p w:rsidR="00B9029A" w:rsidRPr="008B3803" w:rsidRDefault="00B9029A" w:rsidP="001C590E">
      <w:pPr>
        <w:pStyle w:val="Dash"/>
      </w:pPr>
      <w:r w:rsidRPr="008B3803">
        <w:t>increase the Medicare levy low</w:t>
      </w:r>
      <w:r w:rsidRPr="008B3803">
        <w:noBreakHyphen/>
        <w:t>income thresholds for individuals and families.  The dependent child/student component of the family threshold will also be increased.  These increases are in line with movements in the consumer price index; and</w:t>
      </w:r>
    </w:p>
    <w:p w:rsidR="00B9029A" w:rsidRPr="008B3803" w:rsidRDefault="00B9029A" w:rsidP="001C590E">
      <w:pPr>
        <w:pStyle w:val="Dash"/>
      </w:pPr>
      <w:r w:rsidRPr="008B3803">
        <w:t>increase the Medicare levy low</w:t>
      </w:r>
      <w:r w:rsidRPr="008B3803">
        <w:noBreakHyphen/>
        <w:t>income threshold for pensioners below age pension age so that they do not have a Medicare levy liability where they do not have an income tax liability; and</w:t>
      </w:r>
    </w:p>
    <w:p w:rsidR="00B9029A" w:rsidRPr="008B3803" w:rsidRDefault="00B9029A" w:rsidP="001C590E">
      <w:pPr>
        <w:pStyle w:val="Bullet"/>
      </w:pPr>
      <w:r w:rsidRPr="008B3803">
        <w:t xml:space="preserve">the </w:t>
      </w:r>
      <w:r w:rsidRPr="008B3803">
        <w:rPr>
          <w:i/>
        </w:rPr>
        <w:t>A New Tax System (Medicare L</w:t>
      </w:r>
      <w:r>
        <w:rPr>
          <w:i/>
        </w:rPr>
        <w:t>evy Surcharge</w:t>
      </w:r>
      <w:r>
        <w:rPr>
          <w:i/>
        </w:rPr>
        <w:noBreakHyphen/>
      </w:r>
      <w:r w:rsidRPr="008B3803">
        <w:rPr>
          <w:i/>
        </w:rPr>
        <w:t>Fringe Benefits) Act 1999</w:t>
      </w:r>
      <w:r w:rsidRPr="008B3803">
        <w:t xml:space="preserve"> to:</w:t>
      </w:r>
    </w:p>
    <w:p w:rsidR="00B9029A" w:rsidRDefault="00B9029A" w:rsidP="001C590E">
      <w:pPr>
        <w:pStyle w:val="Dash"/>
      </w:pPr>
      <w:r w:rsidRPr="008B3803">
        <w:t>increase the Medicare levy surcharge low</w:t>
      </w:r>
      <w:r w:rsidRPr="008B3803">
        <w:noBreakHyphen/>
        <w:t>income threshold in line with movements in the consumer price index</w:t>
      </w:r>
      <w:r>
        <w:t>; and</w:t>
      </w:r>
    </w:p>
    <w:p w:rsidR="00B9029A" w:rsidRDefault="00B9029A" w:rsidP="001C590E">
      <w:pPr>
        <w:pStyle w:val="Bullet"/>
      </w:pPr>
      <w:r>
        <w:t xml:space="preserve">the </w:t>
      </w:r>
      <w:r w:rsidRPr="00B2413E">
        <w:rPr>
          <w:i/>
        </w:rPr>
        <w:t>Clean Energy (Tax Laws Amendments) Act 2011</w:t>
      </w:r>
      <w:r>
        <w:t xml:space="preserve"> to:</w:t>
      </w:r>
    </w:p>
    <w:p w:rsidR="00B9029A" w:rsidRPr="008B3803" w:rsidRDefault="00B9029A" w:rsidP="001C590E">
      <w:pPr>
        <w:pStyle w:val="Dash"/>
      </w:pPr>
      <w:r>
        <w:t>reflect minor consequential amendments.</w:t>
      </w:r>
    </w:p>
    <w:p w:rsidR="00B9029A" w:rsidRDefault="00B9029A" w:rsidP="001C590E">
      <w:pPr>
        <w:pStyle w:val="base-text-paragraphnonumbers"/>
      </w:pPr>
      <w:r w:rsidRPr="0088195E">
        <w:rPr>
          <w:rStyle w:val="BoldItalic"/>
        </w:rPr>
        <w:t>Date of effect</w:t>
      </w:r>
      <w:r w:rsidRPr="00266048">
        <w:rPr>
          <w:rStyle w:val="base-text-paragraphChar"/>
        </w:rPr>
        <w:t xml:space="preserve">:  </w:t>
      </w:r>
      <w:r w:rsidRPr="00F60C59">
        <w:t xml:space="preserve">The increased Medicare levy and Medicare levy surcharge </w:t>
      </w:r>
      <w:r>
        <w:t>low-income thresholds apply for the 2011</w:t>
      </w:r>
      <w:r>
        <w:noBreakHyphen/>
      </w:r>
      <w:r w:rsidRPr="00F60C59">
        <w:t>1</w:t>
      </w:r>
      <w:r>
        <w:t>2</w:t>
      </w:r>
      <w:r w:rsidRPr="00F60C59">
        <w:t xml:space="preserve"> income year.  The increased thresholds, which reflect changes in the consumer price index, ensure th</w:t>
      </w:r>
      <w:r>
        <w:t>at</w:t>
      </w:r>
      <w:r w:rsidRPr="00F60C59">
        <w:t xml:space="preserve"> relevant taxpayers do not incur a liability to the Medicare levy or Medicare levy surcharge.  There are no adverse effects on taxpayers.  </w:t>
      </w:r>
    </w:p>
    <w:p w:rsidR="00B9029A" w:rsidRDefault="00B9029A" w:rsidP="001C590E">
      <w:pPr>
        <w:pStyle w:val="base-text-paragraphnonumbers"/>
      </w:pPr>
      <w:r w:rsidRPr="0088195E">
        <w:rPr>
          <w:rStyle w:val="BoldItalic"/>
        </w:rPr>
        <w:t>Proposal announced</w:t>
      </w:r>
      <w:r w:rsidRPr="00266048">
        <w:rPr>
          <w:rStyle w:val="base-text-paragraphChar"/>
        </w:rPr>
        <w:t xml:space="preserve">:  </w:t>
      </w:r>
      <w:r>
        <w:t>This measure was announced in the 2012</w:t>
      </w:r>
      <w:r>
        <w:noBreakHyphen/>
        <w:t>13 Budget.</w:t>
      </w:r>
    </w:p>
    <w:p w:rsidR="00B9029A" w:rsidRDefault="00B9029A" w:rsidP="001C590E">
      <w:pPr>
        <w:pStyle w:val="base-text-paragraphnonumbers"/>
      </w:pPr>
      <w:r w:rsidRPr="0088195E">
        <w:rPr>
          <w:rStyle w:val="BoldItalic"/>
        </w:rPr>
        <w:t>Financial impact</w:t>
      </w:r>
      <w:r w:rsidRPr="00266048">
        <w:rPr>
          <w:rStyle w:val="base-text-paragraphChar"/>
        </w:rPr>
        <w:t xml:space="preserve">:  </w:t>
      </w:r>
      <w:r>
        <w:t>This measure will have these revenue implications: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1347"/>
        <w:gridCol w:w="1348"/>
        <w:gridCol w:w="1348"/>
      </w:tblGrid>
      <w:tr w:rsidR="00B9029A" w:rsidRPr="009A02B4" w:rsidTr="001C590E">
        <w:tc>
          <w:tcPr>
            <w:tcW w:w="1348" w:type="dxa"/>
          </w:tcPr>
          <w:p w:rsidR="00B9029A" w:rsidRPr="008B3803" w:rsidRDefault="00B9029A" w:rsidP="001C590E">
            <w:pPr>
              <w:pStyle w:val="tableheaderwithintable"/>
            </w:pPr>
            <w:r w:rsidRPr="008B3803">
              <w:t>2012-13</w:t>
            </w:r>
          </w:p>
        </w:tc>
        <w:tc>
          <w:tcPr>
            <w:tcW w:w="1347" w:type="dxa"/>
          </w:tcPr>
          <w:p w:rsidR="00B9029A" w:rsidRPr="008B3803" w:rsidRDefault="00B9029A" w:rsidP="001C590E">
            <w:pPr>
              <w:pStyle w:val="tableheaderwithintable"/>
            </w:pPr>
            <w:r w:rsidRPr="008B3803">
              <w:t>2013-14</w:t>
            </w:r>
          </w:p>
        </w:tc>
        <w:tc>
          <w:tcPr>
            <w:tcW w:w="1348" w:type="dxa"/>
          </w:tcPr>
          <w:p w:rsidR="00B9029A" w:rsidRPr="008B3803" w:rsidRDefault="00B9029A" w:rsidP="001C590E">
            <w:pPr>
              <w:pStyle w:val="tableheaderwithintable"/>
            </w:pPr>
            <w:r w:rsidRPr="008B3803">
              <w:t>2014-15</w:t>
            </w:r>
          </w:p>
        </w:tc>
        <w:tc>
          <w:tcPr>
            <w:tcW w:w="1348" w:type="dxa"/>
          </w:tcPr>
          <w:p w:rsidR="00B9029A" w:rsidRPr="008B3803" w:rsidRDefault="00B9029A" w:rsidP="001C590E">
            <w:pPr>
              <w:pStyle w:val="tableheaderwithintable"/>
            </w:pPr>
            <w:r w:rsidRPr="008B3803">
              <w:t>2015-16</w:t>
            </w:r>
          </w:p>
        </w:tc>
      </w:tr>
      <w:tr w:rsidR="00B9029A" w:rsidRPr="009A02B4" w:rsidTr="001C590E">
        <w:tc>
          <w:tcPr>
            <w:tcW w:w="1348" w:type="dxa"/>
          </w:tcPr>
          <w:p w:rsidR="00B9029A" w:rsidRPr="00C7426C" w:rsidRDefault="00B9029A" w:rsidP="001C590E">
            <w:pPr>
              <w:pStyle w:val="tabletext"/>
              <w:jc w:val="center"/>
            </w:pPr>
            <w:r w:rsidRPr="00C7426C">
              <w:t>–$50m</w:t>
            </w:r>
          </w:p>
        </w:tc>
        <w:tc>
          <w:tcPr>
            <w:tcW w:w="1347" w:type="dxa"/>
          </w:tcPr>
          <w:p w:rsidR="00B9029A" w:rsidRPr="00C7426C" w:rsidRDefault="00B9029A" w:rsidP="001C590E">
            <w:pPr>
              <w:pStyle w:val="tabletext"/>
              <w:jc w:val="center"/>
            </w:pPr>
            <w:r w:rsidRPr="00C7426C">
              <w:t>–$12m</w:t>
            </w:r>
          </w:p>
        </w:tc>
        <w:tc>
          <w:tcPr>
            <w:tcW w:w="1348" w:type="dxa"/>
          </w:tcPr>
          <w:p w:rsidR="00B9029A" w:rsidRPr="00C7426C" w:rsidRDefault="00B9029A" w:rsidP="001C590E">
            <w:pPr>
              <w:pStyle w:val="tabletext"/>
              <w:jc w:val="center"/>
            </w:pPr>
            <w:r w:rsidRPr="00C7426C">
              <w:t>–$12m</w:t>
            </w:r>
          </w:p>
        </w:tc>
        <w:tc>
          <w:tcPr>
            <w:tcW w:w="1348" w:type="dxa"/>
          </w:tcPr>
          <w:p w:rsidR="00B9029A" w:rsidRPr="00C7426C" w:rsidRDefault="00B9029A" w:rsidP="001C590E">
            <w:pPr>
              <w:pStyle w:val="tabletext"/>
              <w:jc w:val="center"/>
            </w:pPr>
            <w:r w:rsidRPr="00C7426C">
              <w:t>–$11m</w:t>
            </w:r>
          </w:p>
        </w:tc>
      </w:tr>
    </w:tbl>
    <w:p w:rsidR="00B9029A" w:rsidRDefault="00B9029A" w:rsidP="001C590E">
      <w:pPr>
        <w:pStyle w:val="base-text-paragraphnonumbers"/>
      </w:pPr>
      <w:r>
        <w:rPr>
          <w:rStyle w:val="BoldItalic"/>
        </w:rPr>
        <w:lastRenderedPageBreak/>
        <w:t>Human rights implications</w:t>
      </w:r>
      <w:r w:rsidRPr="00D93657">
        <w:t>:</w:t>
      </w:r>
      <w:r>
        <w:t xml:space="preserve">  </w:t>
      </w:r>
      <w:r w:rsidRPr="00D93657">
        <w:t xml:space="preserve">This </w:t>
      </w:r>
      <w:r>
        <w:t xml:space="preserve">Bill does not raise </w:t>
      </w:r>
      <w:r w:rsidRPr="00D93657">
        <w:t xml:space="preserve">any human rights issue. </w:t>
      </w:r>
      <w:r w:rsidRPr="00BB1DA7">
        <w:t xml:space="preserve">See </w:t>
      </w:r>
      <w:r w:rsidRPr="00BB1DA7">
        <w:rPr>
          <w:i/>
        </w:rPr>
        <w:t>Statement of Compatibility with Human Rights</w:t>
      </w:r>
      <w:r w:rsidRPr="00BB1DA7">
        <w:t xml:space="preserve"> — Chapter 1, paragraphs 1.24 to 1.27.</w:t>
      </w:r>
    </w:p>
    <w:p w:rsidR="00B9029A" w:rsidRDefault="00B9029A" w:rsidP="001C590E">
      <w:pPr>
        <w:pStyle w:val="base-text-paragraphnonumbers"/>
      </w:pPr>
      <w:r w:rsidRPr="0088195E">
        <w:rPr>
          <w:rStyle w:val="BoldItalic"/>
        </w:rPr>
        <w:t>Compliance cost impact</w:t>
      </w:r>
      <w:r w:rsidRPr="00266048">
        <w:rPr>
          <w:rStyle w:val="base-text-paragraphChar"/>
        </w:rPr>
        <w:t xml:space="preserve">:  </w:t>
      </w:r>
      <w:r>
        <w:t>Negligible</w:t>
      </w:r>
      <w:r w:rsidR="00A26A98">
        <w:t>.</w:t>
      </w:r>
      <w:bookmarkStart w:id="2" w:name="_GoBack"/>
      <w:bookmarkEnd w:id="2"/>
    </w:p>
    <w:p w:rsidR="00713DF0" w:rsidRDefault="00713DF0" w:rsidP="001C590E">
      <w:pPr>
        <w:pStyle w:val="ChapterHeading"/>
        <w:sectPr w:rsidR="00713DF0" w:rsidSect="001C590E">
          <w:headerReference w:type="even" r:id="rId25"/>
          <w:headerReference w:type="default" r:id="rId26"/>
          <w:footerReference w:type="even" r:id="rId27"/>
          <w:footerReference w:type="default" r:id="rId28"/>
          <w:headerReference w:type="first" r:id="rId29"/>
          <w:footerReference w:type="first" r:id="rId30"/>
          <w:type w:val="oddPage"/>
          <w:pgSz w:w="11906" w:h="16838" w:code="9"/>
          <w:pgMar w:top="2466" w:right="2098" w:bottom="2466" w:left="2098" w:header="1559" w:footer="1899" w:gutter="0"/>
          <w:cols w:space="708"/>
          <w:titlePg/>
          <w:docGrid w:linePitch="360"/>
        </w:sectPr>
      </w:pPr>
    </w:p>
    <w:p w:rsidR="00B9029A" w:rsidRPr="00F51A71" w:rsidRDefault="00B9029A" w:rsidP="001C590E">
      <w:pPr>
        <w:pStyle w:val="ChapterHeading"/>
      </w:pPr>
      <w:r w:rsidRPr="00F51A71">
        <w:lastRenderedPageBreak/>
        <w:br/>
      </w:r>
      <w:bookmarkStart w:id="3" w:name="_Toc321989023"/>
      <w:bookmarkStart w:id="4" w:name="_Toc322686187"/>
      <w:r>
        <w:t>Medicare levy and Medicare levy surcharge low</w:t>
      </w:r>
      <w:r>
        <w:noBreakHyphen/>
        <w:t>income thresholds</w:t>
      </w:r>
      <w:bookmarkEnd w:id="3"/>
      <w:bookmarkEnd w:id="4"/>
    </w:p>
    <w:p w:rsidR="00B9029A" w:rsidRDefault="00B9029A" w:rsidP="001C590E">
      <w:pPr>
        <w:pStyle w:val="Heading2"/>
      </w:pPr>
      <w:r>
        <w:t>Outline of chapter</w:t>
      </w:r>
    </w:p>
    <w:p w:rsidR="00B9029A" w:rsidRDefault="00B9029A" w:rsidP="001C590E">
      <w:pPr>
        <w:pStyle w:val="base-text-paragraph"/>
      </w:pPr>
      <w:r w:rsidRPr="00A70AC7">
        <w:t xml:space="preserve">This Bill amends the </w:t>
      </w:r>
      <w:r w:rsidRPr="00A70AC7">
        <w:rPr>
          <w:i/>
        </w:rPr>
        <w:t>Medicare Levy Act 1986</w:t>
      </w:r>
      <w:r w:rsidRPr="00A70AC7">
        <w:t xml:space="preserve"> and the </w:t>
      </w:r>
      <w:r w:rsidRPr="00A70AC7">
        <w:rPr>
          <w:i/>
        </w:rPr>
        <w:t>A New Tax System (Medicare Levy Surcharge-Fringe Benefits) Act 1999</w:t>
      </w:r>
      <w:r w:rsidRPr="00A70AC7">
        <w:t xml:space="preserve"> to increase the Medicare levy and Medicare levy surcharge low</w:t>
      </w:r>
      <w:r w:rsidRPr="00A70AC7">
        <w:noBreakHyphen/>
        <w:t xml:space="preserve">income threshold amounts (threshold amounts) for individuals, families and pensioners below </w:t>
      </w:r>
      <w:r>
        <w:t>A</w:t>
      </w:r>
      <w:r w:rsidRPr="00A70AC7">
        <w:t xml:space="preserve">ge </w:t>
      </w:r>
      <w:r>
        <w:t>P</w:t>
      </w:r>
      <w:r w:rsidRPr="00A70AC7">
        <w:t>ension age</w:t>
      </w:r>
      <w:r>
        <w:t xml:space="preserve">.  </w:t>
      </w:r>
      <w:r w:rsidRPr="00A70AC7">
        <w:t>It also increases the phase</w:t>
      </w:r>
      <w:r w:rsidRPr="00A70AC7">
        <w:noBreakHyphen/>
        <w:t>in limits as a result of the increased threshold amounts.</w:t>
      </w:r>
    </w:p>
    <w:p w:rsidR="00B9029A" w:rsidRPr="00A70AC7" w:rsidRDefault="00B9029A" w:rsidP="001C590E">
      <w:pPr>
        <w:pStyle w:val="base-text-paragraph"/>
      </w:pPr>
      <w:r>
        <w:t xml:space="preserve">This Bill also makes minor consequential amendments to the </w:t>
      </w:r>
      <w:r w:rsidRPr="00D31F87">
        <w:rPr>
          <w:i/>
        </w:rPr>
        <w:t>Clean Energy (Tax Laws Amendments) Act 2011</w:t>
      </w:r>
      <w:r>
        <w:t>, to reflect the amendments to the threshold amounts for 2011</w:t>
      </w:r>
      <w:r>
        <w:noBreakHyphen/>
        <w:t xml:space="preserve">12.  These consequential amendments do not have any operative effect.  </w:t>
      </w:r>
    </w:p>
    <w:p w:rsidR="00B9029A" w:rsidRDefault="00B9029A" w:rsidP="001C590E">
      <w:pPr>
        <w:pStyle w:val="Heading2"/>
      </w:pPr>
      <w:r>
        <w:t>Context of amendments</w:t>
      </w:r>
    </w:p>
    <w:p w:rsidR="00B9029A" w:rsidRPr="00A70AC7" w:rsidRDefault="00B9029A" w:rsidP="001C590E">
      <w:pPr>
        <w:pStyle w:val="Heading3"/>
      </w:pPr>
      <w:r>
        <w:t>Medicare levy low</w:t>
      </w:r>
      <w:r>
        <w:noBreakHyphen/>
        <w:t>income thresholds</w:t>
      </w:r>
    </w:p>
    <w:p w:rsidR="00B9029A" w:rsidRDefault="00B9029A" w:rsidP="001C590E">
      <w:pPr>
        <w:pStyle w:val="base-text-paragraph"/>
      </w:pPr>
      <w:r w:rsidRPr="00A70AC7">
        <w:t xml:space="preserve">The </w:t>
      </w:r>
      <w:r w:rsidRPr="00A70AC7">
        <w:rPr>
          <w:i/>
        </w:rPr>
        <w:t>Medicare Levy Act 1986</w:t>
      </w:r>
      <w:r w:rsidRPr="00A70AC7">
        <w:t xml:space="preserve"> provides that no Medicare levy is payable </w:t>
      </w:r>
      <w:r>
        <w:t>by</w:t>
      </w:r>
      <w:r w:rsidRPr="00A70AC7">
        <w:t xml:space="preserve"> low</w:t>
      </w:r>
      <w:r w:rsidRPr="00A70AC7">
        <w:noBreakHyphen/>
        <w:t xml:space="preserve">income individuals and families where </w:t>
      </w:r>
      <w:r>
        <w:t xml:space="preserve">their </w:t>
      </w:r>
      <w:r w:rsidRPr="00A70AC7">
        <w:t xml:space="preserve">taxable income or combined family taxable income does not exceed </w:t>
      </w:r>
      <w:r>
        <w:t xml:space="preserve">the </w:t>
      </w:r>
      <w:r w:rsidRPr="00A70AC7">
        <w:t>stated threshold amounts</w:t>
      </w:r>
      <w:r>
        <w:t xml:space="preserve">.  </w:t>
      </w:r>
      <w:r w:rsidRPr="00A70AC7">
        <w:t>The family income threshold increases by a set amount per child</w:t>
      </w:r>
      <w:r>
        <w:t xml:space="preserve">.  </w:t>
      </w:r>
      <w:r w:rsidRPr="00A70AC7">
        <w:t>The Medicare levy phases</w:t>
      </w:r>
      <w:r>
        <w:t xml:space="preserve"> </w:t>
      </w:r>
      <w:r w:rsidRPr="00A70AC7">
        <w:t xml:space="preserve">in at a </w:t>
      </w:r>
      <w:r w:rsidRPr="00061217">
        <w:t>rate of 10 cents in the dollar</w:t>
      </w:r>
      <w:r w:rsidRPr="00A70AC7">
        <w:t xml:space="preserve"> where the taxable income or combined family taxable income exceeds the threshold amounts</w:t>
      </w:r>
      <w:r>
        <w:t xml:space="preserve"> (section 7 </w:t>
      </w:r>
      <w:r w:rsidRPr="00A70AC7">
        <w:t xml:space="preserve">of the </w:t>
      </w:r>
      <w:r w:rsidRPr="00A70AC7">
        <w:rPr>
          <w:i/>
        </w:rPr>
        <w:t>Medicare Levy Act 1986</w:t>
      </w:r>
      <w:r w:rsidRPr="00A70AC7">
        <w:t>).</w:t>
      </w:r>
    </w:p>
    <w:p w:rsidR="00B9029A" w:rsidRDefault="00B9029A" w:rsidP="001C590E">
      <w:pPr>
        <w:pStyle w:val="Heading3"/>
      </w:pPr>
      <w:r>
        <w:t>Medicare levy surcharge low</w:t>
      </w:r>
      <w:r>
        <w:noBreakHyphen/>
        <w:t>income threshold</w:t>
      </w:r>
    </w:p>
    <w:p w:rsidR="00B9029A" w:rsidRDefault="00B9029A" w:rsidP="001C590E">
      <w:pPr>
        <w:pStyle w:val="base-text-paragraph"/>
      </w:pPr>
      <w:r w:rsidRPr="00A70AC7">
        <w:t xml:space="preserve">A Medicare levy surcharge (the surcharge) </w:t>
      </w:r>
      <w:r w:rsidRPr="00061217">
        <w:t>of 1 per cent applies</w:t>
      </w:r>
      <w:r w:rsidRPr="00A70AC7">
        <w:t xml:space="preserve"> on taxable income in certain cases where taxpayers do not have appropriate private patient hospital cover (sections 8B to 8G of the </w:t>
      </w:r>
      <w:r w:rsidRPr="00A70AC7">
        <w:rPr>
          <w:i/>
        </w:rPr>
        <w:t>Medicare Levy Act 1986</w:t>
      </w:r>
      <w:r w:rsidRPr="00A70AC7">
        <w:t>)</w:t>
      </w:r>
      <w:r>
        <w:t xml:space="preserve">.  </w:t>
      </w:r>
      <w:r w:rsidRPr="00A70AC7">
        <w:t xml:space="preserve">The surcharge of 1 per cent also applies to reportable fringe benefits in certain cases where taxpayers do not have appropriate private patient hospital cover (sections 12 to 16 of the </w:t>
      </w:r>
      <w:r w:rsidRPr="00A70AC7">
        <w:rPr>
          <w:i/>
        </w:rPr>
        <w:t>A New Tax System (Medicare Levy Surcharge</w:t>
      </w:r>
      <w:r w:rsidRPr="00A70AC7">
        <w:rPr>
          <w:i/>
        </w:rPr>
        <w:noBreakHyphen/>
        <w:t>Fringe Benefits) Act 1999</w:t>
      </w:r>
      <w:r w:rsidRPr="00A70AC7">
        <w:t>)</w:t>
      </w:r>
      <w:r>
        <w:t xml:space="preserve">.  </w:t>
      </w:r>
    </w:p>
    <w:p w:rsidR="00B9029A" w:rsidRDefault="00B9029A" w:rsidP="001C590E">
      <w:pPr>
        <w:pStyle w:val="base-text-paragraph"/>
      </w:pPr>
      <w:r>
        <w:lastRenderedPageBreak/>
        <w:t>A</w:t>
      </w:r>
      <w:r w:rsidRPr="00A70AC7">
        <w:t xml:space="preserve"> family member who would otherwise be liable for the surcharge is not required to pay the surcharge where the total of that person’s income for surcharge purposes does not exceed the individual low</w:t>
      </w:r>
      <w:r w:rsidRPr="00A70AC7">
        <w:noBreakHyphen/>
        <w:t>income threshold amount</w:t>
      </w:r>
      <w:r>
        <w:t xml:space="preserve">.  </w:t>
      </w:r>
      <w:r w:rsidRPr="00A70AC7">
        <w:t>Unlike the Medicare levy, there is no phasing-in of the surcharge above the threshold amount</w:t>
      </w:r>
      <w:r>
        <w:t xml:space="preserve">.  </w:t>
      </w:r>
    </w:p>
    <w:p w:rsidR="00B9029A" w:rsidRDefault="00B9029A" w:rsidP="001C590E">
      <w:pPr>
        <w:pStyle w:val="Heading2"/>
      </w:pPr>
      <w:r>
        <w:t>Summary of new law</w:t>
      </w:r>
    </w:p>
    <w:p w:rsidR="00B9029A" w:rsidRDefault="00B9029A" w:rsidP="001C590E">
      <w:pPr>
        <w:pStyle w:val="base-text-paragraph"/>
      </w:pPr>
      <w:r>
        <w:t>This Bill amends:</w:t>
      </w:r>
    </w:p>
    <w:p w:rsidR="00B9029A" w:rsidRPr="00207EF7" w:rsidRDefault="00B9029A" w:rsidP="001C590E">
      <w:pPr>
        <w:pStyle w:val="Bullet"/>
      </w:pPr>
      <w:r w:rsidRPr="0059421D">
        <w:t xml:space="preserve">subsections 3(1) and 8(5) to (7) of the </w:t>
      </w:r>
      <w:r w:rsidRPr="0059421D">
        <w:rPr>
          <w:i/>
        </w:rPr>
        <w:t>Medicare</w:t>
      </w:r>
      <w:r w:rsidRPr="00207EF7">
        <w:rPr>
          <w:i/>
        </w:rPr>
        <w:t xml:space="preserve"> Levy Act 1986</w:t>
      </w:r>
      <w:r w:rsidRPr="00207EF7">
        <w:t xml:space="preserve"> to raise the threshold amounts and phase</w:t>
      </w:r>
      <w:r w:rsidRPr="00207EF7">
        <w:noBreakHyphen/>
        <w:t xml:space="preserve">in limits for individuals, families and pensioners who are under </w:t>
      </w:r>
      <w:r>
        <w:t>A</w:t>
      </w:r>
      <w:r w:rsidRPr="00207EF7">
        <w:t xml:space="preserve">ge </w:t>
      </w:r>
      <w:r>
        <w:t>P</w:t>
      </w:r>
      <w:r w:rsidRPr="00207EF7">
        <w:t>ension age;</w:t>
      </w:r>
    </w:p>
    <w:p w:rsidR="00B9029A" w:rsidRPr="00207EF7" w:rsidRDefault="00B9029A" w:rsidP="001C590E">
      <w:pPr>
        <w:pStyle w:val="Bullet"/>
      </w:pPr>
      <w:r w:rsidRPr="00CE1427">
        <w:t xml:space="preserve">paragraphs 8D(3)(c) and 8G(2)(c) and subparagraphs 8D(4)(a)(ii) and 8G(3)(a)(ii) of the </w:t>
      </w:r>
      <w:r w:rsidRPr="00CE1427">
        <w:rPr>
          <w:i/>
        </w:rPr>
        <w:t>Medicare Levy Act 1986</w:t>
      </w:r>
      <w:r w:rsidRPr="00CE1427">
        <w:t xml:space="preserve"> to raise</w:t>
      </w:r>
      <w:r w:rsidRPr="00207EF7">
        <w:t xml:space="preserve"> the threshold below which a family member is not required to pay the surcharge on taxable income; and</w:t>
      </w:r>
    </w:p>
    <w:p w:rsidR="00B9029A" w:rsidRPr="00207EF7" w:rsidRDefault="00B9029A" w:rsidP="001C590E">
      <w:pPr>
        <w:pStyle w:val="Bullet"/>
      </w:pPr>
      <w:r w:rsidRPr="00CE1427">
        <w:t xml:space="preserve">paragraphs 15(1)(c) and 16(2)(c) of the </w:t>
      </w:r>
      <w:r w:rsidRPr="00CE1427">
        <w:rPr>
          <w:i/>
        </w:rPr>
        <w:t>A New Tax System (Medicare Levy Surcharge-Fringe Benefits) Act 1999</w:t>
      </w:r>
      <w:r w:rsidRPr="00CE1427">
        <w:t xml:space="preserve"> to</w:t>
      </w:r>
      <w:r w:rsidRPr="00207EF7">
        <w:t xml:space="preserve"> raise the threshold below which a family member is not required to pay the surcharge on reportable fringe benefits.</w:t>
      </w:r>
    </w:p>
    <w:p w:rsidR="00B9029A" w:rsidRDefault="00B9029A" w:rsidP="001C590E">
      <w:pPr>
        <w:pStyle w:val="Heading2"/>
      </w:pPr>
      <w:r>
        <w:t>Detailed explanation of new law</w:t>
      </w:r>
    </w:p>
    <w:p w:rsidR="00B9029A" w:rsidRPr="00233BFA" w:rsidRDefault="00B9029A" w:rsidP="001C590E">
      <w:pPr>
        <w:pStyle w:val="Heading3"/>
      </w:pPr>
      <w:r>
        <w:t>Medicare levy low-income thresholds</w:t>
      </w:r>
    </w:p>
    <w:p w:rsidR="00B9029A" w:rsidRDefault="00B9029A" w:rsidP="001C590E">
      <w:pPr>
        <w:pStyle w:val="base-text-paragraph"/>
      </w:pPr>
      <w:r>
        <w:t xml:space="preserve">This Bill increases </w:t>
      </w:r>
      <w:r w:rsidRPr="00207EF7">
        <w:t>the low</w:t>
      </w:r>
      <w:r w:rsidRPr="00207EF7">
        <w:noBreakHyphen/>
        <w:t>income thresholds for individuals and families for the 2011</w:t>
      </w:r>
      <w:r w:rsidRPr="00207EF7">
        <w:noBreakHyphen/>
        <w:t>12 year of income</w:t>
      </w:r>
      <w:r>
        <w:t xml:space="preserve">.  </w:t>
      </w:r>
      <w:r w:rsidRPr="00207EF7">
        <w:t>The increases are in line with movements in the consumer price index.</w:t>
      </w:r>
    </w:p>
    <w:p w:rsidR="00B9029A" w:rsidRPr="00CE1427" w:rsidRDefault="00B9029A" w:rsidP="001C590E">
      <w:pPr>
        <w:pStyle w:val="base-text-paragraph"/>
      </w:pPr>
      <w:r w:rsidRPr="00CE1427">
        <w:t xml:space="preserve">Section 7 of the </w:t>
      </w:r>
      <w:r w:rsidRPr="00CE1427">
        <w:rPr>
          <w:i/>
        </w:rPr>
        <w:t>Medicare Levy Act 1986</w:t>
      </w:r>
      <w:r w:rsidRPr="00CE1427">
        <w:t xml:space="preserve"> states that no levy is payable where a taxpayer has a taxable income at or below the applicable threshold amount as specified in subsection 3(1).</w:t>
      </w:r>
    </w:p>
    <w:p w:rsidR="00B9029A" w:rsidRPr="00B2413E" w:rsidRDefault="00B9029A" w:rsidP="001C590E">
      <w:pPr>
        <w:pStyle w:val="base-text-paragraph"/>
      </w:pPr>
      <w:r>
        <w:t xml:space="preserve">The </w:t>
      </w:r>
      <w:r w:rsidRPr="00BD1DD4">
        <w:t xml:space="preserve">individual threshold amount specified </w:t>
      </w:r>
      <w:r w:rsidRPr="00CE1427">
        <w:t xml:space="preserve">in paragraph (c) of the definition of the ‘threshold amount’ in subsection 3(1) of the </w:t>
      </w:r>
      <w:r w:rsidRPr="00CE1427">
        <w:rPr>
          <w:i/>
        </w:rPr>
        <w:t>Medicare Levy Act 1986</w:t>
      </w:r>
      <w:r w:rsidRPr="00CE1427">
        <w:t xml:space="preserve"> is to be increased from $18,839 to $19,404</w:t>
      </w:r>
      <w:r>
        <w:t xml:space="preserve">.  </w:t>
      </w:r>
      <w:r w:rsidRPr="00B2413E">
        <w:rPr>
          <w:b/>
          <w:i/>
          <w:sz w:val="18"/>
          <w:szCs w:val="18"/>
        </w:rPr>
        <w:t>[Schedule 1, item 5]</w:t>
      </w:r>
    </w:p>
    <w:p w:rsidR="00B9029A" w:rsidRPr="00BD1DD4" w:rsidRDefault="00B9029A" w:rsidP="001C590E">
      <w:pPr>
        <w:pStyle w:val="base-text-paragraph"/>
        <w:rPr>
          <w:szCs w:val="22"/>
        </w:rPr>
      </w:pPr>
      <w:r w:rsidRPr="00CE1427">
        <w:rPr>
          <w:szCs w:val="22"/>
        </w:rPr>
        <w:lastRenderedPageBreak/>
        <w:t xml:space="preserve">The level of </w:t>
      </w:r>
      <w:r w:rsidRPr="00CE1427">
        <w:t xml:space="preserve">the ‘family income threshold’ referred to in subsections 8(5) to (7) of the </w:t>
      </w:r>
      <w:r w:rsidRPr="00CE1427">
        <w:rPr>
          <w:i/>
        </w:rPr>
        <w:t>Medicare Levy Act 1986</w:t>
      </w:r>
      <w:r w:rsidRPr="00CE1427">
        <w:t xml:space="preserve"> is to be increased from $31,789 to $32,743</w:t>
      </w:r>
      <w:r>
        <w:t xml:space="preserve">.  </w:t>
      </w:r>
      <w:r w:rsidRPr="00B2413E">
        <w:t>The family income threshold is to be increased by a further $3,007 instead of the previous figure of $2,919 for each dependent child or student</w:t>
      </w:r>
      <w:r>
        <w:t xml:space="preserve">. </w:t>
      </w:r>
      <w:r w:rsidRPr="00B2413E">
        <w:t xml:space="preserve"> </w:t>
      </w:r>
      <w:r w:rsidRPr="00B2413E">
        <w:rPr>
          <w:b/>
          <w:i/>
          <w:sz w:val="18"/>
          <w:szCs w:val="18"/>
        </w:rPr>
        <w:t>[Schedule 1, item</w:t>
      </w:r>
      <w:r>
        <w:rPr>
          <w:b/>
          <w:i/>
          <w:sz w:val="18"/>
          <w:szCs w:val="18"/>
        </w:rPr>
        <w:t>s</w:t>
      </w:r>
      <w:r w:rsidRPr="00B2413E">
        <w:rPr>
          <w:b/>
          <w:i/>
          <w:sz w:val="18"/>
          <w:szCs w:val="18"/>
        </w:rPr>
        <w:t xml:space="preserve"> </w:t>
      </w:r>
      <w:r>
        <w:rPr>
          <w:b/>
          <w:i/>
          <w:sz w:val="18"/>
          <w:szCs w:val="18"/>
        </w:rPr>
        <w:t>6 to 8</w:t>
      </w:r>
      <w:r w:rsidRPr="00B2413E">
        <w:rPr>
          <w:b/>
          <w:i/>
          <w:sz w:val="18"/>
          <w:szCs w:val="18"/>
        </w:rPr>
        <w:t>]</w:t>
      </w:r>
    </w:p>
    <w:p w:rsidR="00B9029A" w:rsidRPr="00BD1DD4" w:rsidRDefault="00B9029A" w:rsidP="001C590E">
      <w:pPr>
        <w:pStyle w:val="base-text-paragraph"/>
        <w:rPr>
          <w:szCs w:val="22"/>
        </w:rPr>
      </w:pPr>
      <w:r>
        <w:t xml:space="preserve">This Bill </w:t>
      </w:r>
      <w:r w:rsidRPr="00BD1DD4">
        <w:t>also proposes to increase the threshold amount for pensioners below age pension age for the 201</w:t>
      </w:r>
      <w:r>
        <w:t>1</w:t>
      </w:r>
      <w:r w:rsidRPr="00BD1DD4">
        <w:noBreakHyphen/>
        <w:t>1</w:t>
      </w:r>
      <w:r>
        <w:t xml:space="preserve">2 income year.  </w:t>
      </w:r>
      <w:r w:rsidRPr="00BD1DD4">
        <w:t>The increase ensures that such pensioners do not have a Medicare levy liability where they face no income tax liability</w:t>
      </w:r>
      <w:r>
        <w:t xml:space="preserve">.  </w:t>
      </w:r>
    </w:p>
    <w:p w:rsidR="00B9029A" w:rsidRPr="00BD1DD4" w:rsidRDefault="00B9029A" w:rsidP="001C590E">
      <w:pPr>
        <w:pStyle w:val="base-text-paragraph"/>
        <w:rPr>
          <w:szCs w:val="22"/>
        </w:rPr>
      </w:pPr>
      <w:r>
        <w:rPr>
          <w:szCs w:val="22"/>
        </w:rPr>
        <w:t xml:space="preserve">The threshold </w:t>
      </w:r>
      <w:r w:rsidRPr="00BD1DD4">
        <w:t>amoun</w:t>
      </w:r>
      <w:r>
        <w:t>t for pensioners who are under Age P</w:t>
      </w:r>
      <w:r w:rsidRPr="00BD1DD4">
        <w:t xml:space="preserve">ension age specified in paragraph (b) of the definition of the ‘threshold amount’ in </w:t>
      </w:r>
      <w:r w:rsidRPr="00CE1427">
        <w:t xml:space="preserve">subsection 3(1) of the </w:t>
      </w:r>
      <w:r w:rsidRPr="00CE1427">
        <w:rPr>
          <w:i/>
        </w:rPr>
        <w:t>Medicare Levy Act</w:t>
      </w:r>
      <w:r w:rsidRPr="00BD1DD4">
        <w:rPr>
          <w:i/>
        </w:rPr>
        <w:t xml:space="preserve"> 1986</w:t>
      </w:r>
      <w:r w:rsidRPr="00BD1DD4">
        <w:t xml:space="preserve"> is to be increased from </w:t>
      </w:r>
      <w:r w:rsidRPr="00CE1427">
        <w:t>$30,439 to $30,451</w:t>
      </w:r>
      <w:r>
        <w:t xml:space="preserve">.  </w:t>
      </w:r>
      <w:r w:rsidRPr="00B2413E">
        <w:rPr>
          <w:b/>
          <w:i/>
          <w:sz w:val="18"/>
          <w:szCs w:val="18"/>
        </w:rPr>
        <w:t>[Schedule 1, item 4]</w:t>
      </w:r>
    </w:p>
    <w:p w:rsidR="00B9029A" w:rsidRDefault="00B9029A" w:rsidP="001C590E">
      <w:pPr>
        <w:pStyle w:val="Heading3"/>
      </w:pPr>
      <w:r>
        <w:t>Phase</w:t>
      </w:r>
      <w:r>
        <w:noBreakHyphen/>
        <w:t>in limit</w:t>
      </w:r>
    </w:p>
    <w:p w:rsidR="00B9029A" w:rsidRPr="00BD1DD4" w:rsidRDefault="00B9029A" w:rsidP="001C590E">
      <w:pPr>
        <w:pStyle w:val="base-text-paragraph"/>
        <w:rPr>
          <w:szCs w:val="22"/>
        </w:rPr>
      </w:pPr>
      <w:r w:rsidRPr="00CE1427">
        <w:t xml:space="preserve">Section 7 of the </w:t>
      </w:r>
      <w:r w:rsidRPr="00CE1427">
        <w:rPr>
          <w:i/>
        </w:rPr>
        <w:t>Medicare Levy Act 1986</w:t>
      </w:r>
      <w:r w:rsidRPr="00BD1DD4">
        <w:t xml:space="preserve"> also provides that the Medicare levy applies at a reduced rate to taxpayers with taxable incomes above the threshold amount but not more than the ‘phase</w:t>
      </w:r>
      <w:r w:rsidRPr="00BD1DD4">
        <w:noBreakHyphen/>
        <w:t>in limit’ specified in subsection 3(1)</w:t>
      </w:r>
      <w:r>
        <w:t xml:space="preserve">.  </w:t>
      </w:r>
      <w:r w:rsidRPr="00BD1DD4">
        <w:t>The rate of the Medicare levy payable in these circumstances is limited to 10 per cent of the excess over the threshold amount that is relevant to the particular person.</w:t>
      </w:r>
    </w:p>
    <w:p w:rsidR="00B9029A" w:rsidRPr="00B2413E" w:rsidRDefault="00B9029A" w:rsidP="001C590E">
      <w:pPr>
        <w:pStyle w:val="base-text-paragraph"/>
        <w:rPr>
          <w:szCs w:val="22"/>
        </w:rPr>
      </w:pPr>
      <w:r w:rsidRPr="00B2413E">
        <w:t xml:space="preserve">The phase-in limit for individuals contained in paragraph (c) of the definition of ‘phase-in limit’ in subsection 3(1) of the </w:t>
      </w:r>
      <w:r w:rsidRPr="00B2413E">
        <w:rPr>
          <w:i/>
        </w:rPr>
        <w:t>Medicare Levy Act 1986</w:t>
      </w:r>
      <w:r w:rsidRPr="00B2413E">
        <w:t xml:space="preserve"> is increased from $22,163 to $22,828</w:t>
      </w:r>
      <w:r>
        <w:t xml:space="preserve">.  </w:t>
      </w:r>
      <w:r w:rsidRPr="00B2413E">
        <w:rPr>
          <w:b/>
          <w:i/>
          <w:sz w:val="18"/>
          <w:szCs w:val="18"/>
        </w:rPr>
        <w:t>[Schedule 1, item 3]</w:t>
      </w:r>
    </w:p>
    <w:p w:rsidR="00B9029A" w:rsidRPr="00982169" w:rsidRDefault="00B9029A" w:rsidP="001C590E">
      <w:pPr>
        <w:pStyle w:val="base-text-paragraph"/>
        <w:rPr>
          <w:szCs w:val="22"/>
        </w:rPr>
      </w:pPr>
      <w:r w:rsidRPr="00CE1427">
        <w:t>The phase</w:t>
      </w:r>
      <w:r w:rsidRPr="00CE1427">
        <w:noBreakHyphen/>
        <w:t xml:space="preserve">in limit for pensioners who are under age pension age specified in paragraph (b) of the definition of ‘phase-in limit’ in subsection 3(1) of the </w:t>
      </w:r>
      <w:r w:rsidRPr="00CE1427">
        <w:rPr>
          <w:i/>
        </w:rPr>
        <w:t>Medicare Levy</w:t>
      </w:r>
      <w:r w:rsidRPr="00982169">
        <w:rPr>
          <w:i/>
        </w:rPr>
        <w:t xml:space="preserve"> Act 1986</w:t>
      </w:r>
      <w:r w:rsidRPr="00982169">
        <w:t xml:space="preserve"> is </w:t>
      </w:r>
      <w:r w:rsidRPr="00CE1427">
        <w:t>increased from $35,810 to $35,</w:t>
      </w:r>
      <w:r w:rsidRPr="00B2413E">
        <w:t>824</w:t>
      </w:r>
      <w:r>
        <w:t xml:space="preserve">.  </w:t>
      </w:r>
      <w:r w:rsidRPr="00B2413E">
        <w:rPr>
          <w:b/>
          <w:i/>
          <w:sz w:val="18"/>
          <w:szCs w:val="18"/>
        </w:rPr>
        <w:t>[Schedule 1, item 2]</w:t>
      </w:r>
    </w:p>
    <w:p w:rsidR="00B9029A" w:rsidRPr="00CE1427" w:rsidRDefault="00B9029A" w:rsidP="001C590E">
      <w:pPr>
        <w:pStyle w:val="base-text-paragraph"/>
        <w:rPr>
          <w:szCs w:val="22"/>
        </w:rPr>
      </w:pPr>
      <w:r w:rsidRPr="00982169">
        <w:t>There is no phase</w:t>
      </w:r>
      <w:r w:rsidRPr="00982169">
        <w:noBreakHyphen/>
        <w:t xml:space="preserve">in limit stated in the </w:t>
      </w:r>
      <w:r w:rsidRPr="00982169">
        <w:rPr>
          <w:i/>
        </w:rPr>
        <w:t>Medicare Levy Act 1986</w:t>
      </w:r>
      <w:r w:rsidRPr="00982169">
        <w:t xml:space="preserve"> for families as the figure changes with the number of dependants</w:t>
      </w:r>
      <w:r>
        <w:t xml:space="preserve">.  </w:t>
      </w:r>
      <w:r w:rsidRPr="00982169">
        <w:t xml:space="preserve">Instead, </w:t>
      </w:r>
      <w:r w:rsidRPr="00CE1427">
        <w:t xml:space="preserve">subsection 8(2) of the </w:t>
      </w:r>
      <w:r w:rsidRPr="00CE1427">
        <w:rPr>
          <w:i/>
        </w:rPr>
        <w:t>Medicare Levy</w:t>
      </w:r>
      <w:r w:rsidRPr="00982169">
        <w:rPr>
          <w:i/>
        </w:rPr>
        <w:t xml:space="preserve"> Act 1986</w:t>
      </w:r>
      <w:r w:rsidRPr="00982169">
        <w:t xml:space="preserve"> contains a formula that limits the levy payable by persons with families to 10 per cent of the amount of family income that exceeds their family income threshold</w:t>
      </w:r>
      <w:r>
        <w:t xml:space="preserve">.  </w:t>
      </w:r>
      <w:r w:rsidRPr="00982169">
        <w:t xml:space="preserve">This range is increased for </w:t>
      </w:r>
      <w:r w:rsidRPr="00CE1427">
        <w:t>dependants as indicated in Table 1.1.</w:t>
      </w:r>
    </w:p>
    <w:p w:rsidR="00B9029A" w:rsidRDefault="00B9029A" w:rsidP="006B6BF0">
      <w:pPr>
        <w:pStyle w:val="base-text-paragraph"/>
        <w:keepNext/>
      </w:pPr>
      <w:r w:rsidRPr="00982169">
        <w:t>The increased threshold amounts and phase</w:t>
      </w:r>
      <w:r w:rsidRPr="00982169">
        <w:noBreakHyphen/>
        <w:t>in ranges for the 201</w:t>
      </w:r>
      <w:r>
        <w:t>1</w:t>
      </w:r>
      <w:r w:rsidRPr="00982169">
        <w:noBreakHyphen/>
        <w:t>1</w:t>
      </w:r>
      <w:r>
        <w:t>2</w:t>
      </w:r>
      <w:r w:rsidRPr="00982169">
        <w:t xml:space="preserve"> </w:t>
      </w:r>
      <w:r>
        <w:t xml:space="preserve">income </w:t>
      </w:r>
      <w:r w:rsidRPr="00982169">
        <w:t>year as shown in Table 1.1</w:t>
      </w:r>
      <w:r>
        <w:t xml:space="preserve">.  </w:t>
      </w:r>
    </w:p>
    <w:p w:rsidR="006B6BF0" w:rsidRDefault="006B6BF0" w:rsidP="00FB1570">
      <w:pPr>
        <w:sectPr w:rsidR="006B6BF0" w:rsidSect="001C590E">
          <w:type w:val="oddPage"/>
          <w:pgSz w:w="11906" w:h="16838" w:code="9"/>
          <w:pgMar w:top="2466" w:right="2098" w:bottom="2466" w:left="2098" w:header="1559" w:footer="1899" w:gutter="0"/>
          <w:cols w:space="708"/>
          <w:titlePg/>
          <w:docGrid w:linePitch="360"/>
        </w:sectPr>
      </w:pPr>
    </w:p>
    <w:p w:rsidR="00B9029A" w:rsidRPr="00982169" w:rsidRDefault="00B9029A" w:rsidP="001C590E">
      <w:pPr>
        <w:pStyle w:val="TableHeadingoutsidetable"/>
      </w:pPr>
      <w:r>
        <w:lastRenderedPageBreak/>
        <w:t xml:space="preserve">: </w:t>
      </w:r>
      <w:r w:rsidR="00A26A98">
        <w:t xml:space="preserve"> </w:t>
      </w:r>
      <w:r>
        <w:t>2011</w:t>
      </w:r>
      <w:r>
        <w:noBreakHyphen/>
        <w:t>12 Medicare levy low</w:t>
      </w:r>
      <w:r>
        <w:noBreakHyphen/>
        <w:t>income threshold amounts and phasing</w:t>
      </w:r>
      <w:r>
        <w:noBreakHyphen/>
        <w:t>in ranges</w:t>
      </w: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980"/>
      </w:tblGrid>
      <w:tr w:rsidR="00B9029A" w:rsidRPr="009A02B4" w:rsidTr="001C590E">
        <w:tc>
          <w:tcPr>
            <w:tcW w:w="1800" w:type="dxa"/>
          </w:tcPr>
          <w:p w:rsidR="00B9029A" w:rsidRPr="000E20F3" w:rsidRDefault="00B9029A" w:rsidP="001C590E">
            <w:pPr>
              <w:pStyle w:val="tableheaderwithintable"/>
              <w:keepLines/>
            </w:pPr>
            <w:r w:rsidRPr="000E20F3">
              <w:t>Category of taxpayer</w:t>
            </w:r>
          </w:p>
        </w:tc>
        <w:tc>
          <w:tcPr>
            <w:tcW w:w="1980" w:type="dxa"/>
          </w:tcPr>
          <w:p w:rsidR="00B9029A" w:rsidRPr="000E20F3" w:rsidRDefault="00B9029A" w:rsidP="001C590E">
            <w:pPr>
              <w:pStyle w:val="tableheaderwithintable"/>
              <w:keepLines/>
            </w:pPr>
            <w:r w:rsidRPr="000E20F3">
              <w:t>No levy payable if taxable income or family income does not exceed (figure for 2010</w:t>
            </w:r>
            <w:r w:rsidRPr="000E20F3">
              <w:noBreakHyphen/>
              <w:t>11)</w:t>
            </w:r>
          </w:p>
        </w:tc>
        <w:tc>
          <w:tcPr>
            <w:tcW w:w="1980" w:type="dxa"/>
          </w:tcPr>
          <w:p w:rsidR="00B9029A" w:rsidRPr="000E20F3" w:rsidRDefault="00B9029A" w:rsidP="001C590E">
            <w:pPr>
              <w:pStyle w:val="tableheaderwithintable"/>
              <w:keepLines/>
            </w:pPr>
            <w:r w:rsidRPr="000E20F3">
              <w:t>Reduced levy if taxable income or family income is within range (inclusive)</w:t>
            </w:r>
          </w:p>
        </w:tc>
        <w:tc>
          <w:tcPr>
            <w:tcW w:w="1980" w:type="dxa"/>
          </w:tcPr>
          <w:p w:rsidR="00B9029A" w:rsidRPr="000E20F3" w:rsidRDefault="00B9029A" w:rsidP="001C590E">
            <w:pPr>
              <w:pStyle w:val="tableheaderwithintable"/>
              <w:keepLines/>
            </w:pPr>
            <w:r w:rsidRPr="000E20F3">
              <w:t>Ordinary rate of levy payable where taxable income or family income is equal to or exceeds (figure for 2010</w:t>
            </w:r>
            <w:r w:rsidRPr="000E20F3">
              <w:noBreakHyphen/>
              <w:t>11)</w:t>
            </w:r>
          </w:p>
        </w:tc>
      </w:tr>
      <w:tr w:rsidR="00B9029A" w:rsidRPr="009A02B4" w:rsidTr="001C590E">
        <w:tc>
          <w:tcPr>
            <w:tcW w:w="1800" w:type="dxa"/>
          </w:tcPr>
          <w:p w:rsidR="00B9029A" w:rsidRPr="003B5650" w:rsidRDefault="00B9029A" w:rsidP="001C590E">
            <w:pPr>
              <w:pStyle w:val="tabletext"/>
              <w:keepNext/>
              <w:keepLines/>
            </w:pPr>
            <w:r w:rsidRPr="003B5650">
              <w:t>Individual taxpayer</w:t>
            </w:r>
          </w:p>
        </w:tc>
        <w:tc>
          <w:tcPr>
            <w:tcW w:w="1980" w:type="dxa"/>
          </w:tcPr>
          <w:p w:rsidR="00B9029A" w:rsidRPr="009A02B4" w:rsidRDefault="00B9029A" w:rsidP="001C590E">
            <w:pPr>
              <w:pStyle w:val="tabletext"/>
              <w:keepNext/>
              <w:keepLines/>
              <w:jc w:val="center"/>
              <w:rPr>
                <w:highlight w:val="yellow"/>
              </w:rPr>
            </w:pPr>
            <w:r w:rsidRPr="005C0C3E">
              <w:t>$19,404 ($18,839)</w:t>
            </w:r>
          </w:p>
        </w:tc>
        <w:tc>
          <w:tcPr>
            <w:tcW w:w="1980" w:type="dxa"/>
          </w:tcPr>
          <w:p w:rsidR="00B9029A" w:rsidRPr="003B5650" w:rsidRDefault="00B9029A" w:rsidP="001C590E">
            <w:pPr>
              <w:pStyle w:val="tabletext"/>
              <w:keepNext/>
              <w:keepLines/>
              <w:jc w:val="center"/>
            </w:pPr>
            <w:r w:rsidRPr="003B5650">
              <w:t>$19,405 – $22,828</w:t>
            </w:r>
          </w:p>
        </w:tc>
        <w:tc>
          <w:tcPr>
            <w:tcW w:w="1980" w:type="dxa"/>
          </w:tcPr>
          <w:p w:rsidR="00B9029A" w:rsidRPr="003B5650" w:rsidRDefault="00B9029A" w:rsidP="001C590E">
            <w:pPr>
              <w:pStyle w:val="tabletext"/>
              <w:keepNext/>
              <w:keepLines/>
              <w:jc w:val="center"/>
            </w:pPr>
            <w:r w:rsidRPr="003B5650">
              <w:t>$22,829 ($22,164)</w:t>
            </w:r>
          </w:p>
        </w:tc>
      </w:tr>
      <w:tr w:rsidR="00B9029A" w:rsidRPr="009A02B4" w:rsidTr="001C590E">
        <w:tc>
          <w:tcPr>
            <w:tcW w:w="1800" w:type="dxa"/>
          </w:tcPr>
          <w:p w:rsidR="00B9029A" w:rsidRPr="003B5650" w:rsidRDefault="00B9029A" w:rsidP="001C590E">
            <w:pPr>
              <w:pStyle w:val="tabletext"/>
              <w:keepNext/>
              <w:keepLines/>
            </w:pPr>
            <w:r w:rsidRPr="003B5650">
              <w:t>Pensioner under age pension age</w:t>
            </w:r>
          </w:p>
        </w:tc>
        <w:tc>
          <w:tcPr>
            <w:tcW w:w="1980" w:type="dxa"/>
          </w:tcPr>
          <w:p w:rsidR="00B9029A" w:rsidRPr="009A02B4" w:rsidRDefault="00B9029A" w:rsidP="001C590E">
            <w:pPr>
              <w:pStyle w:val="tabletext"/>
              <w:keepNext/>
              <w:keepLines/>
              <w:jc w:val="center"/>
              <w:rPr>
                <w:highlight w:val="yellow"/>
              </w:rPr>
            </w:pPr>
            <w:r w:rsidRPr="003B5650">
              <w:t>$30,451 ($30,439)</w:t>
            </w:r>
          </w:p>
        </w:tc>
        <w:tc>
          <w:tcPr>
            <w:tcW w:w="1980" w:type="dxa"/>
          </w:tcPr>
          <w:p w:rsidR="00B9029A" w:rsidRPr="003B5650" w:rsidRDefault="00B9029A" w:rsidP="001C590E">
            <w:pPr>
              <w:pStyle w:val="tabletext"/>
              <w:keepNext/>
              <w:keepLines/>
              <w:jc w:val="center"/>
            </w:pPr>
            <w:r w:rsidRPr="003B5650">
              <w:t>$30,452 – $35,824</w:t>
            </w:r>
          </w:p>
        </w:tc>
        <w:tc>
          <w:tcPr>
            <w:tcW w:w="1980" w:type="dxa"/>
          </w:tcPr>
          <w:p w:rsidR="00B9029A" w:rsidRPr="003B5650" w:rsidRDefault="00B9029A" w:rsidP="001C590E">
            <w:pPr>
              <w:pStyle w:val="tabletext"/>
              <w:keepNext/>
              <w:keepLines/>
              <w:jc w:val="center"/>
            </w:pPr>
            <w:r w:rsidRPr="003B5650">
              <w:t>$35,825 ($35,811)</w:t>
            </w:r>
          </w:p>
        </w:tc>
      </w:tr>
      <w:tr w:rsidR="00B9029A" w:rsidRPr="009A02B4" w:rsidTr="001C590E">
        <w:tc>
          <w:tcPr>
            <w:tcW w:w="1800" w:type="dxa"/>
          </w:tcPr>
          <w:p w:rsidR="00B9029A" w:rsidRPr="009A02B4" w:rsidRDefault="00B9029A" w:rsidP="001C590E">
            <w:pPr>
              <w:pStyle w:val="tabletext"/>
              <w:rPr>
                <w:highlight w:val="yellow"/>
              </w:rPr>
            </w:pPr>
            <w:r w:rsidRPr="003B5650">
              <w:t>Families</w:t>
            </w:r>
            <w:r w:rsidRPr="003B5650">
              <w:rPr>
                <w:rStyle w:val="FootnoteReference"/>
              </w:rPr>
              <w:footnoteReference w:id="1"/>
            </w:r>
            <w:r w:rsidRPr="003B5650">
              <w:t xml:space="preserve"> with the following children and/or students</w:t>
            </w:r>
          </w:p>
        </w:tc>
        <w:tc>
          <w:tcPr>
            <w:tcW w:w="1980" w:type="dxa"/>
          </w:tcPr>
          <w:p w:rsidR="00B9029A" w:rsidRPr="003B5650" w:rsidRDefault="00B9029A" w:rsidP="001C590E">
            <w:pPr>
              <w:pStyle w:val="tabletext"/>
              <w:jc w:val="center"/>
            </w:pPr>
            <w:r w:rsidRPr="003B5650">
              <w:t>(family income)</w:t>
            </w:r>
          </w:p>
        </w:tc>
        <w:tc>
          <w:tcPr>
            <w:tcW w:w="1980" w:type="dxa"/>
          </w:tcPr>
          <w:p w:rsidR="00B9029A" w:rsidRPr="003B5650" w:rsidRDefault="00B9029A" w:rsidP="001C590E">
            <w:pPr>
              <w:pStyle w:val="tabletext"/>
              <w:jc w:val="center"/>
            </w:pPr>
            <w:r w:rsidRPr="003B5650">
              <w:t>(family income)</w:t>
            </w:r>
          </w:p>
        </w:tc>
        <w:tc>
          <w:tcPr>
            <w:tcW w:w="1980" w:type="dxa"/>
          </w:tcPr>
          <w:p w:rsidR="00B9029A" w:rsidRPr="003B5650" w:rsidRDefault="00B9029A" w:rsidP="001C590E">
            <w:pPr>
              <w:pStyle w:val="tabletext"/>
              <w:jc w:val="center"/>
            </w:pPr>
            <w:r w:rsidRPr="003B5650">
              <w:t>(family income)</w:t>
            </w:r>
          </w:p>
        </w:tc>
      </w:tr>
      <w:tr w:rsidR="00B9029A" w:rsidRPr="009A02B4" w:rsidTr="001C590E">
        <w:tc>
          <w:tcPr>
            <w:tcW w:w="1800" w:type="dxa"/>
          </w:tcPr>
          <w:p w:rsidR="00B9029A" w:rsidRPr="003B5650" w:rsidRDefault="00B9029A" w:rsidP="001C590E">
            <w:pPr>
              <w:pStyle w:val="tabletext"/>
              <w:jc w:val="center"/>
            </w:pPr>
            <w:r w:rsidRPr="003B5650">
              <w:t>0</w:t>
            </w:r>
          </w:p>
        </w:tc>
        <w:tc>
          <w:tcPr>
            <w:tcW w:w="1980" w:type="dxa"/>
          </w:tcPr>
          <w:p w:rsidR="00B9029A" w:rsidRPr="003B5650" w:rsidRDefault="00B9029A" w:rsidP="001C590E">
            <w:pPr>
              <w:pStyle w:val="tabletext"/>
              <w:jc w:val="center"/>
            </w:pPr>
            <w:r w:rsidRPr="003B5650">
              <w:t>$32,743 ($31,789)</w:t>
            </w:r>
          </w:p>
        </w:tc>
        <w:tc>
          <w:tcPr>
            <w:tcW w:w="1980" w:type="dxa"/>
          </w:tcPr>
          <w:p w:rsidR="00B9029A" w:rsidRPr="00C32D6F" w:rsidRDefault="00B9029A" w:rsidP="001C590E">
            <w:pPr>
              <w:pStyle w:val="tabletext"/>
              <w:jc w:val="center"/>
            </w:pPr>
            <w:r w:rsidRPr="00C32D6F">
              <w:t>$32,744 – $38,521</w:t>
            </w:r>
          </w:p>
        </w:tc>
        <w:tc>
          <w:tcPr>
            <w:tcW w:w="1980" w:type="dxa"/>
          </w:tcPr>
          <w:p w:rsidR="00B9029A" w:rsidRPr="00C32D6F" w:rsidRDefault="00B9029A" w:rsidP="001C590E">
            <w:pPr>
              <w:pStyle w:val="tabletext"/>
              <w:jc w:val="center"/>
            </w:pPr>
            <w:bookmarkStart w:id="5" w:name="OLE_LINK3"/>
            <w:r w:rsidRPr="00C32D6F">
              <w:t>$38,522 ($37,399</w:t>
            </w:r>
            <w:bookmarkEnd w:id="5"/>
            <w:r w:rsidRPr="00C32D6F">
              <w:t>)</w:t>
            </w:r>
          </w:p>
        </w:tc>
      </w:tr>
      <w:tr w:rsidR="00B9029A" w:rsidRPr="009A02B4" w:rsidTr="001C590E">
        <w:tc>
          <w:tcPr>
            <w:tcW w:w="1800" w:type="dxa"/>
          </w:tcPr>
          <w:p w:rsidR="00B9029A" w:rsidRPr="003B5650" w:rsidRDefault="00B9029A" w:rsidP="001C590E">
            <w:pPr>
              <w:pStyle w:val="tabletext"/>
              <w:jc w:val="center"/>
            </w:pPr>
            <w:r w:rsidRPr="003B5650">
              <w:t>1</w:t>
            </w:r>
          </w:p>
        </w:tc>
        <w:tc>
          <w:tcPr>
            <w:tcW w:w="1980" w:type="dxa"/>
          </w:tcPr>
          <w:p w:rsidR="00B9029A" w:rsidRPr="003B5650" w:rsidRDefault="00B9029A" w:rsidP="001C590E">
            <w:pPr>
              <w:pStyle w:val="tabletext"/>
              <w:jc w:val="center"/>
            </w:pPr>
            <w:r w:rsidRPr="003B5650">
              <w:t>$35,750 ($34,708)</w:t>
            </w:r>
          </w:p>
        </w:tc>
        <w:tc>
          <w:tcPr>
            <w:tcW w:w="1980" w:type="dxa"/>
          </w:tcPr>
          <w:p w:rsidR="00B9029A" w:rsidRPr="00C32D6F" w:rsidRDefault="00B9029A" w:rsidP="001C590E">
            <w:pPr>
              <w:pStyle w:val="tabletext"/>
              <w:jc w:val="center"/>
            </w:pPr>
            <w:r w:rsidRPr="00C32D6F">
              <w:t>$35,751 – $42,058</w:t>
            </w:r>
          </w:p>
        </w:tc>
        <w:tc>
          <w:tcPr>
            <w:tcW w:w="1980" w:type="dxa"/>
          </w:tcPr>
          <w:p w:rsidR="00B9029A" w:rsidRPr="00C32D6F" w:rsidRDefault="00B9029A" w:rsidP="001C590E">
            <w:pPr>
              <w:pStyle w:val="tabletext"/>
              <w:jc w:val="center"/>
            </w:pPr>
            <w:r w:rsidRPr="00C32D6F">
              <w:t>$42,059 ($40,833)</w:t>
            </w:r>
          </w:p>
        </w:tc>
      </w:tr>
      <w:tr w:rsidR="00B9029A" w:rsidRPr="009A02B4" w:rsidTr="001C590E">
        <w:tc>
          <w:tcPr>
            <w:tcW w:w="1800" w:type="dxa"/>
          </w:tcPr>
          <w:p w:rsidR="00B9029A" w:rsidRPr="003B5650" w:rsidRDefault="00B9029A" w:rsidP="001C590E">
            <w:pPr>
              <w:pStyle w:val="tabletext"/>
              <w:jc w:val="center"/>
            </w:pPr>
            <w:r w:rsidRPr="003B5650">
              <w:t>2</w:t>
            </w:r>
          </w:p>
        </w:tc>
        <w:tc>
          <w:tcPr>
            <w:tcW w:w="1980" w:type="dxa"/>
          </w:tcPr>
          <w:p w:rsidR="00B9029A" w:rsidRPr="003B5650" w:rsidRDefault="00B9029A" w:rsidP="001C590E">
            <w:pPr>
              <w:pStyle w:val="tabletext"/>
              <w:jc w:val="center"/>
            </w:pPr>
            <w:r w:rsidRPr="003B5650">
              <w:t>$38,757 ($37,627)</w:t>
            </w:r>
          </w:p>
        </w:tc>
        <w:tc>
          <w:tcPr>
            <w:tcW w:w="1980" w:type="dxa"/>
          </w:tcPr>
          <w:p w:rsidR="00B9029A" w:rsidRPr="00C32D6F" w:rsidRDefault="00B9029A" w:rsidP="001C590E">
            <w:pPr>
              <w:pStyle w:val="tabletext"/>
              <w:jc w:val="center"/>
            </w:pPr>
            <w:r w:rsidRPr="00C32D6F">
              <w:t>$38,758 – $45,596</w:t>
            </w:r>
          </w:p>
        </w:tc>
        <w:tc>
          <w:tcPr>
            <w:tcW w:w="1980" w:type="dxa"/>
          </w:tcPr>
          <w:p w:rsidR="00B9029A" w:rsidRPr="00C32D6F" w:rsidRDefault="00B9029A" w:rsidP="001C590E">
            <w:pPr>
              <w:pStyle w:val="tabletext"/>
              <w:jc w:val="center"/>
            </w:pPr>
            <w:r w:rsidRPr="00C32D6F">
              <w:t>$45,597 ($44,268)</w:t>
            </w:r>
          </w:p>
        </w:tc>
      </w:tr>
      <w:tr w:rsidR="00B9029A" w:rsidRPr="009A02B4" w:rsidTr="001C590E">
        <w:tc>
          <w:tcPr>
            <w:tcW w:w="1800" w:type="dxa"/>
          </w:tcPr>
          <w:p w:rsidR="00B9029A" w:rsidRPr="003B5650" w:rsidRDefault="00B9029A" w:rsidP="001C590E">
            <w:pPr>
              <w:pStyle w:val="tabletext"/>
              <w:jc w:val="center"/>
            </w:pPr>
            <w:r w:rsidRPr="003B5650">
              <w:t>3</w:t>
            </w:r>
          </w:p>
        </w:tc>
        <w:tc>
          <w:tcPr>
            <w:tcW w:w="1980" w:type="dxa"/>
          </w:tcPr>
          <w:p w:rsidR="00B9029A" w:rsidRPr="003B5650" w:rsidRDefault="00B9029A" w:rsidP="001C590E">
            <w:pPr>
              <w:pStyle w:val="tabletext"/>
              <w:jc w:val="center"/>
            </w:pPr>
            <w:r w:rsidRPr="003B5650">
              <w:t>$41,764 ($40,546)</w:t>
            </w:r>
          </w:p>
        </w:tc>
        <w:tc>
          <w:tcPr>
            <w:tcW w:w="1980" w:type="dxa"/>
          </w:tcPr>
          <w:p w:rsidR="00B9029A" w:rsidRPr="00C32D6F" w:rsidRDefault="00B9029A" w:rsidP="001C590E">
            <w:pPr>
              <w:pStyle w:val="tabletext"/>
              <w:jc w:val="center"/>
            </w:pPr>
            <w:r w:rsidRPr="00C32D6F">
              <w:t>$41,765 – $49,134</w:t>
            </w:r>
          </w:p>
        </w:tc>
        <w:tc>
          <w:tcPr>
            <w:tcW w:w="1980" w:type="dxa"/>
          </w:tcPr>
          <w:p w:rsidR="00B9029A" w:rsidRPr="00C32D6F" w:rsidRDefault="00B9029A" w:rsidP="001C590E">
            <w:pPr>
              <w:pStyle w:val="tabletext"/>
              <w:jc w:val="center"/>
            </w:pPr>
            <w:r w:rsidRPr="00C32D6F">
              <w:t>$49,135 ($47,702)</w:t>
            </w:r>
          </w:p>
        </w:tc>
      </w:tr>
      <w:tr w:rsidR="00B9029A" w:rsidRPr="009A02B4" w:rsidTr="001C590E">
        <w:tc>
          <w:tcPr>
            <w:tcW w:w="1800" w:type="dxa"/>
          </w:tcPr>
          <w:p w:rsidR="00B9029A" w:rsidRPr="003B5650" w:rsidRDefault="00B9029A" w:rsidP="001C590E">
            <w:pPr>
              <w:pStyle w:val="tabletext"/>
              <w:jc w:val="center"/>
            </w:pPr>
            <w:r w:rsidRPr="003B5650">
              <w:t>4</w:t>
            </w:r>
          </w:p>
        </w:tc>
        <w:tc>
          <w:tcPr>
            <w:tcW w:w="1980" w:type="dxa"/>
          </w:tcPr>
          <w:p w:rsidR="00B9029A" w:rsidRPr="003B5650" w:rsidRDefault="00B9029A" w:rsidP="001C590E">
            <w:pPr>
              <w:pStyle w:val="tabletext"/>
              <w:jc w:val="center"/>
            </w:pPr>
            <w:r w:rsidRPr="003B5650">
              <w:t>$44,771 ($43,465)</w:t>
            </w:r>
          </w:p>
        </w:tc>
        <w:tc>
          <w:tcPr>
            <w:tcW w:w="1980" w:type="dxa"/>
          </w:tcPr>
          <w:p w:rsidR="00B9029A" w:rsidRPr="00C32D6F" w:rsidRDefault="00B9029A" w:rsidP="001C590E">
            <w:pPr>
              <w:pStyle w:val="tabletext"/>
              <w:jc w:val="center"/>
            </w:pPr>
            <w:r w:rsidRPr="00C32D6F">
              <w:t>$44,772 – $52,671</w:t>
            </w:r>
          </w:p>
        </w:tc>
        <w:tc>
          <w:tcPr>
            <w:tcW w:w="1980" w:type="dxa"/>
          </w:tcPr>
          <w:p w:rsidR="00B9029A" w:rsidRPr="00C32D6F" w:rsidRDefault="00B9029A" w:rsidP="001C590E">
            <w:pPr>
              <w:pStyle w:val="tabletext"/>
              <w:jc w:val="center"/>
            </w:pPr>
            <w:r w:rsidRPr="00C32D6F">
              <w:t>$52,672 ($51,136)</w:t>
            </w:r>
          </w:p>
        </w:tc>
      </w:tr>
      <w:tr w:rsidR="00B9029A" w:rsidRPr="009A02B4" w:rsidTr="001C590E">
        <w:tc>
          <w:tcPr>
            <w:tcW w:w="1800" w:type="dxa"/>
          </w:tcPr>
          <w:p w:rsidR="00B9029A" w:rsidRPr="003B5650" w:rsidRDefault="00B9029A" w:rsidP="001C590E">
            <w:pPr>
              <w:pStyle w:val="tabletext"/>
              <w:jc w:val="center"/>
            </w:pPr>
            <w:r w:rsidRPr="003B5650">
              <w:t>5</w:t>
            </w:r>
          </w:p>
        </w:tc>
        <w:tc>
          <w:tcPr>
            <w:tcW w:w="1980" w:type="dxa"/>
          </w:tcPr>
          <w:p w:rsidR="00B9029A" w:rsidRPr="003B5650" w:rsidRDefault="00B9029A" w:rsidP="001C590E">
            <w:pPr>
              <w:pStyle w:val="tabletext"/>
              <w:jc w:val="center"/>
            </w:pPr>
            <w:r w:rsidRPr="003B5650">
              <w:t>$47,778 ($46,384)</w:t>
            </w:r>
          </w:p>
        </w:tc>
        <w:tc>
          <w:tcPr>
            <w:tcW w:w="1980" w:type="dxa"/>
          </w:tcPr>
          <w:p w:rsidR="00B9029A" w:rsidRPr="00C32D6F" w:rsidRDefault="00B9029A" w:rsidP="001C590E">
            <w:pPr>
              <w:pStyle w:val="tabletext"/>
              <w:jc w:val="center"/>
            </w:pPr>
            <w:r w:rsidRPr="00C32D6F">
              <w:t>$47,779 – $56,209</w:t>
            </w:r>
          </w:p>
        </w:tc>
        <w:tc>
          <w:tcPr>
            <w:tcW w:w="1980" w:type="dxa"/>
          </w:tcPr>
          <w:p w:rsidR="00B9029A" w:rsidRPr="00C32D6F" w:rsidRDefault="00B9029A" w:rsidP="001C590E">
            <w:pPr>
              <w:pStyle w:val="tabletext"/>
              <w:jc w:val="center"/>
            </w:pPr>
            <w:r w:rsidRPr="00C32D6F">
              <w:t>$56,210 ($54,570)</w:t>
            </w:r>
          </w:p>
        </w:tc>
      </w:tr>
      <w:tr w:rsidR="00B9029A" w:rsidRPr="009A02B4" w:rsidTr="001C590E">
        <w:tc>
          <w:tcPr>
            <w:tcW w:w="1800" w:type="dxa"/>
          </w:tcPr>
          <w:p w:rsidR="00B9029A" w:rsidRPr="003B5650" w:rsidRDefault="00B9029A" w:rsidP="001C590E">
            <w:pPr>
              <w:pStyle w:val="tabletext"/>
              <w:jc w:val="center"/>
            </w:pPr>
            <w:r w:rsidRPr="003B5650">
              <w:t>6</w:t>
            </w:r>
          </w:p>
        </w:tc>
        <w:tc>
          <w:tcPr>
            <w:tcW w:w="1980" w:type="dxa"/>
          </w:tcPr>
          <w:p w:rsidR="00B9029A" w:rsidRPr="003B5650" w:rsidRDefault="00B9029A" w:rsidP="001C590E">
            <w:pPr>
              <w:pStyle w:val="tabletext"/>
              <w:jc w:val="center"/>
            </w:pPr>
            <w:r w:rsidRPr="003B5650">
              <w:t>$50,785</w:t>
            </w:r>
            <w:r w:rsidRPr="003B5650">
              <w:rPr>
                <w:rStyle w:val="FootnoteReference"/>
              </w:rPr>
              <w:footnoteReference w:id="2"/>
            </w:r>
            <w:r w:rsidRPr="003B5650">
              <w:t xml:space="preserve"> ($49,303)</w:t>
            </w:r>
          </w:p>
        </w:tc>
        <w:tc>
          <w:tcPr>
            <w:tcW w:w="1980" w:type="dxa"/>
          </w:tcPr>
          <w:p w:rsidR="00B9029A" w:rsidRPr="00C32D6F" w:rsidRDefault="00B9029A" w:rsidP="001C590E">
            <w:pPr>
              <w:pStyle w:val="tabletext"/>
              <w:jc w:val="center"/>
            </w:pPr>
            <w:r w:rsidRPr="00C32D6F">
              <w:t>$50,786</w:t>
            </w:r>
            <w:r w:rsidRPr="00C32D6F">
              <w:rPr>
                <w:rStyle w:val="FootnoteReference"/>
              </w:rPr>
              <w:footnoteReference w:id="3"/>
            </w:r>
            <w:r w:rsidRPr="00C32D6F">
              <w:t xml:space="preserve"> – $59,747</w:t>
            </w:r>
            <w:r w:rsidRPr="00C32D6F">
              <w:rPr>
                <w:rStyle w:val="FootnoteReference"/>
              </w:rPr>
              <w:footnoteReference w:id="4"/>
            </w:r>
          </w:p>
        </w:tc>
        <w:tc>
          <w:tcPr>
            <w:tcW w:w="1980" w:type="dxa"/>
          </w:tcPr>
          <w:p w:rsidR="00B9029A" w:rsidRPr="00C32D6F" w:rsidRDefault="00B9029A" w:rsidP="001C590E">
            <w:pPr>
              <w:pStyle w:val="tabletext"/>
              <w:jc w:val="center"/>
            </w:pPr>
            <w:r w:rsidRPr="00C32D6F">
              <w:t>$59,748</w:t>
            </w:r>
            <w:r w:rsidRPr="00C32D6F">
              <w:rPr>
                <w:rStyle w:val="FootnoteReference"/>
              </w:rPr>
              <w:footnoteReference w:id="5"/>
            </w:r>
            <w:r w:rsidRPr="00C32D6F">
              <w:t xml:space="preserve"> ($58,004)</w:t>
            </w:r>
          </w:p>
        </w:tc>
      </w:tr>
    </w:tbl>
    <w:p w:rsidR="00B9029A" w:rsidRPr="00982169" w:rsidRDefault="00B9029A" w:rsidP="001C590E">
      <w:pPr>
        <w:pStyle w:val="Heading3"/>
        <w:rPr>
          <w:szCs w:val="22"/>
        </w:rPr>
      </w:pPr>
      <w:r>
        <w:t>Medicare levy surcharge low</w:t>
      </w:r>
      <w:r>
        <w:noBreakHyphen/>
        <w:t>income threshold</w:t>
      </w:r>
    </w:p>
    <w:p w:rsidR="00B9029A" w:rsidRPr="00B2413E" w:rsidRDefault="00B9029A" w:rsidP="001C590E">
      <w:pPr>
        <w:pStyle w:val="base-text-paragraph"/>
        <w:rPr>
          <w:szCs w:val="22"/>
        </w:rPr>
      </w:pPr>
      <w:r w:rsidRPr="00CE1427">
        <w:t>References to the individual low</w:t>
      </w:r>
      <w:r w:rsidRPr="00CE1427">
        <w:noBreakHyphen/>
        <w:t xml:space="preserve">income threshold amount of $18,839 in the Medicare levy surcharge provisions (in sections 8D and 8G of the </w:t>
      </w:r>
      <w:r w:rsidRPr="00CE1427">
        <w:rPr>
          <w:i/>
        </w:rPr>
        <w:t>Medicare Levy Act 1986</w:t>
      </w:r>
      <w:r w:rsidRPr="00CE1427">
        <w:t>) in respect of the surcharge payable on taxable income are also being increased to $19,</w:t>
      </w:r>
      <w:r w:rsidRPr="00B2413E">
        <w:t>404</w:t>
      </w:r>
      <w:r>
        <w:t xml:space="preserve">.  </w:t>
      </w:r>
      <w:r w:rsidRPr="00B2413E">
        <w:rPr>
          <w:b/>
          <w:i/>
          <w:sz w:val="18"/>
          <w:szCs w:val="18"/>
        </w:rPr>
        <w:t>[Schedule 1, items</w:t>
      </w:r>
      <w:r>
        <w:rPr>
          <w:b/>
          <w:i/>
          <w:sz w:val="18"/>
          <w:szCs w:val="18"/>
        </w:rPr>
        <w:t> </w:t>
      </w:r>
      <w:r w:rsidRPr="00B2413E">
        <w:rPr>
          <w:b/>
          <w:i/>
          <w:sz w:val="18"/>
          <w:szCs w:val="18"/>
        </w:rPr>
        <w:t>9</w:t>
      </w:r>
      <w:r>
        <w:rPr>
          <w:b/>
          <w:i/>
          <w:sz w:val="18"/>
          <w:szCs w:val="18"/>
        </w:rPr>
        <w:t> </w:t>
      </w:r>
      <w:r w:rsidRPr="00B2413E">
        <w:rPr>
          <w:b/>
          <w:i/>
          <w:sz w:val="18"/>
          <w:szCs w:val="18"/>
        </w:rPr>
        <w:t>to 12]</w:t>
      </w:r>
    </w:p>
    <w:p w:rsidR="00B9029A" w:rsidRPr="00764C4E" w:rsidRDefault="00B9029A" w:rsidP="001C590E">
      <w:pPr>
        <w:pStyle w:val="base-text-paragraph"/>
        <w:rPr>
          <w:szCs w:val="22"/>
        </w:rPr>
      </w:pPr>
      <w:r>
        <w:rPr>
          <w:szCs w:val="22"/>
        </w:rPr>
        <w:t xml:space="preserve">References to </w:t>
      </w:r>
      <w:r w:rsidRPr="008A6B88">
        <w:rPr>
          <w:szCs w:val="22"/>
        </w:rPr>
        <w:t xml:space="preserve">the </w:t>
      </w:r>
      <w:r w:rsidRPr="008A6B88">
        <w:t>individual low</w:t>
      </w:r>
      <w:r w:rsidRPr="008A6B88">
        <w:noBreakHyphen/>
        <w:t xml:space="preserve">income threshold amount of </w:t>
      </w:r>
      <w:r w:rsidRPr="00CE1427">
        <w:t>$18,839 in</w:t>
      </w:r>
      <w:r w:rsidRPr="008A6B88">
        <w:t xml:space="preserve"> the Medicare levy surcharge provisions (in sections 15 and 16 </w:t>
      </w:r>
      <w:r w:rsidRPr="008A6B88">
        <w:lastRenderedPageBreak/>
        <w:t xml:space="preserve">of the </w:t>
      </w:r>
      <w:r w:rsidRPr="008A6B88">
        <w:rPr>
          <w:i/>
        </w:rPr>
        <w:t>A New Tax System (Medicare Levy Surcharge-Fringe Benefits) Act 1999)</w:t>
      </w:r>
      <w:r w:rsidRPr="008A6B88">
        <w:t xml:space="preserve"> in respect of the surcharge on reportable fringe benefits are</w:t>
      </w:r>
      <w:r>
        <w:t xml:space="preserve"> also being increased </w:t>
      </w:r>
      <w:r w:rsidRPr="00CE1427">
        <w:t>to $19,</w:t>
      </w:r>
      <w:r w:rsidRPr="00B2413E">
        <w:t>404</w:t>
      </w:r>
      <w:r>
        <w:t xml:space="preserve">.  </w:t>
      </w:r>
      <w:r w:rsidRPr="00B2413E">
        <w:rPr>
          <w:b/>
          <w:i/>
          <w:sz w:val="18"/>
          <w:szCs w:val="18"/>
        </w:rPr>
        <w:t>[Schedule 1, item 1]</w:t>
      </w:r>
    </w:p>
    <w:p w:rsidR="00B9029A" w:rsidRPr="00982169" w:rsidRDefault="00B9029A" w:rsidP="001C590E">
      <w:pPr>
        <w:pStyle w:val="Heading3"/>
        <w:rPr>
          <w:szCs w:val="22"/>
        </w:rPr>
      </w:pPr>
      <w:r>
        <w:t xml:space="preserve">Consequential amendments </w:t>
      </w:r>
    </w:p>
    <w:p w:rsidR="00B9029A" w:rsidRDefault="00B9029A" w:rsidP="001C590E">
      <w:pPr>
        <w:pStyle w:val="base-text-paragraph"/>
        <w:rPr>
          <w:szCs w:val="22"/>
        </w:rPr>
      </w:pPr>
      <w:r>
        <w:rPr>
          <w:szCs w:val="22"/>
        </w:rPr>
        <w:t xml:space="preserve">The </w:t>
      </w:r>
      <w:r w:rsidRPr="00505B96">
        <w:rPr>
          <w:i/>
        </w:rPr>
        <w:t>Clean Energy (Tax Laws Amendments) Act 2011</w:t>
      </w:r>
      <w:r>
        <w:rPr>
          <w:i/>
        </w:rPr>
        <w:t xml:space="preserve"> </w:t>
      </w:r>
      <w:r>
        <w:t>will amend certain 2010</w:t>
      </w:r>
      <w:r>
        <w:noBreakHyphen/>
        <w:t>11 low</w:t>
      </w:r>
      <w:r>
        <w:noBreakHyphen/>
        <w:t xml:space="preserve">income thresholds with effect from 1 July 2012.  As some of these thresholds are also being amended by the </w:t>
      </w:r>
      <w:r w:rsidRPr="0087252E">
        <w:rPr>
          <w:i/>
        </w:rPr>
        <w:t>Tax Laws Amendment (Medicare l</w:t>
      </w:r>
      <w:r>
        <w:rPr>
          <w:i/>
        </w:rPr>
        <w:t>evy and Medicare levy surcharge</w:t>
      </w:r>
      <w:r w:rsidRPr="0087252E">
        <w:rPr>
          <w:i/>
        </w:rPr>
        <w:t>) Bill</w:t>
      </w:r>
      <w:r>
        <w:rPr>
          <w:i/>
        </w:rPr>
        <w:t> </w:t>
      </w:r>
      <w:r w:rsidRPr="0087252E">
        <w:rPr>
          <w:i/>
        </w:rPr>
        <w:t>2012</w:t>
      </w:r>
      <w:r>
        <w:t xml:space="preserve"> with effect from 1 July 2011, consequential amendments are needed for the </w:t>
      </w:r>
      <w:r w:rsidRPr="00505B96">
        <w:rPr>
          <w:i/>
        </w:rPr>
        <w:t>Clean Energy (Tax Laws Amendments) Act 2011</w:t>
      </w:r>
      <w:r>
        <w:t>.</w:t>
      </w:r>
    </w:p>
    <w:p w:rsidR="00B9029A" w:rsidRPr="005A6477" w:rsidRDefault="00B9029A" w:rsidP="001C590E">
      <w:pPr>
        <w:pStyle w:val="base-text-paragraph"/>
        <w:rPr>
          <w:szCs w:val="22"/>
        </w:rPr>
      </w:pPr>
      <w:r>
        <w:rPr>
          <w:szCs w:val="22"/>
        </w:rPr>
        <w:t xml:space="preserve">References to </w:t>
      </w:r>
      <w:r w:rsidRPr="008A6B88">
        <w:rPr>
          <w:szCs w:val="22"/>
        </w:rPr>
        <w:t xml:space="preserve">the </w:t>
      </w:r>
      <w:r w:rsidRPr="008A6B88">
        <w:t>individual low</w:t>
      </w:r>
      <w:r w:rsidRPr="008A6B88">
        <w:noBreakHyphen/>
        <w:t xml:space="preserve">income threshold amount of </w:t>
      </w:r>
      <w:r w:rsidRPr="00CE1427">
        <w:t>$18,839 in</w:t>
      </w:r>
      <w:r w:rsidRPr="008A6B88">
        <w:t xml:space="preserve"> the Medicare levy surcharge provisions in</w:t>
      </w:r>
      <w:r>
        <w:t xml:space="preserve"> items 1, 5 and 7 to 10 of Schedule 2 of the </w:t>
      </w:r>
      <w:r>
        <w:rPr>
          <w:i/>
        </w:rPr>
        <w:t xml:space="preserve">Clean Energy (Tax Laws Amendments) Act 2011 </w:t>
      </w:r>
      <w:r>
        <w:t xml:space="preserve">will be amended </w:t>
      </w:r>
      <w:r w:rsidRPr="00CE1427">
        <w:t>to $19,404</w:t>
      </w:r>
      <w:r>
        <w:t xml:space="preserve">.  </w:t>
      </w:r>
      <w:r w:rsidRPr="005A6477">
        <w:rPr>
          <w:b/>
          <w:i/>
          <w:sz w:val="18"/>
          <w:szCs w:val="18"/>
        </w:rPr>
        <w:t>[Schedule 1, item</w:t>
      </w:r>
      <w:r>
        <w:rPr>
          <w:b/>
          <w:i/>
          <w:sz w:val="18"/>
          <w:szCs w:val="18"/>
        </w:rPr>
        <w:t>s</w:t>
      </w:r>
      <w:r w:rsidRPr="005A6477">
        <w:rPr>
          <w:b/>
          <w:i/>
          <w:sz w:val="18"/>
          <w:szCs w:val="18"/>
        </w:rPr>
        <w:t xml:space="preserve"> 14</w:t>
      </w:r>
      <w:r>
        <w:rPr>
          <w:b/>
          <w:i/>
          <w:sz w:val="18"/>
          <w:szCs w:val="18"/>
        </w:rPr>
        <w:t xml:space="preserve"> and 16</w:t>
      </w:r>
      <w:r w:rsidRPr="005A6477">
        <w:rPr>
          <w:b/>
          <w:i/>
          <w:sz w:val="18"/>
          <w:szCs w:val="18"/>
        </w:rPr>
        <w:t>]</w:t>
      </w:r>
    </w:p>
    <w:p w:rsidR="00B9029A" w:rsidRPr="00B2413E" w:rsidRDefault="00B9029A" w:rsidP="001C590E">
      <w:pPr>
        <w:pStyle w:val="base-text-paragraph"/>
        <w:rPr>
          <w:szCs w:val="22"/>
        </w:rPr>
      </w:pPr>
      <w:r w:rsidRPr="00982169">
        <w:t xml:space="preserve">The phase-in limit for individuals </w:t>
      </w:r>
      <w:r w:rsidRPr="00CE1427">
        <w:t xml:space="preserve">contained in </w:t>
      </w:r>
      <w:r>
        <w:t xml:space="preserve">item 3 of Schedule 2 of the </w:t>
      </w:r>
      <w:r>
        <w:rPr>
          <w:i/>
        </w:rPr>
        <w:t>Clean Energy (Tax Laws Amendments) Act 2011</w:t>
      </w:r>
      <w:r>
        <w:t xml:space="preserve"> will be amended </w:t>
      </w:r>
      <w:r w:rsidRPr="00CE1427">
        <w:t>from $22,163 to $22,828</w:t>
      </w:r>
      <w:r>
        <w:t xml:space="preserve">.  </w:t>
      </w:r>
      <w:r w:rsidRPr="005A6477">
        <w:rPr>
          <w:b/>
          <w:i/>
          <w:sz w:val="18"/>
          <w:szCs w:val="18"/>
        </w:rPr>
        <w:t>[Schedule 1, item 15]</w:t>
      </w:r>
    </w:p>
    <w:p w:rsidR="00B9029A" w:rsidRDefault="00B9029A" w:rsidP="001C590E">
      <w:pPr>
        <w:pStyle w:val="Heading2"/>
      </w:pPr>
      <w:r>
        <w:t>Application and transitional provisions</w:t>
      </w:r>
    </w:p>
    <w:p w:rsidR="00B9029A" w:rsidRDefault="00B9029A" w:rsidP="00713DF0">
      <w:pPr>
        <w:pStyle w:val="base-text-paragraph"/>
        <w:sectPr w:rsidR="00B9029A" w:rsidSect="001C590E">
          <w:headerReference w:type="default" r:id="rId31"/>
          <w:headerReference w:type="first" r:id="rId32"/>
          <w:footerReference w:type="first" r:id="rId33"/>
          <w:pgSz w:w="11906" w:h="16838" w:code="9"/>
          <w:pgMar w:top="2466" w:right="2098" w:bottom="2466" w:left="2098" w:header="1559" w:footer="1899" w:gutter="0"/>
          <w:cols w:space="708"/>
          <w:titlePg/>
          <w:docGrid w:linePitch="360"/>
        </w:sectPr>
      </w:pPr>
      <w:r>
        <w:t xml:space="preserve">These amendments are to apply </w:t>
      </w:r>
      <w:r w:rsidRPr="008A6B88">
        <w:t>for the 2011</w:t>
      </w:r>
      <w:r w:rsidRPr="008A6B88">
        <w:noBreakHyphen/>
        <w:t>12 income year</w:t>
      </w:r>
      <w:r>
        <w:t xml:space="preserve">.  </w:t>
      </w:r>
      <w:r w:rsidRPr="008A6B88">
        <w:t>The increased thresholds, which reflect changes in the consumer price index, ensure the relevant taxpayers do not incur a liability to the Medicare levy or Medicare levy surcharge</w:t>
      </w:r>
      <w:r>
        <w:t xml:space="preserve">.  </w:t>
      </w:r>
      <w:r w:rsidRPr="008A6B88">
        <w:t xml:space="preserve">There are no adverse effects on </w:t>
      </w:r>
      <w:r w:rsidRPr="00B2413E">
        <w:t>taxpayers</w:t>
      </w:r>
      <w:r>
        <w:t xml:space="preserve">.  </w:t>
      </w:r>
      <w:r w:rsidRPr="00B2413E">
        <w:rPr>
          <w:b/>
          <w:i/>
          <w:sz w:val="18"/>
          <w:szCs w:val="18"/>
        </w:rPr>
        <w:t>[Schedule 1, item 13]</w:t>
      </w:r>
    </w:p>
    <w:p w:rsidR="00B9029A" w:rsidRPr="00E4135E" w:rsidRDefault="00B9029A" w:rsidP="001C590E">
      <w:pPr>
        <w:pStyle w:val="Heading2"/>
      </w:pPr>
      <w:r w:rsidRPr="00E4135E">
        <w:lastRenderedPageBreak/>
        <w:t>Statement of Compatibility with Human Rights</w:t>
      </w:r>
    </w:p>
    <w:p w:rsidR="00B9029A" w:rsidRPr="00E4135E" w:rsidRDefault="00B9029A" w:rsidP="001C590E">
      <w:pPr>
        <w:pStyle w:val="Heading3"/>
      </w:pPr>
      <w:r w:rsidRPr="00E4135E">
        <w:t xml:space="preserve">Prepared in accordance with Part 3 of the </w:t>
      </w:r>
      <w:r w:rsidRPr="005A6477">
        <w:rPr>
          <w:i/>
        </w:rPr>
        <w:t>Human Rights (Parliamentary Scrutiny) Act 2011</w:t>
      </w:r>
    </w:p>
    <w:p w:rsidR="00B9029A" w:rsidRPr="00233BFA" w:rsidRDefault="00B9029A" w:rsidP="001C590E">
      <w:pPr>
        <w:pStyle w:val="Heading3"/>
        <w:rPr>
          <w:i/>
          <w:sz w:val="20"/>
        </w:rPr>
      </w:pPr>
      <w:r w:rsidRPr="00233BFA">
        <w:rPr>
          <w:i/>
          <w:sz w:val="20"/>
        </w:rPr>
        <w:t>Tax Laws Amendment (Medicare levy and Medicare levy Surcharge) Bill 2012</w:t>
      </w:r>
    </w:p>
    <w:p w:rsidR="00B9029A" w:rsidRPr="00324B43" w:rsidRDefault="00B9029A" w:rsidP="001C590E">
      <w:pPr>
        <w:pStyle w:val="base-text-paragraph"/>
      </w:pPr>
      <w:r w:rsidRPr="00324B43">
        <w:t xml:space="preserve">This Bill is compatible with the human rights and freedoms recognised or declared in the international instruments listed in section 3 of the </w:t>
      </w:r>
      <w:r w:rsidRPr="00324B43">
        <w:rPr>
          <w:i/>
        </w:rPr>
        <w:t>Human Rights (Parliamentary Scrutiny) Act 2011</w:t>
      </w:r>
      <w:r>
        <w:t>.</w:t>
      </w:r>
    </w:p>
    <w:p w:rsidR="00B9029A" w:rsidRPr="00324B43" w:rsidRDefault="00B9029A" w:rsidP="001C590E">
      <w:pPr>
        <w:pStyle w:val="Heading3"/>
        <w:rPr>
          <w:sz w:val="20"/>
        </w:rPr>
      </w:pPr>
      <w:r w:rsidRPr="00324B43">
        <w:rPr>
          <w:sz w:val="20"/>
        </w:rPr>
        <w:t xml:space="preserve">Overview </w:t>
      </w:r>
    </w:p>
    <w:p w:rsidR="00B9029A" w:rsidRPr="00324B43" w:rsidRDefault="00B9029A" w:rsidP="001C590E">
      <w:pPr>
        <w:pStyle w:val="base-text-paragraph"/>
      </w:pPr>
      <w:r>
        <w:t xml:space="preserve">This Bill amends the </w:t>
      </w:r>
      <w:r w:rsidRPr="008B3803">
        <w:rPr>
          <w:i/>
        </w:rPr>
        <w:t>Medicare Levy Act 1986</w:t>
      </w:r>
      <w:r>
        <w:rPr>
          <w:i/>
        </w:rPr>
        <w:t xml:space="preserve">, </w:t>
      </w:r>
      <w:r w:rsidRPr="001359AB">
        <w:t>the</w:t>
      </w:r>
      <w:r>
        <w:rPr>
          <w:i/>
        </w:rPr>
        <w:t xml:space="preserve"> A New Tax System (Medicare Levy Surcharge</w:t>
      </w:r>
      <w:r>
        <w:rPr>
          <w:i/>
        </w:rPr>
        <w:noBreakHyphen/>
        <w:t xml:space="preserve">Fringe Benefits) Act 1999, </w:t>
      </w:r>
      <w:r w:rsidRPr="005A6477">
        <w:t>and the</w:t>
      </w:r>
      <w:r>
        <w:rPr>
          <w:i/>
        </w:rPr>
        <w:t xml:space="preserve"> Clean Energy (Tax Laws Amendments) Act 2011</w:t>
      </w:r>
      <w:r>
        <w:t xml:space="preserve"> to raise the Medicare levy and Medicare levy surcharge low-income thresholds.  Raising these thresholds will ensure that the low-income individuals and families who were exempt from the levy and surcharge in 2010</w:t>
      </w:r>
      <w:r>
        <w:noBreakHyphen/>
        <w:t>11 will continue to be exempt in 2011</w:t>
      </w:r>
      <w:r>
        <w:noBreakHyphen/>
        <w:t xml:space="preserve">12, if their incomes have increased in line with the consumer price index.  </w:t>
      </w:r>
    </w:p>
    <w:p w:rsidR="00B9029A" w:rsidRPr="007B72D7" w:rsidRDefault="00B9029A" w:rsidP="001C590E">
      <w:pPr>
        <w:pStyle w:val="Heading3"/>
        <w:rPr>
          <w:sz w:val="20"/>
        </w:rPr>
      </w:pPr>
      <w:r w:rsidRPr="007B72D7">
        <w:rPr>
          <w:sz w:val="20"/>
        </w:rPr>
        <w:t>Human rights implications</w:t>
      </w:r>
    </w:p>
    <w:p w:rsidR="00B9029A" w:rsidRPr="007B72D7" w:rsidRDefault="00B9029A" w:rsidP="001C590E">
      <w:pPr>
        <w:pStyle w:val="base-text-paragraph"/>
      </w:pPr>
      <w:r>
        <w:t>This Bill</w:t>
      </w:r>
      <w:r w:rsidRPr="007B72D7">
        <w:t xml:space="preserve"> does not engage any of the</w:t>
      </w:r>
      <w:r>
        <w:t xml:space="preserve"> applicable rights or freedoms.</w:t>
      </w:r>
    </w:p>
    <w:p w:rsidR="00B9029A" w:rsidRPr="007B72D7" w:rsidRDefault="00B9029A" w:rsidP="001C590E">
      <w:pPr>
        <w:pStyle w:val="Heading3"/>
        <w:rPr>
          <w:sz w:val="20"/>
        </w:rPr>
      </w:pPr>
      <w:r w:rsidRPr="007B72D7">
        <w:rPr>
          <w:sz w:val="20"/>
        </w:rPr>
        <w:t>Conclusion</w:t>
      </w:r>
    </w:p>
    <w:p w:rsidR="00B9029A" w:rsidRPr="007B72D7" w:rsidRDefault="00B9029A" w:rsidP="001C590E">
      <w:pPr>
        <w:pStyle w:val="base-text-paragraph"/>
      </w:pPr>
      <w:r w:rsidRPr="007B72D7">
        <w:t>This Bill is compatible with human rights as it does not</w:t>
      </w:r>
      <w:r>
        <w:t xml:space="preserve"> raise any human rights issues.</w:t>
      </w:r>
    </w:p>
    <w:p w:rsidR="00B9029A" w:rsidRPr="00E4135E" w:rsidRDefault="00B9029A" w:rsidP="001C590E">
      <w:pPr>
        <w:pStyle w:val="Heading2"/>
      </w:pPr>
      <w:r>
        <w:t>Assistant Treasurer, the Hon David Bradbury</w:t>
      </w:r>
    </w:p>
    <w:p w:rsidR="00713DF0" w:rsidRDefault="00713DF0" w:rsidP="001C590E">
      <w:pPr>
        <w:pStyle w:val="Chapterheadingsubdocument"/>
        <w:sectPr w:rsidR="00713DF0" w:rsidSect="00713DF0">
          <w:headerReference w:type="even" r:id="rId34"/>
          <w:headerReference w:type="default" r:id="rId35"/>
          <w:footerReference w:type="even" r:id="rId36"/>
          <w:footerReference w:type="default" r:id="rId37"/>
          <w:headerReference w:type="first" r:id="rId38"/>
          <w:footerReference w:type="first" r:id="rId39"/>
          <w:pgSz w:w="11906" w:h="16838" w:code="9"/>
          <w:pgMar w:top="2466" w:right="2098" w:bottom="2466" w:left="2098" w:header="1559" w:footer="1899" w:gutter="0"/>
          <w:cols w:space="708"/>
          <w:titlePg/>
          <w:docGrid w:linePitch="360"/>
        </w:sectPr>
      </w:pPr>
      <w:bookmarkStart w:id="6" w:name="Index"/>
      <w:bookmarkStart w:id="7" w:name="_Toc322686188"/>
    </w:p>
    <w:p w:rsidR="00686E1C" w:rsidRPr="00D67ADC" w:rsidRDefault="00686E1C" w:rsidP="001C590E">
      <w:pPr>
        <w:pStyle w:val="Chapterheadingsubdocument"/>
      </w:pPr>
      <w:r w:rsidRPr="00D67ADC">
        <w:lastRenderedPageBreak/>
        <w:t>Index</w:t>
      </w:r>
      <w:bookmarkEnd w:id="6"/>
      <w:bookmarkEnd w:id="7"/>
    </w:p>
    <w:p w:rsidR="00686E1C" w:rsidRDefault="00686E1C" w:rsidP="001C590E">
      <w:pPr>
        <w:pStyle w:val="Heading2with18pointafter"/>
      </w:pPr>
      <w:r>
        <w:t>Schedule 1:  Medicare levy and Medicare levy surcharge income thresholds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686E1C" w:rsidRPr="00442FB9" w:rsidTr="001C590E">
        <w:trPr>
          <w:tblHeader/>
        </w:trPr>
        <w:tc>
          <w:tcPr>
            <w:tcW w:w="5760" w:type="dxa"/>
          </w:tcPr>
          <w:p w:rsidR="00686E1C" w:rsidRPr="00231CBA" w:rsidRDefault="00686E1C" w:rsidP="001C590E">
            <w:pPr>
              <w:pStyle w:val="tableheaderwithintable"/>
            </w:pPr>
            <w:r w:rsidRPr="00231CBA">
              <w:t>Bill reference</w:t>
            </w:r>
          </w:p>
        </w:tc>
        <w:tc>
          <w:tcPr>
            <w:tcW w:w="1980" w:type="dxa"/>
          </w:tcPr>
          <w:p w:rsidR="00686E1C" w:rsidRPr="00231CBA" w:rsidRDefault="00686E1C" w:rsidP="001C590E">
            <w:pPr>
              <w:pStyle w:val="tableheaderwithintable"/>
            </w:pPr>
            <w:r w:rsidRPr="00231CBA">
              <w:t>Paragraph number</w:t>
            </w:r>
          </w:p>
        </w:tc>
      </w:tr>
      <w:tr w:rsidR="00686E1C" w:rsidRPr="00231CBA" w:rsidTr="001C590E">
        <w:trPr>
          <w:tblHeader/>
        </w:trPr>
        <w:tc>
          <w:tcPr>
            <w:tcW w:w="5760" w:type="dxa"/>
          </w:tcPr>
          <w:p w:rsidR="00686E1C" w:rsidRPr="00231CBA" w:rsidRDefault="00686E1C" w:rsidP="001C590E">
            <w:pPr>
              <w:pStyle w:val="tabletext"/>
            </w:pPr>
            <w:r>
              <w:t>Item 1</w:t>
            </w:r>
          </w:p>
        </w:tc>
        <w:tc>
          <w:tcPr>
            <w:tcW w:w="1980" w:type="dxa"/>
          </w:tcPr>
          <w:p w:rsidR="00686E1C" w:rsidRPr="00231CBA" w:rsidRDefault="00686E1C" w:rsidP="001C590E">
            <w:pPr>
              <w:pStyle w:val="tabletext"/>
            </w:pPr>
            <w:r>
              <w:t>1.19</w:t>
            </w:r>
          </w:p>
        </w:tc>
      </w:tr>
      <w:tr w:rsidR="00686E1C" w:rsidRPr="00231CBA" w:rsidTr="001C590E">
        <w:trPr>
          <w:tblHeader/>
        </w:trPr>
        <w:tc>
          <w:tcPr>
            <w:tcW w:w="5760" w:type="dxa"/>
          </w:tcPr>
          <w:p w:rsidR="00686E1C" w:rsidRDefault="00686E1C" w:rsidP="001C590E">
            <w:pPr>
              <w:pStyle w:val="tabletext"/>
            </w:pPr>
            <w:r>
              <w:t>Item 2</w:t>
            </w:r>
          </w:p>
        </w:tc>
        <w:tc>
          <w:tcPr>
            <w:tcW w:w="1980" w:type="dxa"/>
          </w:tcPr>
          <w:p w:rsidR="00686E1C" w:rsidRDefault="00686E1C" w:rsidP="001C590E">
            <w:pPr>
              <w:pStyle w:val="tabletext"/>
            </w:pPr>
            <w:r>
              <w:t>1.15</w:t>
            </w:r>
          </w:p>
        </w:tc>
      </w:tr>
      <w:tr w:rsidR="00686E1C" w:rsidRPr="00231CBA" w:rsidTr="001C590E">
        <w:trPr>
          <w:tblHeader/>
        </w:trPr>
        <w:tc>
          <w:tcPr>
            <w:tcW w:w="5760" w:type="dxa"/>
          </w:tcPr>
          <w:p w:rsidR="00686E1C" w:rsidRDefault="00686E1C" w:rsidP="001C590E">
            <w:pPr>
              <w:pStyle w:val="tabletext"/>
            </w:pPr>
            <w:r>
              <w:t>Item 3</w:t>
            </w:r>
          </w:p>
        </w:tc>
        <w:tc>
          <w:tcPr>
            <w:tcW w:w="1980" w:type="dxa"/>
          </w:tcPr>
          <w:p w:rsidR="00686E1C" w:rsidRDefault="00686E1C" w:rsidP="001C590E">
            <w:pPr>
              <w:pStyle w:val="tabletext"/>
            </w:pPr>
            <w:r>
              <w:t>1.14</w:t>
            </w:r>
          </w:p>
        </w:tc>
      </w:tr>
      <w:tr w:rsidR="00686E1C" w:rsidRPr="00231CBA" w:rsidTr="001C590E">
        <w:trPr>
          <w:tblHeader/>
        </w:trPr>
        <w:tc>
          <w:tcPr>
            <w:tcW w:w="5760" w:type="dxa"/>
          </w:tcPr>
          <w:p w:rsidR="00686E1C" w:rsidRDefault="00686E1C" w:rsidP="001C590E">
            <w:pPr>
              <w:pStyle w:val="tabletext"/>
            </w:pPr>
            <w:r>
              <w:t>Item 4</w:t>
            </w:r>
          </w:p>
        </w:tc>
        <w:tc>
          <w:tcPr>
            <w:tcW w:w="1980" w:type="dxa"/>
          </w:tcPr>
          <w:p w:rsidR="00686E1C" w:rsidRDefault="00686E1C" w:rsidP="001C590E">
            <w:pPr>
              <w:pStyle w:val="tabletext"/>
            </w:pPr>
            <w:r>
              <w:t>1.12</w:t>
            </w:r>
          </w:p>
        </w:tc>
      </w:tr>
      <w:tr w:rsidR="00686E1C" w:rsidRPr="00231CBA" w:rsidTr="001C590E">
        <w:trPr>
          <w:tblHeader/>
        </w:trPr>
        <w:tc>
          <w:tcPr>
            <w:tcW w:w="5760" w:type="dxa"/>
          </w:tcPr>
          <w:p w:rsidR="00686E1C" w:rsidRDefault="00686E1C" w:rsidP="001C590E">
            <w:pPr>
              <w:pStyle w:val="tabletext"/>
            </w:pPr>
            <w:r>
              <w:t>Item 5</w:t>
            </w:r>
          </w:p>
        </w:tc>
        <w:tc>
          <w:tcPr>
            <w:tcW w:w="1980" w:type="dxa"/>
          </w:tcPr>
          <w:p w:rsidR="00686E1C" w:rsidRDefault="00686E1C" w:rsidP="001C590E">
            <w:pPr>
              <w:pStyle w:val="tabletext"/>
            </w:pPr>
            <w:r>
              <w:t>1.9</w:t>
            </w:r>
          </w:p>
        </w:tc>
      </w:tr>
      <w:tr w:rsidR="00686E1C" w:rsidRPr="00231CBA" w:rsidTr="001C590E">
        <w:trPr>
          <w:tblHeader/>
        </w:trPr>
        <w:tc>
          <w:tcPr>
            <w:tcW w:w="5760" w:type="dxa"/>
          </w:tcPr>
          <w:p w:rsidR="00686E1C" w:rsidRDefault="00686E1C" w:rsidP="001C590E">
            <w:pPr>
              <w:pStyle w:val="tabletext"/>
            </w:pPr>
            <w:r>
              <w:t>Items 6 to 8</w:t>
            </w:r>
          </w:p>
        </w:tc>
        <w:tc>
          <w:tcPr>
            <w:tcW w:w="1980" w:type="dxa"/>
          </w:tcPr>
          <w:p w:rsidR="00686E1C" w:rsidRDefault="00686E1C" w:rsidP="001C590E">
            <w:pPr>
              <w:pStyle w:val="tabletext"/>
            </w:pPr>
            <w:r>
              <w:t>1.10</w:t>
            </w:r>
          </w:p>
        </w:tc>
      </w:tr>
      <w:tr w:rsidR="00686E1C" w:rsidRPr="00231CBA" w:rsidTr="001C590E">
        <w:trPr>
          <w:tblHeader/>
        </w:trPr>
        <w:tc>
          <w:tcPr>
            <w:tcW w:w="5760" w:type="dxa"/>
          </w:tcPr>
          <w:p w:rsidR="00686E1C" w:rsidRDefault="00686E1C" w:rsidP="001C590E">
            <w:pPr>
              <w:pStyle w:val="tabletext"/>
            </w:pPr>
            <w:r>
              <w:t>Items 9 to 12</w:t>
            </w:r>
          </w:p>
        </w:tc>
        <w:tc>
          <w:tcPr>
            <w:tcW w:w="1980" w:type="dxa"/>
          </w:tcPr>
          <w:p w:rsidR="00686E1C" w:rsidRDefault="00686E1C" w:rsidP="001C590E">
            <w:pPr>
              <w:pStyle w:val="tabletext"/>
            </w:pPr>
            <w:r>
              <w:t>1.18</w:t>
            </w:r>
          </w:p>
        </w:tc>
      </w:tr>
      <w:tr w:rsidR="00686E1C" w:rsidRPr="00231CBA" w:rsidTr="001C590E">
        <w:trPr>
          <w:tblHeader/>
        </w:trPr>
        <w:tc>
          <w:tcPr>
            <w:tcW w:w="5760" w:type="dxa"/>
          </w:tcPr>
          <w:p w:rsidR="00686E1C" w:rsidRDefault="00686E1C" w:rsidP="001C590E">
            <w:pPr>
              <w:pStyle w:val="tabletext"/>
            </w:pPr>
            <w:r>
              <w:t>Item 13</w:t>
            </w:r>
          </w:p>
        </w:tc>
        <w:tc>
          <w:tcPr>
            <w:tcW w:w="1980" w:type="dxa"/>
          </w:tcPr>
          <w:p w:rsidR="00686E1C" w:rsidRDefault="00686E1C" w:rsidP="001C590E">
            <w:pPr>
              <w:pStyle w:val="tabletext"/>
            </w:pPr>
            <w:r>
              <w:t>1.23</w:t>
            </w:r>
          </w:p>
        </w:tc>
      </w:tr>
      <w:tr w:rsidR="00686E1C" w:rsidRPr="00231CBA" w:rsidTr="001C590E">
        <w:trPr>
          <w:tblHeader/>
        </w:trPr>
        <w:tc>
          <w:tcPr>
            <w:tcW w:w="5760" w:type="dxa"/>
          </w:tcPr>
          <w:p w:rsidR="00686E1C" w:rsidRDefault="00686E1C" w:rsidP="001C590E">
            <w:pPr>
              <w:pStyle w:val="tabletext"/>
            </w:pPr>
            <w:r>
              <w:t>Items 14 and 16</w:t>
            </w:r>
          </w:p>
        </w:tc>
        <w:tc>
          <w:tcPr>
            <w:tcW w:w="1980" w:type="dxa"/>
          </w:tcPr>
          <w:p w:rsidR="00686E1C" w:rsidRDefault="00686E1C" w:rsidP="001C590E">
            <w:pPr>
              <w:pStyle w:val="tabletext"/>
            </w:pPr>
            <w:r>
              <w:t>1.21</w:t>
            </w:r>
          </w:p>
        </w:tc>
      </w:tr>
      <w:tr w:rsidR="00686E1C" w:rsidRPr="00231CBA" w:rsidTr="001C590E">
        <w:trPr>
          <w:tblHeader/>
        </w:trPr>
        <w:tc>
          <w:tcPr>
            <w:tcW w:w="5760" w:type="dxa"/>
          </w:tcPr>
          <w:p w:rsidR="00686E1C" w:rsidRDefault="00686E1C" w:rsidP="001C590E">
            <w:pPr>
              <w:pStyle w:val="tabletext"/>
            </w:pPr>
            <w:r>
              <w:t>Item 15</w:t>
            </w:r>
          </w:p>
        </w:tc>
        <w:tc>
          <w:tcPr>
            <w:tcW w:w="1980" w:type="dxa"/>
          </w:tcPr>
          <w:p w:rsidR="00686E1C" w:rsidRDefault="00686E1C" w:rsidP="001C590E">
            <w:pPr>
              <w:pStyle w:val="tabletext"/>
            </w:pPr>
            <w:r>
              <w:t>1.22</w:t>
            </w:r>
          </w:p>
        </w:tc>
      </w:tr>
    </w:tbl>
    <w:p w:rsidR="00686E1C" w:rsidRDefault="00686E1C" w:rsidP="001C590E"/>
    <w:p w:rsidR="00686E1C" w:rsidRDefault="00686E1C" w:rsidP="001C590E">
      <w:pPr>
        <w:pStyle w:val="Hiddentext"/>
      </w:pPr>
      <w:r>
        <w:t>Do not remove section break.</w:t>
      </w:r>
    </w:p>
    <w:p w:rsidR="00686E1C" w:rsidRPr="00D67ADC" w:rsidRDefault="00686E1C" w:rsidP="00D67ADC"/>
    <w:p w:rsidR="00713DF0" w:rsidRDefault="00713DF0" w:rsidP="00D67ADC">
      <w:pPr>
        <w:sectPr w:rsidR="00713DF0" w:rsidSect="00713DF0">
          <w:headerReference w:type="first" r:id="rId40"/>
          <w:footerReference w:type="first" r:id="rId41"/>
          <w:type w:val="oddPage"/>
          <w:pgSz w:w="11906" w:h="16838" w:code="9"/>
          <w:pgMar w:top="2466" w:right="2098" w:bottom="2466" w:left="2098" w:header="1559" w:footer="1899" w:gutter="0"/>
          <w:cols w:space="708"/>
          <w:titlePg/>
          <w:docGrid w:linePitch="360"/>
        </w:sectPr>
      </w:pPr>
    </w:p>
    <w:p w:rsidR="00686E1C" w:rsidRPr="00D67ADC" w:rsidRDefault="00686E1C" w:rsidP="00D67ADC"/>
    <w:sectPr w:rsidR="00686E1C" w:rsidRPr="00D67ADC" w:rsidSect="00713DF0">
      <w:headerReference w:type="first" r:id="rId42"/>
      <w:footerReference w:type="first" r:id="rId43"/>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F0" w:rsidRDefault="00713DF0">
      <w:r>
        <w:separator/>
      </w:r>
    </w:p>
  </w:endnote>
  <w:endnote w:type="continuationSeparator" w:id="0">
    <w:p w:rsidR="00713DF0" w:rsidRDefault="0071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rightfooter"/>
    </w:pPr>
    <w:r>
      <w:fldChar w:fldCharType="begin"/>
    </w:r>
    <w:r>
      <w:instrText xml:space="preserve"> PAGE   \* MERGEFORMAT </w:instrText>
    </w:r>
    <w:r>
      <w:fldChar w:fldCharType="separate"/>
    </w:r>
    <w:r w:rsidR="00A26A98">
      <w:rPr>
        <w:noProof/>
      </w:rPr>
      <w:t>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75114D">
    <w:pPr>
      <w:pStyle w:val="rightfooter"/>
    </w:pPr>
    <w:r>
      <w:fldChar w:fldCharType="begin"/>
    </w:r>
    <w:r>
      <w:instrText xml:space="preserve"> PAGE  \* Arabic  \* MERGEFORMAT </w:instrText>
    </w:r>
    <w:r>
      <w:fldChar w:fldCharType="separate"/>
    </w:r>
    <w:r w:rsidR="00A26A98">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4D" w:rsidRDefault="0075114D" w:rsidP="0075114D">
    <w:pPr>
      <w:pStyle w:val="leftfooter"/>
    </w:pPr>
    <w:r>
      <w:fldChar w:fldCharType="begin"/>
    </w:r>
    <w:r>
      <w:instrText xml:space="preserve"> PAGE  \* Arabic  \* MERGEFORMAT </w:instrText>
    </w:r>
    <w:r>
      <w:fldChar w:fldCharType="separate"/>
    </w:r>
    <w:r w:rsidR="00A26A98">
      <w:rPr>
        <w:noProof/>
      </w:rPr>
      <w:t>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5A76CC">
    <w:pPr>
      <w:pStyle w:val="leftfooter"/>
    </w:pPr>
    <w:r>
      <w:fldChar w:fldCharType="begin"/>
    </w:r>
    <w:r>
      <w:instrText xml:space="preserve"> PAGE   \* MERGEFORMAT </w:instrText>
    </w:r>
    <w:r>
      <w:fldChar w:fldCharType="separate"/>
    </w:r>
    <w:r>
      <w:rPr>
        <w:noProof/>
      </w:rPr>
      <w:t>12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5A76CC">
    <w:pPr>
      <w:pStyle w:val="rightfooter"/>
    </w:pPr>
    <w:r>
      <w:fldChar w:fldCharType="begin"/>
    </w:r>
    <w:r>
      <w:instrText xml:space="preserve"> PAGE   \* MERGEFORMAT </w:instrText>
    </w:r>
    <w:r>
      <w:fldChar w:fldCharType="separate"/>
    </w:r>
    <w:r>
      <w:rPr>
        <w:noProof/>
      </w:rPr>
      <w:t>11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75114D">
    <w:pPr>
      <w:pStyle w:val="leftfooter"/>
    </w:pPr>
    <w:r>
      <w:fldChar w:fldCharType="begin"/>
    </w:r>
    <w:r>
      <w:instrText xml:space="preserve"> PAGE  \* Arabic  \* MERGEFORMAT </w:instrText>
    </w:r>
    <w:r>
      <w:fldChar w:fldCharType="separate"/>
    </w:r>
    <w:r w:rsidR="00A26A98">
      <w:rPr>
        <w:noProof/>
      </w:rPr>
      <w:t>10</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4D" w:rsidRDefault="0075114D" w:rsidP="0075114D">
    <w:pPr>
      <w:pStyle w:val="rightfooter"/>
    </w:pPr>
    <w:r>
      <w:fldChar w:fldCharType="begin"/>
    </w:r>
    <w:r>
      <w:instrText xml:space="preserve"> PAGE  \* Arabic  \* MERGEFORMAT </w:instrText>
    </w:r>
    <w:r>
      <w:fldChar w:fldCharType="separate"/>
    </w:r>
    <w:r w:rsidR="00A26A98">
      <w:rPr>
        <w:noProof/>
      </w:rPr>
      <w:t>11</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Pr="00713DF0" w:rsidRDefault="00713DF0" w:rsidP="00713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Pr="00B2068E" w:rsidRDefault="00713DF0" w:rsidP="001C590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rightfooter"/>
    </w:pPr>
    <w:r>
      <w:fldChar w:fldCharType="begin"/>
    </w:r>
    <w:r>
      <w:instrText xml:space="preserve"> PAGE  \* Arabic  \* MERGEFORMAT </w:instrText>
    </w:r>
    <w:r>
      <w:fldChar w:fldCharType="separate"/>
    </w:r>
    <w:r w:rsidR="00A26A98">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leftfooter"/>
    </w:pPr>
    <w:r>
      <w:fldChar w:fldCharType="begin"/>
    </w:r>
    <w:r>
      <w:instrText xml:space="preserve"> PAGE   \* MERGEFORMAT </w:instrText>
    </w:r>
    <w:r>
      <w:fldChar w:fldCharType="separate"/>
    </w:r>
    <w:r w:rsidR="00A26A9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F0" w:rsidRDefault="00713DF0">
      <w:r>
        <w:separator/>
      </w:r>
    </w:p>
  </w:footnote>
  <w:footnote w:type="continuationSeparator" w:id="0">
    <w:p w:rsidR="00713DF0" w:rsidRDefault="00713DF0">
      <w:r>
        <w:continuationSeparator/>
      </w:r>
    </w:p>
  </w:footnote>
  <w:footnote w:id="1">
    <w:p w:rsidR="00713DF0" w:rsidRDefault="00713DF0" w:rsidP="001C590E">
      <w:pPr>
        <w:pStyle w:val="FootnoteText"/>
        <w:spacing w:after="60"/>
      </w:pPr>
      <w:r w:rsidRPr="00962CC3">
        <w:rPr>
          <w:rStyle w:val="FootnoteReference"/>
          <w:vertAlign w:val="baseline"/>
        </w:rPr>
        <w:footnoteRef/>
      </w:r>
      <w:r w:rsidR="00962CC3">
        <w:t xml:space="preserve"> </w:t>
      </w:r>
      <w:r w:rsidR="00962CC3">
        <w:tab/>
      </w:r>
      <w:r>
        <w:t>These figures also apply to taxpayers who are entitled (or would have been entitled had the laws applicable to rebates not been amended with effect from 1 July 2000) to a sole parent, child</w:t>
      </w:r>
      <w:r>
        <w:noBreakHyphen/>
        <w:t>housekeeper or housekeeper rebate.</w:t>
      </w:r>
    </w:p>
  </w:footnote>
  <w:footnote w:id="2">
    <w:p w:rsidR="00713DF0" w:rsidRDefault="00713DF0" w:rsidP="001C590E">
      <w:pPr>
        <w:pStyle w:val="FootnoteText"/>
        <w:spacing w:after="60"/>
      </w:pPr>
      <w:r w:rsidRPr="00962CC3">
        <w:rPr>
          <w:rStyle w:val="FootnoteReference"/>
          <w:vertAlign w:val="baseline"/>
        </w:rPr>
        <w:footnoteRef/>
      </w:r>
      <w:r w:rsidRPr="00962CC3">
        <w:t xml:space="preserve"> </w:t>
      </w:r>
      <w:r w:rsidR="00962CC3">
        <w:tab/>
      </w:r>
      <w:r>
        <w:t>Where there are more than six dependent children or students, add</w:t>
      </w:r>
      <w:r w:rsidRPr="00CE1427">
        <w:t xml:space="preserve"> $3,007 for each</w:t>
      </w:r>
      <w:r>
        <w:t xml:space="preserve"> extra child or student.</w:t>
      </w:r>
    </w:p>
  </w:footnote>
  <w:footnote w:id="3">
    <w:p w:rsidR="00713DF0" w:rsidRDefault="00713DF0" w:rsidP="001C590E">
      <w:pPr>
        <w:pStyle w:val="FootnoteText"/>
        <w:spacing w:after="60"/>
      </w:pPr>
      <w:r w:rsidRPr="00962CC3">
        <w:rPr>
          <w:rStyle w:val="FootnoteReference"/>
          <w:vertAlign w:val="baseline"/>
        </w:rPr>
        <w:footnoteRef/>
      </w:r>
      <w:r w:rsidRPr="00962CC3">
        <w:t xml:space="preserve"> </w:t>
      </w:r>
      <w:r w:rsidR="00962CC3">
        <w:tab/>
      </w:r>
      <w:r>
        <w:t>See note 2.</w:t>
      </w:r>
    </w:p>
  </w:footnote>
  <w:footnote w:id="4">
    <w:p w:rsidR="00713DF0" w:rsidRDefault="00713DF0" w:rsidP="001C590E">
      <w:pPr>
        <w:pStyle w:val="FootnoteText"/>
        <w:spacing w:after="60"/>
      </w:pPr>
      <w:r w:rsidRPr="00962CC3">
        <w:rPr>
          <w:rStyle w:val="FootnoteReference"/>
          <w:vertAlign w:val="baseline"/>
        </w:rPr>
        <w:footnoteRef/>
      </w:r>
      <w:r w:rsidRPr="00962CC3">
        <w:t xml:space="preserve"> </w:t>
      </w:r>
      <w:r w:rsidR="00962CC3">
        <w:tab/>
      </w:r>
      <w:r w:rsidRPr="00CE1427">
        <w:t>Where there are more than six dependent children or students, add $3,538 for each extra</w:t>
      </w:r>
      <w:r>
        <w:t xml:space="preserve"> child or student.</w:t>
      </w:r>
    </w:p>
  </w:footnote>
  <w:footnote w:id="5">
    <w:p w:rsidR="00713DF0" w:rsidRDefault="00713DF0" w:rsidP="001C590E">
      <w:pPr>
        <w:pStyle w:val="FootnoteText"/>
        <w:spacing w:after="60"/>
      </w:pPr>
      <w:r w:rsidRPr="00962CC3">
        <w:rPr>
          <w:rStyle w:val="FootnoteReference"/>
          <w:vertAlign w:val="baseline"/>
        </w:rPr>
        <w:footnoteRef/>
      </w:r>
      <w:r w:rsidRPr="00962CC3">
        <w:t xml:space="preserve"> </w:t>
      </w:r>
      <w:r w:rsidR="00962CC3">
        <w:tab/>
      </w:r>
      <w:r>
        <w:t>See 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rightheader"/>
    </w:pPr>
    <w:r w:rsidRPr="008472B0">
      <w:t>Medicare levy and Medicare levy surcharge low</w:t>
    </w:r>
    <w:r w:rsidRPr="008472B0">
      <w:noBreakHyphen/>
      <w:t>income thresholds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Pr="001C590E" w:rsidRDefault="00713DF0" w:rsidP="001C59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rightheader"/>
    </w:pPr>
    <w:r w:rsidRPr="008472B0">
      <w:t>Medicare levy and Medicare levy surcharge low</w:t>
    </w:r>
    <w:r w:rsidRPr="008472B0">
      <w:noBreakHyphen/>
      <w:t>income thresholds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Pr="001C590E" w:rsidRDefault="00713DF0" w:rsidP="001C590E">
    <w:pPr>
      <w:pStyle w:val="leftheader"/>
    </w:pPr>
    <w:r w:rsidRPr="00640683">
      <w:t>Tax Laws Amendment (Medicare levy and Me</w:t>
    </w:r>
    <w:r>
      <w:t>dicare levy surcharge) Bill 2012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Pr="001C590E" w:rsidRDefault="00713DF0" w:rsidP="001C590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5A76CC">
    <w:pPr>
      <w:pStyle w:val="rightheader"/>
    </w:pPr>
    <w:r>
      <w:fldChar w:fldCharType="begin"/>
    </w:r>
    <w:r>
      <w:instrText xml:space="preserve"> macrobutton nomacro [Click here and enter the name of the Chapter </w:instrTex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Pr="001C590E" w:rsidRDefault="00713DF0" w:rsidP="001C590E">
    <w:pPr>
      <w:pStyle w:val="leftheader"/>
    </w:pPr>
    <w:r w:rsidRPr="00640683">
      <w:t>Tax Laws Amendment (Medicare levy and Me</w:t>
    </w:r>
    <w:r>
      <w:t>dicare levy surcharge) Bill 2012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Pr="00713DF0" w:rsidRDefault="00713DF0" w:rsidP="00713DF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Pr="00713DF0" w:rsidRDefault="00713DF0" w:rsidP="00713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Pr="001C590E" w:rsidRDefault="00713DF0" w:rsidP="001C59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leftheader"/>
    </w:pPr>
    <w:r>
      <w:fldChar w:fldCharType="begin"/>
    </w:r>
    <w:r>
      <w:instrText xml:space="preserve"> macrobutton nomacro [Click here and insert the name of the Bill] </w:instrTex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Pr="001C590E" w:rsidRDefault="00713DF0" w:rsidP="001C59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0" w:rsidRDefault="00713DF0" w:rsidP="001C590E">
    <w:pPr>
      <w:pStyle w:val="leftheader"/>
    </w:pPr>
    <w:r w:rsidRPr="00640683">
      <w:t>Tax Laws Amendment (Medicare levy and Me</w:t>
    </w:r>
    <w:r>
      <w:t>dicare levy surcharge) Bill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8A42BA2"/>
    <w:multiLevelType w:val="multilevel"/>
    <w:tmpl w:val="6A20DF68"/>
    <w:name w:val="StandardBulletedList"/>
    <w:lvl w:ilvl="0">
      <w:start w:val="1"/>
      <w:numFmt w:val="bullet"/>
      <w:pStyle w:val="Bullet"/>
      <w:lvlText w:val="•"/>
      <w:lvlJc w:val="left"/>
      <w:pPr>
        <w:tabs>
          <w:tab w:val="num" w:pos="2480"/>
        </w:tabs>
        <w:ind w:left="2480" w:hanging="520"/>
      </w:pPr>
      <w:rPr>
        <w:rFonts w:ascii="Times New Roman" w:hAnsi="Times New Roman" w:cs="Times New Roman"/>
      </w:rPr>
    </w:lvl>
    <w:lvl w:ilvl="1">
      <w:start w:val="1"/>
      <w:numFmt w:val="bullet"/>
      <w:pStyle w:val="Dash"/>
      <w:lvlText w:val="–"/>
      <w:lvlJc w:val="left"/>
      <w:pPr>
        <w:tabs>
          <w:tab w:val="num" w:pos="3000"/>
        </w:tabs>
        <w:ind w:left="3000" w:hanging="520"/>
      </w:pPr>
      <w:rPr>
        <w:rFonts w:ascii="Times New Roman" w:hAnsi="Times New Roman" w:cs="Times New Roman"/>
      </w:rPr>
    </w:lvl>
    <w:lvl w:ilvl="2">
      <w:start w:val="1"/>
      <w:numFmt w:val="bullet"/>
      <w:pStyle w:val="DoubleDot"/>
      <w:lvlText w:val=":"/>
      <w:lvlJc w:val="left"/>
      <w:pPr>
        <w:tabs>
          <w:tab w:val="num" w:pos="3520"/>
        </w:tabs>
        <w:ind w:left="3520" w:hanging="520"/>
      </w:pPr>
      <w:rPr>
        <w:rFonts w:ascii="Times New Roman" w:hAnsi="Times New Roman" w:cs="Times New Roman"/>
      </w:rPr>
    </w:lvl>
    <w:lvl w:ilvl="3">
      <w:start w:val="1"/>
      <w:numFmt w:val="decimal"/>
      <w:lvlText w:val="(%4)"/>
      <w:lvlJc w:val="left"/>
      <w:pPr>
        <w:ind w:left="5560" w:hanging="360"/>
      </w:pPr>
    </w:lvl>
    <w:lvl w:ilvl="4">
      <w:start w:val="1"/>
      <w:numFmt w:val="lowerLetter"/>
      <w:lvlText w:val="(%5)"/>
      <w:lvlJc w:val="left"/>
      <w:pPr>
        <w:ind w:left="5920" w:hanging="360"/>
      </w:pPr>
    </w:lvl>
    <w:lvl w:ilvl="5">
      <w:start w:val="1"/>
      <w:numFmt w:val="lowerRoman"/>
      <w:lvlText w:val="(%6)"/>
      <w:lvlJc w:val="left"/>
      <w:pPr>
        <w:ind w:left="6280" w:hanging="360"/>
      </w:pPr>
    </w:lvl>
    <w:lvl w:ilvl="6">
      <w:start w:val="1"/>
      <w:numFmt w:val="decimal"/>
      <w:lvlText w:val="%7."/>
      <w:lvlJc w:val="left"/>
      <w:pPr>
        <w:ind w:left="6640" w:hanging="360"/>
      </w:pPr>
    </w:lvl>
    <w:lvl w:ilvl="7">
      <w:start w:val="1"/>
      <w:numFmt w:val="lowerLetter"/>
      <w:lvlText w:val="%8."/>
      <w:lvlJc w:val="left"/>
      <w:pPr>
        <w:ind w:left="7000" w:hanging="360"/>
      </w:pPr>
    </w:lvl>
    <w:lvl w:ilvl="8">
      <w:start w:val="1"/>
      <w:numFmt w:val="lowerRoman"/>
      <w:lvlText w:val="%9."/>
      <w:lvlJc w:val="left"/>
      <w:pPr>
        <w:ind w:left="7360" w:hanging="360"/>
      </w:pPr>
    </w:lvl>
  </w:abstractNum>
  <w:abstractNum w:abstractNumId="13">
    <w:nsid w:val="0F5B5BBF"/>
    <w:multiLevelType w:val="multilevel"/>
    <w:tmpl w:val="A316FE50"/>
    <w:numStyleLink w:val="ChapterList"/>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1"/>
  </w:num>
  <w:num w:numId="2">
    <w:abstractNumId w:val="20"/>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8"/>
  </w:num>
  <w:num w:numId="17">
    <w:abstractNumId w:val="29"/>
  </w:num>
  <w:num w:numId="18">
    <w:abstractNumId w:val="10"/>
  </w:num>
  <w:num w:numId="19">
    <w:abstractNumId w:val="19"/>
  </w:num>
  <w:num w:numId="20">
    <w:abstractNumId w:val="23"/>
  </w:num>
  <w:num w:numId="21">
    <w:abstractNumId w:val="24"/>
  </w:num>
  <w:num w:numId="22">
    <w:abstractNumId w:val="14"/>
  </w:num>
  <w:num w:numId="23">
    <w:abstractNumId w:val="16"/>
  </w:num>
  <w:num w:numId="24">
    <w:abstractNumId w:val="27"/>
  </w:num>
  <w:num w:numId="25">
    <w:abstractNumId w:val="30"/>
  </w:num>
  <w:num w:numId="26">
    <w:abstractNumId w:val="25"/>
  </w:num>
  <w:num w:numId="27">
    <w:abstractNumId w:val="11"/>
  </w:num>
  <w:num w:numId="28">
    <w:abstractNumId w:val="22"/>
  </w:num>
  <w:num w:numId="29">
    <w:abstractNumId w:val="13"/>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9A"/>
    <w:rsid w:val="00012F66"/>
    <w:rsid w:val="000327A2"/>
    <w:rsid w:val="0003305A"/>
    <w:rsid w:val="00034BE8"/>
    <w:rsid w:val="00050170"/>
    <w:rsid w:val="0005600E"/>
    <w:rsid w:val="00067E1D"/>
    <w:rsid w:val="000705A5"/>
    <w:rsid w:val="000725C0"/>
    <w:rsid w:val="00075250"/>
    <w:rsid w:val="00076543"/>
    <w:rsid w:val="000835C7"/>
    <w:rsid w:val="00085C5D"/>
    <w:rsid w:val="0009055D"/>
    <w:rsid w:val="000960B7"/>
    <w:rsid w:val="000A0AFD"/>
    <w:rsid w:val="000A2094"/>
    <w:rsid w:val="000A5B26"/>
    <w:rsid w:val="000A6DBE"/>
    <w:rsid w:val="000B7FBA"/>
    <w:rsid w:val="000C06D9"/>
    <w:rsid w:val="000D54A6"/>
    <w:rsid w:val="000E089D"/>
    <w:rsid w:val="000E5B9A"/>
    <w:rsid w:val="001114E6"/>
    <w:rsid w:val="00121EB0"/>
    <w:rsid w:val="0012307B"/>
    <w:rsid w:val="00123D96"/>
    <w:rsid w:val="00131E0C"/>
    <w:rsid w:val="0014197C"/>
    <w:rsid w:val="00147843"/>
    <w:rsid w:val="00174A29"/>
    <w:rsid w:val="001C590E"/>
    <w:rsid w:val="001E6545"/>
    <w:rsid w:val="00200E96"/>
    <w:rsid w:val="00201B36"/>
    <w:rsid w:val="00220D6C"/>
    <w:rsid w:val="00222D57"/>
    <w:rsid w:val="00231CBA"/>
    <w:rsid w:val="00236A1C"/>
    <w:rsid w:val="00250154"/>
    <w:rsid w:val="00266048"/>
    <w:rsid w:val="00272FD3"/>
    <w:rsid w:val="002857E2"/>
    <w:rsid w:val="002A4F1C"/>
    <w:rsid w:val="002A64A2"/>
    <w:rsid w:val="002C43E8"/>
    <w:rsid w:val="002D2436"/>
    <w:rsid w:val="002D6555"/>
    <w:rsid w:val="002E3A4D"/>
    <w:rsid w:val="002E5FD3"/>
    <w:rsid w:val="002F2244"/>
    <w:rsid w:val="002F3991"/>
    <w:rsid w:val="002F75B0"/>
    <w:rsid w:val="00320374"/>
    <w:rsid w:val="00345CCB"/>
    <w:rsid w:val="00346BEB"/>
    <w:rsid w:val="003505E3"/>
    <w:rsid w:val="00370AE1"/>
    <w:rsid w:val="00370CF4"/>
    <w:rsid w:val="003719A4"/>
    <w:rsid w:val="00376FAF"/>
    <w:rsid w:val="00377CD4"/>
    <w:rsid w:val="00387BAB"/>
    <w:rsid w:val="0039400F"/>
    <w:rsid w:val="003A311E"/>
    <w:rsid w:val="003A5D7E"/>
    <w:rsid w:val="003B2C77"/>
    <w:rsid w:val="003B550D"/>
    <w:rsid w:val="003C1301"/>
    <w:rsid w:val="003C5BA3"/>
    <w:rsid w:val="003D6FD9"/>
    <w:rsid w:val="003D7F02"/>
    <w:rsid w:val="003E0794"/>
    <w:rsid w:val="003E68F7"/>
    <w:rsid w:val="003F096C"/>
    <w:rsid w:val="0043366C"/>
    <w:rsid w:val="00433B1D"/>
    <w:rsid w:val="00433FD9"/>
    <w:rsid w:val="00436054"/>
    <w:rsid w:val="00441D38"/>
    <w:rsid w:val="00442FB9"/>
    <w:rsid w:val="0044391B"/>
    <w:rsid w:val="00457BC3"/>
    <w:rsid w:val="00460019"/>
    <w:rsid w:val="00465A34"/>
    <w:rsid w:val="00470181"/>
    <w:rsid w:val="004710EB"/>
    <w:rsid w:val="00475D9F"/>
    <w:rsid w:val="00480C91"/>
    <w:rsid w:val="004836D2"/>
    <w:rsid w:val="004B755A"/>
    <w:rsid w:val="004C1468"/>
    <w:rsid w:val="004D6B85"/>
    <w:rsid w:val="004E161F"/>
    <w:rsid w:val="00502551"/>
    <w:rsid w:val="005052B0"/>
    <w:rsid w:val="0050652E"/>
    <w:rsid w:val="00515E69"/>
    <w:rsid w:val="005177DF"/>
    <w:rsid w:val="00517B68"/>
    <w:rsid w:val="00523617"/>
    <w:rsid w:val="005408E6"/>
    <w:rsid w:val="0054284D"/>
    <w:rsid w:val="00546157"/>
    <w:rsid w:val="00555D38"/>
    <w:rsid w:val="00580C19"/>
    <w:rsid w:val="00585AFF"/>
    <w:rsid w:val="005A5BB3"/>
    <w:rsid w:val="005A76CC"/>
    <w:rsid w:val="005B22C7"/>
    <w:rsid w:val="005B546F"/>
    <w:rsid w:val="005C0475"/>
    <w:rsid w:val="005C2B1A"/>
    <w:rsid w:val="005C6FB4"/>
    <w:rsid w:val="005D0F90"/>
    <w:rsid w:val="005E77E1"/>
    <w:rsid w:val="0060211C"/>
    <w:rsid w:val="006071CA"/>
    <w:rsid w:val="006071E9"/>
    <w:rsid w:val="00621923"/>
    <w:rsid w:val="006412C3"/>
    <w:rsid w:val="00653DA2"/>
    <w:rsid w:val="006655F9"/>
    <w:rsid w:val="006712FD"/>
    <w:rsid w:val="00676AC8"/>
    <w:rsid w:val="006857AE"/>
    <w:rsid w:val="00686E1C"/>
    <w:rsid w:val="006916A8"/>
    <w:rsid w:val="006B6BF0"/>
    <w:rsid w:val="006C3CEB"/>
    <w:rsid w:val="006D4184"/>
    <w:rsid w:val="006E01A2"/>
    <w:rsid w:val="006E08FB"/>
    <w:rsid w:val="006F7AFB"/>
    <w:rsid w:val="007001D0"/>
    <w:rsid w:val="00703C25"/>
    <w:rsid w:val="00707D39"/>
    <w:rsid w:val="00713DF0"/>
    <w:rsid w:val="007155B4"/>
    <w:rsid w:val="00725B4F"/>
    <w:rsid w:val="007329C5"/>
    <w:rsid w:val="00736240"/>
    <w:rsid w:val="007439D0"/>
    <w:rsid w:val="007454F8"/>
    <w:rsid w:val="0075114D"/>
    <w:rsid w:val="00753239"/>
    <w:rsid w:val="007652BC"/>
    <w:rsid w:val="00774214"/>
    <w:rsid w:val="007871CD"/>
    <w:rsid w:val="00790795"/>
    <w:rsid w:val="00792ECD"/>
    <w:rsid w:val="00793F75"/>
    <w:rsid w:val="007966EF"/>
    <w:rsid w:val="007A1BCB"/>
    <w:rsid w:val="007A4C99"/>
    <w:rsid w:val="007B23EE"/>
    <w:rsid w:val="007D1821"/>
    <w:rsid w:val="007E25E0"/>
    <w:rsid w:val="007E3C31"/>
    <w:rsid w:val="00812CBF"/>
    <w:rsid w:val="00813210"/>
    <w:rsid w:val="008147F1"/>
    <w:rsid w:val="008212B5"/>
    <w:rsid w:val="00821379"/>
    <w:rsid w:val="00827930"/>
    <w:rsid w:val="00830A28"/>
    <w:rsid w:val="00832743"/>
    <w:rsid w:val="00835001"/>
    <w:rsid w:val="00844687"/>
    <w:rsid w:val="00855D57"/>
    <w:rsid w:val="00867F0F"/>
    <w:rsid w:val="008752F1"/>
    <w:rsid w:val="00885BE8"/>
    <w:rsid w:val="00890245"/>
    <w:rsid w:val="008923A4"/>
    <w:rsid w:val="008B0747"/>
    <w:rsid w:val="008B095D"/>
    <w:rsid w:val="008B31CE"/>
    <w:rsid w:val="008B56B5"/>
    <w:rsid w:val="008C359D"/>
    <w:rsid w:val="008C51F4"/>
    <w:rsid w:val="008C68A9"/>
    <w:rsid w:val="008D0AE4"/>
    <w:rsid w:val="008D75E9"/>
    <w:rsid w:val="008F1A67"/>
    <w:rsid w:val="008F726E"/>
    <w:rsid w:val="00901ED2"/>
    <w:rsid w:val="00917DED"/>
    <w:rsid w:val="00922787"/>
    <w:rsid w:val="00926E36"/>
    <w:rsid w:val="00935C6B"/>
    <w:rsid w:val="00937B71"/>
    <w:rsid w:val="0095290C"/>
    <w:rsid w:val="009530DE"/>
    <w:rsid w:val="00953F17"/>
    <w:rsid w:val="009615B2"/>
    <w:rsid w:val="00962CC3"/>
    <w:rsid w:val="0096411E"/>
    <w:rsid w:val="00973550"/>
    <w:rsid w:val="009759C8"/>
    <w:rsid w:val="009977B4"/>
    <w:rsid w:val="00997812"/>
    <w:rsid w:val="009A2B11"/>
    <w:rsid w:val="009B2AD6"/>
    <w:rsid w:val="009B3657"/>
    <w:rsid w:val="009C380E"/>
    <w:rsid w:val="009E6C76"/>
    <w:rsid w:val="00A01492"/>
    <w:rsid w:val="00A04A9F"/>
    <w:rsid w:val="00A07DDF"/>
    <w:rsid w:val="00A22C72"/>
    <w:rsid w:val="00A26A98"/>
    <w:rsid w:val="00A27B13"/>
    <w:rsid w:val="00A27B94"/>
    <w:rsid w:val="00A32143"/>
    <w:rsid w:val="00A332EA"/>
    <w:rsid w:val="00A37F77"/>
    <w:rsid w:val="00A44E9C"/>
    <w:rsid w:val="00A516CB"/>
    <w:rsid w:val="00A53EB2"/>
    <w:rsid w:val="00A54CD3"/>
    <w:rsid w:val="00A575AE"/>
    <w:rsid w:val="00A65D09"/>
    <w:rsid w:val="00A722B0"/>
    <w:rsid w:val="00A834B8"/>
    <w:rsid w:val="00A86F1A"/>
    <w:rsid w:val="00A9275F"/>
    <w:rsid w:val="00A93921"/>
    <w:rsid w:val="00A96322"/>
    <w:rsid w:val="00AA20C9"/>
    <w:rsid w:val="00AA2141"/>
    <w:rsid w:val="00AA50D8"/>
    <w:rsid w:val="00AA5524"/>
    <w:rsid w:val="00AD1AAD"/>
    <w:rsid w:val="00AD4ABE"/>
    <w:rsid w:val="00AD6DC4"/>
    <w:rsid w:val="00AD6E17"/>
    <w:rsid w:val="00AE23F9"/>
    <w:rsid w:val="00AF0EB2"/>
    <w:rsid w:val="00AF3340"/>
    <w:rsid w:val="00B00C37"/>
    <w:rsid w:val="00B03C1C"/>
    <w:rsid w:val="00B07898"/>
    <w:rsid w:val="00B206C1"/>
    <w:rsid w:val="00B31641"/>
    <w:rsid w:val="00B6273D"/>
    <w:rsid w:val="00B64794"/>
    <w:rsid w:val="00B654ED"/>
    <w:rsid w:val="00B67600"/>
    <w:rsid w:val="00B725B1"/>
    <w:rsid w:val="00B7388C"/>
    <w:rsid w:val="00B7408F"/>
    <w:rsid w:val="00B75DB6"/>
    <w:rsid w:val="00B9029A"/>
    <w:rsid w:val="00B93631"/>
    <w:rsid w:val="00B94871"/>
    <w:rsid w:val="00B94FB4"/>
    <w:rsid w:val="00BA2235"/>
    <w:rsid w:val="00BA2903"/>
    <w:rsid w:val="00BA728F"/>
    <w:rsid w:val="00BC3DB1"/>
    <w:rsid w:val="00BE681A"/>
    <w:rsid w:val="00BF1C59"/>
    <w:rsid w:val="00C03AF3"/>
    <w:rsid w:val="00C05595"/>
    <w:rsid w:val="00C1738A"/>
    <w:rsid w:val="00C26CB0"/>
    <w:rsid w:val="00C27414"/>
    <w:rsid w:val="00C32240"/>
    <w:rsid w:val="00C44D85"/>
    <w:rsid w:val="00C55D39"/>
    <w:rsid w:val="00C643DF"/>
    <w:rsid w:val="00C744BC"/>
    <w:rsid w:val="00C8648B"/>
    <w:rsid w:val="00C978EF"/>
    <w:rsid w:val="00CA5F63"/>
    <w:rsid w:val="00CA7CDA"/>
    <w:rsid w:val="00CB007F"/>
    <w:rsid w:val="00CB6473"/>
    <w:rsid w:val="00CC09C5"/>
    <w:rsid w:val="00CC5A10"/>
    <w:rsid w:val="00CD1FA8"/>
    <w:rsid w:val="00CE1CB4"/>
    <w:rsid w:val="00CE4136"/>
    <w:rsid w:val="00CE5590"/>
    <w:rsid w:val="00CF3913"/>
    <w:rsid w:val="00CF5226"/>
    <w:rsid w:val="00CF5EE9"/>
    <w:rsid w:val="00CF670E"/>
    <w:rsid w:val="00D01826"/>
    <w:rsid w:val="00D01E95"/>
    <w:rsid w:val="00D15430"/>
    <w:rsid w:val="00D22699"/>
    <w:rsid w:val="00D363E1"/>
    <w:rsid w:val="00D372B4"/>
    <w:rsid w:val="00D4029F"/>
    <w:rsid w:val="00D522E9"/>
    <w:rsid w:val="00D66F0C"/>
    <w:rsid w:val="00D67ADC"/>
    <w:rsid w:val="00D75FB3"/>
    <w:rsid w:val="00D85B38"/>
    <w:rsid w:val="00D90D9C"/>
    <w:rsid w:val="00D93657"/>
    <w:rsid w:val="00D963F2"/>
    <w:rsid w:val="00DA72C6"/>
    <w:rsid w:val="00DB1F26"/>
    <w:rsid w:val="00DB36FF"/>
    <w:rsid w:val="00DD2EC4"/>
    <w:rsid w:val="00DD6306"/>
    <w:rsid w:val="00DE2E40"/>
    <w:rsid w:val="00E01A29"/>
    <w:rsid w:val="00E110EE"/>
    <w:rsid w:val="00E2061C"/>
    <w:rsid w:val="00E31B34"/>
    <w:rsid w:val="00E47DF5"/>
    <w:rsid w:val="00E509B6"/>
    <w:rsid w:val="00E54185"/>
    <w:rsid w:val="00E7365D"/>
    <w:rsid w:val="00E74BDE"/>
    <w:rsid w:val="00E80C57"/>
    <w:rsid w:val="00E85785"/>
    <w:rsid w:val="00E87729"/>
    <w:rsid w:val="00E91A7C"/>
    <w:rsid w:val="00ED50A3"/>
    <w:rsid w:val="00EE7884"/>
    <w:rsid w:val="00EF521D"/>
    <w:rsid w:val="00EF789C"/>
    <w:rsid w:val="00F05754"/>
    <w:rsid w:val="00F1601D"/>
    <w:rsid w:val="00F51A71"/>
    <w:rsid w:val="00F579E9"/>
    <w:rsid w:val="00F605D2"/>
    <w:rsid w:val="00F853D1"/>
    <w:rsid w:val="00F87253"/>
    <w:rsid w:val="00F918CE"/>
    <w:rsid w:val="00F92FE2"/>
    <w:rsid w:val="00F95B90"/>
    <w:rsid w:val="00FA129E"/>
    <w:rsid w:val="00FA3792"/>
    <w:rsid w:val="00FB1570"/>
    <w:rsid w:val="00FB53AE"/>
    <w:rsid w:val="00FC604E"/>
    <w:rsid w:val="00FD4B5C"/>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F579E9"/>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7966EF"/>
    <w:pPr>
      <w:numPr>
        <w:ilvl w:val="1"/>
        <w:numId w:val="3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30"/>
      </w:numPr>
      <w:tabs>
        <w:tab w:val="num" w:pos="360"/>
      </w:tabs>
    </w:pPr>
    <w:rPr>
      <w:b/>
    </w:rPr>
  </w:style>
  <w:style w:type="paragraph" w:customStyle="1" w:styleId="Diagram">
    <w:name w:val="Diagram"/>
    <w:basedOn w:val="Normal"/>
    <w:next w:val="base-text-paragraphnonumbers"/>
    <w:rsid w:val="007966EF"/>
    <w:pPr>
      <w:keepNext/>
      <w:numPr>
        <w:ilvl w:val="2"/>
        <w:numId w:val="30"/>
      </w:numPr>
      <w:spacing w:before="0" w:after="0"/>
    </w:pPr>
    <w:rPr>
      <w:b/>
    </w:rPr>
  </w:style>
  <w:style w:type="paragraph" w:customStyle="1" w:styleId="dotpoint">
    <w:name w:val="dot point"/>
    <w:basedOn w:val="Normal"/>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paragraph" w:customStyle="1" w:styleId="Bullet">
    <w:name w:val="Bullet"/>
    <w:basedOn w:val="Normal"/>
    <w:link w:val="BulletChar"/>
    <w:rsid w:val="00B9029A"/>
    <w:pPr>
      <w:numPr>
        <w:numId w:val="31"/>
      </w:numPr>
    </w:pPr>
  </w:style>
  <w:style w:type="character" w:customStyle="1" w:styleId="base-text-paragraphnonumbersChar">
    <w:name w:val="base-text-paragraph no numbers Char"/>
    <w:basedOn w:val="DefaultParagraphFont"/>
    <w:link w:val="base-text-paragraphnonumbers"/>
    <w:rsid w:val="00B9029A"/>
    <w:rPr>
      <w:sz w:val="22"/>
    </w:rPr>
  </w:style>
  <w:style w:type="character" w:customStyle="1" w:styleId="BulletChar">
    <w:name w:val="Bullet Char"/>
    <w:basedOn w:val="base-text-paragraphnonumbersChar"/>
    <w:link w:val="Bullet"/>
    <w:rsid w:val="00B9029A"/>
    <w:rPr>
      <w:sz w:val="22"/>
    </w:rPr>
  </w:style>
  <w:style w:type="paragraph" w:customStyle="1" w:styleId="Dash">
    <w:name w:val="Dash"/>
    <w:basedOn w:val="Normal"/>
    <w:link w:val="DashChar"/>
    <w:rsid w:val="00B9029A"/>
    <w:pPr>
      <w:numPr>
        <w:ilvl w:val="1"/>
        <w:numId w:val="31"/>
      </w:numPr>
    </w:pPr>
  </w:style>
  <w:style w:type="character" w:customStyle="1" w:styleId="DashChar">
    <w:name w:val="Dash Char"/>
    <w:basedOn w:val="base-text-paragraphnonumbersChar"/>
    <w:link w:val="Dash"/>
    <w:rsid w:val="00B9029A"/>
    <w:rPr>
      <w:sz w:val="22"/>
    </w:rPr>
  </w:style>
  <w:style w:type="paragraph" w:customStyle="1" w:styleId="DoubleDot">
    <w:name w:val="Double Dot"/>
    <w:basedOn w:val="Normal"/>
    <w:rsid w:val="00B9029A"/>
    <w:pPr>
      <w:numPr>
        <w:ilvl w:val="2"/>
        <w:numId w:val="31"/>
      </w:numPr>
    </w:pPr>
  </w:style>
  <w:style w:type="character" w:styleId="FootnoteReference">
    <w:name w:val="footnote reference"/>
    <w:basedOn w:val="DefaultParagraphFont"/>
    <w:rsid w:val="00B9029A"/>
    <w:rPr>
      <w:vertAlign w:val="superscript"/>
    </w:rPr>
  </w:style>
  <w:style w:type="paragraph" w:styleId="BalloonText">
    <w:name w:val="Balloon Text"/>
    <w:basedOn w:val="Normal"/>
    <w:link w:val="BalloonTextChar"/>
    <w:rsid w:val="00546157"/>
    <w:pPr>
      <w:spacing w:before="0" w:after="0"/>
    </w:pPr>
    <w:rPr>
      <w:rFonts w:ascii="Tahoma" w:hAnsi="Tahoma" w:cs="Tahoma"/>
      <w:sz w:val="16"/>
      <w:szCs w:val="16"/>
    </w:rPr>
  </w:style>
  <w:style w:type="character" w:customStyle="1" w:styleId="BalloonTextChar">
    <w:name w:val="Balloon Text Char"/>
    <w:basedOn w:val="DefaultParagraphFont"/>
    <w:link w:val="BalloonText"/>
    <w:rsid w:val="00546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F579E9"/>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7966EF"/>
    <w:pPr>
      <w:numPr>
        <w:ilvl w:val="1"/>
        <w:numId w:val="3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30"/>
      </w:numPr>
      <w:tabs>
        <w:tab w:val="num" w:pos="360"/>
      </w:tabs>
    </w:pPr>
    <w:rPr>
      <w:b/>
    </w:rPr>
  </w:style>
  <w:style w:type="paragraph" w:customStyle="1" w:styleId="Diagram">
    <w:name w:val="Diagram"/>
    <w:basedOn w:val="Normal"/>
    <w:next w:val="base-text-paragraphnonumbers"/>
    <w:rsid w:val="007966EF"/>
    <w:pPr>
      <w:keepNext/>
      <w:numPr>
        <w:ilvl w:val="2"/>
        <w:numId w:val="30"/>
      </w:numPr>
      <w:spacing w:before="0" w:after="0"/>
    </w:pPr>
    <w:rPr>
      <w:b/>
    </w:rPr>
  </w:style>
  <w:style w:type="paragraph" w:customStyle="1" w:styleId="dotpoint">
    <w:name w:val="dot point"/>
    <w:basedOn w:val="Normal"/>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paragraph" w:customStyle="1" w:styleId="Bullet">
    <w:name w:val="Bullet"/>
    <w:basedOn w:val="Normal"/>
    <w:link w:val="BulletChar"/>
    <w:rsid w:val="00B9029A"/>
    <w:pPr>
      <w:numPr>
        <w:numId w:val="31"/>
      </w:numPr>
    </w:pPr>
  </w:style>
  <w:style w:type="character" w:customStyle="1" w:styleId="base-text-paragraphnonumbersChar">
    <w:name w:val="base-text-paragraph no numbers Char"/>
    <w:basedOn w:val="DefaultParagraphFont"/>
    <w:link w:val="base-text-paragraphnonumbers"/>
    <w:rsid w:val="00B9029A"/>
    <w:rPr>
      <w:sz w:val="22"/>
    </w:rPr>
  </w:style>
  <w:style w:type="character" w:customStyle="1" w:styleId="BulletChar">
    <w:name w:val="Bullet Char"/>
    <w:basedOn w:val="base-text-paragraphnonumbersChar"/>
    <w:link w:val="Bullet"/>
    <w:rsid w:val="00B9029A"/>
    <w:rPr>
      <w:sz w:val="22"/>
    </w:rPr>
  </w:style>
  <w:style w:type="paragraph" w:customStyle="1" w:styleId="Dash">
    <w:name w:val="Dash"/>
    <w:basedOn w:val="Normal"/>
    <w:link w:val="DashChar"/>
    <w:rsid w:val="00B9029A"/>
    <w:pPr>
      <w:numPr>
        <w:ilvl w:val="1"/>
        <w:numId w:val="31"/>
      </w:numPr>
    </w:pPr>
  </w:style>
  <w:style w:type="character" w:customStyle="1" w:styleId="DashChar">
    <w:name w:val="Dash Char"/>
    <w:basedOn w:val="base-text-paragraphnonumbersChar"/>
    <w:link w:val="Dash"/>
    <w:rsid w:val="00B9029A"/>
    <w:rPr>
      <w:sz w:val="22"/>
    </w:rPr>
  </w:style>
  <w:style w:type="paragraph" w:customStyle="1" w:styleId="DoubleDot">
    <w:name w:val="Double Dot"/>
    <w:basedOn w:val="Normal"/>
    <w:rsid w:val="00B9029A"/>
    <w:pPr>
      <w:numPr>
        <w:ilvl w:val="2"/>
        <w:numId w:val="31"/>
      </w:numPr>
    </w:pPr>
  </w:style>
  <w:style w:type="character" w:styleId="FootnoteReference">
    <w:name w:val="footnote reference"/>
    <w:basedOn w:val="DefaultParagraphFont"/>
    <w:rsid w:val="00B9029A"/>
    <w:rPr>
      <w:vertAlign w:val="superscript"/>
    </w:rPr>
  </w:style>
  <w:style w:type="paragraph" w:styleId="BalloonText">
    <w:name w:val="Balloon Text"/>
    <w:basedOn w:val="Normal"/>
    <w:link w:val="BalloonTextChar"/>
    <w:rsid w:val="00546157"/>
    <w:pPr>
      <w:spacing w:before="0" w:after="0"/>
    </w:pPr>
    <w:rPr>
      <w:rFonts w:ascii="Tahoma" w:hAnsi="Tahoma" w:cs="Tahoma"/>
      <w:sz w:val="16"/>
      <w:szCs w:val="16"/>
    </w:rPr>
  </w:style>
  <w:style w:type="character" w:customStyle="1" w:styleId="BalloonTextChar">
    <w:name w:val="Balloon Text Char"/>
    <w:basedOn w:val="DefaultParagraphFont"/>
    <w:link w:val="BalloonText"/>
    <w:rsid w:val="00546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7426-8327-46D4-BBCD-50766071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131</TotalTime>
  <Pages>16</Pages>
  <Words>1944</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Hitchenson, Natalie</dc:creator>
  <cp:lastModifiedBy>Jovanovic, Slavenka</cp:lastModifiedBy>
  <cp:revision>8</cp:revision>
  <cp:lastPrinted>2012-05-01T06:04:00Z</cp:lastPrinted>
  <dcterms:created xsi:type="dcterms:W3CDTF">2012-04-20T00:20:00Z</dcterms:created>
  <dcterms:modified xsi:type="dcterms:W3CDTF">2012-05-01T23:41:00Z</dcterms:modified>
</cp:coreProperties>
</file>