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CF" w:rsidRDefault="009732CF" w:rsidP="006808D8">
      <w:pPr>
        <w:jc w:val="center"/>
        <w:rPr>
          <w:rFonts w:ascii="Times New Roman" w:hAnsi="Times New Roman"/>
        </w:rPr>
      </w:pPr>
    </w:p>
    <w:p w:rsidR="009732CF" w:rsidRDefault="009732CF" w:rsidP="006808D8">
      <w:pPr>
        <w:jc w:val="center"/>
        <w:rPr>
          <w:rFonts w:ascii="Times New Roman" w:hAnsi="Times New Roman"/>
        </w:rPr>
      </w:pPr>
    </w:p>
    <w:p w:rsidR="009732CF" w:rsidRDefault="009732CF" w:rsidP="006808D8">
      <w:pPr>
        <w:jc w:val="center"/>
        <w:rPr>
          <w:rFonts w:ascii="Times New Roman" w:hAnsi="Times New Roman"/>
        </w:rPr>
      </w:pPr>
    </w:p>
    <w:p w:rsidR="006808D8" w:rsidRPr="00F04158" w:rsidRDefault="00924ECE" w:rsidP="006808D8">
      <w:pPr>
        <w:jc w:val="center"/>
        <w:rPr>
          <w:rFonts w:ascii="Times New Roman" w:hAnsi="Times New Roman"/>
        </w:rPr>
      </w:pPr>
      <w:r w:rsidRPr="00F04158">
        <w:rPr>
          <w:rFonts w:ascii="Times New Roman" w:hAnsi="Times New Roman"/>
        </w:rPr>
        <w:t>2010-2011-</w:t>
      </w:r>
      <w:r w:rsidR="006808D8" w:rsidRPr="00F04158">
        <w:rPr>
          <w:rFonts w:ascii="Times New Roman" w:hAnsi="Times New Roman"/>
        </w:rPr>
        <w:t>2012</w:t>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r w:rsidRPr="00F04158">
        <w:rPr>
          <w:rFonts w:ascii="Times New Roman" w:hAnsi="Times New Roman"/>
        </w:rPr>
        <w:t>THE PARLIAMENT OF THE COMMONWEALTH OF AUSTRALIA</w:t>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r w:rsidRPr="00F04158">
        <w:rPr>
          <w:rFonts w:ascii="Times New Roman" w:hAnsi="Times New Roman"/>
        </w:rPr>
        <w:t xml:space="preserve">HOUSE OF REPRESENTATIVES </w:t>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b/>
        </w:rPr>
      </w:pPr>
      <w:r w:rsidRPr="00F04158">
        <w:rPr>
          <w:rFonts w:ascii="Times New Roman" w:hAnsi="Times New Roman"/>
          <w:b/>
        </w:rPr>
        <w:t>TRANSPORT SAFETY INVESTIGATION AMENDMENT BILL 2012</w:t>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r w:rsidRPr="00F04158">
        <w:rPr>
          <w:rFonts w:ascii="Times New Roman" w:hAnsi="Times New Roman"/>
        </w:rPr>
        <w:t>EXPLANATORY MEMORANDUM</w:t>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tabs>
          <w:tab w:val="left" w:pos="2148"/>
        </w:tabs>
        <w:rPr>
          <w:rFonts w:ascii="Times New Roman" w:hAnsi="Times New Roman"/>
        </w:rPr>
      </w:pPr>
      <w:r w:rsidRPr="00F04158">
        <w:rPr>
          <w:rFonts w:ascii="Times New Roman" w:hAnsi="Times New Roman"/>
        </w:rPr>
        <w:tab/>
      </w: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p>
    <w:p w:rsidR="006808D8" w:rsidRPr="00F04158" w:rsidRDefault="006808D8" w:rsidP="006808D8">
      <w:pPr>
        <w:jc w:val="center"/>
        <w:rPr>
          <w:rFonts w:ascii="Times New Roman" w:hAnsi="Times New Roman"/>
        </w:rPr>
      </w:pPr>
      <w:r w:rsidRPr="00F04158">
        <w:rPr>
          <w:rFonts w:ascii="Times New Roman" w:hAnsi="Times New Roman"/>
        </w:rPr>
        <w:t xml:space="preserve">(Circulated by authority of the Minister for Infrastructure and Transport, </w:t>
      </w:r>
    </w:p>
    <w:p w:rsidR="006808D8" w:rsidRPr="00F04158" w:rsidRDefault="006808D8" w:rsidP="006808D8">
      <w:pPr>
        <w:jc w:val="center"/>
        <w:rPr>
          <w:rFonts w:ascii="Times New Roman" w:hAnsi="Times New Roman"/>
        </w:rPr>
      </w:pPr>
      <w:r w:rsidRPr="00F04158">
        <w:rPr>
          <w:rFonts w:ascii="Times New Roman" w:hAnsi="Times New Roman"/>
        </w:rPr>
        <w:t>the Honourable Anthony Albanese, MP)</w:t>
      </w:r>
    </w:p>
    <w:p w:rsidR="006808D8" w:rsidRPr="00F04158" w:rsidRDefault="006808D8" w:rsidP="006808D8">
      <w:pPr>
        <w:jc w:val="center"/>
        <w:rPr>
          <w:rFonts w:ascii="Times New Roman" w:hAnsi="Times New Roman"/>
        </w:rPr>
      </w:pPr>
    </w:p>
    <w:p w:rsidR="006808D8" w:rsidRPr="008D69A3" w:rsidRDefault="006808D8" w:rsidP="006808D8">
      <w:pPr>
        <w:jc w:val="center"/>
      </w:pPr>
    </w:p>
    <w:p w:rsidR="00E9323D" w:rsidRPr="00FD5265" w:rsidRDefault="0069383F" w:rsidP="0069383F">
      <w:pPr>
        <w:jc w:val="center"/>
        <w:sectPr w:rsidR="00E9323D" w:rsidRPr="00FD5265" w:rsidSect="00EE2DBA">
          <w:pgSz w:w="11907" w:h="16840" w:code="9"/>
          <w:pgMar w:top="1440" w:right="1440" w:bottom="1440" w:left="1440" w:header="720" w:footer="720" w:gutter="0"/>
          <w:pgNumType w:start="1"/>
          <w:cols w:space="720"/>
          <w:titlePg/>
        </w:sectPr>
      </w:pPr>
      <w:r w:rsidRPr="0069383F">
        <w:rPr>
          <w:rFonts w:ascii="Times New Roman" w:hAnsi="Times New Roman"/>
          <w:szCs w:val="24"/>
        </w:rPr>
        <w:br w:type="textWrapping" w:clear="all"/>
      </w:r>
      <w:r w:rsidR="00E9323D" w:rsidRPr="00FD5265">
        <w:br w:type="page"/>
      </w:r>
    </w:p>
    <w:p w:rsidR="00E9323D" w:rsidRPr="00F04158" w:rsidRDefault="009E5787" w:rsidP="00F04158">
      <w:pPr>
        <w:pStyle w:val="legcohead3"/>
      </w:pPr>
      <w:r w:rsidRPr="00F04158">
        <w:rPr>
          <w:shd w:val="clear" w:color="000000" w:fill="FFFFFF"/>
        </w:rPr>
        <w:lastRenderedPageBreak/>
        <w:t>TRANSPORT SAFETY INVESTIGATION AMENDMENT BILL</w:t>
      </w:r>
    </w:p>
    <w:p w:rsidR="00E9323D" w:rsidRPr="00F04158" w:rsidRDefault="00E9323D" w:rsidP="00F04158">
      <w:pPr>
        <w:jc w:val="center"/>
        <w:rPr>
          <w:rFonts w:ascii="Times New Roman" w:hAnsi="Times New Roman"/>
        </w:rPr>
      </w:pPr>
    </w:p>
    <w:p w:rsidR="00924ECE" w:rsidRPr="00F04158" w:rsidRDefault="00E9323D" w:rsidP="00F04158">
      <w:pPr>
        <w:rPr>
          <w:rFonts w:ascii="Times New Roman" w:hAnsi="Times New Roman"/>
          <w:b/>
        </w:rPr>
      </w:pPr>
      <w:r w:rsidRPr="00F04158">
        <w:rPr>
          <w:rFonts w:ascii="Times New Roman" w:hAnsi="Times New Roman"/>
          <w:b/>
        </w:rPr>
        <w:t>OUTLINE</w:t>
      </w:r>
    </w:p>
    <w:p w:rsidR="00924ECE" w:rsidRPr="00F04158" w:rsidRDefault="00924ECE" w:rsidP="00F04158">
      <w:pPr>
        <w:rPr>
          <w:rFonts w:ascii="Times New Roman" w:hAnsi="Times New Roman"/>
          <w:b/>
        </w:rPr>
      </w:pPr>
    </w:p>
    <w:p w:rsidR="003F7EDE" w:rsidRPr="00F04158" w:rsidRDefault="003F7EDE" w:rsidP="00F04158">
      <w:pPr>
        <w:rPr>
          <w:rFonts w:ascii="Times New Roman" w:hAnsi="Times New Roman"/>
        </w:rPr>
      </w:pPr>
      <w:r w:rsidRPr="00F04158">
        <w:rPr>
          <w:rFonts w:ascii="Times New Roman" w:hAnsi="Times New Roman"/>
        </w:rPr>
        <w:t xml:space="preserve">The Transport Safety Investigation Amendment Bill proposes amendments to the </w:t>
      </w:r>
      <w:r w:rsidRPr="00F04158">
        <w:rPr>
          <w:rFonts w:ascii="Times New Roman" w:hAnsi="Times New Roman"/>
          <w:i/>
        </w:rPr>
        <w:t>Transport Safety Investigation Act 2003</w:t>
      </w:r>
      <w:r w:rsidRPr="00F04158">
        <w:rPr>
          <w:rFonts w:ascii="Times New Roman" w:hAnsi="Times New Roman"/>
        </w:rPr>
        <w:t xml:space="preserve"> (TSI Act) to:</w:t>
      </w:r>
    </w:p>
    <w:p w:rsidR="00F04158" w:rsidRPr="00F269F2" w:rsidRDefault="00F04158" w:rsidP="00F04158">
      <w:pPr>
        <w:rPr>
          <w:rFonts w:ascii="Times New Roman" w:hAnsi="Times New Roman"/>
          <w:sz w:val="20"/>
        </w:rPr>
      </w:pPr>
    </w:p>
    <w:p w:rsidR="003F7EDE" w:rsidRPr="00F04158" w:rsidRDefault="003F7EDE" w:rsidP="00F04158">
      <w:pPr>
        <w:pStyle w:val="ListParagraph"/>
        <w:numPr>
          <w:ilvl w:val="0"/>
          <w:numId w:val="21"/>
        </w:numPr>
        <w:contextualSpacing w:val="0"/>
        <w:rPr>
          <w:rFonts w:ascii="Times New Roman" w:hAnsi="Times New Roman"/>
        </w:rPr>
      </w:pPr>
      <w:r w:rsidRPr="00F04158">
        <w:rPr>
          <w:rFonts w:ascii="Times New Roman" w:hAnsi="Times New Roman"/>
        </w:rPr>
        <w:t xml:space="preserve">give </w:t>
      </w:r>
      <w:r w:rsidR="00987E94" w:rsidRPr="00F04158">
        <w:rPr>
          <w:rFonts w:ascii="Times New Roman" w:hAnsi="Times New Roman"/>
        </w:rPr>
        <w:t>s</w:t>
      </w:r>
      <w:r w:rsidRPr="00F04158">
        <w:rPr>
          <w:rFonts w:ascii="Times New Roman" w:hAnsi="Times New Roman"/>
        </w:rPr>
        <w:t xml:space="preserve">tate and </w:t>
      </w:r>
      <w:r w:rsidR="00987E94" w:rsidRPr="00F04158">
        <w:rPr>
          <w:rFonts w:ascii="Times New Roman" w:hAnsi="Times New Roman"/>
        </w:rPr>
        <w:t>t</w:t>
      </w:r>
      <w:r w:rsidRPr="00F04158">
        <w:rPr>
          <w:rFonts w:ascii="Times New Roman" w:hAnsi="Times New Roman"/>
        </w:rPr>
        <w:t xml:space="preserve">erritory government </w:t>
      </w:r>
      <w:r w:rsidR="00987E94" w:rsidRPr="00F04158">
        <w:rPr>
          <w:rFonts w:ascii="Times New Roman" w:hAnsi="Times New Roman"/>
        </w:rPr>
        <w:t>M</w:t>
      </w:r>
      <w:r w:rsidRPr="00F04158">
        <w:rPr>
          <w:rFonts w:ascii="Times New Roman" w:hAnsi="Times New Roman"/>
        </w:rPr>
        <w:t xml:space="preserve">inisters with a responsibility for rail </w:t>
      </w:r>
      <w:r w:rsidR="005603E1" w:rsidRPr="00F04158">
        <w:rPr>
          <w:rFonts w:ascii="Times New Roman" w:hAnsi="Times New Roman"/>
        </w:rPr>
        <w:t>a right</w:t>
      </w:r>
      <w:r w:rsidRPr="00F04158">
        <w:rPr>
          <w:rFonts w:ascii="Times New Roman" w:hAnsi="Times New Roman"/>
        </w:rPr>
        <w:t xml:space="preserve"> to request the Australian Transport Safety Bureau (ATSB) to conduct an investigation in their jurisdiction; and</w:t>
      </w:r>
    </w:p>
    <w:p w:rsidR="00F04158" w:rsidRPr="0015781C" w:rsidRDefault="00F04158" w:rsidP="00F04158">
      <w:pPr>
        <w:pStyle w:val="ListParagraph"/>
        <w:ind w:left="786"/>
        <w:contextualSpacing w:val="0"/>
        <w:rPr>
          <w:rFonts w:ascii="Times New Roman" w:hAnsi="Times New Roman"/>
          <w:sz w:val="16"/>
          <w:szCs w:val="16"/>
        </w:rPr>
      </w:pPr>
    </w:p>
    <w:p w:rsidR="003F7EDE" w:rsidRPr="00F04158" w:rsidRDefault="003F7EDE" w:rsidP="00F04158">
      <w:pPr>
        <w:pStyle w:val="ListParagraph"/>
        <w:numPr>
          <w:ilvl w:val="0"/>
          <w:numId w:val="21"/>
        </w:numPr>
        <w:contextualSpacing w:val="0"/>
        <w:rPr>
          <w:rFonts w:ascii="Times New Roman" w:hAnsi="Times New Roman"/>
        </w:rPr>
      </w:pPr>
      <w:r w:rsidRPr="00F04158">
        <w:rPr>
          <w:rFonts w:ascii="Times New Roman" w:hAnsi="Times New Roman"/>
        </w:rPr>
        <w:t>clarify the ATSB’s capacity to conduct investigations within</w:t>
      </w:r>
      <w:r w:rsidR="005C3C4F" w:rsidRPr="00F04158">
        <w:rPr>
          <w:rFonts w:ascii="Times New Roman" w:hAnsi="Times New Roman"/>
        </w:rPr>
        <w:t>,</w:t>
      </w:r>
      <w:r w:rsidRPr="00F04158">
        <w:rPr>
          <w:rFonts w:ascii="Times New Roman" w:hAnsi="Times New Roman"/>
        </w:rPr>
        <w:t xml:space="preserve"> </w:t>
      </w:r>
      <w:r w:rsidR="005C3C4F" w:rsidRPr="00F04158">
        <w:rPr>
          <w:rFonts w:ascii="Times New Roman" w:hAnsi="Times New Roman"/>
        </w:rPr>
        <w:t xml:space="preserve">or to or from, </w:t>
      </w:r>
      <w:r w:rsidR="005603E1" w:rsidRPr="00F04158">
        <w:rPr>
          <w:rFonts w:ascii="Times New Roman" w:hAnsi="Times New Roman"/>
        </w:rPr>
        <w:t>a Commonwealth Territory;</w:t>
      </w:r>
    </w:p>
    <w:p w:rsidR="00F04158" w:rsidRPr="0015781C" w:rsidRDefault="00F04158" w:rsidP="00F04158">
      <w:pPr>
        <w:pStyle w:val="ListParagraph"/>
        <w:ind w:left="786"/>
        <w:contextualSpacing w:val="0"/>
        <w:rPr>
          <w:rFonts w:ascii="Times New Roman" w:hAnsi="Times New Roman"/>
          <w:sz w:val="16"/>
          <w:szCs w:val="16"/>
        </w:rPr>
      </w:pPr>
    </w:p>
    <w:p w:rsidR="005603E1" w:rsidRPr="00F04158" w:rsidRDefault="00AC03E7" w:rsidP="00F04158">
      <w:pPr>
        <w:pStyle w:val="ListParagraph"/>
        <w:numPr>
          <w:ilvl w:val="0"/>
          <w:numId w:val="21"/>
        </w:numPr>
        <w:contextualSpacing w:val="0"/>
        <w:rPr>
          <w:rFonts w:ascii="Times New Roman" w:hAnsi="Times New Roman"/>
        </w:rPr>
      </w:pPr>
      <w:r w:rsidRPr="00F04158">
        <w:rPr>
          <w:rFonts w:ascii="Times New Roman" w:hAnsi="Times New Roman"/>
        </w:rPr>
        <w:t xml:space="preserve">provide that </w:t>
      </w:r>
      <w:r w:rsidR="00434AEC" w:rsidRPr="00F04158">
        <w:rPr>
          <w:rFonts w:ascii="Times New Roman" w:hAnsi="Times New Roman"/>
        </w:rPr>
        <w:t xml:space="preserve">On-Board recording and </w:t>
      </w:r>
      <w:r w:rsidRPr="00F04158">
        <w:rPr>
          <w:rFonts w:ascii="Times New Roman" w:hAnsi="Times New Roman"/>
        </w:rPr>
        <w:t>restricted information may be disclosed in accordance with the regulations.</w:t>
      </w:r>
    </w:p>
    <w:p w:rsidR="00F04158" w:rsidRPr="00F269F2" w:rsidRDefault="00F04158" w:rsidP="00F04158">
      <w:pPr>
        <w:pStyle w:val="ListParagraph"/>
        <w:ind w:left="786"/>
        <w:contextualSpacing w:val="0"/>
        <w:rPr>
          <w:rFonts w:ascii="Times New Roman" w:hAnsi="Times New Roman"/>
          <w:sz w:val="20"/>
        </w:rPr>
      </w:pPr>
    </w:p>
    <w:p w:rsidR="009E5787" w:rsidRPr="00F04158" w:rsidRDefault="003F7EDE" w:rsidP="00F04158">
      <w:pPr>
        <w:rPr>
          <w:rFonts w:ascii="Times New Roman" w:hAnsi="Times New Roman"/>
        </w:rPr>
      </w:pPr>
      <w:r w:rsidRPr="00F04158">
        <w:rPr>
          <w:rFonts w:ascii="Times New Roman" w:hAnsi="Times New Roman"/>
        </w:rPr>
        <w:t xml:space="preserve">The </w:t>
      </w:r>
      <w:r w:rsidR="00AC03E7" w:rsidRPr="00F04158">
        <w:rPr>
          <w:rFonts w:ascii="Times New Roman" w:hAnsi="Times New Roman"/>
        </w:rPr>
        <w:t xml:space="preserve">first two </w:t>
      </w:r>
      <w:r w:rsidRPr="00F04158">
        <w:rPr>
          <w:rFonts w:ascii="Times New Roman" w:hAnsi="Times New Roman"/>
        </w:rPr>
        <w:t xml:space="preserve">proposed amendments relate to the implementation of commitments contained in the </w:t>
      </w:r>
      <w:r w:rsidR="009E5787" w:rsidRPr="00F04158">
        <w:rPr>
          <w:rFonts w:ascii="Times New Roman" w:hAnsi="Times New Roman"/>
        </w:rPr>
        <w:t>Intergovernmental Agreement on Rail Safety Regulation and Investigation Reform (the IGA).  The IGA was signed at the Council of Australian Governments (COAG) meeting on 19 August 2011</w:t>
      </w:r>
      <w:r w:rsidR="005F731D" w:rsidRPr="00F04158">
        <w:rPr>
          <w:rFonts w:ascii="Times New Roman" w:hAnsi="Times New Roman"/>
        </w:rPr>
        <w:t xml:space="preserve"> and is available online at </w:t>
      </w:r>
      <w:hyperlink r:id="rId8" w:history="1">
        <w:r w:rsidR="0073597C" w:rsidRPr="00F04158">
          <w:rPr>
            <w:rStyle w:val="Hyperlink"/>
            <w:rFonts w:ascii="Times New Roman" w:hAnsi="Times New Roman"/>
          </w:rPr>
          <w:t>http://www.coag.gov.au</w:t>
        </w:r>
      </w:hyperlink>
      <w:r w:rsidR="009E5787" w:rsidRPr="00F04158">
        <w:rPr>
          <w:rFonts w:ascii="Times New Roman" w:hAnsi="Times New Roman"/>
        </w:rPr>
        <w:t>.</w:t>
      </w:r>
    </w:p>
    <w:p w:rsidR="00F04158" w:rsidRPr="00F269F2" w:rsidRDefault="00F04158" w:rsidP="00F04158">
      <w:pPr>
        <w:rPr>
          <w:rFonts w:ascii="Times New Roman" w:hAnsi="Times New Roman"/>
          <w:sz w:val="20"/>
        </w:rPr>
      </w:pPr>
    </w:p>
    <w:p w:rsidR="00A627C5" w:rsidRPr="00F04158" w:rsidRDefault="003F7EDE" w:rsidP="00F04158">
      <w:pPr>
        <w:rPr>
          <w:rFonts w:ascii="Times New Roman" w:hAnsi="Times New Roman"/>
        </w:rPr>
      </w:pPr>
      <w:r w:rsidRPr="00F04158">
        <w:rPr>
          <w:rFonts w:ascii="Times New Roman" w:hAnsi="Times New Roman"/>
        </w:rPr>
        <w:t xml:space="preserve">In addition to the </w:t>
      </w:r>
      <w:r w:rsidR="005C3C4F" w:rsidRPr="00F04158">
        <w:rPr>
          <w:rFonts w:ascii="Times New Roman" w:hAnsi="Times New Roman"/>
        </w:rPr>
        <w:t xml:space="preserve">separate </w:t>
      </w:r>
      <w:r w:rsidRPr="00F04158">
        <w:rPr>
          <w:rFonts w:ascii="Times New Roman" w:hAnsi="Times New Roman"/>
        </w:rPr>
        <w:t>establishment of a National Rail Safety Regulator (NRSR)</w:t>
      </w:r>
      <w:r w:rsidR="005C3C4F" w:rsidRPr="00F04158">
        <w:rPr>
          <w:rFonts w:ascii="Times New Roman" w:hAnsi="Times New Roman"/>
        </w:rPr>
        <w:t>,</w:t>
      </w:r>
      <w:r w:rsidRPr="00F04158">
        <w:rPr>
          <w:rFonts w:ascii="Times New Roman" w:hAnsi="Times New Roman"/>
        </w:rPr>
        <w:t xml:space="preserve"> the IGA commits the ATSB to becoming the national rail safety investigator</w:t>
      </w:r>
      <w:r w:rsidR="0003513D" w:rsidRPr="00F04158">
        <w:rPr>
          <w:rFonts w:ascii="Times New Roman" w:hAnsi="Times New Roman"/>
        </w:rPr>
        <w:t xml:space="preserve">.  Fulfilment of this commitment does not require extensive </w:t>
      </w:r>
      <w:r w:rsidR="005C3C4F" w:rsidRPr="00F04158">
        <w:rPr>
          <w:rFonts w:ascii="Times New Roman" w:hAnsi="Times New Roman"/>
        </w:rPr>
        <w:t>amendment</w:t>
      </w:r>
      <w:r w:rsidR="00AC03E7" w:rsidRPr="00F04158">
        <w:rPr>
          <w:rFonts w:ascii="Times New Roman" w:hAnsi="Times New Roman"/>
        </w:rPr>
        <w:t>s</w:t>
      </w:r>
      <w:r w:rsidR="005C3C4F" w:rsidRPr="00F04158">
        <w:rPr>
          <w:rFonts w:ascii="Times New Roman" w:hAnsi="Times New Roman"/>
        </w:rPr>
        <w:t xml:space="preserve"> to the TSI Act </w:t>
      </w:r>
      <w:r w:rsidR="00AC03E7" w:rsidRPr="00F04158">
        <w:rPr>
          <w:rFonts w:ascii="Times New Roman" w:hAnsi="Times New Roman"/>
        </w:rPr>
        <w:t>as the Act</w:t>
      </w:r>
      <w:r w:rsidR="0003513D" w:rsidRPr="00F04158">
        <w:rPr>
          <w:rFonts w:ascii="Times New Roman" w:hAnsi="Times New Roman"/>
        </w:rPr>
        <w:t xml:space="preserve"> already provides the ATSB with the necessary jurisdictional coverage.  The ATSB has been investigating rail occurrences under the TSI Act since 1 July 2003.</w:t>
      </w:r>
    </w:p>
    <w:p w:rsidR="00F04158" w:rsidRPr="00F269F2" w:rsidRDefault="00F04158" w:rsidP="00F04158">
      <w:pPr>
        <w:rPr>
          <w:rFonts w:ascii="Times New Roman" w:hAnsi="Times New Roman"/>
          <w:sz w:val="20"/>
        </w:rPr>
      </w:pPr>
    </w:p>
    <w:p w:rsidR="00A30C80" w:rsidRPr="00F04158" w:rsidRDefault="00E3306B" w:rsidP="00F04158">
      <w:pPr>
        <w:rPr>
          <w:rFonts w:ascii="Times New Roman" w:hAnsi="Times New Roman"/>
        </w:rPr>
      </w:pPr>
      <w:r w:rsidRPr="00F04158">
        <w:rPr>
          <w:rFonts w:ascii="Times New Roman" w:hAnsi="Times New Roman"/>
        </w:rPr>
        <w:t xml:space="preserve">However, </w:t>
      </w:r>
      <w:r w:rsidR="00AC03E7" w:rsidRPr="00F04158">
        <w:rPr>
          <w:rFonts w:ascii="Times New Roman" w:hAnsi="Times New Roman"/>
        </w:rPr>
        <w:t>in accordance with agreed policy, the</w:t>
      </w:r>
      <w:r w:rsidR="00A30C80" w:rsidRPr="00F04158">
        <w:rPr>
          <w:rFonts w:ascii="Times New Roman" w:hAnsi="Times New Roman"/>
        </w:rPr>
        <w:t xml:space="preserve"> ATSB</w:t>
      </w:r>
      <w:r w:rsidRPr="00F04158">
        <w:rPr>
          <w:rFonts w:ascii="Times New Roman" w:hAnsi="Times New Roman"/>
        </w:rPr>
        <w:t xml:space="preserve"> has limited the focus of its investigation</w:t>
      </w:r>
      <w:r w:rsidR="00AC03E7" w:rsidRPr="00F04158">
        <w:rPr>
          <w:rFonts w:ascii="Times New Roman" w:hAnsi="Times New Roman"/>
        </w:rPr>
        <w:t xml:space="preserve"> </w:t>
      </w:r>
      <w:r w:rsidRPr="00F04158">
        <w:rPr>
          <w:rFonts w:ascii="Times New Roman" w:hAnsi="Times New Roman"/>
        </w:rPr>
        <w:t>to the rail track that is the defin</w:t>
      </w:r>
      <w:r w:rsidR="00AC03E7" w:rsidRPr="00F04158">
        <w:rPr>
          <w:rFonts w:ascii="Times New Roman" w:hAnsi="Times New Roman"/>
        </w:rPr>
        <w:t>ed</w:t>
      </w:r>
      <w:r w:rsidR="00A30C80" w:rsidRPr="00F04158">
        <w:rPr>
          <w:rFonts w:ascii="Times New Roman" w:hAnsi="Times New Roman"/>
        </w:rPr>
        <w:t xml:space="preserve"> interstate rail network</w:t>
      </w:r>
      <w:r w:rsidRPr="00F04158">
        <w:rPr>
          <w:rFonts w:ascii="Times New Roman" w:hAnsi="Times New Roman"/>
        </w:rPr>
        <w:t>, running</w:t>
      </w:r>
      <w:r w:rsidR="00A30C80" w:rsidRPr="00F04158">
        <w:rPr>
          <w:rFonts w:ascii="Times New Roman" w:hAnsi="Times New Roman"/>
        </w:rPr>
        <w:t xml:space="preserve"> </w:t>
      </w:r>
      <w:r w:rsidR="00806FBE" w:rsidRPr="00F04158">
        <w:rPr>
          <w:rFonts w:ascii="Times New Roman" w:hAnsi="Times New Roman"/>
        </w:rPr>
        <w:t>from Brisbane to Perth and Adelaide to Darwin.</w:t>
      </w:r>
      <w:r w:rsidR="00BB7436" w:rsidRPr="00F04158">
        <w:rPr>
          <w:rFonts w:ascii="Times New Roman" w:hAnsi="Times New Roman"/>
        </w:rPr>
        <w:t xml:space="preserve"> </w:t>
      </w:r>
      <w:r w:rsidRPr="00F04158">
        <w:rPr>
          <w:rFonts w:ascii="Times New Roman" w:hAnsi="Times New Roman"/>
        </w:rPr>
        <w:t xml:space="preserve"> The</w:t>
      </w:r>
      <w:r w:rsidR="00BC67A1" w:rsidRPr="00F04158">
        <w:rPr>
          <w:rFonts w:ascii="Times New Roman" w:hAnsi="Times New Roman"/>
        </w:rPr>
        <w:t xml:space="preserve"> confined jurisdiction acknowledges that rail has been the responsibility of the </w:t>
      </w:r>
      <w:r w:rsidR="00602D11" w:rsidRPr="00F04158">
        <w:rPr>
          <w:rFonts w:ascii="Times New Roman" w:hAnsi="Times New Roman"/>
        </w:rPr>
        <w:t>s</w:t>
      </w:r>
      <w:r w:rsidR="00BC67A1" w:rsidRPr="00F04158">
        <w:rPr>
          <w:rFonts w:ascii="Times New Roman" w:hAnsi="Times New Roman"/>
        </w:rPr>
        <w:t xml:space="preserve">tates and </w:t>
      </w:r>
      <w:r w:rsidR="00602D11" w:rsidRPr="00F04158">
        <w:rPr>
          <w:rFonts w:ascii="Times New Roman" w:hAnsi="Times New Roman"/>
        </w:rPr>
        <w:t>t</w:t>
      </w:r>
      <w:r w:rsidR="00BC67A1" w:rsidRPr="00F04158">
        <w:rPr>
          <w:rFonts w:ascii="Times New Roman" w:hAnsi="Times New Roman"/>
        </w:rPr>
        <w:t>erritories</w:t>
      </w:r>
      <w:r w:rsidRPr="00F04158">
        <w:rPr>
          <w:rFonts w:ascii="Times New Roman" w:hAnsi="Times New Roman"/>
        </w:rPr>
        <w:t>.</w:t>
      </w:r>
    </w:p>
    <w:p w:rsidR="00F04158" w:rsidRPr="00F269F2" w:rsidRDefault="00F04158" w:rsidP="00F04158">
      <w:pPr>
        <w:rPr>
          <w:rFonts w:ascii="Times New Roman" w:hAnsi="Times New Roman"/>
          <w:sz w:val="20"/>
        </w:rPr>
      </w:pPr>
    </w:p>
    <w:p w:rsidR="007012A1" w:rsidRPr="00F04158" w:rsidRDefault="000A1DFC" w:rsidP="00F04158">
      <w:pPr>
        <w:rPr>
          <w:rFonts w:ascii="Times New Roman" w:hAnsi="Times New Roman"/>
        </w:rPr>
      </w:pPr>
      <w:r w:rsidRPr="00F04158">
        <w:rPr>
          <w:rFonts w:ascii="Times New Roman" w:hAnsi="Times New Roman"/>
        </w:rPr>
        <w:t xml:space="preserve">This environment will change </w:t>
      </w:r>
      <w:r w:rsidR="00602D11" w:rsidRPr="00F04158">
        <w:rPr>
          <w:rFonts w:ascii="Times New Roman" w:hAnsi="Times New Roman"/>
        </w:rPr>
        <w:t xml:space="preserve">by 1 January </w:t>
      </w:r>
      <w:r w:rsidRPr="00F04158">
        <w:rPr>
          <w:rFonts w:ascii="Times New Roman" w:hAnsi="Times New Roman"/>
        </w:rPr>
        <w:t>201</w:t>
      </w:r>
      <w:r w:rsidR="00602D11" w:rsidRPr="00F04158">
        <w:rPr>
          <w:rFonts w:ascii="Times New Roman" w:hAnsi="Times New Roman"/>
        </w:rPr>
        <w:t>3</w:t>
      </w:r>
      <w:r w:rsidRPr="00F04158">
        <w:rPr>
          <w:rFonts w:ascii="Times New Roman" w:hAnsi="Times New Roman"/>
        </w:rPr>
        <w:t xml:space="preserve"> when the NRSR comes in</w:t>
      </w:r>
      <w:r w:rsidR="001F501E" w:rsidRPr="00F04158">
        <w:rPr>
          <w:rFonts w:ascii="Times New Roman" w:hAnsi="Times New Roman"/>
        </w:rPr>
        <w:t>to being through complementary s</w:t>
      </w:r>
      <w:r w:rsidRPr="00F04158">
        <w:rPr>
          <w:rFonts w:ascii="Times New Roman" w:hAnsi="Times New Roman"/>
        </w:rPr>
        <w:t xml:space="preserve">tate and </w:t>
      </w:r>
      <w:r w:rsidR="001F501E" w:rsidRPr="00F04158">
        <w:rPr>
          <w:rFonts w:ascii="Times New Roman" w:hAnsi="Times New Roman"/>
        </w:rPr>
        <w:t>t</w:t>
      </w:r>
      <w:r w:rsidRPr="00F04158">
        <w:rPr>
          <w:rFonts w:ascii="Times New Roman" w:hAnsi="Times New Roman"/>
        </w:rPr>
        <w:t xml:space="preserve">erritory legislation.  </w:t>
      </w:r>
      <w:r w:rsidR="00EA7142" w:rsidRPr="00F04158">
        <w:rPr>
          <w:rFonts w:ascii="Times New Roman" w:hAnsi="Times New Roman"/>
        </w:rPr>
        <w:t>In the new operating environment</w:t>
      </w:r>
      <w:r w:rsidRPr="00F04158">
        <w:rPr>
          <w:rFonts w:ascii="Times New Roman" w:hAnsi="Times New Roman"/>
        </w:rPr>
        <w:t>,</w:t>
      </w:r>
      <w:r w:rsidR="00EA7142" w:rsidRPr="00F04158">
        <w:rPr>
          <w:rFonts w:ascii="Times New Roman" w:hAnsi="Times New Roman"/>
        </w:rPr>
        <w:t xml:space="preserve"> the ATSB will </w:t>
      </w:r>
      <w:r w:rsidR="007012A1" w:rsidRPr="00F04158">
        <w:rPr>
          <w:rFonts w:ascii="Times New Roman" w:hAnsi="Times New Roman"/>
        </w:rPr>
        <w:t xml:space="preserve">need to </w:t>
      </w:r>
      <w:r w:rsidR="00BC67A1" w:rsidRPr="00F04158">
        <w:rPr>
          <w:rFonts w:ascii="Times New Roman" w:hAnsi="Times New Roman"/>
        </w:rPr>
        <w:t xml:space="preserve">have the same </w:t>
      </w:r>
      <w:r w:rsidR="007012A1" w:rsidRPr="00F04158">
        <w:rPr>
          <w:rFonts w:ascii="Times New Roman" w:hAnsi="Times New Roman"/>
        </w:rPr>
        <w:t xml:space="preserve">national jurisdiction </w:t>
      </w:r>
      <w:r w:rsidR="00602D11" w:rsidRPr="00F04158">
        <w:rPr>
          <w:rFonts w:ascii="Times New Roman" w:hAnsi="Times New Roman"/>
        </w:rPr>
        <w:t>as</w:t>
      </w:r>
      <w:r w:rsidR="007012A1" w:rsidRPr="00F04158">
        <w:rPr>
          <w:rFonts w:ascii="Times New Roman" w:hAnsi="Times New Roman"/>
        </w:rPr>
        <w:t xml:space="preserve"> the regulator</w:t>
      </w:r>
      <w:r w:rsidR="00BC67A1" w:rsidRPr="00F04158">
        <w:rPr>
          <w:rFonts w:ascii="Times New Roman" w:hAnsi="Times New Roman"/>
        </w:rPr>
        <w:t xml:space="preserve"> to fulfil its corresponding role as the national investigator</w:t>
      </w:r>
      <w:r w:rsidR="007012A1" w:rsidRPr="00F04158">
        <w:rPr>
          <w:rFonts w:ascii="Times New Roman" w:hAnsi="Times New Roman"/>
        </w:rPr>
        <w:t>.</w:t>
      </w:r>
    </w:p>
    <w:p w:rsidR="00F04158" w:rsidRPr="00F269F2" w:rsidRDefault="00F04158" w:rsidP="00F04158">
      <w:pPr>
        <w:rPr>
          <w:rFonts w:ascii="Times New Roman" w:hAnsi="Times New Roman"/>
          <w:sz w:val="20"/>
        </w:rPr>
      </w:pPr>
    </w:p>
    <w:p w:rsidR="00BC67A1" w:rsidRPr="00F04158" w:rsidRDefault="00B226D4" w:rsidP="00F04158">
      <w:pPr>
        <w:rPr>
          <w:rFonts w:ascii="Times New Roman" w:hAnsi="Times New Roman"/>
        </w:rPr>
      </w:pPr>
      <w:r w:rsidRPr="00F04158">
        <w:rPr>
          <w:rFonts w:ascii="Times New Roman" w:hAnsi="Times New Roman"/>
        </w:rPr>
        <w:t>The</w:t>
      </w:r>
      <w:r w:rsidR="00602D11" w:rsidRPr="00F04158">
        <w:rPr>
          <w:rFonts w:ascii="Times New Roman" w:hAnsi="Times New Roman"/>
        </w:rPr>
        <w:t xml:space="preserve"> proposed amendment to provide for the s</w:t>
      </w:r>
      <w:r w:rsidRPr="00F04158">
        <w:rPr>
          <w:rFonts w:ascii="Times New Roman" w:hAnsi="Times New Roman"/>
        </w:rPr>
        <w:t xml:space="preserve">tates and </w:t>
      </w:r>
      <w:r w:rsidR="00602D11" w:rsidRPr="00F04158">
        <w:rPr>
          <w:rFonts w:ascii="Times New Roman" w:hAnsi="Times New Roman"/>
        </w:rPr>
        <w:t>t</w:t>
      </w:r>
      <w:r w:rsidRPr="00F04158">
        <w:rPr>
          <w:rFonts w:ascii="Times New Roman" w:hAnsi="Times New Roman"/>
        </w:rPr>
        <w:t xml:space="preserve">erritories </w:t>
      </w:r>
      <w:r w:rsidR="00602D11" w:rsidRPr="00F04158">
        <w:rPr>
          <w:rFonts w:ascii="Times New Roman" w:hAnsi="Times New Roman"/>
        </w:rPr>
        <w:t xml:space="preserve">with the statutory means </w:t>
      </w:r>
      <w:r w:rsidRPr="00F04158">
        <w:rPr>
          <w:rFonts w:ascii="Times New Roman" w:hAnsi="Times New Roman"/>
        </w:rPr>
        <w:t>to request the ATSB to conduct an investigation</w:t>
      </w:r>
      <w:r w:rsidR="00BC67A1" w:rsidRPr="00F04158">
        <w:rPr>
          <w:rFonts w:ascii="Times New Roman" w:hAnsi="Times New Roman"/>
        </w:rPr>
        <w:t>,</w:t>
      </w:r>
      <w:r w:rsidRPr="00F04158">
        <w:rPr>
          <w:rFonts w:ascii="Times New Roman" w:hAnsi="Times New Roman"/>
        </w:rPr>
        <w:t xml:space="preserve"> </w:t>
      </w:r>
      <w:r w:rsidR="007956EE" w:rsidRPr="00F04158">
        <w:rPr>
          <w:rFonts w:ascii="Times New Roman" w:hAnsi="Times New Roman"/>
        </w:rPr>
        <w:t xml:space="preserve">recognises the contribution the </w:t>
      </w:r>
      <w:r w:rsidR="00602D11" w:rsidRPr="00F04158">
        <w:rPr>
          <w:rFonts w:ascii="Times New Roman" w:hAnsi="Times New Roman"/>
        </w:rPr>
        <w:t>s</w:t>
      </w:r>
      <w:r w:rsidR="007956EE" w:rsidRPr="00F04158">
        <w:rPr>
          <w:rFonts w:ascii="Times New Roman" w:hAnsi="Times New Roman"/>
        </w:rPr>
        <w:t xml:space="preserve">tates </w:t>
      </w:r>
      <w:r w:rsidR="00BC67A1" w:rsidRPr="00F04158">
        <w:rPr>
          <w:rFonts w:ascii="Times New Roman" w:hAnsi="Times New Roman"/>
        </w:rPr>
        <w:t xml:space="preserve">and </w:t>
      </w:r>
      <w:r w:rsidR="00602D11" w:rsidRPr="00F04158">
        <w:rPr>
          <w:rFonts w:ascii="Times New Roman" w:hAnsi="Times New Roman"/>
        </w:rPr>
        <w:t>t</w:t>
      </w:r>
      <w:r w:rsidR="00BC67A1" w:rsidRPr="00F04158">
        <w:rPr>
          <w:rFonts w:ascii="Times New Roman" w:hAnsi="Times New Roman"/>
        </w:rPr>
        <w:t xml:space="preserve">erritories will make </w:t>
      </w:r>
      <w:r w:rsidR="007956EE" w:rsidRPr="00F04158">
        <w:rPr>
          <w:rFonts w:ascii="Times New Roman" w:hAnsi="Times New Roman"/>
        </w:rPr>
        <w:t>to</w:t>
      </w:r>
      <w:r w:rsidR="004948F8" w:rsidRPr="00F04158">
        <w:rPr>
          <w:rFonts w:ascii="Times New Roman" w:hAnsi="Times New Roman"/>
        </w:rPr>
        <w:t xml:space="preserve"> the expansion of the ATSB’s investigation activities. </w:t>
      </w:r>
      <w:r w:rsidR="007956EE" w:rsidRPr="00F04158">
        <w:rPr>
          <w:rFonts w:ascii="Times New Roman" w:hAnsi="Times New Roman"/>
        </w:rPr>
        <w:t xml:space="preserve">In accordance with </w:t>
      </w:r>
      <w:r w:rsidR="004948F8" w:rsidRPr="00F04158">
        <w:rPr>
          <w:rFonts w:ascii="Times New Roman" w:hAnsi="Times New Roman"/>
        </w:rPr>
        <w:t xml:space="preserve">the IGA, </w:t>
      </w:r>
      <w:r w:rsidR="00602D11" w:rsidRPr="00F04158">
        <w:rPr>
          <w:rFonts w:ascii="Times New Roman" w:hAnsi="Times New Roman"/>
        </w:rPr>
        <w:t>s</w:t>
      </w:r>
      <w:r w:rsidR="00607246" w:rsidRPr="00F04158">
        <w:rPr>
          <w:rFonts w:ascii="Times New Roman" w:hAnsi="Times New Roman"/>
        </w:rPr>
        <w:t xml:space="preserve">tates </w:t>
      </w:r>
      <w:r w:rsidR="007956EE" w:rsidRPr="00F04158">
        <w:rPr>
          <w:rFonts w:ascii="Times New Roman" w:hAnsi="Times New Roman"/>
        </w:rPr>
        <w:t xml:space="preserve">will pay for </w:t>
      </w:r>
      <w:r w:rsidR="00607246" w:rsidRPr="00F04158">
        <w:rPr>
          <w:rFonts w:ascii="Times New Roman" w:hAnsi="Times New Roman"/>
        </w:rPr>
        <w:t>ATSB investigatory services in their jurisdiction or, if they already have an established investigator, meet their own costs</w:t>
      </w:r>
      <w:r w:rsidR="005F3231" w:rsidRPr="00F04158">
        <w:rPr>
          <w:rFonts w:ascii="Times New Roman" w:hAnsi="Times New Roman"/>
        </w:rPr>
        <w:t xml:space="preserve"> and contribute their investigation services</w:t>
      </w:r>
      <w:r w:rsidR="00BC67A1" w:rsidRPr="00F04158">
        <w:rPr>
          <w:rFonts w:ascii="Times New Roman" w:hAnsi="Times New Roman"/>
        </w:rPr>
        <w:t>.</w:t>
      </w:r>
    </w:p>
    <w:p w:rsidR="00F04158" w:rsidRPr="00F269F2" w:rsidRDefault="00F04158" w:rsidP="00F04158">
      <w:pPr>
        <w:rPr>
          <w:rFonts w:ascii="Times New Roman" w:hAnsi="Times New Roman"/>
          <w:sz w:val="20"/>
        </w:rPr>
      </w:pPr>
    </w:p>
    <w:p w:rsidR="00212006" w:rsidRDefault="003F2403" w:rsidP="00F04158">
      <w:pPr>
        <w:rPr>
          <w:rFonts w:ascii="Times New Roman" w:hAnsi="Times New Roman"/>
        </w:rPr>
        <w:sectPr w:rsidR="00212006" w:rsidSect="00EE2DBA">
          <w:headerReference w:type="default" r:id="rId9"/>
          <w:footerReference w:type="default" r:id="rId10"/>
          <w:headerReference w:type="first" r:id="rId11"/>
          <w:footerReference w:type="first" r:id="rId12"/>
          <w:pgSz w:w="11907" w:h="16840" w:code="9"/>
          <w:pgMar w:top="1440" w:right="1440" w:bottom="1440" w:left="1440" w:header="720" w:footer="720" w:gutter="0"/>
          <w:pgNumType w:start="2"/>
          <w:cols w:space="720"/>
          <w:docGrid w:linePitch="326"/>
        </w:sectPr>
      </w:pPr>
      <w:r w:rsidRPr="00F04158">
        <w:rPr>
          <w:rFonts w:ascii="Times New Roman" w:hAnsi="Times New Roman"/>
        </w:rPr>
        <w:t>The amendment relating to the ATSB’s ca</w:t>
      </w:r>
      <w:r w:rsidR="00602D11" w:rsidRPr="00F04158">
        <w:rPr>
          <w:rFonts w:ascii="Times New Roman" w:hAnsi="Times New Roman"/>
        </w:rPr>
        <w:t>pacity to investigate within a t</w:t>
      </w:r>
      <w:r w:rsidRPr="00F04158">
        <w:rPr>
          <w:rFonts w:ascii="Times New Roman" w:hAnsi="Times New Roman"/>
        </w:rPr>
        <w:t>erritory would be made to clarify the ATSB’s existing jurisdiction in this area.</w:t>
      </w:r>
    </w:p>
    <w:p w:rsidR="00176965" w:rsidRDefault="00176965" w:rsidP="00F04158">
      <w:pPr>
        <w:rPr>
          <w:sz w:val="20"/>
        </w:rPr>
      </w:pPr>
    </w:p>
    <w:p w:rsidR="00555307" w:rsidRDefault="00555307" w:rsidP="00F04158">
      <w:pPr>
        <w:rPr>
          <w:sz w:val="20"/>
        </w:rPr>
      </w:pPr>
    </w:p>
    <w:p w:rsidR="00555307" w:rsidRDefault="00555307" w:rsidP="00F04158">
      <w:pPr>
        <w:rPr>
          <w:sz w:val="20"/>
        </w:rPr>
      </w:pPr>
    </w:p>
    <w:p w:rsidR="00555307" w:rsidRDefault="00555307" w:rsidP="00F04158">
      <w:pPr>
        <w:rPr>
          <w:sz w:val="20"/>
        </w:rPr>
      </w:pPr>
    </w:p>
    <w:p w:rsidR="00555307" w:rsidRDefault="00555307" w:rsidP="00F04158">
      <w:pPr>
        <w:rPr>
          <w:sz w:val="20"/>
        </w:rPr>
      </w:pPr>
    </w:p>
    <w:p w:rsidR="00555307" w:rsidRDefault="00555307" w:rsidP="00F04158">
      <w:pPr>
        <w:rPr>
          <w:sz w:val="20"/>
        </w:rPr>
      </w:pPr>
    </w:p>
    <w:p w:rsidR="000623CF" w:rsidRDefault="00393869" w:rsidP="00F04158">
      <w:pPr>
        <w:rPr>
          <w:rFonts w:ascii="Times New Roman" w:hAnsi="Times New Roman"/>
        </w:rPr>
      </w:pPr>
      <w:r w:rsidRPr="00F04158">
        <w:rPr>
          <w:rFonts w:ascii="Times New Roman" w:hAnsi="Times New Roman"/>
        </w:rPr>
        <w:lastRenderedPageBreak/>
        <w:t xml:space="preserve">The final amendment in the Bill </w:t>
      </w:r>
      <w:r w:rsidR="00BC67A1" w:rsidRPr="00F04158">
        <w:rPr>
          <w:rFonts w:ascii="Times New Roman" w:hAnsi="Times New Roman"/>
        </w:rPr>
        <w:t>provide</w:t>
      </w:r>
      <w:r w:rsidR="00F3015C" w:rsidRPr="00F04158">
        <w:rPr>
          <w:rFonts w:ascii="Times New Roman" w:hAnsi="Times New Roman"/>
        </w:rPr>
        <w:t>s</w:t>
      </w:r>
      <w:r w:rsidR="00BC67A1" w:rsidRPr="00F04158">
        <w:rPr>
          <w:rFonts w:ascii="Times New Roman" w:hAnsi="Times New Roman"/>
        </w:rPr>
        <w:t xml:space="preserve"> that </w:t>
      </w:r>
      <w:r w:rsidR="00B73DA9" w:rsidRPr="00F04158">
        <w:rPr>
          <w:rFonts w:ascii="Times New Roman" w:hAnsi="Times New Roman"/>
        </w:rPr>
        <w:t>it is a defence to any prohibition on copying or disclosing restricted information</w:t>
      </w:r>
      <w:r w:rsidRPr="00F04158">
        <w:rPr>
          <w:rFonts w:ascii="Times New Roman" w:hAnsi="Times New Roman"/>
        </w:rPr>
        <w:t xml:space="preserve"> </w:t>
      </w:r>
      <w:r w:rsidR="005F452F" w:rsidRPr="00F04158">
        <w:rPr>
          <w:rFonts w:ascii="Times New Roman" w:hAnsi="Times New Roman"/>
        </w:rPr>
        <w:t>and O</w:t>
      </w:r>
      <w:r w:rsidR="00F3015C" w:rsidRPr="00F04158">
        <w:rPr>
          <w:rFonts w:ascii="Times New Roman" w:hAnsi="Times New Roman"/>
        </w:rPr>
        <w:t>n-</w:t>
      </w:r>
      <w:r w:rsidR="005F452F" w:rsidRPr="00F04158">
        <w:rPr>
          <w:rFonts w:ascii="Times New Roman" w:hAnsi="Times New Roman"/>
        </w:rPr>
        <w:t>B</w:t>
      </w:r>
      <w:r w:rsidR="00F3015C" w:rsidRPr="00F04158">
        <w:rPr>
          <w:rFonts w:ascii="Times New Roman" w:hAnsi="Times New Roman"/>
        </w:rPr>
        <w:t xml:space="preserve">oard </w:t>
      </w:r>
      <w:r w:rsidR="005F452F" w:rsidRPr="00F04158">
        <w:rPr>
          <w:rFonts w:ascii="Times New Roman" w:hAnsi="Times New Roman"/>
        </w:rPr>
        <w:t>R</w:t>
      </w:r>
      <w:r w:rsidR="00F3015C" w:rsidRPr="00F04158">
        <w:rPr>
          <w:rFonts w:ascii="Times New Roman" w:hAnsi="Times New Roman"/>
        </w:rPr>
        <w:t>ecording</w:t>
      </w:r>
      <w:r w:rsidR="005F452F" w:rsidRPr="00F04158">
        <w:rPr>
          <w:rFonts w:ascii="Times New Roman" w:hAnsi="Times New Roman"/>
        </w:rPr>
        <w:t xml:space="preserve"> </w:t>
      </w:r>
      <w:r w:rsidR="000623CF" w:rsidRPr="00F04158">
        <w:rPr>
          <w:rFonts w:ascii="Times New Roman" w:hAnsi="Times New Roman"/>
        </w:rPr>
        <w:t xml:space="preserve">(OBR) </w:t>
      </w:r>
      <w:r w:rsidR="005F452F" w:rsidRPr="00F04158">
        <w:rPr>
          <w:rFonts w:ascii="Times New Roman" w:hAnsi="Times New Roman"/>
        </w:rPr>
        <w:t>information</w:t>
      </w:r>
      <w:r w:rsidR="00B73DA9" w:rsidRPr="00F04158">
        <w:rPr>
          <w:rFonts w:ascii="Times New Roman" w:hAnsi="Times New Roman"/>
        </w:rPr>
        <w:t xml:space="preserve"> if it is done so</w:t>
      </w:r>
      <w:r w:rsidRPr="00F04158">
        <w:rPr>
          <w:rFonts w:ascii="Times New Roman" w:hAnsi="Times New Roman"/>
        </w:rPr>
        <w:t xml:space="preserve"> by a person performing functions or exercising powers under, or in connection with, the TSI Act or Regulations.</w:t>
      </w:r>
      <w:r w:rsidR="00B73DA9" w:rsidRPr="00F04158">
        <w:rPr>
          <w:rFonts w:ascii="Times New Roman" w:hAnsi="Times New Roman"/>
        </w:rPr>
        <w:t xml:space="preserve">  </w:t>
      </w:r>
      <w:r w:rsidR="000623CF" w:rsidRPr="00F04158">
        <w:rPr>
          <w:rFonts w:ascii="Times New Roman" w:hAnsi="Times New Roman"/>
        </w:rPr>
        <w:t>Restricted information covers information obtained or generated through an investigation as well as information produced as a confidential report.  OBR information includes information from a cockpit voice recorder.</w:t>
      </w:r>
      <w:r w:rsidR="00007FCD" w:rsidRPr="00F04158">
        <w:rPr>
          <w:rFonts w:ascii="Times New Roman" w:hAnsi="Times New Roman"/>
        </w:rPr>
        <w:t xml:space="preserve">  The main purpose of the amendment is to clarify the position with respect to regulations made under the TSI Act that contain </w:t>
      </w:r>
      <w:r w:rsidR="00602D11" w:rsidRPr="00F04158">
        <w:rPr>
          <w:rFonts w:ascii="Times New Roman" w:hAnsi="Times New Roman"/>
        </w:rPr>
        <w:t xml:space="preserve">ATSB </w:t>
      </w:r>
      <w:r w:rsidR="00007FCD" w:rsidRPr="00F04158">
        <w:rPr>
          <w:rFonts w:ascii="Times New Roman" w:hAnsi="Times New Roman"/>
        </w:rPr>
        <w:t>functions or powers.</w:t>
      </w:r>
    </w:p>
    <w:p w:rsidR="00555307" w:rsidRPr="00F04158" w:rsidRDefault="00555307" w:rsidP="00F04158">
      <w:pPr>
        <w:rPr>
          <w:rFonts w:ascii="Times New Roman" w:hAnsi="Times New Roman"/>
        </w:rPr>
      </w:pPr>
    </w:p>
    <w:p w:rsidR="00E9323D" w:rsidRPr="00F04158" w:rsidRDefault="008A4984" w:rsidP="00F04158">
      <w:pPr>
        <w:rPr>
          <w:rFonts w:ascii="Times New Roman" w:hAnsi="Times New Roman"/>
          <w:b/>
        </w:rPr>
      </w:pPr>
      <w:r w:rsidRPr="00F04158">
        <w:rPr>
          <w:rFonts w:ascii="Times New Roman" w:hAnsi="Times New Roman"/>
          <w:b/>
        </w:rPr>
        <w:t>FINANCIAL IMPACT STATEMENT</w:t>
      </w:r>
    </w:p>
    <w:p w:rsidR="00F04158" w:rsidRPr="00F04158" w:rsidRDefault="00F04158" w:rsidP="00F04158">
      <w:pPr>
        <w:rPr>
          <w:rFonts w:ascii="Times New Roman" w:hAnsi="Times New Roman"/>
          <w:b/>
        </w:rPr>
      </w:pPr>
    </w:p>
    <w:p w:rsidR="000B0CFF" w:rsidRPr="00F04158" w:rsidRDefault="000B0CFF" w:rsidP="00F04158">
      <w:pPr>
        <w:rPr>
          <w:rFonts w:ascii="Times New Roman" w:hAnsi="Times New Roman"/>
        </w:rPr>
      </w:pPr>
      <w:r w:rsidRPr="00F04158">
        <w:rPr>
          <w:rFonts w:ascii="Times New Roman" w:hAnsi="Times New Roman"/>
        </w:rPr>
        <w:t>The cost of an investigation</w:t>
      </w:r>
      <w:r w:rsidR="00945661" w:rsidRPr="00F04158">
        <w:rPr>
          <w:rFonts w:ascii="Times New Roman" w:hAnsi="Times New Roman"/>
        </w:rPr>
        <w:t>,</w:t>
      </w:r>
      <w:r w:rsidR="001F501E" w:rsidRPr="00F04158">
        <w:rPr>
          <w:rFonts w:ascii="Times New Roman" w:hAnsi="Times New Roman"/>
        </w:rPr>
        <w:t xml:space="preserve"> arising from a request from a s</w:t>
      </w:r>
      <w:r w:rsidRPr="00F04158">
        <w:rPr>
          <w:rFonts w:ascii="Times New Roman" w:hAnsi="Times New Roman"/>
        </w:rPr>
        <w:t xml:space="preserve">tate or </w:t>
      </w:r>
      <w:r w:rsidR="001F501E" w:rsidRPr="00F04158">
        <w:rPr>
          <w:rFonts w:ascii="Times New Roman" w:hAnsi="Times New Roman"/>
        </w:rPr>
        <w:t>t</w:t>
      </w:r>
      <w:r w:rsidRPr="00F04158">
        <w:rPr>
          <w:rFonts w:ascii="Times New Roman" w:hAnsi="Times New Roman"/>
        </w:rPr>
        <w:t>erritory Minister</w:t>
      </w:r>
      <w:r w:rsidR="00945661" w:rsidRPr="00F04158">
        <w:rPr>
          <w:rFonts w:ascii="Times New Roman" w:hAnsi="Times New Roman"/>
        </w:rPr>
        <w:t>,</w:t>
      </w:r>
      <w:r w:rsidR="00602D11" w:rsidRPr="00F04158">
        <w:rPr>
          <w:rFonts w:ascii="Times New Roman" w:hAnsi="Times New Roman"/>
        </w:rPr>
        <w:t xml:space="preserve"> will be met by the relevant s</w:t>
      </w:r>
      <w:r w:rsidRPr="00F04158">
        <w:rPr>
          <w:rFonts w:ascii="Times New Roman" w:hAnsi="Times New Roman"/>
        </w:rPr>
        <w:t xml:space="preserve">tate or </w:t>
      </w:r>
      <w:r w:rsidR="00602D11" w:rsidRPr="00F04158">
        <w:rPr>
          <w:rFonts w:ascii="Times New Roman" w:hAnsi="Times New Roman"/>
        </w:rPr>
        <w:t>t</w:t>
      </w:r>
      <w:r w:rsidRPr="00F04158">
        <w:rPr>
          <w:rFonts w:ascii="Times New Roman" w:hAnsi="Times New Roman"/>
        </w:rPr>
        <w:t xml:space="preserve">erritory. The cost incurred will vary depending upon the scale of the investigation. </w:t>
      </w:r>
    </w:p>
    <w:p w:rsidR="00F04158" w:rsidRPr="00F04158" w:rsidRDefault="00F04158" w:rsidP="00F04158">
      <w:pPr>
        <w:rPr>
          <w:rFonts w:ascii="Times New Roman" w:hAnsi="Times New Roman"/>
        </w:rPr>
      </w:pPr>
    </w:p>
    <w:p w:rsidR="000B0CFF" w:rsidRPr="00F04158" w:rsidRDefault="000B0CFF" w:rsidP="00F04158">
      <w:pPr>
        <w:rPr>
          <w:rFonts w:ascii="Times New Roman" w:hAnsi="Times New Roman"/>
        </w:rPr>
      </w:pPr>
      <w:r w:rsidRPr="00F04158">
        <w:rPr>
          <w:rFonts w:ascii="Times New Roman" w:hAnsi="Times New Roman"/>
        </w:rPr>
        <w:t xml:space="preserve">Clarifying the ATSB’s capacity to conduct investigations within, or to or from, a Commonwealth Territory will have no financial impact. </w:t>
      </w:r>
    </w:p>
    <w:p w:rsidR="00F04158" w:rsidRPr="00F04158" w:rsidRDefault="00F04158" w:rsidP="00F04158">
      <w:pPr>
        <w:rPr>
          <w:rFonts w:ascii="Times New Roman" w:hAnsi="Times New Roman"/>
        </w:rPr>
      </w:pPr>
    </w:p>
    <w:p w:rsidR="005D28BE" w:rsidRPr="00F04158" w:rsidRDefault="000B0CFF" w:rsidP="00F04158">
      <w:pPr>
        <w:rPr>
          <w:rFonts w:ascii="Times New Roman" w:hAnsi="Times New Roman"/>
        </w:rPr>
      </w:pPr>
      <w:r w:rsidRPr="00F04158">
        <w:rPr>
          <w:rFonts w:ascii="Times New Roman" w:hAnsi="Times New Roman"/>
        </w:rPr>
        <w:t xml:space="preserve">More generally, the Commonwealth Government has contributed </w:t>
      </w:r>
      <w:r w:rsidR="00146A21" w:rsidRPr="00F04158">
        <w:rPr>
          <w:rFonts w:ascii="Times New Roman" w:hAnsi="Times New Roman"/>
        </w:rPr>
        <w:t xml:space="preserve">$11.2 million to the ATSB to enable it to prepare for a national role as Australia’s </w:t>
      </w:r>
      <w:r w:rsidR="00437ADC" w:rsidRPr="00F04158">
        <w:rPr>
          <w:rFonts w:ascii="Times New Roman" w:hAnsi="Times New Roman"/>
        </w:rPr>
        <w:t xml:space="preserve">no-blame rail and maritime safety investigator. </w:t>
      </w:r>
      <w:r w:rsidR="00602D11" w:rsidRPr="00F04158">
        <w:rPr>
          <w:rFonts w:ascii="Times New Roman" w:hAnsi="Times New Roman"/>
        </w:rPr>
        <w:t xml:space="preserve">By 1 January </w:t>
      </w:r>
      <w:r w:rsidR="005E517F" w:rsidRPr="00F04158">
        <w:rPr>
          <w:rFonts w:ascii="Times New Roman" w:hAnsi="Times New Roman"/>
        </w:rPr>
        <w:t>201</w:t>
      </w:r>
      <w:r w:rsidR="00602D11" w:rsidRPr="00F04158">
        <w:rPr>
          <w:rFonts w:ascii="Times New Roman" w:hAnsi="Times New Roman"/>
        </w:rPr>
        <w:t>3</w:t>
      </w:r>
      <w:r w:rsidR="005E517F" w:rsidRPr="00F04158">
        <w:rPr>
          <w:rFonts w:ascii="Times New Roman" w:hAnsi="Times New Roman"/>
        </w:rPr>
        <w:t>, t</w:t>
      </w:r>
      <w:r w:rsidR="005D28BE" w:rsidRPr="00F04158">
        <w:rPr>
          <w:rFonts w:ascii="Times New Roman" w:hAnsi="Times New Roman"/>
        </w:rPr>
        <w:t xml:space="preserve">he </w:t>
      </w:r>
      <w:r w:rsidR="004D3D3A" w:rsidRPr="00F04158">
        <w:rPr>
          <w:rFonts w:ascii="Times New Roman" w:hAnsi="Times New Roman"/>
        </w:rPr>
        <w:t xml:space="preserve">ongoing costs </w:t>
      </w:r>
      <w:r w:rsidR="005E517F" w:rsidRPr="00F04158">
        <w:rPr>
          <w:rFonts w:ascii="Times New Roman" w:hAnsi="Times New Roman"/>
        </w:rPr>
        <w:t>of conducting</w:t>
      </w:r>
      <w:r w:rsidR="00FF6B4B" w:rsidRPr="00F04158">
        <w:rPr>
          <w:rFonts w:ascii="Times New Roman" w:hAnsi="Times New Roman"/>
        </w:rPr>
        <w:t xml:space="preserve"> rail</w:t>
      </w:r>
      <w:r w:rsidR="005E517F" w:rsidRPr="00F04158">
        <w:rPr>
          <w:rFonts w:ascii="Times New Roman" w:hAnsi="Times New Roman"/>
        </w:rPr>
        <w:t xml:space="preserve"> investigations </w:t>
      </w:r>
      <w:r w:rsidR="00FF6B4B" w:rsidRPr="00F04158">
        <w:rPr>
          <w:rFonts w:ascii="Times New Roman" w:hAnsi="Times New Roman"/>
        </w:rPr>
        <w:t xml:space="preserve">outside the interstate track </w:t>
      </w:r>
      <w:r w:rsidR="004D3D3A" w:rsidRPr="00F04158">
        <w:rPr>
          <w:rFonts w:ascii="Times New Roman" w:hAnsi="Times New Roman"/>
        </w:rPr>
        <w:t xml:space="preserve">will be met </w:t>
      </w:r>
      <w:r w:rsidR="00602D11" w:rsidRPr="00F04158">
        <w:rPr>
          <w:rFonts w:ascii="Times New Roman" w:hAnsi="Times New Roman"/>
        </w:rPr>
        <w:t>through cost recovery from the s</w:t>
      </w:r>
      <w:r w:rsidR="009333D8" w:rsidRPr="00F04158">
        <w:rPr>
          <w:rFonts w:ascii="Times New Roman" w:hAnsi="Times New Roman"/>
        </w:rPr>
        <w:t xml:space="preserve">tates and </w:t>
      </w:r>
      <w:r w:rsidR="00602D11" w:rsidRPr="00F04158">
        <w:rPr>
          <w:rFonts w:ascii="Times New Roman" w:hAnsi="Times New Roman"/>
        </w:rPr>
        <w:t>t</w:t>
      </w:r>
      <w:r w:rsidR="009333D8" w:rsidRPr="00F04158">
        <w:rPr>
          <w:rFonts w:ascii="Times New Roman" w:hAnsi="Times New Roman"/>
        </w:rPr>
        <w:t xml:space="preserve">erritories or through the commitment of existing resources retained by a </w:t>
      </w:r>
      <w:r w:rsidR="00602D11" w:rsidRPr="00F04158">
        <w:rPr>
          <w:rFonts w:ascii="Times New Roman" w:hAnsi="Times New Roman"/>
        </w:rPr>
        <w:t>s</w:t>
      </w:r>
      <w:r w:rsidR="009333D8" w:rsidRPr="00F04158">
        <w:rPr>
          <w:rFonts w:ascii="Times New Roman" w:hAnsi="Times New Roman"/>
        </w:rPr>
        <w:t>tate and made available to the ATSB by agreement</w:t>
      </w:r>
      <w:r w:rsidR="004D3D3A" w:rsidRPr="00F04158">
        <w:rPr>
          <w:rFonts w:ascii="Times New Roman" w:hAnsi="Times New Roman"/>
        </w:rPr>
        <w:t>.</w:t>
      </w:r>
    </w:p>
    <w:p w:rsidR="00F04158" w:rsidRPr="00F04158" w:rsidRDefault="00F04158" w:rsidP="00F04158">
      <w:pPr>
        <w:rPr>
          <w:rFonts w:ascii="Times New Roman" w:hAnsi="Times New Roman"/>
        </w:rPr>
      </w:pPr>
    </w:p>
    <w:p w:rsidR="005F452F" w:rsidRPr="00F04158" w:rsidRDefault="005F452F" w:rsidP="00F04158">
      <w:pPr>
        <w:rPr>
          <w:rFonts w:ascii="Times New Roman" w:hAnsi="Times New Roman"/>
        </w:rPr>
      </w:pPr>
      <w:r w:rsidRPr="00F04158">
        <w:rPr>
          <w:rFonts w:ascii="Times New Roman" w:hAnsi="Times New Roman"/>
        </w:rPr>
        <w:t xml:space="preserve">In New South Wales and Victoria, where there are existing safety investigation bodies, agreements will be put in place to provide for the </w:t>
      </w:r>
      <w:r w:rsidR="00602D11" w:rsidRPr="00F04158">
        <w:rPr>
          <w:rFonts w:ascii="Times New Roman" w:hAnsi="Times New Roman"/>
        </w:rPr>
        <w:t>s</w:t>
      </w:r>
      <w:r w:rsidRPr="00F04158">
        <w:rPr>
          <w:rFonts w:ascii="Times New Roman" w:hAnsi="Times New Roman"/>
        </w:rPr>
        <w:t>tates to make their resources available to the ATSB.</w:t>
      </w:r>
    </w:p>
    <w:p w:rsidR="00F04158" w:rsidRPr="00F04158" w:rsidRDefault="00F04158" w:rsidP="00F04158">
      <w:pPr>
        <w:rPr>
          <w:rFonts w:ascii="Times New Roman" w:hAnsi="Times New Roman"/>
        </w:rPr>
      </w:pPr>
    </w:p>
    <w:p w:rsidR="009333D8" w:rsidRPr="00F04158" w:rsidRDefault="009333D8" w:rsidP="00F04158">
      <w:pPr>
        <w:rPr>
          <w:rFonts w:ascii="Times New Roman" w:hAnsi="Times New Roman"/>
        </w:rPr>
      </w:pPr>
      <w:r w:rsidRPr="00F04158">
        <w:rPr>
          <w:rFonts w:ascii="Times New Roman" w:hAnsi="Times New Roman"/>
        </w:rPr>
        <w:t>The amendment addressing the disclosure of restricted information in accordance with the regulations will have no financial impact.</w:t>
      </w:r>
    </w:p>
    <w:p w:rsidR="00F04158" w:rsidRPr="00F04158" w:rsidRDefault="00F04158" w:rsidP="00F04158">
      <w:pPr>
        <w:rPr>
          <w:rFonts w:ascii="Times New Roman" w:hAnsi="Times New Roman"/>
        </w:rPr>
      </w:pPr>
    </w:p>
    <w:p w:rsidR="00E9323D" w:rsidRPr="00F04158" w:rsidRDefault="008A4984" w:rsidP="00F04158">
      <w:pPr>
        <w:rPr>
          <w:rFonts w:ascii="Times New Roman" w:hAnsi="Times New Roman"/>
          <w:b/>
        </w:rPr>
      </w:pPr>
      <w:r w:rsidRPr="00F04158">
        <w:rPr>
          <w:rFonts w:ascii="Times New Roman" w:hAnsi="Times New Roman"/>
          <w:b/>
        </w:rPr>
        <w:t>REGULATION IMPACT STATEMENT</w:t>
      </w:r>
    </w:p>
    <w:p w:rsidR="00F04158" w:rsidRPr="00F04158" w:rsidRDefault="00F04158" w:rsidP="00F04158">
      <w:pPr>
        <w:rPr>
          <w:rFonts w:ascii="Times New Roman" w:hAnsi="Times New Roman"/>
          <w:b/>
          <w:i/>
        </w:rPr>
      </w:pPr>
    </w:p>
    <w:p w:rsidR="00E9323D" w:rsidRPr="00F04158" w:rsidRDefault="00093BE9" w:rsidP="00F04158">
      <w:pPr>
        <w:rPr>
          <w:rFonts w:ascii="Times New Roman" w:hAnsi="Times New Roman"/>
        </w:rPr>
      </w:pPr>
      <w:r w:rsidRPr="00F04158">
        <w:rPr>
          <w:rFonts w:ascii="Times New Roman" w:hAnsi="Times New Roman"/>
        </w:rPr>
        <w:t>T</w:t>
      </w:r>
      <w:r w:rsidR="00E9323D" w:rsidRPr="00F04158">
        <w:rPr>
          <w:rFonts w:ascii="Times New Roman" w:hAnsi="Times New Roman"/>
        </w:rPr>
        <w:t xml:space="preserve">he Office of Best Practice Regulation (OBPR) has advised that a Regulation Impact Statement </w:t>
      </w:r>
      <w:r w:rsidRPr="00F04158">
        <w:rPr>
          <w:rFonts w:ascii="Times New Roman" w:hAnsi="Times New Roman"/>
        </w:rPr>
        <w:t xml:space="preserve">(RIS) </w:t>
      </w:r>
      <w:r w:rsidR="00E9323D" w:rsidRPr="00F04158">
        <w:rPr>
          <w:rFonts w:ascii="Times New Roman" w:hAnsi="Times New Roman"/>
        </w:rPr>
        <w:t>is not required (</w:t>
      </w:r>
      <w:r w:rsidR="00E9323D" w:rsidRPr="00F04158">
        <w:rPr>
          <w:rFonts w:ascii="Times New Roman" w:hAnsi="Times New Roman"/>
          <w:i/>
        </w:rPr>
        <w:t>OBPR Reference: 12</w:t>
      </w:r>
      <w:r w:rsidRPr="00F04158">
        <w:rPr>
          <w:rFonts w:ascii="Times New Roman" w:hAnsi="Times New Roman"/>
          <w:i/>
        </w:rPr>
        <w:t>994</w:t>
      </w:r>
      <w:r w:rsidR="00E9323D" w:rsidRPr="00F04158">
        <w:rPr>
          <w:rFonts w:ascii="Times New Roman" w:hAnsi="Times New Roman"/>
        </w:rPr>
        <w:t>).</w:t>
      </w:r>
    </w:p>
    <w:p w:rsidR="00F04158" w:rsidRPr="00F04158" w:rsidRDefault="00F04158" w:rsidP="00F04158">
      <w:pPr>
        <w:rPr>
          <w:rFonts w:ascii="Times New Roman" w:hAnsi="Times New Roman"/>
        </w:rPr>
      </w:pPr>
    </w:p>
    <w:p w:rsidR="00F04158" w:rsidRPr="00F04158" w:rsidRDefault="00093BE9" w:rsidP="00F04158">
      <w:pPr>
        <w:rPr>
          <w:rFonts w:ascii="Times New Roman" w:hAnsi="Times New Roman"/>
        </w:rPr>
      </w:pPr>
      <w:r w:rsidRPr="00F04158">
        <w:rPr>
          <w:rFonts w:ascii="Times New Roman" w:hAnsi="Times New Roman"/>
        </w:rPr>
        <w:t xml:space="preserve">As a part of the process for deciding on the ATSB </w:t>
      </w:r>
      <w:r w:rsidR="00CF703B" w:rsidRPr="00F04158">
        <w:rPr>
          <w:rFonts w:ascii="Times New Roman" w:hAnsi="Times New Roman"/>
        </w:rPr>
        <w:t>as</w:t>
      </w:r>
      <w:r w:rsidRPr="00F04158">
        <w:rPr>
          <w:rFonts w:ascii="Times New Roman" w:hAnsi="Times New Roman"/>
        </w:rPr>
        <w:t xml:space="preserve"> the national rail safety investigator</w:t>
      </w:r>
      <w:r w:rsidR="00CF703B" w:rsidRPr="00F04158">
        <w:rPr>
          <w:rFonts w:ascii="Times New Roman" w:hAnsi="Times New Roman"/>
        </w:rPr>
        <w:t>,</w:t>
      </w:r>
      <w:r w:rsidRPr="00F04158">
        <w:rPr>
          <w:rFonts w:ascii="Times New Roman" w:hAnsi="Times New Roman"/>
        </w:rPr>
        <w:t xml:space="preserve"> a RIS was prepared by the National Transport Commission.  The RIS can be accessed at: </w:t>
      </w:r>
    </w:p>
    <w:p w:rsidR="00F04158" w:rsidRDefault="006D17FF">
      <w:hyperlink r:id="rId13" w:history="1">
        <w:r w:rsidR="00CF703B" w:rsidRPr="00B560B8">
          <w:rPr>
            <w:rStyle w:val="Hyperlink"/>
          </w:rPr>
          <w:t>http://www.ntc.gov.au</w:t>
        </w:r>
      </w:hyperlink>
      <w:r w:rsidR="00093BE9">
        <w:t>.</w:t>
      </w:r>
      <w:r w:rsidR="00F04158">
        <w:br w:type="page"/>
      </w:r>
    </w:p>
    <w:p w:rsidR="006808D8" w:rsidRPr="009732CF" w:rsidRDefault="006808D8" w:rsidP="00F04158">
      <w:pPr>
        <w:jc w:val="center"/>
        <w:rPr>
          <w:rFonts w:ascii="Times New Roman" w:hAnsi="Times New Roman"/>
          <w:b/>
          <w:sz w:val="28"/>
          <w:szCs w:val="28"/>
        </w:rPr>
      </w:pPr>
      <w:r w:rsidRPr="009732CF">
        <w:rPr>
          <w:rFonts w:ascii="Times New Roman" w:hAnsi="Times New Roman"/>
          <w:b/>
          <w:sz w:val="28"/>
          <w:szCs w:val="28"/>
        </w:rPr>
        <w:lastRenderedPageBreak/>
        <w:t>Statement of Compatibility</w:t>
      </w:r>
      <w:r w:rsidR="009732CF" w:rsidRPr="009732CF">
        <w:rPr>
          <w:rFonts w:ascii="Times New Roman" w:hAnsi="Times New Roman"/>
          <w:b/>
          <w:sz w:val="28"/>
          <w:szCs w:val="28"/>
        </w:rPr>
        <w:t xml:space="preserve"> with Human Rights</w:t>
      </w:r>
    </w:p>
    <w:p w:rsidR="00F04158" w:rsidRPr="00F04158" w:rsidRDefault="00F04158" w:rsidP="00F04158">
      <w:pPr>
        <w:jc w:val="center"/>
        <w:rPr>
          <w:b/>
          <w:sz w:val="28"/>
          <w:szCs w:val="28"/>
        </w:rPr>
      </w:pPr>
    </w:p>
    <w:p w:rsidR="007B17D2" w:rsidRPr="00F04158" w:rsidRDefault="001F3FF4" w:rsidP="00F04158">
      <w:pPr>
        <w:rPr>
          <w:rFonts w:ascii="Times New Roman" w:hAnsi="Times New Roman"/>
          <w:szCs w:val="24"/>
        </w:rPr>
      </w:pPr>
      <w:r w:rsidRPr="00F04158">
        <w:rPr>
          <w:rFonts w:ascii="Times New Roman" w:hAnsi="Times New Roman"/>
          <w:szCs w:val="24"/>
        </w:rPr>
        <w:t>The Bill is compatible with human rights</w:t>
      </w:r>
      <w:r w:rsidR="00812AF7" w:rsidRPr="00F04158">
        <w:rPr>
          <w:rFonts w:ascii="Times New Roman" w:hAnsi="Times New Roman"/>
          <w:szCs w:val="24"/>
        </w:rPr>
        <w:t>.  It provides a defence a defence to the prohibition on disclosure of restricted information where the disclosure is in accordance with the regulations</w:t>
      </w:r>
      <w:r w:rsidR="007B17D2" w:rsidRPr="00F04158">
        <w:rPr>
          <w:rFonts w:ascii="Times New Roman" w:hAnsi="Times New Roman"/>
          <w:szCs w:val="24"/>
        </w:rPr>
        <w:t>.  To the extent that the disclosure involves personal information the right to privacy may be engaged.  However, this will be the subject of any prescribed regulations rather than the subject of the Bill itself.</w:t>
      </w:r>
      <w:r w:rsidR="00510B8D" w:rsidRPr="00F04158">
        <w:rPr>
          <w:rFonts w:ascii="Times New Roman" w:hAnsi="Times New Roman"/>
          <w:szCs w:val="24"/>
        </w:rPr>
        <w:t xml:space="preserve">  The regulations will be subject to the requirement to provide a statement of compatibility with human rights.</w:t>
      </w:r>
    </w:p>
    <w:p w:rsidR="00F04158" w:rsidRPr="00F04158" w:rsidRDefault="00F04158" w:rsidP="00F04158">
      <w:pPr>
        <w:rPr>
          <w:rFonts w:ascii="Times New Roman" w:hAnsi="Times New Roman"/>
          <w:szCs w:val="24"/>
        </w:rPr>
      </w:pPr>
    </w:p>
    <w:p w:rsidR="007B17D2" w:rsidRPr="00F04158" w:rsidRDefault="007B17D2" w:rsidP="00F04158">
      <w:pPr>
        <w:rPr>
          <w:rFonts w:ascii="Times New Roman" w:hAnsi="Times New Roman"/>
          <w:szCs w:val="24"/>
        </w:rPr>
      </w:pPr>
      <w:r w:rsidRPr="00F04158">
        <w:rPr>
          <w:rFonts w:ascii="Times New Roman" w:hAnsi="Times New Roman"/>
          <w:szCs w:val="24"/>
        </w:rPr>
        <w:t xml:space="preserve">However, to the extent that </w:t>
      </w:r>
      <w:r w:rsidR="00B52637" w:rsidRPr="00F04158">
        <w:rPr>
          <w:rFonts w:ascii="Times New Roman" w:hAnsi="Times New Roman"/>
          <w:szCs w:val="24"/>
        </w:rPr>
        <w:t>any</w:t>
      </w:r>
      <w:r w:rsidRPr="00F04158">
        <w:rPr>
          <w:rFonts w:ascii="Times New Roman" w:hAnsi="Times New Roman"/>
          <w:szCs w:val="24"/>
        </w:rPr>
        <w:t xml:space="preserve"> regulations </w:t>
      </w:r>
      <w:r w:rsidR="00B52637" w:rsidRPr="00F04158">
        <w:rPr>
          <w:rFonts w:ascii="Times New Roman" w:hAnsi="Times New Roman"/>
          <w:szCs w:val="24"/>
        </w:rPr>
        <w:t>do</w:t>
      </w:r>
      <w:r w:rsidRPr="00F04158">
        <w:rPr>
          <w:rFonts w:ascii="Times New Roman" w:hAnsi="Times New Roman"/>
          <w:szCs w:val="24"/>
        </w:rPr>
        <w:t xml:space="preserve"> en</w:t>
      </w:r>
      <w:r w:rsidR="00BC0FB7" w:rsidRPr="00F04158">
        <w:rPr>
          <w:rFonts w:ascii="Times New Roman" w:hAnsi="Times New Roman"/>
          <w:szCs w:val="24"/>
        </w:rPr>
        <w:t xml:space="preserve">gage the right to privacy they are expected to advance the right.  </w:t>
      </w:r>
      <w:r w:rsidR="00B52637" w:rsidRPr="00F04158">
        <w:rPr>
          <w:rFonts w:ascii="Times New Roman" w:hAnsi="Times New Roman"/>
          <w:szCs w:val="24"/>
        </w:rPr>
        <w:t>The object of the restricted information provisions is to ensure the free-flow of information to the ATSB for safety purposes.  The provisions achieve this by protecting rights such as privacy.</w:t>
      </w:r>
    </w:p>
    <w:p w:rsidR="00F04158" w:rsidRPr="00F04158" w:rsidRDefault="00F04158" w:rsidP="00F04158">
      <w:pPr>
        <w:rPr>
          <w:rFonts w:ascii="Times New Roman" w:hAnsi="Times New Roman"/>
          <w:szCs w:val="24"/>
        </w:rPr>
      </w:pPr>
    </w:p>
    <w:p w:rsidR="001F3FF4" w:rsidRPr="00F04158" w:rsidRDefault="00B52637" w:rsidP="00F04158">
      <w:pPr>
        <w:rPr>
          <w:rFonts w:ascii="Times New Roman" w:hAnsi="Times New Roman"/>
          <w:szCs w:val="24"/>
        </w:rPr>
      </w:pPr>
      <w:r w:rsidRPr="00F04158">
        <w:rPr>
          <w:rFonts w:ascii="Times New Roman" w:hAnsi="Times New Roman"/>
          <w:szCs w:val="24"/>
        </w:rPr>
        <w:t xml:space="preserve">The Bill </w:t>
      </w:r>
      <w:r w:rsidR="001F3FF4" w:rsidRPr="00F04158">
        <w:rPr>
          <w:rFonts w:ascii="Times New Roman" w:hAnsi="Times New Roman"/>
          <w:szCs w:val="24"/>
        </w:rPr>
        <w:t xml:space="preserve">is fully compatible with human rights as defined in section 3 of the </w:t>
      </w:r>
      <w:r w:rsidR="001F3FF4" w:rsidRPr="00F04158">
        <w:rPr>
          <w:rFonts w:ascii="Times New Roman" w:hAnsi="Times New Roman"/>
          <w:i/>
          <w:szCs w:val="24"/>
        </w:rPr>
        <w:t>Human Rights (Parliamentary Scrutiny) Act 2011</w:t>
      </w:r>
      <w:r w:rsidR="001F3FF4" w:rsidRPr="00F04158">
        <w:rPr>
          <w:rFonts w:ascii="Times New Roman" w:hAnsi="Times New Roman"/>
          <w:szCs w:val="24"/>
        </w:rPr>
        <w:t>. </w:t>
      </w:r>
    </w:p>
    <w:p w:rsidR="001F3FF4" w:rsidRDefault="001F3FF4" w:rsidP="00F04158"/>
    <w:p w:rsidR="006808D8" w:rsidRDefault="006808D8" w:rsidP="00F04158"/>
    <w:p w:rsidR="00924ECE" w:rsidRPr="009732CF" w:rsidRDefault="00924ECE" w:rsidP="00F04158">
      <w:pPr>
        <w:jc w:val="center"/>
        <w:rPr>
          <w:rFonts w:ascii="Times New Roman" w:hAnsi="Times New Roman"/>
          <w:b/>
          <w:szCs w:val="24"/>
        </w:rPr>
      </w:pPr>
      <w:r w:rsidRPr="009732CF">
        <w:rPr>
          <w:rFonts w:ascii="Times New Roman" w:hAnsi="Times New Roman"/>
          <w:b/>
          <w:bCs/>
          <w:szCs w:val="24"/>
        </w:rPr>
        <w:t>Minister for Infrastructure and Transport, the Hon Anthony Albanese</w:t>
      </w:r>
      <w:r w:rsidRPr="009732CF">
        <w:rPr>
          <w:rFonts w:ascii="Times New Roman" w:hAnsi="Times New Roman"/>
          <w:szCs w:val="24"/>
        </w:rPr>
        <w:t xml:space="preserve"> </w:t>
      </w:r>
      <w:r w:rsidRPr="009732CF">
        <w:rPr>
          <w:rFonts w:ascii="Times New Roman" w:hAnsi="Times New Roman"/>
          <w:b/>
          <w:szCs w:val="24"/>
        </w:rPr>
        <w:t>MP</w:t>
      </w:r>
    </w:p>
    <w:p w:rsidR="00093BE9" w:rsidRDefault="00093BE9" w:rsidP="00DA4A9B">
      <w:pPr>
        <w:spacing w:before="120" w:after="120"/>
      </w:pPr>
    </w:p>
    <w:p w:rsidR="00E9323D" w:rsidRPr="00FD5265" w:rsidRDefault="00E9323D" w:rsidP="00DA4A9B">
      <w:pPr>
        <w:spacing w:before="120" w:after="120"/>
      </w:pPr>
    </w:p>
    <w:p w:rsidR="00E9323D" w:rsidRPr="00FD5265" w:rsidRDefault="00E9323D" w:rsidP="00DA4A9B">
      <w:pPr>
        <w:spacing w:before="120" w:after="120"/>
        <w:jc w:val="center"/>
        <w:rPr>
          <w:b/>
        </w:rPr>
      </w:pPr>
      <w:r w:rsidRPr="00FD5265">
        <w:br w:type="page"/>
      </w:r>
    </w:p>
    <w:p w:rsidR="00E9323D" w:rsidRDefault="00E9323D" w:rsidP="00F04158">
      <w:pPr>
        <w:rPr>
          <w:rFonts w:ascii="Times New Roman" w:hAnsi="Times New Roman"/>
          <w:b/>
        </w:rPr>
      </w:pPr>
      <w:r w:rsidRPr="00F04158">
        <w:rPr>
          <w:rFonts w:ascii="Times New Roman" w:hAnsi="Times New Roman"/>
          <w:b/>
        </w:rPr>
        <w:lastRenderedPageBreak/>
        <w:t>NOTES ON CLAUSES</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b/>
        </w:rPr>
      </w:pPr>
      <w:r w:rsidRPr="00F04158">
        <w:rPr>
          <w:rFonts w:ascii="Times New Roman" w:hAnsi="Times New Roman"/>
          <w:b/>
        </w:rPr>
        <w:t>Clause 1 – Short Title</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rPr>
      </w:pPr>
      <w:r w:rsidRPr="00F04158">
        <w:rPr>
          <w:rFonts w:ascii="Times New Roman" w:hAnsi="Times New Roman"/>
        </w:rPr>
        <w:t xml:space="preserve">This clause provides that the Bill, once enacted, may be cited as the </w:t>
      </w:r>
      <w:r w:rsidR="00787FEE" w:rsidRPr="00F04158">
        <w:rPr>
          <w:rFonts w:ascii="Times New Roman" w:hAnsi="Times New Roman"/>
          <w:i/>
        </w:rPr>
        <w:t>Transport Safety Investigation Amendment Act 2012</w:t>
      </w:r>
      <w:r w:rsidRPr="00F04158">
        <w:rPr>
          <w:rFonts w:ascii="Times New Roman" w:hAnsi="Times New Roman"/>
        </w:rPr>
        <w:t>.</w:t>
      </w:r>
    </w:p>
    <w:p w:rsidR="00F04158" w:rsidRPr="0015781C" w:rsidRDefault="00F04158" w:rsidP="00F04158">
      <w:pPr>
        <w:rPr>
          <w:rFonts w:ascii="Times New Roman" w:hAnsi="Times New Roman"/>
          <w:sz w:val="22"/>
          <w:szCs w:val="22"/>
        </w:rPr>
      </w:pPr>
    </w:p>
    <w:p w:rsidR="00E9323D" w:rsidRDefault="00E9323D" w:rsidP="00F04158">
      <w:pPr>
        <w:rPr>
          <w:rFonts w:ascii="Times New Roman" w:hAnsi="Times New Roman"/>
          <w:b/>
        </w:rPr>
      </w:pPr>
      <w:r w:rsidRPr="00F04158">
        <w:rPr>
          <w:rFonts w:ascii="Times New Roman" w:hAnsi="Times New Roman"/>
          <w:b/>
        </w:rPr>
        <w:t>Clause 2 – Commencement</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rPr>
      </w:pPr>
      <w:r w:rsidRPr="00F04158">
        <w:rPr>
          <w:rFonts w:ascii="Times New Roman" w:hAnsi="Times New Roman"/>
        </w:rPr>
        <w:t>This clause provides that:</w:t>
      </w:r>
    </w:p>
    <w:p w:rsidR="00F04158" w:rsidRPr="0015781C" w:rsidRDefault="00F04158" w:rsidP="00F04158">
      <w:pPr>
        <w:rPr>
          <w:rFonts w:ascii="Times New Roman" w:hAnsi="Times New Roman"/>
          <w:sz w:val="22"/>
          <w:szCs w:val="22"/>
        </w:rPr>
      </w:pPr>
    </w:p>
    <w:p w:rsidR="00E9323D" w:rsidRDefault="00E9323D" w:rsidP="00F04158">
      <w:pPr>
        <w:numPr>
          <w:ilvl w:val="0"/>
          <w:numId w:val="8"/>
        </w:numPr>
        <w:rPr>
          <w:rFonts w:ascii="Times New Roman" w:hAnsi="Times New Roman"/>
          <w:bCs/>
          <w:iCs/>
        </w:rPr>
      </w:pPr>
      <w:r w:rsidRPr="00F04158">
        <w:rPr>
          <w:rFonts w:ascii="Times New Roman" w:hAnsi="Times New Roman"/>
          <w:bCs/>
          <w:iCs/>
        </w:rPr>
        <w:t xml:space="preserve">sections 1 to 3 of the </w:t>
      </w:r>
      <w:r w:rsidR="00510B8D" w:rsidRPr="00F04158">
        <w:rPr>
          <w:rFonts w:ascii="Times New Roman" w:hAnsi="Times New Roman"/>
          <w:bCs/>
          <w:iCs/>
        </w:rPr>
        <w:t>Act</w:t>
      </w:r>
      <w:r w:rsidRPr="00F04158">
        <w:rPr>
          <w:rFonts w:ascii="Times New Roman" w:hAnsi="Times New Roman"/>
          <w:bCs/>
          <w:iCs/>
        </w:rPr>
        <w:t xml:space="preserve"> commence on the day the </w:t>
      </w:r>
      <w:r w:rsidR="00510B8D" w:rsidRPr="00F04158">
        <w:rPr>
          <w:rFonts w:ascii="Times New Roman" w:hAnsi="Times New Roman"/>
          <w:bCs/>
          <w:iCs/>
        </w:rPr>
        <w:t>Act</w:t>
      </w:r>
      <w:r w:rsidRPr="00F04158">
        <w:rPr>
          <w:rFonts w:ascii="Times New Roman" w:hAnsi="Times New Roman"/>
          <w:bCs/>
          <w:iCs/>
        </w:rPr>
        <w:t xml:space="preserve"> receives the Royal Assent;</w:t>
      </w:r>
    </w:p>
    <w:p w:rsidR="00F04158" w:rsidRPr="0015781C" w:rsidRDefault="00F04158" w:rsidP="00F04158">
      <w:pPr>
        <w:ind w:left="360"/>
        <w:rPr>
          <w:rFonts w:ascii="Times New Roman" w:hAnsi="Times New Roman"/>
          <w:bCs/>
          <w:iCs/>
          <w:sz w:val="22"/>
          <w:szCs w:val="22"/>
        </w:rPr>
      </w:pPr>
    </w:p>
    <w:p w:rsidR="00787FEE" w:rsidRPr="00F04158" w:rsidRDefault="00787FEE" w:rsidP="00F04158">
      <w:pPr>
        <w:numPr>
          <w:ilvl w:val="0"/>
          <w:numId w:val="8"/>
        </w:numPr>
        <w:rPr>
          <w:rFonts w:ascii="Times New Roman" w:hAnsi="Times New Roman"/>
          <w:bCs/>
          <w:i/>
          <w:iCs/>
        </w:rPr>
      </w:pPr>
      <w:r w:rsidRPr="00F04158">
        <w:rPr>
          <w:rFonts w:ascii="Times New Roman" w:hAnsi="Times New Roman"/>
        </w:rPr>
        <w:t>s</w:t>
      </w:r>
      <w:r w:rsidR="00E9323D" w:rsidRPr="00F04158">
        <w:rPr>
          <w:rFonts w:ascii="Times New Roman" w:hAnsi="Times New Roman"/>
        </w:rPr>
        <w:t xml:space="preserve">chedule 1 (which contains </w:t>
      </w:r>
      <w:r w:rsidRPr="00F04158">
        <w:rPr>
          <w:rFonts w:ascii="Times New Roman" w:hAnsi="Times New Roman"/>
        </w:rPr>
        <w:t xml:space="preserve">the amending </w:t>
      </w:r>
      <w:r w:rsidR="00E9323D" w:rsidRPr="00F04158">
        <w:rPr>
          <w:rFonts w:ascii="Times New Roman" w:hAnsi="Times New Roman"/>
        </w:rPr>
        <w:t>provisions) will commence on</w:t>
      </w:r>
      <w:r w:rsidRPr="00F04158">
        <w:rPr>
          <w:rFonts w:ascii="Times New Roman" w:hAnsi="Times New Roman"/>
        </w:rPr>
        <w:t xml:space="preserve"> the later of:</w:t>
      </w:r>
    </w:p>
    <w:p w:rsidR="00F04158" w:rsidRPr="0015781C" w:rsidRDefault="00F04158" w:rsidP="00F04158">
      <w:pPr>
        <w:ind w:left="360"/>
        <w:rPr>
          <w:rFonts w:ascii="Times New Roman" w:hAnsi="Times New Roman"/>
          <w:bCs/>
          <w:i/>
          <w:iCs/>
          <w:sz w:val="22"/>
          <w:szCs w:val="22"/>
        </w:rPr>
      </w:pPr>
    </w:p>
    <w:p w:rsidR="00787FEE" w:rsidRDefault="00787FEE" w:rsidP="00F04158">
      <w:pPr>
        <w:pStyle w:val="ListParagraph"/>
        <w:numPr>
          <w:ilvl w:val="0"/>
          <w:numId w:val="22"/>
        </w:numPr>
        <w:contextualSpacing w:val="0"/>
        <w:rPr>
          <w:rFonts w:ascii="Times New Roman" w:hAnsi="Times New Roman"/>
          <w:bCs/>
          <w:iCs/>
        </w:rPr>
      </w:pPr>
      <w:r w:rsidRPr="00F04158">
        <w:rPr>
          <w:rFonts w:ascii="Times New Roman" w:hAnsi="Times New Roman"/>
          <w:bCs/>
          <w:iCs/>
        </w:rPr>
        <w:t xml:space="preserve">the day after this Act receives </w:t>
      </w:r>
      <w:r w:rsidR="003C2D2E" w:rsidRPr="00F04158">
        <w:rPr>
          <w:rFonts w:ascii="Times New Roman" w:hAnsi="Times New Roman"/>
          <w:bCs/>
          <w:iCs/>
        </w:rPr>
        <w:t xml:space="preserve">the </w:t>
      </w:r>
      <w:r w:rsidRPr="00F04158">
        <w:rPr>
          <w:rFonts w:ascii="Times New Roman" w:hAnsi="Times New Roman"/>
          <w:bCs/>
          <w:iCs/>
        </w:rPr>
        <w:t>Royal Assent; and</w:t>
      </w:r>
    </w:p>
    <w:p w:rsidR="00F04158" w:rsidRPr="0015781C" w:rsidRDefault="00F04158" w:rsidP="00F04158">
      <w:pPr>
        <w:pStyle w:val="ListParagraph"/>
        <w:contextualSpacing w:val="0"/>
        <w:rPr>
          <w:rFonts w:ascii="Times New Roman" w:hAnsi="Times New Roman"/>
          <w:bCs/>
          <w:iCs/>
          <w:sz w:val="16"/>
          <w:szCs w:val="16"/>
        </w:rPr>
      </w:pPr>
    </w:p>
    <w:p w:rsidR="00787FEE" w:rsidRDefault="00787FEE" w:rsidP="00F04158">
      <w:pPr>
        <w:pStyle w:val="ListParagraph"/>
        <w:numPr>
          <w:ilvl w:val="0"/>
          <w:numId w:val="22"/>
        </w:numPr>
        <w:contextualSpacing w:val="0"/>
        <w:rPr>
          <w:rFonts w:ascii="Times New Roman" w:hAnsi="Times New Roman"/>
          <w:bCs/>
          <w:iCs/>
        </w:rPr>
      </w:pPr>
      <w:r w:rsidRPr="00F04158">
        <w:rPr>
          <w:rFonts w:ascii="Times New Roman" w:hAnsi="Times New Roman"/>
          <w:bCs/>
          <w:iCs/>
        </w:rPr>
        <w:t>1</w:t>
      </w:r>
      <w:r w:rsidR="008A60EE" w:rsidRPr="00F04158">
        <w:rPr>
          <w:rFonts w:ascii="Times New Roman" w:hAnsi="Times New Roman"/>
          <w:bCs/>
          <w:iCs/>
        </w:rPr>
        <w:t>8</w:t>
      </w:r>
      <w:r w:rsidRPr="00F04158">
        <w:rPr>
          <w:rFonts w:ascii="Times New Roman" w:hAnsi="Times New Roman"/>
          <w:bCs/>
          <w:iCs/>
        </w:rPr>
        <w:t xml:space="preserve"> </w:t>
      </w:r>
      <w:r w:rsidR="008A60EE" w:rsidRPr="00F04158">
        <w:rPr>
          <w:rFonts w:ascii="Times New Roman" w:hAnsi="Times New Roman"/>
          <w:bCs/>
          <w:iCs/>
        </w:rPr>
        <w:t>December</w:t>
      </w:r>
      <w:r w:rsidRPr="00F04158">
        <w:rPr>
          <w:rFonts w:ascii="Times New Roman" w:hAnsi="Times New Roman"/>
          <w:bCs/>
          <w:iCs/>
        </w:rPr>
        <w:t xml:space="preserve"> 201</w:t>
      </w:r>
      <w:r w:rsidR="008A60EE" w:rsidRPr="00F04158">
        <w:rPr>
          <w:rFonts w:ascii="Times New Roman" w:hAnsi="Times New Roman"/>
          <w:bCs/>
          <w:iCs/>
        </w:rPr>
        <w:t>2</w:t>
      </w:r>
      <w:r w:rsidR="003C2D2E" w:rsidRPr="00F04158">
        <w:rPr>
          <w:rFonts w:ascii="Times New Roman" w:hAnsi="Times New Roman"/>
          <w:bCs/>
          <w:iCs/>
        </w:rPr>
        <w:t>.</w:t>
      </w:r>
    </w:p>
    <w:p w:rsidR="00F04158" w:rsidRPr="0015781C" w:rsidRDefault="00F04158" w:rsidP="00F04158">
      <w:pPr>
        <w:pStyle w:val="ListParagraph"/>
        <w:contextualSpacing w:val="0"/>
        <w:rPr>
          <w:rFonts w:ascii="Times New Roman" w:hAnsi="Times New Roman"/>
          <w:bCs/>
          <w:iCs/>
          <w:sz w:val="22"/>
          <w:szCs w:val="22"/>
        </w:rPr>
      </w:pPr>
    </w:p>
    <w:p w:rsidR="00F04158" w:rsidRDefault="00787FEE" w:rsidP="00F04158">
      <w:pPr>
        <w:rPr>
          <w:rFonts w:ascii="Times New Roman" w:hAnsi="Times New Roman"/>
        </w:rPr>
      </w:pPr>
      <w:r w:rsidRPr="00F04158">
        <w:rPr>
          <w:rFonts w:ascii="Times New Roman" w:hAnsi="Times New Roman"/>
        </w:rPr>
        <w:t xml:space="preserve">The timing </w:t>
      </w:r>
      <w:r w:rsidR="00510B8D" w:rsidRPr="00F04158">
        <w:rPr>
          <w:rFonts w:ascii="Times New Roman" w:hAnsi="Times New Roman"/>
        </w:rPr>
        <w:t xml:space="preserve">of 18 December 2012 </w:t>
      </w:r>
      <w:r w:rsidRPr="00F04158">
        <w:rPr>
          <w:rFonts w:ascii="Times New Roman" w:hAnsi="Times New Roman"/>
        </w:rPr>
        <w:t xml:space="preserve">is intended to coincide with the </w:t>
      </w:r>
      <w:r w:rsidR="00102F11" w:rsidRPr="00F04158">
        <w:rPr>
          <w:rFonts w:ascii="Times New Roman" w:hAnsi="Times New Roman"/>
        </w:rPr>
        <w:t xml:space="preserve">anticipated </w:t>
      </w:r>
      <w:r w:rsidRPr="00F04158">
        <w:rPr>
          <w:rFonts w:ascii="Times New Roman" w:hAnsi="Times New Roman"/>
        </w:rPr>
        <w:t xml:space="preserve">start date for the </w:t>
      </w:r>
      <w:r w:rsidR="00510B8D" w:rsidRPr="00F04158">
        <w:rPr>
          <w:rFonts w:ascii="Times New Roman" w:hAnsi="Times New Roman"/>
        </w:rPr>
        <w:t>other national rail safety reforms</w:t>
      </w:r>
      <w:r w:rsidR="00102F11" w:rsidRPr="00F04158">
        <w:rPr>
          <w:rFonts w:ascii="Times New Roman" w:hAnsi="Times New Roman"/>
        </w:rPr>
        <w:t>,</w:t>
      </w:r>
      <w:r w:rsidRPr="00F04158">
        <w:rPr>
          <w:rFonts w:ascii="Times New Roman" w:hAnsi="Times New Roman"/>
        </w:rPr>
        <w:t xml:space="preserve"> including the commencement of the national rail safety regulator.</w:t>
      </w:r>
    </w:p>
    <w:p w:rsidR="00787FEE" w:rsidRPr="0015781C" w:rsidRDefault="00102F11" w:rsidP="00F04158">
      <w:pPr>
        <w:rPr>
          <w:rFonts w:ascii="Times New Roman" w:hAnsi="Times New Roman"/>
          <w:sz w:val="22"/>
          <w:szCs w:val="22"/>
        </w:rPr>
      </w:pPr>
      <w:r w:rsidRPr="00F04158">
        <w:rPr>
          <w:rFonts w:ascii="Times New Roman" w:hAnsi="Times New Roman"/>
        </w:rPr>
        <w:t xml:space="preserve">  </w:t>
      </w:r>
    </w:p>
    <w:p w:rsidR="00E9323D" w:rsidRDefault="00E9323D" w:rsidP="00F04158">
      <w:pPr>
        <w:rPr>
          <w:rFonts w:ascii="Times New Roman" w:hAnsi="Times New Roman"/>
          <w:b/>
        </w:rPr>
      </w:pPr>
      <w:r w:rsidRPr="00F04158">
        <w:rPr>
          <w:rFonts w:ascii="Times New Roman" w:hAnsi="Times New Roman"/>
          <w:b/>
        </w:rPr>
        <w:t>Clause 3 – Schedule(s)</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rPr>
      </w:pPr>
      <w:r w:rsidRPr="00F04158">
        <w:rPr>
          <w:rFonts w:ascii="Times New Roman" w:hAnsi="Times New Roman"/>
        </w:rPr>
        <w:t xml:space="preserve">This clause provides that each Act that is specified in a Schedule to this Bill is amended or repealed as set out in the applicable items in the Schedule concerned, and any other item has effect according to its terms.  </w:t>
      </w:r>
    </w:p>
    <w:p w:rsidR="00F04158" w:rsidRPr="0015781C" w:rsidRDefault="00F04158" w:rsidP="00F04158">
      <w:pPr>
        <w:rPr>
          <w:rFonts w:ascii="Times New Roman" w:hAnsi="Times New Roman"/>
          <w:sz w:val="22"/>
          <w:szCs w:val="22"/>
        </w:rPr>
      </w:pPr>
    </w:p>
    <w:p w:rsidR="00E9323D" w:rsidRDefault="00E9323D" w:rsidP="00F04158">
      <w:pPr>
        <w:rPr>
          <w:rFonts w:ascii="Times New Roman" w:hAnsi="Times New Roman"/>
          <w:b/>
        </w:rPr>
      </w:pPr>
      <w:r w:rsidRPr="00F04158">
        <w:rPr>
          <w:rFonts w:ascii="Times New Roman" w:hAnsi="Times New Roman"/>
          <w:b/>
        </w:rPr>
        <w:t xml:space="preserve">SCHEDULE 1 </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b/>
        </w:rPr>
      </w:pPr>
      <w:r w:rsidRPr="00F04158">
        <w:rPr>
          <w:rFonts w:ascii="Times New Roman" w:hAnsi="Times New Roman"/>
          <w:b/>
        </w:rPr>
        <w:t>Amendments</w:t>
      </w:r>
    </w:p>
    <w:p w:rsidR="00F04158" w:rsidRPr="0015781C" w:rsidRDefault="00F04158" w:rsidP="00F04158">
      <w:pPr>
        <w:rPr>
          <w:rFonts w:ascii="Times New Roman" w:hAnsi="Times New Roman"/>
          <w:b/>
          <w:sz w:val="22"/>
          <w:szCs w:val="22"/>
        </w:rPr>
      </w:pPr>
    </w:p>
    <w:p w:rsidR="00E9323D" w:rsidRDefault="00E9323D" w:rsidP="00F04158">
      <w:pPr>
        <w:rPr>
          <w:rFonts w:ascii="Times New Roman" w:hAnsi="Times New Roman"/>
          <w:b/>
        </w:rPr>
      </w:pPr>
      <w:r w:rsidRPr="00F04158">
        <w:rPr>
          <w:rFonts w:ascii="Times New Roman" w:hAnsi="Times New Roman"/>
          <w:b/>
        </w:rPr>
        <w:t>Item</w:t>
      </w:r>
      <w:r w:rsidR="003B6FAC" w:rsidRPr="00F04158">
        <w:rPr>
          <w:rFonts w:ascii="Times New Roman" w:hAnsi="Times New Roman"/>
          <w:b/>
        </w:rPr>
        <w:t>s</w:t>
      </w:r>
      <w:r w:rsidRPr="00F04158">
        <w:rPr>
          <w:rFonts w:ascii="Times New Roman" w:hAnsi="Times New Roman"/>
          <w:b/>
        </w:rPr>
        <w:t xml:space="preserve"> 1</w:t>
      </w:r>
      <w:r w:rsidR="00787FEE" w:rsidRPr="00F04158">
        <w:rPr>
          <w:rFonts w:ascii="Times New Roman" w:hAnsi="Times New Roman"/>
          <w:b/>
        </w:rPr>
        <w:t xml:space="preserve"> &amp; 2</w:t>
      </w:r>
    </w:p>
    <w:p w:rsidR="00555307" w:rsidRDefault="00555307" w:rsidP="00F04158">
      <w:pPr>
        <w:rPr>
          <w:rFonts w:ascii="Times New Roman" w:hAnsi="Times New Roman"/>
          <w:b/>
        </w:rPr>
      </w:pPr>
    </w:p>
    <w:p w:rsidR="003B6FAC" w:rsidRDefault="003B6FAC" w:rsidP="00F04158">
      <w:pPr>
        <w:rPr>
          <w:rFonts w:ascii="Times New Roman" w:hAnsi="Times New Roman"/>
        </w:rPr>
      </w:pPr>
      <w:r w:rsidRPr="00F04158">
        <w:rPr>
          <w:rFonts w:ascii="Times New Roman" w:hAnsi="Times New Roman"/>
        </w:rPr>
        <w:t xml:space="preserve">Section 11 of the </w:t>
      </w:r>
      <w:r w:rsidRPr="00F04158">
        <w:rPr>
          <w:rFonts w:ascii="Times New Roman" w:hAnsi="Times New Roman"/>
          <w:i/>
        </w:rPr>
        <w:t>Transport Safety Investigation Act 2003</w:t>
      </w:r>
      <w:r w:rsidRPr="00F04158">
        <w:rPr>
          <w:rFonts w:ascii="Times New Roman" w:hAnsi="Times New Roman"/>
        </w:rPr>
        <w:t xml:space="preserve"> (TSI Act) provides the limitations for the exercise of powers under the Act in relation to each of the aviation, maritime and rail transport modes by making reference to relevant constitutional heads of power.  For rail, subsection 11(3) states that the powers in the Act, so far as they relate to rail vehicles and rail transport, can only be exercised in relation to</w:t>
      </w:r>
      <w:r w:rsidR="000409A0" w:rsidRPr="00F04158">
        <w:rPr>
          <w:rFonts w:ascii="Times New Roman" w:hAnsi="Times New Roman"/>
        </w:rPr>
        <w:t xml:space="preserve"> matters including</w:t>
      </w:r>
      <w:r w:rsidRPr="00F04158">
        <w:rPr>
          <w:rFonts w:ascii="Times New Roman" w:hAnsi="Times New Roman"/>
        </w:rPr>
        <w:t>:</w:t>
      </w:r>
    </w:p>
    <w:p w:rsidR="0015781C" w:rsidRPr="0015781C" w:rsidRDefault="0015781C" w:rsidP="00F04158">
      <w:pPr>
        <w:rPr>
          <w:rFonts w:ascii="Times New Roman" w:hAnsi="Times New Roman"/>
          <w:sz w:val="22"/>
          <w:szCs w:val="22"/>
        </w:rPr>
      </w:pPr>
    </w:p>
    <w:p w:rsidR="003B6FAC" w:rsidRDefault="000409A0" w:rsidP="00F04158">
      <w:pPr>
        <w:pStyle w:val="ListParagraph"/>
        <w:numPr>
          <w:ilvl w:val="0"/>
          <w:numId w:val="23"/>
        </w:numPr>
        <w:contextualSpacing w:val="0"/>
        <w:rPr>
          <w:rFonts w:ascii="Times New Roman" w:hAnsi="Times New Roman"/>
        </w:rPr>
      </w:pPr>
      <w:r w:rsidRPr="00F04158">
        <w:rPr>
          <w:rFonts w:ascii="Times New Roman" w:hAnsi="Times New Roman"/>
        </w:rPr>
        <w:t>r</w:t>
      </w:r>
      <w:r w:rsidR="003B6FAC" w:rsidRPr="00F04158">
        <w:rPr>
          <w:rFonts w:ascii="Times New Roman" w:hAnsi="Times New Roman"/>
        </w:rPr>
        <w:t xml:space="preserve">ail transport conducted in the course </w:t>
      </w:r>
      <w:r w:rsidR="00CF703B" w:rsidRPr="00F04158">
        <w:rPr>
          <w:rFonts w:ascii="Times New Roman" w:hAnsi="Times New Roman"/>
        </w:rPr>
        <w:t>of trade or commerce among the s</w:t>
      </w:r>
      <w:r w:rsidR="003B6FAC" w:rsidRPr="00F04158">
        <w:rPr>
          <w:rFonts w:ascii="Times New Roman" w:hAnsi="Times New Roman"/>
        </w:rPr>
        <w:t>tates</w:t>
      </w:r>
      <w:r w:rsidRPr="00F04158">
        <w:rPr>
          <w:rFonts w:ascii="Times New Roman" w:hAnsi="Times New Roman"/>
        </w:rPr>
        <w:t>; and</w:t>
      </w:r>
    </w:p>
    <w:p w:rsidR="0015781C" w:rsidRPr="0015781C" w:rsidRDefault="0015781C" w:rsidP="0015781C">
      <w:pPr>
        <w:pStyle w:val="ListParagraph"/>
        <w:contextualSpacing w:val="0"/>
        <w:rPr>
          <w:rFonts w:ascii="Times New Roman" w:hAnsi="Times New Roman"/>
          <w:sz w:val="16"/>
          <w:szCs w:val="16"/>
        </w:rPr>
      </w:pPr>
    </w:p>
    <w:p w:rsidR="000409A0" w:rsidRDefault="000409A0" w:rsidP="00F04158">
      <w:pPr>
        <w:pStyle w:val="ListParagraph"/>
        <w:numPr>
          <w:ilvl w:val="0"/>
          <w:numId w:val="23"/>
        </w:numPr>
        <w:contextualSpacing w:val="0"/>
        <w:rPr>
          <w:rFonts w:ascii="Times New Roman" w:hAnsi="Times New Roman"/>
        </w:rPr>
      </w:pPr>
      <w:r w:rsidRPr="00F04158">
        <w:rPr>
          <w:rFonts w:ascii="Times New Roman" w:hAnsi="Times New Roman"/>
        </w:rPr>
        <w:t>rail vehicles and rail track owned or operated by a constitutional corporation.</w:t>
      </w:r>
    </w:p>
    <w:p w:rsidR="0015781C" w:rsidRPr="0015781C" w:rsidRDefault="0015781C" w:rsidP="0015781C">
      <w:pPr>
        <w:rPr>
          <w:rFonts w:ascii="Times New Roman" w:hAnsi="Times New Roman"/>
          <w:sz w:val="22"/>
          <w:szCs w:val="22"/>
        </w:rPr>
      </w:pPr>
    </w:p>
    <w:p w:rsidR="003B6FAC" w:rsidRDefault="002542E1" w:rsidP="00F04158">
      <w:pPr>
        <w:rPr>
          <w:rFonts w:ascii="Times New Roman" w:hAnsi="Times New Roman"/>
        </w:rPr>
      </w:pPr>
      <w:r w:rsidRPr="00F04158">
        <w:rPr>
          <w:rFonts w:ascii="Times New Roman" w:hAnsi="Times New Roman"/>
        </w:rPr>
        <w:t>The C</w:t>
      </w:r>
      <w:r w:rsidR="000409A0" w:rsidRPr="00F04158">
        <w:rPr>
          <w:rFonts w:ascii="Times New Roman" w:hAnsi="Times New Roman"/>
        </w:rPr>
        <w:t>onstitution’s interstate t</w:t>
      </w:r>
      <w:r w:rsidR="00CC21E1" w:rsidRPr="00F04158">
        <w:rPr>
          <w:rFonts w:ascii="Times New Roman" w:hAnsi="Times New Roman"/>
        </w:rPr>
        <w:t>rade and commerce power (s.51(i</w:t>
      </w:r>
      <w:r w:rsidR="000409A0" w:rsidRPr="00F04158">
        <w:rPr>
          <w:rFonts w:ascii="Times New Roman" w:hAnsi="Times New Roman"/>
        </w:rPr>
        <w:t xml:space="preserve">)) and </w:t>
      </w:r>
      <w:r w:rsidR="00102F11" w:rsidRPr="00F04158">
        <w:rPr>
          <w:rFonts w:ascii="Times New Roman" w:hAnsi="Times New Roman"/>
        </w:rPr>
        <w:t xml:space="preserve">constitutional </w:t>
      </w:r>
      <w:r w:rsidR="000409A0" w:rsidRPr="00F04158">
        <w:rPr>
          <w:rFonts w:ascii="Times New Roman" w:hAnsi="Times New Roman"/>
        </w:rPr>
        <w:t>corporation</w:t>
      </w:r>
      <w:r w:rsidR="00102F11" w:rsidRPr="00F04158">
        <w:rPr>
          <w:rFonts w:ascii="Times New Roman" w:hAnsi="Times New Roman"/>
        </w:rPr>
        <w:t>s</w:t>
      </w:r>
      <w:r w:rsidR="000409A0" w:rsidRPr="00F04158">
        <w:rPr>
          <w:rFonts w:ascii="Times New Roman" w:hAnsi="Times New Roman"/>
        </w:rPr>
        <w:t xml:space="preserve"> power (s.51(xx)) already provide sufficient jurisdiction for the ATSB to conduct safety investigations in the</w:t>
      </w:r>
      <w:r w:rsidRPr="00F04158">
        <w:rPr>
          <w:rFonts w:ascii="Times New Roman" w:hAnsi="Times New Roman"/>
        </w:rPr>
        <w:t xml:space="preserve"> Australian rail industry.  The industry’s</w:t>
      </w:r>
      <w:r w:rsidR="000409A0" w:rsidRPr="00F04158">
        <w:rPr>
          <w:rFonts w:ascii="Times New Roman" w:hAnsi="Times New Roman"/>
        </w:rPr>
        <w:t xml:space="preserve"> commercial nature means that practically all rail vehicles are owned or operated by constitutional corporations</w:t>
      </w:r>
      <w:r w:rsidR="00CC21E1" w:rsidRPr="00F04158">
        <w:rPr>
          <w:rFonts w:ascii="Times New Roman" w:hAnsi="Times New Roman"/>
        </w:rPr>
        <w:t xml:space="preserve"> (i.e. foreign corporations and trading and financial corporations formed within the Commonwealth)</w:t>
      </w:r>
      <w:r w:rsidR="000409A0" w:rsidRPr="00F04158">
        <w:rPr>
          <w:rFonts w:ascii="Times New Roman" w:hAnsi="Times New Roman"/>
        </w:rPr>
        <w:t>.</w:t>
      </w:r>
    </w:p>
    <w:p w:rsidR="0015781C" w:rsidRDefault="0015781C" w:rsidP="00F04158">
      <w:pPr>
        <w:rPr>
          <w:rFonts w:ascii="Times New Roman" w:hAnsi="Times New Roman"/>
        </w:rPr>
      </w:pPr>
    </w:p>
    <w:p w:rsidR="00CC21E1" w:rsidRDefault="00CC21E1" w:rsidP="00F04158">
      <w:pPr>
        <w:rPr>
          <w:rFonts w:ascii="Times New Roman" w:hAnsi="Times New Roman"/>
        </w:rPr>
      </w:pPr>
      <w:r w:rsidRPr="00F04158">
        <w:rPr>
          <w:rFonts w:ascii="Times New Roman" w:hAnsi="Times New Roman"/>
        </w:rPr>
        <w:lastRenderedPageBreak/>
        <w:t>While noting the broad jurisdictional coverage provided by the references to the interstate trade and commerce power</w:t>
      </w:r>
      <w:r w:rsidR="002542E1" w:rsidRPr="00F04158">
        <w:rPr>
          <w:rFonts w:ascii="Times New Roman" w:hAnsi="Times New Roman"/>
        </w:rPr>
        <w:t>,</w:t>
      </w:r>
      <w:r w:rsidRPr="00F04158">
        <w:rPr>
          <w:rFonts w:ascii="Times New Roman" w:hAnsi="Times New Roman"/>
        </w:rPr>
        <w:t xml:space="preserve"> and the corporation</w:t>
      </w:r>
      <w:r w:rsidR="00102F11" w:rsidRPr="00F04158">
        <w:rPr>
          <w:rFonts w:ascii="Times New Roman" w:hAnsi="Times New Roman"/>
        </w:rPr>
        <w:t>s</w:t>
      </w:r>
      <w:r w:rsidRPr="00F04158">
        <w:rPr>
          <w:rFonts w:ascii="Times New Roman" w:hAnsi="Times New Roman"/>
        </w:rPr>
        <w:t xml:space="preserve"> power</w:t>
      </w:r>
      <w:r w:rsidR="002542E1" w:rsidRPr="00F04158">
        <w:rPr>
          <w:rFonts w:ascii="Times New Roman" w:hAnsi="Times New Roman"/>
        </w:rPr>
        <w:t>,</w:t>
      </w:r>
      <w:r w:rsidRPr="00F04158">
        <w:rPr>
          <w:rFonts w:ascii="Times New Roman" w:hAnsi="Times New Roman"/>
        </w:rPr>
        <w:t xml:space="preserve"> subse</w:t>
      </w:r>
      <w:r w:rsidR="00CF703B" w:rsidRPr="00F04158">
        <w:rPr>
          <w:rFonts w:ascii="Times New Roman" w:hAnsi="Times New Roman"/>
        </w:rPr>
        <w:t>ction 11(3) also refers to the t</w:t>
      </w:r>
      <w:r w:rsidRPr="00F04158">
        <w:rPr>
          <w:rFonts w:ascii="Times New Roman" w:hAnsi="Times New Roman"/>
        </w:rPr>
        <w:t>erritories power in the Constitution</w:t>
      </w:r>
      <w:r w:rsidR="007E4D77" w:rsidRPr="00F04158">
        <w:rPr>
          <w:rFonts w:ascii="Times New Roman" w:hAnsi="Times New Roman"/>
        </w:rPr>
        <w:t xml:space="preserve"> (s.122)</w:t>
      </w:r>
      <w:r w:rsidRPr="00F04158">
        <w:rPr>
          <w:rFonts w:ascii="Times New Roman" w:hAnsi="Times New Roman"/>
        </w:rPr>
        <w:t>.</w:t>
      </w:r>
      <w:r w:rsidR="007E4D77" w:rsidRPr="00F04158">
        <w:rPr>
          <w:rFonts w:ascii="Times New Roman" w:hAnsi="Times New Roman"/>
        </w:rPr>
        <w:t xml:space="preserve">  </w:t>
      </w:r>
      <w:r w:rsidR="002542E1" w:rsidRPr="00F04158">
        <w:rPr>
          <w:rFonts w:ascii="Times New Roman" w:hAnsi="Times New Roman"/>
        </w:rPr>
        <w:t>Paragraph 11(3)(b)</w:t>
      </w:r>
      <w:r w:rsidR="007E4D77" w:rsidRPr="00F04158">
        <w:rPr>
          <w:rFonts w:ascii="Times New Roman" w:hAnsi="Times New Roman"/>
        </w:rPr>
        <w:t xml:space="preserve"> state</w:t>
      </w:r>
      <w:r w:rsidR="002542E1" w:rsidRPr="00F04158">
        <w:rPr>
          <w:rFonts w:ascii="Times New Roman" w:hAnsi="Times New Roman"/>
        </w:rPr>
        <w:t>s</w:t>
      </w:r>
      <w:r w:rsidR="007E4D77" w:rsidRPr="00F04158">
        <w:rPr>
          <w:rFonts w:ascii="Times New Roman" w:hAnsi="Times New Roman"/>
        </w:rPr>
        <w:t xml:space="preserve"> that the powers in the Act can be exercised in relation to rail transport conducted to or from the Northern Territory.  The wording is inconsistent with the wording for </w:t>
      </w:r>
      <w:r w:rsidR="002542E1" w:rsidRPr="00F04158">
        <w:rPr>
          <w:rFonts w:ascii="Times New Roman" w:hAnsi="Times New Roman"/>
        </w:rPr>
        <w:t xml:space="preserve">comparative provisions governing </w:t>
      </w:r>
      <w:r w:rsidR="007E4D77" w:rsidRPr="00F04158">
        <w:rPr>
          <w:rFonts w:ascii="Times New Roman" w:hAnsi="Times New Roman"/>
        </w:rPr>
        <w:t>the aviation and maritime modes of transport</w:t>
      </w:r>
      <w:r w:rsidR="002542E1" w:rsidRPr="00F04158">
        <w:rPr>
          <w:rFonts w:ascii="Times New Roman" w:hAnsi="Times New Roman"/>
        </w:rPr>
        <w:t>.  Subparagraphs 11(1)(b)(ii) and 11(2)(b)(ii)</w:t>
      </w:r>
      <w:r w:rsidR="007E4D77" w:rsidRPr="00F04158">
        <w:rPr>
          <w:rFonts w:ascii="Times New Roman" w:hAnsi="Times New Roman"/>
        </w:rPr>
        <w:t xml:space="preserve"> state that the powers </w:t>
      </w:r>
      <w:r w:rsidR="00102F11" w:rsidRPr="00F04158">
        <w:rPr>
          <w:rFonts w:ascii="Times New Roman" w:hAnsi="Times New Roman"/>
        </w:rPr>
        <w:t xml:space="preserve">in the Act </w:t>
      </w:r>
      <w:r w:rsidR="007E4D77" w:rsidRPr="00F04158">
        <w:rPr>
          <w:rFonts w:ascii="Times New Roman" w:hAnsi="Times New Roman"/>
        </w:rPr>
        <w:t xml:space="preserve">can be exercised in relation to </w:t>
      </w:r>
      <w:r w:rsidR="00CF703B" w:rsidRPr="00F04158">
        <w:rPr>
          <w:rFonts w:ascii="Times New Roman" w:hAnsi="Times New Roman"/>
        </w:rPr>
        <w:t>air/marine navigation within a territory, or to or from a t</w:t>
      </w:r>
      <w:r w:rsidR="007E4D77" w:rsidRPr="00F04158">
        <w:rPr>
          <w:rFonts w:ascii="Times New Roman" w:hAnsi="Times New Roman"/>
        </w:rPr>
        <w:t>erritory.</w:t>
      </w:r>
    </w:p>
    <w:p w:rsidR="0015781C" w:rsidRPr="0015781C" w:rsidRDefault="0015781C" w:rsidP="00F04158">
      <w:pPr>
        <w:rPr>
          <w:rFonts w:ascii="Times New Roman" w:hAnsi="Times New Roman"/>
          <w:sz w:val="22"/>
          <w:szCs w:val="22"/>
        </w:rPr>
      </w:pPr>
    </w:p>
    <w:p w:rsidR="007E4D77" w:rsidRDefault="002542E1" w:rsidP="00F04158">
      <w:pPr>
        <w:rPr>
          <w:rFonts w:ascii="Times New Roman" w:hAnsi="Times New Roman"/>
        </w:rPr>
      </w:pPr>
      <w:r w:rsidRPr="00F04158">
        <w:rPr>
          <w:rFonts w:ascii="Times New Roman" w:hAnsi="Times New Roman"/>
        </w:rPr>
        <w:t>F</w:t>
      </w:r>
      <w:r w:rsidR="007E4D77" w:rsidRPr="00F04158">
        <w:rPr>
          <w:rFonts w:ascii="Times New Roman" w:hAnsi="Times New Roman"/>
        </w:rPr>
        <w:t>or consistency</w:t>
      </w:r>
      <w:r w:rsidRPr="00F04158">
        <w:rPr>
          <w:rFonts w:ascii="Times New Roman" w:hAnsi="Times New Roman"/>
        </w:rPr>
        <w:t>, it is proposed that</w:t>
      </w:r>
      <w:r w:rsidR="007E4D77" w:rsidRPr="00F04158">
        <w:rPr>
          <w:rFonts w:ascii="Times New Roman" w:hAnsi="Times New Roman"/>
        </w:rPr>
        <w:t xml:space="preserve"> subsection 11(3) should be amended so the reference to the Territories power </w:t>
      </w:r>
      <w:r w:rsidRPr="00F04158">
        <w:rPr>
          <w:rFonts w:ascii="Times New Roman" w:hAnsi="Times New Roman"/>
        </w:rPr>
        <w:t xml:space="preserve">for rail </w:t>
      </w:r>
      <w:r w:rsidR="007E4D77" w:rsidRPr="00F04158">
        <w:rPr>
          <w:rFonts w:ascii="Times New Roman" w:hAnsi="Times New Roman"/>
        </w:rPr>
        <w:t>is consistent with the reference</w:t>
      </w:r>
      <w:r w:rsidRPr="00F04158">
        <w:rPr>
          <w:rFonts w:ascii="Times New Roman" w:hAnsi="Times New Roman"/>
        </w:rPr>
        <w:t>s</w:t>
      </w:r>
      <w:r w:rsidR="007E4D77" w:rsidRPr="00F04158">
        <w:rPr>
          <w:rFonts w:ascii="Times New Roman" w:hAnsi="Times New Roman"/>
        </w:rPr>
        <w:t xml:space="preserve"> in similar subsections for aviation and mari</w:t>
      </w:r>
      <w:r w:rsidR="00CF703B" w:rsidRPr="00F04158">
        <w:rPr>
          <w:rFonts w:ascii="Times New Roman" w:hAnsi="Times New Roman"/>
        </w:rPr>
        <w:t>time</w:t>
      </w:r>
      <w:r w:rsidR="007E4D77" w:rsidRPr="00F04158">
        <w:rPr>
          <w:rFonts w:ascii="Times New Roman" w:hAnsi="Times New Roman"/>
        </w:rPr>
        <w:t xml:space="preserve">.  The amendment would avoid any confusion surrounding the ATSB’s jurisdiction in relation to rail travel occurring within the </w:t>
      </w:r>
      <w:r w:rsidR="00CF703B" w:rsidRPr="00F04158">
        <w:rPr>
          <w:rFonts w:ascii="Times New Roman" w:hAnsi="Times New Roman"/>
        </w:rPr>
        <w:t>t</w:t>
      </w:r>
      <w:r w:rsidR="007E4D77" w:rsidRPr="00F04158">
        <w:rPr>
          <w:rFonts w:ascii="Times New Roman" w:hAnsi="Times New Roman"/>
        </w:rPr>
        <w:t>erritories.</w:t>
      </w:r>
    </w:p>
    <w:p w:rsidR="0015781C" w:rsidRPr="0015781C" w:rsidRDefault="0015781C" w:rsidP="00F04158">
      <w:pPr>
        <w:rPr>
          <w:rFonts w:ascii="Times New Roman" w:hAnsi="Times New Roman"/>
          <w:sz w:val="22"/>
          <w:szCs w:val="22"/>
        </w:rPr>
      </w:pPr>
    </w:p>
    <w:p w:rsidR="007E4D77" w:rsidRPr="00F04158" w:rsidRDefault="007E4D77" w:rsidP="00F04158">
      <w:pPr>
        <w:rPr>
          <w:rFonts w:ascii="Times New Roman" w:hAnsi="Times New Roman"/>
        </w:rPr>
      </w:pPr>
      <w:r w:rsidRPr="00F04158">
        <w:rPr>
          <w:rFonts w:ascii="Times New Roman" w:hAnsi="Times New Roman"/>
        </w:rPr>
        <w:t xml:space="preserve">In this regard, item </w:t>
      </w:r>
      <w:r w:rsidR="00B3149B" w:rsidRPr="00F04158">
        <w:rPr>
          <w:rFonts w:ascii="Times New Roman" w:hAnsi="Times New Roman"/>
        </w:rPr>
        <w:t>1 of the Bill would omit paragraph 11(3)(b) of the Act.  Item 2 would insert a new paragraph 11(3)(c)(ia).  The new paragraph would clarify that the powers in the Act could be exercised in relation to rai</w:t>
      </w:r>
      <w:r w:rsidR="00CF703B" w:rsidRPr="00F04158">
        <w:rPr>
          <w:rFonts w:ascii="Times New Roman" w:hAnsi="Times New Roman"/>
        </w:rPr>
        <w:t>l transport conducted within a t</w:t>
      </w:r>
      <w:r w:rsidR="00B3149B" w:rsidRPr="00F04158">
        <w:rPr>
          <w:rFonts w:ascii="Times New Roman" w:hAnsi="Times New Roman"/>
        </w:rPr>
        <w:t>erritory</w:t>
      </w:r>
      <w:r w:rsidR="002542E1" w:rsidRPr="00F04158">
        <w:rPr>
          <w:rFonts w:ascii="Times New Roman" w:hAnsi="Times New Roman"/>
        </w:rPr>
        <w:t>,</w:t>
      </w:r>
      <w:r w:rsidR="00B3149B" w:rsidRPr="00F04158">
        <w:rPr>
          <w:rFonts w:ascii="Times New Roman" w:hAnsi="Times New Roman"/>
        </w:rPr>
        <w:t xml:space="preserve"> or to or from a </w:t>
      </w:r>
      <w:r w:rsidR="00CF703B" w:rsidRPr="00F04158">
        <w:rPr>
          <w:rFonts w:ascii="Times New Roman" w:hAnsi="Times New Roman"/>
        </w:rPr>
        <w:t>t</w:t>
      </w:r>
      <w:r w:rsidR="00B3149B" w:rsidRPr="00F04158">
        <w:rPr>
          <w:rFonts w:ascii="Times New Roman" w:hAnsi="Times New Roman"/>
        </w:rPr>
        <w:t>erritory.</w:t>
      </w:r>
    </w:p>
    <w:p w:rsidR="00BC67A1" w:rsidRPr="0015781C" w:rsidRDefault="00BC67A1" w:rsidP="00F04158">
      <w:pPr>
        <w:rPr>
          <w:rFonts w:ascii="Times New Roman" w:hAnsi="Times New Roman"/>
          <w:sz w:val="22"/>
          <w:szCs w:val="22"/>
        </w:rPr>
      </w:pPr>
    </w:p>
    <w:p w:rsidR="00CA4421" w:rsidRDefault="00CA4421" w:rsidP="00F04158">
      <w:pPr>
        <w:rPr>
          <w:rFonts w:ascii="Times New Roman" w:hAnsi="Times New Roman"/>
          <w:b/>
        </w:rPr>
      </w:pPr>
      <w:r w:rsidRPr="00F04158">
        <w:rPr>
          <w:rFonts w:ascii="Times New Roman" w:hAnsi="Times New Roman"/>
          <w:b/>
        </w:rPr>
        <w:t>Item 3</w:t>
      </w:r>
    </w:p>
    <w:p w:rsidR="00555307" w:rsidRDefault="00555307" w:rsidP="00F04158">
      <w:pPr>
        <w:rPr>
          <w:rFonts w:ascii="Times New Roman" w:hAnsi="Times New Roman"/>
          <w:b/>
        </w:rPr>
      </w:pPr>
    </w:p>
    <w:p w:rsidR="002D5A44" w:rsidRDefault="00CA4421" w:rsidP="00F04158">
      <w:pPr>
        <w:rPr>
          <w:rFonts w:ascii="Times New Roman" w:hAnsi="Times New Roman"/>
        </w:rPr>
      </w:pPr>
      <w:r w:rsidRPr="00F04158">
        <w:rPr>
          <w:rFonts w:ascii="Times New Roman" w:hAnsi="Times New Roman"/>
        </w:rPr>
        <w:t xml:space="preserve">Item 3 of the proposed Bill would insert new section 21A into the TSI Act.  Section 21A would provide </w:t>
      </w:r>
      <w:r w:rsidR="00B149E8" w:rsidRPr="00F04158">
        <w:rPr>
          <w:rFonts w:ascii="Times New Roman" w:hAnsi="Times New Roman"/>
        </w:rPr>
        <w:t xml:space="preserve">for </w:t>
      </w:r>
      <w:r w:rsidR="00CF703B" w:rsidRPr="00F04158">
        <w:rPr>
          <w:rFonts w:ascii="Times New Roman" w:hAnsi="Times New Roman"/>
        </w:rPr>
        <w:t>s</w:t>
      </w:r>
      <w:r w:rsidRPr="00F04158">
        <w:rPr>
          <w:rFonts w:ascii="Times New Roman" w:hAnsi="Times New Roman"/>
        </w:rPr>
        <w:t xml:space="preserve">tate and </w:t>
      </w:r>
      <w:r w:rsidR="00CF703B" w:rsidRPr="00F04158">
        <w:rPr>
          <w:rFonts w:ascii="Times New Roman" w:hAnsi="Times New Roman"/>
        </w:rPr>
        <w:t>t</w:t>
      </w:r>
      <w:r w:rsidRPr="00F04158">
        <w:rPr>
          <w:rFonts w:ascii="Times New Roman" w:hAnsi="Times New Roman"/>
        </w:rPr>
        <w:t>erritory Ministers</w:t>
      </w:r>
      <w:r w:rsidR="00B149E8" w:rsidRPr="00F04158">
        <w:rPr>
          <w:rFonts w:ascii="Times New Roman" w:hAnsi="Times New Roman"/>
        </w:rPr>
        <w:t>, who have</w:t>
      </w:r>
      <w:r w:rsidRPr="00F04158">
        <w:rPr>
          <w:rFonts w:ascii="Times New Roman" w:hAnsi="Times New Roman"/>
        </w:rPr>
        <w:t xml:space="preserve"> a responsibility for rail safety</w:t>
      </w:r>
      <w:r w:rsidR="00B149E8" w:rsidRPr="00F04158">
        <w:rPr>
          <w:rFonts w:ascii="Times New Roman" w:hAnsi="Times New Roman"/>
        </w:rPr>
        <w:t xml:space="preserve">, with a power </w:t>
      </w:r>
      <w:r w:rsidRPr="00F04158">
        <w:rPr>
          <w:rFonts w:ascii="Times New Roman" w:hAnsi="Times New Roman"/>
        </w:rPr>
        <w:t>to request the ATSB to commence a TSI Act investigation into a rail transport safety matter occurring in their jurisdiction.  Once the request is received</w:t>
      </w:r>
      <w:r w:rsidR="0030325D" w:rsidRPr="00F04158">
        <w:rPr>
          <w:rFonts w:ascii="Times New Roman" w:hAnsi="Times New Roman"/>
        </w:rPr>
        <w:t>,</w:t>
      </w:r>
      <w:r w:rsidRPr="00F04158">
        <w:rPr>
          <w:rFonts w:ascii="Times New Roman" w:hAnsi="Times New Roman"/>
        </w:rPr>
        <w:t xml:space="preserve"> the </w:t>
      </w:r>
      <w:r w:rsidR="0030325D" w:rsidRPr="00F04158">
        <w:rPr>
          <w:rFonts w:ascii="Times New Roman" w:hAnsi="Times New Roman"/>
        </w:rPr>
        <w:t>ATSB is obliged to make a decision under section 21 of the TSI Act as to whether it will investigate the matter.</w:t>
      </w:r>
    </w:p>
    <w:p w:rsidR="0015781C" w:rsidRPr="0015781C" w:rsidRDefault="0015781C" w:rsidP="00F04158">
      <w:pPr>
        <w:rPr>
          <w:rFonts w:ascii="Times New Roman" w:hAnsi="Times New Roman"/>
          <w:sz w:val="22"/>
          <w:szCs w:val="22"/>
        </w:rPr>
      </w:pPr>
    </w:p>
    <w:p w:rsidR="00CA4421" w:rsidRDefault="0030325D" w:rsidP="00F04158">
      <w:pPr>
        <w:rPr>
          <w:rFonts w:ascii="Times New Roman" w:hAnsi="Times New Roman"/>
        </w:rPr>
      </w:pPr>
      <w:r w:rsidRPr="00F04158">
        <w:rPr>
          <w:rFonts w:ascii="Times New Roman" w:hAnsi="Times New Roman"/>
        </w:rPr>
        <w:t xml:space="preserve">In </w:t>
      </w:r>
      <w:r w:rsidR="002D5A44" w:rsidRPr="00F04158">
        <w:rPr>
          <w:rFonts w:ascii="Times New Roman" w:hAnsi="Times New Roman"/>
        </w:rPr>
        <w:t>responding</w:t>
      </w:r>
      <w:r w:rsidR="00B149E8" w:rsidRPr="00F04158">
        <w:rPr>
          <w:rFonts w:ascii="Times New Roman" w:hAnsi="Times New Roman"/>
        </w:rPr>
        <w:t>,</w:t>
      </w:r>
      <w:r w:rsidRPr="00F04158">
        <w:rPr>
          <w:rFonts w:ascii="Times New Roman" w:hAnsi="Times New Roman"/>
        </w:rPr>
        <w:t xml:space="preserve"> the ATSB must take into account the reasons set out in the request and any resourcing arrangement in place to cover the requested investigation.</w:t>
      </w:r>
    </w:p>
    <w:p w:rsidR="0015781C" w:rsidRPr="0015781C" w:rsidRDefault="0015781C" w:rsidP="00F04158">
      <w:pPr>
        <w:rPr>
          <w:rFonts w:ascii="Times New Roman" w:hAnsi="Times New Roman"/>
          <w:sz w:val="22"/>
          <w:szCs w:val="22"/>
        </w:rPr>
      </w:pPr>
    </w:p>
    <w:p w:rsidR="004A46C4" w:rsidRDefault="0030325D" w:rsidP="00F04158">
      <w:pPr>
        <w:rPr>
          <w:rFonts w:ascii="Times New Roman" w:hAnsi="Times New Roman"/>
        </w:rPr>
      </w:pPr>
      <w:r w:rsidRPr="00F04158">
        <w:rPr>
          <w:rFonts w:ascii="Times New Roman" w:hAnsi="Times New Roman"/>
        </w:rPr>
        <w:t>As a matter of practice</w:t>
      </w:r>
      <w:r w:rsidR="002D5A44" w:rsidRPr="00F04158">
        <w:rPr>
          <w:rFonts w:ascii="Times New Roman" w:hAnsi="Times New Roman"/>
        </w:rPr>
        <w:t>,</w:t>
      </w:r>
      <w:r w:rsidRPr="00F04158">
        <w:rPr>
          <w:rFonts w:ascii="Times New Roman" w:hAnsi="Times New Roman"/>
        </w:rPr>
        <w:t xml:space="preserve"> </w:t>
      </w:r>
      <w:r w:rsidR="002D5A44" w:rsidRPr="00F04158">
        <w:rPr>
          <w:rFonts w:ascii="Times New Roman" w:hAnsi="Times New Roman"/>
        </w:rPr>
        <w:t>it should</w:t>
      </w:r>
      <w:r w:rsidRPr="00F04158">
        <w:rPr>
          <w:rFonts w:ascii="Times New Roman" w:hAnsi="Times New Roman"/>
        </w:rPr>
        <w:t xml:space="preserve"> be </w:t>
      </w:r>
      <w:r w:rsidR="00B149E8" w:rsidRPr="00F04158">
        <w:rPr>
          <w:rFonts w:ascii="Times New Roman" w:hAnsi="Times New Roman"/>
        </w:rPr>
        <w:t xml:space="preserve">extremely rare for a State or </w:t>
      </w:r>
      <w:r w:rsidR="00E4126D" w:rsidRPr="00F04158">
        <w:rPr>
          <w:rFonts w:ascii="Times New Roman" w:hAnsi="Times New Roman"/>
        </w:rPr>
        <w:t>Territory Minister</w:t>
      </w:r>
      <w:r w:rsidRPr="00F04158">
        <w:rPr>
          <w:rFonts w:ascii="Times New Roman" w:hAnsi="Times New Roman"/>
        </w:rPr>
        <w:t xml:space="preserve"> to </w:t>
      </w:r>
      <w:r w:rsidR="002D5A44" w:rsidRPr="00F04158">
        <w:rPr>
          <w:rFonts w:ascii="Times New Roman" w:hAnsi="Times New Roman"/>
        </w:rPr>
        <w:t xml:space="preserve">need to </w:t>
      </w:r>
      <w:r w:rsidRPr="00F04158">
        <w:rPr>
          <w:rFonts w:ascii="Times New Roman" w:hAnsi="Times New Roman"/>
        </w:rPr>
        <w:t>issue a request</w:t>
      </w:r>
      <w:r w:rsidR="004A64A4" w:rsidRPr="00F04158">
        <w:rPr>
          <w:rFonts w:ascii="Times New Roman" w:hAnsi="Times New Roman"/>
        </w:rPr>
        <w:t>.  Provided the necessary resourcing arrangements are in place</w:t>
      </w:r>
      <w:r w:rsidR="00E4126D" w:rsidRPr="00F04158">
        <w:rPr>
          <w:rFonts w:ascii="Times New Roman" w:hAnsi="Times New Roman"/>
        </w:rPr>
        <w:t>,</w:t>
      </w:r>
      <w:r w:rsidR="004A64A4" w:rsidRPr="00F04158">
        <w:rPr>
          <w:rFonts w:ascii="Times New Roman" w:hAnsi="Times New Roman"/>
        </w:rPr>
        <w:t xml:space="preserve"> the ATSB will be performing its </w:t>
      </w:r>
      <w:r w:rsidR="00E4126D" w:rsidRPr="00F04158">
        <w:rPr>
          <w:rFonts w:ascii="Times New Roman" w:hAnsi="Times New Roman"/>
        </w:rPr>
        <w:t>function</w:t>
      </w:r>
      <w:r w:rsidR="004A64A4" w:rsidRPr="00F04158">
        <w:rPr>
          <w:rFonts w:ascii="Times New Roman" w:hAnsi="Times New Roman"/>
        </w:rPr>
        <w:t xml:space="preserve"> in the rail safety system and </w:t>
      </w:r>
      <w:r w:rsidR="00B149E8" w:rsidRPr="00F04158">
        <w:rPr>
          <w:rFonts w:ascii="Times New Roman" w:hAnsi="Times New Roman"/>
        </w:rPr>
        <w:t xml:space="preserve">meeting expectations to investigate </w:t>
      </w:r>
      <w:r w:rsidR="0009437F" w:rsidRPr="00F04158">
        <w:rPr>
          <w:rFonts w:ascii="Times New Roman" w:hAnsi="Times New Roman"/>
        </w:rPr>
        <w:t>serious accidents and more minor occurrences where there are potential systemic hazards and risks.</w:t>
      </w:r>
    </w:p>
    <w:p w:rsidR="0015781C" w:rsidRPr="0015781C" w:rsidRDefault="0015781C" w:rsidP="00F04158">
      <w:pPr>
        <w:rPr>
          <w:rFonts w:ascii="Times New Roman" w:hAnsi="Times New Roman"/>
          <w:sz w:val="22"/>
          <w:szCs w:val="22"/>
        </w:rPr>
      </w:pPr>
    </w:p>
    <w:p w:rsidR="00956CC1" w:rsidRDefault="004A46C4" w:rsidP="00F04158">
      <w:pPr>
        <w:rPr>
          <w:rFonts w:ascii="Times New Roman" w:hAnsi="Times New Roman"/>
        </w:rPr>
      </w:pPr>
      <w:r w:rsidRPr="00F04158">
        <w:rPr>
          <w:rFonts w:ascii="Times New Roman" w:hAnsi="Times New Roman"/>
        </w:rPr>
        <w:t xml:space="preserve">The </w:t>
      </w:r>
      <w:r w:rsidR="001F501E" w:rsidRPr="00F04158">
        <w:rPr>
          <w:rFonts w:ascii="Times New Roman" w:hAnsi="Times New Roman"/>
        </w:rPr>
        <w:t xml:space="preserve">Intergovernmental Agreement on Rail Safety Regulation and Investigation Reform (the IGA) </w:t>
      </w:r>
      <w:r w:rsidRPr="00F04158">
        <w:rPr>
          <w:rFonts w:ascii="Times New Roman" w:hAnsi="Times New Roman"/>
        </w:rPr>
        <w:t xml:space="preserve">sets out the expectations </w:t>
      </w:r>
      <w:r w:rsidR="00102F11" w:rsidRPr="00F04158">
        <w:rPr>
          <w:rFonts w:ascii="Times New Roman" w:hAnsi="Times New Roman"/>
        </w:rPr>
        <w:t>for the national rail safety investigator</w:t>
      </w:r>
      <w:r w:rsidR="00956CC1" w:rsidRPr="00F04158">
        <w:rPr>
          <w:rFonts w:ascii="Times New Roman" w:hAnsi="Times New Roman"/>
        </w:rPr>
        <w:t xml:space="preserve">.  Clause B5 requires that while having regard to the need for an investigation </w:t>
      </w:r>
      <w:r w:rsidR="002D5A44" w:rsidRPr="00F04158">
        <w:rPr>
          <w:rFonts w:ascii="Times New Roman" w:hAnsi="Times New Roman"/>
        </w:rPr>
        <w:t xml:space="preserve">to </w:t>
      </w:r>
      <w:r w:rsidR="00956CC1" w:rsidRPr="00F04158">
        <w:rPr>
          <w:rFonts w:ascii="Times New Roman" w:hAnsi="Times New Roman"/>
        </w:rPr>
        <w:t>advance transport safety, the types of matters the ATSB will investigate will generally include:</w:t>
      </w:r>
    </w:p>
    <w:p w:rsidR="0015781C" w:rsidRPr="0015781C" w:rsidRDefault="0015781C" w:rsidP="00F04158">
      <w:pPr>
        <w:rPr>
          <w:rFonts w:ascii="Times New Roman" w:hAnsi="Times New Roman"/>
          <w:sz w:val="22"/>
          <w:szCs w:val="22"/>
        </w:rPr>
      </w:pPr>
    </w:p>
    <w:p w:rsidR="00956CC1" w:rsidRDefault="00956CC1" w:rsidP="00F04158">
      <w:pPr>
        <w:pStyle w:val="ListParagraph"/>
        <w:numPr>
          <w:ilvl w:val="0"/>
          <w:numId w:val="24"/>
        </w:numPr>
        <w:autoSpaceDE w:val="0"/>
        <w:autoSpaceDN w:val="0"/>
        <w:adjustRightInd w:val="0"/>
        <w:contextualSpacing w:val="0"/>
        <w:rPr>
          <w:rFonts w:ascii="Times New Roman" w:hAnsi="Times New Roman"/>
        </w:rPr>
      </w:pPr>
      <w:r w:rsidRPr="00F04158">
        <w:rPr>
          <w:rFonts w:ascii="Times New Roman" w:hAnsi="Times New Roman"/>
        </w:rPr>
        <w:t>accidents involving fatalities, including significant accidents at level crossings;</w:t>
      </w:r>
    </w:p>
    <w:p w:rsidR="0015781C" w:rsidRPr="0015781C" w:rsidRDefault="0015781C" w:rsidP="0015781C">
      <w:pPr>
        <w:pStyle w:val="ListParagraph"/>
        <w:autoSpaceDE w:val="0"/>
        <w:autoSpaceDN w:val="0"/>
        <w:adjustRightInd w:val="0"/>
        <w:ind w:left="735"/>
        <w:contextualSpacing w:val="0"/>
        <w:rPr>
          <w:rFonts w:ascii="Times New Roman" w:hAnsi="Times New Roman"/>
          <w:sz w:val="16"/>
          <w:szCs w:val="16"/>
        </w:rPr>
      </w:pPr>
    </w:p>
    <w:p w:rsidR="00956CC1" w:rsidRDefault="00956CC1" w:rsidP="00F04158">
      <w:pPr>
        <w:pStyle w:val="ListParagraph"/>
        <w:numPr>
          <w:ilvl w:val="0"/>
          <w:numId w:val="24"/>
        </w:numPr>
        <w:autoSpaceDE w:val="0"/>
        <w:autoSpaceDN w:val="0"/>
        <w:adjustRightInd w:val="0"/>
        <w:contextualSpacing w:val="0"/>
        <w:rPr>
          <w:rFonts w:ascii="Times New Roman" w:hAnsi="Times New Roman"/>
        </w:rPr>
      </w:pPr>
      <w:r w:rsidRPr="00F04158">
        <w:rPr>
          <w:rFonts w:ascii="Times New Roman" w:hAnsi="Times New Roman"/>
        </w:rPr>
        <w:t>significant mainline derailments and collisions;</w:t>
      </w:r>
    </w:p>
    <w:p w:rsidR="0015781C" w:rsidRPr="0015781C" w:rsidRDefault="0015781C" w:rsidP="0015781C">
      <w:pPr>
        <w:pStyle w:val="ListParagraph"/>
        <w:autoSpaceDE w:val="0"/>
        <w:autoSpaceDN w:val="0"/>
        <w:adjustRightInd w:val="0"/>
        <w:ind w:left="735"/>
        <w:contextualSpacing w:val="0"/>
        <w:rPr>
          <w:rFonts w:ascii="Times New Roman" w:hAnsi="Times New Roman"/>
          <w:sz w:val="16"/>
          <w:szCs w:val="16"/>
        </w:rPr>
      </w:pPr>
    </w:p>
    <w:p w:rsidR="00956CC1" w:rsidRDefault="00956CC1" w:rsidP="00F04158">
      <w:pPr>
        <w:pStyle w:val="ListParagraph"/>
        <w:numPr>
          <w:ilvl w:val="0"/>
          <w:numId w:val="24"/>
        </w:numPr>
        <w:autoSpaceDE w:val="0"/>
        <w:autoSpaceDN w:val="0"/>
        <w:adjustRightInd w:val="0"/>
        <w:contextualSpacing w:val="0"/>
        <w:rPr>
          <w:rFonts w:ascii="Times New Roman" w:hAnsi="Times New Roman"/>
        </w:rPr>
      </w:pPr>
      <w:r w:rsidRPr="00F04158">
        <w:rPr>
          <w:rFonts w:ascii="Times New Roman" w:hAnsi="Times New Roman"/>
        </w:rPr>
        <w:t>significant incidents involving passenger train operations which had the potential to result in fatalities or a significant derailment or collision.</w:t>
      </w:r>
    </w:p>
    <w:p w:rsidR="0015781C" w:rsidRPr="0015781C" w:rsidRDefault="0015781C" w:rsidP="0015781C">
      <w:pPr>
        <w:pStyle w:val="ListParagraph"/>
        <w:autoSpaceDE w:val="0"/>
        <w:autoSpaceDN w:val="0"/>
        <w:adjustRightInd w:val="0"/>
        <w:ind w:left="735"/>
        <w:contextualSpacing w:val="0"/>
        <w:rPr>
          <w:rFonts w:ascii="Times New Roman" w:hAnsi="Times New Roman"/>
          <w:sz w:val="22"/>
          <w:szCs w:val="22"/>
        </w:rPr>
      </w:pPr>
    </w:p>
    <w:p w:rsidR="00555307" w:rsidRDefault="00555307" w:rsidP="00F04158">
      <w:pPr>
        <w:rPr>
          <w:rFonts w:ascii="Times New Roman" w:hAnsi="Times New Roman"/>
        </w:rPr>
      </w:pPr>
    </w:p>
    <w:p w:rsidR="00555307" w:rsidRDefault="00555307" w:rsidP="00F04158">
      <w:pPr>
        <w:rPr>
          <w:rFonts w:ascii="Times New Roman" w:hAnsi="Times New Roman"/>
        </w:rPr>
      </w:pPr>
    </w:p>
    <w:p w:rsidR="00F04523" w:rsidRDefault="006822FD" w:rsidP="00F04158">
      <w:pPr>
        <w:rPr>
          <w:rFonts w:ascii="Times New Roman" w:hAnsi="Times New Roman"/>
        </w:rPr>
      </w:pPr>
      <w:r w:rsidRPr="00F04158">
        <w:rPr>
          <w:rFonts w:ascii="Times New Roman" w:hAnsi="Times New Roman"/>
        </w:rPr>
        <w:lastRenderedPageBreak/>
        <w:t xml:space="preserve">Similar to equivalent investigation bodies around the world the ATSB is not resourced to investigate </w:t>
      </w:r>
      <w:r w:rsidR="00D3699E" w:rsidRPr="00F04158">
        <w:rPr>
          <w:rFonts w:ascii="Times New Roman" w:hAnsi="Times New Roman"/>
        </w:rPr>
        <w:t>every possible rail safety o</w:t>
      </w:r>
      <w:r w:rsidRPr="00F04158">
        <w:rPr>
          <w:rFonts w:ascii="Times New Roman" w:hAnsi="Times New Roman"/>
        </w:rPr>
        <w:t xml:space="preserve">ccurrence.  </w:t>
      </w:r>
      <w:r w:rsidR="00D3699E" w:rsidRPr="00F04158">
        <w:rPr>
          <w:rFonts w:ascii="Times New Roman" w:hAnsi="Times New Roman"/>
        </w:rPr>
        <w:t xml:space="preserve">The categories above will be primary trigger points for the ATSB to conduct an investigation.  </w:t>
      </w:r>
      <w:r w:rsidRPr="00F04158">
        <w:rPr>
          <w:rFonts w:ascii="Times New Roman" w:hAnsi="Times New Roman"/>
        </w:rPr>
        <w:t xml:space="preserve">However, </w:t>
      </w:r>
      <w:r w:rsidR="00D3699E" w:rsidRPr="00F04158">
        <w:rPr>
          <w:rFonts w:ascii="Times New Roman" w:hAnsi="Times New Roman"/>
        </w:rPr>
        <w:t xml:space="preserve">the ATSB will also seek to identify additional occurrences for investigation which are indicative of emerging </w:t>
      </w:r>
      <w:r w:rsidRPr="00F04158">
        <w:rPr>
          <w:rFonts w:ascii="Times New Roman" w:hAnsi="Times New Roman"/>
        </w:rPr>
        <w:t xml:space="preserve">hazards and risks </w:t>
      </w:r>
      <w:r w:rsidR="00D3699E" w:rsidRPr="00F04158">
        <w:rPr>
          <w:rFonts w:ascii="Times New Roman" w:hAnsi="Times New Roman"/>
        </w:rPr>
        <w:t xml:space="preserve">that have the potential to lead to more serious </w:t>
      </w:r>
      <w:r w:rsidR="001F501E" w:rsidRPr="00F04158">
        <w:rPr>
          <w:rFonts w:ascii="Times New Roman" w:hAnsi="Times New Roman"/>
        </w:rPr>
        <w:t xml:space="preserve">consequences </w:t>
      </w:r>
      <w:r w:rsidRPr="00F04158">
        <w:rPr>
          <w:rFonts w:ascii="Times New Roman" w:hAnsi="Times New Roman"/>
        </w:rPr>
        <w:t xml:space="preserve">in the rail safety system.  The ATSB will be assisted in fulfilling this function by having access to all notifications of </w:t>
      </w:r>
      <w:r w:rsidR="002D5A44" w:rsidRPr="00F04158">
        <w:rPr>
          <w:rFonts w:ascii="Times New Roman" w:hAnsi="Times New Roman"/>
        </w:rPr>
        <w:t>accidents and incidents</w:t>
      </w:r>
      <w:r w:rsidR="00996E15" w:rsidRPr="00F04158">
        <w:rPr>
          <w:rFonts w:ascii="Times New Roman" w:hAnsi="Times New Roman"/>
        </w:rPr>
        <w:t>.</w:t>
      </w:r>
    </w:p>
    <w:p w:rsidR="00111999" w:rsidRDefault="00111999" w:rsidP="00F04158">
      <w:pPr>
        <w:rPr>
          <w:rFonts w:ascii="Times New Roman" w:hAnsi="Times New Roman"/>
          <w:sz w:val="22"/>
          <w:szCs w:val="22"/>
        </w:rPr>
      </w:pPr>
    </w:p>
    <w:p w:rsidR="00BC67A1" w:rsidRDefault="00007FCD" w:rsidP="00F04158">
      <w:pPr>
        <w:rPr>
          <w:rFonts w:ascii="Times New Roman" w:hAnsi="Times New Roman"/>
          <w:b/>
        </w:rPr>
      </w:pPr>
      <w:r w:rsidRPr="00F04158">
        <w:rPr>
          <w:rFonts w:ascii="Times New Roman" w:hAnsi="Times New Roman"/>
          <w:b/>
        </w:rPr>
        <w:t>Items 4 &amp; 5</w:t>
      </w:r>
    </w:p>
    <w:p w:rsidR="00555307" w:rsidRDefault="00555307" w:rsidP="00F04158">
      <w:pPr>
        <w:rPr>
          <w:rFonts w:ascii="Times New Roman" w:hAnsi="Times New Roman"/>
          <w:b/>
        </w:rPr>
      </w:pPr>
    </w:p>
    <w:p w:rsidR="00007FCD" w:rsidRDefault="00007FCD" w:rsidP="00F04158">
      <w:pPr>
        <w:rPr>
          <w:rFonts w:ascii="Times New Roman" w:hAnsi="Times New Roman"/>
        </w:rPr>
      </w:pPr>
      <w:r w:rsidRPr="00F04158">
        <w:rPr>
          <w:rFonts w:ascii="Times New Roman" w:hAnsi="Times New Roman"/>
        </w:rPr>
        <w:t>Items 4 and 5</w:t>
      </w:r>
      <w:r w:rsidR="00EA1050" w:rsidRPr="00F04158">
        <w:rPr>
          <w:rFonts w:ascii="Times New Roman" w:hAnsi="Times New Roman"/>
        </w:rPr>
        <w:t xml:space="preserve"> propose</w:t>
      </w:r>
      <w:r w:rsidR="001F501E" w:rsidRPr="00F04158">
        <w:rPr>
          <w:rFonts w:ascii="Times New Roman" w:hAnsi="Times New Roman"/>
        </w:rPr>
        <w:t>,</w:t>
      </w:r>
      <w:r w:rsidR="00EA1050" w:rsidRPr="00F04158">
        <w:rPr>
          <w:rFonts w:ascii="Times New Roman" w:hAnsi="Times New Roman"/>
        </w:rPr>
        <w:t xml:space="preserve"> respectively, to omit paragraphs 53(3)(a) and 60(4)(a) of the TSI Act and replace them with new paragraphs </w:t>
      </w:r>
      <w:r w:rsidR="001F501E" w:rsidRPr="00F04158">
        <w:rPr>
          <w:rFonts w:ascii="Times New Roman" w:hAnsi="Times New Roman"/>
        </w:rPr>
        <w:t xml:space="preserve">to </w:t>
      </w:r>
      <w:r w:rsidR="00EA1050" w:rsidRPr="00F04158">
        <w:rPr>
          <w:rFonts w:ascii="Times New Roman" w:hAnsi="Times New Roman"/>
        </w:rPr>
        <w:t>provide a defence to any prohibition on copying or disclosing restricted information and On-Board Recording (OBR) information.  The defence is available if the copying or disclosing was done by a person performing functions or exercising powers under, or in connection with, the TSI Act or Regulations.</w:t>
      </w:r>
    </w:p>
    <w:p w:rsidR="0015781C" w:rsidRPr="00111999" w:rsidRDefault="0015781C" w:rsidP="00F04158">
      <w:pPr>
        <w:rPr>
          <w:rFonts w:ascii="Times New Roman" w:hAnsi="Times New Roman"/>
          <w:sz w:val="22"/>
          <w:szCs w:val="22"/>
        </w:rPr>
      </w:pPr>
    </w:p>
    <w:p w:rsidR="00EA1050" w:rsidRDefault="00EA1050" w:rsidP="00F04158">
      <w:pPr>
        <w:rPr>
          <w:rFonts w:ascii="Times New Roman" w:hAnsi="Times New Roman"/>
        </w:rPr>
      </w:pPr>
      <w:r w:rsidRPr="00F04158">
        <w:rPr>
          <w:rFonts w:ascii="Times New Roman" w:hAnsi="Times New Roman"/>
        </w:rPr>
        <w:t>The definition of restricted information in subsection 3(1) of the TSI Act covers information obtained or generated by the ATSB in the course of conducting a transport safety investigation under the Act.  Restricted information also covers information from a report provided in accordance with a confidential reporting scheme established through regulations made under section 20A.  OBR information includes information from an aircraft’s cockpit voice recorder.</w:t>
      </w:r>
    </w:p>
    <w:p w:rsidR="0015781C" w:rsidRPr="00111999" w:rsidRDefault="0015781C" w:rsidP="00F04158">
      <w:pPr>
        <w:rPr>
          <w:rFonts w:ascii="Times New Roman" w:hAnsi="Times New Roman"/>
          <w:sz w:val="22"/>
          <w:szCs w:val="22"/>
        </w:rPr>
      </w:pPr>
    </w:p>
    <w:p w:rsidR="00A00675" w:rsidRDefault="00A00675" w:rsidP="00F04158">
      <w:pPr>
        <w:rPr>
          <w:rFonts w:ascii="Times New Roman" w:hAnsi="Times New Roman"/>
        </w:rPr>
      </w:pPr>
      <w:r w:rsidRPr="00F04158">
        <w:rPr>
          <w:rFonts w:ascii="Times New Roman" w:hAnsi="Times New Roman"/>
        </w:rPr>
        <w:t xml:space="preserve">The prohibitions on copying and disclosing OBR and restricted information exist in the TSI Act is to encourage persons to cooperate </w:t>
      </w:r>
      <w:r w:rsidR="00877A5B" w:rsidRPr="00F04158">
        <w:rPr>
          <w:rFonts w:ascii="Times New Roman" w:hAnsi="Times New Roman"/>
        </w:rPr>
        <w:t>with the ATSB in a safety investigation knowing that th</w:t>
      </w:r>
      <w:r w:rsidR="001F501E" w:rsidRPr="00F04158">
        <w:rPr>
          <w:rFonts w:ascii="Times New Roman" w:hAnsi="Times New Roman"/>
        </w:rPr>
        <w:t>e information they provide will not</w:t>
      </w:r>
      <w:r w:rsidR="00877A5B" w:rsidRPr="00F04158">
        <w:rPr>
          <w:rFonts w:ascii="Times New Roman" w:hAnsi="Times New Roman"/>
        </w:rPr>
        <w:t xml:space="preserve"> be used against them.  Similarly</w:t>
      </w:r>
      <w:r w:rsidR="001F501E" w:rsidRPr="00F04158">
        <w:rPr>
          <w:rFonts w:ascii="Times New Roman" w:hAnsi="Times New Roman"/>
        </w:rPr>
        <w:t>,</w:t>
      </w:r>
      <w:r w:rsidR="00877A5B" w:rsidRPr="00F04158">
        <w:rPr>
          <w:rFonts w:ascii="Times New Roman" w:hAnsi="Times New Roman"/>
        </w:rPr>
        <w:t xml:space="preserve"> in confidential reporting, the prohibitions on disclosure are to encourage persons who fear reprisal to make a report.</w:t>
      </w:r>
    </w:p>
    <w:p w:rsidR="0015781C" w:rsidRPr="00111999" w:rsidRDefault="0015781C" w:rsidP="00F04158">
      <w:pPr>
        <w:rPr>
          <w:rFonts w:ascii="Times New Roman" w:hAnsi="Times New Roman"/>
          <w:sz w:val="22"/>
          <w:szCs w:val="22"/>
        </w:rPr>
      </w:pPr>
    </w:p>
    <w:p w:rsidR="00877A5B" w:rsidRDefault="00877A5B" w:rsidP="00F04158">
      <w:pPr>
        <w:rPr>
          <w:rFonts w:ascii="Times New Roman" w:hAnsi="Times New Roman"/>
        </w:rPr>
      </w:pPr>
      <w:r w:rsidRPr="00F04158">
        <w:rPr>
          <w:rFonts w:ascii="Times New Roman" w:hAnsi="Times New Roman"/>
        </w:rPr>
        <w:t>However, while there needs to be limitations on copying and disclosing OBR and restricted information</w:t>
      </w:r>
      <w:r w:rsidR="001F501E" w:rsidRPr="00F04158">
        <w:rPr>
          <w:rFonts w:ascii="Times New Roman" w:hAnsi="Times New Roman"/>
        </w:rPr>
        <w:t>,</w:t>
      </w:r>
      <w:r w:rsidRPr="00F04158">
        <w:rPr>
          <w:rFonts w:ascii="Times New Roman" w:hAnsi="Times New Roman"/>
        </w:rPr>
        <w:t xml:space="preserve"> there also needs to be some exceptions </w:t>
      </w:r>
      <w:r w:rsidR="00B165EA" w:rsidRPr="00F04158">
        <w:rPr>
          <w:rFonts w:ascii="Times New Roman" w:hAnsi="Times New Roman"/>
        </w:rPr>
        <w:t xml:space="preserve">in order for </w:t>
      </w:r>
      <w:r w:rsidRPr="00F04158">
        <w:rPr>
          <w:rFonts w:ascii="Times New Roman" w:hAnsi="Times New Roman"/>
        </w:rPr>
        <w:t xml:space="preserve">investigations and </w:t>
      </w:r>
      <w:r w:rsidR="00B165EA" w:rsidRPr="00F04158">
        <w:rPr>
          <w:rFonts w:ascii="Times New Roman" w:hAnsi="Times New Roman"/>
        </w:rPr>
        <w:t>confidential reporting to be effectively able to communicate safety issues to the industry</w:t>
      </w:r>
      <w:r w:rsidR="001F501E" w:rsidRPr="00F04158">
        <w:rPr>
          <w:rFonts w:ascii="Times New Roman" w:hAnsi="Times New Roman"/>
        </w:rPr>
        <w:t>.</w:t>
      </w:r>
    </w:p>
    <w:p w:rsidR="0015781C" w:rsidRPr="00111999" w:rsidRDefault="0015781C" w:rsidP="00F04158">
      <w:pPr>
        <w:rPr>
          <w:rFonts w:ascii="Times New Roman" w:hAnsi="Times New Roman"/>
          <w:sz w:val="22"/>
          <w:szCs w:val="22"/>
        </w:rPr>
      </w:pPr>
    </w:p>
    <w:p w:rsidR="001F501E" w:rsidRDefault="00967139" w:rsidP="00F04158">
      <w:pPr>
        <w:rPr>
          <w:rFonts w:ascii="Times New Roman" w:hAnsi="Times New Roman"/>
        </w:rPr>
      </w:pPr>
      <w:r w:rsidRPr="00F04158">
        <w:rPr>
          <w:rFonts w:ascii="Times New Roman" w:hAnsi="Times New Roman"/>
        </w:rPr>
        <w:t xml:space="preserve">Existing paragraphs 53(3)(a) and 60(4)(a) already provide a defence with respect to performing functions or exercising powers under or in connection with the Act.  The amendment would </w:t>
      </w:r>
      <w:r w:rsidR="00B165EA" w:rsidRPr="00F04158">
        <w:rPr>
          <w:rFonts w:ascii="Times New Roman" w:hAnsi="Times New Roman"/>
        </w:rPr>
        <w:t xml:space="preserve">add to this by </w:t>
      </w:r>
      <w:r w:rsidRPr="00F04158">
        <w:rPr>
          <w:rFonts w:ascii="Times New Roman" w:hAnsi="Times New Roman"/>
        </w:rPr>
        <w:t>includ</w:t>
      </w:r>
      <w:r w:rsidR="00B165EA" w:rsidRPr="00F04158">
        <w:rPr>
          <w:rFonts w:ascii="Times New Roman" w:hAnsi="Times New Roman"/>
        </w:rPr>
        <w:t xml:space="preserve">ing a reference </w:t>
      </w:r>
      <w:r w:rsidRPr="00F04158">
        <w:rPr>
          <w:rFonts w:ascii="Times New Roman" w:hAnsi="Times New Roman"/>
        </w:rPr>
        <w:t xml:space="preserve">to performing functions and exercising powers under or in connection with the regulations as well.  </w:t>
      </w:r>
    </w:p>
    <w:p w:rsidR="0015781C" w:rsidRPr="00111999" w:rsidRDefault="0015781C" w:rsidP="00F04158">
      <w:pPr>
        <w:rPr>
          <w:rFonts w:ascii="Times New Roman" w:hAnsi="Times New Roman"/>
          <w:sz w:val="22"/>
          <w:szCs w:val="22"/>
        </w:rPr>
      </w:pPr>
    </w:p>
    <w:p w:rsidR="00F35978" w:rsidRDefault="00F35978" w:rsidP="00F04158">
      <w:pPr>
        <w:rPr>
          <w:rFonts w:ascii="Times New Roman" w:hAnsi="Times New Roman"/>
        </w:rPr>
      </w:pPr>
      <w:r w:rsidRPr="00F04158">
        <w:rPr>
          <w:rFonts w:ascii="Times New Roman" w:hAnsi="Times New Roman"/>
        </w:rPr>
        <w:t xml:space="preserve">Regulation 5.7 of the Transport Safety Investigation Regulations 2003 already provides for disclosing OBR information that contains personal information in accordance designated international agreements.  Similarly, regulation 5.8 of the Regulations provides for disclosing restricted information that contains personal information </w:t>
      </w:r>
      <w:r w:rsidR="004D5C90" w:rsidRPr="00F04158">
        <w:rPr>
          <w:rFonts w:ascii="Times New Roman" w:hAnsi="Times New Roman"/>
        </w:rPr>
        <w:t>in accordance with designated international agreements.  Regulation 5.8 also allows for the disclosure of restricted information containing personal information where it is provided to an authority with responsibility for transport safety matters (however, information coercively acquired is excluded).</w:t>
      </w:r>
    </w:p>
    <w:p w:rsidR="0015781C" w:rsidRPr="00111999" w:rsidRDefault="0015781C" w:rsidP="00F04158">
      <w:pPr>
        <w:rPr>
          <w:rFonts w:ascii="Times New Roman" w:hAnsi="Times New Roman"/>
          <w:sz w:val="22"/>
          <w:szCs w:val="22"/>
        </w:rPr>
      </w:pPr>
    </w:p>
    <w:p w:rsidR="00967139" w:rsidRDefault="004D5C90" w:rsidP="00F04158">
      <w:pPr>
        <w:rPr>
          <w:rFonts w:ascii="Times New Roman" w:hAnsi="Times New Roman"/>
        </w:rPr>
      </w:pPr>
      <w:r w:rsidRPr="00F04158">
        <w:rPr>
          <w:rFonts w:ascii="Times New Roman" w:hAnsi="Times New Roman"/>
        </w:rPr>
        <w:t xml:space="preserve">The amendment will also be applied to </w:t>
      </w:r>
      <w:r w:rsidR="00967139" w:rsidRPr="00F04158">
        <w:rPr>
          <w:rFonts w:ascii="Times New Roman" w:hAnsi="Times New Roman"/>
        </w:rPr>
        <w:t>new regulations which are proposed to be made in accordance with section 20A of the Act to establish a voluntary and confidential reporting scheme for the aviation, maritime and rail industries.</w:t>
      </w:r>
    </w:p>
    <w:p w:rsidR="0015781C" w:rsidRPr="00111999" w:rsidRDefault="0015781C" w:rsidP="00F04158">
      <w:pPr>
        <w:rPr>
          <w:rFonts w:ascii="Times New Roman" w:hAnsi="Times New Roman"/>
          <w:sz w:val="22"/>
          <w:szCs w:val="22"/>
        </w:rPr>
      </w:pPr>
    </w:p>
    <w:p w:rsidR="00967139" w:rsidRDefault="00967139" w:rsidP="00F04158">
      <w:pPr>
        <w:rPr>
          <w:rFonts w:ascii="Times New Roman" w:hAnsi="Times New Roman"/>
        </w:rPr>
      </w:pPr>
      <w:r w:rsidRPr="00F04158">
        <w:rPr>
          <w:rFonts w:ascii="Times New Roman" w:hAnsi="Times New Roman"/>
        </w:rPr>
        <w:lastRenderedPageBreak/>
        <w:t xml:space="preserve">The new scheme will replace the existing aviation </w:t>
      </w:r>
      <w:r w:rsidR="00BC6BAB" w:rsidRPr="00F04158">
        <w:rPr>
          <w:rFonts w:ascii="Times New Roman" w:hAnsi="Times New Roman"/>
        </w:rPr>
        <w:t xml:space="preserve">scheme </w:t>
      </w:r>
      <w:r w:rsidRPr="00F04158">
        <w:rPr>
          <w:rFonts w:ascii="Times New Roman" w:hAnsi="Times New Roman"/>
        </w:rPr>
        <w:t xml:space="preserve">under the </w:t>
      </w:r>
      <w:r w:rsidRPr="00F04158">
        <w:rPr>
          <w:rFonts w:ascii="Times New Roman" w:hAnsi="Times New Roman"/>
          <w:i/>
        </w:rPr>
        <w:t>Air Navigation (Confidential Reporting</w:t>
      </w:r>
      <w:r w:rsidR="00BC6BAB" w:rsidRPr="00F04158">
        <w:rPr>
          <w:rFonts w:ascii="Times New Roman" w:hAnsi="Times New Roman"/>
          <w:i/>
        </w:rPr>
        <w:t>)</w:t>
      </w:r>
      <w:r w:rsidRPr="00F04158">
        <w:rPr>
          <w:rFonts w:ascii="Times New Roman" w:hAnsi="Times New Roman"/>
          <w:i/>
        </w:rPr>
        <w:t xml:space="preserve"> Regulations </w:t>
      </w:r>
      <w:r w:rsidR="00BC6BAB" w:rsidRPr="00F04158">
        <w:rPr>
          <w:rFonts w:ascii="Times New Roman" w:hAnsi="Times New Roman"/>
          <w:i/>
        </w:rPr>
        <w:t>2006</w:t>
      </w:r>
      <w:r w:rsidR="00BC6BAB" w:rsidRPr="00F04158">
        <w:rPr>
          <w:rFonts w:ascii="Times New Roman" w:hAnsi="Times New Roman"/>
        </w:rPr>
        <w:t xml:space="preserve"> and the existing maritime scheme under the </w:t>
      </w:r>
      <w:r w:rsidR="00BC6BAB" w:rsidRPr="00F04158">
        <w:rPr>
          <w:rFonts w:ascii="Times New Roman" w:hAnsi="Times New Roman"/>
          <w:i/>
        </w:rPr>
        <w:t>Navigation (Confidential Marine Reporting Scheme) Regulations 2008</w:t>
      </w:r>
      <w:r w:rsidR="00BC6BAB" w:rsidRPr="00F04158">
        <w:rPr>
          <w:rFonts w:ascii="Times New Roman" w:hAnsi="Times New Roman"/>
        </w:rPr>
        <w:t>.  There is no existing national scheme for rail.</w:t>
      </w:r>
    </w:p>
    <w:p w:rsidR="0015781C" w:rsidRPr="00111999" w:rsidRDefault="0015781C" w:rsidP="00F04158">
      <w:pPr>
        <w:rPr>
          <w:rFonts w:ascii="Times New Roman" w:hAnsi="Times New Roman"/>
          <w:sz w:val="22"/>
          <w:szCs w:val="22"/>
        </w:rPr>
      </w:pPr>
    </w:p>
    <w:p w:rsidR="00BC6BAB" w:rsidRPr="00F04158" w:rsidRDefault="00BC6BAB" w:rsidP="00F04158">
      <w:pPr>
        <w:rPr>
          <w:rFonts w:ascii="Times New Roman" w:hAnsi="Times New Roman"/>
        </w:rPr>
      </w:pPr>
      <w:r w:rsidRPr="00F04158">
        <w:rPr>
          <w:rFonts w:ascii="Times New Roman" w:hAnsi="Times New Roman"/>
        </w:rPr>
        <w:t xml:space="preserve">The new regulations will need to provide a regime for management and disclosure of restricted information that is confidential reporting information.  It is necessary that a person who is exercising powers or performing functions under the regulations have defence to the </w:t>
      </w:r>
      <w:r w:rsidR="00B165EA" w:rsidRPr="00F04158">
        <w:rPr>
          <w:rFonts w:ascii="Times New Roman" w:hAnsi="Times New Roman"/>
        </w:rPr>
        <w:t xml:space="preserve">general </w:t>
      </w:r>
      <w:r w:rsidRPr="00F04158">
        <w:rPr>
          <w:rFonts w:ascii="Times New Roman" w:hAnsi="Times New Roman"/>
        </w:rPr>
        <w:t xml:space="preserve">prohibition </w:t>
      </w:r>
      <w:r w:rsidR="004D5C90" w:rsidRPr="00F04158">
        <w:rPr>
          <w:rFonts w:ascii="Times New Roman" w:hAnsi="Times New Roman"/>
        </w:rPr>
        <w:t xml:space="preserve">on disclosure under </w:t>
      </w:r>
      <w:r w:rsidRPr="00F04158">
        <w:rPr>
          <w:rFonts w:ascii="Times New Roman" w:hAnsi="Times New Roman"/>
        </w:rPr>
        <w:t>the Act.</w:t>
      </w:r>
    </w:p>
    <w:p w:rsidR="0015781C" w:rsidRDefault="0015781C" w:rsidP="00F04158">
      <w:pPr>
        <w:rPr>
          <w:rFonts w:ascii="Times New Roman" w:hAnsi="Times New Roman"/>
          <w:sz w:val="22"/>
          <w:szCs w:val="22"/>
        </w:rPr>
      </w:pPr>
    </w:p>
    <w:p w:rsidR="004D5C90" w:rsidRDefault="004D5C90" w:rsidP="00F04158">
      <w:pPr>
        <w:rPr>
          <w:rFonts w:ascii="Times New Roman" w:hAnsi="Times New Roman"/>
          <w:b/>
        </w:rPr>
      </w:pPr>
      <w:r w:rsidRPr="00F04158">
        <w:rPr>
          <w:rFonts w:ascii="Times New Roman" w:hAnsi="Times New Roman"/>
          <w:b/>
        </w:rPr>
        <w:t>Item 6</w:t>
      </w:r>
    </w:p>
    <w:p w:rsidR="00555307" w:rsidRDefault="00555307" w:rsidP="00F04158">
      <w:pPr>
        <w:rPr>
          <w:rFonts w:ascii="Times New Roman" w:hAnsi="Times New Roman"/>
          <w:b/>
        </w:rPr>
      </w:pPr>
    </w:p>
    <w:p w:rsidR="004D5C90" w:rsidRDefault="004D5C90" w:rsidP="00F04158">
      <w:pPr>
        <w:rPr>
          <w:rFonts w:ascii="Times New Roman" w:hAnsi="Times New Roman"/>
        </w:rPr>
      </w:pPr>
      <w:r w:rsidRPr="00F04158">
        <w:rPr>
          <w:rFonts w:ascii="Times New Roman" w:hAnsi="Times New Roman"/>
        </w:rPr>
        <w:t xml:space="preserve">Item 6 states that proposed new section 21A of the TSI Act, to be inserted by item 3, would apply in relation to a transport safety matter occurring on or after the commencement provisions </w:t>
      </w:r>
      <w:r w:rsidR="00341ACF" w:rsidRPr="00F04158">
        <w:rPr>
          <w:rFonts w:ascii="Times New Roman" w:hAnsi="Times New Roman"/>
        </w:rPr>
        <w:t>in clause 2 of the Bill.  This would be the latter of:</w:t>
      </w:r>
    </w:p>
    <w:p w:rsidR="009732CF" w:rsidRPr="00F04158" w:rsidRDefault="009732CF" w:rsidP="00F04158">
      <w:pPr>
        <w:rPr>
          <w:rFonts w:ascii="Times New Roman" w:hAnsi="Times New Roman"/>
        </w:rPr>
      </w:pPr>
    </w:p>
    <w:p w:rsidR="00341ACF" w:rsidRDefault="00341ACF" w:rsidP="00F04158">
      <w:pPr>
        <w:pStyle w:val="ListParagraph"/>
        <w:numPr>
          <w:ilvl w:val="0"/>
          <w:numId w:val="26"/>
        </w:numPr>
        <w:contextualSpacing w:val="0"/>
        <w:rPr>
          <w:rFonts w:ascii="Times New Roman" w:hAnsi="Times New Roman"/>
          <w:bCs/>
          <w:iCs/>
        </w:rPr>
      </w:pPr>
      <w:r w:rsidRPr="00F04158">
        <w:rPr>
          <w:rFonts w:ascii="Times New Roman" w:hAnsi="Times New Roman"/>
          <w:bCs/>
          <w:iCs/>
        </w:rPr>
        <w:t>the day after this Act receives the Royal Assent; and</w:t>
      </w:r>
    </w:p>
    <w:p w:rsidR="0015781C" w:rsidRPr="0015781C" w:rsidRDefault="0015781C" w:rsidP="0015781C">
      <w:pPr>
        <w:pStyle w:val="ListParagraph"/>
        <w:contextualSpacing w:val="0"/>
        <w:rPr>
          <w:rFonts w:ascii="Times New Roman" w:hAnsi="Times New Roman"/>
          <w:bCs/>
          <w:iCs/>
          <w:sz w:val="16"/>
          <w:szCs w:val="16"/>
        </w:rPr>
      </w:pPr>
    </w:p>
    <w:p w:rsidR="00341ACF" w:rsidRPr="00F04158" w:rsidRDefault="00341ACF" w:rsidP="00F04158">
      <w:pPr>
        <w:pStyle w:val="ListParagraph"/>
        <w:numPr>
          <w:ilvl w:val="0"/>
          <w:numId w:val="26"/>
        </w:numPr>
        <w:contextualSpacing w:val="0"/>
        <w:rPr>
          <w:rFonts w:ascii="Times New Roman" w:hAnsi="Times New Roman"/>
          <w:bCs/>
          <w:iCs/>
        </w:rPr>
      </w:pPr>
      <w:r w:rsidRPr="00F04158">
        <w:rPr>
          <w:rFonts w:ascii="Times New Roman" w:hAnsi="Times New Roman"/>
          <w:bCs/>
          <w:iCs/>
        </w:rPr>
        <w:t>18 December 2012.</w:t>
      </w:r>
    </w:p>
    <w:sectPr w:rsidR="00341ACF" w:rsidRPr="00F04158" w:rsidSect="00EE2DBA">
      <w:footerReference w:type="default" r:id="rId14"/>
      <w:type w:val="continuous"/>
      <w:pgSz w:w="11907" w:h="16840"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1C" w:rsidRDefault="0015781C">
      <w:r>
        <w:separator/>
      </w:r>
    </w:p>
  </w:endnote>
  <w:endnote w:type="continuationSeparator" w:id="0">
    <w:p w:rsidR="0015781C" w:rsidRDefault="00157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illSansStd-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958"/>
      <w:docPartObj>
        <w:docPartGallery w:val="Page Numbers (Bottom of Page)"/>
        <w:docPartUnique/>
      </w:docPartObj>
    </w:sdtPr>
    <w:sdtContent>
      <w:p w:rsidR="00212006" w:rsidRDefault="006D17FF">
        <w:pPr>
          <w:pStyle w:val="Footer"/>
          <w:jc w:val="right"/>
        </w:pPr>
      </w:p>
    </w:sdtContent>
  </w:sdt>
  <w:p w:rsidR="0015781C" w:rsidRPr="00924ECE" w:rsidRDefault="0015781C" w:rsidP="00924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1C" w:rsidRDefault="006D17FF" w:rsidP="00E9323D">
    <w:pPr>
      <w:pStyle w:val="Footer"/>
      <w:jc w:val="center"/>
    </w:pPr>
    <w:r>
      <w:rPr>
        <w:rStyle w:val="PageNumber"/>
      </w:rPr>
      <w:fldChar w:fldCharType="begin"/>
    </w:r>
    <w:r w:rsidR="0015781C">
      <w:rPr>
        <w:rStyle w:val="PageNumber"/>
      </w:rPr>
      <w:instrText xml:space="preserve"> PAGE </w:instrText>
    </w:r>
    <w:r>
      <w:rPr>
        <w:rStyle w:val="PageNumber"/>
      </w:rPr>
      <w:fldChar w:fldCharType="separate"/>
    </w:r>
    <w:r w:rsidR="00AB57DD">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959"/>
      <w:docPartObj>
        <w:docPartGallery w:val="Page Numbers (Bottom of Page)"/>
        <w:docPartUnique/>
      </w:docPartObj>
    </w:sdtPr>
    <w:sdtContent>
      <w:p w:rsidR="00212006" w:rsidRDefault="006D17FF">
        <w:pPr>
          <w:pStyle w:val="Footer"/>
          <w:jc w:val="right"/>
        </w:pPr>
        <w:fldSimple w:instr=" PAGE   \* MERGEFORMAT ">
          <w:r w:rsidR="00147E41">
            <w:rPr>
              <w:noProof/>
            </w:rPr>
            <w:t>7</w:t>
          </w:r>
        </w:fldSimple>
      </w:p>
    </w:sdtContent>
  </w:sdt>
  <w:p w:rsidR="00212006" w:rsidRPr="00924ECE" w:rsidRDefault="00212006" w:rsidP="00924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1C" w:rsidRDefault="0015781C">
      <w:r>
        <w:separator/>
      </w:r>
    </w:p>
  </w:footnote>
  <w:footnote w:type="continuationSeparator" w:id="0">
    <w:p w:rsidR="0015781C" w:rsidRDefault="00157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1C" w:rsidRPr="00111999" w:rsidRDefault="0015781C" w:rsidP="001119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1C" w:rsidRDefault="00157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2D"/>
    <w:multiLevelType w:val="hybridMultilevel"/>
    <w:tmpl w:val="B2E22C08"/>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39D8"/>
    <w:multiLevelType w:val="hybridMultilevel"/>
    <w:tmpl w:val="CEE60B24"/>
    <w:lvl w:ilvl="0" w:tplc="D482149A">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0D3340"/>
    <w:multiLevelType w:val="hybridMultilevel"/>
    <w:tmpl w:val="9CAAB5CC"/>
    <w:lvl w:ilvl="0" w:tplc="AC6E87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F3439B"/>
    <w:multiLevelType w:val="hybridMultilevel"/>
    <w:tmpl w:val="B172E842"/>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75C26"/>
    <w:multiLevelType w:val="hybridMultilevel"/>
    <w:tmpl w:val="C726A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D0FC9"/>
    <w:multiLevelType w:val="hybridMultilevel"/>
    <w:tmpl w:val="A4D87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93BAA"/>
    <w:multiLevelType w:val="hybridMultilevel"/>
    <w:tmpl w:val="912E3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63FBC"/>
    <w:multiLevelType w:val="hybridMultilevel"/>
    <w:tmpl w:val="9F8E7CFA"/>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569B0"/>
    <w:multiLevelType w:val="hybridMultilevel"/>
    <w:tmpl w:val="97006CD8"/>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4C"/>
    <w:multiLevelType w:val="hybridMultilevel"/>
    <w:tmpl w:val="17CC373E"/>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20816"/>
    <w:multiLevelType w:val="hybridMultilevel"/>
    <w:tmpl w:val="CB227608"/>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323E2"/>
    <w:multiLevelType w:val="hybridMultilevel"/>
    <w:tmpl w:val="A08498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24038"/>
    <w:multiLevelType w:val="hybridMultilevel"/>
    <w:tmpl w:val="44306908"/>
    <w:lvl w:ilvl="0" w:tplc="714E590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EA7A5F"/>
    <w:multiLevelType w:val="hybridMultilevel"/>
    <w:tmpl w:val="44306908"/>
    <w:lvl w:ilvl="0" w:tplc="714E590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692589"/>
    <w:multiLevelType w:val="hybridMultilevel"/>
    <w:tmpl w:val="AC6E7340"/>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422EE"/>
    <w:multiLevelType w:val="hybridMultilevel"/>
    <w:tmpl w:val="71461F98"/>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466DC"/>
    <w:multiLevelType w:val="hybridMultilevel"/>
    <w:tmpl w:val="AF7234A8"/>
    <w:lvl w:ilvl="0" w:tplc="27707F9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B94793D"/>
    <w:multiLevelType w:val="hybridMultilevel"/>
    <w:tmpl w:val="E1BA33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150EC"/>
    <w:multiLevelType w:val="hybridMultilevel"/>
    <w:tmpl w:val="56183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FE011A"/>
    <w:multiLevelType w:val="hybridMultilevel"/>
    <w:tmpl w:val="C8B8B5CE"/>
    <w:lvl w:ilvl="0" w:tplc="87C409F2">
      <w:start w:val="1"/>
      <w:numFmt w:val="bullet"/>
      <w:lvlText w:val=""/>
      <w:lvlJc w:val="left"/>
      <w:pPr>
        <w:tabs>
          <w:tab w:val="num" w:pos="360"/>
        </w:tabs>
        <w:ind w:left="36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96A79"/>
    <w:multiLevelType w:val="hybridMultilevel"/>
    <w:tmpl w:val="EB66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BA3D6D"/>
    <w:multiLevelType w:val="hybridMultilevel"/>
    <w:tmpl w:val="697AC376"/>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1446E"/>
    <w:multiLevelType w:val="hybridMultilevel"/>
    <w:tmpl w:val="D5A00896"/>
    <w:lvl w:ilvl="0" w:tplc="27707F9C">
      <w:start w:val="20"/>
      <w:numFmt w:val="bullet"/>
      <w:lvlText w:val="–"/>
      <w:lvlJc w:val="left"/>
      <w:pPr>
        <w:tabs>
          <w:tab w:val="num" w:pos="720"/>
        </w:tabs>
        <w:ind w:left="720" w:hanging="360"/>
      </w:pPr>
      <w:rPr>
        <w:rFonts w:ascii="Times New Roman" w:eastAsia="Times New Roman" w:hAnsi="Times New Roman" w:cs="Times New Roman" w:hint="default"/>
      </w:rPr>
    </w:lvl>
    <w:lvl w:ilvl="1" w:tplc="27707F9C">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3D209C5"/>
    <w:multiLevelType w:val="hybridMultilevel"/>
    <w:tmpl w:val="E1E4A1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874443"/>
    <w:multiLevelType w:val="hybridMultilevel"/>
    <w:tmpl w:val="1D302258"/>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246C6"/>
    <w:multiLevelType w:val="hybridMultilevel"/>
    <w:tmpl w:val="CF98B5F2"/>
    <w:lvl w:ilvl="0" w:tplc="04090001">
      <w:start w:val="1"/>
      <w:numFmt w:val="bullet"/>
      <w:lvlText w:val=""/>
      <w:lvlJc w:val="left"/>
      <w:pPr>
        <w:tabs>
          <w:tab w:val="num" w:pos="360"/>
        </w:tabs>
        <w:ind w:left="360" w:hanging="360"/>
      </w:pPr>
      <w:rPr>
        <w:rFonts w:ascii="Symbol" w:hAnsi="Symbol" w:hint="default"/>
      </w:rPr>
    </w:lvl>
    <w:lvl w:ilvl="1" w:tplc="27707F9C">
      <w:start w:val="20"/>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5"/>
  </w:num>
  <w:num w:numId="4">
    <w:abstractNumId w:val="18"/>
  </w:num>
  <w:num w:numId="5">
    <w:abstractNumId w:val="23"/>
  </w:num>
  <w:num w:numId="6">
    <w:abstractNumId w:val="4"/>
  </w:num>
  <w:num w:numId="7">
    <w:abstractNumId w:val="19"/>
  </w:num>
  <w:num w:numId="8">
    <w:abstractNumId w:val="8"/>
  </w:num>
  <w:num w:numId="9">
    <w:abstractNumId w:val="10"/>
  </w:num>
  <w:num w:numId="10">
    <w:abstractNumId w:val="21"/>
  </w:num>
  <w:num w:numId="11">
    <w:abstractNumId w:val="22"/>
  </w:num>
  <w:num w:numId="12">
    <w:abstractNumId w:val="9"/>
  </w:num>
  <w:num w:numId="13">
    <w:abstractNumId w:val="25"/>
  </w:num>
  <w:num w:numId="14">
    <w:abstractNumId w:val="16"/>
  </w:num>
  <w:num w:numId="15">
    <w:abstractNumId w:val="15"/>
  </w:num>
  <w:num w:numId="16">
    <w:abstractNumId w:val="0"/>
  </w:num>
  <w:num w:numId="17">
    <w:abstractNumId w:val="14"/>
  </w:num>
  <w:num w:numId="18">
    <w:abstractNumId w:val="24"/>
  </w:num>
  <w:num w:numId="19">
    <w:abstractNumId w:val="7"/>
  </w:num>
  <w:num w:numId="20">
    <w:abstractNumId w:val="3"/>
  </w:num>
  <w:num w:numId="21">
    <w:abstractNumId w:val="17"/>
  </w:num>
  <w:num w:numId="22">
    <w:abstractNumId w:val="12"/>
  </w:num>
  <w:num w:numId="23">
    <w:abstractNumId w:val="20"/>
  </w:num>
  <w:num w:numId="24">
    <w:abstractNumId w:val="1"/>
  </w:num>
  <w:num w:numId="25">
    <w:abstractNumId w:val="2"/>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57E4A"/>
    <w:rsid w:val="00001864"/>
    <w:rsid w:val="00007FCD"/>
    <w:rsid w:val="0002456E"/>
    <w:rsid w:val="0003513D"/>
    <w:rsid w:val="000356B8"/>
    <w:rsid w:val="000409A0"/>
    <w:rsid w:val="000471C4"/>
    <w:rsid w:val="000622BE"/>
    <w:rsid w:val="000623CF"/>
    <w:rsid w:val="00087E18"/>
    <w:rsid w:val="00093BE9"/>
    <w:rsid w:val="0009437F"/>
    <w:rsid w:val="000946EB"/>
    <w:rsid w:val="000A1DFC"/>
    <w:rsid w:val="000A75B8"/>
    <w:rsid w:val="000B0CFF"/>
    <w:rsid w:val="000B73CD"/>
    <w:rsid w:val="000F0833"/>
    <w:rsid w:val="000F20B7"/>
    <w:rsid w:val="00102F11"/>
    <w:rsid w:val="00111999"/>
    <w:rsid w:val="0011253C"/>
    <w:rsid w:val="001134A6"/>
    <w:rsid w:val="00120510"/>
    <w:rsid w:val="00130182"/>
    <w:rsid w:val="00136B07"/>
    <w:rsid w:val="00137851"/>
    <w:rsid w:val="00146A21"/>
    <w:rsid w:val="00147E41"/>
    <w:rsid w:val="0015781C"/>
    <w:rsid w:val="00176965"/>
    <w:rsid w:val="00186D81"/>
    <w:rsid w:val="001964AA"/>
    <w:rsid w:val="00197288"/>
    <w:rsid w:val="001B289E"/>
    <w:rsid w:val="001D60B6"/>
    <w:rsid w:val="001F3FF4"/>
    <w:rsid w:val="001F501E"/>
    <w:rsid w:val="00202C82"/>
    <w:rsid w:val="002118AE"/>
    <w:rsid w:val="00212006"/>
    <w:rsid w:val="00227721"/>
    <w:rsid w:val="002542E1"/>
    <w:rsid w:val="00262EBC"/>
    <w:rsid w:val="00286EC4"/>
    <w:rsid w:val="002A1D06"/>
    <w:rsid w:val="002D5A44"/>
    <w:rsid w:val="00300EB0"/>
    <w:rsid w:val="0030325D"/>
    <w:rsid w:val="003336BF"/>
    <w:rsid w:val="00341ACF"/>
    <w:rsid w:val="00393869"/>
    <w:rsid w:val="00397326"/>
    <w:rsid w:val="003B2BE4"/>
    <w:rsid w:val="003B6FAC"/>
    <w:rsid w:val="003C2D2E"/>
    <w:rsid w:val="003C78A8"/>
    <w:rsid w:val="003D2D4F"/>
    <w:rsid w:val="003D46E9"/>
    <w:rsid w:val="003F2403"/>
    <w:rsid w:val="003F34D3"/>
    <w:rsid w:val="003F7EDE"/>
    <w:rsid w:val="004067B2"/>
    <w:rsid w:val="0042324F"/>
    <w:rsid w:val="0042724F"/>
    <w:rsid w:val="00427E80"/>
    <w:rsid w:val="00434AEC"/>
    <w:rsid w:val="004354A1"/>
    <w:rsid w:val="00437ADC"/>
    <w:rsid w:val="00446BCB"/>
    <w:rsid w:val="00450DF3"/>
    <w:rsid w:val="00457E4A"/>
    <w:rsid w:val="00457E7C"/>
    <w:rsid w:val="0046169C"/>
    <w:rsid w:val="004948F8"/>
    <w:rsid w:val="004A191F"/>
    <w:rsid w:val="004A46C4"/>
    <w:rsid w:val="004A64A4"/>
    <w:rsid w:val="004B363A"/>
    <w:rsid w:val="004D3D3A"/>
    <w:rsid w:val="004D5C90"/>
    <w:rsid w:val="00510B8D"/>
    <w:rsid w:val="00515496"/>
    <w:rsid w:val="00555307"/>
    <w:rsid w:val="00557CF6"/>
    <w:rsid w:val="005603E1"/>
    <w:rsid w:val="00562B8F"/>
    <w:rsid w:val="005A484C"/>
    <w:rsid w:val="005B1CAB"/>
    <w:rsid w:val="005C3C4F"/>
    <w:rsid w:val="005D28BE"/>
    <w:rsid w:val="005E376C"/>
    <w:rsid w:val="005E517F"/>
    <w:rsid w:val="005F3231"/>
    <w:rsid w:val="005F452F"/>
    <w:rsid w:val="005F731D"/>
    <w:rsid w:val="00602D11"/>
    <w:rsid w:val="00607246"/>
    <w:rsid w:val="0061005F"/>
    <w:rsid w:val="006274F6"/>
    <w:rsid w:val="0063012C"/>
    <w:rsid w:val="00644D03"/>
    <w:rsid w:val="00646745"/>
    <w:rsid w:val="00647535"/>
    <w:rsid w:val="00657C76"/>
    <w:rsid w:val="006808D8"/>
    <w:rsid w:val="006822FD"/>
    <w:rsid w:val="0069383F"/>
    <w:rsid w:val="006974DC"/>
    <w:rsid w:val="006A2DD6"/>
    <w:rsid w:val="006B123B"/>
    <w:rsid w:val="006B3F3D"/>
    <w:rsid w:val="006D17FF"/>
    <w:rsid w:val="006E1E56"/>
    <w:rsid w:val="006E46E5"/>
    <w:rsid w:val="007012A1"/>
    <w:rsid w:val="0070479A"/>
    <w:rsid w:val="00705261"/>
    <w:rsid w:val="00706841"/>
    <w:rsid w:val="0073597C"/>
    <w:rsid w:val="00745C4B"/>
    <w:rsid w:val="00755742"/>
    <w:rsid w:val="00770704"/>
    <w:rsid w:val="0078082B"/>
    <w:rsid w:val="00787FEE"/>
    <w:rsid w:val="007956EE"/>
    <w:rsid w:val="007A1F99"/>
    <w:rsid w:val="007B17D2"/>
    <w:rsid w:val="007E4D77"/>
    <w:rsid w:val="00806FBE"/>
    <w:rsid w:val="00811E8D"/>
    <w:rsid w:val="00812AF7"/>
    <w:rsid w:val="008166AF"/>
    <w:rsid w:val="00852B49"/>
    <w:rsid w:val="0087653C"/>
    <w:rsid w:val="00877A5B"/>
    <w:rsid w:val="008A4984"/>
    <w:rsid w:val="008A60EE"/>
    <w:rsid w:val="008B2942"/>
    <w:rsid w:val="008D6BE0"/>
    <w:rsid w:val="008F652B"/>
    <w:rsid w:val="0091170F"/>
    <w:rsid w:val="00912437"/>
    <w:rsid w:val="00924ECE"/>
    <w:rsid w:val="00930C76"/>
    <w:rsid w:val="009330A5"/>
    <w:rsid w:val="009333D8"/>
    <w:rsid w:val="00945661"/>
    <w:rsid w:val="00956CC1"/>
    <w:rsid w:val="00967139"/>
    <w:rsid w:val="009732CF"/>
    <w:rsid w:val="00987E94"/>
    <w:rsid w:val="009962C4"/>
    <w:rsid w:val="00996E15"/>
    <w:rsid w:val="0099788F"/>
    <w:rsid w:val="009D4D86"/>
    <w:rsid w:val="009D6D84"/>
    <w:rsid w:val="009E5787"/>
    <w:rsid w:val="00A00675"/>
    <w:rsid w:val="00A16EE9"/>
    <w:rsid w:val="00A30C80"/>
    <w:rsid w:val="00A36035"/>
    <w:rsid w:val="00A575B9"/>
    <w:rsid w:val="00A627C5"/>
    <w:rsid w:val="00A73C34"/>
    <w:rsid w:val="00A9660E"/>
    <w:rsid w:val="00AB3E61"/>
    <w:rsid w:val="00AB57DD"/>
    <w:rsid w:val="00AC03E7"/>
    <w:rsid w:val="00AC0BD5"/>
    <w:rsid w:val="00AD3B5D"/>
    <w:rsid w:val="00AF0D6C"/>
    <w:rsid w:val="00B14257"/>
    <w:rsid w:val="00B149E8"/>
    <w:rsid w:val="00B15F70"/>
    <w:rsid w:val="00B165EA"/>
    <w:rsid w:val="00B226D4"/>
    <w:rsid w:val="00B30FCF"/>
    <w:rsid w:val="00B3149B"/>
    <w:rsid w:val="00B52637"/>
    <w:rsid w:val="00B63365"/>
    <w:rsid w:val="00B73DA9"/>
    <w:rsid w:val="00BB1F46"/>
    <w:rsid w:val="00BB7436"/>
    <w:rsid w:val="00BC0FB7"/>
    <w:rsid w:val="00BC67A1"/>
    <w:rsid w:val="00BC6BAB"/>
    <w:rsid w:val="00BF22C9"/>
    <w:rsid w:val="00BF365B"/>
    <w:rsid w:val="00C03723"/>
    <w:rsid w:val="00C07875"/>
    <w:rsid w:val="00C476ED"/>
    <w:rsid w:val="00C964C9"/>
    <w:rsid w:val="00CA122D"/>
    <w:rsid w:val="00CA4421"/>
    <w:rsid w:val="00CC21E1"/>
    <w:rsid w:val="00CE2F65"/>
    <w:rsid w:val="00CF1C0E"/>
    <w:rsid w:val="00CF703B"/>
    <w:rsid w:val="00D01ADE"/>
    <w:rsid w:val="00D067C5"/>
    <w:rsid w:val="00D24946"/>
    <w:rsid w:val="00D3699E"/>
    <w:rsid w:val="00D437C1"/>
    <w:rsid w:val="00D520A1"/>
    <w:rsid w:val="00D56A71"/>
    <w:rsid w:val="00DA43EB"/>
    <w:rsid w:val="00DA4A9B"/>
    <w:rsid w:val="00DA7FE5"/>
    <w:rsid w:val="00DB3683"/>
    <w:rsid w:val="00DB6ABF"/>
    <w:rsid w:val="00DC7C7A"/>
    <w:rsid w:val="00DE2EC8"/>
    <w:rsid w:val="00DE6CAD"/>
    <w:rsid w:val="00E073FD"/>
    <w:rsid w:val="00E11B49"/>
    <w:rsid w:val="00E26960"/>
    <w:rsid w:val="00E3306B"/>
    <w:rsid w:val="00E4126D"/>
    <w:rsid w:val="00E41323"/>
    <w:rsid w:val="00E41C24"/>
    <w:rsid w:val="00E4484D"/>
    <w:rsid w:val="00E46446"/>
    <w:rsid w:val="00E66017"/>
    <w:rsid w:val="00E9323D"/>
    <w:rsid w:val="00EA0BF5"/>
    <w:rsid w:val="00EA1050"/>
    <w:rsid w:val="00EA2D1D"/>
    <w:rsid w:val="00EA7142"/>
    <w:rsid w:val="00EC02EC"/>
    <w:rsid w:val="00EC0EAB"/>
    <w:rsid w:val="00ED25EA"/>
    <w:rsid w:val="00EE030D"/>
    <w:rsid w:val="00EE2DBA"/>
    <w:rsid w:val="00EE3978"/>
    <w:rsid w:val="00EE4AB7"/>
    <w:rsid w:val="00F04158"/>
    <w:rsid w:val="00F04523"/>
    <w:rsid w:val="00F269F2"/>
    <w:rsid w:val="00F3015C"/>
    <w:rsid w:val="00F358E6"/>
    <w:rsid w:val="00F35978"/>
    <w:rsid w:val="00F62BBD"/>
    <w:rsid w:val="00F62EF7"/>
    <w:rsid w:val="00F70CF9"/>
    <w:rsid w:val="00F715DB"/>
    <w:rsid w:val="00FD5265"/>
    <w:rsid w:val="00FE0DB0"/>
    <w:rsid w:val="00FF6B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C76"/>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rsid w:val="00930C76"/>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rsid w:val="00930C76"/>
    <w:pPr>
      <w:keepNext/>
    </w:pPr>
    <w:rPr>
      <w:rFonts w:ascii="Times New Roman" w:hAnsi="Times New Roman"/>
      <w:b/>
      <w:kern w:val="28"/>
      <w:lang w:val="en-US"/>
    </w:rPr>
  </w:style>
  <w:style w:type="paragraph" w:styleId="Footer">
    <w:name w:val="footer"/>
    <w:basedOn w:val="Normal"/>
    <w:link w:val="FooterChar"/>
    <w:uiPriority w:val="99"/>
    <w:rsid w:val="00930C76"/>
    <w:pPr>
      <w:tabs>
        <w:tab w:val="center" w:pos="4153"/>
        <w:tab w:val="right" w:pos="8306"/>
      </w:tabs>
    </w:pPr>
  </w:style>
  <w:style w:type="paragraph" w:styleId="Header">
    <w:name w:val="header"/>
    <w:basedOn w:val="Normal"/>
    <w:rsid w:val="00930C76"/>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paragraph" w:customStyle="1" w:styleId="ActHead5">
    <w:name w:val="ActHead 5"/>
    <w:aliases w:val="s"/>
    <w:basedOn w:val="Normal"/>
    <w:next w:val="subsection"/>
    <w:qFormat/>
    <w:rsid w:val="00915513"/>
    <w:pPr>
      <w:keepNext/>
      <w:keepLines/>
      <w:spacing w:before="280"/>
      <w:ind w:left="1134" w:hanging="1134"/>
      <w:outlineLvl w:val="4"/>
    </w:pPr>
    <w:rPr>
      <w:rFonts w:ascii="Times New Roman" w:hAnsi="Times New Roman"/>
      <w:b/>
      <w:kern w:val="28"/>
    </w:rPr>
  </w:style>
  <w:style w:type="paragraph" w:customStyle="1" w:styleId="ActHead6">
    <w:name w:val="ActHead 6"/>
    <w:aliases w:val="as"/>
    <w:basedOn w:val="Normal"/>
    <w:next w:val="ActHead7"/>
    <w:qFormat/>
    <w:rsid w:val="00915513"/>
    <w:pPr>
      <w:keepNext/>
      <w:keepLines/>
      <w:ind w:left="1134" w:hanging="1134"/>
      <w:outlineLvl w:val="5"/>
    </w:pPr>
    <w:rPr>
      <w:rFonts w:ascii="Arial" w:hAnsi="Arial"/>
      <w:b/>
      <w:kern w:val="28"/>
      <w:sz w:val="32"/>
    </w:rPr>
  </w:style>
  <w:style w:type="paragraph" w:customStyle="1" w:styleId="ActHead7">
    <w:name w:val="ActHead 7"/>
    <w:aliases w:val="ap"/>
    <w:basedOn w:val="Normal"/>
    <w:next w:val="ItemHead"/>
    <w:qFormat/>
    <w:rsid w:val="00915513"/>
    <w:pPr>
      <w:keepNext/>
      <w:keepLines/>
      <w:spacing w:before="280"/>
      <w:ind w:left="1134" w:hanging="1134"/>
      <w:outlineLvl w:val="6"/>
    </w:pPr>
    <w:rPr>
      <w:rFonts w:ascii="Arial" w:hAnsi="Arial"/>
      <w:b/>
      <w:kern w:val="28"/>
      <w:sz w:val="28"/>
    </w:rPr>
  </w:style>
  <w:style w:type="paragraph" w:customStyle="1" w:styleId="ActHead9">
    <w:name w:val="ActHead 9"/>
    <w:aliases w:val="aat"/>
    <w:basedOn w:val="Normal"/>
    <w:next w:val="ItemHead"/>
    <w:qFormat/>
    <w:rsid w:val="00915513"/>
    <w:pPr>
      <w:keepNext/>
      <w:keepLines/>
      <w:spacing w:before="280"/>
      <w:ind w:left="1134" w:hanging="1134"/>
      <w:outlineLvl w:val="8"/>
    </w:pPr>
    <w:rPr>
      <w:rFonts w:ascii="Times New Roman" w:hAnsi="Times New Roman"/>
      <w:b/>
      <w:i/>
      <w:kern w:val="28"/>
      <w:sz w:val="28"/>
    </w:rPr>
  </w:style>
  <w:style w:type="character" w:customStyle="1" w:styleId="CharAmPartNo">
    <w:name w:val="CharAmPartNo"/>
    <w:basedOn w:val="DefaultParagraphFont"/>
    <w:qFormat/>
    <w:rsid w:val="00915513"/>
  </w:style>
  <w:style w:type="character" w:customStyle="1" w:styleId="CharAmPartText">
    <w:name w:val="CharAmPartText"/>
    <w:basedOn w:val="DefaultParagraphFont"/>
    <w:qFormat/>
    <w:rsid w:val="00915513"/>
  </w:style>
  <w:style w:type="character" w:customStyle="1" w:styleId="CharAmSchNo">
    <w:name w:val="CharAmSchNo"/>
    <w:basedOn w:val="DefaultParagraphFont"/>
    <w:qFormat/>
    <w:rsid w:val="00915513"/>
  </w:style>
  <w:style w:type="character" w:customStyle="1" w:styleId="CharAmSchText">
    <w:name w:val="CharAmSchText"/>
    <w:basedOn w:val="DefaultParagraphFont"/>
    <w:qFormat/>
    <w:rsid w:val="00915513"/>
  </w:style>
  <w:style w:type="character" w:customStyle="1" w:styleId="CharSectno">
    <w:name w:val="CharSectno"/>
    <w:basedOn w:val="DefaultParagraphFont"/>
    <w:qFormat/>
    <w:rsid w:val="00915513"/>
  </w:style>
  <w:style w:type="paragraph" w:customStyle="1" w:styleId="subsection">
    <w:name w:val="subsection"/>
    <w:aliases w:val="ss"/>
    <w:basedOn w:val="Normal"/>
    <w:rsid w:val="00915513"/>
    <w:pPr>
      <w:tabs>
        <w:tab w:val="right" w:pos="1021"/>
      </w:tabs>
      <w:spacing w:before="180"/>
      <w:ind w:left="1134" w:hanging="1134"/>
    </w:pPr>
    <w:rPr>
      <w:rFonts w:ascii="Times New Roman" w:hAnsi="Times New Roman"/>
      <w:sz w:val="22"/>
    </w:rPr>
  </w:style>
  <w:style w:type="paragraph" w:customStyle="1" w:styleId="Item">
    <w:name w:val="Item"/>
    <w:aliases w:val="i"/>
    <w:basedOn w:val="Normal"/>
    <w:next w:val="ItemHead"/>
    <w:rsid w:val="00915513"/>
    <w:pPr>
      <w:keepLines/>
      <w:spacing w:before="80"/>
      <w:ind w:left="709"/>
    </w:pPr>
    <w:rPr>
      <w:rFonts w:ascii="Times New Roman" w:hAnsi="Times New Roman"/>
      <w:sz w:val="22"/>
    </w:rPr>
  </w:style>
  <w:style w:type="paragraph" w:customStyle="1" w:styleId="ItemHead">
    <w:name w:val="ItemHead"/>
    <w:aliases w:val="ih"/>
    <w:basedOn w:val="Normal"/>
    <w:next w:val="Item"/>
    <w:rsid w:val="00915513"/>
    <w:pPr>
      <w:keepLines/>
      <w:spacing w:before="220"/>
      <w:ind w:left="709" w:hanging="709"/>
    </w:pPr>
    <w:rPr>
      <w:rFonts w:ascii="Arial" w:hAnsi="Arial"/>
      <w:b/>
      <w:kern w:val="28"/>
    </w:rPr>
  </w:style>
  <w:style w:type="paragraph" w:customStyle="1" w:styleId="paragraph">
    <w:name w:val="paragraph"/>
    <w:aliases w:val="a"/>
    <w:basedOn w:val="Normal"/>
    <w:rsid w:val="00915513"/>
    <w:pPr>
      <w:tabs>
        <w:tab w:val="right" w:pos="1531"/>
      </w:tabs>
      <w:spacing w:before="40"/>
      <w:ind w:left="1644" w:hanging="1644"/>
    </w:pPr>
    <w:rPr>
      <w:rFonts w:ascii="Times New Roman" w:hAnsi="Times New Roman"/>
      <w:sz w:val="22"/>
    </w:rPr>
  </w:style>
  <w:style w:type="paragraph" w:customStyle="1" w:styleId="subsection2">
    <w:name w:val="subsection2"/>
    <w:aliases w:val="ss2"/>
    <w:basedOn w:val="Normal"/>
    <w:next w:val="subsection"/>
    <w:rsid w:val="00915513"/>
    <w:pPr>
      <w:spacing w:before="40"/>
      <w:ind w:left="1134"/>
    </w:pPr>
    <w:rPr>
      <w:rFonts w:ascii="Times New Roman" w:hAnsi="Times New Roman"/>
      <w:sz w:val="22"/>
    </w:rPr>
  </w:style>
  <w:style w:type="paragraph" w:customStyle="1" w:styleId="notetext">
    <w:name w:val="note(text)"/>
    <w:aliases w:val="n"/>
    <w:basedOn w:val="Normal"/>
    <w:rsid w:val="00C47B4F"/>
    <w:pPr>
      <w:spacing w:before="122" w:line="198" w:lineRule="exact"/>
      <w:ind w:left="1985" w:hanging="851"/>
    </w:pPr>
    <w:rPr>
      <w:rFonts w:ascii="Times New Roman" w:hAnsi="Times New Roman"/>
      <w:sz w:val="18"/>
    </w:rPr>
  </w:style>
  <w:style w:type="paragraph" w:customStyle="1" w:styleId="Penalty">
    <w:name w:val="Penalty"/>
    <w:basedOn w:val="Normal"/>
    <w:rsid w:val="00C47B4F"/>
    <w:pPr>
      <w:tabs>
        <w:tab w:val="left" w:pos="2977"/>
      </w:tabs>
      <w:spacing w:before="180"/>
      <w:ind w:left="1985" w:hanging="851"/>
    </w:pPr>
    <w:rPr>
      <w:rFonts w:ascii="Times New Roman" w:hAnsi="Times New Roman"/>
      <w:sz w:val="22"/>
    </w:rPr>
  </w:style>
  <w:style w:type="paragraph" w:customStyle="1" w:styleId="notedraft">
    <w:name w:val="note(draft)"/>
    <w:aliases w:val="nd"/>
    <w:basedOn w:val="Normal"/>
    <w:rsid w:val="00A071B7"/>
    <w:pPr>
      <w:spacing w:before="240"/>
      <w:ind w:left="284" w:hanging="284"/>
    </w:pPr>
    <w:rPr>
      <w:rFonts w:ascii="Times New Roman" w:hAnsi="Times New Roman"/>
      <w:i/>
    </w:rPr>
  </w:style>
  <w:style w:type="paragraph" w:customStyle="1" w:styleId="paragraphsub">
    <w:name w:val="paragraph(sub)"/>
    <w:aliases w:val="aa"/>
    <w:basedOn w:val="Normal"/>
    <w:rsid w:val="00A071B7"/>
    <w:pPr>
      <w:tabs>
        <w:tab w:val="right" w:pos="1985"/>
      </w:tabs>
      <w:spacing w:before="40"/>
      <w:ind w:left="2098" w:hanging="2098"/>
    </w:pPr>
    <w:rPr>
      <w:rFonts w:ascii="Times New Roman" w:hAnsi="Times New Roman"/>
      <w:sz w:val="22"/>
    </w:rPr>
  </w:style>
  <w:style w:type="paragraph" w:customStyle="1" w:styleId="SubsectionHead">
    <w:name w:val="SubsectionHead"/>
    <w:aliases w:val="ssh"/>
    <w:basedOn w:val="Normal"/>
    <w:next w:val="subsection"/>
    <w:rsid w:val="00A071B7"/>
    <w:pPr>
      <w:keepNext/>
      <w:keepLines/>
      <w:spacing w:before="240"/>
      <w:ind w:left="1134"/>
    </w:pPr>
    <w:rPr>
      <w:rFonts w:ascii="Times New Roman" w:hAnsi="Times New Roman"/>
      <w:i/>
      <w:sz w:val="22"/>
    </w:rPr>
  </w:style>
  <w:style w:type="paragraph" w:customStyle="1" w:styleId="ActHead2">
    <w:name w:val="ActHead 2"/>
    <w:aliases w:val="p"/>
    <w:basedOn w:val="Normal"/>
    <w:next w:val="ActHead3"/>
    <w:qFormat/>
    <w:rsid w:val="0056404B"/>
    <w:pPr>
      <w:keepNext/>
      <w:keepLines/>
      <w:spacing w:before="280"/>
      <w:ind w:left="1134" w:hanging="1134"/>
      <w:outlineLvl w:val="1"/>
    </w:pPr>
    <w:rPr>
      <w:rFonts w:ascii="Times New Roman" w:hAnsi="Times New Roman"/>
      <w:b/>
      <w:kern w:val="28"/>
      <w:sz w:val="32"/>
    </w:rPr>
  </w:style>
  <w:style w:type="paragraph" w:customStyle="1" w:styleId="ActHead3">
    <w:name w:val="ActHead 3"/>
    <w:aliases w:val="d"/>
    <w:basedOn w:val="Normal"/>
    <w:next w:val="Normal"/>
    <w:qFormat/>
    <w:rsid w:val="0056404B"/>
    <w:pPr>
      <w:keepNext/>
      <w:keepLines/>
      <w:spacing w:before="240"/>
      <w:ind w:left="1134" w:hanging="1134"/>
      <w:outlineLvl w:val="2"/>
    </w:pPr>
    <w:rPr>
      <w:rFonts w:ascii="Times New Roman" w:hAnsi="Times New Roman"/>
      <w:b/>
      <w:kern w:val="28"/>
      <w:sz w:val="28"/>
    </w:rPr>
  </w:style>
  <w:style w:type="paragraph" w:customStyle="1" w:styleId="ActHead8">
    <w:name w:val="ActHead 8"/>
    <w:aliases w:val="ad"/>
    <w:basedOn w:val="Normal"/>
    <w:next w:val="ItemHead"/>
    <w:qFormat/>
    <w:rsid w:val="0056404B"/>
    <w:pPr>
      <w:keepNext/>
      <w:keepLines/>
      <w:spacing w:before="240"/>
      <w:ind w:left="1134" w:hanging="1134"/>
      <w:outlineLvl w:val="7"/>
    </w:pPr>
    <w:rPr>
      <w:rFonts w:ascii="Arial" w:hAnsi="Arial"/>
      <w:b/>
      <w:kern w:val="28"/>
      <w:sz w:val="26"/>
    </w:rPr>
  </w:style>
  <w:style w:type="paragraph" w:customStyle="1" w:styleId="BoxPara">
    <w:name w:val="BoxPara"/>
    <w:aliases w:val="bp"/>
    <w:basedOn w:val="Normal"/>
    <w:qFormat/>
    <w:rsid w:val="0056404B"/>
    <w:pPr>
      <w:pBdr>
        <w:top w:val="single" w:sz="6" w:space="5" w:color="auto"/>
        <w:left w:val="single" w:sz="6" w:space="5" w:color="auto"/>
        <w:bottom w:val="single" w:sz="6" w:space="5" w:color="auto"/>
        <w:right w:val="single" w:sz="6" w:space="5" w:color="auto"/>
      </w:pBdr>
      <w:tabs>
        <w:tab w:val="right" w:pos="2268"/>
      </w:tabs>
      <w:spacing w:before="240"/>
      <w:ind w:left="2552" w:hanging="1418"/>
    </w:pPr>
    <w:rPr>
      <w:rFonts w:ascii="Times New Roman" w:hAnsi="Times New Roman"/>
      <w:sz w:val="22"/>
    </w:rPr>
  </w:style>
  <w:style w:type="paragraph" w:customStyle="1" w:styleId="Definition">
    <w:name w:val="Definition"/>
    <w:aliases w:val="dd"/>
    <w:basedOn w:val="Normal"/>
    <w:rsid w:val="0056404B"/>
    <w:pPr>
      <w:spacing w:before="180"/>
      <w:ind w:left="1134"/>
    </w:pPr>
    <w:rPr>
      <w:rFonts w:ascii="Times New Roman" w:hAnsi="Times New Roman"/>
      <w:sz w:val="22"/>
    </w:rPr>
  </w:style>
  <w:style w:type="paragraph" w:customStyle="1" w:styleId="notemargin">
    <w:name w:val="note(margin)"/>
    <w:aliases w:val="nm"/>
    <w:basedOn w:val="Normal"/>
    <w:rsid w:val="0056404B"/>
    <w:pPr>
      <w:tabs>
        <w:tab w:val="left" w:pos="709"/>
      </w:tabs>
      <w:spacing w:before="122" w:line="198" w:lineRule="exact"/>
      <w:ind w:left="709" w:hanging="709"/>
    </w:pPr>
    <w:rPr>
      <w:rFonts w:ascii="Times New Roman" w:hAnsi="Times New Roman"/>
      <w:sz w:val="18"/>
    </w:rPr>
  </w:style>
  <w:style w:type="paragraph" w:customStyle="1" w:styleId="PageBreak">
    <w:name w:val="PageBreak"/>
    <w:aliases w:val="pb"/>
    <w:basedOn w:val="Normal"/>
    <w:rsid w:val="0056404B"/>
    <w:rPr>
      <w:rFonts w:ascii="Times New Roman" w:hAnsi="Times New Roman"/>
      <w:sz w:val="20"/>
    </w:rPr>
  </w:style>
  <w:style w:type="paragraph" w:customStyle="1" w:styleId="Subitem">
    <w:name w:val="Subitem"/>
    <w:aliases w:val="iss"/>
    <w:basedOn w:val="Normal"/>
    <w:rsid w:val="0056404B"/>
    <w:pPr>
      <w:spacing w:before="180"/>
      <w:ind w:left="709" w:hanging="709"/>
    </w:pPr>
    <w:rPr>
      <w:rFonts w:ascii="Times New Roman" w:hAnsi="Times New Roman"/>
      <w:sz w:val="22"/>
    </w:rPr>
  </w:style>
  <w:style w:type="paragraph" w:customStyle="1" w:styleId="Tabletext">
    <w:name w:val="Tabletext"/>
    <w:aliases w:val="tt"/>
    <w:basedOn w:val="Normal"/>
    <w:rsid w:val="0056404B"/>
    <w:pPr>
      <w:spacing w:before="60" w:line="240" w:lineRule="atLeast"/>
    </w:pPr>
    <w:rPr>
      <w:rFonts w:ascii="Times New Roman" w:hAnsi="Times New Roman"/>
      <w:sz w:val="20"/>
    </w:rPr>
  </w:style>
  <w:style w:type="character" w:styleId="Hyperlink">
    <w:name w:val="Hyperlink"/>
    <w:basedOn w:val="DefaultParagraphFont"/>
    <w:unhideWhenUsed/>
    <w:rsid w:val="0056404B"/>
    <w:rPr>
      <w:color w:val="0000FF"/>
      <w:u w:val="single"/>
    </w:rPr>
  </w:style>
  <w:style w:type="paragraph" w:styleId="BalloonText">
    <w:name w:val="Balloon Text"/>
    <w:basedOn w:val="Normal"/>
    <w:semiHidden/>
    <w:rsid w:val="00B92964"/>
    <w:rPr>
      <w:rFonts w:ascii="Tahoma" w:hAnsi="Tahoma" w:cs="Tahoma"/>
      <w:sz w:val="16"/>
      <w:szCs w:val="16"/>
    </w:rPr>
  </w:style>
  <w:style w:type="paragraph" w:styleId="BodyText">
    <w:name w:val="Body Text"/>
    <w:basedOn w:val="Normal"/>
    <w:link w:val="BodyTextChar"/>
    <w:rsid w:val="009D6D84"/>
    <w:pPr>
      <w:spacing w:before="100" w:beforeAutospacing="1" w:after="240"/>
    </w:pPr>
    <w:rPr>
      <w:rFonts w:ascii="Times New Roman" w:hAnsi="Times New Roman"/>
      <w:szCs w:val="24"/>
    </w:rPr>
  </w:style>
  <w:style w:type="character" w:customStyle="1" w:styleId="BodyTextChar">
    <w:name w:val="Body Text Char"/>
    <w:basedOn w:val="DefaultParagraphFont"/>
    <w:link w:val="BodyText"/>
    <w:rsid w:val="009D6D84"/>
    <w:rPr>
      <w:sz w:val="24"/>
      <w:szCs w:val="24"/>
      <w:lang w:val="en-AU" w:eastAsia="en-AU" w:bidi="ar-SA"/>
    </w:rPr>
  </w:style>
  <w:style w:type="paragraph" w:styleId="FootnoteText">
    <w:name w:val="footnote text"/>
    <w:basedOn w:val="Normal"/>
    <w:link w:val="FootnoteTextChar"/>
    <w:uiPriority w:val="99"/>
    <w:unhideWhenUsed/>
    <w:rsid w:val="009D6D84"/>
    <w:pPr>
      <w:spacing w:after="200" w:line="276" w:lineRule="auto"/>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9D6D84"/>
    <w:rPr>
      <w:rFonts w:ascii="Calibri" w:eastAsia="Calibri" w:hAnsi="Calibri"/>
      <w:lang w:val="en-AU" w:eastAsia="en-US" w:bidi="ar-SA"/>
    </w:rPr>
  </w:style>
  <w:style w:type="character" w:styleId="FootnoteReference">
    <w:name w:val="footnote reference"/>
    <w:basedOn w:val="DefaultParagraphFont"/>
    <w:uiPriority w:val="99"/>
    <w:unhideWhenUsed/>
    <w:rsid w:val="009D6D84"/>
    <w:rPr>
      <w:vertAlign w:val="superscript"/>
    </w:rPr>
  </w:style>
  <w:style w:type="paragraph" w:customStyle="1" w:styleId="BodyText0">
    <w:name w:val="BodyText"/>
    <w:basedOn w:val="Normal"/>
    <w:rsid w:val="009D6D84"/>
    <w:pPr>
      <w:widowControl w:val="0"/>
      <w:suppressAutoHyphens/>
      <w:autoSpaceDE w:val="0"/>
      <w:autoSpaceDN w:val="0"/>
      <w:adjustRightInd w:val="0"/>
      <w:spacing w:after="227" w:line="240" w:lineRule="atLeast"/>
      <w:textAlignment w:val="center"/>
    </w:pPr>
    <w:rPr>
      <w:rFonts w:ascii="Arial" w:hAnsi="Arial" w:cs="GillSansStd-Light"/>
      <w:color w:val="000000"/>
      <w:sz w:val="18"/>
      <w:szCs w:val="18"/>
      <w:lang w:val="en-GB" w:eastAsia="en-US"/>
    </w:rPr>
  </w:style>
  <w:style w:type="paragraph" w:styleId="ListParagraph">
    <w:name w:val="List Paragraph"/>
    <w:basedOn w:val="Normal"/>
    <w:uiPriority w:val="99"/>
    <w:qFormat/>
    <w:rsid w:val="005F731D"/>
    <w:pPr>
      <w:ind w:left="720"/>
      <w:contextualSpacing/>
    </w:pPr>
  </w:style>
  <w:style w:type="character" w:styleId="CommentReference">
    <w:name w:val="annotation reference"/>
    <w:basedOn w:val="DefaultParagraphFont"/>
    <w:rsid w:val="004D3D3A"/>
    <w:rPr>
      <w:sz w:val="16"/>
      <w:szCs w:val="16"/>
    </w:rPr>
  </w:style>
  <w:style w:type="paragraph" w:styleId="CommentText">
    <w:name w:val="annotation text"/>
    <w:basedOn w:val="Normal"/>
    <w:link w:val="CommentTextChar"/>
    <w:rsid w:val="004D3D3A"/>
    <w:rPr>
      <w:sz w:val="20"/>
    </w:rPr>
  </w:style>
  <w:style w:type="character" w:customStyle="1" w:styleId="CommentTextChar">
    <w:name w:val="Comment Text Char"/>
    <w:basedOn w:val="DefaultParagraphFont"/>
    <w:link w:val="CommentText"/>
    <w:rsid w:val="004D3D3A"/>
    <w:rPr>
      <w:rFonts w:ascii="Tms Rmn" w:hAnsi="Tms Rmn"/>
    </w:rPr>
  </w:style>
  <w:style w:type="paragraph" w:styleId="CommentSubject">
    <w:name w:val="annotation subject"/>
    <w:basedOn w:val="CommentText"/>
    <w:next w:val="CommentText"/>
    <w:link w:val="CommentSubjectChar"/>
    <w:rsid w:val="004D3D3A"/>
    <w:rPr>
      <w:b/>
      <w:bCs/>
    </w:rPr>
  </w:style>
  <w:style w:type="character" w:customStyle="1" w:styleId="CommentSubjectChar">
    <w:name w:val="Comment Subject Char"/>
    <w:basedOn w:val="CommentTextChar"/>
    <w:link w:val="CommentSubject"/>
    <w:rsid w:val="004D3D3A"/>
    <w:rPr>
      <w:b/>
      <w:bCs/>
    </w:rPr>
  </w:style>
  <w:style w:type="paragraph" w:customStyle="1" w:styleId="BodyTextLevel1">
    <w:name w:val="Body Text Level 1"/>
    <w:basedOn w:val="Normal"/>
    <w:link w:val="BodyTextLevel1Char"/>
    <w:uiPriority w:val="99"/>
    <w:rsid w:val="00DB3683"/>
    <w:rPr>
      <w:rFonts w:ascii="Arial" w:hAnsi="Arial"/>
      <w:sz w:val="22"/>
    </w:rPr>
  </w:style>
  <w:style w:type="character" w:customStyle="1" w:styleId="BodyTextLevel1Char">
    <w:name w:val="Body Text Level 1 Char"/>
    <w:basedOn w:val="DefaultParagraphFont"/>
    <w:link w:val="BodyTextLevel1"/>
    <w:uiPriority w:val="99"/>
    <w:rsid w:val="00DB3683"/>
    <w:rPr>
      <w:rFonts w:ascii="Arial" w:hAnsi="Arial"/>
      <w:sz w:val="22"/>
    </w:rPr>
  </w:style>
  <w:style w:type="paragraph" w:customStyle="1" w:styleId="Tablea">
    <w:name w:val="Table(a)"/>
    <w:aliases w:val="ta"/>
    <w:basedOn w:val="Normal"/>
    <w:rsid w:val="00787FEE"/>
    <w:pPr>
      <w:spacing w:before="60"/>
      <w:ind w:left="284" w:hanging="284"/>
    </w:pPr>
    <w:rPr>
      <w:rFonts w:ascii="Times New Roman" w:hAnsi="Times New Roman"/>
      <w:sz w:val="20"/>
    </w:rPr>
  </w:style>
  <w:style w:type="character" w:styleId="FollowedHyperlink">
    <w:name w:val="FollowedHyperlink"/>
    <w:basedOn w:val="DefaultParagraphFont"/>
    <w:rsid w:val="00FF6B4B"/>
    <w:rPr>
      <w:color w:val="800080" w:themeColor="followedHyperlink"/>
      <w:u w:val="single"/>
    </w:rPr>
  </w:style>
  <w:style w:type="character" w:customStyle="1" w:styleId="FooterChar">
    <w:name w:val="Footer Char"/>
    <w:basedOn w:val="DefaultParagraphFont"/>
    <w:link w:val="Footer"/>
    <w:uiPriority w:val="99"/>
    <w:rsid w:val="00924ECE"/>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1001464571">
      <w:bodyDiv w:val="1"/>
      <w:marLeft w:val="0"/>
      <w:marRight w:val="0"/>
      <w:marTop w:val="0"/>
      <w:marBottom w:val="0"/>
      <w:divBdr>
        <w:top w:val="none" w:sz="0" w:space="0" w:color="auto"/>
        <w:left w:val="none" w:sz="0" w:space="0" w:color="auto"/>
        <w:bottom w:val="none" w:sz="0" w:space="0" w:color="auto"/>
        <w:right w:val="none" w:sz="0" w:space="0" w:color="auto"/>
      </w:divBdr>
      <w:divsChild>
        <w:div w:id="933247058">
          <w:marLeft w:val="0"/>
          <w:marRight w:val="0"/>
          <w:marTop w:val="0"/>
          <w:marBottom w:val="0"/>
          <w:divBdr>
            <w:top w:val="none" w:sz="0" w:space="0" w:color="auto"/>
            <w:left w:val="none" w:sz="0" w:space="0" w:color="auto"/>
            <w:bottom w:val="none" w:sz="0" w:space="0" w:color="auto"/>
            <w:right w:val="none" w:sz="0" w:space="0" w:color="auto"/>
          </w:divBdr>
          <w:divsChild>
            <w:div w:id="582301845">
              <w:marLeft w:val="0"/>
              <w:marRight w:val="0"/>
              <w:marTop w:val="0"/>
              <w:marBottom w:val="0"/>
              <w:divBdr>
                <w:top w:val="none" w:sz="0" w:space="0" w:color="auto"/>
                <w:left w:val="none" w:sz="0" w:space="0" w:color="auto"/>
                <w:bottom w:val="none" w:sz="0" w:space="0" w:color="auto"/>
                <w:right w:val="none" w:sz="0" w:space="0" w:color="auto"/>
              </w:divBdr>
              <w:divsChild>
                <w:div w:id="254829419">
                  <w:marLeft w:val="0"/>
                  <w:marRight w:val="0"/>
                  <w:marTop w:val="0"/>
                  <w:marBottom w:val="0"/>
                  <w:divBdr>
                    <w:top w:val="none" w:sz="0" w:space="0" w:color="auto"/>
                    <w:left w:val="none" w:sz="0" w:space="0" w:color="auto"/>
                    <w:bottom w:val="none" w:sz="0" w:space="0" w:color="auto"/>
                    <w:right w:val="none" w:sz="0" w:space="0" w:color="auto"/>
                  </w:divBdr>
                  <w:divsChild>
                    <w:div w:id="2002655474">
                      <w:marLeft w:val="0"/>
                      <w:marRight w:val="0"/>
                      <w:marTop w:val="0"/>
                      <w:marBottom w:val="0"/>
                      <w:divBdr>
                        <w:top w:val="none" w:sz="0" w:space="0" w:color="auto"/>
                        <w:left w:val="none" w:sz="0" w:space="0" w:color="auto"/>
                        <w:bottom w:val="none" w:sz="0" w:space="0" w:color="auto"/>
                        <w:right w:val="none" w:sz="0" w:space="0" w:color="auto"/>
                      </w:divBdr>
                      <w:divsChild>
                        <w:div w:id="1306617816">
                          <w:marLeft w:val="0"/>
                          <w:marRight w:val="0"/>
                          <w:marTop w:val="0"/>
                          <w:marBottom w:val="0"/>
                          <w:divBdr>
                            <w:top w:val="single" w:sz="6" w:space="0" w:color="828282"/>
                            <w:left w:val="single" w:sz="6" w:space="0" w:color="828282"/>
                            <w:bottom w:val="single" w:sz="6" w:space="0" w:color="828282"/>
                            <w:right w:val="single" w:sz="6" w:space="0" w:color="828282"/>
                          </w:divBdr>
                          <w:divsChild>
                            <w:div w:id="1217936050">
                              <w:marLeft w:val="0"/>
                              <w:marRight w:val="0"/>
                              <w:marTop w:val="0"/>
                              <w:marBottom w:val="0"/>
                              <w:divBdr>
                                <w:top w:val="none" w:sz="0" w:space="0" w:color="auto"/>
                                <w:left w:val="none" w:sz="0" w:space="0" w:color="auto"/>
                                <w:bottom w:val="none" w:sz="0" w:space="0" w:color="auto"/>
                                <w:right w:val="none" w:sz="0" w:space="0" w:color="auto"/>
                              </w:divBdr>
                              <w:divsChild>
                                <w:div w:id="922027040">
                                  <w:marLeft w:val="0"/>
                                  <w:marRight w:val="0"/>
                                  <w:marTop w:val="0"/>
                                  <w:marBottom w:val="0"/>
                                  <w:divBdr>
                                    <w:top w:val="none" w:sz="0" w:space="0" w:color="auto"/>
                                    <w:left w:val="none" w:sz="0" w:space="0" w:color="auto"/>
                                    <w:bottom w:val="none" w:sz="0" w:space="0" w:color="auto"/>
                                    <w:right w:val="none" w:sz="0" w:space="0" w:color="auto"/>
                                  </w:divBdr>
                                  <w:divsChild>
                                    <w:div w:id="728917484">
                                      <w:marLeft w:val="0"/>
                                      <w:marRight w:val="0"/>
                                      <w:marTop w:val="0"/>
                                      <w:marBottom w:val="0"/>
                                      <w:divBdr>
                                        <w:top w:val="none" w:sz="0" w:space="0" w:color="auto"/>
                                        <w:left w:val="none" w:sz="0" w:space="0" w:color="auto"/>
                                        <w:bottom w:val="none" w:sz="0" w:space="0" w:color="auto"/>
                                        <w:right w:val="none" w:sz="0" w:space="0" w:color="auto"/>
                                      </w:divBdr>
                                      <w:divsChild>
                                        <w:div w:id="1456753690">
                                          <w:marLeft w:val="0"/>
                                          <w:marRight w:val="0"/>
                                          <w:marTop w:val="0"/>
                                          <w:marBottom w:val="0"/>
                                          <w:divBdr>
                                            <w:top w:val="none" w:sz="0" w:space="0" w:color="auto"/>
                                            <w:left w:val="none" w:sz="0" w:space="0" w:color="auto"/>
                                            <w:bottom w:val="none" w:sz="0" w:space="0" w:color="auto"/>
                                            <w:right w:val="none" w:sz="0" w:space="0" w:color="auto"/>
                                          </w:divBdr>
                                          <w:divsChild>
                                            <w:div w:id="1805349341">
                                              <w:marLeft w:val="0"/>
                                              <w:marRight w:val="0"/>
                                              <w:marTop w:val="0"/>
                                              <w:marBottom w:val="0"/>
                                              <w:divBdr>
                                                <w:top w:val="none" w:sz="0" w:space="0" w:color="auto"/>
                                                <w:left w:val="none" w:sz="0" w:space="0" w:color="auto"/>
                                                <w:bottom w:val="none" w:sz="0" w:space="0" w:color="auto"/>
                                                <w:right w:val="none" w:sz="0" w:space="0" w:color="auto"/>
                                              </w:divBdr>
                                              <w:divsChild>
                                                <w:div w:id="1836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289428">
      <w:bodyDiv w:val="1"/>
      <w:marLeft w:val="0"/>
      <w:marRight w:val="0"/>
      <w:marTop w:val="0"/>
      <w:marBottom w:val="0"/>
      <w:divBdr>
        <w:top w:val="none" w:sz="0" w:space="0" w:color="auto"/>
        <w:left w:val="none" w:sz="0" w:space="0" w:color="auto"/>
        <w:bottom w:val="none" w:sz="0" w:space="0" w:color="auto"/>
        <w:right w:val="none" w:sz="0" w:space="0" w:color="auto"/>
      </w:divBdr>
      <w:divsChild>
        <w:div w:id="639312994">
          <w:marLeft w:val="0"/>
          <w:marRight w:val="0"/>
          <w:marTop w:val="0"/>
          <w:marBottom w:val="0"/>
          <w:divBdr>
            <w:top w:val="none" w:sz="0" w:space="0" w:color="auto"/>
            <w:left w:val="none" w:sz="0" w:space="0" w:color="auto"/>
            <w:bottom w:val="none" w:sz="0" w:space="0" w:color="auto"/>
            <w:right w:val="none" w:sz="0" w:space="0" w:color="auto"/>
          </w:divBdr>
          <w:divsChild>
            <w:div w:id="903948312">
              <w:marLeft w:val="0"/>
              <w:marRight w:val="0"/>
              <w:marTop w:val="0"/>
              <w:marBottom w:val="0"/>
              <w:divBdr>
                <w:top w:val="none" w:sz="0" w:space="0" w:color="auto"/>
                <w:left w:val="none" w:sz="0" w:space="0" w:color="auto"/>
                <w:bottom w:val="none" w:sz="0" w:space="0" w:color="auto"/>
                <w:right w:val="none" w:sz="0" w:space="0" w:color="auto"/>
              </w:divBdr>
              <w:divsChild>
                <w:div w:id="456803724">
                  <w:marLeft w:val="0"/>
                  <w:marRight w:val="0"/>
                  <w:marTop w:val="0"/>
                  <w:marBottom w:val="0"/>
                  <w:divBdr>
                    <w:top w:val="none" w:sz="0" w:space="0" w:color="auto"/>
                    <w:left w:val="none" w:sz="0" w:space="0" w:color="auto"/>
                    <w:bottom w:val="none" w:sz="0" w:space="0" w:color="auto"/>
                    <w:right w:val="none" w:sz="0" w:space="0" w:color="auto"/>
                  </w:divBdr>
                  <w:divsChild>
                    <w:div w:id="1097942128">
                      <w:marLeft w:val="0"/>
                      <w:marRight w:val="0"/>
                      <w:marTop w:val="0"/>
                      <w:marBottom w:val="0"/>
                      <w:divBdr>
                        <w:top w:val="none" w:sz="0" w:space="0" w:color="auto"/>
                        <w:left w:val="none" w:sz="0" w:space="0" w:color="auto"/>
                        <w:bottom w:val="none" w:sz="0" w:space="0" w:color="auto"/>
                        <w:right w:val="none" w:sz="0" w:space="0" w:color="auto"/>
                      </w:divBdr>
                      <w:divsChild>
                        <w:div w:id="487594131">
                          <w:marLeft w:val="0"/>
                          <w:marRight w:val="0"/>
                          <w:marTop w:val="0"/>
                          <w:marBottom w:val="0"/>
                          <w:divBdr>
                            <w:top w:val="single" w:sz="6" w:space="0" w:color="828282"/>
                            <w:left w:val="single" w:sz="6" w:space="0" w:color="828282"/>
                            <w:bottom w:val="single" w:sz="6" w:space="0" w:color="828282"/>
                            <w:right w:val="single" w:sz="6" w:space="0" w:color="828282"/>
                          </w:divBdr>
                          <w:divsChild>
                            <w:div w:id="2068069094">
                              <w:marLeft w:val="0"/>
                              <w:marRight w:val="0"/>
                              <w:marTop w:val="0"/>
                              <w:marBottom w:val="0"/>
                              <w:divBdr>
                                <w:top w:val="none" w:sz="0" w:space="0" w:color="auto"/>
                                <w:left w:val="none" w:sz="0" w:space="0" w:color="auto"/>
                                <w:bottom w:val="none" w:sz="0" w:space="0" w:color="auto"/>
                                <w:right w:val="none" w:sz="0" w:space="0" w:color="auto"/>
                              </w:divBdr>
                              <w:divsChild>
                                <w:div w:id="659233660">
                                  <w:marLeft w:val="0"/>
                                  <w:marRight w:val="0"/>
                                  <w:marTop w:val="0"/>
                                  <w:marBottom w:val="0"/>
                                  <w:divBdr>
                                    <w:top w:val="none" w:sz="0" w:space="0" w:color="auto"/>
                                    <w:left w:val="none" w:sz="0" w:space="0" w:color="auto"/>
                                    <w:bottom w:val="none" w:sz="0" w:space="0" w:color="auto"/>
                                    <w:right w:val="none" w:sz="0" w:space="0" w:color="auto"/>
                                  </w:divBdr>
                                  <w:divsChild>
                                    <w:div w:id="174655803">
                                      <w:marLeft w:val="0"/>
                                      <w:marRight w:val="0"/>
                                      <w:marTop w:val="0"/>
                                      <w:marBottom w:val="0"/>
                                      <w:divBdr>
                                        <w:top w:val="none" w:sz="0" w:space="0" w:color="auto"/>
                                        <w:left w:val="none" w:sz="0" w:space="0" w:color="auto"/>
                                        <w:bottom w:val="none" w:sz="0" w:space="0" w:color="auto"/>
                                        <w:right w:val="none" w:sz="0" w:space="0" w:color="auto"/>
                                      </w:divBdr>
                                      <w:divsChild>
                                        <w:div w:id="982350557">
                                          <w:marLeft w:val="0"/>
                                          <w:marRight w:val="0"/>
                                          <w:marTop w:val="0"/>
                                          <w:marBottom w:val="0"/>
                                          <w:divBdr>
                                            <w:top w:val="none" w:sz="0" w:space="0" w:color="auto"/>
                                            <w:left w:val="none" w:sz="0" w:space="0" w:color="auto"/>
                                            <w:bottom w:val="none" w:sz="0" w:space="0" w:color="auto"/>
                                            <w:right w:val="none" w:sz="0" w:space="0" w:color="auto"/>
                                          </w:divBdr>
                                          <w:divsChild>
                                            <w:div w:id="241528724">
                                              <w:marLeft w:val="0"/>
                                              <w:marRight w:val="0"/>
                                              <w:marTop w:val="0"/>
                                              <w:marBottom w:val="0"/>
                                              <w:divBdr>
                                                <w:top w:val="none" w:sz="0" w:space="0" w:color="auto"/>
                                                <w:left w:val="none" w:sz="0" w:space="0" w:color="auto"/>
                                                <w:bottom w:val="none" w:sz="0" w:space="0" w:color="auto"/>
                                                <w:right w:val="none" w:sz="0" w:space="0" w:color="auto"/>
                                              </w:divBdr>
                                              <w:divsChild>
                                                <w:div w:id="1160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2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g.gov.au/coag_meeting_outcomes/2011-08-19/" TargetMode="External"/><Relationship Id="rId13" Type="http://schemas.openxmlformats.org/officeDocument/2006/relationships/hyperlink" Target="http://www.ntc.gov.au/viewpage.aspx?documentid=19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4069-9971-46A6-AF06-6D8D6600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vt:lpstr>
    </vt:vector>
  </TitlesOfParts>
  <Company>DEPT PRIME MINISTER AND CABINET</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GMartin</dc:creator>
  <cp:lastModifiedBy>batts</cp:lastModifiedBy>
  <cp:revision>2</cp:revision>
  <cp:lastPrinted>2012-06-12T23:40:00Z</cp:lastPrinted>
  <dcterms:created xsi:type="dcterms:W3CDTF">2012-06-26T08:16:00Z</dcterms:created>
  <dcterms:modified xsi:type="dcterms:W3CDTF">2012-06-26T08:16:00Z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