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89" w:rsidRDefault="00000789" w:rsidP="0029684A">
      <w:pPr>
        <w:pStyle w:val="Baseparagraphcentred"/>
      </w:pPr>
      <w:r>
        <w:t>2010</w:t>
      </w:r>
      <w:r w:rsidR="00214D95">
        <w:noBreakHyphen/>
      </w:r>
      <w:r>
        <w:t>2011</w:t>
      </w:r>
      <w:r w:rsidR="00214D95">
        <w:noBreakHyphen/>
      </w:r>
      <w:r>
        <w:t>2012</w:t>
      </w:r>
      <w:r w:rsidR="00214D95">
        <w:noBreakHyphen/>
      </w:r>
      <w:r w:rsidR="009F401C">
        <w:t>2013</w:t>
      </w:r>
    </w:p>
    <w:p w:rsidR="00000789" w:rsidRDefault="00000789" w:rsidP="0029684A">
      <w:pPr>
        <w:pStyle w:val="Baseparagraphcentred"/>
      </w:pPr>
    </w:p>
    <w:p w:rsidR="00000789" w:rsidRDefault="00000789" w:rsidP="0029684A">
      <w:pPr>
        <w:pStyle w:val="Baseparagraphcentred"/>
      </w:pPr>
      <w:r>
        <w:t>THE PARLIAMENT OF THE COMMONWEALTH OF AUSTRALIA</w:t>
      </w:r>
    </w:p>
    <w:p w:rsidR="00000789" w:rsidRDefault="00000789" w:rsidP="0029684A">
      <w:pPr>
        <w:pStyle w:val="Baseparagraphcentred"/>
      </w:pPr>
    </w:p>
    <w:p w:rsidR="00000789" w:rsidRDefault="00000789" w:rsidP="0029684A">
      <w:pPr>
        <w:pStyle w:val="Baseparagraphcentred"/>
      </w:pPr>
    </w:p>
    <w:p w:rsidR="00000789" w:rsidRDefault="00000789" w:rsidP="0029684A">
      <w:pPr>
        <w:pStyle w:val="Baseparagraphcentred"/>
      </w:pPr>
    </w:p>
    <w:p w:rsidR="00000789" w:rsidRDefault="00000789" w:rsidP="0029684A">
      <w:pPr>
        <w:pStyle w:val="Baseparagraphcentred"/>
      </w:pPr>
      <w:r>
        <w:t>HOUSE OF REPRESENTATIVES</w:t>
      </w:r>
    </w:p>
    <w:p w:rsidR="00000789" w:rsidRDefault="00000789" w:rsidP="0029684A">
      <w:pPr>
        <w:pStyle w:val="Baseparagraphcentred"/>
      </w:pPr>
    </w:p>
    <w:p w:rsidR="00000789" w:rsidRDefault="00000789" w:rsidP="0029684A">
      <w:pPr>
        <w:pStyle w:val="Baseparagraphcentred"/>
      </w:pPr>
    </w:p>
    <w:p w:rsidR="00000789" w:rsidRDefault="00000789" w:rsidP="0029684A">
      <w:pPr>
        <w:pStyle w:val="Baseparagraphcentred"/>
      </w:pPr>
    </w:p>
    <w:p w:rsidR="00000789" w:rsidRDefault="00E011DF" w:rsidP="0029684A">
      <w:pPr>
        <w:pStyle w:val="BillName"/>
      </w:pPr>
      <w:r>
        <w:t xml:space="preserve">Insurance Contracts Amendment Bill </w:t>
      </w:r>
      <w:r w:rsidR="00202751">
        <w:t>2013</w:t>
      </w:r>
    </w:p>
    <w:p w:rsidR="00000789" w:rsidRDefault="00000789" w:rsidP="0029684A">
      <w:pPr>
        <w:pStyle w:val="Baseparagraphcentred"/>
      </w:pPr>
    </w:p>
    <w:p w:rsidR="00000789" w:rsidRDefault="00000789" w:rsidP="0029684A">
      <w:pPr>
        <w:pStyle w:val="Baseparagraphcentred"/>
      </w:pPr>
    </w:p>
    <w:p w:rsidR="00000789" w:rsidRDefault="00000789" w:rsidP="0029684A">
      <w:pPr>
        <w:pStyle w:val="Baseparagraphcentred"/>
      </w:pPr>
    </w:p>
    <w:p w:rsidR="00000789" w:rsidRDefault="00000789" w:rsidP="0029684A">
      <w:pPr>
        <w:pStyle w:val="Baseparagraphcentred"/>
      </w:pPr>
    </w:p>
    <w:p w:rsidR="00000789" w:rsidRDefault="00000789" w:rsidP="0029684A">
      <w:pPr>
        <w:pStyle w:val="Baseparagraphcentred"/>
      </w:pPr>
      <w:r>
        <w:t>EXPLANATORY MEMORANDUM</w:t>
      </w:r>
    </w:p>
    <w:p w:rsidR="00000789" w:rsidRDefault="00000789" w:rsidP="0029684A">
      <w:pPr>
        <w:pStyle w:val="Baseparagraphcentred"/>
      </w:pPr>
    </w:p>
    <w:p w:rsidR="00000789" w:rsidRDefault="00000789" w:rsidP="0029684A">
      <w:pPr>
        <w:pStyle w:val="Baseparagraphcentred"/>
      </w:pPr>
    </w:p>
    <w:p w:rsidR="00000789" w:rsidRDefault="00000789" w:rsidP="0029684A">
      <w:pPr>
        <w:pStyle w:val="Baseparagraphcentred"/>
      </w:pPr>
    </w:p>
    <w:p w:rsidR="00000789" w:rsidRDefault="00000789" w:rsidP="0029684A">
      <w:pPr>
        <w:pStyle w:val="Baseparagraphcentred"/>
      </w:pPr>
    </w:p>
    <w:p w:rsidR="00000789" w:rsidRDefault="00000789" w:rsidP="0029684A">
      <w:pPr>
        <w:pStyle w:val="Baseparagraphcentred"/>
      </w:pPr>
      <w:r>
        <w:t>(Circulated by the authority of the</w:t>
      </w:r>
      <w:r>
        <w:br/>
      </w:r>
      <w:r w:rsidR="00E84A25">
        <w:t>Minister for Financial Services and Superannuation</w:t>
      </w:r>
      <w:r>
        <w:t xml:space="preserve">, the Hon </w:t>
      </w:r>
      <w:r w:rsidR="00E84A25">
        <w:t>William Shorten</w:t>
      </w:r>
      <w:r>
        <w:t xml:space="preserve"> MP)</w:t>
      </w:r>
    </w:p>
    <w:p w:rsidR="00000789" w:rsidRDefault="00000789" w:rsidP="0029684A"/>
    <w:p w:rsidR="00000789" w:rsidRDefault="00000789" w:rsidP="0029684A">
      <w:pPr>
        <w:sectPr w:rsidR="00000789" w:rsidSect="009F4BFE">
          <w:headerReference w:type="even" r:id="rId12"/>
          <w:headerReference w:type="default" r:id="rId13"/>
          <w:footerReference w:type="even" r:id="rId14"/>
          <w:footerReference w:type="default" r:id="rId15"/>
          <w:type w:val="oddPage"/>
          <w:pgSz w:w="11906" w:h="16838" w:code="9"/>
          <w:pgMar w:top="2466" w:right="2098" w:bottom="2466" w:left="2098" w:header="1559" w:footer="1899" w:gutter="0"/>
          <w:cols w:space="708"/>
          <w:titlePg/>
          <w:docGrid w:linePitch="360"/>
        </w:sectPr>
      </w:pPr>
    </w:p>
    <w:p w:rsidR="00000789" w:rsidRPr="003E0794" w:rsidRDefault="00000789" w:rsidP="0029684A">
      <w:pPr>
        <w:pStyle w:val="TOCHeading"/>
      </w:pPr>
      <w:r w:rsidRPr="003E0794">
        <w:lastRenderedPageBreak/>
        <w:t>Table of contents</w:t>
      </w:r>
    </w:p>
    <w:p w:rsidR="00F73120" w:rsidRDefault="00000789">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F73120">
        <w:t>Glossary</w:t>
      </w:r>
      <w:r w:rsidR="00F73120">
        <w:tab/>
      </w:r>
      <w:r w:rsidR="00F73120">
        <w:fldChar w:fldCharType="begin"/>
      </w:r>
      <w:r w:rsidR="00F73120">
        <w:instrText xml:space="preserve"> PAGEREF _Toc350865712 \h </w:instrText>
      </w:r>
      <w:r w:rsidR="00F73120">
        <w:fldChar w:fldCharType="separate"/>
      </w:r>
      <w:r w:rsidR="00F73120">
        <w:t>1</w:t>
      </w:r>
      <w:r w:rsidR="00F73120">
        <w:fldChar w:fldCharType="end"/>
      </w:r>
    </w:p>
    <w:p w:rsidR="00F73120" w:rsidRDefault="00F73120">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_Toc350865713 \h </w:instrText>
      </w:r>
      <w:r>
        <w:fldChar w:fldCharType="separate"/>
      </w:r>
      <w:r>
        <w:t>3</w:t>
      </w:r>
      <w:r>
        <w:fldChar w:fldCharType="end"/>
      </w:r>
    </w:p>
    <w:p w:rsidR="00F73120" w:rsidRDefault="00F73120">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Schedules to the Bill</w:t>
      </w:r>
      <w:r>
        <w:rPr>
          <w:noProof/>
        </w:rPr>
        <w:tab/>
      </w:r>
      <w:r>
        <w:rPr>
          <w:noProof/>
        </w:rPr>
        <w:fldChar w:fldCharType="begin"/>
      </w:r>
      <w:r>
        <w:rPr>
          <w:noProof/>
        </w:rPr>
        <w:instrText xml:space="preserve"> PAGEREF _Toc350865714 \h </w:instrText>
      </w:r>
      <w:r>
        <w:rPr>
          <w:noProof/>
        </w:rPr>
      </w:r>
      <w:r>
        <w:rPr>
          <w:noProof/>
        </w:rPr>
        <w:fldChar w:fldCharType="separate"/>
      </w:r>
      <w:r>
        <w:rPr>
          <w:noProof/>
        </w:rPr>
        <w:t>11</w:t>
      </w:r>
      <w:r>
        <w:rPr>
          <w:noProof/>
        </w:rPr>
        <w:fldChar w:fldCharType="end"/>
      </w:r>
    </w:p>
    <w:p w:rsidR="00F73120" w:rsidRDefault="00F73120">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Regulation impact statement</w:t>
      </w:r>
      <w:r>
        <w:rPr>
          <w:noProof/>
        </w:rPr>
        <w:tab/>
      </w:r>
      <w:r>
        <w:rPr>
          <w:noProof/>
        </w:rPr>
        <w:fldChar w:fldCharType="begin"/>
      </w:r>
      <w:r>
        <w:rPr>
          <w:noProof/>
        </w:rPr>
        <w:instrText xml:space="preserve"> PAGEREF _Toc350865715 \h </w:instrText>
      </w:r>
      <w:r>
        <w:rPr>
          <w:noProof/>
        </w:rPr>
      </w:r>
      <w:r>
        <w:rPr>
          <w:noProof/>
        </w:rPr>
        <w:fldChar w:fldCharType="separate"/>
      </w:r>
      <w:r>
        <w:rPr>
          <w:noProof/>
        </w:rPr>
        <w:t>53</w:t>
      </w:r>
      <w:r>
        <w:rPr>
          <w:noProof/>
        </w:rPr>
        <w:fldChar w:fldCharType="end"/>
      </w:r>
    </w:p>
    <w:p w:rsidR="00F73120" w:rsidRDefault="00F73120">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Statement of Compatibility with Human Rights</w:t>
      </w:r>
      <w:r>
        <w:rPr>
          <w:noProof/>
        </w:rPr>
        <w:tab/>
      </w:r>
      <w:r>
        <w:rPr>
          <w:noProof/>
        </w:rPr>
        <w:fldChar w:fldCharType="begin"/>
      </w:r>
      <w:r>
        <w:rPr>
          <w:noProof/>
        </w:rPr>
        <w:instrText xml:space="preserve"> PAGEREF _Toc350865716 \h </w:instrText>
      </w:r>
      <w:r>
        <w:rPr>
          <w:noProof/>
        </w:rPr>
      </w:r>
      <w:r>
        <w:rPr>
          <w:noProof/>
        </w:rPr>
        <w:fldChar w:fldCharType="separate"/>
      </w:r>
      <w:r>
        <w:rPr>
          <w:noProof/>
        </w:rPr>
        <w:t>103</w:t>
      </w:r>
      <w:r>
        <w:rPr>
          <w:noProof/>
        </w:rPr>
        <w:fldChar w:fldCharType="end"/>
      </w:r>
    </w:p>
    <w:p w:rsidR="00F73120" w:rsidRDefault="00F73120">
      <w:pPr>
        <w:pStyle w:val="TOC2"/>
        <w:rPr>
          <w:rFonts w:asciiTheme="minorHAnsi" w:eastAsiaTheme="minorEastAsia" w:hAnsiTheme="minorHAnsi" w:cstheme="minorBidi"/>
          <w:sz w:val="22"/>
          <w:szCs w:val="22"/>
        </w:rPr>
      </w:pPr>
      <w:r>
        <w:t>Index</w:t>
      </w:r>
      <w:r>
        <w:tab/>
      </w:r>
      <w:r>
        <w:fldChar w:fldCharType="begin"/>
      </w:r>
      <w:r>
        <w:instrText xml:space="preserve"> PAGEREF _Toc350865717 \h </w:instrText>
      </w:r>
      <w:r>
        <w:fldChar w:fldCharType="separate"/>
      </w:r>
      <w:r>
        <w:t>105</w:t>
      </w:r>
      <w:r>
        <w:fldChar w:fldCharType="end"/>
      </w:r>
    </w:p>
    <w:p w:rsidR="00000789" w:rsidRPr="00834101" w:rsidRDefault="00000789" w:rsidP="00035750">
      <w:pPr>
        <w:pStyle w:val="base-text-paragraphnonumbers"/>
        <w:ind w:left="0"/>
        <w:rPr>
          <w:vanish/>
        </w:rPr>
      </w:pPr>
      <w:r>
        <w:rPr>
          <w:b/>
          <w:bCs/>
          <w:noProof/>
          <w:lang w:val="en-US"/>
        </w:rPr>
        <w:fldChar w:fldCharType="end"/>
      </w:r>
      <w:r w:rsidRPr="00834101">
        <w:rPr>
          <w:vanish/>
        </w:rPr>
        <w:t>Do not remove section break.</w:t>
      </w:r>
    </w:p>
    <w:p w:rsidR="00000789" w:rsidRDefault="00000789" w:rsidP="0029684A">
      <w:pPr>
        <w:pStyle w:val="base-text-paragraphnonumbers"/>
        <w:sectPr w:rsidR="00000789" w:rsidSect="009F4BFE">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2466" w:right="2098" w:bottom="2466" w:left="2098" w:header="1559" w:footer="1899" w:gutter="0"/>
          <w:cols w:space="708"/>
          <w:titlePg/>
          <w:docGrid w:linePitch="360"/>
        </w:sectPr>
      </w:pPr>
    </w:p>
    <w:p w:rsidR="00000789" w:rsidRPr="00D67ADC" w:rsidRDefault="00000789" w:rsidP="00035750">
      <w:pPr>
        <w:pStyle w:val="Chapterheadingsubdocument"/>
      </w:pPr>
      <w:bookmarkStart w:id="0" w:name="_Toc350865712"/>
      <w:r w:rsidRPr="00D67ADC">
        <w:lastRenderedPageBreak/>
        <w:t>Glossary</w:t>
      </w:r>
      <w:bookmarkEnd w:id="0"/>
    </w:p>
    <w:p w:rsidR="00000789" w:rsidRDefault="00000789" w:rsidP="0029684A">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2D6088" w:rsidRPr="00123D96" w:rsidTr="0029684A">
        <w:tc>
          <w:tcPr>
            <w:tcW w:w="2721" w:type="dxa"/>
          </w:tcPr>
          <w:p w:rsidR="002D6088" w:rsidRPr="00123D96" w:rsidRDefault="002D6088" w:rsidP="0029684A">
            <w:pPr>
              <w:pStyle w:val="tableheaderwithintable"/>
            </w:pPr>
            <w:r w:rsidRPr="00DF0FC7">
              <w:t>Abbreviation</w:t>
            </w:r>
          </w:p>
        </w:tc>
        <w:tc>
          <w:tcPr>
            <w:tcW w:w="3885" w:type="dxa"/>
          </w:tcPr>
          <w:p w:rsidR="002D6088" w:rsidRPr="00123D96" w:rsidRDefault="002D6088" w:rsidP="0029684A">
            <w:pPr>
              <w:pStyle w:val="tableheaderwithintable"/>
            </w:pPr>
            <w:r w:rsidRPr="00DF0FC7">
              <w:t>Definition</w:t>
            </w:r>
          </w:p>
        </w:tc>
      </w:tr>
      <w:tr w:rsidR="002D6088" w:rsidRPr="002C43E8" w:rsidTr="0029684A">
        <w:tc>
          <w:tcPr>
            <w:tcW w:w="2721" w:type="dxa"/>
          </w:tcPr>
          <w:p w:rsidR="002D6088" w:rsidRPr="002C43E8" w:rsidRDefault="002D6088" w:rsidP="0029684A">
            <w:pPr>
              <w:pStyle w:val="Glossarytabletext"/>
              <w:rPr>
                <w:lang w:val="en-US" w:eastAsia="en-US"/>
              </w:rPr>
            </w:pPr>
            <w:r w:rsidRPr="00DF0FC7">
              <w:t>AIA</w:t>
            </w:r>
          </w:p>
        </w:tc>
        <w:tc>
          <w:tcPr>
            <w:tcW w:w="3885" w:type="dxa"/>
          </w:tcPr>
          <w:p w:rsidR="002D6088" w:rsidRPr="00F92931" w:rsidRDefault="002D6088" w:rsidP="0029684A">
            <w:pPr>
              <w:pStyle w:val="Glossarytabletext"/>
              <w:rPr>
                <w:i/>
                <w:lang w:val="en-US" w:eastAsia="en-US"/>
              </w:rPr>
            </w:pPr>
            <w:r w:rsidRPr="00F92931">
              <w:rPr>
                <w:i/>
              </w:rPr>
              <w:t>Acts Interpretation Act 1901</w:t>
            </w:r>
          </w:p>
        </w:tc>
      </w:tr>
      <w:tr w:rsidR="002D6088" w:rsidRPr="002C43E8" w:rsidTr="0029684A">
        <w:tc>
          <w:tcPr>
            <w:tcW w:w="2721" w:type="dxa"/>
          </w:tcPr>
          <w:p w:rsidR="002D6088" w:rsidRPr="002C43E8" w:rsidRDefault="002D6088" w:rsidP="0029684A">
            <w:pPr>
              <w:pStyle w:val="Glossarytabletext"/>
              <w:rPr>
                <w:lang w:val="en-US" w:eastAsia="en-US"/>
              </w:rPr>
            </w:pPr>
            <w:r w:rsidRPr="00DF0FC7">
              <w:t>AFSL</w:t>
            </w:r>
          </w:p>
        </w:tc>
        <w:tc>
          <w:tcPr>
            <w:tcW w:w="3885" w:type="dxa"/>
          </w:tcPr>
          <w:p w:rsidR="002D6088" w:rsidRPr="002C43E8" w:rsidRDefault="002D6088" w:rsidP="0029684A">
            <w:pPr>
              <w:pStyle w:val="Glossarytabletext"/>
              <w:rPr>
                <w:lang w:val="en-US" w:eastAsia="en-US"/>
              </w:rPr>
            </w:pPr>
            <w:r w:rsidRPr="00DF0FC7">
              <w:t xml:space="preserve">Australian Financial Services License </w:t>
            </w:r>
          </w:p>
        </w:tc>
      </w:tr>
      <w:tr w:rsidR="002D6088" w:rsidRPr="002C43E8" w:rsidTr="0029684A">
        <w:tc>
          <w:tcPr>
            <w:tcW w:w="2721" w:type="dxa"/>
          </w:tcPr>
          <w:p w:rsidR="002D6088" w:rsidRPr="002C43E8" w:rsidRDefault="002D6088" w:rsidP="0029684A">
            <w:pPr>
              <w:pStyle w:val="Glossarytabletext"/>
              <w:rPr>
                <w:lang w:val="en-US" w:eastAsia="en-US"/>
              </w:rPr>
            </w:pPr>
            <w:r w:rsidRPr="00DF0FC7">
              <w:t>ASIC</w:t>
            </w:r>
          </w:p>
        </w:tc>
        <w:tc>
          <w:tcPr>
            <w:tcW w:w="3885" w:type="dxa"/>
          </w:tcPr>
          <w:p w:rsidR="002D6088" w:rsidRPr="002C43E8" w:rsidRDefault="002D6088" w:rsidP="0029684A">
            <w:pPr>
              <w:pStyle w:val="Glossarytabletext"/>
              <w:rPr>
                <w:lang w:val="en-US" w:eastAsia="en-US"/>
              </w:rPr>
            </w:pPr>
            <w:r w:rsidRPr="00DF0FC7">
              <w:t>Australian Securities and Investments Commission</w:t>
            </w:r>
          </w:p>
        </w:tc>
      </w:tr>
      <w:tr w:rsidR="002D6088" w:rsidRPr="002C43E8" w:rsidTr="0029684A">
        <w:tc>
          <w:tcPr>
            <w:tcW w:w="2721" w:type="dxa"/>
          </w:tcPr>
          <w:p w:rsidR="002D6088" w:rsidRPr="002C43E8" w:rsidRDefault="002D6088" w:rsidP="0029684A">
            <w:pPr>
              <w:pStyle w:val="Glossarytabletext"/>
              <w:rPr>
                <w:lang w:val="en-US" w:eastAsia="en-US"/>
              </w:rPr>
            </w:pPr>
            <w:r w:rsidRPr="00DF0FC7">
              <w:t>Corporations Act</w:t>
            </w:r>
          </w:p>
        </w:tc>
        <w:tc>
          <w:tcPr>
            <w:tcW w:w="3885" w:type="dxa"/>
          </w:tcPr>
          <w:p w:rsidR="002D6088" w:rsidRPr="00F92931" w:rsidRDefault="002D6088" w:rsidP="0029684A">
            <w:pPr>
              <w:pStyle w:val="Glossarytabletext"/>
              <w:rPr>
                <w:i/>
                <w:lang w:val="en-US" w:eastAsia="en-US"/>
              </w:rPr>
            </w:pPr>
            <w:r w:rsidRPr="00F92931">
              <w:rPr>
                <w:i/>
              </w:rPr>
              <w:t xml:space="preserve">Corporations Act 2001 </w:t>
            </w:r>
          </w:p>
        </w:tc>
      </w:tr>
      <w:tr w:rsidR="002D6088" w:rsidRPr="002C43E8" w:rsidTr="0029684A">
        <w:tc>
          <w:tcPr>
            <w:tcW w:w="2721" w:type="dxa"/>
          </w:tcPr>
          <w:p w:rsidR="002D6088" w:rsidRPr="002C43E8" w:rsidRDefault="002D6088" w:rsidP="0029684A">
            <w:pPr>
              <w:pStyle w:val="Glossarytabletext"/>
              <w:rPr>
                <w:lang w:val="en-US" w:eastAsia="en-US"/>
              </w:rPr>
            </w:pPr>
            <w:r w:rsidRPr="00DF0FC7">
              <w:t>ETA</w:t>
            </w:r>
          </w:p>
        </w:tc>
        <w:tc>
          <w:tcPr>
            <w:tcW w:w="3885" w:type="dxa"/>
          </w:tcPr>
          <w:p w:rsidR="002D6088" w:rsidRPr="00F92931" w:rsidRDefault="002D6088" w:rsidP="0029684A">
            <w:pPr>
              <w:pStyle w:val="Glossarytabletext"/>
              <w:rPr>
                <w:i/>
                <w:lang w:val="en-US" w:eastAsia="en-US"/>
              </w:rPr>
            </w:pPr>
            <w:r w:rsidRPr="00F92931">
              <w:rPr>
                <w:i/>
              </w:rPr>
              <w:t>Electronic Transactions Act 1999</w:t>
            </w:r>
          </w:p>
        </w:tc>
      </w:tr>
      <w:tr w:rsidR="002D6088" w:rsidRPr="002C43E8" w:rsidTr="0029684A">
        <w:tc>
          <w:tcPr>
            <w:tcW w:w="2721" w:type="dxa"/>
          </w:tcPr>
          <w:p w:rsidR="002D6088" w:rsidRPr="002C43E8" w:rsidRDefault="002D6088" w:rsidP="0029684A">
            <w:pPr>
              <w:pStyle w:val="Glossarytabletext"/>
              <w:rPr>
                <w:lang w:val="en-US" w:eastAsia="en-US"/>
              </w:rPr>
            </w:pPr>
            <w:r w:rsidRPr="00DF0FC7">
              <w:t>ETR</w:t>
            </w:r>
          </w:p>
        </w:tc>
        <w:tc>
          <w:tcPr>
            <w:tcW w:w="3885" w:type="dxa"/>
          </w:tcPr>
          <w:p w:rsidR="002D6088" w:rsidRPr="005F5C06" w:rsidRDefault="002D6088" w:rsidP="0029684A">
            <w:pPr>
              <w:pStyle w:val="Glossarytabletext"/>
              <w:rPr>
                <w:i/>
                <w:lang w:val="en-US" w:eastAsia="en-US"/>
              </w:rPr>
            </w:pPr>
            <w:r w:rsidRPr="005F5C06">
              <w:rPr>
                <w:i/>
              </w:rPr>
              <w:t>Electronic Transaction Regulations 2000</w:t>
            </w:r>
          </w:p>
        </w:tc>
      </w:tr>
      <w:tr w:rsidR="002D6088" w:rsidRPr="002C43E8" w:rsidTr="0029684A">
        <w:tc>
          <w:tcPr>
            <w:tcW w:w="2721" w:type="dxa"/>
          </w:tcPr>
          <w:p w:rsidR="002D6088" w:rsidRPr="002C43E8" w:rsidRDefault="002D6088" w:rsidP="0029684A">
            <w:pPr>
              <w:pStyle w:val="Glossarytabletext"/>
              <w:rPr>
                <w:lang w:val="en-US" w:eastAsia="en-US"/>
              </w:rPr>
            </w:pPr>
            <w:r w:rsidRPr="00DF0FC7">
              <w:t>LIA</w:t>
            </w:r>
          </w:p>
        </w:tc>
        <w:tc>
          <w:tcPr>
            <w:tcW w:w="3885" w:type="dxa"/>
          </w:tcPr>
          <w:p w:rsidR="002D6088" w:rsidRPr="00F92931" w:rsidRDefault="002D6088" w:rsidP="0029684A">
            <w:pPr>
              <w:pStyle w:val="Glossarytabletext"/>
              <w:rPr>
                <w:i/>
                <w:lang w:val="en-US" w:eastAsia="en-US"/>
              </w:rPr>
            </w:pPr>
            <w:r w:rsidRPr="00F92931">
              <w:rPr>
                <w:i/>
              </w:rPr>
              <w:t>Life Insurance Act 1995</w:t>
            </w:r>
          </w:p>
        </w:tc>
      </w:tr>
      <w:tr w:rsidR="002D6088" w:rsidRPr="002C43E8" w:rsidTr="0029684A">
        <w:tc>
          <w:tcPr>
            <w:tcW w:w="2721" w:type="dxa"/>
          </w:tcPr>
          <w:p w:rsidR="002D6088" w:rsidRPr="002C43E8" w:rsidRDefault="002D6088" w:rsidP="0029684A">
            <w:pPr>
              <w:pStyle w:val="Glossarytabletext"/>
              <w:rPr>
                <w:lang w:val="en-US" w:eastAsia="en-US"/>
              </w:rPr>
            </w:pPr>
            <w:r w:rsidRPr="00DF0FC7">
              <w:t>ICA</w:t>
            </w:r>
          </w:p>
        </w:tc>
        <w:tc>
          <w:tcPr>
            <w:tcW w:w="3885" w:type="dxa"/>
          </w:tcPr>
          <w:p w:rsidR="002D6088" w:rsidRPr="00F92931" w:rsidRDefault="002D6088" w:rsidP="0029684A">
            <w:pPr>
              <w:pStyle w:val="Glossarytabletext"/>
              <w:rPr>
                <w:i/>
                <w:lang w:val="en-US" w:eastAsia="en-US"/>
              </w:rPr>
            </w:pPr>
            <w:r w:rsidRPr="00F92931">
              <w:rPr>
                <w:i/>
              </w:rPr>
              <w:t>Insurance Contracts Act 1984</w:t>
            </w:r>
          </w:p>
        </w:tc>
      </w:tr>
      <w:tr w:rsidR="002D6088" w:rsidRPr="002C43E8" w:rsidTr="0029684A">
        <w:tc>
          <w:tcPr>
            <w:tcW w:w="2721" w:type="dxa"/>
          </w:tcPr>
          <w:p w:rsidR="002D6088" w:rsidRPr="002C43E8" w:rsidRDefault="002D6088" w:rsidP="0029684A">
            <w:pPr>
              <w:pStyle w:val="Glossarytabletext"/>
              <w:rPr>
                <w:lang w:val="en-US" w:eastAsia="en-US"/>
              </w:rPr>
            </w:pPr>
            <w:r w:rsidRPr="00DF0FC7">
              <w:t>ICR</w:t>
            </w:r>
          </w:p>
        </w:tc>
        <w:tc>
          <w:tcPr>
            <w:tcW w:w="3885" w:type="dxa"/>
          </w:tcPr>
          <w:p w:rsidR="002D6088" w:rsidRPr="005F5C06" w:rsidRDefault="002D6088" w:rsidP="0029684A">
            <w:pPr>
              <w:pStyle w:val="Glossarytabletext"/>
              <w:rPr>
                <w:i/>
                <w:lang w:val="en-US" w:eastAsia="en-US"/>
              </w:rPr>
            </w:pPr>
            <w:r w:rsidRPr="005F5C06">
              <w:rPr>
                <w:i/>
              </w:rPr>
              <w:t>Insurance Contracts Regulations 1985</w:t>
            </w:r>
          </w:p>
        </w:tc>
      </w:tr>
      <w:tr w:rsidR="00C7300D" w:rsidRPr="002C43E8" w:rsidTr="0029684A">
        <w:tc>
          <w:tcPr>
            <w:tcW w:w="2721" w:type="dxa"/>
          </w:tcPr>
          <w:p w:rsidR="00C7300D" w:rsidRDefault="00C7300D" w:rsidP="00C7300D">
            <w:pPr>
              <w:pStyle w:val="Glossarytabletext"/>
            </w:pPr>
            <w:r>
              <w:t>MI Act</w:t>
            </w:r>
          </w:p>
        </w:tc>
        <w:tc>
          <w:tcPr>
            <w:tcW w:w="3885" w:type="dxa"/>
          </w:tcPr>
          <w:p w:rsidR="00C7300D" w:rsidRDefault="00C7300D" w:rsidP="00C7300D">
            <w:pPr>
              <w:pStyle w:val="Glossarytabletext"/>
            </w:pPr>
            <w:r w:rsidRPr="00C7300D">
              <w:rPr>
                <w:i/>
              </w:rPr>
              <w:t>Marine Insurance Act 1909 (Cth)</w:t>
            </w:r>
            <w:r w:rsidRPr="005C2355">
              <w:t xml:space="preserve"> </w:t>
            </w:r>
          </w:p>
        </w:tc>
      </w:tr>
      <w:tr w:rsidR="002D6088" w:rsidRPr="002C43E8" w:rsidTr="0029684A">
        <w:tc>
          <w:tcPr>
            <w:tcW w:w="2721" w:type="dxa"/>
          </w:tcPr>
          <w:p w:rsidR="002D6088" w:rsidRPr="002C43E8" w:rsidRDefault="002D6088" w:rsidP="0029684A">
            <w:pPr>
              <w:pStyle w:val="Glossarytabletext"/>
              <w:rPr>
                <w:lang w:val="en-US" w:eastAsia="en-US"/>
              </w:rPr>
            </w:pPr>
            <w:r w:rsidRPr="00DF0FC7">
              <w:t>MIA</w:t>
            </w:r>
          </w:p>
        </w:tc>
        <w:tc>
          <w:tcPr>
            <w:tcW w:w="3885" w:type="dxa"/>
          </w:tcPr>
          <w:p w:rsidR="002D6088" w:rsidRPr="00F92931" w:rsidRDefault="002D6088" w:rsidP="0029684A">
            <w:pPr>
              <w:pStyle w:val="Glossarytabletext"/>
              <w:rPr>
                <w:i/>
                <w:lang w:val="en-US" w:eastAsia="en-US"/>
              </w:rPr>
            </w:pPr>
            <w:r w:rsidRPr="00F92931">
              <w:rPr>
                <w:i/>
              </w:rPr>
              <w:t>Medical Indemnity (Prudential Supervisions and Product Standards) Act 2003</w:t>
            </w:r>
          </w:p>
        </w:tc>
      </w:tr>
      <w:tr w:rsidR="002D6088" w:rsidRPr="002C43E8" w:rsidTr="0029684A">
        <w:tc>
          <w:tcPr>
            <w:tcW w:w="2721" w:type="dxa"/>
          </w:tcPr>
          <w:p w:rsidR="002D6088" w:rsidRPr="002C43E8" w:rsidRDefault="002D6088" w:rsidP="0029684A">
            <w:pPr>
              <w:pStyle w:val="Glossarytabletext"/>
              <w:rPr>
                <w:lang w:val="en-US" w:eastAsia="en-US"/>
              </w:rPr>
            </w:pPr>
            <w:r w:rsidRPr="00DF0FC7">
              <w:t>The Bill</w:t>
            </w:r>
          </w:p>
        </w:tc>
        <w:tc>
          <w:tcPr>
            <w:tcW w:w="3885" w:type="dxa"/>
          </w:tcPr>
          <w:p w:rsidR="002D6088" w:rsidRPr="002C43E8" w:rsidRDefault="002D6088" w:rsidP="00051938">
            <w:pPr>
              <w:pStyle w:val="Glossarytabletext"/>
              <w:rPr>
                <w:lang w:val="en-US" w:eastAsia="en-US"/>
              </w:rPr>
            </w:pPr>
            <w:r w:rsidRPr="00DF0FC7">
              <w:t>The Insurance Contracts Amendment Bill</w:t>
            </w:r>
            <w:r w:rsidR="00D56F38">
              <w:t> </w:t>
            </w:r>
            <w:r w:rsidRPr="00DF0FC7">
              <w:t xml:space="preserve">2013 </w:t>
            </w:r>
          </w:p>
        </w:tc>
      </w:tr>
      <w:tr w:rsidR="002D6088" w:rsidRPr="002C43E8" w:rsidTr="0029684A">
        <w:tc>
          <w:tcPr>
            <w:tcW w:w="2721" w:type="dxa"/>
          </w:tcPr>
          <w:p w:rsidR="002D6088" w:rsidRPr="002C43E8" w:rsidRDefault="002D6088" w:rsidP="0029684A">
            <w:pPr>
              <w:pStyle w:val="Glossarytabletext"/>
              <w:rPr>
                <w:lang w:val="en-US" w:eastAsia="en-US"/>
              </w:rPr>
            </w:pPr>
            <w:r w:rsidRPr="00DF0FC7">
              <w:t xml:space="preserve">The 2010 Bill </w:t>
            </w:r>
          </w:p>
        </w:tc>
        <w:tc>
          <w:tcPr>
            <w:tcW w:w="3885" w:type="dxa"/>
          </w:tcPr>
          <w:p w:rsidR="002D6088" w:rsidRPr="002C43E8" w:rsidRDefault="002D6088" w:rsidP="00D56F38">
            <w:pPr>
              <w:pStyle w:val="Glossarytabletext"/>
              <w:rPr>
                <w:lang w:val="en-US" w:eastAsia="en-US"/>
              </w:rPr>
            </w:pPr>
            <w:r w:rsidRPr="00DF0FC7">
              <w:t>The Insurance Contracts Amendment Bill</w:t>
            </w:r>
            <w:r w:rsidR="00D56F38">
              <w:t> </w:t>
            </w:r>
            <w:r w:rsidRPr="00DF0FC7">
              <w:t>2010</w:t>
            </w:r>
          </w:p>
        </w:tc>
      </w:tr>
    </w:tbl>
    <w:p w:rsidR="00000789" w:rsidRDefault="00000789" w:rsidP="0029684A">
      <w:pPr>
        <w:sectPr w:rsidR="00000789" w:rsidSect="009F4BFE">
          <w:headerReference w:type="even" r:id="rId22"/>
          <w:headerReference w:type="default" r:id="rId23"/>
          <w:footerReference w:type="even" r:id="rId24"/>
          <w:footerReference w:type="default" r:id="rId25"/>
          <w:footerReference w:type="first" r:id="rId26"/>
          <w:type w:val="oddPage"/>
          <w:pgSz w:w="11906" w:h="16838" w:code="9"/>
          <w:pgMar w:top="2466" w:right="2098" w:bottom="2466" w:left="2098" w:header="1559" w:footer="1899" w:gutter="0"/>
          <w:pgNumType w:start="1"/>
          <w:cols w:space="708"/>
          <w:titlePg/>
          <w:docGrid w:linePitch="360"/>
        </w:sectPr>
      </w:pPr>
    </w:p>
    <w:p w:rsidR="00000789" w:rsidRPr="00D67ADC" w:rsidRDefault="00000789" w:rsidP="00035750">
      <w:pPr>
        <w:pStyle w:val="Chapterheadingsubdocument"/>
      </w:pPr>
      <w:bookmarkStart w:id="1" w:name="_Toc350865713"/>
      <w:r w:rsidRPr="00D67ADC">
        <w:lastRenderedPageBreak/>
        <w:t>General outline and financial impact</w:t>
      </w:r>
      <w:bookmarkEnd w:id="1"/>
    </w:p>
    <w:p w:rsidR="00000789" w:rsidRDefault="00000789" w:rsidP="00000789">
      <w:pPr>
        <w:pStyle w:val="Heading2"/>
      </w:pPr>
      <w:r>
        <w:t>Outline</w:t>
      </w:r>
    </w:p>
    <w:p w:rsidR="00000789" w:rsidRDefault="00000789" w:rsidP="00734347">
      <w:pPr>
        <w:pStyle w:val="base-text-paragraphnonumbers"/>
      </w:pPr>
      <w:r>
        <w:t>The Insurance Contracts Amendment Bill 2013 (the Bill) re</w:t>
      </w:r>
      <w:r w:rsidR="00214D95">
        <w:noBreakHyphen/>
      </w:r>
      <w:r>
        <w:t>introduces the measures contained in Insurance Contracts Amendment Bill 2010 (the 2010 Bill) with some minor refinements</w:t>
      </w:r>
      <w:r w:rsidR="00214D95">
        <w:t xml:space="preserve">.  </w:t>
      </w:r>
      <w:r w:rsidR="00295AB7">
        <w:t>The re</w:t>
      </w:r>
      <w:r w:rsidR="00214D95">
        <w:noBreakHyphen/>
      </w:r>
      <w:r>
        <w:t xml:space="preserve">introduction of the measures in the 2010 Bill with the minor refinements gives effect to a number of recommendations of a Review Panel appointed to review the </w:t>
      </w:r>
      <w:r w:rsidRPr="00F92931">
        <w:rPr>
          <w:i/>
        </w:rPr>
        <w:t>Insurance Contracts Act 1984</w:t>
      </w:r>
      <w:r w:rsidR="00214D95">
        <w:t xml:space="preserve">.  </w:t>
      </w:r>
      <w:r>
        <w:t>The changes are largely technical in nature and respond to market developments and judicial decisions since its enactment</w:t>
      </w:r>
      <w:r w:rsidR="00214D95">
        <w:t xml:space="preserve">.  </w:t>
      </w:r>
    </w:p>
    <w:p w:rsidR="00000789" w:rsidRDefault="00000789" w:rsidP="00000789">
      <w:pPr>
        <w:pStyle w:val="base-text-paragraphnonumbers"/>
      </w:pPr>
      <w:r>
        <w:t>The Bill will streamline requirements and address anomalies in the regulatory framework for the benefit of insurers and consumers</w:t>
      </w:r>
      <w:r w:rsidR="00214D95">
        <w:t xml:space="preserve">.  </w:t>
      </w:r>
      <w:r>
        <w:t>The measures have been subject to stakeholder consultation</w:t>
      </w:r>
      <w:r w:rsidR="00440547">
        <w:t>,</w:t>
      </w:r>
      <w:r>
        <w:t xml:space="preserve"> and in some </w:t>
      </w:r>
      <w:r w:rsidR="00051938">
        <w:t>areas,</w:t>
      </w:r>
      <w:r>
        <w:t xml:space="preserve"> the Review Panel</w:t>
      </w:r>
      <w:r w:rsidR="00035750">
        <w:t>’</w:t>
      </w:r>
      <w:r>
        <w:t>s recommendations have been modified to take account of issues raised in consultations.</w:t>
      </w:r>
    </w:p>
    <w:p w:rsidR="00000789" w:rsidRDefault="00000789" w:rsidP="00000789">
      <w:pPr>
        <w:pStyle w:val="Heading2"/>
      </w:pPr>
      <w:r>
        <w:t>Major elements</w:t>
      </w:r>
    </w:p>
    <w:p w:rsidR="00000789" w:rsidRDefault="00000789" w:rsidP="00000789">
      <w:pPr>
        <w:pStyle w:val="base-text-paragraphnonumbers"/>
      </w:pPr>
      <w:r>
        <w:t>The following is a brief summary of the measures included in the Bill, outlined under their particular Schedule number.</w:t>
      </w:r>
    </w:p>
    <w:p w:rsidR="00000789" w:rsidRDefault="00000789" w:rsidP="00000789">
      <w:pPr>
        <w:pStyle w:val="Heading3"/>
      </w:pPr>
      <w:r>
        <w:t>Schedule 1 — Scope and application</w:t>
      </w:r>
    </w:p>
    <w:p w:rsidR="00000789" w:rsidRDefault="00000789" w:rsidP="00000789">
      <w:pPr>
        <w:pStyle w:val="base-text-paragraphnonumbers"/>
      </w:pPr>
      <w:r>
        <w:t xml:space="preserve">Schedule 1 to the Bill contains amendments that relate to the scope and application of the </w:t>
      </w:r>
      <w:r w:rsidR="00440547" w:rsidRPr="0003455F">
        <w:rPr>
          <w:i/>
        </w:rPr>
        <w:t>Insurance Contracts Act (1984)</w:t>
      </w:r>
      <w:r w:rsidR="00440547">
        <w:t xml:space="preserve"> (Cth) (ICA)</w:t>
      </w:r>
      <w:r w:rsidR="00214D95">
        <w:t xml:space="preserve">.  </w:t>
      </w:r>
      <w:r>
        <w:t>It amends the ICA so that:</w:t>
      </w:r>
    </w:p>
    <w:p w:rsidR="00000789" w:rsidRDefault="00000789" w:rsidP="00000789">
      <w:pPr>
        <w:pStyle w:val="dotpoint"/>
      </w:pPr>
      <w:r>
        <w:t>failure to comply with the duty of utmost good faith is a breach of the ICA;</w:t>
      </w:r>
    </w:p>
    <w:p w:rsidR="00000789" w:rsidRDefault="00000789" w:rsidP="00000789">
      <w:pPr>
        <w:pStyle w:val="dotpoint"/>
      </w:pPr>
      <w:r>
        <w:t>contracts of insurance that are entered into or proposed to be entered into for the purposes of workers</w:t>
      </w:r>
      <w:r w:rsidR="00035750">
        <w:t>’</w:t>
      </w:r>
      <w:r>
        <w:t xml:space="preserve"> compensation law continue to be exempt under the ICA, notwithstanding that they also include cover against employer liability at common law to pay damages for employment related personal injury; and</w:t>
      </w:r>
    </w:p>
    <w:p w:rsidR="00000789" w:rsidRDefault="00000789" w:rsidP="00000789">
      <w:pPr>
        <w:pStyle w:val="dotpoint"/>
      </w:pPr>
      <w:r>
        <w:t>contracts of insurance that include elements of cover that are exempted from the ICA</w:t>
      </w:r>
      <w:r w:rsidR="00440547">
        <w:t>,</w:t>
      </w:r>
      <w:r>
        <w:t xml:space="preserve"> as well as cover that falls under the </w:t>
      </w:r>
      <w:r>
        <w:lastRenderedPageBreak/>
        <w:t>ICA, are treated as exempt from the Act only in respect of the exempt elements.</w:t>
      </w:r>
    </w:p>
    <w:p w:rsidR="00000789" w:rsidRDefault="00000789" w:rsidP="00000789">
      <w:pPr>
        <w:pStyle w:val="base-text-paragraphnonumbers"/>
      </w:pPr>
      <w:r w:rsidRPr="00000789">
        <w:rPr>
          <w:b/>
          <w:i/>
        </w:rPr>
        <w:t>Date of effect:</w:t>
      </w:r>
      <w:r w:rsidR="00734347">
        <w:t xml:space="preserve"> </w:t>
      </w:r>
      <w:r>
        <w:t>On Royal Assent.</w:t>
      </w:r>
    </w:p>
    <w:p w:rsidR="00000789" w:rsidRDefault="00000789" w:rsidP="00000789">
      <w:pPr>
        <w:pStyle w:val="Heading3"/>
      </w:pPr>
      <w:r>
        <w:t>Schedule 2 — Electronic communication</w:t>
      </w:r>
    </w:p>
    <w:p w:rsidR="00000789" w:rsidRDefault="00000789" w:rsidP="00000789">
      <w:pPr>
        <w:pStyle w:val="base-text-paragraphnonumbers"/>
      </w:pPr>
      <w:r>
        <w:t xml:space="preserve">It is proposed that the regulations under the </w:t>
      </w:r>
      <w:r w:rsidRPr="0003455F">
        <w:rPr>
          <w:i/>
        </w:rPr>
        <w:t>Electronic Transactions Act</w:t>
      </w:r>
      <w:r w:rsidR="00734347">
        <w:rPr>
          <w:i/>
        </w:rPr>
        <w:t> </w:t>
      </w:r>
      <w:r w:rsidRPr="0003455F">
        <w:rPr>
          <w:i/>
        </w:rPr>
        <w:t>1999</w:t>
      </w:r>
      <w:r w:rsidR="00440547">
        <w:t xml:space="preserve"> (Cth)</w:t>
      </w:r>
      <w:r>
        <w:t xml:space="preserve"> (ETA) will be amended so that the ICA will no longer be exempt from that Act</w:t>
      </w:r>
      <w:r w:rsidR="00214D95">
        <w:t xml:space="preserve">.  </w:t>
      </w:r>
      <w:r>
        <w:t>Schedule 2 to the Bill amends the ICA to make technical changes to provisions in the ICA regarding the giving of notices, documents and information, including a note that the ETA will apply to permit electronic communication of notices or documents required to be given in writing.</w:t>
      </w:r>
    </w:p>
    <w:p w:rsidR="00000789" w:rsidRDefault="004D1963" w:rsidP="00000789">
      <w:pPr>
        <w:pStyle w:val="base-text-paragraphnonumbers"/>
      </w:pPr>
      <w:r>
        <w:t xml:space="preserve">Date of effect: </w:t>
      </w:r>
      <w:r w:rsidR="00000789">
        <w:t>Schedule 2 will take effect on a day to be fixed by Proclamation</w:t>
      </w:r>
      <w:r w:rsidR="00214D95">
        <w:t xml:space="preserve">.  </w:t>
      </w:r>
      <w:r w:rsidR="00000789">
        <w:t>This will permit coordination of the commencement with the proposed amendment to the Electronic Transactions Regulations</w:t>
      </w:r>
      <w:r w:rsidR="006503DE">
        <w:t>.</w:t>
      </w:r>
    </w:p>
    <w:p w:rsidR="00000789" w:rsidRDefault="00000789" w:rsidP="00000789">
      <w:pPr>
        <w:pStyle w:val="Heading3"/>
      </w:pPr>
      <w:r>
        <w:t>Schedule 3 — Powers of ASIC</w:t>
      </w:r>
    </w:p>
    <w:p w:rsidR="00000789" w:rsidRDefault="00000789" w:rsidP="00000789">
      <w:pPr>
        <w:pStyle w:val="base-text-paragraphnonumbers"/>
      </w:pPr>
      <w:r>
        <w:t xml:space="preserve">Schedule 3 to the Bill amends the ICA to give the Australian Securities and Investments Commission (ASIC) a statutory right to intervene in any proceeding relating to matters arising under the ICA and under Part 3 of the </w:t>
      </w:r>
      <w:r w:rsidRPr="004D1963">
        <w:rPr>
          <w:i/>
        </w:rPr>
        <w:t>Medical Indemnity (Prudential Supervision and Product Standards) Act 2003</w:t>
      </w:r>
      <w:r w:rsidR="005F5C06">
        <w:rPr>
          <w:i/>
        </w:rPr>
        <w:t xml:space="preserve"> </w:t>
      </w:r>
      <w:r w:rsidR="004D1963">
        <w:t>(MIA)</w:t>
      </w:r>
      <w:r w:rsidR="00214D95">
        <w:t xml:space="preserve">.  </w:t>
      </w:r>
    </w:p>
    <w:p w:rsidR="00000789" w:rsidRDefault="00000789" w:rsidP="00000789">
      <w:pPr>
        <w:pStyle w:val="base-text-paragraphnonumbers"/>
      </w:pPr>
      <w:r w:rsidRPr="00000789">
        <w:rPr>
          <w:b/>
          <w:i/>
        </w:rPr>
        <w:t>Date of effect:</w:t>
      </w:r>
      <w:r>
        <w:t xml:space="preserve"> On Royal Assent.</w:t>
      </w:r>
    </w:p>
    <w:p w:rsidR="00000789" w:rsidRDefault="00000789" w:rsidP="00000789">
      <w:pPr>
        <w:pStyle w:val="Heading3"/>
      </w:pPr>
      <w:r>
        <w:t>Schedule 4 — Disclosure and misrepresentations</w:t>
      </w:r>
    </w:p>
    <w:p w:rsidR="00000789" w:rsidRDefault="00000789" w:rsidP="00000789">
      <w:pPr>
        <w:pStyle w:val="base-text-paragraphnonumbers"/>
      </w:pPr>
      <w:r>
        <w:t>Schedule 4 to the Bill amends the ICA so that:</w:t>
      </w:r>
    </w:p>
    <w:p w:rsidR="00000789" w:rsidRDefault="00000789" w:rsidP="00000789">
      <w:pPr>
        <w:pStyle w:val="dotpoint"/>
      </w:pPr>
      <w:r>
        <w:t>the mixed objective/subjective test in section 21 of the ICA, which is used to determine if an insured has met their duty of disclosure, is clarified;</w:t>
      </w:r>
    </w:p>
    <w:p w:rsidR="00000789" w:rsidRDefault="00000789" w:rsidP="00000789">
      <w:pPr>
        <w:pStyle w:val="dotpoint"/>
      </w:pPr>
      <w:r>
        <w:t>the requirement to ask proposed insureds specific questions under section 21A as a condition of enforcing the insured</w:t>
      </w:r>
      <w:r w:rsidR="00035750">
        <w:t>’</w:t>
      </w:r>
      <w:r>
        <w:t xml:space="preserve">s duty of disclosure will apply on renewal of an eligible contract of insurance (proposed new section 21B) as well as at inception (but not for a variation, a reinstatement or an extension), and </w:t>
      </w:r>
      <w:r w:rsidR="00035750">
        <w:t>‘</w:t>
      </w:r>
      <w:r>
        <w:t>catch all</w:t>
      </w:r>
      <w:r w:rsidR="00035750">
        <w:t>’</w:t>
      </w:r>
      <w:r>
        <w:t xml:space="preserve"> questions will no longer be permitted; </w:t>
      </w:r>
    </w:p>
    <w:p w:rsidR="00000789" w:rsidRDefault="00000789" w:rsidP="00000789">
      <w:pPr>
        <w:pStyle w:val="dotpoint"/>
      </w:pPr>
      <w:r>
        <w:lastRenderedPageBreak/>
        <w:t>on renewal, insurers may choose to seek updates to answers previously provided by insureds, rather than asking specific questions again;</w:t>
      </w:r>
    </w:p>
    <w:p w:rsidR="00000789" w:rsidRDefault="00000789" w:rsidP="00000789">
      <w:pPr>
        <w:pStyle w:val="dotpoint"/>
      </w:pPr>
      <w:r>
        <w:t xml:space="preserve">an insurer must notify the insured, before the contract of insurance is entered into, that the duty of disclosure obligations continue until the time the policy is actually entered into; </w:t>
      </w:r>
    </w:p>
    <w:p w:rsidR="00000789" w:rsidRDefault="00000789" w:rsidP="00000789">
      <w:pPr>
        <w:pStyle w:val="dotpoint"/>
      </w:pPr>
      <w:r>
        <w:t xml:space="preserve">the ICA provides that a form of words may be prescribed by regulation for use by insurers to inform persons of their duty of disclosure obligations; </w:t>
      </w:r>
    </w:p>
    <w:p w:rsidR="00000789" w:rsidRDefault="00000789" w:rsidP="00000789">
      <w:pPr>
        <w:pStyle w:val="dotpoint"/>
      </w:pPr>
      <w:r>
        <w:t>any person who is not the insured but proposes to become a life insured under a contract of life insurance is subject to a duty to disclose, as well as a duty not to misrepresent, and the insurer must give this person notice of the duty before the contract is entered into;</w:t>
      </w:r>
      <w:r w:rsidR="00440547">
        <w:t xml:space="preserve"> and</w:t>
      </w:r>
    </w:p>
    <w:p w:rsidR="00000789" w:rsidRDefault="00000789" w:rsidP="00000789">
      <w:pPr>
        <w:pStyle w:val="dotpoint"/>
      </w:pPr>
      <w:proofErr w:type="gramStart"/>
      <w:r>
        <w:t>a</w:t>
      </w:r>
      <w:proofErr w:type="gramEnd"/>
      <w:r>
        <w:t xml:space="preserve"> failure to disclose by the proposed life insured will be imputed to the insured.</w:t>
      </w:r>
    </w:p>
    <w:p w:rsidR="00000789" w:rsidRDefault="00000789" w:rsidP="00000789">
      <w:pPr>
        <w:pStyle w:val="base-text-paragraphnonumbers"/>
      </w:pPr>
      <w:r w:rsidRPr="00000789">
        <w:rPr>
          <w:b/>
          <w:i/>
        </w:rPr>
        <w:t>Date of effect:</w:t>
      </w:r>
      <w:r>
        <w:t xml:space="preserve"> The amendments</w:t>
      </w:r>
      <w:r w:rsidR="004D1963">
        <w:t xml:space="preserve"> generally </w:t>
      </w:r>
      <w:r>
        <w:t>take effect 30 months after the date of Royal Assent</w:t>
      </w:r>
      <w:r w:rsidR="00214D95">
        <w:t xml:space="preserve">.  </w:t>
      </w:r>
      <w:r w:rsidR="004D1963">
        <w:t>Division 1 and Division 2 of Part 2</w:t>
      </w:r>
      <w:r w:rsidR="000A7C13">
        <w:t xml:space="preserve"> provide </w:t>
      </w:r>
      <w:r w:rsidR="004D1963">
        <w:t>a transition period to enable a smooth transaction into the new regime for insurers</w:t>
      </w:r>
      <w:r w:rsidR="00214D95">
        <w:t xml:space="preserve">.  </w:t>
      </w:r>
      <w:r w:rsidR="004D1963">
        <w:t>Division 2 of Part 2 commences on the date of Royal Assent</w:t>
      </w:r>
      <w:r w:rsidR="00214D95">
        <w:t xml:space="preserve">.  </w:t>
      </w:r>
      <w:r w:rsidR="004D1963">
        <w:t xml:space="preserve">Division 1 of part 2 commences </w:t>
      </w:r>
      <w:r w:rsidR="004D1963" w:rsidRPr="004D1963">
        <w:t>30 months after the date of Royal Assent</w:t>
      </w:r>
      <w:r w:rsidR="00214D95">
        <w:t xml:space="preserve">.  </w:t>
      </w:r>
      <w:r w:rsidR="005E51CE">
        <w:t>T</w:t>
      </w:r>
      <w:r>
        <w:t>his delay in commencement is to allow insurers an opportunity to amend their business practices in response to the new rules regarding the operation of the duty of disclosure and notification of that duty.</w:t>
      </w:r>
    </w:p>
    <w:p w:rsidR="00000789" w:rsidRDefault="00000789" w:rsidP="00000789">
      <w:pPr>
        <w:pStyle w:val="Heading3"/>
      </w:pPr>
      <w:r>
        <w:t>Schedule 5 — Remedies of insurers: life insurance contracts</w:t>
      </w:r>
    </w:p>
    <w:p w:rsidR="00000789" w:rsidRDefault="00000789" w:rsidP="00000789">
      <w:pPr>
        <w:pStyle w:val="base-text-paragraphnonumbers"/>
      </w:pPr>
      <w:r>
        <w:t>Section 29 of the ICA contains provisions that prescribe remedies for life insurers that may be used where a person who became insured under a contract of insurance either misrepresented or did not disclose matters that should have been disclosed prior to entering into the contract</w:t>
      </w:r>
      <w:r w:rsidR="00214D95">
        <w:t xml:space="preserve">.  </w:t>
      </w:r>
    </w:p>
    <w:p w:rsidR="00000789" w:rsidRDefault="00000789" w:rsidP="00000789">
      <w:pPr>
        <w:pStyle w:val="dotpoint"/>
      </w:pPr>
      <w:r>
        <w:t>In some cases, the remedies in respect of bundled contracts of life insurance are inappropriate</w:t>
      </w:r>
      <w:r w:rsidR="00214D95">
        <w:t xml:space="preserve">.  </w:t>
      </w:r>
      <w:r>
        <w:t>Schedule 5 to the Bill amends the ICA so that:</w:t>
      </w:r>
    </w:p>
    <w:p w:rsidR="00000789" w:rsidRDefault="00000789" w:rsidP="005E51CE">
      <w:pPr>
        <w:pStyle w:val="dotpoint2"/>
      </w:pPr>
      <w:proofErr w:type="gramStart"/>
      <w:r>
        <w:t>section</w:t>
      </w:r>
      <w:proofErr w:type="gramEnd"/>
      <w:r>
        <w:t xml:space="preserve"> 29 has an additional remedy for life insurance contracts</w:t>
      </w:r>
      <w:r w:rsidR="00214D95">
        <w:t xml:space="preserve">.  </w:t>
      </w:r>
      <w:r w:rsidR="005F5C06">
        <w:t>This</w:t>
      </w:r>
      <w:r>
        <w:t xml:space="preserve"> additional remedy will enable an insurer to be put in the position that they would have been in if a misrepresentation or a failure to comply with the duty</w:t>
      </w:r>
      <w:r w:rsidR="00826E88">
        <w:t xml:space="preserve"> of disclosure had not occurred</w:t>
      </w:r>
      <w:r w:rsidR="00214D95">
        <w:t xml:space="preserve">.  </w:t>
      </w:r>
      <w:r w:rsidR="005F5C06">
        <w:t>However</w:t>
      </w:r>
      <w:r w:rsidR="00214D95">
        <w:t>,</w:t>
      </w:r>
      <w:r w:rsidR="005F5C06">
        <w:t xml:space="preserve"> this remedy will </w:t>
      </w:r>
      <w:r w:rsidR="005F5C06">
        <w:lastRenderedPageBreak/>
        <w:t>not apply to life insurance contracts that contain a surrender value or provide cover in respect to death of a life insured</w:t>
      </w:r>
      <w:r w:rsidR="00826E88">
        <w:t>;</w:t>
      </w:r>
    </w:p>
    <w:p w:rsidR="00000789" w:rsidRDefault="00000789" w:rsidP="005E51CE">
      <w:pPr>
        <w:pStyle w:val="dotpoint2"/>
      </w:pPr>
      <w:r>
        <w:t xml:space="preserve">life insurance contracts that combine more than one type of cover and more than one life insured are </w:t>
      </w:r>
      <w:r w:rsidR="005F5C06">
        <w:t xml:space="preserve">to be </w:t>
      </w:r>
      <w:r w:rsidR="00035750">
        <w:t>‘</w:t>
      </w:r>
      <w:r>
        <w:t>unbundled</w:t>
      </w:r>
      <w:r w:rsidR="00035750">
        <w:t>’</w:t>
      </w:r>
      <w:r>
        <w:t xml:space="preserve"> for the purpose of applying the relevant remedies for non</w:t>
      </w:r>
      <w:r w:rsidR="00214D95">
        <w:noBreakHyphen/>
      </w:r>
      <w:r>
        <w:t>disclosure or misrepresentation;</w:t>
      </w:r>
    </w:p>
    <w:p w:rsidR="00000789" w:rsidRDefault="00000789" w:rsidP="005E51CE">
      <w:pPr>
        <w:pStyle w:val="dotpoint2"/>
      </w:pPr>
      <w:r>
        <w:t>insurers are entitled to change the expiration date of a life insurance contract (all types of life insurance</w:t>
      </w:r>
      <w:r w:rsidR="005E51CE">
        <w:t>)</w:t>
      </w:r>
      <w:r>
        <w:t>, where that date has been calculated by reference to the insured</w:t>
      </w:r>
      <w:r w:rsidR="00035750">
        <w:t>’</w:t>
      </w:r>
      <w:r>
        <w:t>s incorrectly</w:t>
      </w:r>
      <w:r w:rsidR="00214D95">
        <w:noBreakHyphen/>
      </w:r>
      <w:r>
        <w:t>stated date of birth; and</w:t>
      </w:r>
    </w:p>
    <w:p w:rsidR="00000789" w:rsidRDefault="00000789" w:rsidP="005E51CE">
      <w:pPr>
        <w:pStyle w:val="dotpoint2"/>
      </w:pPr>
      <w:r>
        <w:t>the statutory framework in the ICA for cancellation of general insurance contracts in respect to fraudulent claims will be extended to life insurance contracts with some modifications to ensure that the differences between general insurance and life insurance contracts are recognised (subject to forfeiture rights for non</w:t>
      </w:r>
      <w:r w:rsidR="00214D95">
        <w:noBreakHyphen/>
      </w:r>
      <w:r>
        <w:t xml:space="preserve">payment of premiums under the </w:t>
      </w:r>
      <w:r w:rsidRPr="004D1963">
        <w:rPr>
          <w:i/>
        </w:rPr>
        <w:t>Life Insurance Act 1995</w:t>
      </w:r>
      <w:r w:rsidR="004D1963">
        <w:t xml:space="preserve"> (LIA)</w:t>
      </w:r>
      <w:r>
        <w:t>)</w:t>
      </w:r>
      <w:r w:rsidR="00214D95">
        <w:t xml:space="preserve">.  </w:t>
      </w:r>
    </w:p>
    <w:p w:rsidR="00000789" w:rsidRDefault="00000789" w:rsidP="00000789">
      <w:pPr>
        <w:pStyle w:val="base-text-paragraphnonumbers"/>
      </w:pPr>
      <w:r w:rsidRPr="00000789">
        <w:rPr>
          <w:rStyle w:val="BoldItalic"/>
        </w:rPr>
        <w:t>Date of effect:</w:t>
      </w:r>
      <w:r>
        <w:t xml:space="preserve"> The amendments regarding unbundling of life insurance contracts and entitlement of insurers to change expiration dates and to cancel contracts of life insurance take effect on Royal Assent</w:t>
      </w:r>
      <w:r w:rsidR="00214D95">
        <w:t xml:space="preserve">.  </w:t>
      </w:r>
      <w:r>
        <w:t>The amendments regarding changes to the remedies for particular contracts of life insurance commence 12 months after the date of Royal Assent</w:t>
      </w:r>
      <w:r w:rsidR="00214D95">
        <w:t xml:space="preserve">.  </w:t>
      </w:r>
      <w:r>
        <w:t>The delay in commencement is to allow insurers an opportunity to factor into their affairs the changes to available remedies</w:t>
      </w:r>
      <w:r w:rsidR="00214D95">
        <w:t xml:space="preserve">.  </w:t>
      </w:r>
    </w:p>
    <w:p w:rsidR="00000789" w:rsidRDefault="00000789" w:rsidP="00000789">
      <w:pPr>
        <w:pStyle w:val="Heading3"/>
      </w:pPr>
      <w:r>
        <w:t xml:space="preserve">Schedule 6 — </w:t>
      </w:r>
      <w:proofErr w:type="gramStart"/>
      <w:r>
        <w:t>Third</w:t>
      </w:r>
      <w:proofErr w:type="gramEnd"/>
      <w:r>
        <w:t xml:space="preserve"> parties</w:t>
      </w:r>
    </w:p>
    <w:p w:rsidR="00000789" w:rsidRDefault="00000789" w:rsidP="00000789">
      <w:pPr>
        <w:pStyle w:val="base-text-paragraphnonumbers"/>
      </w:pPr>
      <w:r>
        <w:t>Schedule 6 to the Bill amends the ICA so that:</w:t>
      </w:r>
    </w:p>
    <w:p w:rsidR="00000789" w:rsidRDefault="00000789" w:rsidP="00000789">
      <w:pPr>
        <w:pStyle w:val="dotpoint"/>
      </w:pPr>
      <w:r>
        <w:t>individuals who have rights under a contract of insurance (</w:t>
      </w:r>
      <w:r w:rsidR="00035750">
        <w:t>‘</w:t>
      </w:r>
      <w:r>
        <w:t>third party beneficiaries</w:t>
      </w:r>
      <w:r w:rsidR="00035750">
        <w:t>’</w:t>
      </w:r>
      <w:r>
        <w:t>) but who are not the insured, have access to particular rights and obligations currently held by insureds;</w:t>
      </w:r>
    </w:p>
    <w:p w:rsidR="00000789" w:rsidRDefault="00000789" w:rsidP="00000789">
      <w:pPr>
        <w:pStyle w:val="dotpoint"/>
      </w:pPr>
      <w:r>
        <w:t>third parties with damages claims against an insured or third party beneficiary who has died or cannot be found may recover directly against the insurer;</w:t>
      </w:r>
    </w:p>
    <w:p w:rsidR="00000789" w:rsidRDefault="00000789" w:rsidP="00000789">
      <w:pPr>
        <w:pStyle w:val="dotpoint"/>
      </w:pPr>
      <w:r>
        <w:t xml:space="preserve">ASIC will have powers to bring representative actions on behalf of third party beneficiaries; </w:t>
      </w:r>
    </w:p>
    <w:p w:rsidR="00000789" w:rsidRDefault="00000789" w:rsidP="00000789">
      <w:pPr>
        <w:pStyle w:val="dotpoint"/>
      </w:pPr>
      <w:r>
        <w:lastRenderedPageBreak/>
        <w:t>remedies for misrepresentation and non</w:t>
      </w:r>
      <w:r w:rsidR="00214D95">
        <w:noBreakHyphen/>
      </w:r>
      <w:r>
        <w:t>disclosure are available in relation to contracts of life insurance that are offered as part of a group scheme that is unrelated to superannuation;</w:t>
      </w:r>
      <w:r w:rsidR="00826E88">
        <w:t xml:space="preserve"> and</w:t>
      </w:r>
    </w:p>
    <w:p w:rsidR="00000789" w:rsidRDefault="00000789" w:rsidP="00000789">
      <w:pPr>
        <w:pStyle w:val="dotpoint"/>
      </w:pPr>
      <w:proofErr w:type="gramStart"/>
      <w:r>
        <w:t>remedies</w:t>
      </w:r>
      <w:proofErr w:type="gramEnd"/>
      <w:r>
        <w:t xml:space="preserve"> are available in respect of any misrepresentation or </w:t>
      </w:r>
      <w:r w:rsidR="00295AB7">
        <w:t>non</w:t>
      </w:r>
      <w:r w:rsidR="00214D95">
        <w:noBreakHyphen/>
      </w:r>
      <w:r w:rsidR="00295AB7">
        <w:t>disclosure</w:t>
      </w:r>
      <w:r>
        <w:t xml:space="preserve"> that occurs between the time an insured became a member of a superannuation or other group scheme and when the life insurance cover takes effect.</w:t>
      </w:r>
    </w:p>
    <w:p w:rsidR="00000789" w:rsidRDefault="00000789" w:rsidP="00000789">
      <w:pPr>
        <w:pStyle w:val="base-text-paragraphnonumbers"/>
      </w:pPr>
      <w:r w:rsidRPr="00000789">
        <w:rPr>
          <w:rStyle w:val="BoldItalic"/>
        </w:rPr>
        <w:t>Date of effect:</w:t>
      </w:r>
      <w:r>
        <w:t xml:space="preserve"> ASIC</w:t>
      </w:r>
      <w:r w:rsidR="00035750">
        <w:t>’</w:t>
      </w:r>
      <w:r>
        <w:t>s powers to bring representative actions commence on the date of Royal Assent</w:t>
      </w:r>
      <w:r w:rsidR="00214D95">
        <w:t xml:space="preserve">.  </w:t>
      </w:r>
      <w:r>
        <w:t>The remainder of Schedule 6 commences 12</w:t>
      </w:r>
      <w:r w:rsidR="00826E88">
        <w:t> </w:t>
      </w:r>
      <w:r>
        <w:t>months after the date of Royal Assent</w:t>
      </w:r>
      <w:r w:rsidR="00214D95">
        <w:t xml:space="preserve">.  </w:t>
      </w:r>
      <w:r>
        <w:t>The delay in commencement is to allow insurers a reasonable opportunity to factor the new rights and obligations of third party beneficiaries into their business operations.</w:t>
      </w:r>
    </w:p>
    <w:p w:rsidR="00000789" w:rsidRDefault="00000789" w:rsidP="00000789">
      <w:pPr>
        <w:pStyle w:val="Heading3"/>
      </w:pPr>
      <w:r>
        <w:t>Schedule 7 — Subrogation</w:t>
      </w:r>
    </w:p>
    <w:p w:rsidR="00000789" w:rsidRDefault="00000789" w:rsidP="00000789">
      <w:pPr>
        <w:pStyle w:val="base-text-paragraphnonumbers"/>
      </w:pPr>
      <w:r>
        <w:t>Schedule 7 to the Bill amends the ICA so that:</w:t>
      </w:r>
    </w:p>
    <w:p w:rsidR="00000789" w:rsidRDefault="00000789" w:rsidP="00000789">
      <w:pPr>
        <w:pStyle w:val="dotpoint"/>
      </w:pPr>
      <w:r>
        <w:t xml:space="preserve">section 67 of the ICA, which deals with the allocation of moneys recovered when an insurer exercises a right of subrogation in relation to an insurance claim, is revised to reflect wording of a draft provision dealing with subrogation proposed by the Australian Law Reform Commission in its Review of the </w:t>
      </w:r>
      <w:r w:rsidRPr="00922F75">
        <w:rPr>
          <w:i/>
        </w:rPr>
        <w:t>Marine Insurance Act 1909</w:t>
      </w:r>
      <w:r>
        <w:t xml:space="preserve"> (Cth)</w:t>
      </w:r>
      <w:r w:rsidR="005F5C06">
        <w:t xml:space="preserve"> (MI Act)</w:t>
      </w:r>
      <w:r>
        <w:t>;</w:t>
      </w:r>
      <w:r w:rsidR="00826E88">
        <w:t xml:space="preserve"> and</w:t>
      </w:r>
    </w:p>
    <w:p w:rsidR="00000789" w:rsidRDefault="00000789" w:rsidP="00000789">
      <w:pPr>
        <w:pStyle w:val="dotpoint"/>
      </w:pPr>
      <w:r>
        <w:t>Part VIII of the ICA, which relates to subrogation, applies to claims made by third party beneficiaries as well as by insureds.</w:t>
      </w:r>
    </w:p>
    <w:p w:rsidR="00000789" w:rsidRDefault="00000789" w:rsidP="00000789">
      <w:pPr>
        <w:pStyle w:val="base-text-paragraphnonumbers"/>
      </w:pPr>
      <w:r w:rsidRPr="00000789">
        <w:rPr>
          <w:rStyle w:val="BoldItalic"/>
        </w:rPr>
        <w:t>Date of effect:</w:t>
      </w:r>
      <w:r>
        <w:t xml:space="preserve"> Schedule 7 commences six months after the date of Royal Assent</w:t>
      </w:r>
      <w:r w:rsidR="00214D95">
        <w:t xml:space="preserve">.  </w:t>
      </w:r>
      <w:r>
        <w:t>The delay in commencement is to allow insurers an opportunity to factor the new rules regarding subrogation into their business operations.</w:t>
      </w:r>
    </w:p>
    <w:p w:rsidR="00000789" w:rsidRDefault="00000789" w:rsidP="0029684A">
      <w:pPr>
        <w:pStyle w:val="base-text-paragraphnonumbers"/>
      </w:pPr>
      <w:r w:rsidRPr="0088195E">
        <w:rPr>
          <w:rStyle w:val="BoldItalic"/>
        </w:rPr>
        <w:t>Financial impact</w:t>
      </w:r>
      <w:r w:rsidRPr="00266048">
        <w:rPr>
          <w:rStyle w:val="base-text-paragraphChar"/>
        </w:rPr>
        <w:t xml:space="preserve">: </w:t>
      </w:r>
      <w:r w:rsidR="0003455F">
        <w:rPr>
          <w:rStyle w:val="base-text-paragraphChar"/>
        </w:rPr>
        <w:t>Low</w:t>
      </w:r>
      <w:r w:rsidR="00214D95">
        <w:rPr>
          <w:rStyle w:val="base-text-paragraphChar"/>
        </w:rPr>
        <w:t xml:space="preserve">.  </w:t>
      </w:r>
      <w:r w:rsidRPr="00000789">
        <w:t>The Bill will have no financial impact on the Commonwealth</w:t>
      </w:r>
      <w:r>
        <w:t>.</w:t>
      </w:r>
    </w:p>
    <w:p w:rsidR="00000789" w:rsidRDefault="00000789" w:rsidP="00480C91">
      <w:pPr>
        <w:pStyle w:val="base-text-paragraphnonumbers"/>
      </w:pPr>
      <w:r>
        <w:rPr>
          <w:rStyle w:val="BoldItalic"/>
        </w:rPr>
        <w:t>Human rights implications</w:t>
      </w:r>
      <w:r w:rsidRPr="00D93657">
        <w:t>:</w:t>
      </w:r>
      <w:r>
        <w:t xml:space="preserve"> </w:t>
      </w:r>
      <w:r w:rsidRPr="00D93657">
        <w:t xml:space="preserve">This </w:t>
      </w:r>
      <w:r>
        <w:t>Bill does not raise an</w:t>
      </w:r>
      <w:r w:rsidRPr="00D93657">
        <w:t>y human rights issue</w:t>
      </w:r>
      <w:r w:rsidR="00214D95">
        <w:t xml:space="preserve">.  </w:t>
      </w:r>
      <w:r w:rsidRPr="00D93657">
        <w:t xml:space="preserve">See </w:t>
      </w:r>
      <w:r w:rsidRPr="00480C91">
        <w:rPr>
          <w:i/>
        </w:rPr>
        <w:t>Statement of Compatibility with Human Rights</w:t>
      </w:r>
      <w:r>
        <w:t xml:space="preserve"> — Chapter 3, paragraphs </w:t>
      </w:r>
      <w:r w:rsidR="004D1963">
        <w:t>3.1 to 3.5</w:t>
      </w:r>
      <w:r>
        <w:t>.</w:t>
      </w:r>
    </w:p>
    <w:p w:rsidR="00000789" w:rsidRDefault="00000789" w:rsidP="0029684A">
      <w:pPr>
        <w:pStyle w:val="base-text-paragraphnonumbers"/>
      </w:pPr>
      <w:r w:rsidRPr="0088195E">
        <w:rPr>
          <w:rStyle w:val="BoldItalic"/>
        </w:rPr>
        <w:t>Compliance cost impact</w:t>
      </w:r>
      <w:r w:rsidRPr="00266048">
        <w:rPr>
          <w:rStyle w:val="base-text-paragraphChar"/>
        </w:rPr>
        <w:t xml:space="preserve">: </w:t>
      </w:r>
      <w:r w:rsidRPr="00000789">
        <w:t>The measures contained in this Bill are only expected to have a minimal increase in compliance costs for industry</w:t>
      </w:r>
      <w:r>
        <w:t>.</w:t>
      </w:r>
    </w:p>
    <w:p w:rsidR="00000789" w:rsidRDefault="00000789" w:rsidP="0029684A">
      <w:pPr>
        <w:pStyle w:val="Heading2"/>
      </w:pPr>
      <w:r>
        <w:lastRenderedPageBreak/>
        <w:t>Summary of regulation impact statement</w:t>
      </w:r>
    </w:p>
    <w:p w:rsidR="00000789" w:rsidRDefault="00000789" w:rsidP="0029684A">
      <w:pPr>
        <w:pStyle w:val="Heading3"/>
      </w:pPr>
      <w:r>
        <w:t>Regulation impact on business</w:t>
      </w:r>
    </w:p>
    <w:p w:rsidR="00BF7EF0" w:rsidRDefault="00BF7EF0" w:rsidP="0029684A">
      <w:pPr>
        <w:pStyle w:val="base-text-paragraphnonumbers"/>
      </w:pPr>
      <w:r w:rsidRPr="00BF7EF0">
        <w:t>This Bill merely re</w:t>
      </w:r>
      <w:r w:rsidR="00214D95">
        <w:noBreakHyphen/>
      </w:r>
      <w:r w:rsidRPr="00BF7EF0">
        <w:t xml:space="preserve">introduces the measures in the 2010 Bill with some minor refinements to reflect recent </w:t>
      </w:r>
      <w:r>
        <w:t xml:space="preserve">public </w:t>
      </w:r>
      <w:r w:rsidRPr="00BF7EF0">
        <w:t>consultation</w:t>
      </w:r>
      <w:r w:rsidR="00214D95">
        <w:t xml:space="preserve">.  </w:t>
      </w:r>
      <w:r w:rsidRPr="00BF7EF0">
        <w:t>As such, OPBR has confirmed that no changes are required to be made to the R</w:t>
      </w:r>
      <w:r>
        <w:t xml:space="preserve">egulation </w:t>
      </w:r>
      <w:r w:rsidRPr="00BF7EF0">
        <w:t>I</w:t>
      </w:r>
      <w:r>
        <w:t xml:space="preserve">mpact </w:t>
      </w:r>
      <w:r w:rsidRPr="00BF7EF0">
        <w:t>S</w:t>
      </w:r>
      <w:r>
        <w:t>tatement</w:t>
      </w:r>
      <w:r w:rsidRPr="00BF7EF0">
        <w:t xml:space="preserve"> developed in 2010</w:t>
      </w:r>
      <w:r w:rsidR="008062A9">
        <w:t xml:space="preserve">, because the refinements made </w:t>
      </w:r>
      <w:r w:rsidRPr="00BF7EF0">
        <w:t>are machinery</w:t>
      </w:r>
      <w:r w:rsidR="00214D95">
        <w:noBreakHyphen/>
      </w:r>
      <w:r w:rsidRPr="00BF7EF0">
        <w:t>of</w:t>
      </w:r>
      <w:r w:rsidR="00214D95">
        <w:noBreakHyphen/>
      </w:r>
      <w:r w:rsidRPr="00BF7EF0">
        <w:t>government in nature.</w:t>
      </w:r>
    </w:p>
    <w:p w:rsidR="00000789" w:rsidRDefault="00000789" w:rsidP="0029684A">
      <w:pPr>
        <w:pStyle w:val="base-text-paragraphnonumbers"/>
      </w:pPr>
      <w:r w:rsidRPr="0088195E">
        <w:rPr>
          <w:rStyle w:val="BoldItalic"/>
        </w:rPr>
        <w:t>Impact</w:t>
      </w:r>
      <w:r w:rsidRPr="00266048">
        <w:rPr>
          <w:rStyle w:val="base-text-paragraphChar"/>
        </w:rPr>
        <w:t xml:space="preserve">:  </w:t>
      </w:r>
      <w:r w:rsidR="00E84A25">
        <w:t>The elements set out in the regulation impact statement will benefit both insurers and insureds, without imposing significant ongoing compliance costs on industry with flow on impacts on premium settings</w:t>
      </w:r>
      <w:r w:rsidR="00214D95">
        <w:t xml:space="preserve">.  </w:t>
      </w:r>
    </w:p>
    <w:p w:rsidR="00000789" w:rsidRPr="0088195E" w:rsidRDefault="00000789" w:rsidP="0029684A">
      <w:pPr>
        <w:pStyle w:val="base-text-paragraphnonumbers"/>
        <w:rPr>
          <w:rStyle w:val="BoldItalic"/>
        </w:rPr>
      </w:pPr>
      <w:r w:rsidRPr="0088195E">
        <w:rPr>
          <w:rStyle w:val="BoldItalic"/>
        </w:rPr>
        <w:t>Main points</w:t>
      </w:r>
      <w:r w:rsidRPr="00266048">
        <w:rPr>
          <w:rStyle w:val="base-text-paragraphChar"/>
        </w:rPr>
        <w:t>:</w:t>
      </w:r>
    </w:p>
    <w:p w:rsidR="00E84A25" w:rsidRDefault="00E84A25" w:rsidP="00E84A25">
      <w:pPr>
        <w:pStyle w:val="dotpoint"/>
        <w:numPr>
          <w:ilvl w:val="0"/>
          <w:numId w:val="2"/>
        </w:numPr>
      </w:pPr>
      <w:r>
        <w:t>Insurers and insureds will benefit from the ability to use electronic communication for various notice requirements under the ICA</w:t>
      </w:r>
      <w:r w:rsidR="00214D95">
        <w:t xml:space="preserve">.  </w:t>
      </w:r>
      <w:r>
        <w:t>The use of electronic communications has the potential to lower costs related to use of hard copy communications and to increase convenience for both insurers and insureds.</w:t>
      </w:r>
    </w:p>
    <w:p w:rsidR="00E84A25" w:rsidRDefault="00E84A25" w:rsidP="00E84A25">
      <w:pPr>
        <w:pStyle w:val="dotpoint"/>
        <w:numPr>
          <w:ilvl w:val="0"/>
          <w:numId w:val="2"/>
        </w:numPr>
      </w:pPr>
      <w:r>
        <w:t>Initially</w:t>
      </w:r>
      <w:r w:rsidRPr="00E84A25">
        <w:t xml:space="preserve"> </w:t>
      </w:r>
      <w:r>
        <w:t>some additional administrative costs will be placed on insurers in relation to the changes the duty of disclosure for eligible contracts</w:t>
      </w:r>
      <w:r w:rsidR="00214D95">
        <w:t xml:space="preserve">.  </w:t>
      </w:r>
      <w:r w:rsidR="005F5C06">
        <w:t>T</w:t>
      </w:r>
      <w:r>
        <w:t>he measures are intended to strike an appropriate balance between ensuring insurers have reliable information to assess and price risk, while at the same time, avoiding an unfair burden being placed on insureds in meeting their duty of disclosure</w:t>
      </w:r>
      <w:r w:rsidR="00214D95">
        <w:t xml:space="preserve">.  </w:t>
      </w:r>
    </w:p>
    <w:p w:rsidR="00E84A25" w:rsidRDefault="00E84A25" w:rsidP="00E84A25">
      <w:pPr>
        <w:pStyle w:val="dotpoint"/>
        <w:numPr>
          <w:ilvl w:val="0"/>
          <w:numId w:val="2"/>
        </w:numPr>
      </w:pPr>
      <w:r>
        <w:t>Insurers, insureds and regulators would benefit from fewer and less complex disputes relating to disclosure and ease of resolution would increase</w:t>
      </w:r>
      <w:r w:rsidR="00214D95">
        <w:t xml:space="preserve">.  </w:t>
      </w:r>
      <w:r>
        <w:t>This could ultimately be reflected in lowered costs to insurers, with this factored into premium rates.</w:t>
      </w:r>
    </w:p>
    <w:p w:rsidR="00E84A25" w:rsidRDefault="00E84A25" w:rsidP="00E84A25">
      <w:pPr>
        <w:pStyle w:val="dotpoint"/>
        <w:numPr>
          <w:ilvl w:val="0"/>
          <w:numId w:val="2"/>
        </w:numPr>
      </w:pPr>
      <w:r>
        <w:t xml:space="preserve">Insurers will benefit from </w:t>
      </w:r>
      <w:r w:rsidR="005F5C06">
        <w:t xml:space="preserve">the </w:t>
      </w:r>
      <w:r>
        <w:t>clarification of the remedies available to them for non</w:t>
      </w:r>
      <w:r w:rsidR="00214D95">
        <w:noBreakHyphen/>
      </w:r>
      <w:r>
        <w:t xml:space="preserve">disclosure by life insureds, </w:t>
      </w:r>
      <w:proofErr w:type="gramStart"/>
      <w:r>
        <w:t>who</w:t>
      </w:r>
      <w:proofErr w:type="gramEnd"/>
      <w:r>
        <w:t xml:space="preserve"> are not the insured under life policies</w:t>
      </w:r>
      <w:r w:rsidR="00214D95">
        <w:t xml:space="preserve">.  </w:t>
      </w:r>
    </w:p>
    <w:p w:rsidR="00E84A25" w:rsidRDefault="00E84A25" w:rsidP="00E84A25">
      <w:pPr>
        <w:pStyle w:val="dotpoint"/>
        <w:numPr>
          <w:ilvl w:val="0"/>
          <w:numId w:val="2"/>
        </w:numPr>
      </w:pPr>
      <w:r>
        <w:t>Holders of life insurance policies will benefit from less harsh and inflexible remedies being available to insurers with respect to non</w:t>
      </w:r>
      <w:r w:rsidR="00214D95">
        <w:noBreakHyphen/>
      </w:r>
      <w:r>
        <w:t>fraudulent (innocent) non</w:t>
      </w:r>
      <w:r w:rsidR="00214D95">
        <w:noBreakHyphen/>
      </w:r>
      <w:r>
        <w:t>disclosure, with insureds generally benefiting from fewer cost pressures placed on premium rates.</w:t>
      </w:r>
    </w:p>
    <w:p w:rsidR="00625E87" w:rsidRDefault="00E84A25" w:rsidP="00625E87">
      <w:pPr>
        <w:pStyle w:val="dotpoint"/>
        <w:numPr>
          <w:ilvl w:val="0"/>
          <w:numId w:val="0"/>
        </w:numPr>
        <w:ind w:left="2268"/>
      </w:pPr>
      <w:r>
        <w:lastRenderedPageBreak/>
        <w:t>It is expected that options to benefit third party beneficiaries by clarifying rights and obligations in a range of areas could be implemented without any significant cost burden for insurers or consumers</w:t>
      </w:r>
      <w:r w:rsidR="00214D95">
        <w:t xml:space="preserve">.  </w:t>
      </w:r>
      <w:r w:rsidR="00000789" w:rsidRPr="00DE7498">
        <w:rPr>
          <w:vanish/>
        </w:rPr>
        <w:t>Do not remove section break.</w:t>
      </w:r>
    </w:p>
    <w:p w:rsidR="00000789" w:rsidRDefault="00000789" w:rsidP="0029684A">
      <w:pPr>
        <w:sectPr w:rsidR="00000789" w:rsidSect="009F4BFE">
          <w:headerReference w:type="even" r:id="rId27"/>
          <w:headerReference w:type="default" r:id="rId28"/>
          <w:footerReference w:type="even" r:id="rId29"/>
          <w:footerReference w:type="default" r:id="rId30"/>
          <w:footerReference w:type="first" r:id="rId31"/>
          <w:type w:val="oddPage"/>
          <w:pgSz w:w="11906" w:h="16838" w:code="9"/>
          <w:pgMar w:top="2466" w:right="2098" w:bottom="2466" w:left="2098" w:header="1559" w:footer="1899" w:gutter="0"/>
          <w:cols w:space="708"/>
          <w:titlePg/>
          <w:docGrid w:linePitch="360"/>
        </w:sectPr>
      </w:pPr>
    </w:p>
    <w:p w:rsidR="00000789" w:rsidRPr="00F51A71" w:rsidRDefault="00000789" w:rsidP="0029684A">
      <w:pPr>
        <w:pStyle w:val="ChapterHeading"/>
      </w:pPr>
      <w:r w:rsidRPr="00F51A71">
        <w:lastRenderedPageBreak/>
        <w:br/>
      </w:r>
      <w:bookmarkStart w:id="2" w:name="_Toc350865714"/>
      <w:r w:rsidR="006A159E">
        <w:t>Schedules to the Bill</w:t>
      </w:r>
      <w:bookmarkEnd w:id="2"/>
    </w:p>
    <w:p w:rsidR="00000789" w:rsidRDefault="00000789" w:rsidP="0029684A">
      <w:pPr>
        <w:pStyle w:val="Heading2"/>
      </w:pPr>
      <w:r>
        <w:t>Outline of chapter</w:t>
      </w:r>
    </w:p>
    <w:p w:rsidR="00000789" w:rsidRPr="00000789" w:rsidRDefault="00214D95" w:rsidP="00000789">
      <w:pPr>
        <w:pStyle w:val="base-text-paragraph"/>
      </w:pPr>
      <w:r w:rsidRPr="00000789">
        <w:t>The Schedules to the Insurance</w:t>
      </w:r>
      <w:r>
        <w:t xml:space="preserve"> Contracts Amendment Bill 2013 </w:t>
      </w:r>
      <w:r w:rsidRPr="00000789">
        <w:t xml:space="preserve">(the Bill) contain amendments to the </w:t>
      </w:r>
      <w:r w:rsidRPr="004D1963">
        <w:rPr>
          <w:i/>
        </w:rPr>
        <w:t>Insurance Contracts Act</w:t>
      </w:r>
      <w:r>
        <w:rPr>
          <w:i/>
        </w:rPr>
        <w:t> </w:t>
      </w:r>
      <w:r w:rsidRPr="004D1963">
        <w:rPr>
          <w:i/>
        </w:rPr>
        <w:t xml:space="preserve">1984 </w:t>
      </w:r>
      <w:r w:rsidRPr="00000789">
        <w:t>(ICA) to address a number of technical issues in the ICA, to modernise and streamline the operation of the ICA and, in some cases, to respond to or clarify judicial interpretation.</w:t>
      </w:r>
    </w:p>
    <w:p w:rsidR="00000789" w:rsidRDefault="00000789" w:rsidP="0029684A">
      <w:pPr>
        <w:pStyle w:val="Heading2"/>
      </w:pPr>
      <w:r>
        <w:t>Context of amendments</w:t>
      </w:r>
    </w:p>
    <w:p w:rsidR="00000789" w:rsidRDefault="00000789" w:rsidP="00000789">
      <w:pPr>
        <w:pStyle w:val="base-text-paragraph"/>
      </w:pPr>
      <w:r>
        <w:t>This Bill arose out of recommendations made by a review of the ICA</w:t>
      </w:r>
      <w:r w:rsidR="00214D95">
        <w:t xml:space="preserve">.  </w:t>
      </w:r>
      <w:r>
        <w:t>Th</w:t>
      </w:r>
      <w:r w:rsidR="005F5C06">
        <w:t>e</w:t>
      </w:r>
      <w:r>
        <w:t xml:space="preserve"> review was conducted by a Panel comprising Mr Alan Cameron AM and Ms Nancy Milne (the Review Panel)</w:t>
      </w:r>
      <w:r w:rsidR="00214D95">
        <w:t xml:space="preserve">.  </w:t>
      </w:r>
      <w:r>
        <w:t>The Review Panel</w:t>
      </w:r>
      <w:r w:rsidR="00035750">
        <w:t>’</w:t>
      </w:r>
      <w:r>
        <w:t>s main conclusion was that the ICA was generally working satisfactorily to the benefit of insurers and insureds</w:t>
      </w:r>
      <w:r w:rsidR="00214D95">
        <w:t xml:space="preserve">.  </w:t>
      </w:r>
      <w:r>
        <w:t>However, the Review Panel found that some changes would be beneficial, given the passage of time since the ICA was originally enacted</w:t>
      </w:r>
      <w:r w:rsidR="00214D95">
        <w:t xml:space="preserve">.  </w:t>
      </w:r>
    </w:p>
    <w:p w:rsidR="00000789" w:rsidRDefault="00000789" w:rsidP="00000789">
      <w:pPr>
        <w:pStyle w:val="base-text-paragraph"/>
      </w:pPr>
      <w:r>
        <w:t>Consequently, the Review Panel made detailed recommendations for modifications to account for developments in the insurance market since that time and judicial interpretation of ICA provisions</w:t>
      </w:r>
      <w:r w:rsidR="00214D95">
        <w:t xml:space="preserve">.  </w:t>
      </w:r>
      <w:r>
        <w:t>This Bill gives effect to a number of the Review Panel</w:t>
      </w:r>
      <w:r w:rsidR="00035750">
        <w:t>’</w:t>
      </w:r>
      <w:r>
        <w:t>s recommendations</w:t>
      </w:r>
      <w:r w:rsidR="00214D95">
        <w:t xml:space="preserve">.  </w:t>
      </w:r>
      <w:r>
        <w:t xml:space="preserve">In several </w:t>
      </w:r>
      <w:r w:rsidR="00295AB7">
        <w:t>areas,</w:t>
      </w:r>
      <w:r>
        <w:t xml:space="preserve"> the Review Panel</w:t>
      </w:r>
      <w:r w:rsidR="00035750">
        <w:t>’</w:t>
      </w:r>
      <w:r>
        <w:t>s recommendations were modified to take account of subsequent consultations with stakeholders on the details of the proposed amendments.</w:t>
      </w:r>
    </w:p>
    <w:p w:rsidR="00000789" w:rsidRDefault="00000789" w:rsidP="0029684A">
      <w:pPr>
        <w:pStyle w:val="Heading2"/>
      </w:pPr>
      <w:r>
        <w:t>Summary of new law</w:t>
      </w:r>
    </w:p>
    <w:p w:rsidR="00000789" w:rsidRPr="00D07312" w:rsidRDefault="00000789" w:rsidP="00000789">
      <w:pPr>
        <w:pStyle w:val="base-text-paragraph"/>
      </w:pPr>
      <w:r w:rsidRPr="00000789">
        <w:t xml:space="preserve">The amendments contained in this Bill change and/or clarify the </w:t>
      </w:r>
      <w:r w:rsidRPr="00D07312">
        <w:t>application and/or scope of the ICA</w:t>
      </w:r>
      <w:r w:rsidR="00214D95">
        <w:t xml:space="preserve">.  </w:t>
      </w:r>
      <w:r w:rsidRPr="00D07312">
        <w:t>The amendments will streamline the operation of the ICA for the benefit of insurers and insureds alike</w:t>
      </w:r>
      <w:r w:rsidR="00214D95">
        <w:t xml:space="preserve">.  </w:t>
      </w:r>
    </w:p>
    <w:p w:rsidR="00000789" w:rsidRPr="00D07312" w:rsidRDefault="00000789" w:rsidP="00C95584">
      <w:pPr>
        <w:pStyle w:val="Heading2"/>
      </w:pPr>
      <w:r w:rsidRPr="00D07312">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000789" w:rsidRPr="00D07312" w:rsidTr="006F3B43">
        <w:trPr>
          <w:tblHeader/>
        </w:trPr>
        <w:tc>
          <w:tcPr>
            <w:tcW w:w="3275" w:type="dxa"/>
          </w:tcPr>
          <w:p w:rsidR="00000789" w:rsidRPr="00D07312" w:rsidRDefault="00000789" w:rsidP="0029684A">
            <w:pPr>
              <w:pStyle w:val="tableheaderwithintable"/>
              <w:rPr>
                <w:lang w:val="en-US" w:eastAsia="en-US"/>
              </w:rPr>
            </w:pPr>
            <w:r w:rsidRPr="00D07312">
              <w:rPr>
                <w:lang w:val="en-US" w:eastAsia="en-US"/>
              </w:rPr>
              <w:t>New law</w:t>
            </w:r>
          </w:p>
        </w:tc>
        <w:tc>
          <w:tcPr>
            <w:tcW w:w="3276" w:type="dxa"/>
          </w:tcPr>
          <w:p w:rsidR="00000789" w:rsidRPr="00D07312" w:rsidRDefault="00000789" w:rsidP="0029684A">
            <w:pPr>
              <w:pStyle w:val="tableheaderwithintable"/>
              <w:rPr>
                <w:lang w:val="en-US" w:eastAsia="en-US"/>
              </w:rPr>
            </w:pPr>
            <w:r w:rsidRPr="00D07312">
              <w:rPr>
                <w:lang w:val="en-US" w:eastAsia="en-US"/>
              </w:rPr>
              <w:t>Current law</w:t>
            </w:r>
          </w:p>
        </w:tc>
      </w:tr>
      <w:tr w:rsidR="00000789" w:rsidRPr="00D07312" w:rsidTr="0029684A">
        <w:tc>
          <w:tcPr>
            <w:tcW w:w="3275" w:type="dxa"/>
          </w:tcPr>
          <w:p w:rsidR="00000789" w:rsidRPr="00D07312" w:rsidRDefault="00995678" w:rsidP="005F5C06">
            <w:pPr>
              <w:pStyle w:val="tabletext"/>
              <w:rPr>
                <w:lang w:val="en-US" w:eastAsia="en-US"/>
              </w:rPr>
            </w:pPr>
            <w:r w:rsidRPr="00D07312">
              <w:rPr>
                <w:lang w:val="en-US" w:eastAsia="en-US"/>
              </w:rPr>
              <w:t>Communication</w:t>
            </w:r>
            <w:r w:rsidR="00F20BEF">
              <w:rPr>
                <w:lang w:val="en-US" w:eastAsia="en-US"/>
              </w:rPr>
              <w:t>s</w:t>
            </w:r>
            <w:r w:rsidRPr="00D07312">
              <w:rPr>
                <w:lang w:val="en-US" w:eastAsia="en-US"/>
              </w:rPr>
              <w:t xml:space="preserve"> that </w:t>
            </w:r>
            <w:r w:rsidR="00F20BEF">
              <w:rPr>
                <w:lang w:val="en-US" w:eastAsia="en-US"/>
              </w:rPr>
              <w:t>are</w:t>
            </w:r>
            <w:r w:rsidRPr="00D07312">
              <w:rPr>
                <w:lang w:val="en-US" w:eastAsia="en-US"/>
              </w:rPr>
              <w:t xml:space="preserve"> required to be made in writing may be made by electronic means</w:t>
            </w:r>
            <w:r w:rsidR="00214D95">
              <w:rPr>
                <w:lang w:val="en-US" w:eastAsia="en-US"/>
              </w:rPr>
              <w:t xml:space="preserve">.  </w:t>
            </w:r>
          </w:p>
        </w:tc>
        <w:tc>
          <w:tcPr>
            <w:tcW w:w="3276" w:type="dxa"/>
          </w:tcPr>
          <w:p w:rsidR="00000789" w:rsidRPr="00D07312" w:rsidRDefault="00995678" w:rsidP="00995678">
            <w:pPr>
              <w:pStyle w:val="tabletext"/>
              <w:rPr>
                <w:lang w:val="en-US" w:eastAsia="en-US"/>
              </w:rPr>
            </w:pPr>
            <w:r w:rsidRPr="00D07312">
              <w:rPr>
                <w:lang w:val="en-US" w:eastAsia="en-US"/>
              </w:rPr>
              <w:t xml:space="preserve">Certain communications (those required to be made in writing) under the ICA are currently exempt from the operation of the </w:t>
            </w:r>
            <w:r w:rsidRPr="00D07312">
              <w:rPr>
                <w:i/>
                <w:lang w:val="en-US" w:eastAsia="en-US"/>
              </w:rPr>
              <w:t>Electronic Transactions Act 1999</w:t>
            </w:r>
            <w:r w:rsidRPr="00D07312">
              <w:rPr>
                <w:lang w:val="en-US" w:eastAsia="en-US"/>
              </w:rPr>
              <w:t xml:space="preserve"> (ETA)</w:t>
            </w:r>
            <w:r w:rsidR="00214D95">
              <w:rPr>
                <w:lang w:val="en-US" w:eastAsia="en-US"/>
              </w:rPr>
              <w:t xml:space="preserve">.  </w:t>
            </w:r>
          </w:p>
        </w:tc>
      </w:tr>
      <w:tr w:rsidR="00995678" w:rsidRPr="00D07312" w:rsidTr="0029684A">
        <w:tc>
          <w:tcPr>
            <w:tcW w:w="3275" w:type="dxa"/>
          </w:tcPr>
          <w:p w:rsidR="00995678" w:rsidRPr="00D07312" w:rsidRDefault="007A0C98" w:rsidP="007A0C98">
            <w:pPr>
              <w:pStyle w:val="tabletext"/>
              <w:rPr>
                <w:lang w:val="en-US" w:eastAsia="en-US"/>
              </w:rPr>
            </w:pPr>
            <w:r w:rsidRPr="00D07312">
              <w:rPr>
                <w:lang w:val="en-US" w:eastAsia="en-US"/>
              </w:rPr>
              <w:t xml:space="preserve">The test for the duty of disclosure provides factors to help in the interpretation of the </w:t>
            </w:r>
            <w:r w:rsidR="00886346" w:rsidRPr="00D07312">
              <w:rPr>
                <w:lang w:val="en-US" w:eastAsia="en-US"/>
              </w:rPr>
              <w:t>disclosure provisions</w:t>
            </w:r>
            <w:r w:rsidR="00AD48FF" w:rsidRPr="00D07312">
              <w:rPr>
                <w:lang w:val="en-US" w:eastAsia="en-US"/>
              </w:rPr>
              <w:t>.</w:t>
            </w:r>
          </w:p>
        </w:tc>
        <w:tc>
          <w:tcPr>
            <w:tcW w:w="3276" w:type="dxa"/>
          </w:tcPr>
          <w:p w:rsidR="00995678" w:rsidRPr="00D07312" w:rsidRDefault="007A0C98" w:rsidP="0029684A">
            <w:pPr>
              <w:pStyle w:val="tabletext"/>
              <w:rPr>
                <w:lang w:val="en-US" w:eastAsia="en-US"/>
              </w:rPr>
            </w:pPr>
            <w:r w:rsidRPr="00D07312">
              <w:rPr>
                <w:lang w:val="en-US" w:eastAsia="en-US"/>
              </w:rPr>
              <w:t>The current test for the duty of disclosure impose</w:t>
            </w:r>
            <w:r w:rsidR="00F20BEF">
              <w:rPr>
                <w:lang w:val="en-US" w:eastAsia="en-US"/>
              </w:rPr>
              <w:t>s</w:t>
            </w:r>
            <w:r w:rsidRPr="00D07312">
              <w:rPr>
                <w:lang w:val="en-US" w:eastAsia="en-US"/>
              </w:rPr>
              <w:t xml:space="preserve"> an unreasonable burden on insureds to know what an insurer regards as relevant to its decision</w:t>
            </w:r>
            <w:r w:rsidR="00F20BEF">
              <w:rPr>
                <w:lang w:val="en-US" w:eastAsia="en-US"/>
              </w:rPr>
              <w:t xml:space="preserve"> of</w:t>
            </w:r>
            <w:r w:rsidRPr="00D07312">
              <w:rPr>
                <w:lang w:val="en-US" w:eastAsia="en-US"/>
              </w:rPr>
              <w:t xml:space="preserve"> whether to enter into a contract of insurance</w:t>
            </w:r>
            <w:r w:rsidR="00214D95">
              <w:rPr>
                <w:lang w:val="en-US" w:eastAsia="en-US"/>
              </w:rPr>
              <w:t xml:space="preserve">.  </w:t>
            </w:r>
          </w:p>
        </w:tc>
      </w:tr>
      <w:tr w:rsidR="00995678" w:rsidRPr="00D07312" w:rsidTr="0029684A">
        <w:tc>
          <w:tcPr>
            <w:tcW w:w="3275" w:type="dxa"/>
          </w:tcPr>
          <w:p w:rsidR="00995678" w:rsidRPr="00D07312" w:rsidRDefault="00886346" w:rsidP="00886346">
            <w:pPr>
              <w:pStyle w:val="tabletext"/>
              <w:rPr>
                <w:lang w:val="en-US" w:eastAsia="en-US"/>
              </w:rPr>
            </w:pPr>
            <w:r w:rsidRPr="00D07312">
              <w:rPr>
                <w:lang w:val="en-US" w:eastAsia="en-US"/>
              </w:rPr>
              <w:t>The notification of the duty of disclosure in relation to eligible contracts of insurance covers the time a contract is entered into and at the time of renewal.</w:t>
            </w:r>
          </w:p>
        </w:tc>
        <w:tc>
          <w:tcPr>
            <w:tcW w:w="3276" w:type="dxa"/>
          </w:tcPr>
          <w:p w:rsidR="00995678" w:rsidRPr="00D07312" w:rsidRDefault="00AD48FF" w:rsidP="0029684A">
            <w:pPr>
              <w:pStyle w:val="tabletext"/>
              <w:rPr>
                <w:lang w:val="en-US" w:eastAsia="en-US"/>
              </w:rPr>
            </w:pPr>
            <w:r w:rsidRPr="00D07312">
              <w:rPr>
                <w:lang w:val="en-US" w:eastAsia="en-US"/>
              </w:rPr>
              <w:t>The notice requirements surrounding an insureds duty of disclosure, when entering into an eligible contract of insurance, do not extend to the renewal of eligible contracts of insurance</w:t>
            </w:r>
            <w:r w:rsidR="00214D95">
              <w:rPr>
                <w:lang w:val="en-US" w:eastAsia="en-US"/>
              </w:rPr>
              <w:t xml:space="preserve">.  </w:t>
            </w:r>
          </w:p>
        </w:tc>
      </w:tr>
      <w:tr w:rsidR="00995678" w:rsidRPr="00D07312" w:rsidTr="0029684A">
        <w:tc>
          <w:tcPr>
            <w:tcW w:w="3275" w:type="dxa"/>
          </w:tcPr>
          <w:p w:rsidR="00995678" w:rsidRPr="00D07312" w:rsidRDefault="00886346" w:rsidP="00886346">
            <w:pPr>
              <w:pStyle w:val="tabletext"/>
              <w:rPr>
                <w:lang w:val="en-US" w:eastAsia="en-US"/>
              </w:rPr>
            </w:pPr>
            <w:r w:rsidRPr="00D07312">
              <w:rPr>
                <w:lang w:val="en-US" w:eastAsia="en-US"/>
              </w:rPr>
              <w:t>An insured must be reminded, at the time the contract is issued, that the duty of disclosure continues until the contract is entered into.</w:t>
            </w:r>
          </w:p>
        </w:tc>
        <w:tc>
          <w:tcPr>
            <w:tcW w:w="3276" w:type="dxa"/>
          </w:tcPr>
          <w:p w:rsidR="00995678" w:rsidRPr="00D07312" w:rsidRDefault="00886346" w:rsidP="00886346">
            <w:pPr>
              <w:pStyle w:val="tabletext"/>
              <w:rPr>
                <w:lang w:val="en-US" w:eastAsia="en-US"/>
              </w:rPr>
            </w:pPr>
            <w:r w:rsidRPr="00D07312">
              <w:rPr>
                <w:lang w:val="en-US" w:eastAsia="en-US"/>
              </w:rPr>
              <w:t>An insured must be advised of their duty of disclosure at the time the insured subm</w:t>
            </w:r>
            <w:r w:rsidR="00AD48FF" w:rsidRPr="00D07312">
              <w:rPr>
                <w:lang w:val="en-US" w:eastAsia="en-US"/>
              </w:rPr>
              <w:t>its an application of insurance.</w:t>
            </w:r>
          </w:p>
        </w:tc>
      </w:tr>
      <w:tr w:rsidR="00995678" w:rsidRPr="00D07312" w:rsidTr="0029684A">
        <w:tc>
          <w:tcPr>
            <w:tcW w:w="3275" w:type="dxa"/>
          </w:tcPr>
          <w:p w:rsidR="00E06323" w:rsidRDefault="008D6498" w:rsidP="00E06323">
            <w:pPr>
              <w:pStyle w:val="tabletext"/>
              <w:rPr>
                <w:lang w:val="en-US" w:eastAsia="en-US"/>
              </w:rPr>
            </w:pPr>
            <w:r w:rsidRPr="00D07312">
              <w:rPr>
                <w:lang w:val="en-US" w:eastAsia="en-US"/>
              </w:rPr>
              <w:t>Non</w:t>
            </w:r>
            <w:r w:rsidR="00214D95">
              <w:rPr>
                <w:lang w:val="en-US" w:eastAsia="en-US"/>
              </w:rPr>
              <w:noBreakHyphen/>
            </w:r>
            <w:r w:rsidRPr="00D07312">
              <w:rPr>
                <w:lang w:val="en-US" w:eastAsia="en-US"/>
              </w:rPr>
              <w:t xml:space="preserve">disclosures and misrepresentations by a </w:t>
            </w:r>
            <w:r w:rsidR="00035750">
              <w:rPr>
                <w:lang w:val="en-US" w:eastAsia="en-US"/>
              </w:rPr>
              <w:t>‘</w:t>
            </w:r>
            <w:r w:rsidRPr="00D07312">
              <w:rPr>
                <w:lang w:val="en-US" w:eastAsia="en-US"/>
              </w:rPr>
              <w:t>life insured</w:t>
            </w:r>
            <w:r w:rsidR="00035750">
              <w:rPr>
                <w:lang w:val="en-US" w:eastAsia="en-US"/>
              </w:rPr>
              <w:t>’</w:t>
            </w:r>
            <w:r w:rsidR="00AD48FF" w:rsidRPr="00D07312">
              <w:rPr>
                <w:lang w:val="en-US" w:eastAsia="en-US"/>
              </w:rPr>
              <w:t xml:space="preserve"> </w:t>
            </w:r>
            <w:r w:rsidRPr="00D07312">
              <w:rPr>
                <w:lang w:val="en-US" w:eastAsia="en-US"/>
              </w:rPr>
              <w:t>(that is a person other than the insured whose life is insured under the contract of life insurance) are treated as if they were made by the insured themselves</w:t>
            </w:r>
            <w:r w:rsidR="00AD48FF" w:rsidRPr="00D07312">
              <w:rPr>
                <w:lang w:val="en-US" w:eastAsia="en-US"/>
              </w:rPr>
              <w:t>.</w:t>
            </w:r>
          </w:p>
          <w:p w:rsidR="00E06323" w:rsidRPr="00D07312" w:rsidRDefault="00E06323" w:rsidP="00E06323">
            <w:pPr>
              <w:pStyle w:val="tabletext"/>
              <w:rPr>
                <w:lang w:val="en-US" w:eastAsia="en-US"/>
              </w:rPr>
            </w:pPr>
            <w:r w:rsidRPr="00D07312">
              <w:rPr>
                <w:lang w:val="en-US" w:eastAsia="en-US"/>
              </w:rPr>
              <w:t>Insurers may, if an insured fails to comply with the duty of disclosure or makes a misrepresentation fraudulently, avoid the contract.</w:t>
            </w:r>
          </w:p>
          <w:p w:rsidR="00E06323" w:rsidRPr="00D07312" w:rsidRDefault="00E06323" w:rsidP="00E06323">
            <w:pPr>
              <w:pStyle w:val="tabletext"/>
              <w:rPr>
                <w:lang w:val="en-US" w:eastAsia="en-US"/>
              </w:rPr>
            </w:pPr>
            <w:r w:rsidRPr="00D07312">
              <w:rPr>
                <w:lang w:val="en-US" w:eastAsia="en-US"/>
              </w:rPr>
              <w:t>Insurers may if an insured innocently fails to comply with the duty of disclosure or makes an innocent misrepresentation:</w:t>
            </w:r>
          </w:p>
          <w:p w:rsidR="00995678" w:rsidRPr="00E06323" w:rsidRDefault="00E06323" w:rsidP="008D6498">
            <w:pPr>
              <w:pStyle w:val="tabledotpoint"/>
              <w:rPr>
                <w:lang w:val="en-US" w:eastAsia="en-US"/>
              </w:rPr>
            </w:pPr>
            <w:r w:rsidRPr="00D07312">
              <w:rPr>
                <w:lang w:val="en-US" w:eastAsia="en-US"/>
              </w:rPr>
              <w:t xml:space="preserve">avoid the contract within the first </w:t>
            </w:r>
            <w:r>
              <w:rPr>
                <w:lang w:val="en-US" w:eastAsia="en-US"/>
              </w:rPr>
              <w:t>three</w:t>
            </w:r>
            <w:r w:rsidRPr="00D07312">
              <w:rPr>
                <w:lang w:val="en-US" w:eastAsia="en-US"/>
              </w:rPr>
              <w:t xml:space="preserve"> years of the contract being entered into if the insurer would not have been prepared to enter </w:t>
            </w:r>
            <w:r>
              <w:rPr>
                <w:lang w:val="en-US" w:eastAsia="en-US"/>
              </w:rPr>
              <w:t>into the contract on any terms;</w:t>
            </w:r>
          </w:p>
        </w:tc>
        <w:tc>
          <w:tcPr>
            <w:tcW w:w="3276" w:type="dxa"/>
          </w:tcPr>
          <w:p w:rsidR="00995678" w:rsidRDefault="008D6498" w:rsidP="0029684A">
            <w:pPr>
              <w:pStyle w:val="tabletext"/>
              <w:rPr>
                <w:lang w:val="en-US" w:eastAsia="en-US"/>
              </w:rPr>
            </w:pPr>
            <w:r w:rsidRPr="00D07312">
              <w:rPr>
                <w:lang w:val="en-US" w:eastAsia="en-US"/>
              </w:rPr>
              <w:t xml:space="preserve">Only misrepresentations by a </w:t>
            </w:r>
            <w:r w:rsidR="00035750">
              <w:rPr>
                <w:lang w:val="en-US" w:eastAsia="en-US"/>
              </w:rPr>
              <w:t>‘</w:t>
            </w:r>
            <w:r w:rsidRPr="00D07312">
              <w:rPr>
                <w:lang w:val="en-US" w:eastAsia="en-US"/>
              </w:rPr>
              <w:t xml:space="preserve">life </w:t>
            </w:r>
            <w:r w:rsidR="00295AB7" w:rsidRPr="00D07312">
              <w:rPr>
                <w:lang w:val="en-US" w:eastAsia="en-US"/>
              </w:rPr>
              <w:t>insured</w:t>
            </w:r>
            <w:r w:rsidR="00035750">
              <w:rPr>
                <w:lang w:val="en-US" w:eastAsia="en-US"/>
              </w:rPr>
              <w:t>’</w:t>
            </w:r>
            <w:r w:rsidR="00295AB7" w:rsidRPr="00D07312">
              <w:rPr>
                <w:lang w:val="en-US" w:eastAsia="en-US"/>
              </w:rPr>
              <w:t xml:space="preserve"> (</w:t>
            </w:r>
            <w:r w:rsidRPr="00D07312">
              <w:rPr>
                <w:lang w:val="en-US" w:eastAsia="en-US"/>
              </w:rPr>
              <w:t>that is a person other than the insured whose life is insured under the contract of life insurance) are treated as if they were made by the insured themselves</w:t>
            </w:r>
            <w:r w:rsidR="00214D95">
              <w:rPr>
                <w:lang w:val="en-US" w:eastAsia="en-US"/>
              </w:rPr>
              <w:t xml:space="preserve">.  </w:t>
            </w:r>
          </w:p>
          <w:p w:rsidR="00E06323" w:rsidRPr="00D07312" w:rsidRDefault="00E06323" w:rsidP="00E06323">
            <w:pPr>
              <w:pStyle w:val="tabletext"/>
              <w:rPr>
                <w:lang w:val="en-US" w:eastAsia="en-US"/>
              </w:rPr>
            </w:pPr>
            <w:r w:rsidRPr="00D07312">
              <w:rPr>
                <w:lang w:val="en-US" w:eastAsia="en-US"/>
              </w:rPr>
              <w:t>Insurers may, if an insured fails to comply with the duty of disclosure or makes a misrepresentation fraudulently, avoid the contract.</w:t>
            </w:r>
          </w:p>
          <w:p w:rsidR="00E06323" w:rsidRPr="00D07312" w:rsidRDefault="00E06323" w:rsidP="00E06323">
            <w:pPr>
              <w:pStyle w:val="tabletext"/>
              <w:rPr>
                <w:lang w:val="en-US" w:eastAsia="en-US"/>
              </w:rPr>
            </w:pPr>
            <w:r w:rsidRPr="00D07312">
              <w:rPr>
                <w:lang w:val="en-US" w:eastAsia="en-US"/>
              </w:rPr>
              <w:t>Insurers may if an insured innocently fails to comply with the duty of disclosure or makes an innocent misrepresentation within the first three years of the contract:</w:t>
            </w:r>
          </w:p>
          <w:p w:rsidR="00E06323" w:rsidRPr="00D07312" w:rsidRDefault="00E06323" w:rsidP="005F5C06">
            <w:pPr>
              <w:pStyle w:val="tabledotpoint"/>
              <w:rPr>
                <w:lang w:val="en-US" w:eastAsia="en-US"/>
              </w:rPr>
            </w:pPr>
            <w:r w:rsidRPr="00D07312">
              <w:rPr>
                <w:lang w:val="en-US" w:eastAsia="en-US"/>
              </w:rPr>
              <w:t>avoid the contract if the insurer would not have been prepared to enter into the contract on any terms; or</w:t>
            </w:r>
          </w:p>
        </w:tc>
      </w:tr>
    </w:tbl>
    <w:p w:rsidR="00E06323" w:rsidRDefault="00E06323"/>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E06323" w:rsidRPr="00D07312" w:rsidTr="0029684A">
        <w:tc>
          <w:tcPr>
            <w:tcW w:w="3275" w:type="dxa"/>
          </w:tcPr>
          <w:p w:rsidR="00E06323" w:rsidRPr="00D07312" w:rsidRDefault="00E06323" w:rsidP="00E06323">
            <w:pPr>
              <w:pStyle w:val="tableheaderwithintable"/>
              <w:rPr>
                <w:lang w:val="en-US" w:eastAsia="en-US"/>
              </w:rPr>
            </w:pPr>
            <w:r w:rsidRPr="00D07312">
              <w:rPr>
                <w:lang w:val="en-US" w:eastAsia="en-US"/>
              </w:rPr>
              <w:lastRenderedPageBreak/>
              <w:t>New law</w:t>
            </w:r>
          </w:p>
        </w:tc>
        <w:tc>
          <w:tcPr>
            <w:tcW w:w="3276" w:type="dxa"/>
          </w:tcPr>
          <w:p w:rsidR="00E06323" w:rsidRPr="00D07312" w:rsidRDefault="00E06323" w:rsidP="00E06323">
            <w:pPr>
              <w:pStyle w:val="tableheaderwithintable"/>
              <w:rPr>
                <w:lang w:val="en-US" w:eastAsia="en-US"/>
              </w:rPr>
            </w:pPr>
            <w:r w:rsidRPr="00D07312">
              <w:rPr>
                <w:lang w:val="en-US" w:eastAsia="en-US"/>
              </w:rPr>
              <w:t>Current law</w:t>
            </w:r>
          </w:p>
        </w:tc>
      </w:tr>
      <w:tr w:rsidR="00E06323" w:rsidRPr="00D07312" w:rsidTr="0029684A">
        <w:tc>
          <w:tcPr>
            <w:tcW w:w="3275" w:type="dxa"/>
          </w:tcPr>
          <w:p w:rsidR="00E06323" w:rsidRPr="00D07312" w:rsidRDefault="00E06323" w:rsidP="00E06323">
            <w:pPr>
              <w:pStyle w:val="tabledotpoint"/>
              <w:keepNext/>
              <w:rPr>
                <w:lang w:val="en-US" w:eastAsia="en-US"/>
              </w:rPr>
            </w:pPr>
            <w:r w:rsidRPr="00D07312">
              <w:rPr>
                <w:lang w:val="en-US" w:eastAsia="en-US"/>
              </w:rPr>
              <w:t>at any time after the contract was entered into, vary the sum insured under the policy by a factor calculated by a reference to the premiums changed as a proportion of the premiums that would have been changed; or</w:t>
            </w:r>
          </w:p>
          <w:p w:rsidR="00E06323" w:rsidRPr="00D07312" w:rsidRDefault="00E06323" w:rsidP="00E06323">
            <w:pPr>
              <w:pStyle w:val="tabledotpoint"/>
              <w:keepNext/>
              <w:rPr>
                <w:lang w:val="en-US" w:eastAsia="en-US"/>
              </w:rPr>
            </w:pPr>
            <w:proofErr w:type="gramStart"/>
            <w:r w:rsidRPr="00D07312">
              <w:rPr>
                <w:lang w:val="en-US" w:eastAsia="en-US"/>
              </w:rPr>
              <w:t>vary</w:t>
            </w:r>
            <w:proofErr w:type="gramEnd"/>
            <w:r w:rsidRPr="00D07312">
              <w:rPr>
                <w:lang w:val="en-US" w:eastAsia="en-US"/>
              </w:rPr>
              <w:t xml:space="preserve"> the contract to place them in the position they would have been</w:t>
            </w:r>
            <w:r>
              <w:rPr>
                <w:lang w:val="en-US" w:eastAsia="en-US"/>
              </w:rPr>
              <w:t xml:space="preserve"> in</w:t>
            </w:r>
            <w:r w:rsidRPr="00D07312">
              <w:rPr>
                <w:lang w:val="en-US" w:eastAsia="en-US"/>
              </w:rPr>
              <w:t xml:space="preserve"> </w:t>
            </w:r>
            <w:r>
              <w:rPr>
                <w:lang w:val="en-US" w:eastAsia="en-US"/>
              </w:rPr>
              <w:t>if</w:t>
            </w:r>
            <w:r w:rsidRPr="00D07312">
              <w:rPr>
                <w:lang w:val="en-US" w:eastAsia="en-US"/>
              </w:rPr>
              <w:t xml:space="preserve"> the breach of the duty of disclosure or misrepresentation had not occurred</w:t>
            </w:r>
            <w:r w:rsidR="00214D95">
              <w:rPr>
                <w:lang w:val="en-US" w:eastAsia="en-US"/>
              </w:rPr>
              <w:t xml:space="preserve">.  </w:t>
            </w:r>
            <w:r w:rsidRPr="00D07312">
              <w:rPr>
                <w:lang w:val="en-US" w:eastAsia="en-US"/>
              </w:rPr>
              <w:t>Provided the variation is not inconsistent with how other reasonable prudent insurers would have varied similar contracts of insurance</w:t>
            </w:r>
            <w:r w:rsidR="00214D95">
              <w:rPr>
                <w:lang w:val="en-US" w:eastAsia="en-US"/>
              </w:rPr>
              <w:t xml:space="preserve">.  </w:t>
            </w:r>
          </w:p>
        </w:tc>
        <w:tc>
          <w:tcPr>
            <w:tcW w:w="3276" w:type="dxa"/>
          </w:tcPr>
          <w:p w:rsidR="00E06323" w:rsidRPr="00625E87" w:rsidRDefault="00E06323" w:rsidP="00E06323">
            <w:pPr>
              <w:pStyle w:val="tabledotpoint"/>
              <w:keepNext/>
              <w:rPr>
                <w:lang w:val="en-US" w:eastAsia="en-US"/>
              </w:rPr>
            </w:pPr>
            <w:proofErr w:type="gramStart"/>
            <w:r w:rsidRPr="00D07312">
              <w:rPr>
                <w:lang w:val="en-US" w:eastAsia="en-US"/>
              </w:rPr>
              <w:t>vary</w:t>
            </w:r>
            <w:proofErr w:type="gramEnd"/>
            <w:r w:rsidRPr="00D07312">
              <w:rPr>
                <w:lang w:val="en-US" w:eastAsia="en-US"/>
              </w:rPr>
              <w:t xml:space="preserve"> the sum insured under the policy by a factor calculated by a reference to the premiums changed as a proportion of the premiums that would have been changed.</w:t>
            </w:r>
          </w:p>
        </w:tc>
      </w:tr>
      <w:tr w:rsidR="00E06323" w:rsidRPr="00D07312" w:rsidTr="0029684A">
        <w:tc>
          <w:tcPr>
            <w:tcW w:w="3275" w:type="dxa"/>
          </w:tcPr>
          <w:p w:rsidR="00E06323" w:rsidRPr="00D07312" w:rsidRDefault="00E06323" w:rsidP="000432E2">
            <w:pPr>
              <w:pStyle w:val="tabletext"/>
              <w:rPr>
                <w:lang w:val="en-US" w:eastAsia="en-US"/>
              </w:rPr>
            </w:pPr>
            <w:r w:rsidRPr="00D07312">
              <w:rPr>
                <w:lang w:val="en-US" w:eastAsia="en-US"/>
              </w:rPr>
              <w:t>Third party beneficiaries:</w:t>
            </w:r>
          </w:p>
          <w:p w:rsidR="00E06323" w:rsidRPr="00D07312" w:rsidRDefault="00E06323" w:rsidP="00AD48FF">
            <w:pPr>
              <w:pStyle w:val="tabledotpoint"/>
              <w:rPr>
                <w:lang w:val="en-US" w:eastAsia="en-US"/>
              </w:rPr>
            </w:pPr>
            <w:r w:rsidRPr="00D07312">
              <w:rPr>
                <w:lang w:val="en-US" w:eastAsia="en-US"/>
              </w:rPr>
              <w:t>have access to particular rights and obligations currently held by insureds;</w:t>
            </w:r>
            <w:r>
              <w:rPr>
                <w:lang w:val="en-US" w:eastAsia="en-US"/>
              </w:rPr>
              <w:t xml:space="preserve"> and</w:t>
            </w:r>
          </w:p>
          <w:p w:rsidR="00E06323" w:rsidRPr="00D07312" w:rsidRDefault="00E06323" w:rsidP="00AD48FF">
            <w:pPr>
              <w:pStyle w:val="tabledotpoint"/>
              <w:rPr>
                <w:lang w:val="en-US" w:eastAsia="en-US"/>
              </w:rPr>
            </w:pPr>
            <w:proofErr w:type="gramStart"/>
            <w:r w:rsidRPr="00D07312">
              <w:rPr>
                <w:lang w:val="en-US" w:eastAsia="en-US"/>
              </w:rPr>
              <w:t>may</w:t>
            </w:r>
            <w:proofErr w:type="gramEnd"/>
            <w:r w:rsidRPr="00D07312">
              <w:rPr>
                <w:lang w:val="en-US" w:eastAsia="en-US"/>
              </w:rPr>
              <w:t xml:space="preserve"> recover directly against the insurer</w:t>
            </w:r>
            <w:r>
              <w:rPr>
                <w:lang w:val="en-US" w:eastAsia="en-US"/>
              </w:rPr>
              <w:t>,</w:t>
            </w:r>
            <w:r w:rsidRPr="00D07312">
              <w:rPr>
                <w:lang w:val="en-US" w:eastAsia="en-US"/>
              </w:rPr>
              <w:t xml:space="preserve"> with damages claims against an insured or third party beneficiary </w:t>
            </w:r>
            <w:r>
              <w:rPr>
                <w:lang w:val="en-US" w:eastAsia="en-US"/>
              </w:rPr>
              <w:t>who has died or cannot be found.</w:t>
            </w:r>
          </w:p>
          <w:p w:rsidR="00E06323" w:rsidRPr="00D07312" w:rsidRDefault="00E06323" w:rsidP="000432E2">
            <w:pPr>
              <w:pStyle w:val="tabletext"/>
              <w:rPr>
                <w:lang w:val="en-US" w:eastAsia="en-US"/>
              </w:rPr>
            </w:pPr>
            <w:r w:rsidRPr="00D07312">
              <w:rPr>
                <w:lang w:val="en-US" w:eastAsia="en-US"/>
              </w:rPr>
              <w:t>In addition:</w:t>
            </w:r>
          </w:p>
          <w:p w:rsidR="00E06323" w:rsidRPr="00D07312" w:rsidRDefault="00E06323" w:rsidP="00AD48FF">
            <w:pPr>
              <w:pStyle w:val="tabledotpoint"/>
              <w:rPr>
                <w:lang w:val="en-US" w:eastAsia="en-US"/>
              </w:rPr>
            </w:pPr>
            <w:r w:rsidRPr="00D07312">
              <w:rPr>
                <w:lang w:val="en-US" w:eastAsia="en-US"/>
              </w:rPr>
              <w:t xml:space="preserve">ASIC has the power to bring representative actions on behalf of third party beneficiaries; </w:t>
            </w:r>
          </w:p>
          <w:p w:rsidR="00E06323" w:rsidRPr="00D07312" w:rsidRDefault="00E06323" w:rsidP="00AD48FF">
            <w:pPr>
              <w:pStyle w:val="tabledotpoint"/>
              <w:rPr>
                <w:lang w:val="en-US" w:eastAsia="en-US"/>
              </w:rPr>
            </w:pPr>
            <w:r w:rsidRPr="00D07312">
              <w:rPr>
                <w:lang w:val="en-US" w:eastAsia="en-US"/>
              </w:rPr>
              <w:t>remedies for misrepresentation and non</w:t>
            </w:r>
            <w:r w:rsidR="00214D95">
              <w:rPr>
                <w:lang w:val="en-US" w:eastAsia="en-US"/>
              </w:rPr>
              <w:noBreakHyphen/>
            </w:r>
            <w:r w:rsidRPr="00D07312">
              <w:rPr>
                <w:lang w:val="en-US" w:eastAsia="en-US"/>
              </w:rPr>
              <w:t>disclosure are available in relation to contracts of life insurance that are offered as part of a group scheme that is unrelated to superannuation;</w:t>
            </w:r>
            <w:r>
              <w:rPr>
                <w:lang w:val="en-US" w:eastAsia="en-US"/>
              </w:rPr>
              <w:t xml:space="preserve"> and</w:t>
            </w:r>
          </w:p>
          <w:p w:rsidR="00E06323" w:rsidRPr="00D07312" w:rsidRDefault="00E06323" w:rsidP="00AD48FF">
            <w:pPr>
              <w:pStyle w:val="tabledotpoint"/>
              <w:rPr>
                <w:lang w:val="en-US" w:eastAsia="en-US"/>
              </w:rPr>
            </w:pPr>
            <w:proofErr w:type="gramStart"/>
            <w:r w:rsidRPr="00D07312">
              <w:rPr>
                <w:lang w:val="en-US" w:eastAsia="en-US"/>
              </w:rPr>
              <w:t>remedies</w:t>
            </w:r>
            <w:proofErr w:type="gramEnd"/>
            <w:r w:rsidRPr="00D07312">
              <w:rPr>
                <w:lang w:val="en-US" w:eastAsia="en-US"/>
              </w:rPr>
              <w:t xml:space="preserve"> are available in respect of any misrepresentation or non</w:t>
            </w:r>
            <w:r w:rsidR="00214D95">
              <w:rPr>
                <w:lang w:val="en-US" w:eastAsia="en-US"/>
              </w:rPr>
              <w:noBreakHyphen/>
            </w:r>
            <w:r w:rsidRPr="00D07312">
              <w:rPr>
                <w:lang w:val="en-US" w:eastAsia="en-US"/>
              </w:rPr>
              <w:t>disclosure that occurs between the time an insured became a member of a superannuation or other group scheme and when the life insurance cover takes effect.</w:t>
            </w:r>
          </w:p>
        </w:tc>
        <w:tc>
          <w:tcPr>
            <w:tcW w:w="3276" w:type="dxa"/>
          </w:tcPr>
          <w:p w:rsidR="00E06323" w:rsidRPr="00D07312" w:rsidRDefault="00E06323" w:rsidP="000432E2">
            <w:pPr>
              <w:pStyle w:val="tabletext"/>
              <w:rPr>
                <w:lang w:val="en-US" w:eastAsia="en-US"/>
              </w:rPr>
            </w:pPr>
            <w:r w:rsidRPr="00D07312">
              <w:rPr>
                <w:lang w:val="en-US" w:eastAsia="en-US"/>
              </w:rPr>
              <w:t>Third party beneficiaries are not generally</w:t>
            </w:r>
            <w:r w:rsidRPr="00D07312">
              <w:rPr>
                <w:lang w:eastAsia="en-US"/>
              </w:rPr>
              <w:t xml:space="preserve"> recognised</w:t>
            </w:r>
            <w:r w:rsidRPr="00D07312">
              <w:rPr>
                <w:lang w:val="en-US" w:eastAsia="en-US"/>
              </w:rPr>
              <w:t xml:space="preserve"> in the ICA</w:t>
            </w:r>
            <w:r w:rsidR="00214D95">
              <w:rPr>
                <w:lang w:val="en-US" w:eastAsia="en-US"/>
              </w:rPr>
              <w:t xml:space="preserve">.  </w:t>
            </w:r>
          </w:p>
        </w:tc>
      </w:tr>
    </w:tbl>
    <w:p w:rsidR="00000789" w:rsidRPr="00D07312" w:rsidRDefault="00000789" w:rsidP="00C95584">
      <w:pPr>
        <w:pStyle w:val="Heading2"/>
      </w:pPr>
      <w:r w:rsidRPr="00D07312">
        <w:lastRenderedPageBreak/>
        <w:t>Detailed explanation of new law</w:t>
      </w:r>
    </w:p>
    <w:p w:rsidR="00000789" w:rsidRPr="00D07312" w:rsidRDefault="00000789" w:rsidP="00C95584">
      <w:pPr>
        <w:pStyle w:val="Heading3"/>
      </w:pPr>
      <w:r w:rsidRPr="00D07312">
        <w:t>Schedule 1</w:t>
      </w:r>
      <w:r w:rsidR="0014053A">
        <w:t xml:space="preserve"> — </w:t>
      </w:r>
      <w:r w:rsidR="00611C92">
        <w:t>Scope and application</w:t>
      </w:r>
    </w:p>
    <w:p w:rsidR="00000789" w:rsidRPr="00D07312" w:rsidRDefault="00000789" w:rsidP="00C95584">
      <w:pPr>
        <w:pStyle w:val="Heading4"/>
      </w:pPr>
      <w:r w:rsidRPr="00D07312">
        <w:t>Part 1</w:t>
      </w:r>
      <w:r w:rsidR="0014053A">
        <w:t xml:space="preserve"> — </w:t>
      </w:r>
      <w:r w:rsidR="00611C92">
        <w:t>Duty of utmost good faith</w:t>
      </w:r>
    </w:p>
    <w:p w:rsidR="00000789" w:rsidRPr="00D07312" w:rsidRDefault="00000789" w:rsidP="00000789">
      <w:pPr>
        <w:pStyle w:val="Heading5"/>
      </w:pPr>
      <w:r w:rsidRPr="00D07312">
        <w:t>Breach of the duty of utmost good faith</w:t>
      </w:r>
    </w:p>
    <w:p w:rsidR="00000789" w:rsidRPr="00D07312" w:rsidRDefault="00000789" w:rsidP="00000789">
      <w:pPr>
        <w:pStyle w:val="base-text-paragraph"/>
      </w:pPr>
      <w:r w:rsidRPr="00D07312">
        <w:t>There is implied into all contracts of insurance, pursuant to section 13 of the ICA, a provision that requires each party to that contract of insurance to act with the utmost good faith towards the other party in respect of any matters arising under or in relation to the contract.</w:t>
      </w:r>
    </w:p>
    <w:p w:rsidR="00000789" w:rsidRPr="00D07312" w:rsidRDefault="00000789" w:rsidP="00000789">
      <w:pPr>
        <w:pStyle w:val="base-text-paragraph"/>
      </w:pPr>
      <w:r w:rsidRPr="00D07312">
        <w:t>Under the current law, parties to a contract of insurance may enforce compliance with this implied duty of utmost good faith through private legal action</w:t>
      </w:r>
      <w:r w:rsidR="00214D95">
        <w:t xml:space="preserve">.  </w:t>
      </w:r>
      <w:r w:rsidRPr="00D07312">
        <w:t xml:space="preserve">However, this may present too great an expense for some parties and does not provide </w:t>
      </w:r>
      <w:r w:rsidR="00295AB7" w:rsidRPr="00D07312">
        <w:t>long</w:t>
      </w:r>
      <w:r w:rsidR="00214D95">
        <w:noBreakHyphen/>
      </w:r>
      <w:r w:rsidR="00295AB7" w:rsidRPr="00D07312">
        <w:t>term</w:t>
      </w:r>
      <w:r w:rsidRPr="00D07312">
        <w:t xml:space="preserve"> solutions to systemic breaches of utmost good faith committed over time.</w:t>
      </w:r>
    </w:p>
    <w:p w:rsidR="00000789" w:rsidRPr="00D07312" w:rsidRDefault="00000789" w:rsidP="00000789">
      <w:pPr>
        <w:pStyle w:val="base-text-paragraph"/>
      </w:pPr>
      <w:r w:rsidRPr="00D07312">
        <w:t>A breach of the duty of utmost good faith in Section 13 of the ICA has been amended so that a breach of the duty of utmost good faith is a breach of the ICA</w:t>
      </w:r>
      <w:r w:rsidR="00214D95">
        <w:t xml:space="preserve">.  </w:t>
      </w:r>
      <w:r w:rsidRPr="00D07312">
        <w:rPr>
          <w:rStyle w:val="Referencingstyle"/>
        </w:rPr>
        <w:t>[Schedule 1, item 4, subsections 13(2)]</w:t>
      </w:r>
      <w:r w:rsidRPr="00D07312">
        <w:t xml:space="preserve">  </w:t>
      </w:r>
    </w:p>
    <w:p w:rsidR="00000789" w:rsidRDefault="00000789" w:rsidP="00000789">
      <w:pPr>
        <w:pStyle w:val="base-text-paragraph"/>
      </w:pPr>
      <w:r>
        <w:t xml:space="preserve">To avoid any doubt that the remedies </w:t>
      </w:r>
      <w:r w:rsidR="005F5C06">
        <w:t xml:space="preserve">which apply in relation to the duty of utmost good faith </w:t>
      </w:r>
      <w:r>
        <w:t xml:space="preserve">are available in </w:t>
      </w:r>
      <w:r w:rsidR="005F5C06">
        <w:t xml:space="preserve">respect to claims </w:t>
      </w:r>
      <w:r>
        <w:t xml:space="preserve">handling or settlement of a potential claim, section 14A has been inserted </w:t>
      </w:r>
      <w:r w:rsidR="005F5C06">
        <w:t xml:space="preserve">into the ICA </w:t>
      </w:r>
      <w:r>
        <w:t xml:space="preserve">to clarify that </w:t>
      </w:r>
      <w:r w:rsidR="00D07312">
        <w:t>the Australian Securi</w:t>
      </w:r>
      <w:r w:rsidR="00F9130A">
        <w:t xml:space="preserve">ties and Investments Commission </w:t>
      </w:r>
      <w:r w:rsidR="00D07312">
        <w:t>(</w:t>
      </w:r>
      <w:r>
        <w:t>ASIC</w:t>
      </w:r>
      <w:r w:rsidR="00D07312">
        <w:t>),</w:t>
      </w:r>
      <w:r>
        <w:t xml:space="preserve"> may exercise its power under parts of the </w:t>
      </w:r>
      <w:r w:rsidRPr="00D07312">
        <w:rPr>
          <w:i/>
        </w:rPr>
        <w:t xml:space="preserve">Corporations Act </w:t>
      </w:r>
      <w:r w:rsidR="00D07312" w:rsidRPr="00D07312">
        <w:rPr>
          <w:i/>
        </w:rPr>
        <w:t>2001</w:t>
      </w:r>
      <w:r w:rsidR="00E10296">
        <w:rPr>
          <w:i/>
        </w:rPr>
        <w:t xml:space="preserve"> </w:t>
      </w:r>
      <w:r w:rsidR="00E10296">
        <w:t>(Cth)</w:t>
      </w:r>
      <w:r w:rsidR="00D07312">
        <w:t xml:space="preserve"> (Corporations Act) </w:t>
      </w:r>
      <w:r>
        <w:t>in respect to the failure of an insurer to comply with the duty of utmost good</w:t>
      </w:r>
      <w:r w:rsidR="00214D95">
        <w:t xml:space="preserve">.  </w:t>
      </w:r>
      <w:r w:rsidR="00052BF0">
        <w:rPr>
          <w:rStyle w:val="Referencingstyle"/>
        </w:rPr>
        <w:t>[Schedule 1,item 5, subsections  14A(1</w:t>
      </w:r>
      <w:r w:rsidRPr="00052BF0">
        <w:rPr>
          <w:rStyle w:val="Referencingstyle"/>
        </w:rPr>
        <w:t>)</w:t>
      </w:r>
      <w:r w:rsidR="00052BF0">
        <w:rPr>
          <w:rStyle w:val="Referencingstyle"/>
        </w:rPr>
        <w:t xml:space="preserve"> and 14(2)</w:t>
      </w:r>
      <w:r w:rsidRPr="00052BF0">
        <w:rPr>
          <w:rStyle w:val="Referencingstyle"/>
        </w:rPr>
        <w:t>]</w:t>
      </w:r>
      <w:r>
        <w:t xml:space="preserve"> </w:t>
      </w:r>
    </w:p>
    <w:p w:rsidR="00000789" w:rsidRDefault="00000789" w:rsidP="00000789">
      <w:pPr>
        <w:pStyle w:val="base-text-paragraph"/>
      </w:pPr>
      <w:r>
        <w:t>Pre</w:t>
      </w:r>
      <w:r w:rsidR="00214D95">
        <w:noBreakHyphen/>
      </w:r>
      <w:r>
        <w:t xml:space="preserve">conditions to ASIC undertaking representative action on behalf of an insured are that the </w:t>
      </w:r>
      <w:r w:rsidR="00052BF0">
        <w:t>insurer has failed to comply with the duty of utmost good faith</w:t>
      </w:r>
      <w:r w:rsidR="00E10296">
        <w:t>,</w:t>
      </w:r>
      <w:r w:rsidR="00052BF0">
        <w:t xml:space="preserve"> and as </w:t>
      </w:r>
      <w:r w:rsidR="00051938">
        <w:t>such,</w:t>
      </w:r>
      <w:r w:rsidR="00052BF0">
        <w:t xml:space="preserve"> there has been a breach of the </w:t>
      </w:r>
      <w:r w:rsidR="00295AB7">
        <w:t>ICA</w:t>
      </w:r>
      <w:r w:rsidR="00214D95">
        <w:t xml:space="preserve">.  </w:t>
      </w:r>
      <w:r w:rsidRPr="00052BF0">
        <w:rPr>
          <w:rStyle w:val="Referencingstyle"/>
        </w:rPr>
        <w:t>[Schedule 1,item 5, subsection 14A(1)]</w:t>
      </w:r>
    </w:p>
    <w:p w:rsidR="00000789" w:rsidRDefault="00000789" w:rsidP="00000789">
      <w:pPr>
        <w:pStyle w:val="base-text-paragraph"/>
      </w:pPr>
      <w:r>
        <w:t>In section 14A a financial services law has the meaning given by section 761A of the Corporations Act</w:t>
      </w:r>
      <w:r w:rsidR="00214D95">
        <w:t xml:space="preserve">.  </w:t>
      </w:r>
      <w:r w:rsidRPr="00052BF0">
        <w:rPr>
          <w:rStyle w:val="Referencingstyle"/>
        </w:rPr>
        <w:t>[Schedule 1,item 5, subsection 14A(3)]</w:t>
      </w:r>
    </w:p>
    <w:p w:rsidR="00000789" w:rsidRDefault="00000789" w:rsidP="00000789">
      <w:pPr>
        <w:pStyle w:val="base-text-paragraph"/>
      </w:pPr>
      <w:r>
        <w:t>The amendments to section 13 and section 14 will have the result that breaches of the duty of utmost good faith (and consequently of the ICA) by an insurer may enable ASIC to access various remed</w:t>
      </w:r>
      <w:r w:rsidR="00922F75">
        <w:t xml:space="preserve">ies under the Corporations Act </w:t>
      </w:r>
      <w:r>
        <w:t>in relation to Australian Financial Services Licence</w:t>
      </w:r>
      <w:r w:rsidR="00D07312">
        <w:t xml:space="preserve"> </w:t>
      </w:r>
      <w:r>
        <w:t>(AFSL) holders</w:t>
      </w:r>
      <w:r w:rsidR="00214D95">
        <w:t xml:space="preserve">.  </w:t>
      </w:r>
    </w:p>
    <w:p w:rsidR="00000789" w:rsidRDefault="00000789" w:rsidP="00000789">
      <w:pPr>
        <w:pStyle w:val="base-text-paragraph"/>
      </w:pPr>
      <w:r>
        <w:lastRenderedPageBreak/>
        <w:t>This allows ASIC to commence or continue representative action on behalf of an insured against an insurer, pursuant to section 55A of the ICA</w:t>
      </w:r>
      <w:r w:rsidR="00214D95">
        <w:t xml:space="preserve">.  </w:t>
      </w:r>
    </w:p>
    <w:p w:rsidR="00000789" w:rsidRDefault="00000789" w:rsidP="00000789">
      <w:pPr>
        <w:pStyle w:val="base-text-paragraph"/>
      </w:pPr>
      <w:r>
        <w:t>The remedies available to ASIC include the issue of a banning order under section 920A of the Corporations Act, the suspension or cancellation of the insurer</w:t>
      </w:r>
      <w:r w:rsidR="00035750">
        <w:t>’</w:t>
      </w:r>
      <w:r>
        <w:t>s financial services licence, the imposition of conditions on the licence or the acceptance of an enforceable undertaking not to act in a particular manner.</w:t>
      </w:r>
    </w:p>
    <w:p w:rsidR="00000789" w:rsidRDefault="00000789" w:rsidP="00000789">
      <w:pPr>
        <w:pStyle w:val="base-text-paragraph"/>
      </w:pPr>
      <w:r>
        <w:t>Banning orders made by ASIC have the effect of prohibiting the affected person from providing all financial services, or one or more specified types of financial service</w:t>
      </w:r>
      <w:r w:rsidR="00214D95">
        <w:t xml:space="preserve">.  </w:t>
      </w:r>
      <w:r>
        <w:t>They may be permanent or last only for a specified period</w:t>
      </w:r>
      <w:r w:rsidR="00214D95">
        <w:t xml:space="preserve">.  </w:t>
      </w:r>
      <w:r>
        <w:t>An example of the type of conduct leading to a permanent banning order is a pattern of persistent contraventions that indicate systemic failures or a general lack of understanding of, and regard for, compliance</w:t>
      </w:r>
      <w:r w:rsidR="00214D95">
        <w:t xml:space="preserve">.  </w:t>
      </w:r>
      <w:r>
        <w:t>Isolated breaches of the duty would not be expected to result in ASIC pursuing a banning order.</w:t>
      </w:r>
    </w:p>
    <w:p w:rsidR="00000789" w:rsidRDefault="00000789" w:rsidP="00000789">
      <w:pPr>
        <w:pStyle w:val="base-text-paragraph"/>
      </w:pPr>
      <w:r>
        <w:t>A breach of the ICA for failure to comply with the duty of utmost good faith implied into all contracts of insurance is not an offence against the ICA, nor does it attract any penalty under the ICA.</w:t>
      </w:r>
    </w:p>
    <w:p w:rsidR="00000789" w:rsidRDefault="00F9130A" w:rsidP="00000789">
      <w:pPr>
        <w:pStyle w:val="Heading5"/>
      </w:pPr>
      <w:r>
        <w:t>Third party beneficiaries</w:t>
      </w:r>
    </w:p>
    <w:p w:rsidR="00000789" w:rsidRDefault="00000789" w:rsidP="00000789">
      <w:pPr>
        <w:pStyle w:val="base-text-paragraph"/>
      </w:pPr>
      <w:r>
        <w:t>Third party beneficiaries are not the insured under a contract of insurance but may be specified or referred to in its terms, either individually or as part of a class, as persons to whom any benefits provided by the contract extend</w:t>
      </w:r>
      <w:r w:rsidR="00214D95">
        <w:t xml:space="preserve">.  </w:t>
      </w:r>
      <w:r>
        <w:t>It follows therefore that they should have access to some of the rights and obligations under the ICA that extend to insureds.</w:t>
      </w:r>
    </w:p>
    <w:p w:rsidR="00000789" w:rsidRDefault="00000789" w:rsidP="00000789">
      <w:pPr>
        <w:pStyle w:val="base-text-paragraph"/>
      </w:pPr>
      <w:r>
        <w:t xml:space="preserve">Section 11(1) of the ICA has been amended to provide the </w:t>
      </w:r>
      <w:r w:rsidR="00295AB7">
        <w:t>following definition</w:t>
      </w:r>
      <w:r>
        <w:t xml:space="preserve"> of a third party beneficiary</w:t>
      </w:r>
      <w:r w:rsidR="00214D95">
        <w:t xml:space="preserve">.  </w:t>
      </w:r>
    </w:p>
    <w:p w:rsidR="00000789" w:rsidRPr="0003455F" w:rsidRDefault="00000789" w:rsidP="00AF0AD3">
      <w:pPr>
        <w:pStyle w:val="base-text-paragraphnonumbers"/>
      </w:pPr>
      <w:r w:rsidRPr="00AF0AD3">
        <w:rPr>
          <w:b/>
          <w:i/>
        </w:rPr>
        <w:t>Third party beneficiary</w:t>
      </w:r>
      <w:r w:rsidRPr="0003455F">
        <w:t>,</w:t>
      </w:r>
      <w:r w:rsidRPr="00AF0AD3">
        <w:rPr>
          <w:i/>
        </w:rPr>
        <w:t xml:space="preserve"> </w:t>
      </w:r>
      <w:r w:rsidRPr="0003455F">
        <w:t>under a contract of insurance, means a person who is not a party to the contract but is specified or referred to in the contract, whether by name or otherwise, as a person to whom the benefit of the insurance cover provided by the contract extends.</w:t>
      </w:r>
    </w:p>
    <w:p w:rsidR="00000789" w:rsidRPr="00E10296" w:rsidRDefault="00000789" w:rsidP="00000789">
      <w:pPr>
        <w:pStyle w:val="base-text-paragraph"/>
        <w:numPr>
          <w:ilvl w:val="0"/>
          <w:numId w:val="0"/>
        </w:numPr>
        <w:ind w:left="1134"/>
        <w:rPr>
          <w:rStyle w:val="Referencingstyle"/>
        </w:rPr>
      </w:pPr>
      <w:r w:rsidRPr="00E10296">
        <w:rPr>
          <w:rStyle w:val="Referencingstyle"/>
        </w:rPr>
        <w:t xml:space="preserve">[Schedule </w:t>
      </w:r>
      <w:proofErr w:type="gramStart"/>
      <w:r w:rsidRPr="00E10296">
        <w:rPr>
          <w:rStyle w:val="Referencingstyle"/>
        </w:rPr>
        <w:t>1</w:t>
      </w:r>
      <w:proofErr w:type="gramEnd"/>
      <w:r w:rsidRPr="00E10296">
        <w:rPr>
          <w:rStyle w:val="Referencingstyle"/>
        </w:rPr>
        <w:t>, item 2, subsection 11(1)]</w:t>
      </w:r>
    </w:p>
    <w:p w:rsidR="00000789" w:rsidRDefault="00000789" w:rsidP="00000789">
      <w:pPr>
        <w:pStyle w:val="base-text-paragraph"/>
      </w:pPr>
      <w:r>
        <w:t>Third party beneficiaries are not currently parties to the contract of insurance and as such do not benefit from the duty of utmost good faith, which is implied by the current section 13</w:t>
      </w:r>
      <w:r w:rsidR="00214D95">
        <w:t xml:space="preserve">.  </w:t>
      </w:r>
    </w:p>
    <w:p w:rsidR="00000789" w:rsidRPr="00AF0AD3" w:rsidRDefault="00000789" w:rsidP="00000789">
      <w:pPr>
        <w:pStyle w:val="base-text-paragraph"/>
        <w:rPr>
          <w:rStyle w:val="Referencingstyle"/>
        </w:rPr>
      </w:pPr>
      <w:r>
        <w:lastRenderedPageBreak/>
        <w:t>New subsections 13(3) and 13(4) address this by extending the duty of utmost good faith to third party beneficiaries; however, the duty only commences after the contract is entered into</w:t>
      </w:r>
      <w:r w:rsidR="00214D95">
        <w:t xml:space="preserve">.  </w:t>
      </w:r>
      <w:r>
        <w:t>This is because applying the duty pre</w:t>
      </w:r>
      <w:r w:rsidR="00214D95">
        <w:noBreakHyphen/>
      </w:r>
      <w:r>
        <w:t>contractually would be impractical</w:t>
      </w:r>
      <w:r w:rsidR="00214D95">
        <w:t xml:space="preserve">.  </w:t>
      </w:r>
      <w:r>
        <w:t>Further, the duty of utmost good faith will be of most relevance for third party beneficiaries where they wish to make a claim under a contract of insurance, as countenanced by subsection 48(2)</w:t>
      </w:r>
      <w:r w:rsidR="00214D95">
        <w:t xml:space="preserve">.  </w:t>
      </w:r>
      <w:r w:rsidRPr="00AF0AD3">
        <w:rPr>
          <w:rStyle w:val="Referencingstyle"/>
        </w:rPr>
        <w:t xml:space="preserve">[Schedule 1, item 4, subsections 13(3) and 13(4)]  </w:t>
      </w:r>
    </w:p>
    <w:p w:rsidR="00000789" w:rsidRDefault="00000789" w:rsidP="00000789">
      <w:pPr>
        <w:pStyle w:val="Heading4"/>
      </w:pPr>
      <w:r>
        <w:t>Part 2</w:t>
      </w:r>
      <w:r w:rsidR="0014053A">
        <w:t xml:space="preserve"> — </w:t>
      </w:r>
      <w:r w:rsidR="00035750">
        <w:t>‘</w:t>
      </w:r>
      <w:r>
        <w:t>Bundled</w:t>
      </w:r>
      <w:r w:rsidR="00035750">
        <w:t>’</w:t>
      </w:r>
      <w:r>
        <w:t xml:space="preserve"> workers</w:t>
      </w:r>
      <w:r w:rsidR="00035750">
        <w:t>’</w:t>
      </w:r>
      <w:r>
        <w:t xml:space="preserve"> compensation contracts</w:t>
      </w:r>
    </w:p>
    <w:p w:rsidR="00000789" w:rsidRDefault="00000789" w:rsidP="00000789">
      <w:pPr>
        <w:pStyle w:val="base-text-paragraph"/>
      </w:pPr>
      <w:r>
        <w:t>Actual or proposed contracts of insurance that have been entered for the purposes of a state or territory law that relate to workers</w:t>
      </w:r>
      <w:r w:rsidR="00035750">
        <w:t>’</w:t>
      </w:r>
      <w:r>
        <w:t xml:space="preserve"> compensation or compensation for death or injury to a person arising from the use of a motor vehicle in accordance with paragraph 9(1)(e) are to be exempt from the scope of the ICA.</w:t>
      </w:r>
    </w:p>
    <w:p w:rsidR="00000789" w:rsidRDefault="00000789" w:rsidP="00000789">
      <w:pPr>
        <w:pStyle w:val="base-text-paragraph"/>
      </w:pPr>
      <w:r>
        <w:t>In practice, some contracts of insurance offer employees cover of the type described in paragraph 9(1</w:t>
      </w:r>
      <w:proofErr w:type="gramStart"/>
      <w:r>
        <w:t>)(</w:t>
      </w:r>
      <w:proofErr w:type="gramEnd"/>
      <w:r>
        <w:t>e) and another type of cover</w:t>
      </w:r>
      <w:r w:rsidR="00214D95">
        <w:t xml:space="preserve">.  </w:t>
      </w:r>
      <w:r>
        <w:t>A particular example is contracts of insurance that bundle both cover for compulsory workers</w:t>
      </w:r>
      <w:r w:rsidR="00035750">
        <w:t>’</w:t>
      </w:r>
      <w:r>
        <w:t xml:space="preserve"> compensation purposes and cover for liability to employees at common law arising from employment related personal injury.</w:t>
      </w:r>
    </w:p>
    <w:p w:rsidR="00000789" w:rsidRDefault="00000789" w:rsidP="00000789">
      <w:pPr>
        <w:pStyle w:val="base-text-paragraph"/>
      </w:pPr>
      <w:r>
        <w:t xml:space="preserve">The question arises as to whether such </w:t>
      </w:r>
      <w:r w:rsidR="00035750">
        <w:t>‘</w:t>
      </w:r>
      <w:r>
        <w:t>bundled</w:t>
      </w:r>
      <w:r w:rsidR="00035750">
        <w:t>’</w:t>
      </w:r>
      <w:r>
        <w:t xml:space="preserve"> contracts of insurance are exempt or not from the scope of the ICA</w:t>
      </w:r>
      <w:r w:rsidR="00214D95">
        <w:t xml:space="preserve">.  </w:t>
      </w:r>
      <w:r>
        <w:t>The Review Panel recommended that, in the case of the example described above, the most effective solution to overcome uncertainty about application is to make the entire contract exempt from the scope of the ICA</w:t>
      </w:r>
      <w:r w:rsidR="00214D95">
        <w:t xml:space="preserve">.  </w:t>
      </w:r>
      <w:r>
        <w:t>In other examples of contracts of insurance that bundle exempt and non</w:t>
      </w:r>
      <w:r w:rsidR="00214D95">
        <w:noBreakHyphen/>
      </w:r>
      <w:r>
        <w:t xml:space="preserve">exempt types of cover, the Review Panel considered it not desirable to rule the entire contract either in or out of the scope of the </w:t>
      </w:r>
      <w:r w:rsidR="00D07312">
        <w:t>ICA</w:t>
      </w:r>
      <w:r w:rsidR="00214D95">
        <w:t xml:space="preserve">.  </w:t>
      </w:r>
      <w:r>
        <w:t>That situation is dealt with in Part 3 of Schedule 1.</w:t>
      </w:r>
    </w:p>
    <w:p w:rsidR="00000789" w:rsidRPr="00AF0AD3" w:rsidRDefault="00000789" w:rsidP="00000789">
      <w:pPr>
        <w:pStyle w:val="base-text-paragraph"/>
        <w:rPr>
          <w:rStyle w:val="Referencingstyle"/>
        </w:rPr>
      </w:pPr>
      <w:r>
        <w:t xml:space="preserve">In order to ensure appropriate outcomes are achieved in respect to these </w:t>
      </w:r>
      <w:r w:rsidR="00035750">
        <w:t>‘</w:t>
      </w:r>
      <w:r>
        <w:t>bundled</w:t>
      </w:r>
      <w:r w:rsidR="00035750">
        <w:t>’</w:t>
      </w:r>
      <w:r>
        <w:t xml:space="preserve"> contracts, insurance contracts entered into (or proposed to be entered into) that bundle compulsory workers</w:t>
      </w:r>
      <w:r w:rsidR="00035750">
        <w:t>’</w:t>
      </w:r>
      <w:r>
        <w:t xml:space="preserve"> compensation cover together with cover for an employer</w:t>
      </w:r>
      <w:r w:rsidR="00035750">
        <w:t>’</w:t>
      </w:r>
      <w:r>
        <w:t>s liability at common law for damage suffered due to employment</w:t>
      </w:r>
      <w:r w:rsidR="00214D95">
        <w:noBreakHyphen/>
      </w:r>
      <w:r>
        <w:t>related personal injury are exempt from the operation of the ICA</w:t>
      </w:r>
      <w:r w:rsidR="00214D95">
        <w:t xml:space="preserve">.  </w:t>
      </w:r>
      <w:r w:rsidRPr="00AF0AD3">
        <w:rPr>
          <w:rStyle w:val="Referencingstyle"/>
        </w:rPr>
        <w:t>[Schedule 1, Item 7, Paragraph 9(1)(f)]</w:t>
      </w:r>
    </w:p>
    <w:p w:rsidR="00000789" w:rsidRDefault="00000789" w:rsidP="00000789">
      <w:pPr>
        <w:pStyle w:val="Heading4"/>
      </w:pPr>
      <w:r>
        <w:t>Part 3</w:t>
      </w:r>
      <w:r w:rsidR="0014053A">
        <w:t xml:space="preserve"> — </w:t>
      </w:r>
      <w:r w:rsidR="00035750">
        <w:t>‘</w:t>
      </w:r>
      <w:r>
        <w:t>Bundled</w:t>
      </w:r>
      <w:r w:rsidR="00035750">
        <w:t>’</w:t>
      </w:r>
      <w:r w:rsidR="00623D8C">
        <w:t xml:space="preserve"> Contracts generally</w:t>
      </w:r>
    </w:p>
    <w:p w:rsidR="00000789" w:rsidRDefault="00000789" w:rsidP="00000789">
      <w:pPr>
        <w:pStyle w:val="base-text-paragraph"/>
      </w:pPr>
      <w:r>
        <w:t>A contract of insurance may contain one or more types of cover to which the ICA would not apply if they were contained in individual contracts, together with one or more types of cover to which the ICA would apply if they were contained in individual contracts.</w:t>
      </w:r>
    </w:p>
    <w:p w:rsidR="00000789" w:rsidRDefault="00000789" w:rsidP="00000789">
      <w:pPr>
        <w:pStyle w:val="base-text-paragraph"/>
      </w:pPr>
      <w:r>
        <w:lastRenderedPageBreak/>
        <w:t>As was the case for the bundled contracts of insurance dealt with specifically in Part 2 of Schedule 1 described above, the Review Panel recommended that the exemption from the scope of the ICA in subsection</w:t>
      </w:r>
      <w:r w:rsidR="00C32115">
        <w:t> </w:t>
      </w:r>
      <w:r>
        <w:t>9(1) of the Act be applied to each type of cover in a bundled insurance policy as if it were a separate contract</w:t>
      </w:r>
      <w:r w:rsidR="00214D95">
        <w:t xml:space="preserve">.  </w:t>
      </w:r>
    </w:p>
    <w:p w:rsidR="00000789" w:rsidRDefault="00000789" w:rsidP="00000789">
      <w:pPr>
        <w:pStyle w:val="base-text-paragraph"/>
      </w:pPr>
      <w:r>
        <w:t>To give effect to the recommendation made by the Review panel new subsections 9(1A), 9(1B) and 9(1C) have been inserted into section</w:t>
      </w:r>
      <w:r w:rsidR="00C32115">
        <w:t> </w:t>
      </w:r>
      <w:r>
        <w:t>9(1)</w:t>
      </w:r>
      <w:r w:rsidR="00214D95">
        <w:t xml:space="preserve">.  </w:t>
      </w:r>
      <w:r w:rsidRPr="00AF0AD3">
        <w:rPr>
          <w:rStyle w:val="Referencingstyle"/>
        </w:rPr>
        <w:t>[Schedule 1, Item 9, subsections 9(1A), 9(1B) and 9(1C)]</w:t>
      </w:r>
    </w:p>
    <w:p w:rsidR="00000789" w:rsidRDefault="00000789" w:rsidP="00000789">
      <w:pPr>
        <w:pStyle w:val="ExampleHeading"/>
      </w:pPr>
    </w:p>
    <w:p w:rsidR="00000789" w:rsidRDefault="00000789" w:rsidP="00C32115">
      <w:pPr>
        <w:pStyle w:val="exampletext"/>
      </w:pPr>
      <w:r>
        <w:t>Under the new subsections, contracts of insurance that contain more than one type of cover, one of which is exempted</w:t>
      </w:r>
      <w:r w:rsidR="00682A01">
        <w:t xml:space="preserve"> (Cover A)</w:t>
      </w:r>
      <w:r>
        <w:t xml:space="preserve"> and one of which is not</w:t>
      </w:r>
      <w:r w:rsidR="00682A01">
        <w:t xml:space="preserve"> (Cover B)</w:t>
      </w:r>
      <w:r>
        <w:t>, would contain some terms that relate solely to Cover A, some that relate solely to Cover B and some that relate to both Cover A and Cover B</w:t>
      </w:r>
      <w:r w:rsidR="00214D95">
        <w:t xml:space="preserve">.  </w:t>
      </w:r>
    </w:p>
    <w:p w:rsidR="00000789" w:rsidRPr="00C32115" w:rsidRDefault="00000789" w:rsidP="00C32115">
      <w:pPr>
        <w:pStyle w:val="exampletext"/>
      </w:pPr>
      <w:r w:rsidRPr="00C32115">
        <w:t xml:space="preserve">To create </w:t>
      </w:r>
      <w:r w:rsidR="00035750" w:rsidRPr="00C32115">
        <w:t>‘</w:t>
      </w:r>
      <w:r w:rsidRPr="00C32115">
        <w:t>unbundled</w:t>
      </w:r>
      <w:r w:rsidR="00035750" w:rsidRPr="00C32115">
        <w:t>’</w:t>
      </w:r>
      <w:r w:rsidRPr="00C32115">
        <w:t xml:space="preserve"> contracts for the purposes of applying the exemption provisions, two notional contracts would be constructed</w:t>
      </w:r>
      <w:r w:rsidR="00214D95">
        <w:t xml:space="preserve">.  </w:t>
      </w:r>
      <w:r w:rsidRPr="00C32115">
        <w:t>The first notional contract would comprise only those terms of the initial contract that are relevant to Cover A</w:t>
      </w:r>
      <w:r w:rsidR="00214D95">
        <w:t xml:space="preserve">.  </w:t>
      </w:r>
      <w:r w:rsidRPr="00C32115">
        <w:t xml:space="preserve">The notional contract would also contain, </w:t>
      </w:r>
      <w:r w:rsidR="00051938" w:rsidRPr="00C32115">
        <w:t>because</w:t>
      </w:r>
      <w:r w:rsidRPr="00C32115">
        <w:t xml:space="preserve"> of subsection 9(1C), any terms of the initial contract that are relevant to both Cover A and Cover B.</w:t>
      </w:r>
    </w:p>
    <w:p w:rsidR="00000789" w:rsidRDefault="00000789" w:rsidP="00000789">
      <w:pPr>
        <w:pStyle w:val="exampletext"/>
      </w:pPr>
      <w:r>
        <w:t>Similarly, the second notional contract would comprise those terms of the initial contract that are relevant to Cover B only and the terms that are relevant to both Cover A and Cover B.</w:t>
      </w:r>
    </w:p>
    <w:p w:rsidR="00000789" w:rsidRDefault="00000789" w:rsidP="00000789">
      <w:pPr>
        <w:pStyle w:val="exampletext"/>
      </w:pPr>
      <w:r>
        <w:t>When the contents of the notional contracts are determined, the exemption provisions in subsection 9(1) are applied to each as if that contract were a separate contract of insurance or proposed contract of insurance.</w:t>
      </w:r>
    </w:p>
    <w:p w:rsidR="00000789" w:rsidRDefault="00000789" w:rsidP="00000789">
      <w:pPr>
        <w:pStyle w:val="exampletext"/>
      </w:pPr>
      <w:r>
        <w:t>It may be that there are more than two types of cover bundled within a contract of insurance, in which case more than two notional contracts of insurance will need to be developed at the first stage</w:t>
      </w:r>
      <w:r w:rsidR="00214D95">
        <w:t xml:space="preserve">.  </w:t>
      </w:r>
      <w:r>
        <w:t>However, irrespective of whether there are two or more kinds of exempt covers, or two or more kinds of non</w:t>
      </w:r>
      <w:r w:rsidR="00214D95">
        <w:noBreakHyphen/>
      </w:r>
      <w:r>
        <w:t>exempt covers, or both, the result of applying the unbundling process in subsections 9(1A) and 9(1C) is that only those contractual terms that relate to the exempt cover type(s) are exempt from the operation of the ICA.</w:t>
      </w:r>
    </w:p>
    <w:p w:rsidR="00000789" w:rsidRDefault="00000789" w:rsidP="00000789">
      <w:pPr>
        <w:pStyle w:val="base-text-paragraph"/>
      </w:pPr>
      <w:r>
        <w:t>New subsection 9(1B) applies a different rule for unbundling if one of the types of cover is a cover that is referred to in new paragraph</w:t>
      </w:r>
      <w:r w:rsidR="00196927">
        <w:t> </w:t>
      </w:r>
      <w:r>
        <w:t>9(1</w:t>
      </w:r>
      <w:proofErr w:type="gramStart"/>
      <w:r>
        <w:t>)(</w:t>
      </w:r>
      <w:proofErr w:type="gramEnd"/>
      <w:r>
        <w:t>f)</w:t>
      </w:r>
      <w:r w:rsidR="00214D95">
        <w:t xml:space="preserve">.  </w:t>
      </w:r>
      <w:r>
        <w:t>This different treatment is necessary to ensure that directors</w:t>
      </w:r>
      <w:r w:rsidR="00035750">
        <w:t>’</w:t>
      </w:r>
      <w:r>
        <w:t xml:space="preserve"> liability cover would only be exempted from the scope of the ICA where it was bundled with compulsory workers</w:t>
      </w:r>
      <w:r w:rsidR="00035750">
        <w:t>’</w:t>
      </w:r>
      <w:r>
        <w:t xml:space="preserve"> compensation cover.</w:t>
      </w:r>
    </w:p>
    <w:p w:rsidR="00000789" w:rsidRDefault="00000789" w:rsidP="0029684A">
      <w:pPr>
        <w:pStyle w:val="Heading2"/>
      </w:pPr>
      <w:r>
        <w:lastRenderedPageBreak/>
        <w:t>Application and transitional provisions</w:t>
      </w:r>
    </w:p>
    <w:p w:rsidR="00DE4564" w:rsidRPr="00DE4564" w:rsidRDefault="00DE4564" w:rsidP="00AF0AD3">
      <w:pPr>
        <w:pStyle w:val="Heading4"/>
      </w:pPr>
      <w:r w:rsidRPr="00DE4564">
        <w:t>Part 1</w:t>
      </w:r>
      <w:r w:rsidR="0014053A">
        <w:t xml:space="preserve"> — </w:t>
      </w:r>
      <w:r w:rsidRPr="00DE4564">
        <w:t>Duty of utmost good faith</w:t>
      </w:r>
    </w:p>
    <w:p w:rsidR="0048487F" w:rsidRDefault="0048487F" w:rsidP="0048487F">
      <w:pPr>
        <w:pStyle w:val="base-text-paragraph"/>
      </w:pPr>
      <w:r>
        <w:t xml:space="preserve">Item 6 in Schedule 1 provides that the amendments in Part 1 apply as follows: </w:t>
      </w:r>
    </w:p>
    <w:p w:rsidR="0048487F" w:rsidRDefault="0048487F" w:rsidP="0048487F">
      <w:pPr>
        <w:pStyle w:val="dotpoint"/>
      </w:pPr>
      <w:r>
        <w:t>to a contract of insurance that was originally entered into after the commencement of item 6;</w:t>
      </w:r>
    </w:p>
    <w:p w:rsidR="0048487F" w:rsidRDefault="0048487F" w:rsidP="0048487F">
      <w:pPr>
        <w:pStyle w:val="dotpoint"/>
      </w:pPr>
      <w:r>
        <w:t>to a contract of general insurance that was originally entered into before the commencement of item 6 and is renewed after that commencement; and</w:t>
      </w:r>
    </w:p>
    <w:p w:rsidR="00DE4564" w:rsidRDefault="0048487F" w:rsidP="0048487F">
      <w:pPr>
        <w:pStyle w:val="dotpoint"/>
      </w:pPr>
      <w:r>
        <w:t xml:space="preserve">if </w:t>
      </w:r>
    </w:p>
    <w:p w:rsidR="00DE4564" w:rsidRDefault="0048487F" w:rsidP="00AF0AD3">
      <w:pPr>
        <w:pStyle w:val="dotpoint2"/>
      </w:pPr>
      <w:r>
        <w:t xml:space="preserve">the contract is a contract of life insurance that was originally entered into before the commencement of this item and is varied after that commencement </w:t>
      </w:r>
      <w:r w:rsidR="00295AB7">
        <w:t>to increase</w:t>
      </w:r>
      <w:r>
        <w:t xml:space="preserve"> a sum insured under the contract</w:t>
      </w:r>
      <w:r w:rsidR="00DE4564">
        <w:t xml:space="preserve"> or </w:t>
      </w:r>
      <w:r>
        <w:t>provide one or more additional kinds of cover</w:t>
      </w:r>
      <w:r w:rsidR="00196927">
        <w:t>;</w:t>
      </w:r>
      <w:r w:rsidR="00B620DC">
        <w:t xml:space="preserve"> </w:t>
      </w:r>
    </w:p>
    <w:p w:rsidR="00DE4564" w:rsidRDefault="00BC735F" w:rsidP="00AF0AD3">
      <w:pPr>
        <w:pStyle w:val="dotpoint2"/>
      </w:pPr>
      <w:r>
        <w:t>t</w:t>
      </w:r>
      <w:r w:rsidR="00DE4564">
        <w:t xml:space="preserve">he variation was not an automatic variation but was required to be expressly </w:t>
      </w:r>
      <w:r w:rsidR="00295AB7">
        <w:t>agreed</w:t>
      </w:r>
      <w:r w:rsidR="00DE4564">
        <w:t xml:space="preserve"> between the insurer and the insured</w:t>
      </w:r>
      <w:r w:rsidR="003174CF">
        <w:t xml:space="preserve"> before the contract was varied</w:t>
      </w:r>
      <w:r w:rsidR="00B03BF0">
        <w:t>; and</w:t>
      </w:r>
    </w:p>
    <w:p w:rsidR="0048487F" w:rsidRDefault="00B03BF0" w:rsidP="00B620DC">
      <w:pPr>
        <w:pStyle w:val="dotpoint2"/>
        <w:numPr>
          <w:ilvl w:val="0"/>
          <w:numId w:val="0"/>
        </w:numPr>
        <w:ind w:left="2552"/>
      </w:pPr>
      <w:proofErr w:type="gramStart"/>
      <w:r>
        <w:t>t</w:t>
      </w:r>
      <w:r w:rsidR="00B620DC">
        <w:t>hen</w:t>
      </w:r>
      <w:proofErr w:type="gramEnd"/>
      <w:r w:rsidR="0048487F">
        <w:t xml:space="preserve"> the contract is treated, to the extent of the variation, as if it had been originally entered into after the commencement of item 6 and the amendments apply to the contract to the extent of the variation</w:t>
      </w:r>
      <w:r w:rsidR="00214D95">
        <w:t xml:space="preserve">.  </w:t>
      </w:r>
    </w:p>
    <w:p w:rsidR="0048487F" w:rsidRDefault="0048487F" w:rsidP="0048487F">
      <w:pPr>
        <w:pStyle w:val="base-text-paragraph"/>
      </w:pPr>
      <w:r>
        <w:t>By operation of clause 2, item 6 in Schedule 1 commences on the day the Act receives the Royal Assent</w:t>
      </w:r>
      <w:r w:rsidR="00214D95">
        <w:t xml:space="preserve">.  </w:t>
      </w:r>
    </w:p>
    <w:p w:rsidR="00DE4564" w:rsidRDefault="00DE4564" w:rsidP="00AF0AD3">
      <w:pPr>
        <w:pStyle w:val="Heading4"/>
      </w:pPr>
      <w:r w:rsidRPr="00DE4564">
        <w:t>Part 2</w:t>
      </w:r>
      <w:r w:rsidR="0014053A">
        <w:t xml:space="preserve"> — </w:t>
      </w:r>
      <w:r w:rsidR="00035750">
        <w:t>‘</w:t>
      </w:r>
      <w:r w:rsidRPr="00DE4564">
        <w:t>Bundled</w:t>
      </w:r>
      <w:r w:rsidR="00035750">
        <w:t>’</w:t>
      </w:r>
      <w:r w:rsidRPr="00DE4564">
        <w:t xml:space="preserve"> workers</w:t>
      </w:r>
      <w:r w:rsidR="00035750">
        <w:t>’</w:t>
      </w:r>
      <w:r w:rsidRPr="00DE4564">
        <w:t xml:space="preserve"> compensation contracts</w:t>
      </w:r>
    </w:p>
    <w:p w:rsidR="0048487F" w:rsidRDefault="0048487F" w:rsidP="0048487F">
      <w:pPr>
        <w:pStyle w:val="base-text-paragraph"/>
      </w:pPr>
      <w:r>
        <w:t>Item 8 in Schedule 1</w:t>
      </w:r>
      <w:r w:rsidR="00D07312">
        <w:t xml:space="preserve"> </w:t>
      </w:r>
      <w:r>
        <w:t>provides that the amendments in Part 2 apply as follows:</w:t>
      </w:r>
    </w:p>
    <w:p w:rsidR="0048487F" w:rsidRDefault="0048487F" w:rsidP="0048487F">
      <w:pPr>
        <w:pStyle w:val="dotpoint"/>
      </w:pPr>
      <w:r>
        <w:t>to a contract of insurance th</w:t>
      </w:r>
      <w:r w:rsidR="00D07312">
        <w:t>at was originally entered into</w:t>
      </w:r>
      <w:r>
        <w:t xml:space="preserve"> after the commencement of item 8; and </w:t>
      </w:r>
    </w:p>
    <w:p w:rsidR="0048487F" w:rsidRDefault="0048487F" w:rsidP="0048487F">
      <w:pPr>
        <w:pStyle w:val="dotpoint"/>
      </w:pPr>
      <w:proofErr w:type="gramStart"/>
      <w:r>
        <w:t>to</w:t>
      </w:r>
      <w:proofErr w:type="gramEnd"/>
      <w:r>
        <w:t xml:space="preserve"> a contract of general </w:t>
      </w:r>
      <w:r w:rsidR="00295AB7">
        <w:t>insurance,</w:t>
      </w:r>
      <w:r>
        <w:t xml:space="preserve"> that was ori</w:t>
      </w:r>
      <w:r w:rsidR="00D07312">
        <w:t xml:space="preserve">ginally </w:t>
      </w:r>
      <w:r>
        <w:t>entered into before the commencement of item 8 and is renewed after that commencement</w:t>
      </w:r>
      <w:r w:rsidR="00214D95">
        <w:t xml:space="preserve">.  </w:t>
      </w:r>
    </w:p>
    <w:p w:rsidR="0048487F" w:rsidRDefault="0048487F" w:rsidP="0048487F">
      <w:pPr>
        <w:pStyle w:val="base-text-paragraph"/>
      </w:pPr>
      <w:r>
        <w:lastRenderedPageBreak/>
        <w:t>By operation of clause 2, item 8 in Schedule 1 commences on the day the Act receives the Royal Assent</w:t>
      </w:r>
      <w:r w:rsidR="00214D95">
        <w:t xml:space="preserve">.  </w:t>
      </w:r>
    </w:p>
    <w:p w:rsidR="00DE4564" w:rsidRDefault="00DE4564" w:rsidP="00AF0AD3">
      <w:pPr>
        <w:pStyle w:val="Heading4"/>
      </w:pPr>
      <w:r w:rsidRPr="00DE4564">
        <w:t>Part 3</w:t>
      </w:r>
      <w:r w:rsidR="0014053A">
        <w:t xml:space="preserve"> — </w:t>
      </w:r>
      <w:r w:rsidR="00035750">
        <w:t>‘</w:t>
      </w:r>
      <w:r w:rsidRPr="00DE4564">
        <w:t>Bundled</w:t>
      </w:r>
      <w:r w:rsidR="00035750">
        <w:t>’</w:t>
      </w:r>
      <w:r w:rsidRPr="00DE4564">
        <w:t xml:space="preserve"> Contracts generally</w:t>
      </w:r>
    </w:p>
    <w:p w:rsidR="0048487F" w:rsidRDefault="0048487F" w:rsidP="0048487F">
      <w:pPr>
        <w:pStyle w:val="base-text-paragraph"/>
      </w:pPr>
      <w:r>
        <w:t xml:space="preserve">Item 10 in Schedule 1 provides that the amendments made by Part 3 apply as follows: </w:t>
      </w:r>
    </w:p>
    <w:p w:rsidR="0048487F" w:rsidRDefault="0048487F" w:rsidP="0048487F">
      <w:pPr>
        <w:pStyle w:val="dotpoint"/>
      </w:pPr>
      <w:r>
        <w:t>to a contract of insurance that was originally entered into after the commencement of item 8;</w:t>
      </w:r>
    </w:p>
    <w:p w:rsidR="0048487F" w:rsidRDefault="0048487F" w:rsidP="0048487F">
      <w:pPr>
        <w:pStyle w:val="dotpoint"/>
      </w:pPr>
      <w:r>
        <w:t>to a contract of general insurance that was originally entered into before the commencement of item 10 and is renewed after that commencement; and</w:t>
      </w:r>
    </w:p>
    <w:p w:rsidR="00DE4564" w:rsidRDefault="00DE4564" w:rsidP="00DE4564">
      <w:pPr>
        <w:pStyle w:val="dotpoint"/>
      </w:pPr>
      <w:r>
        <w:t xml:space="preserve">if </w:t>
      </w:r>
    </w:p>
    <w:p w:rsidR="00DE4564" w:rsidRDefault="00DE4564" w:rsidP="00AF0AD3">
      <w:pPr>
        <w:pStyle w:val="dotpoint2"/>
      </w:pPr>
      <w:r>
        <w:t xml:space="preserve">the contract is a contract of life insurance that was originally entered into before the commencement of this item and is varied after that commencement </w:t>
      </w:r>
      <w:r w:rsidR="00295AB7">
        <w:t>to increase</w:t>
      </w:r>
      <w:r>
        <w:t xml:space="preserve"> a sum insured under the contract or provide one or</w:t>
      </w:r>
      <w:r w:rsidR="00196927">
        <w:t xml:space="preserve"> more additional kinds of cover;</w:t>
      </w:r>
    </w:p>
    <w:p w:rsidR="00DE4564" w:rsidRDefault="00196927" w:rsidP="00AF0AD3">
      <w:pPr>
        <w:pStyle w:val="dotpoint2"/>
      </w:pPr>
      <w:r>
        <w:t>t</w:t>
      </w:r>
      <w:r w:rsidR="00DE4564">
        <w:t xml:space="preserve">he variation was not an automatic variation but was required to be expressly </w:t>
      </w:r>
      <w:r w:rsidR="00295AB7">
        <w:t>agreed</w:t>
      </w:r>
      <w:r w:rsidR="00DE4564">
        <w:t xml:space="preserve"> between the insurer and the insured</w:t>
      </w:r>
      <w:r>
        <w:t xml:space="preserve"> before the contract was varied; and</w:t>
      </w:r>
    </w:p>
    <w:p w:rsidR="00DE4564" w:rsidRDefault="00B03BF0" w:rsidP="00B03BF0">
      <w:pPr>
        <w:pStyle w:val="dotpoint2"/>
        <w:numPr>
          <w:ilvl w:val="0"/>
          <w:numId w:val="0"/>
        </w:numPr>
        <w:ind w:left="2552"/>
      </w:pPr>
      <w:proofErr w:type="gramStart"/>
      <w:r>
        <w:t>then</w:t>
      </w:r>
      <w:proofErr w:type="gramEnd"/>
      <w:r w:rsidR="00DE4564">
        <w:t xml:space="preserve"> the contract is treated, to the extent of the variation, as if it had been originally entered into after the commencement of item 6 and the amendments apply to the contract to the extent of the variation</w:t>
      </w:r>
      <w:r w:rsidR="00214D95">
        <w:t xml:space="preserve">.  </w:t>
      </w:r>
    </w:p>
    <w:p w:rsidR="00000789" w:rsidRDefault="0048487F" w:rsidP="0048487F">
      <w:pPr>
        <w:pStyle w:val="base-text-paragraph"/>
      </w:pPr>
      <w:r>
        <w:t>By operation of clause 2, item 10 in Schedule 1 commences on the day the Act receives the Royal Assent</w:t>
      </w:r>
      <w:r w:rsidR="00214D95">
        <w:t xml:space="preserve">.  </w:t>
      </w:r>
    </w:p>
    <w:p w:rsidR="0048487F" w:rsidRDefault="0048487F" w:rsidP="0048487F">
      <w:pPr>
        <w:pStyle w:val="Heading2"/>
      </w:pPr>
      <w:r>
        <w:t>Schedule 2</w:t>
      </w:r>
      <w:r w:rsidR="0014053A">
        <w:t xml:space="preserve"> — </w:t>
      </w:r>
      <w:r w:rsidR="00196927">
        <w:t>Electronic communication</w:t>
      </w:r>
    </w:p>
    <w:p w:rsidR="0048487F" w:rsidRDefault="0048487F" w:rsidP="0048487F">
      <w:pPr>
        <w:pStyle w:val="base-text-paragraph"/>
      </w:pPr>
      <w:r>
        <w:t>The Review Panel analysed the increasing use of electronic communications in the context of the ICA</w:t>
      </w:r>
      <w:r w:rsidR="00214D95">
        <w:t xml:space="preserve">.  </w:t>
      </w:r>
      <w:r>
        <w:t xml:space="preserve">Currently, the ICA is exempt from the coverage of most of the operative parts of the </w:t>
      </w:r>
      <w:r w:rsidRPr="00AF0AD3">
        <w:rPr>
          <w:i/>
        </w:rPr>
        <w:t>Electronic Transactions Act 1999</w:t>
      </w:r>
      <w:r>
        <w:t xml:space="preserve"> (the ETA), which provides that, in general, where a Commonwealth law requires a notice to be given in writing, then it may be given by electronic communication if certain conditions are met.</w:t>
      </w:r>
    </w:p>
    <w:p w:rsidR="0048487F" w:rsidRDefault="0048487F" w:rsidP="0048487F">
      <w:pPr>
        <w:pStyle w:val="base-text-paragraph"/>
      </w:pPr>
      <w:r>
        <w:lastRenderedPageBreak/>
        <w:t>For example, subsection 9(1) of the ETA provides that any communication required by a Commonwealth Act may only be done electronically if:</w:t>
      </w:r>
    </w:p>
    <w:p w:rsidR="0048487F" w:rsidRDefault="0048487F" w:rsidP="0048487F">
      <w:pPr>
        <w:pStyle w:val="dotpoint"/>
      </w:pPr>
      <w:r>
        <w:t>at the time the information was given, it was reasonable to expect that the information would be readily accessible so as to be useable for subsequent reference; and</w:t>
      </w:r>
    </w:p>
    <w:p w:rsidR="0048487F" w:rsidRDefault="0048487F" w:rsidP="0048487F">
      <w:pPr>
        <w:pStyle w:val="dotpoint"/>
      </w:pPr>
      <w:proofErr w:type="gramStart"/>
      <w:r>
        <w:t>the</w:t>
      </w:r>
      <w:proofErr w:type="gramEnd"/>
      <w:r>
        <w:t xml:space="preserve"> person to whom the information is required to be given consents to the information being given by way of electronic communication.</w:t>
      </w:r>
    </w:p>
    <w:p w:rsidR="0048487F" w:rsidRDefault="0048487F" w:rsidP="0048487F">
      <w:pPr>
        <w:pStyle w:val="base-text-paragraph"/>
      </w:pPr>
      <w:r>
        <w:t>Section 14 of the ETA contains rules about time and place of receipt and dispatch of electronic communications.</w:t>
      </w:r>
    </w:p>
    <w:p w:rsidR="0048487F" w:rsidRDefault="0048487F" w:rsidP="0048487F">
      <w:pPr>
        <w:pStyle w:val="base-text-paragraph"/>
      </w:pPr>
      <w:r>
        <w:t>The Review Panel expressed support for the notion of updating the ICA to allow for communication by electronic means</w:t>
      </w:r>
      <w:r w:rsidR="00214D95">
        <w:t xml:space="preserve">.  </w:t>
      </w:r>
      <w:r>
        <w:t xml:space="preserve">A proposed amendment to the </w:t>
      </w:r>
      <w:r w:rsidRPr="00AF0AD3">
        <w:rPr>
          <w:i/>
        </w:rPr>
        <w:t>Electronic Transactions Regulations 2000</w:t>
      </w:r>
      <w:r>
        <w:t xml:space="preserve"> </w:t>
      </w:r>
      <w:r w:rsidR="00D07312">
        <w:t xml:space="preserve">(ETR) </w:t>
      </w:r>
      <w:r>
        <w:t>to remove the current exemption</w:t>
      </w:r>
      <w:r w:rsidR="00337D7D">
        <w:t xml:space="preserve"> is required</w:t>
      </w:r>
      <w:r>
        <w:t>, so that communications under the ICA are subject to the ETA</w:t>
      </w:r>
      <w:r w:rsidR="00214D95">
        <w:t xml:space="preserve">.  </w:t>
      </w:r>
      <w:r>
        <w:t>Schedule 2 to the Bill amends various provisions of the ICA to recognise that the ICA will be subject to the ETA</w:t>
      </w:r>
      <w:r w:rsidR="00214D95">
        <w:t xml:space="preserve">.  </w:t>
      </w:r>
    </w:p>
    <w:p w:rsidR="0048487F" w:rsidRDefault="0048487F" w:rsidP="0048487F">
      <w:pPr>
        <w:pStyle w:val="base-text-paragraph"/>
      </w:pPr>
      <w:r>
        <w:t xml:space="preserve">For consistency of terms in sections 70, 71 and 72 of the ICA dealing with notices, references to </w:t>
      </w:r>
      <w:r w:rsidR="00035750">
        <w:t>‘</w:t>
      </w:r>
      <w:r>
        <w:t>statement</w:t>
      </w:r>
      <w:r w:rsidR="00035750">
        <w:t>’</w:t>
      </w:r>
      <w:r>
        <w:t xml:space="preserve"> (wherever occurring) have been removed</w:t>
      </w:r>
      <w:r w:rsidR="00214D95">
        <w:t xml:space="preserve">.  </w:t>
      </w:r>
      <w:r>
        <w:t xml:space="preserve">The concept of a </w:t>
      </w:r>
      <w:r w:rsidR="00035750">
        <w:t>‘</w:t>
      </w:r>
      <w:r>
        <w:t>statement</w:t>
      </w:r>
      <w:r w:rsidR="00035750">
        <w:t>’</w:t>
      </w:r>
      <w:r>
        <w:t xml:space="preserve"> is covered by the term </w:t>
      </w:r>
      <w:r w:rsidR="00035750">
        <w:t>‘</w:t>
      </w:r>
      <w:r>
        <w:t>notice or other document</w:t>
      </w:r>
      <w:r w:rsidR="00035750">
        <w:t>’</w:t>
      </w:r>
      <w:r w:rsidR="00214D95">
        <w:t xml:space="preserve">.  </w:t>
      </w:r>
      <w:r w:rsidRPr="00AF0AD3">
        <w:rPr>
          <w:rStyle w:val="Referencingstyle"/>
        </w:rPr>
        <w:t>[Schedule 2, Items 2 to 6</w:t>
      </w:r>
      <w:r w:rsidR="00337D7D">
        <w:rPr>
          <w:rStyle w:val="Referencingstyle"/>
        </w:rPr>
        <w:t>, section 70, subsections</w:t>
      </w:r>
      <w:r w:rsidR="00196927">
        <w:rPr>
          <w:rStyle w:val="Referencingstyle"/>
        </w:rPr>
        <w:t> </w:t>
      </w:r>
      <w:r w:rsidR="00337D7D">
        <w:rPr>
          <w:rStyle w:val="Referencingstyle"/>
        </w:rPr>
        <w:t>71(1), 71(2) and 71(3) and paragraph 71(2)(b)</w:t>
      </w:r>
      <w:r w:rsidRPr="00AF0AD3">
        <w:rPr>
          <w:rStyle w:val="Referencingstyle"/>
        </w:rPr>
        <w:t>]</w:t>
      </w:r>
    </w:p>
    <w:p w:rsidR="0048487F" w:rsidRDefault="0048487F" w:rsidP="0048487F">
      <w:pPr>
        <w:pStyle w:val="base-text-paragraph"/>
      </w:pPr>
      <w:r>
        <w:t>The current section 72 of the ICA (which is concerned with legibility of writing) has been repealed and replaced with an expanded section 72</w:t>
      </w:r>
      <w:r w:rsidR="00214D95">
        <w:t xml:space="preserve">.  </w:t>
      </w:r>
      <w:r>
        <w:t>The purpose of this expansion is so that the regulation</w:t>
      </w:r>
      <w:r w:rsidR="00214D95">
        <w:noBreakHyphen/>
      </w:r>
      <w:r>
        <w:t>making power in section 72 may deal not only with the content and legibility of the notice or other document itself, but also with material that may accompany the notice or other document or information</w:t>
      </w:r>
      <w:r w:rsidR="00214D95">
        <w:t xml:space="preserve">.  </w:t>
      </w:r>
      <w:r>
        <w:t>The power is intended to permit the making of regulations to ensure that the content of statutory notices under the ICA is able to be digested by the recipient without interruption or distraction by other material provided with the notice</w:t>
      </w:r>
      <w:r w:rsidR="00214D95">
        <w:t xml:space="preserve">.  </w:t>
      </w:r>
      <w:r w:rsidRPr="00AF0AD3">
        <w:rPr>
          <w:rStyle w:val="Referencingstyle"/>
        </w:rPr>
        <w:t>[Schedule 2, Item 7, section 72]</w:t>
      </w:r>
    </w:p>
    <w:p w:rsidR="0048487F" w:rsidRDefault="0048487F" w:rsidP="0048487F">
      <w:pPr>
        <w:pStyle w:val="base-text-paragraph"/>
      </w:pPr>
      <w:r>
        <w:t>Current section 77 of the ICA applies generally in relation to notices or other documents or information that are required or permitted to be given by the ICA</w:t>
      </w:r>
      <w:r w:rsidR="00214D95">
        <w:t xml:space="preserve">.  </w:t>
      </w:r>
      <w:r>
        <w:t>The section sets out the methods that may be used depending on whether the person to whom the notice or other document is to be given is a body corporate or a natural person</w:t>
      </w:r>
      <w:r w:rsidR="00214D95">
        <w:t xml:space="preserve">.  </w:t>
      </w:r>
      <w:r>
        <w:t>Subsection 77(2) also includes a rule regarding the time of receipt of a notice of cancellation of a contract of insurance</w:t>
      </w:r>
      <w:r w:rsidR="00214D95">
        <w:t xml:space="preserve">.  </w:t>
      </w:r>
    </w:p>
    <w:p w:rsidR="0048487F" w:rsidRDefault="0048487F" w:rsidP="0048487F">
      <w:pPr>
        <w:pStyle w:val="base-text-paragraph"/>
      </w:pPr>
      <w:r>
        <w:lastRenderedPageBreak/>
        <w:t>Current section 77 of the ICA has been repealed and has been replaced by new section 72A</w:t>
      </w:r>
      <w:r w:rsidR="00214D95">
        <w:t xml:space="preserve">.  </w:t>
      </w:r>
      <w:r>
        <w:t>New section 72A largely replicates the content of section 77, but removes the rule regarding notice by post of cancellation</w:t>
      </w:r>
      <w:r w:rsidR="00214D95">
        <w:t xml:space="preserve">.  </w:t>
      </w:r>
      <w:r w:rsidR="00295AB7">
        <w:t xml:space="preserve">Section 29 of the </w:t>
      </w:r>
      <w:r w:rsidR="00295AB7" w:rsidRPr="0003455F">
        <w:rPr>
          <w:i/>
        </w:rPr>
        <w:t>Acts Interpretation Act 1901</w:t>
      </w:r>
      <w:r w:rsidR="00AF447F">
        <w:rPr>
          <w:i/>
        </w:rPr>
        <w:t xml:space="preserve"> </w:t>
      </w:r>
      <w:r w:rsidR="00AF447F">
        <w:t>(Cth)</w:t>
      </w:r>
      <w:r w:rsidR="00295AB7" w:rsidRPr="0003455F">
        <w:rPr>
          <w:i/>
        </w:rPr>
        <w:t xml:space="preserve"> </w:t>
      </w:r>
      <w:r w:rsidR="0003455F">
        <w:t xml:space="preserve">(AIA) </w:t>
      </w:r>
      <w:r w:rsidR="00295AB7">
        <w:t>deals with that subject</w:t>
      </w:r>
      <w:r w:rsidR="00214D95">
        <w:t xml:space="preserve">.  </w:t>
      </w:r>
      <w:r>
        <w:t>Section 72A is not intended to affect the operation of subsection 71(1), which covers situations where insurance is arranged by brokers acting for the insureds</w:t>
      </w:r>
      <w:r w:rsidR="00214D95">
        <w:t xml:space="preserve">.  </w:t>
      </w:r>
      <w:r w:rsidRPr="00AF0AD3">
        <w:rPr>
          <w:rStyle w:val="Referencingstyle"/>
        </w:rPr>
        <w:t xml:space="preserve">[Schedule 2, items </w:t>
      </w:r>
      <w:r w:rsidR="00AF447F">
        <w:rPr>
          <w:rStyle w:val="Referencingstyle"/>
        </w:rPr>
        <w:t>7 to 8</w:t>
      </w:r>
      <w:r w:rsidRPr="00AF0AD3">
        <w:rPr>
          <w:rStyle w:val="Referencingstyle"/>
        </w:rPr>
        <w:t>,</w:t>
      </w:r>
      <w:r w:rsidR="00AF447F">
        <w:rPr>
          <w:rStyle w:val="Referencingstyle"/>
        </w:rPr>
        <w:t xml:space="preserve"> </w:t>
      </w:r>
      <w:r w:rsidRPr="00AF0AD3">
        <w:rPr>
          <w:rStyle w:val="Referencingstyle"/>
        </w:rPr>
        <w:t>section 72A]</w:t>
      </w:r>
      <w:r>
        <w:t xml:space="preserve"> </w:t>
      </w:r>
    </w:p>
    <w:p w:rsidR="00B218E7" w:rsidRDefault="00CA7364" w:rsidP="00B218E7">
      <w:pPr>
        <w:pStyle w:val="base-text-paragraph"/>
      </w:pPr>
      <w:r w:rsidRPr="00CA7364">
        <w:t>The amendments to the electronic communication all</w:t>
      </w:r>
      <w:r>
        <w:t>ow</w:t>
      </w:r>
      <w:r w:rsidRPr="00CA7364">
        <w:t xml:space="preserve"> insurers to deliver notices, other documents and information to customers electronically, this may be </w:t>
      </w:r>
      <w:r>
        <w:t xml:space="preserve">done </w:t>
      </w:r>
      <w:r w:rsidRPr="00CA7364">
        <w:t>directly or indirectly</w:t>
      </w:r>
      <w:r>
        <w:t>,</w:t>
      </w:r>
      <w:r w:rsidRPr="00CA7364">
        <w:t xml:space="preserve"> through an intermediary site such as the insurer</w:t>
      </w:r>
      <w:r w:rsidR="00035750">
        <w:t>’</w:t>
      </w:r>
      <w:r w:rsidRPr="00CA7364">
        <w:t>s internet banking site</w:t>
      </w:r>
      <w:r w:rsidR="00214D95">
        <w:t xml:space="preserve">.  </w:t>
      </w:r>
    </w:p>
    <w:p w:rsidR="00B218E7" w:rsidRPr="00AF0AD3" w:rsidRDefault="00B218E7" w:rsidP="00B218E7">
      <w:pPr>
        <w:pStyle w:val="base-text-paragraph"/>
        <w:rPr>
          <w:rStyle w:val="Referencingstyle"/>
        </w:rPr>
      </w:pPr>
      <w:r w:rsidRPr="003174CF">
        <w:t>A consequential amendment has been made to section 62(1) to remove the reference to section 77</w:t>
      </w:r>
      <w:r w:rsidR="00214D95">
        <w:t xml:space="preserve">.  </w:t>
      </w:r>
      <w:r w:rsidRPr="003174CF">
        <w:rPr>
          <w:rStyle w:val="Referencingstyle"/>
        </w:rPr>
        <w:t>[Schedule 2, Item 1, subsection 62(1)]</w:t>
      </w:r>
    </w:p>
    <w:p w:rsidR="0048487F" w:rsidRDefault="0048487F" w:rsidP="0048487F">
      <w:pPr>
        <w:pStyle w:val="Heading2"/>
      </w:pPr>
      <w:r>
        <w:t>Applicat</w:t>
      </w:r>
      <w:r w:rsidR="007068E5">
        <w:t>ion and transitional provisions</w:t>
      </w:r>
    </w:p>
    <w:p w:rsidR="0048487F" w:rsidRPr="003174CF" w:rsidRDefault="0048487F" w:rsidP="0048487F">
      <w:pPr>
        <w:pStyle w:val="base-text-paragraph"/>
      </w:pPr>
      <w:r w:rsidRPr="003174CF">
        <w:t>Item 9 of Schedule 2 of the Bill provides that the amendments in Schedule 2 apply to a notice or other document or information given to a person under the ICA after the commencement of item 9 of Schedule 2</w:t>
      </w:r>
      <w:r w:rsidR="00214D95">
        <w:t xml:space="preserve">.  </w:t>
      </w:r>
    </w:p>
    <w:p w:rsidR="00337D7D" w:rsidRPr="003174CF" w:rsidRDefault="0048487F" w:rsidP="0048487F">
      <w:pPr>
        <w:pStyle w:val="base-text-paragraph"/>
      </w:pPr>
      <w:r w:rsidRPr="003174CF">
        <w:t xml:space="preserve">By operation of clause 2, item 9 of Schedule 2 commences on </w:t>
      </w:r>
      <w:r w:rsidR="00337D7D" w:rsidRPr="003174CF">
        <w:t>a single day to be fixed by proclamation</w:t>
      </w:r>
      <w:r w:rsidR="00214D95">
        <w:t xml:space="preserve">.  </w:t>
      </w:r>
      <w:r w:rsidR="00337D7D" w:rsidRPr="003174CF">
        <w:t>However</w:t>
      </w:r>
      <w:r w:rsidR="0014053A">
        <w:t>,</w:t>
      </w:r>
      <w:r w:rsidR="00337D7D" w:rsidRPr="003174CF">
        <w:t xml:space="preserve"> if any of the provisions do not commence within the period of 6 months beginning on the day this act received Royal </w:t>
      </w:r>
      <w:r w:rsidR="00295AB7" w:rsidRPr="003174CF">
        <w:t>Assent</w:t>
      </w:r>
      <w:r w:rsidR="00337D7D" w:rsidRPr="003174CF">
        <w:t>, they commence on the day after the end of that period</w:t>
      </w:r>
      <w:r w:rsidRPr="003174CF">
        <w:t>.</w:t>
      </w:r>
    </w:p>
    <w:p w:rsidR="0048487F" w:rsidRDefault="00337D7D" w:rsidP="00B218E7">
      <w:pPr>
        <w:pStyle w:val="Heading2"/>
      </w:pPr>
      <w:r w:rsidRPr="003174CF">
        <w:t xml:space="preserve"> </w:t>
      </w:r>
      <w:r w:rsidR="0048487F">
        <w:t>Schedule 3</w:t>
      </w:r>
      <w:r w:rsidR="0014053A">
        <w:t xml:space="preserve"> — </w:t>
      </w:r>
      <w:r w:rsidR="0048487F">
        <w:t>Powers of ASIC</w:t>
      </w:r>
    </w:p>
    <w:p w:rsidR="0048487F" w:rsidRDefault="0048487F" w:rsidP="0048487F">
      <w:pPr>
        <w:pStyle w:val="base-text-paragraph"/>
      </w:pPr>
      <w:r>
        <w:t xml:space="preserve">Part IA of the ICA gives </w:t>
      </w:r>
      <w:r w:rsidR="00D07312">
        <w:t>ASIC</w:t>
      </w:r>
      <w:r>
        <w:t xml:space="preserve"> responsibility for the general administration of the ICA and vests in ASIC a number of specific powers to support this role, such as the power to obtain documents.</w:t>
      </w:r>
    </w:p>
    <w:p w:rsidR="0048487F" w:rsidRDefault="0048487F" w:rsidP="0048487F">
      <w:pPr>
        <w:pStyle w:val="base-text-paragraph"/>
      </w:pPr>
      <w:r>
        <w:t>New section 11F of the ICA gives ASIC additional power to intervene in matters arising under the ICA</w:t>
      </w:r>
      <w:r w:rsidR="00214D95">
        <w:t xml:space="preserve">.  </w:t>
      </w:r>
      <w:r>
        <w:t>The provision is similar in form to the existing power that ASIC has to intervene in proceedings begun by other persons about matters arising under</w:t>
      </w:r>
      <w:r w:rsidR="00AF447F">
        <w:t xml:space="preserve"> section 1330 of</w:t>
      </w:r>
      <w:r>
        <w:t xml:space="preserve"> the </w:t>
      </w:r>
      <w:r w:rsidRPr="00AF447F">
        <w:t>Corporations Act</w:t>
      </w:r>
      <w:r w:rsidR="00214D95">
        <w:t xml:space="preserve">.  </w:t>
      </w:r>
      <w:r>
        <w:t>It allows ASIC to be represented in the proceedings by a staff member, a delegate, a solicitor or counsel</w:t>
      </w:r>
      <w:r w:rsidR="00214D95">
        <w:t xml:space="preserve">.  </w:t>
      </w:r>
      <w:r w:rsidRPr="00AF0AD3">
        <w:rPr>
          <w:rStyle w:val="Referencingstyle"/>
        </w:rPr>
        <w:t xml:space="preserve">[Schedule 3, </w:t>
      </w:r>
      <w:r w:rsidR="00D442DF">
        <w:rPr>
          <w:rStyle w:val="Referencingstyle"/>
        </w:rPr>
        <w:t>i</w:t>
      </w:r>
      <w:r w:rsidRPr="00AF0AD3">
        <w:rPr>
          <w:rStyle w:val="Referencingstyle"/>
        </w:rPr>
        <w:t>tem 1, section</w:t>
      </w:r>
      <w:r w:rsidR="00196927">
        <w:rPr>
          <w:rStyle w:val="Referencingstyle"/>
        </w:rPr>
        <w:t> </w:t>
      </w:r>
      <w:r w:rsidRPr="00AF0AD3">
        <w:rPr>
          <w:rStyle w:val="Referencingstyle"/>
        </w:rPr>
        <w:t>11F]</w:t>
      </w:r>
    </w:p>
    <w:p w:rsidR="0048487F" w:rsidRPr="00AF0AD3" w:rsidRDefault="0048487F" w:rsidP="0048487F">
      <w:pPr>
        <w:pStyle w:val="base-text-paragraph"/>
        <w:rPr>
          <w:rStyle w:val="Referencingstyle"/>
        </w:rPr>
      </w:pPr>
      <w:r>
        <w:t xml:space="preserve">By new section 11F, ASIC may also intervene in a matter arising under Part 3 of the </w:t>
      </w:r>
      <w:r w:rsidRPr="00922F75">
        <w:rPr>
          <w:i/>
        </w:rPr>
        <w:t xml:space="preserve">Medical Indemnity (Prudential Supervision and </w:t>
      </w:r>
      <w:r w:rsidRPr="00922F75">
        <w:rPr>
          <w:i/>
        </w:rPr>
        <w:lastRenderedPageBreak/>
        <w:t>Product Standards) Act 2003</w:t>
      </w:r>
      <w:r w:rsidR="00214D95">
        <w:t xml:space="preserve">.  </w:t>
      </w:r>
      <w:r>
        <w:t xml:space="preserve">Part 3 of the </w:t>
      </w:r>
      <w:r w:rsidRPr="00D07312">
        <w:rPr>
          <w:i/>
        </w:rPr>
        <w:t>Medical Indemnity (Prudential Supervision and Product Standards) Act 2003</w:t>
      </w:r>
      <w:r>
        <w:t xml:space="preserve"> </w:t>
      </w:r>
      <w:r w:rsidR="00D07312">
        <w:t xml:space="preserve">(MLA) </w:t>
      </w:r>
      <w:r>
        <w:t>enables ASIC (</w:t>
      </w:r>
      <w:r w:rsidR="00051938">
        <w:t>and</w:t>
      </w:r>
      <w:r>
        <w:t xml:space="preserve"> other parties) to make application to the court to enforce product standards for medical indemnity insurance</w:t>
      </w:r>
      <w:r w:rsidR="00214D95">
        <w:t xml:space="preserve">.  </w:t>
      </w:r>
      <w:r>
        <w:t>The expanded power would enable ASIC to intervene in any proceeding relating to matters arising under Part 3</w:t>
      </w:r>
      <w:r w:rsidR="00214D95">
        <w:t xml:space="preserve">.  </w:t>
      </w:r>
      <w:r w:rsidRPr="00AF0AD3">
        <w:rPr>
          <w:rStyle w:val="Referencingstyle"/>
        </w:rPr>
        <w:t>[Schedule 3,</w:t>
      </w:r>
      <w:r w:rsidR="00D442DF">
        <w:rPr>
          <w:rStyle w:val="Referencingstyle"/>
        </w:rPr>
        <w:t>i</w:t>
      </w:r>
      <w:r w:rsidRPr="00AF0AD3">
        <w:rPr>
          <w:rStyle w:val="Referencingstyle"/>
        </w:rPr>
        <w:t>tem 1,</w:t>
      </w:r>
      <w:r w:rsidR="00D442DF">
        <w:rPr>
          <w:rStyle w:val="Referencingstyle"/>
        </w:rPr>
        <w:t>p</w:t>
      </w:r>
      <w:r w:rsidRPr="00AF0AD3">
        <w:rPr>
          <w:rStyle w:val="Referencingstyle"/>
        </w:rPr>
        <w:t>aragraph 11F(1)(a) and 11F(1)(b)]</w:t>
      </w:r>
    </w:p>
    <w:p w:rsidR="0048487F" w:rsidRDefault="0048487F" w:rsidP="0048487F">
      <w:pPr>
        <w:pStyle w:val="Heading2"/>
      </w:pPr>
      <w:r>
        <w:t>Applicat</w:t>
      </w:r>
      <w:r w:rsidR="00196927">
        <w:t>ion and transitional provisions</w:t>
      </w:r>
    </w:p>
    <w:p w:rsidR="0048487F" w:rsidRDefault="0048487F" w:rsidP="0048487F">
      <w:pPr>
        <w:pStyle w:val="base-text-paragraph"/>
      </w:pPr>
      <w:r>
        <w:t>Item 2 of Schedule 3 of the Bill provides that the amendment made by Schedule 3 apply to a proceeding that is commenced after the commencement of item 2 of Schedule 3.</w:t>
      </w:r>
    </w:p>
    <w:p w:rsidR="0048487F" w:rsidRDefault="0048487F" w:rsidP="0048487F">
      <w:pPr>
        <w:pStyle w:val="base-text-paragraph"/>
      </w:pPr>
      <w:r>
        <w:t>By operation of clause 2, item 2 of Schedule 3commences on the day the Act receives the Royal Assent.</w:t>
      </w:r>
    </w:p>
    <w:p w:rsidR="0048487F" w:rsidRDefault="0048487F" w:rsidP="0048487F">
      <w:pPr>
        <w:pStyle w:val="Heading2"/>
      </w:pPr>
      <w:r>
        <w:t xml:space="preserve"> Schedule 4</w:t>
      </w:r>
      <w:r w:rsidR="0014053A">
        <w:t xml:space="preserve"> — </w:t>
      </w:r>
      <w:r>
        <w:t>Disclosure and misrepresentations</w:t>
      </w:r>
    </w:p>
    <w:p w:rsidR="0048487F" w:rsidRDefault="0048487F" w:rsidP="0048487F">
      <w:pPr>
        <w:pStyle w:val="base-text-paragraph"/>
      </w:pPr>
      <w:r>
        <w:t>Schedule 4 amends the manner in which the ICA deals with particular types of disclosure and misrepresentations</w:t>
      </w:r>
      <w:r w:rsidR="00214D95">
        <w:t xml:space="preserve">.  </w:t>
      </w:r>
      <w:r>
        <w:t>The changes:</w:t>
      </w:r>
    </w:p>
    <w:p w:rsidR="0048487F" w:rsidRDefault="0048487F" w:rsidP="0048487F">
      <w:pPr>
        <w:pStyle w:val="dotpoint"/>
      </w:pPr>
      <w:r>
        <w:t>clarify how the duty of disclosure test is applied;</w:t>
      </w:r>
    </w:p>
    <w:p w:rsidR="0048487F" w:rsidRDefault="0048487F" w:rsidP="0048487F">
      <w:pPr>
        <w:pStyle w:val="dotpoint"/>
      </w:pPr>
      <w:r>
        <w:t xml:space="preserve">in relation to eligible contracts of insurance, amend the law to make the duty of disclosure apply on renewal of a contract of insurance and remove the option for insurers to ask </w:t>
      </w:r>
      <w:r w:rsidR="00035750">
        <w:t>‘</w:t>
      </w:r>
      <w:r>
        <w:t>catch all</w:t>
      </w:r>
      <w:r w:rsidR="00196927">
        <w:t>’</w:t>
      </w:r>
      <w:r>
        <w:t xml:space="preserve"> questions;</w:t>
      </w:r>
    </w:p>
    <w:p w:rsidR="0048487F" w:rsidRDefault="0048487F" w:rsidP="0048487F">
      <w:pPr>
        <w:pStyle w:val="dotpoint"/>
      </w:pPr>
      <w:r>
        <w:t>amend the law regarding circumstances in which an insurer must provide an insured with a reminder as to when their duty of disclosure obligation applies; and</w:t>
      </w:r>
    </w:p>
    <w:p w:rsidR="0048487F" w:rsidRDefault="0048487F" w:rsidP="0048487F">
      <w:pPr>
        <w:pStyle w:val="dotpoint"/>
      </w:pPr>
      <w:proofErr w:type="gramStart"/>
      <w:r>
        <w:t>in</w:t>
      </w:r>
      <w:proofErr w:type="gramEnd"/>
      <w:r>
        <w:t xml:space="preserve"> relation to contracts of life insurance, amend the law so insurers must give a potential life insured, who is not the insured under the relevant contract of insurance, notice of their duty of disclosure.</w:t>
      </w:r>
    </w:p>
    <w:p w:rsidR="0048487F" w:rsidRDefault="0048487F" w:rsidP="0048487F">
      <w:pPr>
        <w:pStyle w:val="Heading4"/>
      </w:pPr>
      <w:r>
        <w:t>Part 1</w:t>
      </w:r>
      <w:r w:rsidR="0014053A">
        <w:t xml:space="preserve"> — </w:t>
      </w:r>
      <w:r>
        <w:t>Insured</w:t>
      </w:r>
      <w:r w:rsidR="00035750">
        <w:t>’</w:t>
      </w:r>
      <w:r>
        <w:t>s duty of disclosure</w:t>
      </w:r>
    </w:p>
    <w:p w:rsidR="0048487F" w:rsidRDefault="0048487F" w:rsidP="0048487F">
      <w:pPr>
        <w:pStyle w:val="base-text-paragraph"/>
      </w:pPr>
      <w:r>
        <w:t>Sections 21 and 21A of the ICA are key provisions that govern the insured</w:t>
      </w:r>
      <w:r w:rsidR="00035750">
        <w:t>’</w:t>
      </w:r>
      <w:r>
        <w:t>s duty of disclosure obligations</w:t>
      </w:r>
      <w:r w:rsidR="00214D95">
        <w:t xml:space="preserve">.  </w:t>
      </w:r>
      <w:r>
        <w:t>Section 21 imposes a requirement on an insured, before a contract is entered into, to disclose various matters</w:t>
      </w:r>
      <w:r w:rsidR="00214D95">
        <w:t xml:space="preserve">.  </w:t>
      </w:r>
      <w:r>
        <w:t xml:space="preserve">What must be disclosed is determined by reference to a test that contains both subjective elements (what the insured knows to be </w:t>
      </w:r>
      <w:r>
        <w:lastRenderedPageBreak/>
        <w:t>relevant to the insurer</w:t>
      </w:r>
      <w:r w:rsidR="00035750">
        <w:t>’</w:t>
      </w:r>
      <w:r>
        <w:t>s decision) and objective elements (what a reasonable person in the circumstances could be expected to know would be relevant to the insurer</w:t>
      </w:r>
      <w:r w:rsidR="00035750">
        <w:t>’</w:t>
      </w:r>
      <w:r>
        <w:t>s decision).</w:t>
      </w:r>
    </w:p>
    <w:p w:rsidR="0048487F" w:rsidRDefault="0048487F" w:rsidP="0048487F">
      <w:pPr>
        <w:pStyle w:val="base-text-paragraph"/>
      </w:pPr>
      <w:r>
        <w:t>The mixed subjective/objective test has not been applied consistently</w:t>
      </w:r>
      <w:r w:rsidR="00214D95">
        <w:t xml:space="preserve">.  </w:t>
      </w:r>
      <w:proofErr w:type="gramStart"/>
      <w:r>
        <w:t>To help clarify its interpretation, item 1 in Part 1 of Schedule 4 expands the objective element of the test in paragraph 21(1)(b) of the ICA to include two additional non</w:t>
      </w:r>
      <w:r w:rsidR="00214D95">
        <w:noBreakHyphen/>
      </w:r>
      <w:r>
        <w:t>exclusive factors to which the court may have regard when determining whether a reasonable person in the circumstances could be expected to know a matter was relevant to the decision of the insurer whether to enter the contract of insurance</w:t>
      </w:r>
      <w:r w:rsidR="00214D95">
        <w:t>.</w:t>
      </w:r>
      <w:proofErr w:type="gramEnd"/>
      <w:r w:rsidR="00214D95">
        <w:t xml:space="preserve">  </w:t>
      </w:r>
      <w:r>
        <w:t>The two factors to which the court may have regard are:</w:t>
      </w:r>
    </w:p>
    <w:p w:rsidR="0048487F" w:rsidRDefault="0048487F" w:rsidP="0048487F">
      <w:pPr>
        <w:pStyle w:val="dotpoint"/>
      </w:pPr>
      <w:r>
        <w:t xml:space="preserve">the nature and extent of the insurance cover to be provided under the relevant contract of insurance; and </w:t>
      </w:r>
    </w:p>
    <w:p w:rsidR="0048487F" w:rsidRDefault="0048487F" w:rsidP="0048487F">
      <w:pPr>
        <w:pStyle w:val="dotpoint"/>
      </w:pPr>
      <w:r>
        <w:t xml:space="preserve"> </w:t>
      </w:r>
      <w:proofErr w:type="gramStart"/>
      <w:r>
        <w:t>the</w:t>
      </w:r>
      <w:proofErr w:type="gramEnd"/>
      <w:r>
        <w:t xml:space="preserve"> class of persons who would ordinarily be expected to apply for cover of that type.</w:t>
      </w:r>
    </w:p>
    <w:p w:rsidR="0048487F" w:rsidRPr="00D07312" w:rsidRDefault="0048487F" w:rsidP="0048487F">
      <w:pPr>
        <w:pStyle w:val="base-text-paragraph"/>
        <w:numPr>
          <w:ilvl w:val="0"/>
          <w:numId w:val="0"/>
        </w:numPr>
        <w:ind w:left="2160" w:firstLine="108"/>
        <w:rPr>
          <w:rStyle w:val="Referencingstyle"/>
        </w:rPr>
      </w:pPr>
      <w:r w:rsidRPr="00D07312">
        <w:rPr>
          <w:rStyle w:val="Referencingstyle"/>
        </w:rPr>
        <w:t xml:space="preserve">[Schedule 4, </w:t>
      </w:r>
      <w:r w:rsidR="00D442DF" w:rsidRPr="00D07312">
        <w:rPr>
          <w:rStyle w:val="Referencingstyle"/>
        </w:rPr>
        <w:t>i</w:t>
      </w:r>
      <w:r w:rsidRPr="00D07312">
        <w:rPr>
          <w:rStyle w:val="Referencingstyle"/>
        </w:rPr>
        <w:t xml:space="preserve">tem </w:t>
      </w:r>
      <w:r w:rsidR="00D442DF" w:rsidRPr="00D07312">
        <w:rPr>
          <w:rStyle w:val="Referencingstyle"/>
        </w:rPr>
        <w:t>1, paragraph 21(1</w:t>
      </w:r>
      <w:proofErr w:type="gramStart"/>
      <w:r w:rsidR="00D442DF" w:rsidRPr="00D07312">
        <w:rPr>
          <w:rStyle w:val="Referencingstyle"/>
        </w:rPr>
        <w:t>)(</w:t>
      </w:r>
      <w:proofErr w:type="gramEnd"/>
      <w:r w:rsidR="00D442DF" w:rsidRPr="00D07312">
        <w:rPr>
          <w:rStyle w:val="Referencingstyle"/>
        </w:rPr>
        <w:t>b)]</w:t>
      </w:r>
    </w:p>
    <w:p w:rsidR="0048487F" w:rsidRDefault="0048487F" w:rsidP="0048487F">
      <w:pPr>
        <w:pStyle w:val="Heading3"/>
      </w:pPr>
      <w:r>
        <w:t>Part 2</w:t>
      </w:r>
      <w:r w:rsidR="0014053A">
        <w:t xml:space="preserve"> — </w:t>
      </w:r>
      <w:r>
        <w:t>Eligible contracts of insurance</w:t>
      </w:r>
    </w:p>
    <w:p w:rsidR="0048487F" w:rsidRDefault="0048487F" w:rsidP="0048487F">
      <w:pPr>
        <w:pStyle w:val="base-text-paragraph"/>
      </w:pPr>
      <w:r>
        <w:t xml:space="preserve">Section 21A of the ICA supplements the general provisions regarding the duty of disclosure in section 21, but only in relation to certain </w:t>
      </w:r>
      <w:r w:rsidR="00035750">
        <w:t>‘</w:t>
      </w:r>
      <w:r>
        <w:t>eligible contracts of insurance</w:t>
      </w:r>
      <w:r w:rsidR="00035750">
        <w:t>’</w:t>
      </w:r>
      <w:r w:rsidR="00214D95">
        <w:t xml:space="preserve">.  </w:t>
      </w:r>
      <w:r w:rsidR="00035750">
        <w:t>‘</w:t>
      </w:r>
      <w:r>
        <w:t>Eligible contracts of insurance</w:t>
      </w:r>
      <w:r w:rsidR="00035750">
        <w:t>’</w:t>
      </w:r>
      <w:r>
        <w:t xml:space="preserve"> are prescribed </w:t>
      </w:r>
      <w:r w:rsidR="00D07312">
        <w:t xml:space="preserve">in the </w:t>
      </w:r>
      <w:r w:rsidR="00D07312" w:rsidRPr="000F09AD">
        <w:rPr>
          <w:i/>
        </w:rPr>
        <w:t>Insurance Contracts Regulations 1985</w:t>
      </w:r>
      <w:r w:rsidR="00D07312">
        <w:t xml:space="preserve"> (ICR)</w:t>
      </w:r>
      <w:r w:rsidR="00214D95">
        <w:t xml:space="preserve">.  </w:t>
      </w:r>
      <w:r>
        <w:t>They include contracts that provide cover commonly sought by individual consumers, such as motor vehicle, home contents and travel insurance</w:t>
      </w:r>
      <w:r w:rsidR="00214D95">
        <w:t xml:space="preserve">.  </w:t>
      </w:r>
    </w:p>
    <w:p w:rsidR="00D442DF" w:rsidRDefault="0048487F" w:rsidP="0048487F">
      <w:pPr>
        <w:pStyle w:val="base-text-paragraph"/>
      </w:pPr>
      <w:r>
        <w:t>For an insurer to be able to rely on compliance by an insured with their duty of disclosure, section 21A requires the insurer to ask the insured specific questions that are relevant to the insurer</w:t>
      </w:r>
      <w:r w:rsidR="00035750">
        <w:t>’</w:t>
      </w:r>
      <w:r>
        <w:t>s decision whether to accept the risk and, if so, on what terms</w:t>
      </w:r>
      <w:r w:rsidR="00214D95">
        <w:t xml:space="preserve">.  </w:t>
      </w:r>
      <w:r>
        <w:t xml:space="preserve">However, it is also currently permissible for the insurer to ask the insured a </w:t>
      </w:r>
      <w:r w:rsidR="00035750">
        <w:t>‘</w:t>
      </w:r>
      <w:r>
        <w:t>catch all</w:t>
      </w:r>
      <w:r w:rsidR="00035750">
        <w:t>’</w:t>
      </w:r>
      <w:r>
        <w:t xml:space="preserve"> question, which requires an insured to disclose </w:t>
      </w:r>
      <w:r w:rsidR="00035750">
        <w:t>‘</w:t>
      </w:r>
      <w:r>
        <w:t>exceptional circumstances</w:t>
      </w:r>
      <w:r w:rsidR="00035750">
        <w:t>’</w:t>
      </w:r>
      <w:r w:rsidR="00D442DF">
        <w:t>:</w:t>
      </w:r>
    </w:p>
    <w:p w:rsidR="00D442DF" w:rsidRDefault="0048487F" w:rsidP="00AF0AD3">
      <w:pPr>
        <w:pStyle w:val="dotpoint"/>
      </w:pPr>
      <w:r>
        <w:t>that a reasonable person could be expected to know would be relevant to the insurer</w:t>
      </w:r>
      <w:r w:rsidR="00035750">
        <w:t>’</w:t>
      </w:r>
      <w:r>
        <w:t>s decision whether to accept the risk</w:t>
      </w:r>
      <w:r w:rsidR="00D442DF">
        <w:t xml:space="preserve">; and </w:t>
      </w:r>
    </w:p>
    <w:p w:rsidR="0048487F" w:rsidRDefault="0048487F" w:rsidP="00AF0AD3">
      <w:pPr>
        <w:pStyle w:val="dotpoint"/>
      </w:pPr>
      <w:proofErr w:type="gramStart"/>
      <w:r>
        <w:t>which</w:t>
      </w:r>
      <w:proofErr w:type="gramEnd"/>
      <w:r>
        <w:t xml:space="preserve"> would be unreasonable for the insurer to ask a specific question </w:t>
      </w:r>
      <w:r w:rsidR="00D442DF">
        <w:t xml:space="preserve">about </w:t>
      </w:r>
      <w:r>
        <w:t>(subparagraph 21A(4)(b)(iii))</w:t>
      </w:r>
      <w:r w:rsidR="00214D95">
        <w:t xml:space="preserve">.  </w:t>
      </w:r>
    </w:p>
    <w:p w:rsidR="0048487F" w:rsidRDefault="0048487F" w:rsidP="0048487F">
      <w:pPr>
        <w:pStyle w:val="base-text-paragraph"/>
      </w:pPr>
      <w:r>
        <w:t xml:space="preserve">The current ability to ask </w:t>
      </w:r>
      <w:r w:rsidR="00035750">
        <w:t>‘</w:t>
      </w:r>
      <w:r>
        <w:t>catch all</w:t>
      </w:r>
      <w:r w:rsidR="00035750">
        <w:t>’</w:t>
      </w:r>
      <w:r>
        <w:t xml:space="preserve"> questions tends to undermine the benefits for insureds of the framework for eligible contracts </w:t>
      </w:r>
      <w:r>
        <w:lastRenderedPageBreak/>
        <w:t>of insurance</w:t>
      </w:r>
      <w:r w:rsidR="00214D95">
        <w:t xml:space="preserve">.  </w:t>
      </w:r>
      <w:r>
        <w:t xml:space="preserve">Insurers should be in a position to decide what matters </w:t>
      </w:r>
      <w:proofErr w:type="gramStart"/>
      <w:r>
        <w:t>are material</w:t>
      </w:r>
      <w:proofErr w:type="gramEnd"/>
      <w:r>
        <w:t xml:space="preserve"> to their decision to provide eligible contracts of insurance and formulate specific questions accordingly</w:t>
      </w:r>
      <w:r w:rsidR="00214D95">
        <w:t xml:space="preserve">.  </w:t>
      </w:r>
      <w:r>
        <w:t>In the event that an insurer is unable to foresee a matter that is relevant to their decision whether to accept the risk of a particular contract, then it is difficult to justify expecting an unsophisticated insured to realise its relevance.</w:t>
      </w:r>
    </w:p>
    <w:p w:rsidR="0048487F" w:rsidRDefault="0048487F" w:rsidP="0048487F">
      <w:pPr>
        <w:pStyle w:val="base-text-paragraph"/>
      </w:pPr>
      <w:r>
        <w:t>Section 21A only applies when a contract is first entered into</w:t>
      </w:r>
      <w:r w:rsidR="0014053A">
        <w:t xml:space="preserve"> — </w:t>
      </w:r>
      <w:r>
        <w:t xml:space="preserve">it currently has no application to renewals (subsection </w:t>
      </w:r>
      <w:proofErr w:type="gramStart"/>
      <w:r>
        <w:t>21A(</w:t>
      </w:r>
      <w:proofErr w:type="gramEnd"/>
      <w:r>
        <w:t>1))</w:t>
      </w:r>
      <w:r w:rsidR="00214D95">
        <w:t xml:space="preserve">.  </w:t>
      </w:r>
      <w:r>
        <w:t>However, for the purposes of other provisions, a renewal is treated as entry into a new contract (subsection 11(9))</w:t>
      </w:r>
      <w:r w:rsidR="00214D95">
        <w:t xml:space="preserve">.  </w:t>
      </w:r>
      <w:r>
        <w:t>Accordingly, renewal of an eligible contract of insurance would trigger the general duty of disclosure provisions under section 21</w:t>
      </w:r>
      <w:r w:rsidR="00214D95">
        <w:t xml:space="preserve">.  </w:t>
      </w:r>
      <w:r>
        <w:t>This can be onerous for insureds in comparison with, for example, the framework for eligible contracts under section 21A</w:t>
      </w:r>
      <w:r w:rsidR="00214D95">
        <w:t xml:space="preserve">.  </w:t>
      </w:r>
    </w:p>
    <w:p w:rsidR="0048487F" w:rsidRPr="00757C29" w:rsidRDefault="0048487F" w:rsidP="0048487F">
      <w:pPr>
        <w:pStyle w:val="base-text-paragraph"/>
      </w:pPr>
      <w:r w:rsidRPr="00757C29">
        <w:t xml:space="preserve">The provisions in Part 2 of Schedule 4 are designed to: </w:t>
      </w:r>
    </w:p>
    <w:p w:rsidR="0048487F" w:rsidRPr="00757C29" w:rsidRDefault="0048487F" w:rsidP="0048487F">
      <w:pPr>
        <w:pStyle w:val="dotpoint"/>
      </w:pPr>
      <w:r w:rsidRPr="00757C29">
        <w:t xml:space="preserve">remove the ability of insurers to ask </w:t>
      </w:r>
      <w:r w:rsidR="00035750">
        <w:t>‘</w:t>
      </w:r>
      <w:r w:rsidRPr="00757C29">
        <w:t>catch all</w:t>
      </w:r>
      <w:r w:rsidR="00035750">
        <w:t>’</w:t>
      </w:r>
      <w:r w:rsidRPr="00757C29">
        <w:t xml:space="preserve"> questions in relation to eligible contracts; and</w:t>
      </w:r>
    </w:p>
    <w:p w:rsidR="0048487F" w:rsidRPr="00757C29" w:rsidRDefault="0048487F" w:rsidP="0048487F">
      <w:pPr>
        <w:pStyle w:val="dotpoint"/>
      </w:pPr>
      <w:proofErr w:type="gramStart"/>
      <w:r w:rsidRPr="00757C29">
        <w:t>apply</w:t>
      </w:r>
      <w:proofErr w:type="gramEnd"/>
      <w:r w:rsidRPr="00757C29">
        <w:t xml:space="preserve"> enhanced rules for the duty of disclosure on original inception and renewal of eligible contracts.</w:t>
      </w:r>
    </w:p>
    <w:p w:rsidR="00A91E81" w:rsidRPr="00757C29" w:rsidRDefault="0048487F" w:rsidP="0048487F">
      <w:pPr>
        <w:pStyle w:val="base-text-paragraph"/>
      </w:pPr>
      <w:r w:rsidRPr="00757C29">
        <w:t xml:space="preserve">In relation to the original entering into of an eligible contract of insurance, new section 21A provides that the insurer </w:t>
      </w:r>
      <w:r w:rsidR="00C31170" w:rsidRPr="00757C29">
        <w:t>may ask one or more specific questions that are relevant</w:t>
      </w:r>
      <w:r w:rsidR="00A91E81" w:rsidRPr="00757C29">
        <w:t xml:space="preserve"> </w:t>
      </w:r>
      <w:r w:rsidR="00C31170" w:rsidRPr="00757C29">
        <w:t xml:space="preserve">to the decision whether to accept risk </w:t>
      </w:r>
      <w:r w:rsidR="00A91E81" w:rsidRPr="00757C29">
        <w:t>and, if so, on what terms</w:t>
      </w:r>
      <w:r w:rsidR="00214D95">
        <w:t xml:space="preserve">.  </w:t>
      </w:r>
      <w:r w:rsidR="00A91E81" w:rsidRPr="00757C29">
        <w:t>If the insurer does not ask on</w:t>
      </w:r>
      <w:r w:rsidR="000A7C13">
        <w:t xml:space="preserve">e or more </w:t>
      </w:r>
      <w:r w:rsidR="00051938">
        <w:t>questions,</w:t>
      </w:r>
      <w:r w:rsidR="000A7C13">
        <w:t xml:space="preserve"> the insurer</w:t>
      </w:r>
      <w:r w:rsidR="00A91E81" w:rsidRPr="00757C29">
        <w:t xml:space="preserve"> is taken to have waived compliance with the duty of disclosure</w:t>
      </w:r>
      <w:r w:rsidR="00214D95">
        <w:t xml:space="preserve">.  </w:t>
      </w:r>
      <w:r w:rsidR="00A91E81" w:rsidRPr="00757C29">
        <w:rPr>
          <w:rStyle w:val="Referencingstyle"/>
        </w:rPr>
        <w:t>[Schedule 4, item 6, subsection 21A</w:t>
      </w:r>
      <w:r w:rsidR="000B7B65" w:rsidRPr="00757C29">
        <w:rPr>
          <w:rStyle w:val="Referencingstyle"/>
        </w:rPr>
        <w:t>(1</w:t>
      </w:r>
      <w:r w:rsidR="00A91E81" w:rsidRPr="00757C29">
        <w:rPr>
          <w:rStyle w:val="Referencingstyle"/>
        </w:rPr>
        <w:t>)</w:t>
      </w:r>
      <w:r w:rsidR="000B7B65" w:rsidRPr="00757C29">
        <w:rPr>
          <w:rStyle w:val="Referencingstyle"/>
        </w:rPr>
        <w:t>, 21A(2) and 21A(3)</w:t>
      </w:r>
      <w:r w:rsidR="00A91E81" w:rsidRPr="00757C29">
        <w:rPr>
          <w:rStyle w:val="Referencingstyle"/>
        </w:rPr>
        <w:t>]</w:t>
      </w:r>
    </w:p>
    <w:p w:rsidR="00A91E81" w:rsidRPr="00757C29" w:rsidRDefault="00A91E81" w:rsidP="00A91E81">
      <w:pPr>
        <w:pStyle w:val="base-text-paragraph"/>
      </w:pPr>
      <w:r w:rsidRPr="00757C29">
        <w:t>Further, if an insurer makes a request in relation to any other matter outside the specific questions that would be covered by the duty of disclosure the insured is taken to have waived compliance with the duty of disclosure</w:t>
      </w:r>
      <w:r w:rsidR="00214D95">
        <w:t xml:space="preserve">.  </w:t>
      </w:r>
      <w:r w:rsidRPr="00757C29">
        <w:rPr>
          <w:rStyle w:val="Referencingstyle"/>
        </w:rPr>
        <w:t>[Schedule 4, item 6, subsection 21A</w:t>
      </w:r>
      <w:r w:rsidR="000B7B65" w:rsidRPr="00757C29">
        <w:rPr>
          <w:rStyle w:val="Referencingstyle"/>
        </w:rPr>
        <w:t>(4</w:t>
      </w:r>
      <w:r w:rsidRPr="00757C29">
        <w:rPr>
          <w:rStyle w:val="Referencingstyle"/>
        </w:rPr>
        <w:t>)]</w:t>
      </w:r>
      <w:r w:rsidRPr="00757C29">
        <w:t xml:space="preserve"> </w:t>
      </w:r>
    </w:p>
    <w:p w:rsidR="00A91E81" w:rsidRPr="00757C29" w:rsidRDefault="00295AB7" w:rsidP="00A91E81">
      <w:pPr>
        <w:pStyle w:val="base-text-paragraph"/>
        <w:rPr>
          <w:rStyle w:val="Referencingstyle"/>
        </w:rPr>
      </w:pPr>
      <w:r w:rsidRPr="00757C29">
        <w:t>If an insurer asks one or more specific question and the insured in response to those questions discloses each matter that is known to the insured and a reasonable person in the circumstances should be expected to have disclosed in answer to that question than the insured is taken to have complied with the duty of disclosure in relation to the contract</w:t>
      </w:r>
      <w:r w:rsidR="00214D95">
        <w:t xml:space="preserve">.  </w:t>
      </w:r>
      <w:r w:rsidR="00A91E81" w:rsidRPr="00757C29">
        <w:rPr>
          <w:rStyle w:val="Referencingstyle"/>
        </w:rPr>
        <w:t xml:space="preserve">[Schedule 4, item </w:t>
      </w:r>
      <w:r w:rsidR="004810B0">
        <w:rPr>
          <w:rStyle w:val="Referencingstyle"/>
        </w:rPr>
        <w:t>6</w:t>
      </w:r>
      <w:r w:rsidR="00A91E81" w:rsidRPr="00757C29">
        <w:rPr>
          <w:rStyle w:val="Referencingstyle"/>
        </w:rPr>
        <w:t>, subsection 21A(</w:t>
      </w:r>
      <w:r w:rsidR="000B7B65" w:rsidRPr="00757C29">
        <w:rPr>
          <w:rStyle w:val="Referencingstyle"/>
        </w:rPr>
        <w:t>5</w:t>
      </w:r>
      <w:r w:rsidR="00A91E81" w:rsidRPr="00757C29">
        <w:rPr>
          <w:rStyle w:val="Referencingstyle"/>
        </w:rPr>
        <w:t xml:space="preserve">)] </w:t>
      </w:r>
    </w:p>
    <w:p w:rsidR="0048487F" w:rsidRPr="00757C29" w:rsidRDefault="00D07312" w:rsidP="00D07312">
      <w:pPr>
        <w:pStyle w:val="dotpoint"/>
      </w:pPr>
      <w:r w:rsidRPr="00757C29">
        <w:t xml:space="preserve">New section 21A is contained in Division 2 of Part </w:t>
      </w:r>
      <w:r w:rsidR="00051938" w:rsidRPr="00757C29">
        <w:t>2, which</w:t>
      </w:r>
      <w:r w:rsidRPr="00757C29">
        <w:t xml:space="preserve"> commences 30 months after the date of Royal Assent</w:t>
      </w:r>
      <w:r w:rsidR="00214D95">
        <w:t xml:space="preserve">.  </w:t>
      </w:r>
    </w:p>
    <w:p w:rsidR="00757C29" w:rsidRPr="00757C29" w:rsidRDefault="003A2974" w:rsidP="0048487F">
      <w:pPr>
        <w:pStyle w:val="base-text-paragraph"/>
      </w:pPr>
      <w:r w:rsidRPr="00757C29">
        <w:lastRenderedPageBreak/>
        <w:t xml:space="preserve">To ensure that insurers can smoothly transition into the new regime for renewals of </w:t>
      </w:r>
      <w:r w:rsidR="000A7C13">
        <w:t>eligible contracts of insurance, a</w:t>
      </w:r>
      <w:r w:rsidRPr="00757C29">
        <w:t xml:space="preserve"> transition period has been provided</w:t>
      </w:r>
      <w:r w:rsidR="00214D95">
        <w:t xml:space="preserve">.  </w:t>
      </w:r>
      <w:r w:rsidR="00757C29" w:rsidRPr="00757C29">
        <w:t>To facilitate the transitional period the amendments to eligible contract</w:t>
      </w:r>
      <w:r w:rsidR="000A7C13">
        <w:t>s</w:t>
      </w:r>
      <w:r w:rsidR="00757C29" w:rsidRPr="00757C29">
        <w:t xml:space="preserve"> of insurance have been separated into two divisions</w:t>
      </w:r>
      <w:r w:rsidR="00214D95">
        <w:t xml:space="preserve">.  </w:t>
      </w:r>
      <w:r w:rsidR="00757C29" w:rsidRPr="00757C29">
        <w:t>Division 1 applies to amendments commencing from the date of Royal Assen</w:t>
      </w:r>
      <w:r w:rsidR="000A7C13">
        <w:t>t and Division 2 applies</w:t>
      </w:r>
      <w:r w:rsidR="00757C29" w:rsidRPr="00757C29">
        <w:t xml:space="preserve"> to amendments that are commencing 30</w:t>
      </w:r>
      <w:r w:rsidR="00196927">
        <w:t> </w:t>
      </w:r>
      <w:r w:rsidR="00757C29" w:rsidRPr="00757C29">
        <w:t>months after Royal Assent</w:t>
      </w:r>
      <w:r w:rsidR="00214D95">
        <w:t xml:space="preserve">.  </w:t>
      </w:r>
    </w:p>
    <w:p w:rsidR="00C37514" w:rsidRPr="00757C29" w:rsidRDefault="003A2974" w:rsidP="0048487F">
      <w:pPr>
        <w:pStyle w:val="base-text-paragraph"/>
      </w:pPr>
      <w:r w:rsidRPr="00757C29">
        <w:t xml:space="preserve"> </w:t>
      </w:r>
      <w:r w:rsidR="000A7C13">
        <w:t>This</w:t>
      </w:r>
      <w:r w:rsidRPr="00757C29">
        <w:t xml:space="preserve"> enables an insurer to rely on new section 21B for the period of 30 months from the date of Royal Assent provided certain requirements</w:t>
      </w:r>
      <w:r w:rsidR="00214D95">
        <w:t xml:space="preserve">.  </w:t>
      </w:r>
      <w:r w:rsidR="000B7B65" w:rsidRPr="00757C29">
        <w:t>H</w:t>
      </w:r>
      <w:r w:rsidRPr="00757C29">
        <w:t>owever</w:t>
      </w:r>
      <w:r w:rsidR="0014053A">
        <w:t>,</w:t>
      </w:r>
      <w:r w:rsidRPr="00757C29">
        <w:t xml:space="preserve"> after the </w:t>
      </w:r>
      <w:proofErr w:type="gramStart"/>
      <w:r w:rsidRPr="00757C29">
        <w:t>period of 30 months have</w:t>
      </w:r>
      <w:proofErr w:type="gramEnd"/>
      <w:r w:rsidRPr="00757C29">
        <w:t xml:space="preserve"> expired</w:t>
      </w:r>
      <w:r w:rsidR="000B7B65" w:rsidRPr="00757C29">
        <w:t>,</w:t>
      </w:r>
      <w:r w:rsidRPr="00757C29">
        <w:t xml:space="preserve"> </w:t>
      </w:r>
      <w:r w:rsidR="004F2720" w:rsidRPr="00757C29">
        <w:t>an insurer will have to comply with the requirements of the ICA at that time.</w:t>
      </w:r>
    </w:p>
    <w:p w:rsidR="00757C29" w:rsidRPr="00757C29" w:rsidRDefault="000A7C13" w:rsidP="00757C29">
      <w:pPr>
        <w:pStyle w:val="base-text-paragraph"/>
      </w:pPr>
      <w:r>
        <w:t>New section 21A</w:t>
      </w:r>
      <w:r w:rsidR="00757C29" w:rsidRPr="00757C29">
        <w:t xml:space="preserve">, as outlined above, is contained in Division 2 of Part </w:t>
      </w:r>
      <w:r w:rsidR="00051938" w:rsidRPr="00757C29">
        <w:t>2, which</w:t>
      </w:r>
      <w:r w:rsidR="00757C29" w:rsidRPr="00757C29">
        <w:t xml:space="preserve"> commences 30 months after the date of Royal Assent</w:t>
      </w:r>
      <w:r w:rsidR="00214D95">
        <w:t xml:space="preserve">.  </w:t>
      </w:r>
    </w:p>
    <w:p w:rsidR="003A2974" w:rsidRPr="00757C29" w:rsidRDefault="00757C29" w:rsidP="004F2720">
      <w:pPr>
        <w:pStyle w:val="base-text-paragraph"/>
      </w:pPr>
      <w:r w:rsidRPr="00757C29">
        <w:t>N</w:t>
      </w:r>
      <w:r w:rsidR="0048487F" w:rsidRPr="00757C29">
        <w:t>ew section 21B applies in relation to the renewal of an eligible contract of insurance</w:t>
      </w:r>
      <w:r w:rsidRPr="00757C29">
        <w:t xml:space="preserve"> and commences on the date of Royal Assent</w:t>
      </w:r>
      <w:r w:rsidR="00214D95">
        <w:t xml:space="preserve">.  </w:t>
      </w:r>
      <w:r w:rsidR="000A7C13">
        <w:t xml:space="preserve">As such, </w:t>
      </w:r>
      <w:r w:rsidRPr="00757C29">
        <w:t>during</w:t>
      </w:r>
      <w:r w:rsidR="000A7C13">
        <w:t xml:space="preserve"> </w:t>
      </w:r>
      <w:r w:rsidRPr="00757C29">
        <w:t xml:space="preserve">the </w:t>
      </w:r>
      <w:r w:rsidR="003A2974" w:rsidRPr="00757C29">
        <w:t xml:space="preserve">transition period </w:t>
      </w:r>
      <w:r w:rsidR="000A7C13">
        <w:t xml:space="preserve">in order to </w:t>
      </w:r>
      <w:r w:rsidR="004F2720" w:rsidRPr="00757C29">
        <w:t>rely</w:t>
      </w:r>
      <w:r w:rsidRPr="00757C29">
        <w:t xml:space="preserve"> on section 21B</w:t>
      </w:r>
      <w:r w:rsidR="000A7C13">
        <w:t xml:space="preserve"> an insurer is required,</w:t>
      </w:r>
      <w:r w:rsidR="003A2974" w:rsidRPr="00757C29">
        <w:t xml:space="preserve"> before the contract is renewed, </w:t>
      </w:r>
      <w:r w:rsidR="000A7C13">
        <w:t xml:space="preserve">to have </w:t>
      </w:r>
      <w:r w:rsidR="003A2974" w:rsidRPr="00757C29">
        <w:t>clearly informed the insured in writing of the general nature and effect of section</w:t>
      </w:r>
      <w:r w:rsidR="00033861">
        <w:t> </w:t>
      </w:r>
      <w:r w:rsidR="000A7C13">
        <w:t>21B</w:t>
      </w:r>
      <w:r w:rsidR="00214D95">
        <w:t xml:space="preserve">.  </w:t>
      </w:r>
      <w:r w:rsidRPr="00757C29">
        <w:t xml:space="preserve">This mirrors </w:t>
      </w:r>
      <w:proofErr w:type="gramStart"/>
      <w:r w:rsidRPr="00757C29">
        <w:t>the  requirement</w:t>
      </w:r>
      <w:proofErr w:type="gramEnd"/>
      <w:r w:rsidRPr="00757C29">
        <w:t xml:space="preserve"> to inform insureds</w:t>
      </w:r>
      <w:r w:rsidR="000A7C13">
        <w:t xml:space="preserve"> of section</w:t>
      </w:r>
      <w:r w:rsidR="00033861">
        <w:t> </w:t>
      </w:r>
      <w:r w:rsidR="000A7C13">
        <w:t xml:space="preserve">21B </w:t>
      </w:r>
      <w:r w:rsidRPr="00757C29">
        <w:t xml:space="preserve">in new section 22 </w:t>
      </w:r>
      <w:r w:rsidR="000A7C13">
        <w:t xml:space="preserve">(if they seek to rely on section 21B) </w:t>
      </w:r>
      <w:r w:rsidRPr="00757C29">
        <w:t>which commences 30</w:t>
      </w:r>
      <w:r w:rsidR="00033861">
        <w:t xml:space="preserve"> </w:t>
      </w:r>
      <w:r w:rsidRPr="00757C29">
        <w:t xml:space="preserve">months after Royal Assent in line with </w:t>
      </w:r>
      <w:r w:rsidR="000F09AD">
        <w:t xml:space="preserve">the commencement of </w:t>
      </w:r>
      <w:r w:rsidRPr="00757C29">
        <w:t>Division</w:t>
      </w:r>
      <w:r w:rsidR="00033861">
        <w:t xml:space="preserve"> </w:t>
      </w:r>
      <w:r w:rsidRPr="00757C29">
        <w:t>2</w:t>
      </w:r>
      <w:r w:rsidR="00214D95">
        <w:t xml:space="preserve">.  </w:t>
      </w:r>
      <w:r w:rsidR="004F2720" w:rsidRPr="00757C29">
        <w:rPr>
          <w:rStyle w:val="Referencingstyle"/>
        </w:rPr>
        <w:t xml:space="preserve">[Schedule 4, item 4, </w:t>
      </w:r>
      <w:r w:rsidR="00295AB7" w:rsidRPr="00757C29">
        <w:rPr>
          <w:rStyle w:val="Referencingstyle"/>
        </w:rPr>
        <w:t>subsection</w:t>
      </w:r>
      <w:r w:rsidR="004F2720" w:rsidRPr="00757C29">
        <w:rPr>
          <w:rStyle w:val="Referencingstyle"/>
        </w:rPr>
        <w:t xml:space="preserve"> 21B(1) and 21B(2)]</w:t>
      </w:r>
      <w:r w:rsidR="004F2720" w:rsidRPr="00757C29">
        <w:t xml:space="preserve"> </w:t>
      </w:r>
    </w:p>
    <w:p w:rsidR="0048487F" w:rsidRDefault="0048487F" w:rsidP="0048487F">
      <w:pPr>
        <w:pStyle w:val="base-text-paragraph"/>
      </w:pPr>
      <w:r>
        <w:t>New subsections 21B(</w:t>
      </w:r>
      <w:r w:rsidR="004F2720">
        <w:t>3</w:t>
      </w:r>
      <w:r>
        <w:t>) to (</w:t>
      </w:r>
      <w:r w:rsidR="004F2720">
        <w:t>6</w:t>
      </w:r>
      <w:r>
        <w:t>) deal with the position of the insurer</w:t>
      </w:r>
      <w:r w:rsidR="0014053A">
        <w:t xml:space="preserve"> — </w:t>
      </w:r>
      <w:r>
        <w:t>in particular in what circumstances they are taken to have waived compliance with the duty of disclosure</w:t>
      </w:r>
      <w:r w:rsidR="00214D95">
        <w:t xml:space="preserve">.  </w:t>
      </w:r>
      <w:r>
        <w:t>In relation to the renewal of an eligible contract of insurance, new section 21B(</w:t>
      </w:r>
      <w:r w:rsidR="004F2720">
        <w:t>3</w:t>
      </w:r>
      <w:r>
        <w:t>) requires an insurer wishing to rely on the insured</w:t>
      </w:r>
      <w:r w:rsidR="00035750">
        <w:t>’</w:t>
      </w:r>
      <w:r>
        <w:t>s duty of disclosure to:</w:t>
      </w:r>
    </w:p>
    <w:p w:rsidR="0048487F" w:rsidRDefault="0048487F" w:rsidP="0048487F">
      <w:pPr>
        <w:pStyle w:val="dotpoint"/>
      </w:pPr>
      <w:r>
        <w:t>ask specific questions, just as they may on the original entering into of a contract; and/or</w:t>
      </w:r>
    </w:p>
    <w:p w:rsidR="0048487F" w:rsidRDefault="0048487F" w:rsidP="0048487F">
      <w:pPr>
        <w:pStyle w:val="dotpoint"/>
      </w:pPr>
      <w:r>
        <w:t>provide the insured, prior to renewing the contract, with a copy of any matters previously disclosed by the insured in relation to the contract, and request the insured to disclose any changes to those matters or to indicate if there are no such changes</w:t>
      </w:r>
      <w:r w:rsidR="00214D95">
        <w:t xml:space="preserve">.  </w:t>
      </w:r>
    </w:p>
    <w:p w:rsidR="0048487F" w:rsidRPr="00AF0AD3" w:rsidRDefault="0048487F" w:rsidP="0048487F">
      <w:pPr>
        <w:pStyle w:val="base-text-paragraph"/>
        <w:numPr>
          <w:ilvl w:val="0"/>
          <w:numId w:val="0"/>
        </w:numPr>
        <w:ind w:left="2268"/>
        <w:rPr>
          <w:rStyle w:val="Referencingstyle"/>
        </w:rPr>
      </w:pPr>
      <w:r w:rsidRPr="00AF0AD3">
        <w:rPr>
          <w:rStyle w:val="Referencingstyle"/>
        </w:rPr>
        <w:t xml:space="preserve">[Schedule 4, Item </w:t>
      </w:r>
      <w:r w:rsidR="003A2974">
        <w:rPr>
          <w:rStyle w:val="Referencingstyle"/>
        </w:rPr>
        <w:t>4</w:t>
      </w:r>
      <w:r w:rsidRPr="00AF0AD3">
        <w:rPr>
          <w:rStyle w:val="Referencingstyle"/>
        </w:rPr>
        <w:t xml:space="preserve">, </w:t>
      </w:r>
      <w:r w:rsidR="003A2974">
        <w:rPr>
          <w:rStyle w:val="Referencingstyle"/>
        </w:rPr>
        <w:t>s</w:t>
      </w:r>
      <w:r w:rsidRPr="00AF0AD3">
        <w:rPr>
          <w:rStyle w:val="Referencingstyle"/>
        </w:rPr>
        <w:t xml:space="preserve">ubsection </w:t>
      </w:r>
      <w:proofErr w:type="gramStart"/>
      <w:r w:rsidRPr="00AF0AD3">
        <w:rPr>
          <w:rStyle w:val="Referencingstyle"/>
        </w:rPr>
        <w:t>21B(</w:t>
      </w:r>
      <w:proofErr w:type="gramEnd"/>
      <w:r w:rsidRPr="00AF0AD3">
        <w:rPr>
          <w:rStyle w:val="Referencingstyle"/>
        </w:rPr>
        <w:t>1), Paragraph 21B(</w:t>
      </w:r>
      <w:r w:rsidR="004F2720">
        <w:rPr>
          <w:rStyle w:val="Referencingstyle"/>
        </w:rPr>
        <w:t>3</w:t>
      </w:r>
      <w:r w:rsidRPr="00AF0AD3">
        <w:rPr>
          <w:rStyle w:val="Referencingstyle"/>
        </w:rPr>
        <w:t>)(a) and Subparagraphs 21B(</w:t>
      </w:r>
      <w:r w:rsidR="004F2720">
        <w:rPr>
          <w:rStyle w:val="Referencingstyle"/>
        </w:rPr>
        <w:t>3</w:t>
      </w:r>
      <w:r w:rsidRPr="00AF0AD3">
        <w:rPr>
          <w:rStyle w:val="Referencingstyle"/>
        </w:rPr>
        <w:t>)(b)(i) and 21B(</w:t>
      </w:r>
      <w:r w:rsidR="004F2720">
        <w:rPr>
          <w:rStyle w:val="Referencingstyle"/>
        </w:rPr>
        <w:t>3</w:t>
      </w:r>
      <w:r w:rsidRPr="00AF0AD3">
        <w:rPr>
          <w:rStyle w:val="Referencingstyle"/>
        </w:rPr>
        <w:t>)(b)(ii)]</w:t>
      </w:r>
    </w:p>
    <w:p w:rsidR="0048487F" w:rsidRDefault="0048487F" w:rsidP="00FC7135">
      <w:pPr>
        <w:pStyle w:val="base-text-paragraph"/>
        <w:spacing w:after="160"/>
      </w:pPr>
      <w:r>
        <w:t>If the insurer does neither of those things, new subsection</w:t>
      </w:r>
      <w:r w:rsidR="00FC7135">
        <w:t> </w:t>
      </w:r>
      <w:proofErr w:type="gramStart"/>
      <w:r>
        <w:t>21B(</w:t>
      </w:r>
      <w:proofErr w:type="gramEnd"/>
      <w:r>
        <w:t xml:space="preserve">3) provides that they are taken to have waived compliance with the duty of disclosure in relation to the renewed contract (subject to </w:t>
      </w:r>
      <w:r>
        <w:lastRenderedPageBreak/>
        <w:t>new subsection 21B(11), which deals with the effects of non</w:t>
      </w:r>
      <w:r w:rsidR="00214D95">
        <w:noBreakHyphen/>
      </w:r>
      <w:r>
        <w:t>disclosures and misrepresentations that occurred on previous renewals or original inception)</w:t>
      </w:r>
      <w:r w:rsidR="00214D95">
        <w:t xml:space="preserve">.  </w:t>
      </w:r>
      <w:r w:rsidRPr="00AF0AD3">
        <w:rPr>
          <w:rStyle w:val="Referencingstyle"/>
        </w:rPr>
        <w:t xml:space="preserve">[Schedule 4, </w:t>
      </w:r>
      <w:r w:rsidR="004F2720">
        <w:rPr>
          <w:rStyle w:val="Referencingstyle"/>
        </w:rPr>
        <w:t>i</w:t>
      </w:r>
      <w:r w:rsidRPr="00AF0AD3">
        <w:rPr>
          <w:rStyle w:val="Referencingstyle"/>
        </w:rPr>
        <w:t xml:space="preserve">tem </w:t>
      </w:r>
      <w:r w:rsidR="004F2720" w:rsidRPr="00AF0AD3">
        <w:rPr>
          <w:rStyle w:val="Referencingstyle"/>
        </w:rPr>
        <w:t>4</w:t>
      </w:r>
      <w:r w:rsidRPr="00AF0AD3">
        <w:rPr>
          <w:rStyle w:val="Referencingstyle"/>
        </w:rPr>
        <w:t xml:space="preserve">, </w:t>
      </w:r>
      <w:r w:rsidR="004F2720">
        <w:rPr>
          <w:rStyle w:val="Referencingstyle"/>
        </w:rPr>
        <w:t>s</w:t>
      </w:r>
      <w:r w:rsidRPr="00AF0AD3">
        <w:rPr>
          <w:rStyle w:val="Referencingstyle"/>
        </w:rPr>
        <w:t>ubsection 21B(</w:t>
      </w:r>
      <w:r w:rsidR="004F2720" w:rsidRPr="00AF0AD3">
        <w:rPr>
          <w:rStyle w:val="Referencingstyle"/>
        </w:rPr>
        <w:t>4</w:t>
      </w:r>
      <w:r w:rsidRPr="00AF0AD3">
        <w:rPr>
          <w:rStyle w:val="Referencingstyle"/>
        </w:rPr>
        <w:t>)]</w:t>
      </w:r>
      <w:r>
        <w:t xml:space="preserve"> </w:t>
      </w:r>
    </w:p>
    <w:p w:rsidR="0048487F" w:rsidRDefault="0048487F" w:rsidP="00FC7135">
      <w:pPr>
        <w:pStyle w:val="base-text-paragraph"/>
        <w:spacing w:after="160"/>
      </w:pPr>
      <w:r>
        <w:t xml:space="preserve">New subsections </w:t>
      </w:r>
      <w:proofErr w:type="gramStart"/>
      <w:r>
        <w:t>21B(</w:t>
      </w:r>
      <w:proofErr w:type="gramEnd"/>
      <w:r w:rsidR="004F2720">
        <w:t>5</w:t>
      </w:r>
      <w:r>
        <w:t>) and 21B(</w:t>
      </w:r>
      <w:r w:rsidR="004F2720">
        <w:t>6</w:t>
      </w:r>
      <w:r>
        <w:t xml:space="preserve">) deal with </w:t>
      </w:r>
      <w:r w:rsidR="00035750">
        <w:t>‘</w:t>
      </w:r>
      <w:r>
        <w:t>catch all</w:t>
      </w:r>
      <w:r w:rsidR="00035750">
        <w:t>’</w:t>
      </w:r>
      <w:r>
        <w:t xml:space="preserve"> questions</w:t>
      </w:r>
      <w:r w:rsidR="00214D95">
        <w:t xml:space="preserve">.  </w:t>
      </w:r>
      <w:r>
        <w:t xml:space="preserve">Asking </w:t>
      </w:r>
      <w:r w:rsidR="00035750">
        <w:t>‘</w:t>
      </w:r>
      <w:r>
        <w:t>catch all</w:t>
      </w:r>
      <w:r w:rsidR="00035750">
        <w:t>’</w:t>
      </w:r>
      <w:r>
        <w:t xml:space="preserve"> questions covering other matters</w:t>
      </w:r>
      <w:r w:rsidR="000A7C13">
        <w:t xml:space="preserve"> in </w:t>
      </w:r>
      <w:r>
        <w:t>addition to asking specific questions and/or seeking updates to information previously disclosed will result in waiver of compliance with the duty of disclosure with respect to the other matters</w:t>
      </w:r>
      <w:r w:rsidR="00214D95">
        <w:t xml:space="preserve">.  </w:t>
      </w:r>
      <w:r w:rsidRPr="00AF0AD3">
        <w:rPr>
          <w:rStyle w:val="Referencingstyle"/>
        </w:rPr>
        <w:t xml:space="preserve">[Schedule 4, </w:t>
      </w:r>
      <w:r w:rsidR="000B7B65">
        <w:rPr>
          <w:rStyle w:val="Referencingstyle"/>
        </w:rPr>
        <w:t>item 4</w:t>
      </w:r>
      <w:r w:rsidRPr="00AF0AD3">
        <w:rPr>
          <w:rStyle w:val="Referencingstyle"/>
        </w:rPr>
        <w:t xml:space="preserve">, </w:t>
      </w:r>
      <w:r w:rsidR="000B7B65">
        <w:rPr>
          <w:rStyle w:val="Referencingstyle"/>
        </w:rPr>
        <w:t>s</w:t>
      </w:r>
      <w:r w:rsidR="000B7B65" w:rsidRPr="00AF0AD3">
        <w:rPr>
          <w:rStyle w:val="Referencingstyle"/>
        </w:rPr>
        <w:t>ubsections</w:t>
      </w:r>
      <w:r w:rsidR="00FC7135">
        <w:rPr>
          <w:rStyle w:val="Referencingstyle"/>
        </w:rPr>
        <w:t> </w:t>
      </w:r>
      <w:r w:rsidRPr="00AF0AD3">
        <w:rPr>
          <w:rStyle w:val="Referencingstyle"/>
        </w:rPr>
        <w:t>21B(</w:t>
      </w:r>
      <w:r w:rsidR="004F2720">
        <w:rPr>
          <w:rStyle w:val="Referencingstyle"/>
        </w:rPr>
        <w:t>5</w:t>
      </w:r>
      <w:r w:rsidRPr="00AF0AD3">
        <w:rPr>
          <w:rStyle w:val="Referencingstyle"/>
        </w:rPr>
        <w:t>) and 21B(</w:t>
      </w:r>
      <w:r w:rsidR="004F2720">
        <w:rPr>
          <w:rStyle w:val="Referencingstyle"/>
        </w:rPr>
        <w:t>6</w:t>
      </w:r>
      <w:r w:rsidRPr="00AF0AD3">
        <w:rPr>
          <w:rStyle w:val="Referencingstyle"/>
        </w:rPr>
        <w:t>)]</w:t>
      </w:r>
      <w:r w:rsidR="004F2720" w:rsidRPr="00AF0AD3">
        <w:rPr>
          <w:rStyle w:val="Referencingstyle"/>
        </w:rPr>
        <w:t xml:space="preserve"> </w:t>
      </w:r>
    </w:p>
    <w:p w:rsidR="0048487F" w:rsidRDefault="0048487F" w:rsidP="00FC7135">
      <w:pPr>
        <w:pStyle w:val="base-text-paragraph"/>
        <w:spacing w:after="160"/>
      </w:pPr>
      <w:r>
        <w:t>New subsections 21B(</w:t>
      </w:r>
      <w:r w:rsidR="004F2720">
        <w:t>7</w:t>
      </w:r>
      <w:r>
        <w:t>) to (</w:t>
      </w:r>
      <w:r w:rsidR="00C31170">
        <w:t>11</w:t>
      </w:r>
      <w:r>
        <w:t>) deal with the position of the insured</w:t>
      </w:r>
      <w:r w:rsidR="0014053A">
        <w:t xml:space="preserve"> — </w:t>
      </w:r>
      <w:r>
        <w:t>in particular, in what circumstances they are taken to have complied with the duty of disclosure</w:t>
      </w:r>
      <w:r w:rsidR="00214D95">
        <w:t xml:space="preserve">.  </w:t>
      </w:r>
    </w:p>
    <w:p w:rsidR="0048487F" w:rsidRDefault="0048487F" w:rsidP="00FC7135">
      <w:pPr>
        <w:pStyle w:val="base-text-paragraph"/>
        <w:spacing w:after="160"/>
      </w:pPr>
      <w:r>
        <w:t xml:space="preserve">Subsection </w:t>
      </w:r>
      <w:proofErr w:type="gramStart"/>
      <w:r>
        <w:t>21B(</w:t>
      </w:r>
      <w:proofErr w:type="gramEnd"/>
      <w:r w:rsidR="00C31170">
        <w:t>7</w:t>
      </w:r>
      <w:r>
        <w:t>) deals with an insured who is only asked specific questions</w:t>
      </w:r>
      <w:r w:rsidR="00214D95">
        <w:t xml:space="preserve">.  </w:t>
      </w:r>
      <w:r>
        <w:t xml:space="preserve">In that case, </w:t>
      </w:r>
      <w:r w:rsidR="000F09AD">
        <w:t xml:space="preserve">an insured is </w:t>
      </w:r>
      <w:r>
        <w:t>taken to have complied with the duty of disclosure if they disclose, in response to each specific question</w:t>
      </w:r>
      <w:r w:rsidR="000F09AD">
        <w:t xml:space="preserve"> posed by the insurer</w:t>
      </w:r>
      <w:r>
        <w:t>, matters that are known to them and matters that a reasonable person in the circumstances would be expected to have disclosed in answer to the question</w:t>
      </w:r>
      <w:r w:rsidR="00214D95">
        <w:t xml:space="preserve">.  </w:t>
      </w:r>
      <w:r w:rsidRPr="00AF0AD3">
        <w:rPr>
          <w:rStyle w:val="Referencingstyle"/>
        </w:rPr>
        <w:t xml:space="preserve">[Schedule 4, </w:t>
      </w:r>
      <w:r w:rsidR="000B7B65">
        <w:rPr>
          <w:rStyle w:val="Referencingstyle"/>
        </w:rPr>
        <w:t>item 4</w:t>
      </w:r>
      <w:r w:rsidRPr="00AF0AD3">
        <w:rPr>
          <w:rStyle w:val="Referencingstyle"/>
        </w:rPr>
        <w:t xml:space="preserve">, </w:t>
      </w:r>
      <w:r w:rsidR="000B7B65">
        <w:rPr>
          <w:rStyle w:val="Referencingstyle"/>
        </w:rPr>
        <w:t>s</w:t>
      </w:r>
      <w:r w:rsidR="000B7B65" w:rsidRPr="00AF0AD3">
        <w:rPr>
          <w:rStyle w:val="Referencingstyle"/>
        </w:rPr>
        <w:t>ubsection</w:t>
      </w:r>
      <w:r w:rsidR="00FC7135">
        <w:rPr>
          <w:rStyle w:val="Referencingstyle"/>
        </w:rPr>
        <w:t> </w:t>
      </w:r>
      <w:r w:rsidRPr="00AF0AD3">
        <w:rPr>
          <w:rStyle w:val="Referencingstyle"/>
        </w:rPr>
        <w:t>21B(</w:t>
      </w:r>
      <w:r w:rsidR="00C31170" w:rsidRPr="00AF0AD3">
        <w:rPr>
          <w:rStyle w:val="Referencingstyle"/>
        </w:rPr>
        <w:t>7</w:t>
      </w:r>
      <w:r w:rsidRPr="00AF0AD3">
        <w:rPr>
          <w:rStyle w:val="Referencingstyle"/>
        </w:rPr>
        <w:t>)]</w:t>
      </w:r>
    </w:p>
    <w:p w:rsidR="0048487F" w:rsidRDefault="0048487F" w:rsidP="00FC7135">
      <w:pPr>
        <w:pStyle w:val="base-text-paragraph"/>
        <w:spacing w:after="160"/>
      </w:pPr>
      <w:r>
        <w:t xml:space="preserve">Subsection </w:t>
      </w:r>
      <w:proofErr w:type="gramStart"/>
      <w:r>
        <w:t>21B(</w:t>
      </w:r>
      <w:proofErr w:type="gramEnd"/>
      <w:r w:rsidR="00C31170">
        <w:t>8</w:t>
      </w:r>
      <w:r>
        <w:t>) deals with an insured who is only asked to update matters previously disclosed</w:t>
      </w:r>
      <w:r w:rsidR="00214D95">
        <w:t xml:space="preserve">.  </w:t>
      </w:r>
      <w:r>
        <w:t xml:space="preserve">In that case, </w:t>
      </w:r>
      <w:r w:rsidR="000F09AD">
        <w:t xml:space="preserve">for the insured to be </w:t>
      </w:r>
      <w:r>
        <w:t>taken to have complied with the duty of disclosure the insured must disclose any change to the matter or inform the insurer if there is no change</w:t>
      </w:r>
      <w:r w:rsidR="00214D95">
        <w:t xml:space="preserve">.  </w:t>
      </w:r>
      <w:r w:rsidRPr="00AF0AD3">
        <w:rPr>
          <w:rStyle w:val="Referencingstyle"/>
        </w:rPr>
        <w:t xml:space="preserve">[Schedule 4, </w:t>
      </w:r>
      <w:r w:rsidR="000B7B65">
        <w:rPr>
          <w:rStyle w:val="Referencingstyle"/>
        </w:rPr>
        <w:t>item 4</w:t>
      </w:r>
      <w:r w:rsidRPr="00AF0AD3">
        <w:rPr>
          <w:rStyle w:val="Referencingstyle"/>
        </w:rPr>
        <w:t xml:space="preserve">, </w:t>
      </w:r>
      <w:r w:rsidR="000B7B65">
        <w:rPr>
          <w:rStyle w:val="Referencingstyle"/>
        </w:rPr>
        <w:t>s</w:t>
      </w:r>
      <w:r w:rsidRPr="00AF0AD3">
        <w:rPr>
          <w:rStyle w:val="Referencingstyle"/>
        </w:rPr>
        <w:t>ubsection 21B(</w:t>
      </w:r>
      <w:r w:rsidR="00C31170" w:rsidRPr="00AF0AD3">
        <w:rPr>
          <w:rStyle w:val="Referencingstyle"/>
        </w:rPr>
        <w:t>8</w:t>
      </w:r>
      <w:r w:rsidRPr="00AF0AD3">
        <w:rPr>
          <w:rStyle w:val="Referencingstyle"/>
        </w:rPr>
        <w:t>)]</w:t>
      </w:r>
    </w:p>
    <w:p w:rsidR="0048487F" w:rsidRDefault="0048487F" w:rsidP="00FC7135">
      <w:pPr>
        <w:pStyle w:val="base-text-paragraph"/>
        <w:spacing w:after="160"/>
      </w:pPr>
      <w:r>
        <w:t xml:space="preserve">Subsection </w:t>
      </w:r>
      <w:proofErr w:type="gramStart"/>
      <w:r>
        <w:t>21B(</w:t>
      </w:r>
      <w:proofErr w:type="gramEnd"/>
      <w:r w:rsidR="00C31170">
        <w:t>9</w:t>
      </w:r>
      <w:r>
        <w:t>) deals with an insured who is both asked specific questions and asked to update answers previously provided</w:t>
      </w:r>
      <w:r w:rsidR="00214D95">
        <w:t xml:space="preserve">.  </w:t>
      </w:r>
      <w:r>
        <w:t xml:space="preserve">In that case, the insured must both disclose responses to the specific questions (similar to the requirements of subsection </w:t>
      </w:r>
      <w:proofErr w:type="gramStart"/>
      <w:r>
        <w:t>21B(</w:t>
      </w:r>
      <w:proofErr w:type="gramEnd"/>
      <w:r w:rsidR="00C31170">
        <w:t>7</w:t>
      </w:r>
      <w:r>
        <w:t>)) and advise the insurer of any change/no change to the matters (similar to the requirements of subsection 21B(</w:t>
      </w:r>
      <w:r w:rsidR="00C31170">
        <w:t>8</w:t>
      </w:r>
      <w:r>
        <w:t>))</w:t>
      </w:r>
      <w:r w:rsidR="00214D95">
        <w:t xml:space="preserve">.  </w:t>
      </w:r>
      <w:r w:rsidRPr="00FC7135">
        <w:rPr>
          <w:rStyle w:val="Referencingstyle"/>
        </w:rPr>
        <w:t>[Schedule 4, Item 3, Subsection</w:t>
      </w:r>
      <w:r w:rsidR="00FC7135" w:rsidRPr="00FC7135">
        <w:rPr>
          <w:rStyle w:val="Referencingstyle"/>
        </w:rPr>
        <w:t> </w:t>
      </w:r>
      <w:r w:rsidRPr="00FC7135">
        <w:rPr>
          <w:rStyle w:val="Referencingstyle"/>
        </w:rPr>
        <w:t>21B(</w:t>
      </w:r>
      <w:r w:rsidR="00C31170" w:rsidRPr="00FC7135">
        <w:rPr>
          <w:rStyle w:val="Referencingstyle"/>
        </w:rPr>
        <w:t>9</w:t>
      </w:r>
      <w:r w:rsidRPr="00FC7135">
        <w:rPr>
          <w:rStyle w:val="Referencingstyle"/>
        </w:rPr>
        <w:t>)]</w:t>
      </w:r>
    </w:p>
    <w:p w:rsidR="0048487F" w:rsidRDefault="0048487F" w:rsidP="00FC7135">
      <w:pPr>
        <w:pStyle w:val="base-text-paragraph"/>
        <w:spacing w:after="160"/>
      </w:pPr>
      <w:r>
        <w:t xml:space="preserve">Subsections </w:t>
      </w:r>
      <w:proofErr w:type="gramStart"/>
      <w:r>
        <w:t>21B(</w:t>
      </w:r>
      <w:proofErr w:type="gramEnd"/>
      <w:r w:rsidR="00C31170">
        <w:t>7</w:t>
      </w:r>
      <w:r>
        <w:t>) to 21B(</w:t>
      </w:r>
      <w:r w:rsidR="00C31170">
        <w:t>9</w:t>
      </w:r>
      <w:r>
        <w:t>) are all subject to new subsection</w:t>
      </w:r>
      <w:r w:rsidR="00FC7135">
        <w:t> </w:t>
      </w:r>
      <w:r>
        <w:t>21B(</w:t>
      </w:r>
      <w:r w:rsidR="00C31170">
        <w:t>12</w:t>
      </w:r>
      <w:r>
        <w:t>), which provides that compliance by an insured with the duty of disclosure on a renewal does not mean that a failure to comply with the duty of disclosure on original inception or a previous renewal is negated</w:t>
      </w:r>
      <w:r w:rsidR="00214D95">
        <w:t xml:space="preserve">.  </w:t>
      </w:r>
      <w:r w:rsidR="00C31170" w:rsidRPr="00AF0AD3">
        <w:rPr>
          <w:rStyle w:val="Referencingstyle"/>
        </w:rPr>
        <w:t>[Schedule 4, item 4, subsection 21B(12)]</w:t>
      </w:r>
      <w:r w:rsidR="00DE4564">
        <w:t xml:space="preserve">  </w:t>
      </w:r>
    </w:p>
    <w:p w:rsidR="0048487F" w:rsidRDefault="0048487F" w:rsidP="00FC6D64">
      <w:pPr>
        <w:pStyle w:val="ExampleHeading"/>
      </w:pPr>
    </w:p>
    <w:p w:rsidR="0048487F" w:rsidRDefault="0048487F" w:rsidP="00FC6D64">
      <w:pPr>
        <w:pStyle w:val="exampletext"/>
      </w:pPr>
      <w:r>
        <w:t xml:space="preserve">For example, suppose when originally applying for a home buildings policy, an insured breaches the duty of disclosure in relation to providing information on the main construction materials used in the </w:t>
      </w:r>
      <w:r>
        <w:lastRenderedPageBreak/>
        <w:t>home</w:t>
      </w:r>
      <w:r w:rsidR="00214D95">
        <w:t xml:space="preserve">.  </w:t>
      </w:r>
      <w:r>
        <w:t>At a subsequent renewal, the insurer seeks updates to various matters but does not ask the insured to update the information previously provided on main construction materials, because they are unlikely to change between inception and renewal</w:t>
      </w:r>
      <w:r w:rsidR="00214D95">
        <w:t xml:space="preserve">.  </w:t>
      </w:r>
      <w:r>
        <w:t>In such a case, even though the insured may be taken to comply with the duty of disclosure in respect of the renewed contract by providing all updates as requested, the effect of subsection 21B(</w:t>
      </w:r>
      <w:r w:rsidR="000F09AD">
        <w:t>12</w:t>
      </w:r>
      <w:r>
        <w:t>) is that compliance with the duty under the renewed contract does not operate to negate the earlier failure</w:t>
      </w:r>
      <w:r w:rsidR="00214D95">
        <w:t xml:space="preserve">.  </w:t>
      </w:r>
    </w:p>
    <w:p w:rsidR="0048487F" w:rsidRDefault="0048487F" w:rsidP="00FC7135">
      <w:pPr>
        <w:pStyle w:val="base-text-paragraph"/>
        <w:spacing w:after="160"/>
      </w:pPr>
      <w:r>
        <w:t xml:space="preserve">The intention of new subsection </w:t>
      </w:r>
      <w:proofErr w:type="gramStart"/>
      <w:r>
        <w:t>21B(</w:t>
      </w:r>
      <w:proofErr w:type="gramEnd"/>
      <w:r w:rsidR="00C31170">
        <w:t>12</w:t>
      </w:r>
      <w:r>
        <w:t>) is to permit insurers to continue to rely on the accuracy, as at the time of inception or the previous renewal, of matters disclosed on inception and previous renewals</w:t>
      </w:r>
      <w:r w:rsidR="00214D95">
        <w:t xml:space="preserve">.  </w:t>
      </w:r>
      <w:r>
        <w:t>Otherwise, insurers seeking to rely on any information previously provided by an insured (such as, for example, what a home is constructed of) would need to seek updates to every such matter at every renewal, which would be onerous and time consuming for both insurers and insureds</w:t>
      </w:r>
      <w:r w:rsidR="00214D95">
        <w:t xml:space="preserve">.  </w:t>
      </w:r>
    </w:p>
    <w:p w:rsidR="0048487F" w:rsidRDefault="0048487F" w:rsidP="00FC7135">
      <w:pPr>
        <w:pStyle w:val="base-text-paragraph"/>
        <w:spacing w:after="160"/>
      </w:pPr>
      <w:r>
        <w:t>For clarity, the rule in subsection 21B(</w:t>
      </w:r>
      <w:r w:rsidR="00C31170">
        <w:t>12</w:t>
      </w:r>
      <w:r>
        <w:t>) should not be taken to imply that an insured who has complied with the duty of disclosure previously is under a continuing obligation to update matters that have changed at renewal, unless specifically requested to do so</w:t>
      </w:r>
      <w:r w:rsidR="00214D95">
        <w:t xml:space="preserve">.  </w:t>
      </w:r>
      <w:r>
        <w:t>If an insurer wishes to ensure that information is updated at renewal, they will need to either ask the insured a specific question regarding the matter, or ask the insured to update the information previously provided</w:t>
      </w:r>
      <w:r w:rsidR="00214D95">
        <w:t xml:space="preserve">.  </w:t>
      </w:r>
    </w:p>
    <w:p w:rsidR="0048487F" w:rsidRPr="00AF0AD3" w:rsidRDefault="0048487F" w:rsidP="00FC7135">
      <w:pPr>
        <w:pStyle w:val="base-text-paragraph"/>
        <w:spacing w:after="160"/>
        <w:rPr>
          <w:rStyle w:val="Referencingstyle"/>
        </w:rPr>
      </w:pPr>
      <w:r>
        <w:t xml:space="preserve">Some insureds may not respond to </w:t>
      </w:r>
      <w:r w:rsidR="000A7C13">
        <w:t xml:space="preserve">a </w:t>
      </w:r>
      <w:r>
        <w:t>request to update matters previously provided, but nevertheless pay the renewal premium</w:t>
      </w:r>
      <w:r w:rsidR="00214D95">
        <w:t xml:space="preserve">.  </w:t>
      </w:r>
      <w:r>
        <w:t>If an insurer seeks an update to a matters previously provided but the insured provides no response before the contract is renewed, then new subsection</w:t>
      </w:r>
      <w:r w:rsidR="00FC7135">
        <w:t> </w:t>
      </w:r>
      <w:proofErr w:type="gramStart"/>
      <w:r>
        <w:t>21B(</w:t>
      </w:r>
      <w:proofErr w:type="gramEnd"/>
      <w:r w:rsidR="00C31170">
        <w:t>10</w:t>
      </w:r>
      <w:r>
        <w:t>) operates so that the insured is taken to have advised the insurer that there is no change to the matter</w:t>
      </w:r>
      <w:r w:rsidR="00214D95">
        <w:t xml:space="preserve">.  </w:t>
      </w:r>
      <w:r w:rsidR="00C31170" w:rsidRPr="00AF0AD3">
        <w:rPr>
          <w:rStyle w:val="Referencingstyle"/>
        </w:rPr>
        <w:t>[Schedule 4, item 4, subsection 21B(10)]</w:t>
      </w:r>
    </w:p>
    <w:p w:rsidR="0048487F" w:rsidRDefault="0048487F" w:rsidP="00FC7135">
      <w:pPr>
        <w:pStyle w:val="base-text-paragraph"/>
        <w:spacing w:after="160"/>
        <w:rPr>
          <w:rStyle w:val="Referencingstyle"/>
        </w:rPr>
      </w:pPr>
      <w:proofErr w:type="gramStart"/>
      <w:r>
        <w:t>If an insurer gives a copy of any matter previously disclosed by the insured and makes a request in accordance with new paragraph</w:t>
      </w:r>
      <w:r w:rsidR="00FC7135">
        <w:t> </w:t>
      </w:r>
      <w:r>
        <w:t>21B(</w:t>
      </w:r>
      <w:r w:rsidR="00C31170">
        <w:t>3</w:t>
      </w:r>
      <w:r>
        <w:t>)(b) and before the contract is renewed, the insured informs the insurer under new subsections 21B(</w:t>
      </w:r>
      <w:r w:rsidR="00C31170">
        <w:t>8</w:t>
      </w:r>
      <w:r>
        <w:t>) or 21B(</w:t>
      </w:r>
      <w:r w:rsidR="00C31170">
        <w:t>9</w:t>
      </w:r>
      <w:r>
        <w:t>), or is taken to have informed the insurer under subsection 21B(</w:t>
      </w:r>
      <w:r w:rsidR="00C31170">
        <w:t>10</w:t>
      </w:r>
      <w:r>
        <w:t>), that there is no change to the matter the provisions of subsections 21(3) and 27 of the ICA will not apply</w:t>
      </w:r>
      <w:r w:rsidR="00214D95">
        <w:t>.</w:t>
      </w:r>
      <w:proofErr w:type="gramEnd"/>
      <w:r w:rsidR="00214D95">
        <w:t xml:space="preserve">  </w:t>
      </w:r>
      <w:r w:rsidRPr="00AF0AD3">
        <w:rPr>
          <w:rStyle w:val="Referencingstyle"/>
        </w:rPr>
        <w:t>[Schedule 4,</w:t>
      </w:r>
      <w:r w:rsidR="000B7B65">
        <w:rPr>
          <w:rStyle w:val="Referencingstyle"/>
        </w:rPr>
        <w:t>i</w:t>
      </w:r>
      <w:r w:rsidRPr="00AF0AD3">
        <w:rPr>
          <w:rStyle w:val="Referencingstyle"/>
        </w:rPr>
        <w:t xml:space="preserve">tem </w:t>
      </w:r>
      <w:r w:rsidR="000B7B65">
        <w:rPr>
          <w:rStyle w:val="Referencingstyle"/>
        </w:rPr>
        <w:t>4</w:t>
      </w:r>
      <w:r w:rsidRPr="00AF0AD3">
        <w:rPr>
          <w:rStyle w:val="Referencingstyle"/>
        </w:rPr>
        <w:t xml:space="preserve">, </w:t>
      </w:r>
      <w:r w:rsidR="00C31170" w:rsidRPr="00AF0AD3">
        <w:rPr>
          <w:rStyle w:val="Referencingstyle"/>
        </w:rPr>
        <w:t xml:space="preserve">subsection </w:t>
      </w:r>
      <w:r w:rsidRPr="00AF0AD3">
        <w:rPr>
          <w:rStyle w:val="Referencingstyle"/>
        </w:rPr>
        <w:t>21B(</w:t>
      </w:r>
      <w:r w:rsidR="00C31170" w:rsidRPr="00AF0AD3">
        <w:rPr>
          <w:rStyle w:val="Referencingstyle"/>
        </w:rPr>
        <w:t>11</w:t>
      </w:r>
      <w:r w:rsidRPr="00AF0AD3">
        <w:rPr>
          <w:rStyle w:val="Referencingstyle"/>
        </w:rPr>
        <w:t>)]</w:t>
      </w:r>
    </w:p>
    <w:p w:rsidR="00C842B8" w:rsidRPr="00280A6B" w:rsidRDefault="00C842B8" w:rsidP="00FC7135">
      <w:pPr>
        <w:pStyle w:val="base-text-paragraph"/>
        <w:spacing w:after="160"/>
      </w:pPr>
      <w:r w:rsidRPr="00280A6B">
        <w:t>As such, the application of part 2 provides that section 21B commences from the date of Royal Assent</w:t>
      </w:r>
      <w:r w:rsidR="00214D95">
        <w:t xml:space="preserve">.  </w:t>
      </w:r>
      <w:r w:rsidRPr="00280A6B">
        <w:t>However, for the period of 30</w:t>
      </w:r>
      <w:r w:rsidR="00FC7135">
        <w:t> </w:t>
      </w:r>
      <w:r w:rsidRPr="00280A6B">
        <w:t xml:space="preserve">months from commencement (the transitional period) section 21B will only be able to be relied on by an insurer if the insurer clearly informs the </w:t>
      </w:r>
      <w:r w:rsidRPr="00280A6B">
        <w:lastRenderedPageBreak/>
        <w:t>insured of the general nature and application of the duty of disclosure (in accordance with section 22) and of the effect of the new 21B before the contracts are renewed.</w:t>
      </w:r>
    </w:p>
    <w:p w:rsidR="0048487F" w:rsidRDefault="00FC7135" w:rsidP="00FC6D64">
      <w:pPr>
        <w:pStyle w:val="Heading5"/>
      </w:pPr>
      <w:r>
        <w:t>Saving of regulations</w:t>
      </w:r>
    </w:p>
    <w:p w:rsidR="0048487F" w:rsidRDefault="000A7C13" w:rsidP="0048487F">
      <w:pPr>
        <w:pStyle w:val="base-text-paragraph"/>
      </w:pPr>
      <w:r>
        <w:t>R</w:t>
      </w:r>
      <w:r w:rsidR="0048487F">
        <w:t xml:space="preserve">egulations made for the purpose of the definition of </w:t>
      </w:r>
      <w:r w:rsidR="00035750">
        <w:t>‘</w:t>
      </w:r>
      <w:r w:rsidR="0048487F">
        <w:t>eligible contract of insurance</w:t>
      </w:r>
      <w:r w:rsidR="00035750">
        <w:t>’</w:t>
      </w:r>
      <w:r w:rsidR="0048487F">
        <w:t xml:space="preserve"> in current subsection </w:t>
      </w:r>
      <w:proofErr w:type="gramStart"/>
      <w:r w:rsidR="0048487F">
        <w:t>21A(</w:t>
      </w:r>
      <w:proofErr w:type="gramEnd"/>
      <w:r w:rsidR="0048487F">
        <w:t xml:space="preserve">9), </w:t>
      </w:r>
      <w:r>
        <w:t xml:space="preserve">are taken </w:t>
      </w:r>
      <w:r w:rsidR="0048487F">
        <w:t xml:space="preserve">as if they had been made for the definition of </w:t>
      </w:r>
      <w:r w:rsidR="00035750">
        <w:t>‘</w:t>
      </w:r>
      <w:r w:rsidR="0048487F">
        <w:t>eligible contract of insurance</w:t>
      </w:r>
      <w:r w:rsidR="00035750">
        <w:t>’</w:t>
      </w:r>
      <w:r w:rsidR="0048487F">
        <w:t xml:space="preserve"> (as inserted in subsection 21A(6))</w:t>
      </w:r>
      <w:r w:rsidR="00214D95">
        <w:t xml:space="preserve">.  </w:t>
      </w:r>
      <w:r w:rsidR="0048487F">
        <w:t xml:space="preserve">By operation of item 3 in Part 2 of Schedule 4, the definition of </w:t>
      </w:r>
      <w:r w:rsidR="00035750">
        <w:t>‘</w:t>
      </w:r>
      <w:r w:rsidR="0048487F">
        <w:t>eligible contract of insurance</w:t>
      </w:r>
      <w:r w:rsidR="00035750">
        <w:t>’</w:t>
      </w:r>
      <w:r w:rsidR="0048487F">
        <w:t xml:space="preserve"> is inserted in subsection </w:t>
      </w:r>
      <w:proofErr w:type="gramStart"/>
      <w:r w:rsidR="0048487F">
        <w:t>21A(</w:t>
      </w:r>
      <w:proofErr w:type="gramEnd"/>
      <w:r w:rsidR="0048487F">
        <w:t>6) of the ICA</w:t>
      </w:r>
      <w:r w:rsidR="00214D95">
        <w:t xml:space="preserve">.  </w:t>
      </w:r>
      <w:r w:rsidR="0048487F" w:rsidRPr="00AF0AD3">
        <w:rPr>
          <w:rStyle w:val="Referencingstyle"/>
        </w:rPr>
        <w:t>[Schedule 4, Item 5]</w:t>
      </w:r>
      <w:r w:rsidR="0048487F">
        <w:t xml:space="preserve"> </w:t>
      </w:r>
    </w:p>
    <w:p w:rsidR="0048487F" w:rsidRDefault="0048487F" w:rsidP="00FC6D64">
      <w:pPr>
        <w:pStyle w:val="Heading4"/>
      </w:pPr>
      <w:r>
        <w:t>Part 3</w:t>
      </w:r>
      <w:r w:rsidR="0014053A">
        <w:t xml:space="preserve"> — </w:t>
      </w:r>
      <w:r>
        <w:t>Insurers</w:t>
      </w:r>
      <w:r w:rsidR="00035750">
        <w:t>’</w:t>
      </w:r>
      <w:r>
        <w:t xml:space="preserve"> duty </w:t>
      </w:r>
      <w:r w:rsidR="00FC7135">
        <w:t>to inform of duty of disclosure</w:t>
      </w:r>
    </w:p>
    <w:p w:rsidR="0048487F" w:rsidRDefault="0048487F" w:rsidP="0048487F">
      <w:pPr>
        <w:pStyle w:val="base-text-paragraph"/>
      </w:pPr>
      <w:r>
        <w:t>The insured has a duty of disclosure until the time at which the relevant contract of insurance is entered into</w:t>
      </w:r>
      <w:r w:rsidR="00214D95">
        <w:t xml:space="preserve">.  </w:t>
      </w:r>
      <w:r>
        <w:t xml:space="preserve">In normal </w:t>
      </w:r>
      <w:r w:rsidR="00295AB7">
        <w:t>circumstances,</w:t>
      </w:r>
      <w:r>
        <w:t xml:space="preserve"> this presents no difficulty because the insured provides information to the insurer a short time before the contract begins</w:t>
      </w:r>
      <w:r w:rsidR="00214D95">
        <w:t xml:space="preserve">.  </w:t>
      </w:r>
      <w:r>
        <w:t>This is not always the case.</w:t>
      </w:r>
    </w:p>
    <w:p w:rsidR="0048487F" w:rsidRDefault="0048487F" w:rsidP="0048487F">
      <w:pPr>
        <w:pStyle w:val="base-text-paragraph"/>
      </w:pPr>
      <w:r>
        <w:t>In some instances, particularly where long term contracts of life insurance are involved, there may be a significant time lag (sometimes months) between the time a prospective insured subm</w:t>
      </w:r>
      <w:r w:rsidR="00FC7135">
        <w:t xml:space="preserve">its information to an insurer </w:t>
      </w:r>
      <w:r w:rsidR="008512BE">
        <w:t>(</w:t>
      </w:r>
      <w:r>
        <w:t>usually when making an application</w:t>
      </w:r>
      <w:r w:rsidR="008512BE">
        <w:t>)</w:t>
      </w:r>
      <w:r>
        <w:t xml:space="preserve"> and the time the policy is actually issued</w:t>
      </w:r>
      <w:r w:rsidR="00214D95">
        <w:t xml:space="preserve">.  </w:t>
      </w:r>
      <w:r>
        <w:t>During this period, circumstances may change, or events may occur, that need to be disclosed to the insurer in order for the insured to comply with the duty of disclosure.</w:t>
      </w:r>
    </w:p>
    <w:p w:rsidR="0048487F" w:rsidRDefault="0048487F" w:rsidP="0048487F">
      <w:pPr>
        <w:pStyle w:val="base-text-paragraph"/>
      </w:pPr>
      <w:r>
        <w:t>If the insured fails to disclose those circumstances or events before the contract is entered into, then any claim they later make could be at risk due to their failure to comply with the duty of disclosure</w:t>
      </w:r>
      <w:r w:rsidR="00214D95">
        <w:t xml:space="preserve">.  </w:t>
      </w:r>
      <w:r>
        <w:t>The Review Panel recommended, in order to minimise the possibility of harsh outcomes, that prospective insureds should be reminded that the duty of disclosure extends until the time the relevant policy is entered into.</w:t>
      </w:r>
    </w:p>
    <w:p w:rsidR="0048487F" w:rsidRDefault="0048487F" w:rsidP="0048487F">
      <w:pPr>
        <w:pStyle w:val="base-text-paragraph"/>
      </w:pPr>
      <w:r>
        <w:t xml:space="preserve">Current subsection 22(1) of the ICA requires insurers to notify insureds about the duty of disclosure any time </w:t>
      </w:r>
      <w:r w:rsidR="00035750">
        <w:t>‘</w:t>
      </w:r>
      <w:r>
        <w:t>before the contract is entered into</w:t>
      </w:r>
      <w:r w:rsidR="00035750">
        <w:t>’</w:t>
      </w:r>
      <w:r w:rsidR="00214D95">
        <w:t xml:space="preserve">.  </w:t>
      </w:r>
    </w:p>
    <w:p w:rsidR="0048487F" w:rsidRDefault="0048487F" w:rsidP="0048487F">
      <w:pPr>
        <w:pStyle w:val="base-text-paragraph"/>
      </w:pPr>
      <w:r>
        <w:t xml:space="preserve">Section 22 of the ICA has been refined to provide that: </w:t>
      </w:r>
    </w:p>
    <w:p w:rsidR="0048487F" w:rsidRDefault="0048487F" w:rsidP="00FC6D64">
      <w:pPr>
        <w:pStyle w:val="dotpoint"/>
      </w:pPr>
      <w:proofErr w:type="gramStart"/>
      <w:r>
        <w:t>the</w:t>
      </w:r>
      <w:proofErr w:type="gramEnd"/>
      <w:r>
        <w:t xml:space="preserve"> insurer must clearly inform the insured of the general nature and effect of the duty of disclosure, and where relevant, the general nature and effect of sections 21A or 21B</w:t>
      </w:r>
      <w:r w:rsidR="00214D95">
        <w:t xml:space="preserve">.  </w:t>
      </w:r>
    </w:p>
    <w:p w:rsidR="0048487F" w:rsidRDefault="0048487F" w:rsidP="00FC6D64">
      <w:pPr>
        <w:pStyle w:val="dotpoint2"/>
      </w:pPr>
      <w:proofErr w:type="gramStart"/>
      <w:r>
        <w:lastRenderedPageBreak/>
        <w:t>subsection</w:t>
      </w:r>
      <w:proofErr w:type="gramEnd"/>
      <w:r>
        <w:t xml:space="preserve"> 22(1) also makes it clear that any notification given to the insured pursuant to the section should explain that the duty of disclosure obligation applies until the time that the proposed contract is entered into</w:t>
      </w:r>
      <w:r w:rsidR="00214D95">
        <w:t xml:space="preserve">.  </w:t>
      </w:r>
    </w:p>
    <w:p w:rsidR="0048487F" w:rsidRPr="00AF0AD3" w:rsidRDefault="0048487F" w:rsidP="00FC6D64">
      <w:pPr>
        <w:pStyle w:val="base-text-paragraph"/>
        <w:numPr>
          <w:ilvl w:val="0"/>
          <w:numId w:val="0"/>
        </w:numPr>
        <w:ind w:left="1962" w:firstLine="306"/>
        <w:rPr>
          <w:rStyle w:val="Referencingstyle"/>
        </w:rPr>
      </w:pPr>
      <w:r w:rsidRPr="00AF0AD3">
        <w:rPr>
          <w:rStyle w:val="Referencingstyle"/>
        </w:rPr>
        <w:t xml:space="preserve">[Schedule </w:t>
      </w:r>
      <w:proofErr w:type="gramStart"/>
      <w:r w:rsidRPr="00AF0AD3">
        <w:rPr>
          <w:rStyle w:val="Referencingstyle"/>
        </w:rPr>
        <w:t>4</w:t>
      </w:r>
      <w:proofErr w:type="gramEnd"/>
      <w:r w:rsidRPr="00AF0AD3">
        <w:rPr>
          <w:rStyle w:val="Referencingstyle"/>
        </w:rPr>
        <w:t xml:space="preserve">, item </w:t>
      </w:r>
      <w:r w:rsidR="000B7B65" w:rsidRPr="00AF0AD3">
        <w:rPr>
          <w:rStyle w:val="Referencingstyle"/>
        </w:rPr>
        <w:t>12</w:t>
      </w:r>
      <w:r w:rsidRPr="00AF0AD3">
        <w:rPr>
          <w:rStyle w:val="Referencingstyle"/>
        </w:rPr>
        <w:t xml:space="preserve">, </w:t>
      </w:r>
      <w:r w:rsidR="004810B0">
        <w:rPr>
          <w:rStyle w:val="Referencingstyle"/>
        </w:rPr>
        <w:t>sub</w:t>
      </w:r>
      <w:r w:rsidR="000B7B65">
        <w:rPr>
          <w:rStyle w:val="Referencingstyle"/>
        </w:rPr>
        <w:t>s</w:t>
      </w:r>
      <w:r w:rsidR="000B7B65" w:rsidRPr="00AF0AD3">
        <w:rPr>
          <w:rStyle w:val="Referencingstyle"/>
        </w:rPr>
        <w:t xml:space="preserve">ection </w:t>
      </w:r>
      <w:r w:rsidRPr="00AF0AD3">
        <w:rPr>
          <w:rStyle w:val="Referencingstyle"/>
        </w:rPr>
        <w:t>22(1)]</w:t>
      </w:r>
    </w:p>
    <w:p w:rsidR="0048487F" w:rsidRDefault="0048487F" w:rsidP="00FC6D64">
      <w:pPr>
        <w:pStyle w:val="dotpoint"/>
      </w:pPr>
      <w:proofErr w:type="gramStart"/>
      <w:r>
        <w:t>insurers</w:t>
      </w:r>
      <w:proofErr w:type="gramEnd"/>
      <w:r>
        <w:t xml:space="preserve"> are required to inform proposed life insureds that they have a duty of disclosure</w:t>
      </w:r>
      <w:r w:rsidR="00214D95">
        <w:t xml:space="preserve">.  </w:t>
      </w:r>
      <w:r>
        <w:t>This includes information on the effect of proposed new section 31A (see below)</w:t>
      </w:r>
      <w:r w:rsidR="00214D95">
        <w:t xml:space="preserve">.  </w:t>
      </w:r>
      <w:r w:rsidRPr="00AF0AD3">
        <w:rPr>
          <w:rStyle w:val="Referencingstyle"/>
        </w:rPr>
        <w:t>[Schedule</w:t>
      </w:r>
      <w:r w:rsidR="00FC7135">
        <w:rPr>
          <w:rStyle w:val="Referencingstyle"/>
        </w:rPr>
        <w:t> </w:t>
      </w:r>
      <w:r w:rsidRPr="00AF0AD3">
        <w:rPr>
          <w:rStyle w:val="Referencingstyle"/>
        </w:rPr>
        <w:t xml:space="preserve">4, item </w:t>
      </w:r>
      <w:r w:rsidR="000B7B65" w:rsidRPr="00AF0AD3">
        <w:rPr>
          <w:rStyle w:val="Referencingstyle"/>
        </w:rPr>
        <w:t>12</w:t>
      </w:r>
      <w:r w:rsidRPr="00AF0AD3">
        <w:rPr>
          <w:rStyle w:val="Referencingstyle"/>
        </w:rPr>
        <w:t xml:space="preserve">, </w:t>
      </w:r>
      <w:r w:rsidR="004810B0">
        <w:rPr>
          <w:rStyle w:val="Referencingstyle"/>
        </w:rPr>
        <w:t>sub</w:t>
      </w:r>
      <w:r w:rsidR="000B7B65" w:rsidRPr="00AF0AD3">
        <w:rPr>
          <w:rStyle w:val="Referencingstyle"/>
        </w:rPr>
        <w:t xml:space="preserve">section </w:t>
      </w:r>
      <w:r w:rsidRPr="00AF0AD3">
        <w:rPr>
          <w:rStyle w:val="Referencingstyle"/>
        </w:rPr>
        <w:t>22(2)]</w:t>
      </w:r>
    </w:p>
    <w:p w:rsidR="0048487F" w:rsidRDefault="0048487F" w:rsidP="00FC6D64">
      <w:pPr>
        <w:pStyle w:val="dotpoint"/>
      </w:pPr>
      <w:r>
        <w:t>where the insurer</w:t>
      </w:r>
      <w:r w:rsidR="00035750">
        <w:t>’</w:t>
      </w:r>
      <w:r>
        <w:t>s acceptance, or counter</w:t>
      </w:r>
      <w:r w:rsidR="00214D95">
        <w:noBreakHyphen/>
      </w:r>
      <w:r>
        <w:t>offer, in relation to the proposed contract of insurance, is made more than two</w:t>
      </w:r>
      <w:r w:rsidR="007665D3">
        <w:t> </w:t>
      </w:r>
      <w:r>
        <w:t>months after the insured</w:t>
      </w:r>
      <w:r w:rsidR="00035750">
        <w:t>’</w:t>
      </w:r>
      <w:r>
        <w:t>s most recent disclosure for the purposes of complying with their duty of disclosure, then along with the acceptance or counter</w:t>
      </w:r>
      <w:r w:rsidR="00214D95">
        <w:noBreakHyphen/>
      </w:r>
      <w:r>
        <w:t>offer, the insurer must also provide the insured with a reminder that the duty of disclosure applies until the proposed contract (or, in the case of a counter</w:t>
      </w:r>
      <w:r w:rsidR="00214D95">
        <w:noBreakHyphen/>
      </w:r>
      <w:r>
        <w:t>offer, the other contract) is entered into.</w:t>
      </w:r>
    </w:p>
    <w:p w:rsidR="0048487F" w:rsidRDefault="0048487F" w:rsidP="00FC6D64">
      <w:pPr>
        <w:pStyle w:val="dotpoint2"/>
      </w:pPr>
      <w:r>
        <w:t>The additional reminder requirement imposed by new subsection 22(3) is not extended to a life insured, unless the life insured is also the contracting insured.</w:t>
      </w:r>
    </w:p>
    <w:p w:rsidR="0048487F" w:rsidRDefault="0048487F" w:rsidP="00FC6D64">
      <w:pPr>
        <w:pStyle w:val="dotpoint2"/>
      </w:pPr>
      <w:r>
        <w:t>The addition of this reminder requirement in cases where there is a significant delay between the initial disclosure and the contract commencing is intended to promote disclosures being made current as at the contract date, so that the insurer is fully informed, and there can be an early renegotiation of the contract if necessary.</w:t>
      </w:r>
    </w:p>
    <w:p w:rsidR="0048487F" w:rsidRPr="00AF0AD3" w:rsidRDefault="0048487F" w:rsidP="00FC6D64">
      <w:pPr>
        <w:pStyle w:val="base-text-paragraph"/>
        <w:numPr>
          <w:ilvl w:val="0"/>
          <w:numId w:val="0"/>
        </w:numPr>
        <w:ind w:left="1962" w:firstLine="306"/>
        <w:rPr>
          <w:rStyle w:val="Referencingstyle"/>
        </w:rPr>
      </w:pPr>
      <w:r w:rsidRPr="00AF0AD3">
        <w:rPr>
          <w:rStyle w:val="Referencingstyle"/>
        </w:rPr>
        <w:t xml:space="preserve">[Schedule </w:t>
      </w:r>
      <w:proofErr w:type="gramStart"/>
      <w:r w:rsidRPr="00AF0AD3">
        <w:rPr>
          <w:rStyle w:val="Referencingstyle"/>
        </w:rPr>
        <w:t>4</w:t>
      </w:r>
      <w:proofErr w:type="gramEnd"/>
      <w:r w:rsidRPr="00AF0AD3">
        <w:rPr>
          <w:rStyle w:val="Referencingstyle"/>
        </w:rPr>
        <w:t xml:space="preserve">, item </w:t>
      </w:r>
      <w:r w:rsidR="000B7B65" w:rsidRPr="00AF0AD3">
        <w:rPr>
          <w:rStyle w:val="Referencingstyle"/>
        </w:rPr>
        <w:t>12</w:t>
      </w:r>
      <w:r w:rsidRPr="00AF0AD3">
        <w:rPr>
          <w:rStyle w:val="Referencingstyle"/>
        </w:rPr>
        <w:t xml:space="preserve">, </w:t>
      </w:r>
      <w:r w:rsidR="004810B0">
        <w:rPr>
          <w:rStyle w:val="Referencingstyle"/>
        </w:rPr>
        <w:t>sub</w:t>
      </w:r>
      <w:r w:rsidR="000B7B65" w:rsidRPr="00AF0AD3">
        <w:rPr>
          <w:rStyle w:val="Referencingstyle"/>
        </w:rPr>
        <w:t xml:space="preserve">section </w:t>
      </w:r>
      <w:r w:rsidRPr="00AF0AD3">
        <w:rPr>
          <w:rStyle w:val="Referencingstyle"/>
        </w:rPr>
        <w:t>22(3)]</w:t>
      </w:r>
    </w:p>
    <w:p w:rsidR="0048487F" w:rsidRDefault="0048487F" w:rsidP="00FC6D64">
      <w:pPr>
        <w:pStyle w:val="dotpoint"/>
      </w:pPr>
      <w:r>
        <w:t>the form of writing used to inform a person of the matters referred to in new subsection 22(1), and also for the reminder notice referred to in new subsection 22(3), may be in accordance with the prescribed form, where the regulations prescribe a form of writing to be used for the purposes of new section 22</w:t>
      </w:r>
      <w:r w:rsidR="00214D95">
        <w:t xml:space="preserve">.  </w:t>
      </w:r>
    </w:p>
    <w:p w:rsidR="0048487F" w:rsidRPr="00AF0AD3" w:rsidRDefault="0048487F" w:rsidP="00FC6D64">
      <w:pPr>
        <w:pStyle w:val="dotpoint"/>
        <w:numPr>
          <w:ilvl w:val="0"/>
          <w:numId w:val="0"/>
        </w:numPr>
        <w:ind w:left="2268"/>
        <w:rPr>
          <w:rStyle w:val="Referencingstyle"/>
        </w:rPr>
      </w:pPr>
      <w:r w:rsidRPr="00AF0AD3">
        <w:rPr>
          <w:rStyle w:val="Referencingstyle"/>
        </w:rPr>
        <w:t xml:space="preserve">[Schedule </w:t>
      </w:r>
      <w:proofErr w:type="gramStart"/>
      <w:r w:rsidRPr="00AF0AD3">
        <w:rPr>
          <w:rStyle w:val="Referencingstyle"/>
        </w:rPr>
        <w:t>4</w:t>
      </w:r>
      <w:proofErr w:type="gramEnd"/>
      <w:r w:rsidRPr="00AF0AD3">
        <w:rPr>
          <w:rStyle w:val="Referencingstyle"/>
        </w:rPr>
        <w:t xml:space="preserve">, item </w:t>
      </w:r>
      <w:r w:rsidR="000B7B65" w:rsidRPr="00AF0AD3">
        <w:rPr>
          <w:rStyle w:val="Referencingstyle"/>
        </w:rPr>
        <w:t>12</w:t>
      </w:r>
      <w:r w:rsidRPr="00AF0AD3">
        <w:rPr>
          <w:rStyle w:val="Referencingstyle"/>
        </w:rPr>
        <w:t xml:space="preserve">, </w:t>
      </w:r>
      <w:r w:rsidR="004810B0">
        <w:rPr>
          <w:rStyle w:val="Referencingstyle"/>
        </w:rPr>
        <w:t>sub</w:t>
      </w:r>
      <w:r w:rsidR="000B7B65" w:rsidRPr="00AF0AD3">
        <w:rPr>
          <w:rStyle w:val="Referencingstyle"/>
        </w:rPr>
        <w:t xml:space="preserve">section </w:t>
      </w:r>
      <w:r w:rsidRPr="00AF0AD3">
        <w:rPr>
          <w:rStyle w:val="Referencingstyle"/>
        </w:rPr>
        <w:t>22(4)]</w:t>
      </w:r>
    </w:p>
    <w:p w:rsidR="0048487F" w:rsidRDefault="0048487F" w:rsidP="00FC6D64">
      <w:pPr>
        <w:pStyle w:val="dotpoint"/>
      </w:pPr>
      <w:r>
        <w:t xml:space="preserve">an insurer that fails to comply with new subsection 22(1) and, if applicable, new subsection 22(2) will be precluded from exercising a right in respect of a failure by the insured to comply with their duty of disclosure under the contract, </w:t>
      </w:r>
      <w:r>
        <w:lastRenderedPageBreak/>
        <w:t>unless the particular failure is fraudulent</w:t>
      </w:r>
      <w:r w:rsidR="00214D95">
        <w:t xml:space="preserve">.  </w:t>
      </w:r>
      <w:r>
        <w:t>This is consistent with the current position in respect of insureds.</w:t>
      </w:r>
    </w:p>
    <w:p w:rsidR="0048487F" w:rsidRPr="00AF0AD3" w:rsidRDefault="0048487F" w:rsidP="00FC6D64">
      <w:pPr>
        <w:pStyle w:val="dotpoint"/>
        <w:numPr>
          <w:ilvl w:val="0"/>
          <w:numId w:val="0"/>
        </w:numPr>
        <w:ind w:left="2268"/>
        <w:rPr>
          <w:rStyle w:val="Referencingstyle"/>
        </w:rPr>
      </w:pPr>
      <w:r w:rsidRPr="00AF0AD3">
        <w:rPr>
          <w:rStyle w:val="Referencingstyle"/>
        </w:rPr>
        <w:t xml:space="preserve">[Schedule </w:t>
      </w:r>
      <w:proofErr w:type="gramStart"/>
      <w:r w:rsidRPr="00AF0AD3">
        <w:rPr>
          <w:rStyle w:val="Referencingstyle"/>
        </w:rPr>
        <w:t>4</w:t>
      </w:r>
      <w:proofErr w:type="gramEnd"/>
      <w:r w:rsidRPr="00AF0AD3">
        <w:rPr>
          <w:rStyle w:val="Referencingstyle"/>
        </w:rPr>
        <w:t xml:space="preserve">, item </w:t>
      </w:r>
      <w:r w:rsidR="000B7B65" w:rsidRPr="00AF0AD3">
        <w:rPr>
          <w:rStyle w:val="Referencingstyle"/>
        </w:rPr>
        <w:t>12</w:t>
      </w:r>
      <w:r w:rsidRPr="00AF0AD3">
        <w:rPr>
          <w:rStyle w:val="Referencingstyle"/>
        </w:rPr>
        <w:t xml:space="preserve">, </w:t>
      </w:r>
      <w:r w:rsidR="000B7B65" w:rsidRPr="00AF0AD3">
        <w:rPr>
          <w:rStyle w:val="Referencingstyle"/>
        </w:rPr>
        <w:t>s</w:t>
      </w:r>
      <w:r w:rsidR="004810B0">
        <w:rPr>
          <w:rStyle w:val="Referencingstyle"/>
        </w:rPr>
        <w:t>ubs</w:t>
      </w:r>
      <w:r w:rsidRPr="00AF0AD3">
        <w:rPr>
          <w:rStyle w:val="Referencingstyle"/>
        </w:rPr>
        <w:t>ection 22(5)]</w:t>
      </w:r>
    </w:p>
    <w:p w:rsidR="0048487F" w:rsidRDefault="0048487F" w:rsidP="00FC6D64">
      <w:pPr>
        <w:pStyle w:val="dotpoint"/>
      </w:pPr>
      <w:proofErr w:type="gramStart"/>
      <w:r>
        <w:t>with</w:t>
      </w:r>
      <w:proofErr w:type="gramEnd"/>
      <w:r>
        <w:t xml:space="preserve"> an insurer that fails to comply with new subsection</w:t>
      </w:r>
      <w:r w:rsidR="0099009D">
        <w:t> </w:t>
      </w:r>
      <w:r>
        <w:t>22(3), which is the provision requiring a reminder notice in cases of delay between initial disclosure and the contract commencing</w:t>
      </w:r>
      <w:r w:rsidR="00214D95">
        <w:t xml:space="preserve">.  </w:t>
      </w:r>
      <w:r>
        <w:t xml:space="preserve">In those circumstances, the insurer is precluded from exercising a right in respect of a failure to disclose any </w:t>
      </w:r>
      <w:r w:rsidR="00035750">
        <w:t>‘</w:t>
      </w:r>
      <w:r>
        <w:t>new matter</w:t>
      </w:r>
      <w:r w:rsidR="00035750">
        <w:t>’</w:t>
      </w:r>
      <w:r>
        <w:t>, defined as a matter that the insured first become aware of after their most recent disclosure (and which, therefore, may not have been disclosed as a result of the failure to provide the reminder notice)</w:t>
      </w:r>
      <w:r w:rsidR="00214D95">
        <w:t xml:space="preserve">.  </w:t>
      </w:r>
    </w:p>
    <w:p w:rsidR="0048487F" w:rsidRPr="00AF0AD3" w:rsidRDefault="0048487F" w:rsidP="00FC6D64">
      <w:pPr>
        <w:pStyle w:val="dotpoint"/>
        <w:numPr>
          <w:ilvl w:val="0"/>
          <w:numId w:val="0"/>
        </w:numPr>
        <w:ind w:left="2268"/>
        <w:rPr>
          <w:rStyle w:val="Referencingstyle"/>
        </w:rPr>
      </w:pPr>
      <w:r w:rsidRPr="00AF0AD3">
        <w:rPr>
          <w:rStyle w:val="Referencingstyle"/>
        </w:rPr>
        <w:t xml:space="preserve">[Schedule 4, item </w:t>
      </w:r>
      <w:r w:rsidR="000B7B65" w:rsidRPr="00AF0AD3">
        <w:rPr>
          <w:rStyle w:val="Referencingstyle"/>
        </w:rPr>
        <w:t>12</w:t>
      </w:r>
      <w:r w:rsidRPr="00AF0AD3">
        <w:rPr>
          <w:rStyle w:val="Referencingstyle"/>
        </w:rPr>
        <w:t xml:space="preserve">, </w:t>
      </w:r>
      <w:r w:rsidR="004810B0">
        <w:rPr>
          <w:rStyle w:val="Referencingstyle"/>
        </w:rPr>
        <w:t>sub</w:t>
      </w:r>
      <w:r w:rsidR="000B7B65" w:rsidRPr="00AF0AD3">
        <w:rPr>
          <w:rStyle w:val="Referencingstyle"/>
        </w:rPr>
        <w:t>section</w:t>
      </w:r>
      <w:r w:rsidR="004810B0">
        <w:rPr>
          <w:rStyle w:val="Referencingstyle"/>
        </w:rPr>
        <w:t>s</w:t>
      </w:r>
      <w:r w:rsidR="000B7B65" w:rsidRPr="00AF0AD3">
        <w:rPr>
          <w:rStyle w:val="Referencingstyle"/>
        </w:rPr>
        <w:t xml:space="preserve"> </w:t>
      </w:r>
      <w:r w:rsidRPr="00AF0AD3">
        <w:rPr>
          <w:rStyle w:val="Referencingstyle"/>
        </w:rPr>
        <w:t>22(6)</w:t>
      </w:r>
      <w:r w:rsidR="000B7B65" w:rsidRPr="00AF0AD3">
        <w:rPr>
          <w:rStyle w:val="Referencingstyle"/>
        </w:rPr>
        <w:t xml:space="preserve"> </w:t>
      </w:r>
      <w:r w:rsidRPr="00AF0AD3">
        <w:rPr>
          <w:rStyle w:val="Referencingstyle"/>
        </w:rPr>
        <w:t>and 22(7)]</w:t>
      </w:r>
    </w:p>
    <w:p w:rsidR="00D26934" w:rsidRDefault="0048487F" w:rsidP="0048487F">
      <w:pPr>
        <w:pStyle w:val="base-text-paragraph"/>
      </w:pPr>
      <w:r>
        <w:t>Section 22 (in the case of both general and life insurance) and section 40 (in the case of general insurance) will not require an insurer to give information to the insured at or before a variation of the relevant contract of insurance, except where</w:t>
      </w:r>
      <w:r w:rsidR="00D26934">
        <w:t>:</w:t>
      </w:r>
    </w:p>
    <w:p w:rsidR="00D26934" w:rsidRDefault="0048487F" w:rsidP="00AF0AD3">
      <w:pPr>
        <w:pStyle w:val="dotpoint"/>
      </w:pPr>
      <w:r>
        <w:t xml:space="preserve"> the variation is involved in a renewal, extension or reinstatement of the contract</w:t>
      </w:r>
      <w:r w:rsidR="00D26934">
        <w:t xml:space="preserve">; </w:t>
      </w:r>
    </w:p>
    <w:p w:rsidR="00D26934" w:rsidRDefault="0048487F" w:rsidP="00AF0AD3">
      <w:pPr>
        <w:pStyle w:val="dotpoint"/>
      </w:pPr>
      <w:r>
        <w:t xml:space="preserve"> if the varied contract will provide a kind of insurance cover that was not provided by the contract immediately before the variation</w:t>
      </w:r>
      <w:r w:rsidR="00D26934">
        <w:t>; or</w:t>
      </w:r>
    </w:p>
    <w:p w:rsidR="00D26934" w:rsidRPr="00757C29" w:rsidRDefault="0048487F" w:rsidP="00AF0AD3">
      <w:pPr>
        <w:pStyle w:val="dotpoint"/>
      </w:pPr>
      <w:proofErr w:type="gramStart"/>
      <w:r w:rsidRPr="00757C29">
        <w:t>in</w:t>
      </w:r>
      <w:proofErr w:type="gramEnd"/>
      <w:r w:rsidRPr="00757C29">
        <w:t xml:space="preserve"> the case of variation of a contract of life insurance if the variation </w:t>
      </w:r>
      <w:r w:rsidR="00051938" w:rsidRPr="00757C29">
        <w:t>will,</w:t>
      </w:r>
      <w:r w:rsidRPr="00757C29">
        <w:t xml:space="preserve"> increase a sum insured in respect of the insured</w:t>
      </w:r>
      <w:r w:rsidR="00214D95">
        <w:t xml:space="preserve">.  </w:t>
      </w:r>
    </w:p>
    <w:p w:rsidR="0048487F" w:rsidRDefault="00D26934" w:rsidP="00AF0AD3">
      <w:pPr>
        <w:pStyle w:val="base-text-paragraph"/>
        <w:numPr>
          <w:ilvl w:val="0"/>
          <w:numId w:val="0"/>
        </w:numPr>
        <w:ind w:left="1134"/>
      </w:pPr>
      <w:proofErr w:type="gramStart"/>
      <w:r w:rsidRPr="00757C29">
        <w:t>provided</w:t>
      </w:r>
      <w:proofErr w:type="gramEnd"/>
      <w:r w:rsidRPr="00757C29">
        <w:t xml:space="preserve"> the variation was not an automatic variation but required express agreement between the insurer and the insured before the contract was varied</w:t>
      </w:r>
      <w:r w:rsidR="00214D95">
        <w:t xml:space="preserve">.  </w:t>
      </w:r>
      <w:r w:rsidRPr="00757C29">
        <w:rPr>
          <w:rStyle w:val="Referencingstyle"/>
        </w:rPr>
        <w:t xml:space="preserve">[Schedule </w:t>
      </w:r>
      <w:proofErr w:type="gramStart"/>
      <w:r w:rsidRPr="00757C29">
        <w:rPr>
          <w:rStyle w:val="Referencingstyle"/>
        </w:rPr>
        <w:t>4</w:t>
      </w:r>
      <w:proofErr w:type="gramEnd"/>
      <w:r w:rsidRPr="00757C29">
        <w:rPr>
          <w:rStyle w:val="Referencingstyle"/>
        </w:rPr>
        <w:t>, item 11, subsection 11(10)]</w:t>
      </w:r>
      <w:r w:rsidR="00757C29">
        <w:t xml:space="preserve"> </w:t>
      </w:r>
    </w:p>
    <w:p w:rsidR="00C842B8" w:rsidRDefault="00C842B8" w:rsidP="00C842B8">
      <w:pPr>
        <w:pStyle w:val="base-text-paragraph"/>
      </w:pPr>
      <w:r>
        <w:t>Life insurance contracts may contain some common variations, such as consumer price index increases, that are normally contained within the contract, as such these automatic variations would not (in a practical sense) be considered to be variations to which the legislation would apply</w:t>
      </w:r>
      <w:r w:rsidR="00214D95">
        <w:t xml:space="preserve">.  </w:t>
      </w:r>
      <w:r>
        <w:t>Therefore to ensure automatic variations are not captured by section 11(9) of ICA, section 11(10) has been amended and new section</w:t>
      </w:r>
      <w:r w:rsidR="0099009D">
        <w:t> </w:t>
      </w:r>
      <w:r>
        <w:t xml:space="preserve">11(10A) has been inserted to ensure that if agreement between the insurer </w:t>
      </w:r>
      <w:r w:rsidR="008512BE">
        <w:t xml:space="preserve">and the insured is not </w:t>
      </w:r>
      <w:r>
        <w:t xml:space="preserve">required </w:t>
      </w:r>
      <w:r w:rsidR="008512BE">
        <w:t xml:space="preserve">in respect to that variation </w:t>
      </w:r>
      <w:r>
        <w:t xml:space="preserve">before a </w:t>
      </w:r>
      <w:r>
        <w:lastRenderedPageBreak/>
        <w:t>contract is ent</w:t>
      </w:r>
      <w:r w:rsidR="008512BE">
        <w:t>ered into,</w:t>
      </w:r>
      <w:r>
        <w:t xml:space="preserve"> that variation (automatic variation) is not considered to be a variation for the purposes of the application of the ICA.</w:t>
      </w:r>
    </w:p>
    <w:p w:rsidR="00C842B8" w:rsidRDefault="00C842B8" w:rsidP="00280A6B">
      <w:pPr>
        <w:pStyle w:val="dotpoint"/>
      </w:pPr>
      <w:r>
        <w:t>Automatic variations do not affect the application of the measures in the Bill relating to variations in respect to life insurance contracts.</w:t>
      </w:r>
    </w:p>
    <w:p w:rsidR="0048487F" w:rsidRDefault="0048487F" w:rsidP="0048487F">
      <w:pPr>
        <w:pStyle w:val="base-text-paragraph"/>
      </w:pPr>
      <w:r>
        <w:t xml:space="preserve">The definition of a </w:t>
      </w:r>
      <w:r w:rsidR="00035750">
        <w:t>‘</w:t>
      </w:r>
      <w:r>
        <w:t>life insured</w:t>
      </w:r>
      <w:r w:rsidR="00035750">
        <w:t>’</w:t>
      </w:r>
      <w:r>
        <w:t xml:space="preserve"> includes a proposed life insured</w:t>
      </w:r>
      <w:r w:rsidR="00214D95">
        <w:t xml:space="preserve">.  </w:t>
      </w:r>
      <w:r w:rsidRPr="00AF0AD3">
        <w:rPr>
          <w:rStyle w:val="Referencingstyle"/>
        </w:rPr>
        <w:t xml:space="preserve">[Schedule 4, </w:t>
      </w:r>
      <w:r w:rsidR="00D26934" w:rsidRPr="00AF0AD3">
        <w:rPr>
          <w:rStyle w:val="Referencingstyle"/>
        </w:rPr>
        <w:t>item 9</w:t>
      </w:r>
      <w:r w:rsidRPr="00AF0AD3">
        <w:rPr>
          <w:rStyle w:val="Referencingstyle"/>
        </w:rPr>
        <w:t xml:space="preserve">, </w:t>
      </w:r>
      <w:r w:rsidR="00D26934" w:rsidRPr="00AF0AD3">
        <w:rPr>
          <w:rStyle w:val="Referencingstyle"/>
        </w:rPr>
        <w:t xml:space="preserve">subsection </w:t>
      </w:r>
      <w:r w:rsidRPr="00AF0AD3">
        <w:rPr>
          <w:rStyle w:val="Referencingstyle"/>
        </w:rPr>
        <w:t>11(1)]</w:t>
      </w:r>
      <w:r>
        <w:t xml:space="preserve"> </w:t>
      </w:r>
    </w:p>
    <w:p w:rsidR="0048487F" w:rsidRDefault="0048487F" w:rsidP="00FC6D64">
      <w:pPr>
        <w:pStyle w:val="Heading4"/>
      </w:pPr>
      <w:r>
        <w:t>Part 4</w:t>
      </w:r>
      <w:r w:rsidR="0014053A">
        <w:t xml:space="preserve"> — </w:t>
      </w:r>
      <w:r>
        <w:t>Non disclosure by life insured</w:t>
      </w:r>
    </w:p>
    <w:p w:rsidR="0048487F" w:rsidRDefault="0048487F" w:rsidP="0048487F">
      <w:pPr>
        <w:pStyle w:val="base-text-paragraph"/>
      </w:pPr>
      <w:r>
        <w:t>Contracts of life insurance are often entered into by one person to cover the life of another</w:t>
      </w:r>
      <w:r w:rsidR="00214D95">
        <w:t xml:space="preserve">.  </w:t>
      </w:r>
      <w:r>
        <w:t>A life insured under a contract of insurance may include persons who are not the insured and, therefore, not subject to duty of disclosure obligations under current law</w:t>
      </w:r>
      <w:r w:rsidR="00214D95">
        <w:t xml:space="preserve">.  </w:t>
      </w:r>
      <w:r>
        <w:t xml:space="preserve">Although not a contracting party, the person whose life is proposed to be insured (known as the </w:t>
      </w:r>
      <w:r w:rsidR="00035750">
        <w:t>‘</w:t>
      </w:r>
      <w:r>
        <w:t>life insured</w:t>
      </w:r>
      <w:r w:rsidR="00035750">
        <w:t>’</w:t>
      </w:r>
      <w:r>
        <w:t>) will usually provide the insurer with information about matters such as their state of health, in order to assist the insurer to make a decision about whether, and on what terms, to issue the policy.</w:t>
      </w:r>
    </w:p>
    <w:p w:rsidR="0048487F" w:rsidRDefault="0048487F" w:rsidP="0048487F">
      <w:pPr>
        <w:pStyle w:val="base-text-paragraph"/>
      </w:pPr>
      <w:r>
        <w:t>Section 25 of the ICA provides that if, during the negotiations on a life insurance contract, a prospective life insured makes a misrepresentation, the ICA takes effect as if the misrepresentation has been made by the contracting insured</w:t>
      </w:r>
      <w:r w:rsidR="00214D95">
        <w:t xml:space="preserve">.  </w:t>
      </w:r>
      <w:r>
        <w:t>However, the existing wording of section 25 only extends to misrepresentations</w:t>
      </w:r>
      <w:r w:rsidR="00214D95">
        <w:t xml:space="preserve">.  </w:t>
      </w:r>
    </w:p>
    <w:p w:rsidR="0048487F" w:rsidRDefault="0048487F" w:rsidP="0048487F">
      <w:pPr>
        <w:pStyle w:val="base-text-paragraph"/>
      </w:pPr>
      <w:r>
        <w:t>Non</w:t>
      </w:r>
      <w:r w:rsidR="00214D95">
        <w:noBreakHyphen/>
      </w:r>
      <w:r>
        <w:t>disclosure can be similar in result to misrepresentation, in terms of the potential detrimental impact on an insurer</w:t>
      </w:r>
      <w:r w:rsidR="00035750">
        <w:t>’</w:t>
      </w:r>
      <w:r>
        <w:t>s decision to enter into the contract</w:t>
      </w:r>
      <w:r w:rsidR="00214D95">
        <w:t xml:space="preserve">.  </w:t>
      </w:r>
    </w:p>
    <w:p w:rsidR="000213AC" w:rsidRPr="00757C29" w:rsidRDefault="00757C29" w:rsidP="000213AC">
      <w:pPr>
        <w:pStyle w:val="base-text-paragraph"/>
      </w:pPr>
      <w:r w:rsidRPr="00757C29">
        <w:t xml:space="preserve">Accordingly, </w:t>
      </w:r>
      <w:r w:rsidR="0048487F" w:rsidRPr="00757C29">
        <w:t>new section 31A</w:t>
      </w:r>
      <w:r w:rsidR="000213AC" w:rsidRPr="00757C29">
        <w:t xml:space="preserve"> ha</w:t>
      </w:r>
      <w:r w:rsidR="00ED5837" w:rsidRPr="00757C29">
        <w:t>s</w:t>
      </w:r>
      <w:r w:rsidR="000213AC" w:rsidRPr="00757C29">
        <w:t xml:space="preserve"> been inserted</w:t>
      </w:r>
      <w:r w:rsidR="0048487F" w:rsidRPr="00757C29">
        <w:t xml:space="preserve"> in</w:t>
      </w:r>
      <w:r w:rsidR="000213AC" w:rsidRPr="00757C29">
        <w:t>to</w:t>
      </w:r>
      <w:r w:rsidR="0048487F" w:rsidRPr="00757C29">
        <w:t xml:space="preserve"> the ICA</w:t>
      </w:r>
      <w:r w:rsidR="00214D95">
        <w:t xml:space="preserve">.  </w:t>
      </w:r>
      <w:r w:rsidR="000213AC" w:rsidRPr="00757C29">
        <w:t xml:space="preserve">Section 31A applies in </w:t>
      </w:r>
      <w:r w:rsidR="00295AB7" w:rsidRPr="00757C29">
        <w:t>relation</w:t>
      </w:r>
      <w:r w:rsidR="000213AC" w:rsidRPr="00757C29">
        <w:t xml:space="preserve"> to a contract of life insurance under which a person (other </w:t>
      </w:r>
      <w:r w:rsidR="00295AB7" w:rsidRPr="00757C29">
        <w:t>than</w:t>
      </w:r>
      <w:r w:rsidR="000213AC" w:rsidRPr="00757C29">
        <w:t xml:space="preserve"> the insured) would become a life insured</w:t>
      </w:r>
      <w:r w:rsidR="00214D95">
        <w:t xml:space="preserve">.  </w:t>
      </w:r>
      <w:r w:rsidR="00295AB7" w:rsidRPr="00757C29">
        <w:rPr>
          <w:rStyle w:val="Referencingstyle"/>
        </w:rPr>
        <w:t>[Schedule 4, item 14, subsection 31A(1)]</w:t>
      </w:r>
    </w:p>
    <w:p w:rsidR="000213AC" w:rsidRPr="00AF0AD3" w:rsidRDefault="000213AC" w:rsidP="000213AC">
      <w:pPr>
        <w:pStyle w:val="base-text-paragraph"/>
        <w:rPr>
          <w:rStyle w:val="Referencingstyle"/>
        </w:rPr>
      </w:pPr>
      <w:r>
        <w:t xml:space="preserve">Section 31A </w:t>
      </w:r>
      <w:r w:rsidR="0048487F">
        <w:t>is similar in its effect to section 25, except that it covers non</w:t>
      </w:r>
      <w:r w:rsidR="00214D95">
        <w:noBreakHyphen/>
      </w:r>
      <w:r w:rsidR="0048487F">
        <w:t>disclosures by li</w:t>
      </w:r>
      <w:r w:rsidR="008512BE">
        <w:t>fe insureds</w:t>
      </w:r>
      <w:r w:rsidR="0048487F">
        <w:t xml:space="preserve"> rather than misrepresentations made by them</w:t>
      </w:r>
      <w:r w:rsidR="00214D95">
        <w:t xml:space="preserve">.  </w:t>
      </w:r>
      <w:r w:rsidR="0048487F">
        <w:t>The life insured</w:t>
      </w:r>
      <w:r w:rsidR="00035750">
        <w:t>’</w:t>
      </w:r>
      <w:r w:rsidR="0048487F">
        <w:t>s duty of disclosure under new section</w:t>
      </w:r>
      <w:r w:rsidR="0015079D">
        <w:t> </w:t>
      </w:r>
      <w:r w:rsidR="0048487F">
        <w:t>31A is similar to that applying to insureds under section 21, except any non</w:t>
      </w:r>
      <w:r w:rsidR="00214D95">
        <w:noBreakHyphen/>
      </w:r>
      <w:r w:rsidR="0048487F">
        <w:t>disclosure by a life insured is imputed to the insured</w:t>
      </w:r>
      <w:r w:rsidR="00214D95">
        <w:t xml:space="preserve">.  </w:t>
      </w:r>
      <w:r w:rsidRPr="00AF0AD3">
        <w:rPr>
          <w:rStyle w:val="Referencingstyle"/>
        </w:rPr>
        <w:t>[Schedule 4, item</w:t>
      </w:r>
      <w:r w:rsidR="0099009D">
        <w:rPr>
          <w:rStyle w:val="Referencingstyle"/>
        </w:rPr>
        <w:t> </w:t>
      </w:r>
      <w:r w:rsidRPr="00AF0AD3">
        <w:rPr>
          <w:rStyle w:val="Referencingstyle"/>
        </w:rPr>
        <w:t>14, subsection 31A (2)]</w:t>
      </w:r>
    </w:p>
    <w:p w:rsidR="0048487F" w:rsidRPr="00757C29" w:rsidRDefault="0048487F" w:rsidP="000213AC">
      <w:pPr>
        <w:pStyle w:val="base-text-paragraph"/>
        <w:rPr>
          <w:rStyle w:val="Referencingstyle"/>
        </w:rPr>
      </w:pPr>
      <w:r>
        <w:t xml:space="preserve">Like </w:t>
      </w:r>
      <w:r w:rsidR="008512BE">
        <w:t xml:space="preserve">the </w:t>
      </w:r>
      <w:r>
        <w:t>existing duty of disclosure under section 21 for insureds, there is an exception applied for non</w:t>
      </w:r>
      <w:r w:rsidR="00214D95">
        <w:noBreakHyphen/>
      </w:r>
      <w:r>
        <w:t xml:space="preserve">disclosure of matters that diminish the risk, are common knowledge, that the insurer knows or ought </w:t>
      </w:r>
      <w:r>
        <w:lastRenderedPageBreak/>
        <w:t xml:space="preserve">to know in the ordinary course of its business, or for which compliance </w:t>
      </w:r>
      <w:r w:rsidRPr="00757C29">
        <w:t xml:space="preserve">with the duty </w:t>
      </w:r>
      <w:r w:rsidR="00295AB7" w:rsidRPr="00757C29">
        <w:t>is waived</w:t>
      </w:r>
      <w:r w:rsidRPr="00757C29">
        <w:t xml:space="preserve"> by the insurer</w:t>
      </w:r>
      <w:r w:rsidR="00214D95">
        <w:t xml:space="preserve">.  </w:t>
      </w:r>
      <w:r w:rsidR="000213AC" w:rsidRPr="00757C29">
        <w:rPr>
          <w:rStyle w:val="Referencingstyle"/>
        </w:rPr>
        <w:t>[Schedule 4, item 14, subsection 31A(3)]</w:t>
      </w:r>
    </w:p>
    <w:p w:rsidR="0048487F" w:rsidRPr="00757C29" w:rsidRDefault="0048487F" w:rsidP="00FC6D64">
      <w:pPr>
        <w:pStyle w:val="Heading2"/>
      </w:pPr>
      <w:r w:rsidRPr="00757C29">
        <w:t>Application and transitional provisions</w:t>
      </w:r>
    </w:p>
    <w:p w:rsidR="0048487F" w:rsidRPr="00757C29" w:rsidRDefault="0048487F" w:rsidP="0048487F">
      <w:pPr>
        <w:pStyle w:val="base-text-paragraph"/>
      </w:pPr>
      <w:r w:rsidRPr="00757C29">
        <w:t xml:space="preserve">The changes made by Schedule 4 will require insurers to adjust </w:t>
      </w:r>
      <w:r w:rsidR="008512BE" w:rsidRPr="00757C29">
        <w:t xml:space="preserve">their </w:t>
      </w:r>
      <w:r w:rsidRPr="00757C29">
        <w:t>various business practices</w:t>
      </w:r>
      <w:r w:rsidR="00214D95">
        <w:t xml:space="preserve">.  </w:t>
      </w:r>
      <w:r w:rsidRPr="00757C29">
        <w:t>This will take time to implement</w:t>
      </w:r>
      <w:r w:rsidR="00214D95">
        <w:t xml:space="preserve">.  </w:t>
      </w:r>
      <w:r w:rsidRPr="00757C29">
        <w:t xml:space="preserve">Accordingly, the commencement of Schedule 4 is </w:t>
      </w:r>
      <w:r w:rsidR="00757C29" w:rsidRPr="00757C29">
        <w:t xml:space="preserve">generally </w:t>
      </w:r>
      <w:r w:rsidRPr="00757C29">
        <w:t>delayed by 30</w:t>
      </w:r>
      <w:r w:rsidR="0099009D">
        <w:t> </w:t>
      </w:r>
      <w:r w:rsidRPr="00757C29">
        <w:t>months from Royal Assent in order to allow insurers time to implement the necessary changes to their systems and documents as required</w:t>
      </w:r>
      <w:r w:rsidR="00214D95">
        <w:t xml:space="preserve">.  </w:t>
      </w:r>
    </w:p>
    <w:p w:rsidR="0048487F" w:rsidRPr="00757C29" w:rsidRDefault="0048487F" w:rsidP="00FC6D64">
      <w:pPr>
        <w:pStyle w:val="Heading4"/>
      </w:pPr>
      <w:r w:rsidRPr="00757C29">
        <w:t>Part 1</w:t>
      </w:r>
      <w:r w:rsidR="006E30DE">
        <w:t xml:space="preserve"> —</w:t>
      </w:r>
      <w:r w:rsidRPr="00757C29">
        <w:t xml:space="preserve"> Insured</w:t>
      </w:r>
      <w:r w:rsidR="00035750">
        <w:t>’</w:t>
      </w:r>
      <w:r w:rsidR="0099009D">
        <w:t>s duty of disclosure</w:t>
      </w:r>
    </w:p>
    <w:p w:rsidR="0048487F" w:rsidRPr="00757C29" w:rsidRDefault="0048487F" w:rsidP="0048487F">
      <w:pPr>
        <w:pStyle w:val="base-text-paragraph"/>
      </w:pPr>
      <w:r w:rsidRPr="00757C29">
        <w:t>Item 2 of Schedule 4 of the Bill provides that  the amendment in Part 1 of Schedule 4 applies as follows:</w:t>
      </w:r>
    </w:p>
    <w:p w:rsidR="0048487F" w:rsidRPr="00757C29" w:rsidRDefault="0048487F" w:rsidP="00FC6D64">
      <w:pPr>
        <w:pStyle w:val="dotpoint"/>
      </w:pPr>
      <w:r w:rsidRPr="00757C29">
        <w:t>to a contract of insurance that was originally entered into after the commencement of item 2;</w:t>
      </w:r>
    </w:p>
    <w:p w:rsidR="0048487F" w:rsidRPr="00757C29" w:rsidRDefault="0048487F" w:rsidP="00FC6D64">
      <w:pPr>
        <w:pStyle w:val="dotpoint"/>
      </w:pPr>
      <w:r w:rsidRPr="00757C29">
        <w:t>to a contract of general insurance that was originally entered into before the commencement of item 2 and is renewed after that commencement; and</w:t>
      </w:r>
    </w:p>
    <w:p w:rsidR="00CB63C3" w:rsidRPr="00757C29" w:rsidRDefault="00CB63C3" w:rsidP="00CB63C3">
      <w:pPr>
        <w:pStyle w:val="dotpoint"/>
      </w:pPr>
      <w:r w:rsidRPr="00757C29">
        <w:t xml:space="preserve">if </w:t>
      </w:r>
    </w:p>
    <w:p w:rsidR="00CB63C3" w:rsidRPr="00757C29" w:rsidRDefault="00CB63C3" w:rsidP="00AF0AD3">
      <w:pPr>
        <w:pStyle w:val="dotpoint2"/>
      </w:pPr>
      <w:r w:rsidRPr="00757C29">
        <w:t xml:space="preserve">the contract is a contract of life insurance that was originally entered into before the commencement of this item and is varied after that commencement </w:t>
      </w:r>
      <w:r w:rsidR="00295AB7" w:rsidRPr="00757C29">
        <w:t>to increase</w:t>
      </w:r>
      <w:r w:rsidRPr="00757C29">
        <w:t xml:space="preserve"> a sum insured under the contract or provide one or</w:t>
      </w:r>
      <w:r w:rsidR="00757C29" w:rsidRPr="00757C29">
        <w:t xml:space="preserve"> </w:t>
      </w:r>
      <w:r w:rsidR="0099009D">
        <w:t>more additional kinds of cover;</w:t>
      </w:r>
    </w:p>
    <w:p w:rsidR="00CB63C3" w:rsidRPr="00757C29" w:rsidRDefault="00757C29" w:rsidP="00AF0AD3">
      <w:pPr>
        <w:pStyle w:val="dotpoint2"/>
      </w:pPr>
      <w:r w:rsidRPr="00757C29">
        <w:t>t</w:t>
      </w:r>
      <w:r w:rsidR="00CB63C3" w:rsidRPr="00757C29">
        <w:t xml:space="preserve">he variation was not an automatic variation but was required to be expressly </w:t>
      </w:r>
      <w:r w:rsidR="00295AB7" w:rsidRPr="00757C29">
        <w:t>agreed</w:t>
      </w:r>
      <w:r w:rsidR="00CB63C3" w:rsidRPr="00757C29">
        <w:t xml:space="preserve"> between the insurer and the insured</w:t>
      </w:r>
      <w:r w:rsidRPr="00757C29">
        <w:t xml:space="preserve"> before the contract was varied;</w:t>
      </w:r>
      <w:r w:rsidR="0099009D">
        <w:t xml:space="preserve"> and</w:t>
      </w:r>
    </w:p>
    <w:p w:rsidR="00CB63C3" w:rsidRPr="00757C29" w:rsidRDefault="00CB63C3" w:rsidP="00AF0AD3">
      <w:pPr>
        <w:pStyle w:val="dotpoint2"/>
      </w:pPr>
      <w:proofErr w:type="gramStart"/>
      <w:r w:rsidRPr="00757C29">
        <w:t>then</w:t>
      </w:r>
      <w:proofErr w:type="gramEnd"/>
      <w:r w:rsidRPr="00757C29">
        <w:t xml:space="preserve"> the contract is treated, to the extent of the variation, as if it had been originally entered into after the commencement of item 6 and the amendments apply to the contract</w:t>
      </w:r>
      <w:r w:rsidR="00757C29" w:rsidRPr="00757C29">
        <w:t xml:space="preserve"> to the extent of the variation</w:t>
      </w:r>
      <w:r w:rsidR="00214D95">
        <w:t xml:space="preserve">.  </w:t>
      </w:r>
    </w:p>
    <w:p w:rsidR="0048487F" w:rsidRPr="00757C29" w:rsidRDefault="0048487F" w:rsidP="0048487F">
      <w:pPr>
        <w:pStyle w:val="base-text-paragraph"/>
      </w:pPr>
      <w:r w:rsidRPr="00757C29">
        <w:t>By operation of clause 2, item 2 of Schedule 4 commences on the day after the end of the period of 30 months beginning on the day the Act receives Royal Assent.</w:t>
      </w:r>
    </w:p>
    <w:p w:rsidR="0048487F" w:rsidRPr="00757C29" w:rsidRDefault="0048487F" w:rsidP="00FC6D64">
      <w:pPr>
        <w:pStyle w:val="Heading4"/>
      </w:pPr>
      <w:r w:rsidRPr="00757C29">
        <w:lastRenderedPageBreak/>
        <w:t>Part 2</w:t>
      </w:r>
      <w:r w:rsidR="0014053A">
        <w:t xml:space="preserve"> — </w:t>
      </w:r>
      <w:r w:rsidR="00593CAF">
        <w:t>E</w:t>
      </w:r>
      <w:r w:rsidR="0099009D">
        <w:t>ligible contracts of insurance</w:t>
      </w:r>
    </w:p>
    <w:p w:rsidR="0048487F" w:rsidRPr="00757C29" w:rsidRDefault="00CB63C3" w:rsidP="0048487F">
      <w:pPr>
        <w:pStyle w:val="base-text-paragraph"/>
      </w:pPr>
      <w:r w:rsidRPr="00757C29">
        <w:t>Item 7</w:t>
      </w:r>
      <w:r w:rsidR="0048487F" w:rsidRPr="00757C29">
        <w:t xml:space="preserve"> of Schedule 4 </w:t>
      </w:r>
      <w:r w:rsidRPr="00757C29">
        <w:t>as substituted by item 6, applies to an eligible contract of insurance that is originally entered into after the commencement of that item</w:t>
      </w:r>
      <w:r w:rsidR="00214D95">
        <w:t xml:space="preserve">.  </w:t>
      </w:r>
    </w:p>
    <w:p w:rsidR="0048487F" w:rsidRPr="00757C29" w:rsidRDefault="0048487F" w:rsidP="0048487F">
      <w:pPr>
        <w:pStyle w:val="base-text-paragraph"/>
      </w:pPr>
      <w:r w:rsidRPr="00757C29">
        <w:t>By operation of clause 2,</w:t>
      </w:r>
      <w:r w:rsidR="00CB63C3" w:rsidRPr="00757C29">
        <w:t xml:space="preserve"> Division 1of Part 2 of </w:t>
      </w:r>
      <w:r w:rsidRPr="00757C29">
        <w:t>Schedule 4 commences</w:t>
      </w:r>
      <w:r w:rsidR="00CB63C3" w:rsidRPr="00757C29">
        <w:t xml:space="preserve"> </w:t>
      </w:r>
      <w:r w:rsidR="008512BE">
        <w:t xml:space="preserve">on </w:t>
      </w:r>
      <w:r w:rsidR="00CB63C3" w:rsidRPr="00757C29">
        <w:t>the date of Ro</w:t>
      </w:r>
      <w:r w:rsidR="00757C29" w:rsidRPr="00757C29">
        <w:t>yal Assent</w:t>
      </w:r>
      <w:r w:rsidR="00214D95">
        <w:t xml:space="preserve">.  </w:t>
      </w:r>
      <w:r w:rsidR="00757C29" w:rsidRPr="00757C29">
        <w:t>B</w:t>
      </w:r>
      <w:r w:rsidR="00CB63C3" w:rsidRPr="00757C29">
        <w:t xml:space="preserve">y operation of clause 2, Division 2 of Part 2 of Schedule 4 commences </w:t>
      </w:r>
      <w:r w:rsidRPr="00757C29">
        <w:t>on the day after the end of the period of 30 months beginning on the day the Act receives the Royal Assent.</w:t>
      </w:r>
    </w:p>
    <w:p w:rsidR="0048487F" w:rsidRPr="00757C29" w:rsidRDefault="0048487F" w:rsidP="00FC6D64">
      <w:pPr>
        <w:pStyle w:val="Heading4"/>
      </w:pPr>
      <w:r w:rsidRPr="00757C29">
        <w:t>Part 3</w:t>
      </w:r>
      <w:r w:rsidR="0014053A">
        <w:t xml:space="preserve"> — </w:t>
      </w:r>
      <w:r w:rsidRPr="00757C29">
        <w:t>Insurers</w:t>
      </w:r>
      <w:r w:rsidR="00035750">
        <w:t>’</w:t>
      </w:r>
      <w:r w:rsidRPr="00757C29">
        <w:t xml:space="preserve"> duty </w:t>
      </w:r>
      <w:r w:rsidR="0099009D">
        <w:t>to inform of duty of disclosure</w:t>
      </w:r>
    </w:p>
    <w:p w:rsidR="0048487F" w:rsidRPr="00757C29" w:rsidRDefault="0048487F" w:rsidP="0048487F">
      <w:pPr>
        <w:pStyle w:val="base-text-paragraph"/>
      </w:pPr>
      <w:r w:rsidRPr="00757C29">
        <w:t xml:space="preserve">Item </w:t>
      </w:r>
      <w:r w:rsidR="00CB63C3" w:rsidRPr="00757C29">
        <w:t xml:space="preserve">13 </w:t>
      </w:r>
      <w:r w:rsidRPr="00757C29">
        <w:t xml:space="preserve">of Schedule 4 of the Bill provides that the amendments in Part 3 of Schedule apply to a contract of insurance whether entered into after commencement of item </w:t>
      </w:r>
      <w:r w:rsidR="00CB63C3" w:rsidRPr="00757C29">
        <w:t>13</w:t>
      </w:r>
      <w:r w:rsidRPr="00757C29">
        <w:t>, and to a contract of insurance that was originally entered into before commencement of item 9 that is renewed, extended, varied or reinstated after that commencement</w:t>
      </w:r>
      <w:r w:rsidR="00214D95">
        <w:t xml:space="preserve">.  </w:t>
      </w:r>
    </w:p>
    <w:p w:rsidR="0048487F" w:rsidRPr="00757C29" w:rsidRDefault="0048487F" w:rsidP="0048487F">
      <w:pPr>
        <w:pStyle w:val="base-text-paragraph"/>
      </w:pPr>
      <w:r w:rsidRPr="00757C29">
        <w:t xml:space="preserve">By operation of clause 2, item </w:t>
      </w:r>
      <w:r w:rsidR="00CB63C3" w:rsidRPr="00757C29">
        <w:t xml:space="preserve">13 </w:t>
      </w:r>
      <w:r w:rsidRPr="00757C29">
        <w:t>of Schedule 4 commences on the day after the end of the period of 30 months beginning on the day the Act receives the Royal Assent.</w:t>
      </w:r>
    </w:p>
    <w:p w:rsidR="0048487F" w:rsidRPr="00757C29" w:rsidRDefault="0048487F" w:rsidP="00FC6D64">
      <w:pPr>
        <w:pStyle w:val="Heading4"/>
      </w:pPr>
      <w:r w:rsidRPr="00757C29">
        <w:t>Part 4</w:t>
      </w:r>
      <w:r w:rsidR="0014053A">
        <w:t xml:space="preserve"> — </w:t>
      </w:r>
      <w:r w:rsidRPr="00757C29">
        <w:t>Non</w:t>
      </w:r>
      <w:r w:rsidR="00214D95">
        <w:noBreakHyphen/>
      </w:r>
      <w:r w:rsidRPr="00757C29">
        <w:t>disclosure by li</w:t>
      </w:r>
      <w:r w:rsidR="0099009D">
        <w:t>fe insured</w:t>
      </w:r>
    </w:p>
    <w:p w:rsidR="0048487F" w:rsidRPr="00757C29" w:rsidRDefault="0048487F" w:rsidP="0048487F">
      <w:pPr>
        <w:pStyle w:val="base-text-paragraph"/>
      </w:pPr>
      <w:r w:rsidRPr="00757C29">
        <w:t xml:space="preserve">Item </w:t>
      </w:r>
      <w:r w:rsidR="00ED5837" w:rsidRPr="00757C29">
        <w:t xml:space="preserve">15 </w:t>
      </w:r>
      <w:r w:rsidRPr="00757C29">
        <w:t>of Schedule 4 provides that the amendment made by Part 4 of Schedule 4 applies as follows:</w:t>
      </w:r>
    </w:p>
    <w:p w:rsidR="0048487F" w:rsidRPr="00757C29" w:rsidRDefault="0048487F" w:rsidP="00FC6D64">
      <w:pPr>
        <w:pStyle w:val="dotpoint"/>
      </w:pPr>
      <w:r w:rsidRPr="00757C29">
        <w:t xml:space="preserve">to a contract of life insurance that was originally entered into after the commencement of item </w:t>
      </w:r>
      <w:r w:rsidR="00ED5837" w:rsidRPr="00757C29">
        <w:t>15</w:t>
      </w:r>
      <w:r w:rsidRPr="00757C29">
        <w:t xml:space="preserve">; and </w:t>
      </w:r>
    </w:p>
    <w:p w:rsidR="00CB63C3" w:rsidRPr="00757C29" w:rsidRDefault="00CB63C3" w:rsidP="00CB63C3">
      <w:pPr>
        <w:pStyle w:val="dotpoint"/>
      </w:pPr>
      <w:r w:rsidRPr="00757C29">
        <w:t xml:space="preserve">if </w:t>
      </w:r>
    </w:p>
    <w:p w:rsidR="00CB63C3" w:rsidRPr="00757C29" w:rsidRDefault="00CB63C3" w:rsidP="00AF0AD3">
      <w:pPr>
        <w:pStyle w:val="dotpoint2"/>
      </w:pPr>
      <w:r w:rsidRPr="00757C29">
        <w:t xml:space="preserve">the contract is a contract of life insurance that was originally entered into before the commencement of this item and is varied after that commencement </w:t>
      </w:r>
      <w:r w:rsidR="00295AB7" w:rsidRPr="00757C29">
        <w:t>to increase</w:t>
      </w:r>
      <w:r w:rsidRPr="00757C29">
        <w:t xml:space="preserve"> a sum insured under the contract or provide one or</w:t>
      </w:r>
      <w:r w:rsidR="00ED5837" w:rsidRPr="00757C29">
        <w:t xml:space="preserve"> </w:t>
      </w:r>
      <w:r w:rsidR="001524AE">
        <w:t>more additional kinds of cover;</w:t>
      </w:r>
    </w:p>
    <w:p w:rsidR="00CB63C3" w:rsidRPr="00757C29" w:rsidRDefault="00ED5837" w:rsidP="00AF0AD3">
      <w:pPr>
        <w:pStyle w:val="dotpoint2"/>
      </w:pPr>
      <w:r w:rsidRPr="00757C29">
        <w:t>t</w:t>
      </w:r>
      <w:r w:rsidR="00CB63C3" w:rsidRPr="00757C29">
        <w:t xml:space="preserve">he variation was not an automatic variation but was required to be expressly </w:t>
      </w:r>
      <w:r w:rsidR="00295AB7" w:rsidRPr="00757C29">
        <w:t>agreed</w:t>
      </w:r>
      <w:r w:rsidR="00CB63C3" w:rsidRPr="00757C29">
        <w:t xml:space="preserve"> between the insurer and the insured</w:t>
      </w:r>
      <w:r w:rsidR="001524AE">
        <w:t xml:space="preserve"> before the contract was varied; and</w:t>
      </w:r>
    </w:p>
    <w:p w:rsidR="00CB63C3" w:rsidRPr="00757C29" w:rsidRDefault="00CB63C3" w:rsidP="003174CF">
      <w:pPr>
        <w:pStyle w:val="dotpoint2"/>
        <w:numPr>
          <w:ilvl w:val="0"/>
          <w:numId w:val="0"/>
        </w:numPr>
        <w:ind w:left="2552"/>
      </w:pPr>
      <w:proofErr w:type="gramStart"/>
      <w:r w:rsidRPr="00757C29">
        <w:t>then</w:t>
      </w:r>
      <w:proofErr w:type="gramEnd"/>
      <w:r w:rsidRPr="00757C29">
        <w:t xml:space="preserve"> the contract is treated, to the extent of the variation, as if it had been originally entered into after the </w:t>
      </w:r>
      <w:r w:rsidRPr="00757C29">
        <w:lastRenderedPageBreak/>
        <w:t>commencement of item 6 and the amendments apply to the contract to the extent of the variation</w:t>
      </w:r>
      <w:r w:rsidR="00214D95">
        <w:t xml:space="preserve">.  </w:t>
      </w:r>
    </w:p>
    <w:p w:rsidR="0048487F" w:rsidRPr="00757C29" w:rsidRDefault="0048487F" w:rsidP="0048487F">
      <w:pPr>
        <w:pStyle w:val="base-text-paragraph"/>
      </w:pPr>
      <w:r w:rsidRPr="00757C29">
        <w:t xml:space="preserve">By operation of clause 2, item </w:t>
      </w:r>
      <w:r w:rsidR="00ED5837" w:rsidRPr="00757C29">
        <w:t xml:space="preserve">15 </w:t>
      </w:r>
      <w:r w:rsidRPr="00757C29">
        <w:t>of Schedule 4 commences on the day after the end of the period of 30 months beginning on the day the Act receives the Royal Assent.</w:t>
      </w:r>
    </w:p>
    <w:p w:rsidR="0048487F" w:rsidRDefault="0048487F" w:rsidP="00FC6D64">
      <w:pPr>
        <w:pStyle w:val="Heading2"/>
      </w:pPr>
      <w:r w:rsidRPr="00757C29">
        <w:t>Schedule 5</w:t>
      </w:r>
      <w:r w:rsidR="0014053A">
        <w:t xml:space="preserve"> — </w:t>
      </w:r>
      <w:r w:rsidRPr="00757C29">
        <w:t>Remedies of insurers</w:t>
      </w:r>
      <w:r>
        <w:t>: life insurance contracts</w:t>
      </w:r>
    </w:p>
    <w:p w:rsidR="0048487F" w:rsidRDefault="0048487F" w:rsidP="0048487F">
      <w:pPr>
        <w:pStyle w:val="base-text-paragraph"/>
      </w:pPr>
      <w:r>
        <w:t>Schedule 5 amends the way in which the ICA deals with remedies for life insurers in cases of misrepresentation or non</w:t>
      </w:r>
      <w:r w:rsidR="00214D95">
        <w:noBreakHyphen/>
      </w:r>
      <w:r>
        <w:t>disclosure by insureds prior to entry into the contract of life insurance</w:t>
      </w:r>
      <w:r w:rsidR="00214D95">
        <w:t xml:space="preserve">.  </w:t>
      </w:r>
      <w:r>
        <w:t>The amendments, which are designed to make the remedies more flexible and tailored than those that are currently available, apply to:</w:t>
      </w:r>
    </w:p>
    <w:p w:rsidR="0048487F" w:rsidRDefault="0048487F" w:rsidP="00FC6D64">
      <w:pPr>
        <w:pStyle w:val="dotpoint"/>
      </w:pPr>
      <w:r>
        <w:t>contracts of life insurance that provide two or more kinds of insurance cover, or a single kind of cover that is provided on different terms (for example, an element that is underwritten and another element that is not) or cover for two or more life insureds;</w:t>
      </w:r>
    </w:p>
    <w:p w:rsidR="0048487F" w:rsidRDefault="0048487F" w:rsidP="00FC6D64">
      <w:pPr>
        <w:pStyle w:val="dotpoint"/>
      </w:pPr>
      <w:r>
        <w:t>allow the remedies to be applied to each different element of a bundled life insurance contract as if each element or aspect were a separate policy;</w:t>
      </w:r>
    </w:p>
    <w:p w:rsidR="0048487F" w:rsidRDefault="0048487F" w:rsidP="00FC6D64">
      <w:pPr>
        <w:pStyle w:val="dotpoint"/>
      </w:pPr>
      <w:r>
        <w:t xml:space="preserve">introduce a distinction between the remedies applying to different forms of life insurance cover, so that the remedies applicable under section 29 would only apply to </w:t>
      </w:r>
      <w:r w:rsidR="00035750">
        <w:t>‘</w:t>
      </w:r>
      <w:r>
        <w:t>traditional</w:t>
      </w:r>
      <w:r w:rsidR="00035750">
        <w:t>’</w:t>
      </w:r>
      <w:r>
        <w:t xml:space="preserve"> life insurance policies (that is, life insurance contracts with a surrender value or that provide cover in respect of death) and remedies similar to the remedies applying to general insurance contracts would apply to all other forms of life insurance, that is, contracts other than contracts with a surrender value or providing death cover; and</w:t>
      </w:r>
    </w:p>
    <w:p w:rsidR="0048487F" w:rsidRDefault="0048487F" w:rsidP="00FC6D64">
      <w:pPr>
        <w:pStyle w:val="dotpoint"/>
      </w:pPr>
      <w:proofErr w:type="gramStart"/>
      <w:r>
        <w:t>expand</w:t>
      </w:r>
      <w:proofErr w:type="gramEnd"/>
      <w:r>
        <w:t xml:space="preserve"> the range of remedies that are available to a life insurer in cases where the misrepresentation involves a misstatement of the date of birth of a life insured under the contract.</w:t>
      </w:r>
    </w:p>
    <w:p w:rsidR="0048487F" w:rsidRDefault="0048487F" w:rsidP="00FC6D64">
      <w:pPr>
        <w:pStyle w:val="Heading4"/>
      </w:pPr>
      <w:r>
        <w:t>Part 1</w:t>
      </w:r>
      <w:r w:rsidR="0014053A">
        <w:t xml:space="preserve"> — </w:t>
      </w:r>
      <w:r w:rsidR="00035750">
        <w:t>‘</w:t>
      </w:r>
      <w:r>
        <w:t>Unbundling</w:t>
      </w:r>
      <w:r w:rsidR="00035750">
        <w:t>’</w:t>
      </w:r>
      <w:r>
        <w:t xml:space="preserve"> of contracts</w:t>
      </w:r>
    </w:p>
    <w:p w:rsidR="0048487F" w:rsidRDefault="0048487F" w:rsidP="0048487F">
      <w:pPr>
        <w:pStyle w:val="base-text-paragraph"/>
      </w:pPr>
      <w:r>
        <w:t xml:space="preserve">Contracts of life insurance often </w:t>
      </w:r>
      <w:r w:rsidR="00035750">
        <w:t>‘</w:t>
      </w:r>
      <w:r>
        <w:t>bundle</w:t>
      </w:r>
      <w:r w:rsidR="00035750">
        <w:t>’</w:t>
      </w:r>
      <w:r>
        <w:t xml:space="preserve"> different types of protection against more than one type of insurable event resulting from death, sickness or accident in the one contract</w:t>
      </w:r>
      <w:r w:rsidR="00214D95">
        <w:t xml:space="preserve">.  </w:t>
      </w:r>
      <w:r>
        <w:t xml:space="preserve">An application seeking </w:t>
      </w:r>
      <w:r>
        <w:lastRenderedPageBreak/>
        <w:t xml:space="preserve">cover for each type of insurable event will be </w:t>
      </w:r>
      <w:r w:rsidR="00035750">
        <w:t>‘</w:t>
      </w:r>
      <w:r>
        <w:t>unbundled</w:t>
      </w:r>
      <w:r w:rsidR="00035750">
        <w:t>’</w:t>
      </w:r>
      <w:r>
        <w:t xml:space="preserve"> for separate consideration by an insurer in relation to each type of risk, and different factors will be taken into account as part of the underwriting process.</w:t>
      </w:r>
    </w:p>
    <w:p w:rsidR="0048487F" w:rsidRDefault="0048487F" w:rsidP="0048487F">
      <w:pPr>
        <w:pStyle w:val="base-text-paragraph"/>
      </w:pPr>
      <w:r>
        <w:t>For example, an applicant may present with a family medical history of a condition that is well recognised as a risk factor in the development of a debilitating disease, but a disease that is unlikely to result in premature death</w:t>
      </w:r>
      <w:r w:rsidR="00214D95">
        <w:t xml:space="preserve">.  </w:t>
      </w:r>
      <w:r>
        <w:t>In those circumstances, the insurer is likely to accept a death cover component without a loading or exclusion, but the income protection cover would be offered with a modification to the policy terms or with a premium loading, in response to the additional risk caused by the family history of the condition.</w:t>
      </w:r>
    </w:p>
    <w:p w:rsidR="0048487F" w:rsidRDefault="0048487F" w:rsidP="0048487F">
      <w:pPr>
        <w:pStyle w:val="base-text-paragraph"/>
      </w:pPr>
      <w:r>
        <w:t>Any misrepresentation or non</w:t>
      </w:r>
      <w:r w:rsidR="00214D95">
        <w:noBreakHyphen/>
      </w:r>
      <w:r>
        <w:t>disclosure that affects one aspect of the insurance cover may not be relevant to the other</w:t>
      </w:r>
      <w:r w:rsidR="00214D95">
        <w:t xml:space="preserve">.  </w:t>
      </w:r>
      <w:r>
        <w:t xml:space="preserve">However, as currently drafted, the remedies that are available, such as for avoidance or variation of the </w:t>
      </w:r>
      <w:proofErr w:type="gramStart"/>
      <w:r>
        <w:t>contract,</w:t>
      </w:r>
      <w:proofErr w:type="gramEnd"/>
      <w:r>
        <w:t xml:space="preserve"> must be applied to the contract as a whole</w:t>
      </w:r>
      <w:r w:rsidR="00214D95">
        <w:t xml:space="preserve">.  </w:t>
      </w:r>
      <w:r>
        <w:t>This can be to the significant disadvantage of an insured and unnecessarily restrict the remedial options for an insurer.</w:t>
      </w:r>
    </w:p>
    <w:p w:rsidR="0048487F" w:rsidRPr="00ED5837" w:rsidRDefault="0048487F" w:rsidP="0048487F">
      <w:pPr>
        <w:pStyle w:val="base-text-paragraph"/>
        <w:rPr>
          <w:rStyle w:val="Referencingstyle"/>
          <w:b w:val="0"/>
          <w:i w:val="0"/>
          <w:sz w:val="22"/>
        </w:rPr>
      </w:pPr>
      <w:r>
        <w:t xml:space="preserve">New section </w:t>
      </w:r>
      <w:proofErr w:type="gramStart"/>
      <w:r>
        <w:t>27A,</w:t>
      </w:r>
      <w:proofErr w:type="gramEnd"/>
      <w:r>
        <w:t xml:space="preserve"> provides that if a contract of life insurance contains two or more </w:t>
      </w:r>
      <w:r w:rsidR="00757C29">
        <w:t>groups of provisions</w:t>
      </w:r>
      <w:r>
        <w:t>, the remedies in Division 3 of Part IV for misrepresentation and non</w:t>
      </w:r>
      <w:r w:rsidR="00214D95">
        <w:noBreakHyphen/>
      </w:r>
      <w:r>
        <w:t>disclosure apply to each</w:t>
      </w:r>
      <w:r w:rsidR="00757C29">
        <w:t xml:space="preserve"> group of provisions</w:t>
      </w:r>
      <w:r>
        <w:t xml:space="preserve">, as if the </w:t>
      </w:r>
      <w:r w:rsidR="00376D74">
        <w:t xml:space="preserve">groups of provisions were a separate </w:t>
      </w:r>
      <w:r>
        <w:t xml:space="preserve">contract </w:t>
      </w:r>
      <w:r w:rsidR="00376D74">
        <w:t>of life insurance</w:t>
      </w:r>
      <w:r w:rsidR="00214D95">
        <w:t xml:space="preserve">.  </w:t>
      </w:r>
      <w:r>
        <w:t xml:space="preserve">Therefore, if a contract contains cover in respect of death and cover in respect of </w:t>
      </w:r>
      <w:r w:rsidR="00376D74">
        <w:t xml:space="preserve">Total </w:t>
      </w:r>
      <w:r w:rsidR="00757C29">
        <w:t>a</w:t>
      </w:r>
      <w:r w:rsidR="00376D74">
        <w:t>nd Permanent Disability (</w:t>
      </w:r>
      <w:r w:rsidR="00035750">
        <w:t>‘</w:t>
      </w:r>
      <w:r w:rsidR="00376D74">
        <w:t>TPD</w:t>
      </w:r>
      <w:r w:rsidR="00035750">
        <w:t>’</w:t>
      </w:r>
      <w:r w:rsidR="00376D74">
        <w:t>)</w:t>
      </w:r>
      <w:r>
        <w:t>, the remedies for misrepresentation or non</w:t>
      </w:r>
      <w:r w:rsidR="00214D95">
        <w:noBreakHyphen/>
      </w:r>
      <w:r>
        <w:t>disclosure would apply to each type of cover, separately, as required</w:t>
      </w:r>
      <w:r w:rsidR="00214D95">
        <w:t xml:space="preserve">.  </w:t>
      </w:r>
    </w:p>
    <w:p w:rsidR="00376D74" w:rsidRPr="00280A6B" w:rsidRDefault="00376D74" w:rsidP="00376D74">
      <w:pPr>
        <w:pStyle w:val="base-text-paragraph"/>
        <w:rPr>
          <w:rStyle w:val="Referencingstyle"/>
          <w:b w:val="0"/>
          <w:i w:val="0"/>
          <w:sz w:val="22"/>
        </w:rPr>
      </w:pPr>
      <w:r w:rsidRPr="003174CF">
        <w:t xml:space="preserve">Further, if a contract of life insurance contains two or more groups of provisions and the contract also includes </w:t>
      </w:r>
      <w:r w:rsidR="00757C29" w:rsidRPr="003174CF">
        <w:t xml:space="preserve">other </w:t>
      </w:r>
      <w:r w:rsidRPr="003174CF">
        <w:t xml:space="preserve">provisions </w:t>
      </w:r>
      <w:r w:rsidR="00757C29" w:rsidRPr="003174CF">
        <w:t xml:space="preserve">(related provisions) </w:t>
      </w:r>
      <w:r w:rsidRPr="003174CF">
        <w:t xml:space="preserve">that affect the operation of </w:t>
      </w:r>
      <w:r w:rsidR="00757C29" w:rsidRPr="003174CF">
        <w:t xml:space="preserve">those groups of provisions </w:t>
      </w:r>
      <w:r w:rsidRPr="003174CF">
        <w:t xml:space="preserve">than the related </w:t>
      </w:r>
      <w:r w:rsidR="00295AB7" w:rsidRPr="003174CF">
        <w:t>provisions</w:t>
      </w:r>
      <w:r w:rsidRPr="003174CF">
        <w:t xml:space="preserve"> are </w:t>
      </w:r>
      <w:r w:rsidR="00232005" w:rsidRPr="003174CF">
        <w:t xml:space="preserve">taken to be included with each group of provisions for the purpose of forming one or more </w:t>
      </w:r>
      <w:r w:rsidRPr="003174CF">
        <w:t xml:space="preserve">separate </w:t>
      </w:r>
      <w:r w:rsidR="004632D1" w:rsidRPr="003174CF">
        <w:t>contract of life insurance</w:t>
      </w:r>
      <w:r w:rsidR="00214D95">
        <w:t xml:space="preserve">.  </w:t>
      </w:r>
      <w:r w:rsidRPr="003174CF">
        <w:rPr>
          <w:rStyle w:val="Referencingstyle"/>
        </w:rPr>
        <w:t>[Schedule 5, item 1, subsection</w:t>
      </w:r>
      <w:r w:rsidR="00376B6D">
        <w:rPr>
          <w:rStyle w:val="Referencingstyle"/>
        </w:rPr>
        <w:t>s</w:t>
      </w:r>
      <w:r w:rsidRPr="003174CF">
        <w:rPr>
          <w:rStyle w:val="Referencingstyle"/>
        </w:rPr>
        <w:t xml:space="preserve"> 27A(1) and 27A(2)]</w:t>
      </w:r>
    </w:p>
    <w:p w:rsidR="00C842B8" w:rsidRPr="003174CF" w:rsidRDefault="00C842B8" w:rsidP="00C842B8">
      <w:pPr>
        <w:pStyle w:val="base-text-paragraph"/>
      </w:pPr>
      <w:r w:rsidRPr="00C842B8">
        <w:t xml:space="preserve">This provides that when unbundling insurance contracts under section 27A common provisions contained in the contract can be taken to be included with any number of other groups of provisions to constitute standalone contracts for applying remedies under the </w:t>
      </w:r>
      <w:r w:rsidR="000F09AD">
        <w:t>ICA</w:t>
      </w:r>
      <w:r w:rsidRPr="00C842B8">
        <w:t>.</w:t>
      </w:r>
    </w:p>
    <w:p w:rsidR="004632D1" w:rsidRPr="003174CF" w:rsidRDefault="0048487F" w:rsidP="004632D1">
      <w:pPr>
        <w:pStyle w:val="base-text-paragraph"/>
        <w:rPr>
          <w:rStyle w:val="Referencingstyle"/>
        </w:rPr>
      </w:pPr>
      <w:r w:rsidRPr="003174CF">
        <w:t xml:space="preserve">Similarly, new section 27A </w:t>
      </w:r>
      <w:r w:rsidR="00232005" w:rsidRPr="003174CF">
        <w:t xml:space="preserve">also </w:t>
      </w:r>
      <w:r w:rsidRPr="003174CF">
        <w:t xml:space="preserve">provides that </w:t>
      </w:r>
      <w:r w:rsidR="004632D1" w:rsidRPr="003174CF">
        <w:t>if a contract of life insurance provides insurance cover in relation to 2 or more life insureds, the insurance cover provided in relation to each type of life insured is taken to be provided by separate contracts of life insurance</w:t>
      </w:r>
      <w:r w:rsidR="00214D95">
        <w:t xml:space="preserve">.  </w:t>
      </w:r>
      <w:r w:rsidR="004632D1" w:rsidRPr="003174CF">
        <w:rPr>
          <w:rStyle w:val="Referencingstyle"/>
        </w:rPr>
        <w:t xml:space="preserve">[Schedule 5, item 1, subsection 27A(3)] </w:t>
      </w:r>
    </w:p>
    <w:p w:rsidR="00232005" w:rsidRPr="00232005" w:rsidRDefault="004632D1" w:rsidP="00A9398E">
      <w:pPr>
        <w:pStyle w:val="base-text-paragraph"/>
        <w:spacing w:after="160"/>
        <w:rPr>
          <w:b/>
          <w:i/>
          <w:sz w:val="18"/>
        </w:rPr>
      </w:pPr>
      <w:r>
        <w:lastRenderedPageBreak/>
        <w:t xml:space="preserve">Finally, new section 72A </w:t>
      </w:r>
      <w:r w:rsidR="00232005">
        <w:t xml:space="preserve">also </w:t>
      </w:r>
      <w:r>
        <w:t xml:space="preserve">provides that </w:t>
      </w:r>
      <w:r w:rsidR="0048487F">
        <w:t>where a life insurance contract contains an element of cover that is underwritten on particular terms and another element that is either not underwritten or is underwritten on different terms, the elements are to be regarded as separate types of cover for the purposes of unbundling in section 27A</w:t>
      </w:r>
      <w:r w:rsidR="00214D95">
        <w:t xml:space="preserve">.  </w:t>
      </w:r>
    </w:p>
    <w:p w:rsidR="004632D1" w:rsidRPr="00AF0AD3" w:rsidRDefault="0048487F" w:rsidP="00A9398E">
      <w:pPr>
        <w:pStyle w:val="base-text-paragraph"/>
        <w:spacing w:after="160"/>
        <w:rPr>
          <w:rStyle w:val="Referencingstyle"/>
        </w:rPr>
      </w:pPr>
      <w:r>
        <w:t>The intention of that provision is to permit unbundling under section 27A in circumstances such as where a person has cover under a group life scheme that is automatically provided to all members of the scheme and which is either not underwritten at all, or underwritten by, for example, a short</w:t>
      </w:r>
      <w:r w:rsidR="00214D95">
        <w:noBreakHyphen/>
      </w:r>
      <w:r>
        <w:t xml:space="preserve">form questionnaire, in addition to additional </w:t>
      </w:r>
      <w:r w:rsidR="00035750">
        <w:t>‘</w:t>
      </w:r>
      <w:r>
        <w:t>top up</w:t>
      </w:r>
      <w:r w:rsidR="00035750">
        <w:t>’</w:t>
      </w:r>
      <w:r>
        <w:t xml:space="preserve"> cover that is underwritten through, for example, a comprehensive questionnaire and full medical examination</w:t>
      </w:r>
      <w:r w:rsidR="00214D95">
        <w:t xml:space="preserve">.  </w:t>
      </w:r>
      <w:r>
        <w:t>This allows any remedies in respect of non</w:t>
      </w:r>
      <w:r w:rsidR="00214D95">
        <w:noBreakHyphen/>
      </w:r>
      <w:r>
        <w:t>disclosure and misrepresentation in relation to obtaining the top</w:t>
      </w:r>
      <w:r w:rsidR="00214D95">
        <w:noBreakHyphen/>
      </w:r>
      <w:r>
        <w:t>up cover to be utilised by a life insurer in relation to the top</w:t>
      </w:r>
      <w:r w:rsidR="00214D95">
        <w:noBreakHyphen/>
      </w:r>
      <w:r>
        <w:t>up only, without affecting the person</w:t>
      </w:r>
      <w:r w:rsidR="00035750">
        <w:t>’</w:t>
      </w:r>
      <w:r>
        <w:t>s automatic cover</w:t>
      </w:r>
      <w:r w:rsidR="00214D95">
        <w:t xml:space="preserve">.  </w:t>
      </w:r>
      <w:r w:rsidR="004632D1" w:rsidRPr="00AF0AD3">
        <w:rPr>
          <w:rStyle w:val="Referencingstyle"/>
        </w:rPr>
        <w:t>[Schedul</w:t>
      </w:r>
      <w:r w:rsidR="00A9398E">
        <w:rPr>
          <w:rStyle w:val="Referencingstyle"/>
        </w:rPr>
        <w:t>e 5, item 1, subsection 27A(4)]</w:t>
      </w:r>
    </w:p>
    <w:p w:rsidR="0048487F" w:rsidRDefault="0048487F" w:rsidP="00FC6D64">
      <w:pPr>
        <w:pStyle w:val="Heading4"/>
      </w:pPr>
      <w:r>
        <w:t>Part 2</w:t>
      </w:r>
      <w:r w:rsidR="0014053A">
        <w:t xml:space="preserve"> — </w:t>
      </w:r>
      <w:r>
        <w:t>Remedies for non</w:t>
      </w:r>
      <w:r w:rsidR="00214D95">
        <w:noBreakHyphen/>
      </w:r>
      <w:r>
        <w:t>disclosure and misrepresentation</w:t>
      </w:r>
    </w:p>
    <w:p w:rsidR="0048487F" w:rsidRDefault="0048487F" w:rsidP="00A9398E">
      <w:pPr>
        <w:pStyle w:val="base-text-paragraph"/>
        <w:spacing w:after="160"/>
      </w:pPr>
      <w:r>
        <w:t>T</w:t>
      </w:r>
      <w:r w:rsidR="000F09AD">
        <w:t>he current section 29 of the ICA currently contains</w:t>
      </w:r>
      <w:r>
        <w:t xml:space="preserve"> remedies that </w:t>
      </w:r>
      <w:r w:rsidR="000F09AD">
        <w:t xml:space="preserve">are available to life </w:t>
      </w:r>
      <w:proofErr w:type="gramStart"/>
      <w:r w:rsidR="000F09AD">
        <w:t xml:space="preserve">insurers </w:t>
      </w:r>
      <w:r>
        <w:t xml:space="preserve"> </w:t>
      </w:r>
      <w:r w:rsidR="000F09AD">
        <w:t>when</w:t>
      </w:r>
      <w:proofErr w:type="gramEnd"/>
      <w:r w:rsidR="000F09AD">
        <w:t xml:space="preserve"> an insured has made a misrepresentation or failed to comply with the duty of disclosure.</w:t>
      </w:r>
      <w:r w:rsidR="00214D95">
        <w:t xml:space="preserve">.  </w:t>
      </w:r>
      <w:r>
        <w:t xml:space="preserve">Whilst suitable for </w:t>
      </w:r>
      <w:r w:rsidR="00035750">
        <w:t>‘</w:t>
      </w:r>
      <w:r>
        <w:t>traditional</w:t>
      </w:r>
      <w:r w:rsidR="00035750">
        <w:t>’</w:t>
      </w:r>
      <w:r>
        <w:t xml:space="preserve"> kinds of life insurance policy (that is, those with a surrender value or providing death cover), the current </w:t>
      </w:r>
      <w:r w:rsidR="000F09AD">
        <w:t xml:space="preserve">remedies are not </w:t>
      </w:r>
      <w:r w:rsidR="00295AB7">
        <w:t>well suited</w:t>
      </w:r>
      <w:r>
        <w:t xml:space="preserve"> to many types of life insurance that are now made available (for example, short</w:t>
      </w:r>
      <w:r w:rsidR="00214D95">
        <w:noBreakHyphen/>
      </w:r>
      <w:r>
        <w:t>term cover for income protection or total and permanent disability)</w:t>
      </w:r>
      <w:r w:rsidR="00214D95">
        <w:t xml:space="preserve">.  </w:t>
      </w:r>
      <w:r>
        <w:t xml:space="preserve">In many cases, misrepresentation or </w:t>
      </w:r>
      <w:r w:rsidR="000F09AD">
        <w:t xml:space="preserve">failure to comply with the duty of disclosure </w:t>
      </w:r>
      <w:r>
        <w:t>in respect of non</w:t>
      </w:r>
      <w:r w:rsidR="00214D95">
        <w:noBreakHyphen/>
      </w:r>
      <w:r>
        <w:t xml:space="preserve">traditional types of life insurance policy would be better dealt with </w:t>
      </w:r>
      <w:r w:rsidR="000F09AD">
        <w:t xml:space="preserve">using </w:t>
      </w:r>
      <w:r>
        <w:t>remedies akin to those available for general insurance policies.</w:t>
      </w:r>
    </w:p>
    <w:p w:rsidR="0048487F" w:rsidRDefault="0048487F" w:rsidP="00A9398E">
      <w:pPr>
        <w:pStyle w:val="base-text-paragraph"/>
        <w:spacing w:after="160"/>
      </w:pPr>
      <w:r>
        <w:t>Surrender value refers to the cash amount payable by the life insurance company to the policy owner in the event a policy is voluntarily terminated before its maturity or the death of the insured person</w:t>
      </w:r>
      <w:r w:rsidR="00214D95">
        <w:t xml:space="preserve">.  </w:t>
      </w:r>
      <w:r>
        <w:t xml:space="preserve">They are common in traditional </w:t>
      </w:r>
      <w:r w:rsidR="00035750">
        <w:t>‘</w:t>
      </w:r>
      <w:r>
        <w:t>whole of life</w:t>
      </w:r>
      <w:r w:rsidR="00035750">
        <w:t>’</w:t>
      </w:r>
      <w:r>
        <w:t xml:space="preserve"> and </w:t>
      </w:r>
      <w:r w:rsidR="00035750">
        <w:t>‘</w:t>
      </w:r>
      <w:r>
        <w:t>endowment</w:t>
      </w:r>
      <w:r w:rsidR="00035750">
        <w:t>’</w:t>
      </w:r>
      <w:r>
        <w:t xml:space="preserve"> investment</w:t>
      </w:r>
      <w:r w:rsidR="00214D95">
        <w:noBreakHyphen/>
      </w:r>
      <w:r>
        <w:t>style insurance policies</w:t>
      </w:r>
      <w:r w:rsidR="00214D95">
        <w:t xml:space="preserve">.  </w:t>
      </w:r>
      <w:r w:rsidR="00232005">
        <w:t>LIA</w:t>
      </w:r>
      <w:r>
        <w:t xml:space="preserve"> sets the minimum standard for the calculation of a surrender value.</w:t>
      </w:r>
    </w:p>
    <w:p w:rsidR="0048487F" w:rsidRPr="003174CF" w:rsidRDefault="0048487F" w:rsidP="00A9398E">
      <w:pPr>
        <w:pStyle w:val="base-text-paragraph"/>
        <w:spacing w:after="160"/>
      </w:pPr>
      <w:r>
        <w:t>To provide appropriate outcomes in respect to non</w:t>
      </w:r>
      <w:r w:rsidR="00214D95">
        <w:noBreakHyphen/>
      </w:r>
      <w:r>
        <w:t>tradi</w:t>
      </w:r>
      <w:r w:rsidR="000F09AD">
        <w:t xml:space="preserve">tional life insurance contracts, </w:t>
      </w:r>
      <w:r>
        <w:t xml:space="preserve">section 29 </w:t>
      </w:r>
      <w:r w:rsidR="000F09AD">
        <w:t xml:space="preserve">has been amended so that </w:t>
      </w:r>
      <w:r>
        <w:t xml:space="preserve">an insurer will continue to be </w:t>
      </w:r>
      <w:r w:rsidRPr="003174CF">
        <w:t xml:space="preserve">able to avoid a life insurance contract </w:t>
      </w:r>
      <w:r w:rsidR="00051938">
        <w:t xml:space="preserve">within the first </w:t>
      </w:r>
      <w:r w:rsidRPr="003174CF">
        <w:t>three years</w:t>
      </w:r>
      <w:r w:rsidR="00214D95">
        <w:t xml:space="preserve">.  </w:t>
      </w:r>
      <w:r w:rsidRPr="003174CF">
        <w:t xml:space="preserve">However, an insurer can at any time vary a life insurance contract in accordance with the formula contained </w:t>
      </w:r>
      <w:r w:rsidR="00051938">
        <w:t>in the current subsection 29(4)</w:t>
      </w:r>
      <w:r w:rsidR="00214D95">
        <w:t xml:space="preserve">.  </w:t>
      </w:r>
      <w:r w:rsidRPr="003174CF">
        <w:rPr>
          <w:rStyle w:val="Referencingstyle"/>
        </w:rPr>
        <w:t xml:space="preserve">[Schedule 5, </w:t>
      </w:r>
      <w:r w:rsidR="004632D1" w:rsidRPr="003174CF">
        <w:rPr>
          <w:rStyle w:val="Referencingstyle"/>
        </w:rPr>
        <w:t>item</w:t>
      </w:r>
      <w:r w:rsidR="0015079D">
        <w:rPr>
          <w:rStyle w:val="Referencingstyle"/>
        </w:rPr>
        <w:t xml:space="preserve"> </w:t>
      </w:r>
      <w:r w:rsidR="004632D1" w:rsidRPr="003174CF">
        <w:rPr>
          <w:rStyle w:val="Referencingstyle"/>
        </w:rPr>
        <w:t xml:space="preserve">8, section </w:t>
      </w:r>
      <w:r w:rsidRPr="003174CF">
        <w:rPr>
          <w:rStyle w:val="Referencingstyle"/>
        </w:rPr>
        <w:t>29(4)]</w:t>
      </w:r>
      <w:r w:rsidRPr="003174CF">
        <w:t xml:space="preserve"> </w:t>
      </w:r>
      <w:r w:rsidR="00232005" w:rsidRPr="003174CF">
        <w:t xml:space="preserve"> </w:t>
      </w:r>
    </w:p>
    <w:p w:rsidR="00232005" w:rsidRPr="003174CF" w:rsidRDefault="0048487F" w:rsidP="00A9398E">
      <w:pPr>
        <w:pStyle w:val="base-text-paragraph"/>
        <w:spacing w:after="160"/>
        <w:rPr>
          <w:b/>
          <w:i/>
          <w:sz w:val="18"/>
        </w:rPr>
      </w:pPr>
      <w:r w:rsidRPr="003174CF">
        <w:lastRenderedPageBreak/>
        <w:t xml:space="preserve">In addition, if the insurer does not avoid the contract in the first three years under subsection 29(3) or vary the contract in accordance with the formula in subsection 29(4), the insurer may vary the contract to place them in the position they would have been had the misrepresentation or </w:t>
      </w:r>
      <w:r w:rsidR="00051938">
        <w:t xml:space="preserve">failure to comply with the duty of disclosure </w:t>
      </w:r>
      <w:r w:rsidRPr="003174CF">
        <w:t>had not occurred</w:t>
      </w:r>
      <w:r w:rsidR="00214D95">
        <w:t xml:space="preserve">.  </w:t>
      </w:r>
      <w:r w:rsidR="006E09AC" w:rsidRPr="003174CF">
        <w:t xml:space="preserve">The ability to vary the contract in this way is only available </w:t>
      </w:r>
      <w:r w:rsidR="00232005" w:rsidRPr="003174CF">
        <w:t xml:space="preserve">if </w:t>
      </w:r>
      <w:r w:rsidR="006E09AC" w:rsidRPr="003174CF">
        <w:t xml:space="preserve">the varied position of the </w:t>
      </w:r>
      <w:r w:rsidR="004632D1" w:rsidRPr="003174CF">
        <w:t xml:space="preserve">insurer is not inconsistent with the position in which other reasonable prudent insurers would have been </w:t>
      </w:r>
      <w:r w:rsidR="006E09AC" w:rsidRPr="003174CF">
        <w:t>in respect to similar contracts of insurance if</w:t>
      </w:r>
      <w:r w:rsidR="00232005" w:rsidRPr="003174CF">
        <w:t>:</w:t>
      </w:r>
    </w:p>
    <w:p w:rsidR="00232005" w:rsidRPr="003174CF" w:rsidRDefault="006E09AC" w:rsidP="00232005">
      <w:pPr>
        <w:pStyle w:val="dotpoint"/>
      </w:pPr>
      <w:r w:rsidRPr="003174CF">
        <w:t>they had entered into a similar contracts of life insurance to the relevant contract</w:t>
      </w:r>
      <w:r w:rsidR="00232005" w:rsidRPr="003174CF">
        <w:t>;</w:t>
      </w:r>
      <w:r w:rsidRPr="003174CF">
        <w:t xml:space="preserve"> and </w:t>
      </w:r>
    </w:p>
    <w:p w:rsidR="00232005" w:rsidRPr="003174CF" w:rsidRDefault="006E09AC" w:rsidP="00232005">
      <w:pPr>
        <w:pStyle w:val="dotpoint"/>
      </w:pPr>
      <w:proofErr w:type="gramStart"/>
      <w:r w:rsidRPr="003174CF">
        <w:t>there</w:t>
      </w:r>
      <w:proofErr w:type="gramEnd"/>
      <w:r w:rsidRPr="003174CF">
        <w:t xml:space="preserve"> had been no failure to comply with the duty of disclosure and no misrepresentation, by the insureds under the similar contracts before they were entered into</w:t>
      </w:r>
      <w:r w:rsidR="00214D95">
        <w:t xml:space="preserve">.  </w:t>
      </w:r>
    </w:p>
    <w:p w:rsidR="0048487F" w:rsidRPr="003174CF" w:rsidRDefault="0048487F" w:rsidP="00232005">
      <w:pPr>
        <w:pStyle w:val="dotpoint"/>
        <w:numPr>
          <w:ilvl w:val="0"/>
          <w:numId w:val="0"/>
        </w:numPr>
        <w:ind w:left="2268"/>
        <w:rPr>
          <w:rStyle w:val="Referencingstyle"/>
        </w:rPr>
      </w:pPr>
      <w:r w:rsidRPr="003174CF">
        <w:rPr>
          <w:rStyle w:val="Referencingstyle"/>
        </w:rPr>
        <w:t xml:space="preserve">[Schedule 5, </w:t>
      </w:r>
      <w:r w:rsidR="004632D1" w:rsidRPr="003174CF">
        <w:rPr>
          <w:rStyle w:val="Referencingstyle"/>
        </w:rPr>
        <w:t>item 10</w:t>
      </w:r>
      <w:r w:rsidRPr="003174CF">
        <w:rPr>
          <w:rStyle w:val="Referencingstyle"/>
        </w:rPr>
        <w:t xml:space="preserve">, </w:t>
      </w:r>
      <w:r w:rsidR="006E09AC" w:rsidRPr="003174CF">
        <w:rPr>
          <w:rStyle w:val="Referencingstyle"/>
        </w:rPr>
        <w:t>sub</w:t>
      </w:r>
      <w:r w:rsidR="004632D1" w:rsidRPr="003174CF">
        <w:rPr>
          <w:rStyle w:val="Referencingstyle"/>
        </w:rPr>
        <w:t>section</w:t>
      </w:r>
      <w:r w:rsidR="00376B6D">
        <w:rPr>
          <w:rStyle w:val="Referencingstyle"/>
        </w:rPr>
        <w:t>s</w:t>
      </w:r>
      <w:r w:rsidR="004632D1" w:rsidRPr="003174CF">
        <w:rPr>
          <w:rStyle w:val="Referencingstyle"/>
        </w:rPr>
        <w:t xml:space="preserve"> </w:t>
      </w:r>
      <w:r w:rsidRPr="003174CF">
        <w:rPr>
          <w:rStyle w:val="Referencingstyle"/>
        </w:rPr>
        <w:t>29(6)</w:t>
      </w:r>
      <w:r w:rsidR="00376B6D">
        <w:rPr>
          <w:rStyle w:val="Referencingstyle"/>
        </w:rPr>
        <w:t xml:space="preserve"> </w:t>
      </w:r>
      <w:r w:rsidR="006E09AC" w:rsidRPr="003174CF">
        <w:rPr>
          <w:rStyle w:val="Referencingstyle"/>
        </w:rPr>
        <w:t>and 29(7)</w:t>
      </w:r>
      <w:r w:rsidRPr="003174CF">
        <w:rPr>
          <w:rStyle w:val="Referencingstyle"/>
        </w:rPr>
        <w:t>]</w:t>
      </w:r>
    </w:p>
    <w:p w:rsidR="006E09AC" w:rsidRDefault="006E09AC" w:rsidP="00A9398E">
      <w:pPr>
        <w:pStyle w:val="base-text-paragraph"/>
        <w:spacing w:after="160"/>
        <w:rPr>
          <w:rStyle w:val="Referencingstyle"/>
        </w:rPr>
      </w:pPr>
      <w:r w:rsidRPr="003174CF">
        <w:t>A contract of life insurance is similar to another contract of life i</w:t>
      </w:r>
      <w:r w:rsidR="00232005" w:rsidRPr="003174CF">
        <w:t xml:space="preserve">nsurance if </w:t>
      </w:r>
      <w:r w:rsidRPr="003174CF">
        <w:t>the similar contract provides insurance cover that is the same as</w:t>
      </w:r>
      <w:r w:rsidR="00232005" w:rsidRPr="003174CF">
        <w:t>,</w:t>
      </w:r>
      <w:r w:rsidRPr="003174CF">
        <w:t xml:space="preserve"> or similar to</w:t>
      </w:r>
      <w:r w:rsidR="00232005" w:rsidRPr="003174CF">
        <w:t>,</w:t>
      </w:r>
      <w:r w:rsidRPr="003174CF">
        <w:t xml:space="preserve"> the kind of insurance cover provided by the relevant contract and the similar contract was entered into at</w:t>
      </w:r>
      <w:r w:rsidR="00232005" w:rsidRPr="003174CF">
        <w:t>,</w:t>
      </w:r>
      <w:r w:rsidRPr="003174CF">
        <w:t xml:space="preserve"> or close to</w:t>
      </w:r>
      <w:r w:rsidR="00232005" w:rsidRPr="003174CF">
        <w:t>,</w:t>
      </w:r>
      <w:r w:rsidRPr="003174CF">
        <w:t xml:space="preserve"> the time the relevant contract was entered into</w:t>
      </w:r>
      <w:r w:rsidR="00214D95">
        <w:t xml:space="preserve">.  </w:t>
      </w:r>
      <w:r w:rsidRPr="003174CF">
        <w:rPr>
          <w:rStyle w:val="Referencingstyle"/>
        </w:rPr>
        <w:t>[Schedule 5, item 10, subsection 29(8)]</w:t>
      </w:r>
    </w:p>
    <w:p w:rsidR="00C842B8" w:rsidRDefault="00C842B8" w:rsidP="00A9398E">
      <w:pPr>
        <w:pStyle w:val="base-text-paragraph"/>
        <w:spacing w:after="160"/>
      </w:pPr>
      <w:r w:rsidRPr="00B7133E">
        <w:t xml:space="preserve">When an insurer is endeavouring to establish whether </w:t>
      </w:r>
      <w:r w:rsidR="00051938">
        <w:t>the</w:t>
      </w:r>
      <w:r w:rsidRPr="00B7133E">
        <w:t xml:space="preserve"> variation is </w:t>
      </w:r>
      <w:r w:rsidR="00051938">
        <w:t xml:space="preserve">or is not </w:t>
      </w:r>
      <w:r w:rsidRPr="00B7133E">
        <w:t xml:space="preserve">inconsistent with </w:t>
      </w:r>
      <w:r w:rsidR="00051938">
        <w:t xml:space="preserve">how </w:t>
      </w:r>
      <w:r w:rsidRPr="00B7133E">
        <w:t>other reasonable prudent insurers</w:t>
      </w:r>
      <w:r w:rsidR="00051938">
        <w:t xml:space="preserve"> would have varied a similar contract</w:t>
      </w:r>
      <w:r w:rsidRPr="00B7133E">
        <w:t xml:space="preserve">, an insurer would generally be required to seek a view from one or more third parties as to what other reasonable or prudent insurers would have </w:t>
      </w:r>
      <w:r w:rsidR="00051938">
        <w:t>acted</w:t>
      </w:r>
      <w:r w:rsidR="00214D95">
        <w:t xml:space="preserve">.  </w:t>
      </w:r>
      <w:r w:rsidR="00280A6B" w:rsidRPr="00B7133E">
        <w:t>These third parties may</w:t>
      </w:r>
      <w:r w:rsidRPr="00B7133E">
        <w:t xml:space="preserve"> include but would not be limited to </w:t>
      </w:r>
      <w:r w:rsidR="00B7133E">
        <w:t>underwriters</w:t>
      </w:r>
      <w:r w:rsidR="00280A6B" w:rsidRPr="00B7133E">
        <w:t>.</w:t>
      </w:r>
    </w:p>
    <w:p w:rsidR="00B7133E" w:rsidRPr="00B7133E" w:rsidRDefault="004A4948" w:rsidP="00B7133E">
      <w:pPr>
        <w:pStyle w:val="dotpoint"/>
      </w:pPr>
      <w:r w:rsidRPr="00B7133E">
        <w:t>U</w:t>
      </w:r>
      <w:r w:rsidR="00B7133E" w:rsidRPr="00B7133E">
        <w:t>nderwriters</w:t>
      </w:r>
      <w:r>
        <w:t xml:space="preserve"> normally</w:t>
      </w:r>
      <w:r w:rsidRPr="00B7133E">
        <w:t xml:space="preserve"> have</w:t>
      </w:r>
      <w:r w:rsidR="00B7133E" w:rsidRPr="00B7133E">
        <w:t xml:space="preserve"> a good understanding of the development of </w:t>
      </w:r>
      <w:r>
        <w:t xml:space="preserve">life insurance </w:t>
      </w:r>
      <w:r w:rsidR="00B7133E" w:rsidRPr="00B7133E">
        <w:t>products in the market place</w:t>
      </w:r>
      <w:r>
        <w:t xml:space="preserve">, this understanding </w:t>
      </w:r>
      <w:r w:rsidR="00B7133E" w:rsidRPr="00B7133E">
        <w:t xml:space="preserve">would enable them to make </w:t>
      </w:r>
      <w:r>
        <w:t xml:space="preserve">judgements and </w:t>
      </w:r>
      <w:r w:rsidR="00B7133E" w:rsidRPr="00B7133E">
        <w:t xml:space="preserve">decisions based on what a reasonable and prudent insurer </w:t>
      </w:r>
      <w:r>
        <w:t xml:space="preserve">would have been </w:t>
      </w:r>
      <w:r w:rsidR="00B7133E" w:rsidRPr="00B7133E">
        <w:t>likely to have done at the time the relevant</w:t>
      </w:r>
      <w:r>
        <w:t xml:space="preserve"> contract was </w:t>
      </w:r>
      <w:r w:rsidR="00B7133E" w:rsidRPr="00B7133E">
        <w:t>entered into</w:t>
      </w:r>
      <w:r w:rsidR="00214D95">
        <w:t xml:space="preserve">.  </w:t>
      </w:r>
    </w:p>
    <w:p w:rsidR="0048487F" w:rsidRPr="003174CF" w:rsidRDefault="003F1256" w:rsidP="00530560">
      <w:pPr>
        <w:pStyle w:val="base-text-paragraph"/>
      </w:pPr>
      <w:r w:rsidRPr="003174CF">
        <w:t>T</w:t>
      </w:r>
      <w:r w:rsidR="0048487F" w:rsidRPr="003174CF">
        <w:t>he current treatment of tradit</w:t>
      </w:r>
      <w:r w:rsidR="00051938">
        <w:t xml:space="preserve">ional life insurance contracts is not affected </w:t>
      </w:r>
      <w:proofErr w:type="gramStart"/>
      <w:r w:rsidR="00051938">
        <w:t>as a result</w:t>
      </w:r>
      <w:proofErr w:type="gramEnd"/>
      <w:r w:rsidR="00051938">
        <w:t xml:space="preserve"> of the changes in the Bill</w:t>
      </w:r>
      <w:r w:rsidR="00214D95">
        <w:t xml:space="preserve">.  </w:t>
      </w:r>
      <w:proofErr w:type="gramStart"/>
      <w:r w:rsidR="00051938">
        <w:t>Therefore traditional life contracts will still be</w:t>
      </w:r>
      <w:r w:rsidR="0048487F" w:rsidRPr="003174CF">
        <w:t xml:space="preserve"> able to avoid a contract under subsection</w:t>
      </w:r>
      <w:r w:rsidR="00A9398E">
        <w:t> </w:t>
      </w:r>
      <w:r w:rsidR="0048487F" w:rsidRPr="003174CF">
        <w:t xml:space="preserve">29(2) and subsection (3) in the first three years or can </w:t>
      </w:r>
      <w:r w:rsidR="00051938">
        <w:t xml:space="preserve">be varied </w:t>
      </w:r>
      <w:r w:rsidR="0048487F" w:rsidRPr="003174CF">
        <w:t>the by substituting for the sum insured an amount as worked out under the formula in section 29(4)</w:t>
      </w:r>
      <w:r w:rsidR="00051938">
        <w:t>,</w:t>
      </w:r>
      <w:r w:rsidR="0048487F" w:rsidRPr="003174CF">
        <w:t xml:space="preserve"> provided </w:t>
      </w:r>
      <w:r w:rsidR="00051938">
        <w:t xml:space="preserve">the insurer </w:t>
      </w:r>
      <w:r w:rsidR="0048487F" w:rsidRPr="003174CF">
        <w:t>provide</w:t>
      </w:r>
      <w:r w:rsidR="00051938">
        <w:t xml:space="preserve">s </w:t>
      </w:r>
      <w:r w:rsidR="0048487F" w:rsidRPr="003174CF">
        <w:t>notice in writing to the insured before the expiration of three years after the contract was entered into</w:t>
      </w:r>
      <w:r w:rsidR="00214D95">
        <w:t>.</w:t>
      </w:r>
      <w:proofErr w:type="gramEnd"/>
      <w:r w:rsidR="00214D95">
        <w:t xml:space="preserve">  </w:t>
      </w:r>
      <w:r w:rsidR="00530560" w:rsidRPr="00530560">
        <w:rPr>
          <w:rStyle w:val="Referencingstyle"/>
        </w:rPr>
        <w:t>[Schedule 5, item 10, subsection 29(10)]</w:t>
      </w:r>
      <w:bookmarkStart w:id="3" w:name="_GoBack"/>
      <w:bookmarkEnd w:id="3"/>
    </w:p>
    <w:p w:rsidR="0048487F" w:rsidRPr="003174CF" w:rsidRDefault="0048487F" w:rsidP="006A159E">
      <w:pPr>
        <w:pStyle w:val="Heading4"/>
      </w:pPr>
      <w:r w:rsidRPr="003174CF">
        <w:lastRenderedPageBreak/>
        <w:t>Part 3</w:t>
      </w:r>
      <w:r w:rsidR="0014053A">
        <w:t xml:space="preserve"> — </w:t>
      </w:r>
      <w:r w:rsidRPr="003174CF">
        <w:t>Remedy for misstatement of date of birth</w:t>
      </w:r>
    </w:p>
    <w:p w:rsidR="0048487F" w:rsidRDefault="0048487F" w:rsidP="0048487F">
      <w:pPr>
        <w:pStyle w:val="base-text-paragraph"/>
      </w:pPr>
      <w:r w:rsidRPr="003174CF">
        <w:t>Section 30 of the ICA contains specific remedies for life insurers in circumstances where the date of birth of one or more life insureds was incorrectly stated at the time the contract was e</w:t>
      </w:r>
      <w:r>
        <w:t>ntered into</w:t>
      </w:r>
      <w:r w:rsidR="00214D95">
        <w:t xml:space="preserve">.  </w:t>
      </w:r>
      <w:r>
        <w:t>It covers situations where age was understated or overstated, and allows the insurer, when the true date of birth is known, to adjust the sum insured or reduce the premium payable</w:t>
      </w:r>
      <w:r w:rsidR="00214D95">
        <w:t xml:space="preserve">.  </w:t>
      </w:r>
    </w:p>
    <w:p w:rsidR="0048487F" w:rsidRDefault="0048487F" w:rsidP="0048487F">
      <w:pPr>
        <w:pStyle w:val="base-text-paragraph"/>
      </w:pPr>
      <w:r>
        <w:t>To ensure appropriate outcomes are achieved, for an insurer, in circumstances addressed by section 30 an insurer may vary a contract of insurance by changing its expiration date to a date calculated on the basis of the correct date of birth</w:t>
      </w:r>
      <w:r w:rsidR="00214D95">
        <w:t xml:space="preserve">.  </w:t>
      </w:r>
      <w:r>
        <w:t>This means that neither the amount insured nor the premium payable needs to be modified</w:t>
      </w:r>
      <w:r w:rsidR="00214D95">
        <w:t xml:space="preserve">.  </w:t>
      </w:r>
      <w:r w:rsidRPr="00232005">
        <w:rPr>
          <w:rStyle w:val="Referencingstyle"/>
        </w:rPr>
        <w:t xml:space="preserve">[Schedule 5, </w:t>
      </w:r>
      <w:r w:rsidR="003F1256" w:rsidRPr="00232005">
        <w:rPr>
          <w:rStyle w:val="Referencingstyle"/>
        </w:rPr>
        <w:t>item 12</w:t>
      </w:r>
      <w:r w:rsidRPr="00232005">
        <w:rPr>
          <w:rStyle w:val="Referencingstyle"/>
        </w:rPr>
        <w:t xml:space="preserve">, </w:t>
      </w:r>
      <w:r w:rsidR="003F1256" w:rsidRPr="00232005">
        <w:rPr>
          <w:rStyle w:val="Referencingstyle"/>
        </w:rPr>
        <w:t xml:space="preserve">subsection </w:t>
      </w:r>
      <w:r w:rsidRPr="00232005">
        <w:rPr>
          <w:rStyle w:val="Referencingstyle"/>
        </w:rPr>
        <w:t>30(3A)]</w:t>
      </w:r>
      <w:r w:rsidR="00232005" w:rsidRPr="00232005">
        <w:rPr>
          <w:rStyle w:val="Referencingstyle"/>
        </w:rPr>
        <w:t xml:space="preserve">  </w:t>
      </w:r>
    </w:p>
    <w:p w:rsidR="0048487F" w:rsidRDefault="0048487F" w:rsidP="0048487F">
      <w:pPr>
        <w:pStyle w:val="base-text-paragraph"/>
      </w:pPr>
      <w:r>
        <w:t>A variation of the contract as permitted under the new subsection 30(3A</w:t>
      </w:r>
      <w:proofErr w:type="gramStart"/>
      <w:r>
        <w:t>)  is</w:t>
      </w:r>
      <w:proofErr w:type="gramEnd"/>
      <w:r>
        <w:t xml:space="preserve"> taken to have occurred from the time the contract was entered into</w:t>
      </w:r>
      <w:r w:rsidR="00214D95">
        <w:t xml:space="preserve">.  </w:t>
      </w:r>
      <w:r>
        <w:t>This is in accordance with the rule regarding the existing remedies in subsection 30(2)</w:t>
      </w:r>
      <w:r w:rsidR="00214D95">
        <w:t xml:space="preserve">.  </w:t>
      </w:r>
      <w:r w:rsidRPr="00232005">
        <w:rPr>
          <w:rStyle w:val="Referencingstyle"/>
        </w:rPr>
        <w:t xml:space="preserve">[Schedule 5, </w:t>
      </w:r>
      <w:r w:rsidR="003F1256" w:rsidRPr="00232005">
        <w:rPr>
          <w:rStyle w:val="Referencingstyle"/>
        </w:rPr>
        <w:t>item 13</w:t>
      </w:r>
      <w:r w:rsidRPr="00232005">
        <w:rPr>
          <w:rStyle w:val="Referencingstyle"/>
        </w:rPr>
        <w:t xml:space="preserve">, </w:t>
      </w:r>
      <w:r w:rsidR="003F1256" w:rsidRPr="00232005">
        <w:rPr>
          <w:rStyle w:val="Referencingstyle"/>
        </w:rPr>
        <w:t xml:space="preserve">subsection </w:t>
      </w:r>
      <w:r w:rsidRPr="00232005">
        <w:rPr>
          <w:rStyle w:val="Referencingstyle"/>
        </w:rPr>
        <w:t>30(4)]</w:t>
      </w:r>
      <w:r w:rsidR="00232005">
        <w:t xml:space="preserve"> </w:t>
      </w:r>
    </w:p>
    <w:p w:rsidR="0048487F" w:rsidRDefault="0048487F" w:rsidP="006A159E">
      <w:pPr>
        <w:pStyle w:val="Heading4"/>
      </w:pPr>
      <w:r>
        <w:t>Part 4</w:t>
      </w:r>
      <w:r w:rsidR="0014053A">
        <w:t xml:space="preserve"> — </w:t>
      </w:r>
      <w:r>
        <w:t>Cancellation of contracts</w:t>
      </w:r>
    </w:p>
    <w:p w:rsidR="0048487F" w:rsidRDefault="0048487F" w:rsidP="0048487F">
      <w:pPr>
        <w:pStyle w:val="base-text-paragraph"/>
      </w:pPr>
      <w:r>
        <w:t>Section 60 of the ICA provides the circumstances in which an insurer may cancel a contract of general insurance</w:t>
      </w:r>
      <w:r w:rsidR="00214D95">
        <w:t xml:space="preserve">.  </w:t>
      </w:r>
      <w:r>
        <w:t>There is no section 60 equivalent for contracts of life insurance, and no provision in the ICA that allows a life insurer to cancel a policy of life insurance for any reason</w:t>
      </w:r>
      <w:r w:rsidR="00214D95">
        <w:t xml:space="preserve">.  </w:t>
      </w:r>
      <w:r>
        <w:t>Cancellation of life insurance contracts for non</w:t>
      </w:r>
      <w:r w:rsidR="00214D95">
        <w:noBreakHyphen/>
      </w:r>
      <w:r>
        <w:t>payment of premiums (</w:t>
      </w:r>
      <w:r w:rsidR="00035750">
        <w:t>‘</w:t>
      </w:r>
      <w:r>
        <w:t>forfeiture</w:t>
      </w:r>
      <w:r w:rsidR="00035750">
        <w:t>’</w:t>
      </w:r>
      <w:r>
        <w:t xml:space="preserve">) is regulated by the </w:t>
      </w:r>
      <w:r w:rsidR="00232005">
        <w:t>LIA</w:t>
      </w:r>
      <w:r w:rsidR="00214D95">
        <w:t xml:space="preserve">.  </w:t>
      </w:r>
      <w:proofErr w:type="gramStart"/>
      <w:r>
        <w:t>Rights of cancellation for other reasons (for example, a fraudulent claim) is</w:t>
      </w:r>
      <w:proofErr w:type="gramEnd"/>
      <w:r>
        <w:t xml:space="preserve"> currently left to the common law.</w:t>
      </w:r>
    </w:p>
    <w:p w:rsidR="0048487F" w:rsidRPr="003174CF" w:rsidRDefault="0048487F" w:rsidP="0048487F">
      <w:pPr>
        <w:pStyle w:val="base-text-paragraph"/>
      </w:pPr>
      <w:r>
        <w:t xml:space="preserve">In response to court decisions regarding rights of cancellation </w:t>
      </w:r>
      <w:r w:rsidRPr="003174CF">
        <w:t xml:space="preserve">regarding life insurance contracts under the common law, the Bill will introduce a statutory framework for life insurance cancellation </w:t>
      </w:r>
      <w:r w:rsidR="003F1256" w:rsidRPr="003174CF">
        <w:t xml:space="preserve">in respect to fraudulent claims </w:t>
      </w:r>
      <w:r w:rsidRPr="003174CF">
        <w:t>similar to that applying to general insurance</w:t>
      </w:r>
      <w:r w:rsidR="00214D95">
        <w:t xml:space="preserve">.  </w:t>
      </w:r>
    </w:p>
    <w:p w:rsidR="003F1256" w:rsidRPr="003174CF" w:rsidRDefault="003F1256" w:rsidP="003F1256">
      <w:pPr>
        <w:pStyle w:val="base-text-paragraph"/>
      </w:pPr>
      <w:r w:rsidRPr="003174CF">
        <w:t>As such</w:t>
      </w:r>
      <w:r w:rsidR="00232005" w:rsidRPr="003174CF">
        <w:t>,</w:t>
      </w:r>
      <w:r w:rsidRPr="003174CF">
        <w:t xml:space="preserve"> an insurer under a contract of life insurance may cancel the contract if the insured has made a fraudulent claim under the first contract or another contract with </w:t>
      </w:r>
      <w:r w:rsidR="00232005" w:rsidRPr="003174CF">
        <w:t xml:space="preserve">the </w:t>
      </w:r>
      <w:r w:rsidRPr="003174CF">
        <w:t>insurer that provides insurance cover during any part of the period in which the first contract provides insurance cover</w:t>
      </w:r>
      <w:r w:rsidR="00214D95">
        <w:t xml:space="preserve">.  </w:t>
      </w:r>
      <w:r w:rsidRPr="003174CF">
        <w:rPr>
          <w:rStyle w:val="Referencingstyle"/>
        </w:rPr>
        <w:t xml:space="preserve">[Schedule 5, item 15, </w:t>
      </w:r>
      <w:r w:rsidR="002C2B66" w:rsidRPr="003174CF">
        <w:rPr>
          <w:rStyle w:val="Referencingstyle"/>
        </w:rPr>
        <w:t>sub</w:t>
      </w:r>
      <w:r w:rsidRPr="003174CF">
        <w:rPr>
          <w:rStyle w:val="Referencingstyle"/>
        </w:rPr>
        <w:t>section 59A</w:t>
      </w:r>
      <w:r w:rsidR="002C2B66" w:rsidRPr="003174CF">
        <w:rPr>
          <w:rStyle w:val="Referencingstyle"/>
        </w:rPr>
        <w:t>(1)</w:t>
      </w:r>
      <w:r w:rsidRPr="003174CF">
        <w:rPr>
          <w:rStyle w:val="Referencingstyle"/>
        </w:rPr>
        <w:t>]</w:t>
      </w:r>
    </w:p>
    <w:p w:rsidR="003F1256" w:rsidRPr="003174CF" w:rsidRDefault="002C2B66" w:rsidP="003F1256">
      <w:pPr>
        <w:pStyle w:val="base-text-paragraph"/>
      </w:pPr>
      <w:r w:rsidRPr="003174CF">
        <w:t>T</w:t>
      </w:r>
      <w:r w:rsidR="003F1256" w:rsidRPr="003174CF">
        <w:t xml:space="preserve">he ability for an insurer to cancel contracts where a fraudulent claim has been made under that contract or another contract is provided on the basis that if a fraudulent claim occurred, the relationship between the </w:t>
      </w:r>
      <w:r w:rsidR="003F1256" w:rsidRPr="003174CF">
        <w:lastRenderedPageBreak/>
        <w:t>insurer and the insured could have soured to the point that the insurer no longer wants to cover the insured under any terms</w:t>
      </w:r>
      <w:r w:rsidR="00214D95">
        <w:t xml:space="preserve">.  </w:t>
      </w:r>
    </w:p>
    <w:p w:rsidR="002C2B66" w:rsidRPr="003174CF" w:rsidRDefault="002C2B66" w:rsidP="003F1256">
      <w:pPr>
        <w:pStyle w:val="base-text-paragraph"/>
      </w:pPr>
      <w:r w:rsidRPr="003174CF">
        <w:t>However:</w:t>
      </w:r>
    </w:p>
    <w:p w:rsidR="002C2B66" w:rsidRPr="003174CF" w:rsidRDefault="00A9398E" w:rsidP="00AF0AD3">
      <w:pPr>
        <w:pStyle w:val="dotpoint"/>
      </w:pPr>
      <w:r>
        <w:t>I</w:t>
      </w:r>
      <w:r w:rsidR="002C2B66" w:rsidRPr="003174CF">
        <w:t>f an insurer has cancelle</w:t>
      </w:r>
      <w:r w:rsidR="00051938">
        <w:t xml:space="preserve">d a contract of life insurance because of a </w:t>
      </w:r>
      <w:r w:rsidR="002C2B66" w:rsidRPr="003174CF">
        <w:t>fraudulent claim</w:t>
      </w:r>
      <w:r w:rsidR="00232005" w:rsidRPr="003174CF">
        <w:t>,</w:t>
      </w:r>
      <w:r w:rsidR="002C2B66" w:rsidRPr="003174CF">
        <w:t xml:space="preserve"> in any proceedings in relation to the claim, the court may if it would be harsh or unfair not to do so, disregard the cancellation and order the insurer to pay, in relation to the claim, any amount the court considers just an equitable in the circumstances and order the insurer to reinstate the contract</w:t>
      </w:r>
      <w:r w:rsidR="00214D95">
        <w:t xml:space="preserve">.  </w:t>
      </w:r>
      <w:r w:rsidR="00524D87" w:rsidRPr="003174CF">
        <w:rPr>
          <w:rStyle w:val="Referencingstyle"/>
        </w:rPr>
        <w:t>[Schedule 5, item 15, subsection</w:t>
      </w:r>
      <w:r>
        <w:rPr>
          <w:rStyle w:val="Referencingstyle"/>
        </w:rPr>
        <w:t> </w:t>
      </w:r>
      <w:r w:rsidR="00524D87" w:rsidRPr="003174CF">
        <w:rPr>
          <w:rStyle w:val="Referencingstyle"/>
        </w:rPr>
        <w:t>59A(2)]</w:t>
      </w:r>
      <w:r w:rsidR="00232005" w:rsidRPr="003174CF">
        <w:t xml:space="preserve"> </w:t>
      </w:r>
    </w:p>
    <w:p w:rsidR="002C2B66" w:rsidRPr="003174CF" w:rsidRDefault="00A9398E" w:rsidP="00AF0AD3">
      <w:pPr>
        <w:pStyle w:val="dotpoint"/>
      </w:pPr>
      <w:r>
        <w:t>I</w:t>
      </w:r>
      <w:r w:rsidR="002C2B66" w:rsidRPr="003174CF">
        <w:t>f an insurer has cancelled a contract because of a fraudulent claim by the insured under another contract of insurance, the court may if it would be harsh or unfair not to do so, order the insurer to pay, in relation to the claim, any amount the court considers just an equitable in the circumstances and order the insurer to reinstate the cancelled contract</w:t>
      </w:r>
      <w:r w:rsidR="00214D95">
        <w:t xml:space="preserve">.  </w:t>
      </w:r>
      <w:r w:rsidR="00524D87" w:rsidRPr="003174CF">
        <w:rPr>
          <w:rStyle w:val="Referencingstyle"/>
        </w:rPr>
        <w:t>[Schedule</w:t>
      </w:r>
      <w:r>
        <w:rPr>
          <w:rStyle w:val="Referencingstyle"/>
        </w:rPr>
        <w:t> </w:t>
      </w:r>
      <w:r w:rsidR="00524D87" w:rsidRPr="003174CF">
        <w:rPr>
          <w:rStyle w:val="Referencingstyle"/>
        </w:rPr>
        <w:t>5, item 15, subsection 59A(3)]</w:t>
      </w:r>
      <w:r w:rsidR="00232005" w:rsidRPr="003174CF">
        <w:t xml:space="preserve">  </w:t>
      </w:r>
    </w:p>
    <w:p w:rsidR="003F1256" w:rsidRPr="003174CF" w:rsidRDefault="00A9398E" w:rsidP="00AF0AD3">
      <w:pPr>
        <w:pStyle w:val="dotpoint"/>
      </w:pPr>
      <w:r>
        <w:t>I</w:t>
      </w:r>
      <w:r w:rsidR="002C2B66" w:rsidRPr="003174CF">
        <w:t>f an insurer has cancelled a contract because of a fraudulent claim, then, in any proceedings in relation to the cancellation, the court may if it would be harsh or unfair not to do so, reinstate the cancelled contract</w:t>
      </w:r>
      <w:r w:rsidR="00214D95">
        <w:t xml:space="preserve">.  </w:t>
      </w:r>
      <w:r w:rsidR="00524D87" w:rsidRPr="003174CF">
        <w:rPr>
          <w:rStyle w:val="Referencingstyle"/>
        </w:rPr>
        <w:t>[Schedule 5, item 15, subsection</w:t>
      </w:r>
      <w:r>
        <w:rPr>
          <w:rStyle w:val="Referencingstyle"/>
        </w:rPr>
        <w:t> </w:t>
      </w:r>
      <w:r w:rsidR="00524D87" w:rsidRPr="003174CF">
        <w:rPr>
          <w:rStyle w:val="Referencingstyle"/>
        </w:rPr>
        <w:t>59A(4)]</w:t>
      </w:r>
      <w:r w:rsidR="00232005" w:rsidRPr="003174CF">
        <w:rPr>
          <w:rStyle w:val="Referencingstyle"/>
        </w:rPr>
        <w:t xml:space="preserve">  </w:t>
      </w:r>
    </w:p>
    <w:p w:rsidR="00524D87" w:rsidRPr="003174CF" w:rsidRDefault="00524D87" w:rsidP="00524D87">
      <w:pPr>
        <w:pStyle w:val="base-text-paragraph"/>
      </w:pPr>
      <w:r w:rsidRPr="003174CF">
        <w:t xml:space="preserve">The court when </w:t>
      </w:r>
      <w:r w:rsidR="00295AB7" w:rsidRPr="003174CF">
        <w:t>exercising</w:t>
      </w:r>
      <w:r w:rsidRPr="003174CF">
        <w:t xml:space="preserve"> the</w:t>
      </w:r>
      <w:r w:rsidR="00051938">
        <w:t>se</w:t>
      </w:r>
      <w:r w:rsidRPr="003174CF">
        <w:t xml:space="preserve"> powers must have regard to the need to deter fraudulent conduct in relation to </w:t>
      </w:r>
      <w:r w:rsidR="00295AB7" w:rsidRPr="003174CF">
        <w:t>insurance</w:t>
      </w:r>
      <w:r w:rsidRPr="003174CF">
        <w:t xml:space="preserve"> and may also have regard to any other matter</w:t>
      </w:r>
      <w:r w:rsidR="00214D95">
        <w:t xml:space="preserve">.  </w:t>
      </w:r>
      <w:r w:rsidRPr="003174CF">
        <w:rPr>
          <w:rStyle w:val="Referencingstyle"/>
        </w:rPr>
        <w:t>[Schedule 5, item</w:t>
      </w:r>
      <w:r w:rsidR="00A9398E">
        <w:rPr>
          <w:rStyle w:val="Referencingstyle"/>
        </w:rPr>
        <w:t> </w:t>
      </w:r>
      <w:r w:rsidRPr="003174CF">
        <w:rPr>
          <w:rStyle w:val="Referencingstyle"/>
        </w:rPr>
        <w:t>15, subsection 59A(5)]</w:t>
      </w:r>
      <w:r w:rsidR="00232005" w:rsidRPr="003174CF">
        <w:t xml:space="preserve">  </w:t>
      </w:r>
    </w:p>
    <w:p w:rsidR="0048487F" w:rsidRDefault="0048487F" w:rsidP="0048487F">
      <w:pPr>
        <w:pStyle w:val="base-text-paragraph"/>
      </w:pPr>
      <w:r w:rsidRPr="003174CF">
        <w:t>Current section 63</w:t>
      </w:r>
      <w:r>
        <w:t xml:space="preserve"> prohibits an insurer from cancelling a contract of general insurance and any purported cancellation in contravention of section 63 is void</w:t>
      </w:r>
      <w:r w:rsidR="00214D95">
        <w:t xml:space="preserve">.  </w:t>
      </w:r>
    </w:p>
    <w:p w:rsidR="0048487F" w:rsidRDefault="0048487F" w:rsidP="0048487F">
      <w:pPr>
        <w:pStyle w:val="base-text-paragraph"/>
      </w:pPr>
      <w:r>
        <w:t>Section 63 has been changed to provide for a mirror contravention in relation to a purported cancellation (contrary to section</w:t>
      </w:r>
      <w:r w:rsidR="008C2D12">
        <w:t> </w:t>
      </w:r>
      <w:r>
        <w:t>63) of a contract of life insurance</w:t>
      </w:r>
      <w:r w:rsidR="00214D95">
        <w:t xml:space="preserve">.  </w:t>
      </w:r>
      <w:r>
        <w:t xml:space="preserve">Accordingly, a cancellation of a life insurance contract (other than under the </w:t>
      </w:r>
      <w:r w:rsidR="00232005" w:rsidRPr="00232005">
        <w:t>LIA</w:t>
      </w:r>
      <w:r>
        <w:t>) will have to be effected in accordance with the requirements of section 59A</w:t>
      </w:r>
      <w:r w:rsidR="00214D95">
        <w:t xml:space="preserve">.  </w:t>
      </w:r>
      <w:r>
        <w:t>This change does not affect the notice requirements under existing section 59</w:t>
      </w:r>
      <w:r w:rsidR="00214D95">
        <w:t xml:space="preserve">.  </w:t>
      </w:r>
      <w:r w:rsidRPr="00232005">
        <w:rPr>
          <w:rStyle w:val="Referencingstyle"/>
        </w:rPr>
        <w:t xml:space="preserve">[Schedule 5, </w:t>
      </w:r>
      <w:r w:rsidR="00524D87" w:rsidRPr="00232005">
        <w:rPr>
          <w:rStyle w:val="Referencingstyle"/>
        </w:rPr>
        <w:t>item</w:t>
      </w:r>
      <w:r w:rsidR="00C92EE4">
        <w:rPr>
          <w:rStyle w:val="Referencingstyle"/>
        </w:rPr>
        <w:t> </w:t>
      </w:r>
      <w:r w:rsidR="00524D87" w:rsidRPr="00232005">
        <w:rPr>
          <w:rStyle w:val="Referencingstyle"/>
        </w:rPr>
        <w:t>1</w:t>
      </w:r>
      <w:r w:rsidR="00376B6D">
        <w:rPr>
          <w:rStyle w:val="Referencingstyle"/>
        </w:rPr>
        <w:t>6</w:t>
      </w:r>
      <w:r w:rsidRPr="00232005">
        <w:rPr>
          <w:rStyle w:val="Referencingstyle"/>
        </w:rPr>
        <w:t xml:space="preserve">, </w:t>
      </w:r>
      <w:r w:rsidR="00524D87" w:rsidRPr="00232005">
        <w:rPr>
          <w:rStyle w:val="Referencingstyle"/>
        </w:rPr>
        <w:t xml:space="preserve">section </w:t>
      </w:r>
      <w:r w:rsidRPr="00232005">
        <w:rPr>
          <w:rStyle w:val="Referencingstyle"/>
        </w:rPr>
        <w:t>63]</w:t>
      </w:r>
      <w:r w:rsidR="00232005">
        <w:t xml:space="preserve"> </w:t>
      </w:r>
    </w:p>
    <w:p w:rsidR="0048487F" w:rsidRDefault="0048487F" w:rsidP="006A159E">
      <w:pPr>
        <w:pStyle w:val="Heading2"/>
      </w:pPr>
      <w:r>
        <w:lastRenderedPageBreak/>
        <w:t>Application and transitional provisions</w:t>
      </w:r>
    </w:p>
    <w:p w:rsidR="00295AB7" w:rsidRDefault="00524D87" w:rsidP="00295AB7">
      <w:pPr>
        <w:pStyle w:val="Heading4"/>
      </w:pPr>
      <w:r>
        <w:t>Part 1</w:t>
      </w:r>
      <w:r w:rsidR="0014053A">
        <w:t xml:space="preserve"> — </w:t>
      </w:r>
      <w:r w:rsidR="00035750">
        <w:t>‘</w:t>
      </w:r>
      <w:r>
        <w:t>Unbundling</w:t>
      </w:r>
      <w:r w:rsidR="00035750">
        <w:t>’</w:t>
      </w:r>
      <w:r>
        <w:t xml:space="preserve"> of contracts</w:t>
      </w:r>
    </w:p>
    <w:p w:rsidR="0048487F" w:rsidRDefault="0048487F" w:rsidP="00280A6B">
      <w:pPr>
        <w:pStyle w:val="base-text-paragraph"/>
      </w:pPr>
      <w:r>
        <w:t>The amendments made by Part 1 of Schedule 5 apply to a contract of life insurance whether originally entered into before or after commencement of item 2</w:t>
      </w:r>
      <w:r w:rsidR="00214D95">
        <w:t xml:space="preserve">.  </w:t>
      </w:r>
      <w:r w:rsidR="00280A6B">
        <w:t xml:space="preserve">However, </w:t>
      </w:r>
      <w:r w:rsidR="00280A6B" w:rsidRPr="00280A6B">
        <w:t xml:space="preserve">the application of item </w:t>
      </w:r>
      <w:r w:rsidR="00280A6B">
        <w:t>2</w:t>
      </w:r>
      <w:r w:rsidR="00280A6B" w:rsidRPr="00280A6B">
        <w:t xml:space="preserve"> does not affect any proceedings in progress at the commencement of section 27A in relation to a contract of insurance, or any appeal in relation to such proceedings</w:t>
      </w:r>
      <w:r w:rsidR="00214D95">
        <w:t xml:space="preserve">.  </w:t>
      </w:r>
    </w:p>
    <w:p w:rsidR="0048487F" w:rsidRDefault="0048487F" w:rsidP="0048487F">
      <w:pPr>
        <w:pStyle w:val="base-text-paragraph"/>
      </w:pPr>
      <w:r>
        <w:t xml:space="preserve">By operation of clause 2, item </w:t>
      </w:r>
      <w:r w:rsidR="00B45375">
        <w:t xml:space="preserve">3 </w:t>
      </w:r>
      <w:r>
        <w:t>of Schedule 5 commences on the day the Act receives the Royal Assent.</w:t>
      </w:r>
    </w:p>
    <w:p w:rsidR="00524D87" w:rsidRDefault="00524D87" w:rsidP="00AF0AD3">
      <w:pPr>
        <w:pStyle w:val="Heading4"/>
      </w:pPr>
      <w:r w:rsidRPr="00524D87">
        <w:t>Part 2</w:t>
      </w:r>
      <w:r w:rsidR="0014053A">
        <w:t xml:space="preserve"> — </w:t>
      </w:r>
      <w:r w:rsidRPr="00524D87">
        <w:t>Remedies for non</w:t>
      </w:r>
      <w:r w:rsidR="00214D95">
        <w:noBreakHyphen/>
      </w:r>
      <w:r w:rsidRPr="00524D87">
        <w:t>disclosure and misrepresentation</w:t>
      </w:r>
    </w:p>
    <w:p w:rsidR="0048487F" w:rsidRDefault="0048487F" w:rsidP="0048487F">
      <w:pPr>
        <w:pStyle w:val="base-text-paragraph"/>
      </w:pPr>
      <w:r>
        <w:t>The amendments made by Part 2 of Schedule 5 apply as follows:</w:t>
      </w:r>
    </w:p>
    <w:p w:rsidR="0048487F" w:rsidRDefault="0048487F" w:rsidP="006A159E">
      <w:pPr>
        <w:pStyle w:val="dotpoint"/>
      </w:pPr>
      <w:r>
        <w:t xml:space="preserve">to a contract of life insurance that was originally entered into after the commencement of item 9; and </w:t>
      </w:r>
    </w:p>
    <w:p w:rsidR="00B45375" w:rsidRDefault="00B45375" w:rsidP="00B45375">
      <w:pPr>
        <w:pStyle w:val="dotpoint"/>
      </w:pPr>
      <w:r>
        <w:t>to a contract of general insurance that was originally entered into before the commencement of item 6 and is renewed after that commencement; and</w:t>
      </w:r>
    </w:p>
    <w:p w:rsidR="00B45375" w:rsidRDefault="00B45375" w:rsidP="00B45375">
      <w:pPr>
        <w:pStyle w:val="dotpoint"/>
      </w:pPr>
      <w:r>
        <w:t xml:space="preserve">if: </w:t>
      </w:r>
    </w:p>
    <w:p w:rsidR="00B45375" w:rsidRDefault="00B45375" w:rsidP="00AF0AD3">
      <w:pPr>
        <w:pStyle w:val="dotpoint2"/>
      </w:pPr>
      <w:r>
        <w:t xml:space="preserve">the contract is a contract of life insurance that was originally entered into before the commencement of this item and is varied after that commencement </w:t>
      </w:r>
      <w:r w:rsidR="00295AB7">
        <w:t>to increase</w:t>
      </w:r>
      <w:r>
        <w:t xml:space="preserve"> a sum insured under the contract or provide one or more additional kinds of cover</w:t>
      </w:r>
      <w:r w:rsidR="003174CF">
        <w:t xml:space="preserve">; </w:t>
      </w:r>
    </w:p>
    <w:p w:rsidR="00B45375" w:rsidRDefault="003174CF" w:rsidP="00AF0AD3">
      <w:pPr>
        <w:pStyle w:val="dotpoint2"/>
      </w:pPr>
      <w:r>
        <w:t>t</w:t>
      </w:r>
      <w:r w:rsidR="00B45375">
        <w:t xml:space="preserve">he variation was not an automatic variation but was required to be expressly </w:t>
      </w:r>
      <w:r w:rsidR="00295AB7">
        <w:t>agreed</w:t>
      </w:r>
      <w:r w:rsidR="00B45375">
        <w:t xml:space="preserve"> between the insurer and the insured</w:t>
      </w:r>
      <w:r>
        <w:t xml:space="preserve"> before the contract was varied;</w:t>
      </w:r>
      <w:r w:rsidR="00CA40B4">
        <w:t xml:space="preserve"> and</w:t>
      </w:r>
    </w:p>
    <w:p w:rsidR="00B45375" w:rsidRDefault="00B45375" w:rsidP="003174CF">
      <w:pPr>
        <w:pStyle w:val="dotpoint2"/>
        <w:numPr>
          <w:ilvl w:val="0"/>
          <w:numId w:val="0"/>
        </w:numPr>
        <w:ind w:left="2552"/>
      </w:pPr>
      <w:proofErr w:type="gramStart"/>
      <w:r>
        <w:t>then</w:t>
      </w:r>
      <w:proofErr w:type="gramEnd"/>
      <w:r>
        <w:t xml:space="preserve"> the contract is treated, to the extent of the variation, as if it had been originally entered into after the commencement of item 6 and the amendments apply to the contract to t</w:t>
      </w:r>
      <w:r w:rsidR="00ED5837">
        <w:t>he extent of the variation</w:t>
      </w:r>
      <w:r w:rsidR="00214D95">
        <w:t xml:space="preserve">.  </w:t>
      </w:r>
    </w:p>
    <w:p w:rsidR="0048487F" w:rsidRDefault="0048487F" w:rsidP="0048487F">
      <w:pPr>
        <w:pStyle w:val="base-text-paragraph"/>
      </w:pPr>
      <w:r>
        <w:t xml:space="preserve">By operation of clause 2, item </w:t>
      </w:r>
      <w:r w:rsidR="00B45375">
        <w:t xml:space="preserve">11 </w:t>
      </w:r>
      <w:r>
        <w:t>of Schedule 5 commences on the day after the end of the period of 12 months beginning on the day the Act receives the Royal Assent.</w:t>
      </w:r>
    </w:p>
    <w:p w:rsidR="00B45375" w:rsidRDefault="00B45375" w:rsidP="00AF0AD3">
      <w:pPr>
        <w:pStyle w:val="Heading4"/>
      </w:pPr>
      <w:r w:rsidRPr="00B45375">
        <w:lastRenderedPageBreak/>
        <w:t>Part 3</w:t>
      </w:r>
      <w:r w:rsidR="0014053A">
        <w:t xml:space="preserve"> — </w:t>
      </w:r>
      <w:r w:rsidRPr="00B45375">
        <w:t>Remedy for misstatement of date of birth</w:t>
      </w:r>
    </w:p>
    <w:p w:rsidR="0048487F" w:rsidRDefault="0048487F" w:rsidP="0048487F">
      <w:pPr>
        <w:pStyle w:val="base-text-paragraph"/>
      </w:pPr>
      <w:r>
        <w:t xml:space="preserve">By operation of item </w:t>
      </w:r>
      <w:r w:rsidR="00B45375">
        <w:t xml:space="preserve">14 </w:t>
      </w:r>
      <w:r>
        <w:t>in Part 3, the amendments made by Part</w:t>
      </w:r>
      <w:r w:rsidR="00B03BF0">
        <w:t> </w:t>
      </w:r>
      <w:r>
        <w:t>3 of Schedule 5apply as follows:</w:t>
      </w:r>
    </w:p>
    <w:p w:rsidR="0048487F" w:rsidRDefault="0048487F" w:rsidP="006A159E">
      <w:pPr>
        <w:pStyle w:val="dotpoint"/>
      </w:pPr>
      <w:r>
        <w:t xml:space="preserve">to a contract of life insurance that was originally entered into after the commencement of item 12; and </w:t>
      </w:r>
    </w:p>
    <w:p w:rsidR="00B45375" w:rsidRDefault="00B45375" w:rsidP="00B45375">
      <w:pPr>
        <w:pStyle w:val="dotpoint"/>
      </w:pPr>
      <w:r>
        <w:t xml:space="preserve">if: </w:t>
      </w:r>
    </w:p>
    <w:p w:rsidR="00B45375" w:rsidRDefault="00B45375" w:rsidP="00AF0AD3">
      <w:pPr>
        <w:pStyle w:val="dotpoint2"/>
      </w:pPr>
      <w:r>
        <w:t xml:space="preserve">the contract is a contract of life insurance that was originally entered into before the commencement of this item and is varied after that commencement </w:t>
      </w:r>
      <w:r w:rsidR="00295AB7">
        <w:t>to increase</w:t>
      </w:r>
      <w:r>
        <w:t xml:space="preserve"> a sum insured under the contract or provide one or</w:t>
      </w:r>
      <w:r w:rsidR="003174CF">
        <w:t xml:space="preserve"> more additional kinds of cover; </w:t>
      </w:r>
    </w:p>
    <w:p w:rsidR="00B45375" w:rsidRDefault="003174CF" w:rsidP="00AF0AD3">
      <w:pPr>
        <w:pStyle w:val="dotpoint2"/>
      </w:pPr>
      <w:r>
        <w:t>t</w:t>
      </w:r>
      <w:r w:rsidR="00B45375">
        <w:t xml:space="preserve">he variation was not an automatic variation but was required to be expressly </w:t>
      </w:r>
      <w:r w:rsidR="00295AB7">
        <w:t>agreed</w:t>
      </w:r>
      <w:r w:rsidR="00B45375">
        <w:t xml:space="preserve"> between the insurer and the insured before the contr</w:t>
      </w:r>
      <w:r>
        <w:t>act was varied;</w:t>
      </w:r>
      <w:r w:rsidR="00B03BF0">
        <w:t xml:space="preserve"> and</w:t>
      </w:r>
    </w:p>
    <w:p w:rsidR="00B45375" w:rsidRDefault="00B45375" w:rsidP="003174CF">
      <w:pPr>
        <w:pStyle w:val="dotpoint2"/>
        <w:numPr>
          <w:ilvl w:val="0"/>
          <w:numId w:val="0"/>
        </w:numPr>
        <w:ind w:left="2552"/>
      </w:pPr>
      <w:proofErr w:type="gramStart"/>
      <w:r>
        <w:t>then</w:t>
      </w:r>
      <w:proofErr w:type="gramEnd"/>
      <w:r>
        <w:t xml:space="preserve"> the contract is treated, to the extent of the variation, as if it had been originally entered into after the commencement of item 6 and the amendments apply to the contract to</w:t>
      </w:r>
      <w:r w:rsidR="00A91227">
        <w:t xml:space="preserve"> the extent of the variation</w:t>
      </w:r>
      <w:r w:rsidR="00214D95">
        <w:t xml:space="preserve">.  </w:t>
      </w:r>
    </w:p>
    <w:p w:rsidR="00B45375" w:rsidRPr="00AF0AD3" w:rsidRDefault="0048487F" w:rsidP="00B45375">
      <w:pPr>
        <w:pStyle w:val="Heading4"/>
        <w:rPr>
          <w:b w:val="0"/>
          <w:i w:val="0"/>
        </w:rPr>
      </w:pPr>
      <w:r w:rsidRPr="00AF0AD3">
        <w:rPr>
          <w:b w:val="0"/>
          <w:i w:val="0"/>
        </w:rPr>
        <w:t xml:space="preserve">By operation of clause 2, item </w:t>
      </w:r>
      <w:r w:rsidR="00B45375" w:rsidRPr="00AF0AD3">
        <w:rPr>
          <w:b w:val="0"/>
          <w:i w:val="0"/>
        </w:rPr>
        <w:t xml:space="preserve">14 </w:t>
      </w:r>
      <w:r w:rsidRPr="00AF0AD3">
        <w:rPr>
          <w:b w:val="0"/>
          <w:i w:val="0"/>
        </w:rPr>
        <w:t>of Schedule 5 commences on the day the Act receives the Royal Assent</w:t>
      </w:r>
      <w:r w:rsidR="00214D95">
        <w:rPr>
          <w:b w:val="0"/>
          <w:i w:val="0"/>
        </w:rPr>
        <w:t xml:space="preserve">.  </w:t>
      </w:r>
    </w:p>
    <w:p w:rsidR="00B45375" w:rsidRDefault="00B45375" w:rsidP="00B45375">
      <w:pPr>
        <w:pStyle w:val="Heading4"/>
      </w:pPr>
      <w:r w:rsidRPr="00B45375">
        <w:t>Part 4</w:t>
      </w:r>
      <w:r w:rsidR="0014053A">
        <w:t xml:space="preserve"> — </w:t>
      </w:r>
      <w:r w:rsidRPr="00B45375">
        <w:t>Cancellation of contracts</w:t>
      </w:r>
    </w:p>
    <w:p w:rsidR="0048487F" w:rsidRDefault="0048487F" w:rsidP="0048487F">
      <w:pPr>
        <w:pStyle w:val="base-text-paragraph"/>
      </w:pPr>
      <w:r>
        <w:t xml:space="preserve">The amendments made by Part 4 of Schedule 5 apply to a contract of life insurance that was originally entered into after the commencement of item </w:t>
      </w:r>
      <w:r w:rsidR="00B45375">
        <w:t>17</w:t>
      </w:r>
      <w:r w:rsidR="00214D95">
        <w:t xml:space="preserve">.  </w:t>
      </w:r>
    </w:p>
    <w:p w:rsidR="0048487F" w:rsidRDefault="0048487F" w:rsidP="0048487F">
      <w:pPr>
        <w:pStyle w:val="base-text-paragraph"/>
      </w:pPr>
      <w:r>
        <w:t xml:space="preserve">The amendment to section 63 made by item </w:t>
      </w:r>
      <w:r w:rsidR="00B45375">
        <w:t xml:space="preserve">16 </w:t>
      </w:r>
      <w:r>
        <w:t>does not alter the law applying to general insurance, so that amendment applies to general insurance contracts entered into before or after the commencement of item</w:t>
      </w:r>
      <w:r w:rsidR="00B03BF0">
        <w:t> </w:t>
      </w:r>
      <w:r w:rsidR="00B45375">
        <w:t>17</w:t>
      </w:r>
      <w:r>
        <w:t>.</w:t>
      </w:r>
    </w:p>
    <w:p w:rsidR="0048487F" w:rsidRDefault="0048487F" w:rsidP="0048487F">
      <w:pPr>
        <w:pStyle w:val="base-text-paragraph"/>
      </w:pPr>
      <w:r>
        <w:t xml:space="preserve">By operation of clause 2, item </w:t>
      </w:r>
      <w:r w:rsidR="00B45375">
        <w:t xml:space="preserve">17 </w:t>
      </w:r>
      <w:r>
        <w:t>of Schedule 5 commences on the day the Act receives the Royal Assent.</w:t>
      </w:r>
    </w:p>
    <w:p w:rsidR="0048487F" w:rsidRDefault="0048487F" w:rsidP="006A159E">
      <w:pPr>
        <w:pStyle w:val="Heading2"/>
      </w:pPr>
      <w:r>
        <w:t>Schedule 6</w:t>
      </w:r>
      <w:r w:rsidR="0014053A">
        <w:t xml:space="preserve"> — </w:t>
      </w:r>
      <w:proofErr w:type="gramStart"/>
      <w:r>
        <w:t>Third</w:t>
      </w:r>
      <w:proofErr w:type="gramEnd"/>
      <w:r>
        <w:t xml:space="preserve"> parties</w:t>
      </w:r>
    </w:p>
    <w:p w:rsidR="0048487F" w:rsidRDefault="0048487F" w:rsidP="0048487F">
      <w:pPr>
        <w:pStyle w:val="base-text-paragraph"/>
      </w:pPr>
      <w:r>
        <w:t xml:space="preserve">Third parties may be persons that are specified in a contract of insurance (whether by name or otherwise) as being persons to whom </w:t>
      </w:r>
      <w:r>
        <w:lastRenderedPageBreak/>
        <w:t>cover provided by the contract extends (</w:t>
      </w:r>
      <w:r w:rsidR="00035750">
        <w:t>‘</w:t>
      </w:r>
      <w:r>
        <w:t>third party beneficiaries</w:t>
      </w:r>
      <w:r w:rsidR="00035750">
        <w:t>’</w:t>
      </w:r>
      <w:r>
        <w:t>) or they may be third parties against whose claims an insured or third party beneficiary has insurance cover</w:t>
      </w:r>
      <w:r w:rsidR="00214D95">
        <w:t xml:space="preserve">.  </w:t>
      </w:r>
      <w:r>
        <w:t>Schedule 6 contains a series of amendments designed to alter the rights and obligations of third parties under the ICA.</w:t>
      </w:r>
    </w:p>
    <w:p w:rsidR="0048487F" w:rsidRDefault="0048487F" w:rsidP="006A159E">
      <w:pPr>
        <w:pStyle w:val="Heading4"/>
      </w:pPr>
      <w:r>
        <w:t>Part 1</w:t>
      </w:r>
      <w:r w:rsidR="0014053A">
        <w:t xml:space="preserve"> — </w:t>
      </w:r>
      <w:r>
        <w:t>Requests by third party beneficiaries to insurers for information</w:t>
      </w:r>
    </w:p>
    <w:p w:rsidR="0048487F" w:rsidRDefault="0048487F" w:rsidP="0048487F">
      <w:pPr>
        <w:pStyle w:val="base-text-paragraph"/>
      </w:pPr>
      <w:r>
        <w:t>Under current section 41 of the ICA, an insured that has made a claim under a contract of liability insurance may require the insurer to inform them in writing:</w:t>
      </w:r>
    </w:p>
    <w:p w:rsidR="0048487F" w:rsidRDefault="0048487F" w:rsidP="006A159E">
      <w:pPr>
        <w:pStyle w:val="dotpoint"/>
      </w:pPr>
      <w:r>
        <w:t>whether the insurer admits that the contract applies to the claim; and</w:t>
      </w:r>
    </w:p>
    <w:p w:rsidR="0048487F" w:rsidRDefault="0048487F" w:rsidP="006A159E">
      <w:pPr>
        <w:pStyle w:val="dotpoint"/>
      </w:pPr>
      <w:r>
        <w:t>if the insurer so admits, whether the insurer proposes to conduct, on behalf of the insured, the negotiations and any legal proceedings in respect of the claim made against the insured.</w:t>
      </w:r>
    </w:p>
    <w:p w:rsidR="0048487F" w:rsidRDefault="0048487F" w:rsidP="0048487F">
      <w:pPr>
        <w:pStyle w:val="base-text-paragraph"/>
      </w:pPr>
      <w:r>
        <w:t>New section 41 is drafted in substantially the same terms as the current section 41, except that it is extended to give third party beneficiaries (as claimants) the same rights as insureds under the section</w:t>
      </w:r>
      <w:r w:rsidR="00214D95">
        <w:t xml:space="preserve">.  </w:t>
      </w:r>
      <w:r w:rsidRPr="00AF0AD3">
        <w:rPr>
          <w:rStyle w:val="Referencingstyle"/>
        </w:rPr>
        <w:t xml:space="preserve">[Schedule 6, </w:t>
      </w:r>
      <w:r w:rsidR="00B45375">
        <w:rPr>
          <w:rStyle w:val="Referencingstyle"/>
        </w:rPr>
        <w:t>i</w:t>
      </w:r>
      <w:r w:rsidR="00B45375" w:rsidRPr="00AF0AD3">
        <w:rPr>
          <w:rStyle w:val="Referencingstyle"/>
        </w:rPr>
        <w:t xml:space="preserve">tem </w:t>
      </w:r>
      <w:r w:rsidRPr="00AF0AD3">
        <w:rPr>
          <w:rStyle w:val="Referencingstyle"/>
        </w:rPr>
        <w:t xml:space="preserve">1, </w:t>
      </w:r>
      <w:r w:rsidR="00B45375">
        <w:rPr>
          <w:rStyle w:val="Referencingstyle"/>
        </w:rPr>
        <w:t>s</w:t>
      </w:r>
      <w:r w:rsidR="00B45375" w:rsidRPr="00AF0AD3">
        <w:rPr>
          <w:rStyle w:val="Referencingstyle"/>
        </w:rPr>
        <w:t xml:space="preserve">ection </w:t>
      </w:r>
      <w:r w:rsidRPr="00AF0AD3">
        <w:rPr>
          <w:rStyle w:val="Referencingstyle"/>
        </w:rPr>
        <w:t>41]</w:t>
      </w:r>
      <w:r>
        <w:t xml:space="preserve"> </w:t>
      </w:r>
    </w:p>
    <w:p w:rsidR="0048487F" w:rsidRDefault="0048487F" w:rsidP="006A159E">
      <w:pPr>
        <w:pStyle w:val="Heading4"/>
      </w:pPr>
      <w:r>
        <w:t>Part 2</w:t>
      </w:r>
      <w:r w:rsidR="0014053A">
        <w:t xml:space="preserve"> — </w:t>
      </w:r>
      <w:r>
        <w:t>Insurer</w:t>
      </w:r>
      <w:r w:rsidR="00035750">
        <w:t>’</w:t>
      </w:r>
      <w:r>
        <w:t>s defences in actions by third party beneficiaries</w:t>
      </w:r>
    </w:p>
    <w:p w:rsidR="0048487F" w:rsidRDefault="0048487F" w:rsidP="0048487F">
      <w:pPr>
        <w:pStyle w:val="base-text-paragraph"/>
      </w:pPr>
      <w:r>
        <w:t>Section 48 of the ICA deals with, amongst other things, the defences available to a general insurer against a claim by a third party beneficiary</w:t>
      </w:r>
      <w:r w:rsidR="00214D95">
        <w:t xml:space="preserve">.  </w:t>
      </w:r>
      <w:r>
        <w:t>Section 48AA makes similar provision regarding contracts of life insurance offered in connection with Retirement Savings Accounts (RSAs).</w:t>
      </w:r>
    </w:p>
    <w:p w:rsidR="0048487F" w:rsidRDefault="0048487F" w:rsidP="0048487F">
      <w:pPr>
        <w:pStyle w:val="base-text-paragraph"/>
      </w:pPr>
      <w:r>
        <w:t xml:space="preserve">Subsections 48(1) and 48(2) have been refined so that they use the term </w:t>
      </w:r>
      <w:r w:rsidR="00035750">
        <w:t>‘</w:t>
      </w:r>
      <w:r>
        <w:t>third party beneficiary</w:t>
      </w:r>
      <w:r w:rsidR="00035750">
        <w:t>’</w:t>
      </w:r>
      <w:r>
        <w:t>, now defined in section 11 (see i</w:t>
      </w:r>
      <w:r w:rsidR="008512BE">
        <w:t>tem 1 in Part 1 of Schedule 1)</w:t>
      </w:r>
      <w:r w:rsidR="00214D95">
        <w:t xml:space="preserve">.  </w:t>
      </w:r>
      <w:r>
        <w:t>There are similar refinements to section 48AA</w:t>
      </w:r>
      <w:r w:rsidR="00214D95">
        <w:t xml:space="preserve">.  </w:t>
      </w:r>
      <w:r w:rsidRPr="001A677D">
        <w:rPr>
          <w:rStyle w:val="Referencingstyle"/>
        </w:rPr>
        <w:t>[Schedule 6</w:t>
      </w:r>
      <w:r w:rsidR="00AE1417">
        <w:rPr>
          <w:rStyle w:val="Referencingstyle"/>
        </w:rPr>
        <w:t xml:space="preserve">, </w:t>
      </w:r>
      <w:r w:rsidR="00B45375" w:rsidRPr="001A677D">
        <w:rPr>
          <w:rStyle w:val="Referencingstyle"/>
        </w:rPr>
        <w:t>items</w:t>
      </w:r>
      <w:r w:rsidRPr="001A677D">
        <w:rPr>
          <w:rStyle w:val="Referencingstyle"/>
        </w:rPr>
        <w:t xml:space="preserve"> </w:t>
      </w:r>
      <w:r w:rsidR="00376B6D">
        <w:rPr>
          <w:rStyle w:val="Referencingstyle"/>
        </w:rPr>
        <w:t>4</w:t>
      </w:r>
      <w:r w:rsidR="00632026" w:rsidRPr="001A677D">
        <w:rPr>
          <w:rStyle w:val="Referencingstyle"/>
        </w:rPr>
        <w:t xml:space="preserve">, </w:t>
      </w:r>
      <w:r w:rsidR="00B45375" w:rsidRPr="001A677D">
        <w:rPr>
          <w:rStyle w:val="Referencingstyle"/>
        </w:rPr>
        <w:t>5</w:t>
      </w:r>
      <w:r w:rsidRPr="001A677D">
        <w:rPr>
          <w:rStyle w:val="Referencingstyle"/>
        </w:rPr>
        <w:t xml:space="preserve">, </w:t>
      </w:r>
      <w:r w:rsidR="00632026" w:rsidRPr="001A677D">
        <w:rPr>
          <w:rStyle w:val="Referencingstyle"/>
        </w:rPr>
        <w:t>9</w:t>
      </w:r>
      <w:r w:rsidRPr="001A677D">
        <w:rPr>
          <w:rStyle w:val="Referencingstyle"/>
        </w:rPr>
        <w:t xml:space="preserve">and </w:t>
      </w:r>
      <w:r w:rsidR="00632026" w:rsidRPr="001A677D">
        <w:rPr>
          <w:rStyle w:val="Referencingstyle"/>
        </w:rPr>
        <w:t>10</w:t>
      </w:r>
      <w:r w:rsidRPr="001A677D">
        <w:rPr>
          <w:rStyle w:val="Referencingstyle"/>
        </w:rPr>
        <w:t>, subsection</w:t>
      </w:r>
      <w:r w:rsidR="00B45375" w:rsidRPr="001A677D">
        <w:rPr>
          <w:rStyle w:val="Referencingstyle"/>
        </w:rPr>
        <w:t>s</w:t>
      </w:r>
      <w:r w:rsidRPr="001A677D">
        <w:rPr>
          <w:rStyle w:val="Referencingstyle"/>
        </w:rPr>
        <w:t xml:space="preserve"> 48(1), 48(2) 48A</w:t>
      </w:r>
      <w:r w:rsidR="00632026" w:rsidRPr="001A677D">
        <w:rPr>
          <w:rStyle w:val="Referencingstyle"/>
        </w:rPr>
        <w:t xml:space="preserve">A(1) </w:t>
      </w:r>
      <w:r w:rsidR="00295AB7" w:rsidRPr="001A677D">
        <w:rPr>
          <w:rStyle w:val="Referencingstyle"/>
        </w:rPr>
        <w:t>and</w:t>
      </w:r>
      <w:r w:rsidR="00632026" w:rsidRPr="001A677D">
        <w:rPr>
          <w:rStyle w:val="Referencingstyle"/>
        </w:rPr>
        <w:t xml:space="preserve"> 48AA(2)</w:t>
      </w:r>
      <w:r w:rsidRPr="001A677D">
        <w:rPr>
          <w:rStyle w:val="Referencingstyle"/>
        </w:rPr>
        <w:t>]</w:t>
      </w:r>
      <w:r w:rsidR="001A677D">
        <w:t xml:space="preserve">  </w:t>
      </w:r>
    </w:p>
    <w:p w:rsidR="0048487F" w:rsidRDefault="0048487F" w:rsidP="0048487F">
      <w:pPr>
        <w:pStyle w:val="base-text-paragraph"/>
      </w:pPr>
      <w:r>
        <w:t>Section 48AA is worded similarly to section 48, except that it deals with the defences a life insurer has against a claim by third party beneficiaries in relation to a contract of life insurance taken out by an RSA provider</w:t>
      </w:r>
      <w:r w:rsidR="00214D95">
        <w:t xml:space="preserve">.  </w:t>
      </w:r>
      <w:r>
        <w:t>To ensure greater consistency in the wording of sections</w:t>
      </w:r>
      <w:r w:rsidR="00B03BF0">
        <w:t> </w:t>
      </w:r>
      <w:r>
        <w:t>48AA and 48 refinements have been made to paragraphs in both sections</w:t>
      </w:r>
      <w:r w:rsidR="00214D95">
        <w:t xml:space="preserve">.  </w:t>
      </w:r>
      <w:r w:rsidRPr="001A677D">
        <w:rPr>
          <w:rStyle w:val="Referencingstyle"/>
        </w:rPr>
        <w:t xml:space="preserve">[Schedule 6, </w:t>
      </w:r>
      <w:r w:rsidR="00B45375" w:rsidRPr="001A677D">
        <w:rPr>
          <w:rStyle w:val="Referencingstyle"/>
        </w:rPr>
        <w:t xml:space="preserve">items 6 </w:t>
      </w:r>
      <w:r w:rsidRPr="001A677D">
        <w:rPr>
          <w:rStyle w:val="Referencingstyle"/>
        </w:rPr>
        <w:t xml:space="preserve">and </w:t>
      </w:r>
      <w:r w:rsidR="00632026" w:rsidRPr="001A677D">
        <w:rPr>
          <w:rStyle w:val="Referencingstyle"/>
        </w:rPr>
        <w:t>11</w:t>
      </w:r>
      <w:r w:rsidRPr="001A677D">
        <w:rPr>
          <w:rStyle w:val="Referencingstyle"/>
        </w:rPr>
        <w:t xml:space="preserve">, </w:t>
      </w:r>
      <w:r w:rsidR="00B45375" w:rsidRPr="001A677D">
        <w:rPr>
          <w:rStyle w:val="Referencingstyle"/>
        </w:rPr>
        <w:t>p</w:t>
      </w:r>
      <w:r w:rsidRPr="001A677D">
        <w:rPr>
          <w:rStyle w:val="Referencingstyle"/>
        </w:rPr>
        <w:t>aragraphs  48(2)(a) and 48AA(2)(a)]</w:t>
      </w:r>
    </w:p>
    <w:p w:rsidR="0048487F" w:rsidRDefault="0048487F" w:rsidP="0048487F">
      <w:pPr>
        <w:pStyle w:val="base-text-paragraph"/>
      </w:pPr>
      <w:r>
        <w:lastRenderedPageBreak/>
        <w:t xml:space="preserve">There has been some doubt as to whether subsection 48(3), and as a consequence subsection </w:t>
      </w:r>
      <w:proofErr w:type="gramStart"/>
      <w:r>
        <w:t>48AA(</w:t>
      </w:r>
      <w:proofErr w:type="gramEnd"/>
      <w:r>
        <w:t>3), allow for claims by third party beneficiaries to be tainted by the wrongful conduct of an insured</w:t>
      </w:r>
      <w:r w:rsidR="00214D95">
        <w:t xml:space="preserve">.  </w:t>
      </w:r>
      <w:r>
        <w:t>There is also doubt as to whether an insurer may raise pre</w:t>
      </w:r>
      <w:r w:rsidR="00214D95">
        <w:noBreakHyphen/>
      </w:r>
      <w:r>
        <w:t>contractual conduct, such as a breach of the duty of disclosure, in assessing a claim by a third party beneficiary.</w:t>
      </w:r>
    </w:p>
    <w:p w:rsidR="0048487F" w:rsidRDefault="0048487F" w:rsidP="0048487F">
      <w:pPr>
        <w:pStyle w:val="base-text-paragraph"/>
      </w:pPr>
      <w:r>
        <w:t>The intent of sections 48 and 48AA (as amended) is that third party beneficiaries should be in no better position, in terms of their ability to claim, than the insured</w:t>
      </w:r>
      <w:r w:rsidR="00214D95">
        <w:t xml:space="preserve">.  </w:t>
      </w:r>
      <w:r>
        <w:t>An insurer should be entitled to raise defences relating to the conduct of an insured, including conduct occurring prior to the time the contract was entered into</w:t>
      </w:r>
      <w:r w:rsidR="00214D95">
        <w:t xml:space="preserve">.  </w:t>
      </w:r>
    </w:p>
    <w:p w:rsidR="0048487F" w:rsidRDefault="0048487F" w:rsidP="0048487F">
      <w:pPr>
        <w:pStyle w:val="base-text-paragraph"/>
      </w:pPr>
      <w:r>
        <w:t>To make it clear that, in defending an action by a third party beneficiary:</w:t>
      </w:r>
    </w:p>
    <w:p w:rsidR="0048487F" w:rsidRDefault="0048487F" w:rsidP="006A159E">
      <w:pPr>
        <w:pStyle w:val="dotpoint"/>
      </w:pPr>
      <w:r>
        <w:t>an insurer may raise defences relating to the conduct of the insured; and</w:t>
      </w:r>
    </w:p>
    <w:p w:rsidR="0048487F" w:rsidRDefault="0048487F" w:rsidP="006A159E">
      <w:pPr>
        <w:pStyle w:val="dotpoint"/>
      </w:pPr>
      <w:proofErr w:type="gramStart"/>
      <w:r>
        <w:t>the</w:t>
      </w:r>
      <w:proofErr w:type="gramEnd"/>
      <w:r>
        <w:t xml:space="preserve"> conduct that may be raised may have occurred either after the contract was entered into or before (for example, non</w:t>
      </w:r>
      <w:r w:rsidR="00214D95">
        <w:noBreakHyphen/>
      </w:r>
      <w:r>
        <w:t>disclosure)</w:t>
      </w:r>
      <w:r w:rsidR="00214D95">
        <w:t xml:space="preserve">.  </w:t>
      </w:r>
    </w:p>
    <w:p w:rsidR="0048487F" w:rsidRDefault="0048487F" w:rsidP="006A159E">
      <w:pPr>
        <w:pStyle w:val="dotpoint"/>
        <w:numPr>
          <w:ilvl w:val="0"/>
          <w:numId w:val="0"/>
        </w:numPr>
        <w:ind w:left="1985"/>
      </w:pPr>
      <w:r w:rsidRPr="001A677D">
        <w:rPr>
          <w:rStyle w:val="Referencingstyle"/>
        </w:rPr>
        <w:t xml:space="preserve">[Schedule 6, Items </w:t>
      </w:r>
      <w:r w:rsidR="00632026" w:rsidRPr="001A677D">
        <w:rPr>
          <w:rStyle w:val="Referencingstyle"/>
        </w:rPr>
        <w:t>7, 12</w:t>
      </w:r>
      <w:r w:rsidRPr="001A677D">
        <w:rPr>
          <w:rStyle w:val="Referencingstyle"/>
        </w:rPr>
        <w:t xml:space="preserve">and </w:t>
      </w:r>
      <w:r w:rsidR="00632026" w:rsidRPr="001A677D">
        <w:rPr>
          <w:rStyle w:val="Referencingstyle"/>
        </w:rPr>
        <w:t>13</w:t>
      </w:r>
      <w:r w:rsidRPr="001A677D">
        <w:rPr>
          <w:rStyle w:val="Referencingstyle"/>
        </w:rPr>
        <w:t xml:space="preserve">, subsections 48(3) and </w:t>
      </w:r>
      <w:proofErr w:type="gramStart"/>
      <w:r w:rsidRPr="001A677D">
        <w:rPr>
          <w:rStyle w:val="Referencingstyle"/>
        </w:rPr>
        <w:t>48AA(</w:t>
      </w:r>
      <w:proofErr w:type="gramEnd"/>
      <w:r w:rsidRPr="001A677D">
        <w:rPr>
          <w:rStyle w:val="Referencingstyle"/>
        </w:rPr>
        <w:t>3)]</w:t>
      </w:r>
    </w:p>
    <w:p w:rsidR="0048487F" w:rsidRDefault="0048487F" w:rsidP="006A159E">
      <w:pPr>
        <w:pStyle w:val="Heading4"/>
      </w:pPr>
      <w:r>
        <w:t>Part 3</w:t>
      </w:r>
      <w:r w:rsidR="0014053A">
        <w:t xml:space="preserve"> — </w:t>
      </w:r>
      <w:r>
        <w:t>Rights and obligations of third party beneficiaries under life insurance contracts</w:t>
      </w:r>
    </w:p>
    <w:p w:rsidR="0048487F" w:rsidRDefault="0048487F" w:rsidP="0048487F">
      <w:pPr>
        <w:pStyle w:val="base-text-paragraph"/>
      </w:pPr>
      <w:r>
        <w:t>Section 48A of the ICA applies to contracts of life insurance that are effected on the life of one person but expressed to be for the benefit of another person (a third party beneficiary)</w:t>
      </w:r>
      <w:r w:rsidR="00214D95">
        <w:t xml:space="preserve">.  </w:t>
      </w:r>
      <w:r>
        <w:t>As part of its review, the Review Panel recommended a series of amendments be made to section</w:t>
      </w:r>
      <w:r w:rsidR="00B03BF0">
        <w:t> </w:t>
      </w:r>
      <w:r>
        <w:t>48A in response to recent developments in the insurance industry.</w:t>
      </w:r>
    </w:p>
    <w:p w:rsidR="0048487F" w:rsidRDefault="0048487F" w:rsidP="0048487F">
      <w:pPr>
        <w:pStyle w:val="base-text-paragraph"/>
      </w:pPr>
      <w:r>
        <w:t xml:space="preserve">To acknowledge these developments refinements have been made to subsections </w:t>
      </w:r>
      <w:proofErr w:type="gramStart"/>
      <w:r>
        <w:t>48A(</w:t>
      </w:r>
      <w:proofErr w:type="gramEnd"/>
      <w:r>
        <w:t>1) and (2)</w:t>
      </w:r>
      <w:r w:rsidR="00214D95">
        <w:t xml:space="preserve">.  </w:t>
      </w:r>
      <w:r>
        <w:t>These refinements:</w:t>
      </w:r>
    </w:p>
    <w:p w:rsidR="0048487F" w:rsidRDefault="0048487F" w:rsidP="006A159E">
      <w:pPr>
        <w:pStyle w:val="dotpoint"/>
      </w:pPr>
      <w:r>
        <w:t>allow for circumstances in which a person whose life is insured under a contract of life insurance may be a third party beneficiary;</w:t>
      </w:r>
    </w:p>
    <w:p w:rsidR="0048487F" w:rsidRDefault="0048487F" w:rsidP="006A159E">
      <w:pPr>
        <w:pStyle w:val="dotpoint"/>
      </w:pPr>
      <w:r>
        <w:t>ensure that a third party beneficiary who has a claim over money payable under the contract of life insurance may bring an action against the insurer in respect of the claim without the intervention of the policyholder; and</w:t>
      </w:r>
    </w:p>
    <w:p w:rsidR="0048487F" w:rsidRPr="003174CF" w:rsidRDefault="0048487F" w:rsidP="006A159E">
      <w:pPr>
        <w:pStyle w:val="dotpoint"/>
      </w:pPr>
      <w:proofErr w:type="gramStart"/>
      <w:r w:rsidRPr="003174CF">
        <w:lastRenderedPageBreak/>
        <w:t>ensure</w:t>
      </w:r>
      <w:proofErr w:type="gramEnd"/>
      <w:r w:rsidRPr="003174CF">
        <w:t xml:space="preserve"> that the third party beneficiary is capable of giving a valid discharge to the insurer in relation to the insurer</w:t>
      </w:r>
      <w:r w:rsidR="00035750">
        <w:t>’</w:t>
      </w:r>
      <w:r w:rsidRPr="003174CF">
        <w:t>s obligations in respect of the claim</w:t>
      </w:r>
      <w:r w:rsidR="00214D95">
        <w:t xml:space="preserve">.  </w:t>
      </w:r>
    </w:p>
    <w:p w:rsidR="0048487F" w:rsidRPr="003174CF" w:rsidRDefault="0048487F" w:rsidP="006A159E">
      <w:pPr>
        <w:pStyle w:val="dotpoint"/>
        <w:numPr>
          <w:ilvl w:val="0"/>
          <w:numId w:val="0"/>
        </w:numPr>
        <w:ind w:left="1985"/>
        <w:rPr>
          <w:rStyle w:val="Referencingstyle"/>
        </w:rPr>
      </w:pPr>
      <w:r w:rsidRPr="003174CF">
        <w:rPr>
          <w:rStyle w:val="Referencingstyle"/>
        </w:rPr>
        <w:t xml:space="preserve">[Schedule 6, </w:t>
      </w:r>
      <w:r w:rsidR="00D36F16" w:rsidRPr="003174CF">
        <w:rPr>
          <w:rStyle w:val="Referencingstyle"/>
        </w:rPr>
        <w:t>item 16</w:t>
      </w:r>
      <w:r w:rsidRPr="003174CF">
        <w:rPr>
          <w:rStyle w:val="Referencingstyle"/>
        </w:rPr>
        <w:t xml:space="preserve">, subsections </w:t>
      </w:r>
      <w:proofErr w:type="gramStart"/>
      <w:r w:rsidRPr="003174CF">
        <w:rPr>
          <w:rStyle w:val="Referencingstyle"/>
        </w:rPr>
        <w:t>48A(</w:t>
      </w:r>
      <w:proofErr w:type="gramEnd"/>
      <w:r w:rsidRPr="003174CF">
        <w:rPr>
          <w:rStyle w:val="Referencingstyle"/>
        </w:rPr>
        <w:t xml:space="preserve">1) and </w:t>
      </w:r>
      <w:r w:rsidR="00632026" w:rsidRPr="003174CF">
        <w:rPr>
          <w:rStyle w:val="Referencingstyle"/>
        </w:rPr>
        <w:t>48A</w:t>
      </w:r>
      <w:r w:rsidRPr="003174CF">
        <w:rPr>
          <w:rStyle w:val="Referencingstyle"/>
        </w:rPr>
        <w:t>(2)]</w:t>
      </w:r>
    </w:p>
    <w:p w:rsidR="00632026" w:rsidRPr="003174CF" w:rsidRDefault="001A677D" w:rsidP="00AF0AD3">
      <w:pPr>
        <w:pStyle w:val="base-text-paragraph"/>
      </w:pPr>
      <w:r w:rsidRPr="003174CF">
        <w:t>W</w:t>
      </w:r>
      <w:r w:rsidR="00D36F16" w:rsidRPr="003174CF">
        <w:t>hile a third party beneficiary has the right to recover from an insurer any money that becomes payable under a contract of insurance</w:t>
      </w:r>
      <w:r w:rsidRPr="003174CF">
        <w:t>, for life insurance contracts maintained for the purposes of a superannuation or retirement scheme,</w:t>
      </w:r>
      <w:r w:rsidR="00D36F16" w:rsidRPr="003174CF">
        <w:t xml:space="preserve"> </w:t>
      </w:r>
      <w:r w:rsidRPr="003174CF">
        <w:t xml:space="preserve">the payment of money under the contract or the scheme </w:t>
      </w:r>
      <w:r w:rsidR="00D36F16" w:rsidRPr="003174CF">
        <w:t xml:space="preserve">is subject to the terms of the contract and the scheme and any other </w:t>
      </w:r>
      <w:r w:rsidRPr="003174CF">
        <w:t xml:space="preserve">relevant </w:t>
      </w:r>
      <w:r w:rsidR="00D36F16" w:rsidRPr="003174CF">
        <w:t>laws</w:t>
      </w:r>
      <w:r w:rsidR="00214D95">
        <w:t xml:space="preserve">.  </w:t>
      </w:r>
      <w:r w:rsidR="00D36F16" w:rsidRPr="003174CF">
        <w:rPr>
          <w:rStyle w:val="Referencingstyle"/>
        </w:rPr>
        <w:t>[Schedule 6, item 16, subsections 48A(1A)]</w:t>
      </w:r>
      <w:r w:rsidRPr="003174CF">
        <w:t xml:space="preserve">  </w:t>
      </w:r>
    </w:p>
    <w:p w:rsidR="0048487F" w:rsidRDefault="0048487F" w:rsidP="006A159E">
      <w:pPr>
        <w:pStyle w:val="Heading4"/>
      </w:pPr>
      <w:r w:rsidRPr="003174CF">
        <w:t>Part 4</w:t>
      </w:r>
      <w:r w:rsidR="0014053A">
        <w:t xml:space="preserve"> — </w:t>
      </w:r>
      <w:r w:rsidRPr="003174CF">
        <w:t>Rights of third party to recover against insurers</w:t>
      </w:r>
    </w:p>
    <w:p w:rsidR="0048487F" w:rsidRDefault="0048487F" w:rsidP="0048487F">
      <w:pPr>
        <w:pStyle w:val="base-text-paragraph"/>
      </w:pPr>
      <w:r>
        <w:t>Section 51 of the ICA deals with the rights of third parties to recover directly against an insurer in circumstances where the insured under a contract of liability insurance is liable in damages to the third party</w:t>
      </w:r>
      <w:r w:rsidR="00214D95">
        <w:t xml:space="preserve">.  </w:t>
      </w:r>
      <w:r>
        <w:t>The section provides that, where an insured has died or cannot be found, the third party may bring an action against the insurer directly.</w:t>
      </w:r>
    </w:p>
    <w:p w:rsidR="0048487F" w:rsidRDefault="0048487F" w:rsidP="0048487F">
      <w:pPr>
        <w:pStyle w:val="base-text-paragraph"/>
      </w:pPr>
      <w:r>
        <w:t>Section 51 has been expanded so that it not only covers liability of an insured but also liability of a third party beneficiary</w:t>
      </w:r>
      <w:r w:rsidR="00214D95">
        <w:t xml:space="preserve">.  </w:t>
      </w:r>
      <w:r w:rsidRPr="00AF0AD3">
        <w:rPr>
          <w:rStyle w:val="Referencingstyle"/>
        </w:rPr>
        <w:t xml:space="preserve">[Schedule 6, </w:t>
      </w:r>
      <w:r w:rsidR="00D36F16" w:rsidRPr="00AF0AD3">
        <w:rPr>
          <w:rStyle w:val="Referencingstyle"/>
        </w:rPr>
        <w:t>items</w:t>
      </w:r>
      <w:r w:rsidR="00B03BF0">
        <w:rPr>
          <w:rStyle w:val="Referencingstyle"/>
        </w:rPr>
        <w:t> </w:t>
      </w:r>
      <w:r w:rsidRPr="00AF0AD3">
        <w:rPr>
          <w:rStyle w:val="Referencingstyle"/>
        </w:rPr>
        <w:t>1</w:t>
      </w:r>
      <w:r w:rsidR="00D36F16" w:rsidRPr="00AF0AD3">
        <w:rPr>
          <w:rStyle w:val="Referencingstyle"/>
        </w:rPr>
        <w:t>9</w:t>
      </w:r>
      <w:r w:rsidRPr="00AF0AD3">
        <w:rPr>
          <w:rStyle w:val="Referencingstyle"/>
        </w:rPr>
        <w:t xml:space="preserve">, </w:t>
      </w:r>
      <w:r w:rsidR="00D36F16" w:rsidRPr="00AF0AD3">
        <w:rPr>
          <w:rStyle w:val="Referencingstyle"/>
        </w:rPr>
        <w:t xml:space="preserve">20 </w:t>
      </w:r>
      <w:r w:rsidRPr="00AF0AD3">
        <w:rPr>
          <w:rStyle w:val="Referencingstyle"/>
        </w:rPr>
        <w:t xml:space="preserve">and </w:t>
      </w:r>
      <w:r w:rsidR="00D36F16" w:rsidRPr="00AF0AD3">
        <w:rPr>
          <w:rStyle w:val="Referencingstyle"/>
        </w:rPr>
        <w:t>21</w:t>
      </w:r>
      <w:r w:rsidRPr="00AF0AD3">
        <w:rPr>
          <w:rStyle w:val="Referencingstyle"/>
        </w:rPr>
        <w:t xml:space="preserve">, </w:t>
      </w:r>
      <w:r w:rsidR="00D36F16" w:rsidRPr="00AF0AD3">
        <w:rPr>
          <w:rStyle w:val="Referencingstyle"/>
        </w:rPr>
        <w:t>subs</w:t>
      </w:r>
      <w:r w:rsidRPr="00AF0AD3">
        <w:rPr>
          <w:rStyle w:val="Referencingstyle"/>
        </w:rPr>
        <w:t>ection 51</w:t>
      </w:r>
      <w:r w:rsidR="00D36F16" w:rsidRPr="00AF0AD3">
        <w:rPr>
          <w:rStyle w:val="Referencingstyle"/>
        </w:rPr>
        <w:t>(1) and 51(3) and paragraph 51(2)(b)</w:t>
      </w:r>
      <w:r w:rsidRPr="00AF0AD3">
        <w:rPr>
          <w:rStyle w:val="Referencingstyle"/>
        </w:rPr>
        <w:t>]</w:t>
      </w:r>
    </w:p>
    <w:p w:rsidR="0048487F" w:rsidRDefault="0048487F" w:rsidP="006A159E">
      <w:pPr>
        <w:pStyle w:val="Heading4"/>
      </w:pPr>
      <w:r>
        <w:t>Part 5</w:t>
      </w:r>
      <w:r w:rsidR="0014053A">
        <w:t xml:space="preserve"> — </w:t>
      </w:r>
      <w:r>
        <w:t>Representative actions by ASIC on behalf of third party beneficiaries</w:t>
      </w:r>
    </w:p>
    <w:p w:rsidR="0048487F" w:rsidRDefault="0048487F" w:rsidP="0048487F">
      <w:pPr>
        <w:pStyle w:val="base-text-paragraph"/>
      </w:pPr>
      <w:r>
        <w:t>Section 55A of the ICA per</w:t>
      </w:r>
      <w:r w:rsidR="008512BE">
        <w:t xml:space="preserve">mits ASIC, if it considers it </w:t>
      </w:r>
      <w:r>
        <w:t>to be in the public</w:t>
      </w:r>
      <w:r w:rsidR="00035750">
        <w:t>’</w:t>
      </w:r>
      <w:r>
        <w:t>s interest, to bring or continue actions against insurers on behalf of one or more insureds in relation to certain breaches by the insurer of the ICA</w:t>
      </w:r>
      <w:r w:rsidR="00214D95">
        <w:t xml:space="preserve">.  </w:t>
      </w:r>
    </w:p>
    <w:p w:rsidR="0048487F" w:rsidRDefault="0048487F" w:rsidP="0048487F">
      <w:pPr>
        <w:pStyle w:val="base-text-paragraph"/>
      </w:pPr>
      <w:r>
        <w:t>Several refinements to section 55A have been made to extend ASIC</w:t>
      </w:r>
      <w:r w:rsidR="00035750">
        <w:t>’</w:t>
      </w:r>
      <w:r>
        <w:t>s powers to cover bringing or continuing actions against insurers on behalf of third party beneficiaries as well as insureds</w:t>
      </w:r>
      <w:r w:rsidR="00214D95">
        <w:t xml:space="preserve">.  </w:t>
      </w:r>
      <w:r w:rsidRPr="00AF0AD3">
        <w:rPr>
          <w:rStyle w:val="Referencingstyle"/>
        </w:rPr>
        <w:t xml:space="preserve">[Schedule 6, Items </w:t>
      </w:r>
      <w:r w:rsidR="00D36F16" w:rsidRPr="00AF0AD3">
        <w:rPr>
          <w:rStyle w:val="Referencingstyle"/>
        </w:rPr>
        <w:t>23</w:t>
      </w:r>
      <w:r w:rsidRPr="00AF0AD3">
        <w:rPr>
          <w:rStyle w:val="Referencingstyle"/>
        </w:rPr>
        <w:t xml:space="preserve"> to </w:t>
      </w:r>
      <w:r w:rsidR="00D36F16" w:rsidRPr="00AF0AD3">
        <w:rPr>
          <w:rStyle w:val="Referencingstyle"/>
        </w:rPr>
        <w:t>28</w:t>
      </w:r>
      <w:r w:rsidRPr="00AF0AD3">
        <w:rPr>
          <w:rStyle w:val="Referencingstyle"/>
        </w:rPr>
        <w:t xml:space="preserve">, </w:t>
      </w:r>
      <w:r w:rsidR="00D36F16" w:rsidRPr="00AF0AD3">
        <w:rPr>
          <w:rStyle w:val="Referencingstyle"/>
        </w:rPr>
        <w:t xml:space="preserve">subsections </w:t>
      </w:r>
      <w:r w:rsidRPr="00AF0AD3">
        <w:rPr>
          <w:rStyle w:val="Referencingstyle"/>
        </w:rPr>
        <w:t xml:space="preserve">55A(2) and 55A(3), </w:t>
      </w:r>
      <w:r w:rsidR="00D36F16" w:rsidRPr="00AF0AD3">
        <w:rPr>
          <w:rStyle w:val="Referencingstyle"/>
        </w:rPr>
        <w:t xml:space="preserve">paragraphs </w:t>
      </w:r>
      <w:r w:rsidRPr="00AF0AD3">
        <w:rPr>
          <w:rStyle w:val="Referencingstyle"/>
        </w:rPr>
        <w:t>55A(1)(b), 55A(1)(c), 55A(1)(d) and 55A(2)(b)]</w:t>
      </w:r>
    </w:p>
    <w:p w:rsidR="0048487F" w:rsidRDefault="0048487F" w:rsidP="006A159E">
      <w:pPr>
        <w:pStyle w:val="Heading4"/>
      </w:pPr>
      <w:r>
        <w:t>Part 6</w:t>
      </w:r>
      <w:r w:rsidR="0014053A">
        <w:t xml:space="preserve"> — </w:t>
      </w:r>
      <w:r>
        <w:t>Non</w:t>
      </w:r>
      <w:r w:rsidR="00214D95">
        <w:noBreakHyphen/>
      </w:r>
      <w:r>
        <w:t>disclosure or misrepresentation by members of group life insurance schemes</w:t>
      </w:r>
    </w:p>
    <w:p w:rsidR="0048487F" w:rsidRDefault="0048487F" w:rsidP="0048487F">
      <w:pPr>
        <w:pStyle w:val="base-text-paragraph"/>
      </w:pPr>
      <w:r>
        <w:t>Insurers normally have a remedy for non</w:t>
      </w:r>
      <w:r w:rsidR="00214D95">
        <w:noBreakHyphen/>
      </w:r>
      <w:r>
        <w:t>disclosures and misrepresentations made by insureds only prior to the time the contract was entered into</w:t>
      </w:r>
      <w:r w:rsidR="00214D95">
        <w:t xml:space="preserve">.  </w:t>
      </w:r>
      <w:r>
        <w:t>However, in the case of group contracts of life insurance that are taken out by, for example, superannuation trustees for the benefit of all the scheme members, the contract date will often pre</w:t>
      </w:r>
      <w:r w:rsidR="00214D95">
        <w:noBreakHyphen/>
      </w:r>
      <w:r>
        <w:t>date the joining of the scheme by fund members</w:t>
      </w:r>
      <w:r w:rsidR="00214D95">
        <w:t xml:space="preserve">.  </w:t>
      </w:r>
      <w:r>
        <w:t xml:space="preserve">As a consequence, </w:t>
      </w:r>
      <w:r>
        <w:lastRenderedPageBreak/>
        <w:t>an insurer would ordinarily have no remedy for non</w:t>
      </w:r>
      <w:r w:rsidR="00214D95">
        <w:noBreakHyphen/>
      </w:r>
      <w:r>
        <w:t>disclosure and misrepresentation in relation to members who join a group scheme and receive cover under the relevant contract of life insurance after the contract date.</w:t>
      </w:r>
    </w:p>
    <w:p w:rsidR="0048487F" w:rsidRDefault="0048487F" w:rsidP="0048487F">
      <w:pPr>
        <w:pStyle w:val="base-text-paragraph"/>
      </w:pPr>
      <w:r>
        <w:t>To deal with this situation, current section 32 of the ICA provides that non</w:t>
      </w:r>
      <w:r w:rsidR="00214D95">
        <w:noBreakHyphen/>
      </w:r>
      <w:r>
        <w:t>disclosures or misrepresentations made in respect of scheme members of superannuation and retirement schemes are treated as though the contract were an individual contract of life insurance that was entered into at the time when the proposed member joined the scheme.</w:t>
      </w:r>
    </w:p>
    <w:p w:rsidR="0048487F" w:rsidRDefault="0048487F" w:rsidP="0048487F">
      <w:pPr>
        <w:pStyle w:val="base-text-paragraph"/>
      </w:pPr>
      <w:r>
        <w:t>In some circumstances, individuals will join a superannuation scheme but there will be some delay before life insurance cover they acquire as part of joining that scheme is commenced</w:t>
      </w:r>
      <w:r w:rsidR="00214D95">
        <w:t xml:space="preserve">.  </w:t>
      </w:r>
      <w:r>
        <w:t>For example, a new employee may join a superannuation scheme and superannuation contributions may be made on their behalf, but before the insurer provides life insurance cover, that employee must undergo a medical examination and/or answer questions about their health.</w:t>
      </w:r>
    </w:p>
    <w:p w:rsidR="0048487F" w:rsidRPr="00B03BF0" w:rsidRDefault="0048487F" w:rsidP="00B03BF0">
      <w:pPr>
        <w:pStyle w:val="base-text-paragraph"/>
      </w:pPr>
      <w:r>
        <w:t>In those circumstances, the existing section 32 would still deny the insurer a remedy if non</w:t>
      </w:r>
      <w:r w:rsidR="00214D95">
        <w:noBreakHyphen/>
      </w:r>
      <w:r>
        <w:t xml:space="preserve">disclosure or misrepresentation occurred during the interim period, because under current paragraph 32(b), the </w:t>
      </w:r>
      <w:r w:rsidRPr="00B03BF0">
        <w:t>contract is taken to be entered into when the member joined the scheme.</w:t>
      </w:r>
    </w:p>
    <w:p w:rsidR="0048487F" w:rsidRPr="00B03BF0" w:rsidRDefault="0048487F" w:rsidP="00B03BF0">
      <w:pPr>
        <w:pStyle w:val="base-text-paragraph"/>
        <w:rPr>
          <w:rStyle w:val="Referencingstyle"/>
          <w:b w:val="0"/>
          <w:i w:val="0"/>
          <w:sz w:val="22"/>
        </w:rPr>
      </w:pPr>
      <w:r w:rsidRPr="00B03BF0">
        <w:t xml:space="preserve">New section 32 addresses this difficulty by providing that, where there is a delay from the time of joining the scheme until the time that cover is actually effected, the relevant contract of life insurance is taken to have commenced (that is, to be </w:t>
      </w:r>
      <w:r w:rsidR="00035750" w:rsidRPr="00B03BF0">
        <w:t>‘</w:t>
      </w:r>
      <w:r w:rsidRPr="00B03BF0">
        <w:t>entered into</w:t>
      </w:r>
      <w:r w:rsidR="00035750" w:rsidRPr="00B03BF0">
        <w:t>’</w:t>
      </w:r>
      <w:r w:rsidRPr="00B03BF0">
        <w:t>) at the time the proposed life insured became a life insured under the scheme, in other words, at the time the life insurance cover under the scheme took effect in relation to the member concerned</w:t>
      </w:r>
      <w:r w:rsidR="00214D95">
        <w:t xml:space="preserve">.  </w:t>
      </w:r>
      <w:r w:rsidRPr="00B03BF0">
        <w:rPr>
          <w:rStyle w:val="Referencingstyle"/>
        </w:rPr>
        <w:t xml:space="preserve">[Schedule 6, </w:t>
      </w:r>
      <w:r w:rsidR="00B049D4" w:rsidRPr="00B03BF0">
        <w:rPr>
          <w:rStyle w:val="Referencingstyle"/>
        </w:rPr>
        <w:t>item 38</w:t>
      </w:r>
      <w:r w:rsidRPr="00B03BF0">
        <w:rPr>
          <w:rStyle w:val="Referencingstyle"/>
        </w:rPr>
        <w:t xml:space="preserve">, </w:t>
      </w:r>
      <w:r w:rsidR="00B049D4" w:rsidRPr="00B03BF0">
        <w:rPr>
          <w:rStyle w:val="Referencingstyle"/>
        </w:rPr>
        <w:t xml:space="preserve">section </w:t>
      </w:r>
      <w:r w:rsidRPr="00B03BF0">
        <w:rPr>
          <w:rStyle w:val="Referencingstyle"/>
        </w:rPr>
        <w:t>32]</w:t>
      </w:r>
    </w:p>
    <w:p w:rsidR="0048487F" w:rsidRDefault="0048487F" w:rsidP="0048487F">
      <w:pPr>
        <w:pStyle w:val="base-text-paragraph"/>
      </w:pPr>
      <w:r>
        <w:t xml:space="preserve">There are, in addition to </w:t>
      </w:r>
      <w:r w:rsidR="00035750">
        <w:t>‘</w:t>
      </w:r>
      <w:r>
        <w:t>blanket</w:t>
      </w:r>
      <w:r w:rsidR="00035750">
        <w:t>’</w:t>
      </w:r>
      <w:r>
        <w:t xml:space="preserve"> contracts of life insurance taken out in connection with a superannuation scheme, other circumstances in which life insurance is taken out for a group of people, many of whom may become eligible for cover after the contract date</w:t>
      </w:r>
      <w:r w:rsidR="00214D95">
        <w:t xml:space="preserve">.  </w:t>
      </w:r>
      <w:r>
        <w:t>For example, contracts of life insurance for groups of people linked by a common factor such as employees of a company, or a scheme unrelated to employment such as membership of a health insurance scheme that offers members optional life insurance cover</w:t>
      </w:r>
      <w:r w:rsidR="00214D95">
        <w:t xml:space="preserve">.  </w:t>
      </w:r>
      <w:r>
        <w:t>Those other contracts also present a difficulty with the availability of insurer remedies for non</w:t>
      </w:r>
      <w:r w:rsidR="00214D95">
        <w:noBreakHyphen/>
      </w:r>
      <w:r>
        <w:t>disclosure and misrepresentation</w:t>
      </w:r>
      <w:r w:rsidR="00214D95">
        <w:t xml:space="preserve">.  </w:t>
      </w:r>
    </w:p>
    <w:p w:rsidR="0048487F" w:rsidRPr="00AF0AD3" w:rsidRDefault="0048487F" w:rsidP="0048487F">
      <w:pPr>
        <w:pStyle w:val="base-text-paragraph"/>
        <w:rPr>
          <w:rStyle w:val="Referencingstyle"/>
        </w:rPr>
      </w:pPr>
      <w:r>
        <w:t xml:space="preserve">A broader term is to be introduced for the purposes of the new section 32, namely, a </w:t>
      </w:r>
      <w:r w:rsidR="00035750">
        <w:t>‘</w:t>
      </w:r>
      <w:r>
        <w:t>group life contract</w:t>
      </w:r>
      <w:r w:rsidR="00035750">
        <w:t>’</w:t>
      </w:r>
      <w:r>
        <w:t xml:space="preserve">, which is defined to mean a contract of life insurance that is maintained for the purpose of a </w:t>
      </w:r>
      <w:r>
        <w:lastRenderedPageBreak/>
        <w:t>superannuation or retirement scheme, or another scheme (including one not related to employment)</w:t>
      </w:r>
      <w:r w:rsidR="00214D95">
        <w:t xml:space="preserve">.  </w:t>
      </w:r>
      <w:r w:rsidRPr="00AF0AD3">
        <w:rPr>
          <w:rStyle w:val="Referencingstyle"/>
        </w:rPr>
        <w:t xml:space="preserve">[Schedule 6, </w:t>
      </w:r>
      <w:r w:rsidR="00B049D4" w:rsidRPr="00AF0AD3">
        <w:rPr>
          <w:rStyle w:val="Referencingstyle"/>
        </w:rPr>
        <w:t>item 31</w:t>
      </w:r>
      <w:r w:rsidRPr="00AF0AD3">
        <w:rPr>
          <w:rStyle w:val="Referencingstyle"/>
        </w:rPr>
        <w:t xml:space="preserve">, </w:t>
      </w:r>
      <w:r w:rsidR="00B049D4" w:rsidRPr="00AF0AD3">
        <w:rPr>
          <w:rStyle w:val="Referencingstyle"/>
        </w:rPr>
        <w:t xml:space="preserve">subsection </w:t>
      </w:r>
      <w:r w:rsidRPr="00AF0AD3">
        <w:rPr>
          <w:rStyle w:val="Referencingstyle"/>
        </w:rPr>
        <w:t xml:space="preserve">11(1)]  </w:t>
      </w:r>
    </w:p>
    <w:p w:rsidR="0048487F" w:rsidRDefault="0048487F" w:rsidP="0048487F">
      <w:pPr>
        <w:pStyle w:val="base-text-paragraph"/>
      </w:pPr>
      <w:r>
        <w:t xml:space="preserve">The term </w:t>
      </w:r>
      <w:r w:rsidR="00035750">
        <w:t>‘</w:t>
      </w:r>
      <w:r>
        <w:t>blanket superannuation contract</w:t>
      </w:r>
      <w:r w:rsidR="00035750">
        <w:t>’</w:t>
      </w:r>
      <w:r>
        <w:t xml:space="preserve"> as defined in subsection 4(2) of the ICA is replaced with the expression </w:t>
      </w:r>
      <w:r w:rsidR="00035750">
        <w:t>‘</w:t>
      </w:r>
      <w:r>
        <w:t>superannuation contract (other than an individual superannuation contract)</w:t>
      </w:r>
      <w:r w:rsidR="00214D95">
        <w:t>’</w:t>
      </w:r>
      <w:r w:rsidR="00B03BF0">
        <w:t>.</w:t>
      </w:r>
    </w:p>
    <w:p w:rsidR="0048487F" w:rsidRDefault="0048487F" w:rsidP="0048487F">
      <w:pPr>
        <w:pStyle w:val="base-text-paragraph"/>
      </w:pPr>
      <w:r>
        <w:t>Further, some consequential changes have been made to subsection 11(4)</w:t>
      </w:r>
      <w:r w:rsidR="00214D95">
        <w:t xml:space="preserve">.  </w:t>
      </w:r>
      <w:r w:rsidRPr="001A677D">
        <w:rPr>
          <w:rStyle w:val="Referencingstyle"/>
        </w:rPr>
        <w:t xml:space="preserve">[Schedule 6, Items </w:t>
      </w:r>
      <w:r w:rsidR="00B049D4" w:rsidRPr="001A677D">
        <w:rPr>
          <w:rStyle w:val="Referencingstyle"/>
        </w:rPr>
        <w:t>3</w:t>
      </w:r>
      <w:r w:rsidR="00692C0C">
        <w:rPr>
          <w:rStyle w:val="Referencingstyle"/>
        </w:rPr>
        <w:t>3</w:t>
      </w:r>
      <w:r w:rsidR="00B049D4" w:rsidRPr="001A677D">
        <w:rPr>
          <w:rStyle w:val="Referencingstyle"/>
        </w:rPr>
        <w:t xml:space="preserve"> </w:t>
      </w:r>
      <w:r w:rsidRPr="001A677D">
        <w:rPr>
          <w:rStyle w:val="Referencingstyle"/>
        </w:rPr>
        <w:t xml:space="preserve">to </w:t>
      </w:r>
      <w:r w:rsidR="00B049D4" w:rsidRPr="001A677D">
        <w:rPr>
          <w:rStyle w:val="Referencingstyle"/>
        </w:rPr>
        <w:t xml:space="preserve">35 </w:t>
      </w:r>
      <w:r w:rsidRPr="001A677D">
        <w:rPr>
          <w:rStyle w:val="Referencingstyle"/>
        </w:rPr>
        <w:t>paragraphs 11(4)(a),11(4)(b) and 11(4)(c)]</w:t>
      </w:r>
      <w:r w:rsidR="001A677D">
        <w:t xml:space="preserve">  </w:t>
      </w:r>
    </w:p>
    <w:p w:rsidR="0048487F" w:rsidRDefault="0048487F" w:rsidP="0048487F">
      <w:pPr>
        <w:pStyle w:val="base-text-paragraph"/>
      </w:pPr>
      <w:r>
        <w:t>To broaden the scope of operation of the provisions in paragraph</w:t>
      </w:r>
      <w:r w:rsidR="00B03BF0">
        <w:t> </w:t>
      </w:r>
      <w:r>
        <w:t xml:space="preserve">(b) of the definition of </w:t>
      </w:r>
      <w:r w:rsidR="00035750">
        <w:t>‘</w:t>
      </w:r>
      <w:r>
        <w:t>proposal form</w:t>
      </w:r>
      <w:r w:rsidR="00035750">
        <w:t>’</w:t>
      </w:r>
      <w:r>
        <w:t xml:space="preserve"> in subsection 11(1) and in paragraphs 23(a) and 26(3</w:t>
      </w:r>
      <w:proofErr w:type="gramStart"/>
      <w:r>
        <w:t>)(</w:t>
      </w:r>
      <w:proofErr w:type="gramEnd"/>
      <w:r>
        <w:t>a) to encompass other types of group life schemes</w:t>
      </w:r>
      <w:r w:rsidR="00214D95">
        <w:t xml:space="preserve">.  </w:t>
      </w:r>
      <w:r>
        <w:t xml:space="preserve">The phase </w:t>
      </w:r>
      <w:r w:rsidR="00035750">
        <w:t>‘</w:t>
      </w:r>
      <w:r>
        <w:t>superannuation or retirement scheme</w:t>
      </w:r>
      <w:r w:rsidR="00035750">
        <w:t>’</w:t>
      </w:r>
      <w:r>
        <w:t xml:space="preserve"> has been changed to </w:t>
      </w:r>
      <w:r w:rsidR="00035750">
        <w:t>‘</w:t>
      </w:r>
      <w:r>
        <w:t>superannuation, retirement or other group life scheme</w:t>
      </w:r>
      <w:r w:rsidR="00035750">
        <w:t>’</w:t>
      </w:r>
      <w:r w:rsidR="00214D95">
        <w:t xml:space="preserve">.  </w:t>
      </w:r>
      <w:r w:rsidRPr="001A677D">
        <w:rPr>
          <w:rStyle w:val="Referencingstyle"/>
        </w:rPr>
        <w:t xml:space="preserve">[Schedule 6, </w:t>
      </w:r>
      <w:r w:rsidR="00B049D4" w:rsidRPr="001A677D">
        <w:rPr>
          <w:rStyle w:val="Referencingstyle"/>
        </w:rPr>
        <w:t>items 32</w:t>
      </w:r>
      <w:r w:rsidRPr="001A677D">
        <w:rPr>
          <w:rStyle w:val="Referencingstyle"/>
        </w:rPr>
        <w:t>, 3</w:t>
      </w:r>
      <w:r w:rsidR="00B049D4" w:rsidRPr="001A677D">
        <w:rPr>
          <w:rStyle w:val="Referencingstyle"/>
        </w:rPr>
        <w:t>6</w:t>
      </w:r>
      <w:r w:rsidRPr="001A677D">
        <w:rPr>
          <w:rStyle w:val="Referencingstyle"/>
        </w:rPr>
        <w:t xml:space="preserve"> and </w:t>
      </w:r>
      <w:r w:rsidR="00B049D4" w:rsidRPr="001A677D">
        <w:rPr>
          <w:rStyle w:val="Referencingstyle"/>
        </w:rPr>
        <w:t>37</w:t>
      </w:r>
      <w:r w:rsidRPr="001A677D">
        <w:rPr>
          <w:rStyle w:val="Referencingstyle"/>
        </w:rPr>
        <w:t xml:space="preserve">, </w:t>
      </w:r>
      <w:r w:rsidR="00B049D4" w:rsidRPr="001A677D">
        <w:rPr>
          <w:rStyle w:val="Referencingstyle"/>
        </w:rPr>
        <w:t xml:space="preserve">subsection </w:t>
      </w:r>
      <w:r w:rsidRPr="001A677D">
        <w:rPr>
          <w:rStyle w:val="Referencingstyle"/>
        </w:rPr>
        <w:t>11(1), paragraph</w:t>
      </w:r>
      <w:r w:rsidR="00B049D4" w:rsidRPr="001A677D">
        <w:rPr>
          <w:rStyle w:val="Referencingstyle"/>
        </w:rPr>
        <w:t>s</w:t>
      </w:r>
      <w:r w:rsidRPr="001A677D">
        <w:rPr>
          <w:rStyle w:val="Referencingstyle"/>
        </w:rPr>
        <w:t xml:space="preserve"> 23(a)and 26(3)(a)]</w:t>
      </w:r>
      <w:r w:rsidR="001A677D">
        <w:t xml:space="preserve">  </w:t>
      </w:r>
    </w:p>
    <w:p w:rsidR="0048487F" w:rsidRDefault="0048487F" w:rsidP="0048487F">
      <w:pPr>
        <w:pStyle w:val="base-text-paragraph"/>
      </w:pPr>
      <w:r>
        <w:t>To correct a typographic</w:t>
      </w:r>
      <w:r w:rsidR="001838CD">
        <w:t>al error in section 32A, a comma</w:t>
      </w:r>
      <w:r>
        <w:t xml:space="preserve"> has been </w:t>
      </w:r>
      <w:r w:rsidR="001838CD">
        <w:t>added</w:t>
      </w:r>
      <w:r>
        <w:t xml:space="preserve"> to the correct location</w:t>
      </w:r>
      <w:r w:rsidR="00214D95">
        <w:t xml:space="preserve">.  </w:t>
      </w:r>
      <w:r w:rsidRPr="00AF0AD3">
        <w:rPr>
          <w:rStyle w:val="Referencingstyle"/>
        </w:rPr>
        <w:t xml:space="preserve">[Schedule 6, </w:t>
      </w:r>
      <w:r w:rsidR="00B049D4" w:rsidRPr="00AF0AD3">
        <w:rPr>
          <w:rStyle w:val="Referencingstyle"/>
        </w:rPr>
        <w:t>item 39</w:t>
      </w:r>
      <w:r w:rsidRPr="00AF0AD3">
        <w:rPr>
          <w:rStyle w:val="Referencingstyle"/>
        </w:rPr>
        <w:t xml:space="preserve">, </w:t>
      </w:r>
      <w:r w:rsidR="00B049D4" w:rsidRPr="00AF0AD3">
        <w:rPr>
          <w:rStyle w:val="Referencingstyle"/>
        </w:rPr>
        <w:t xml:space="preserve">section </w:t>
      </w:r>
      <w:r w:rsidRPr="00AF0AD3">
        <w:rPr>
          <w:rStyle w:val="Referencingstyle"/>
        </w:rPr>
        <w:t>32A]</w:t>
      </w:r>
    </w:p>
    <w:p w:rsidR="0048487F" w:rsidRDefault="0048487F" w:rsidP="001A677D">
      <w:pPr>
        <w:pStyle w:val="Heading2"/>
      </w:pPr>
      <w:r>
        <w:t>Application and transitional provisions</w:t>
      </w:r>
    </w:p>
    <w:p w:rsidR="0048487F" w:rsidRDefault="0048487F" w:rsidP="006A159E">
      <w:pPr>
        <w:pStyle w:val="Heading4"/>
      </w:pPr>
      <w:r>
        <w:t>Part 1 Requests by third party beneficiar</w:t>
      </w:r>
      <w:r w:rsidR="00B03BF0">
        <w:t>ies to insurers for information</w:t>
      </w:r>
    </w:p>
    <w:p w:rsidR="0048487F" w:rsidRDefault="0048487F" w:rsidP="0048487F">
      <w:pPr>
        <w:pStyle w:val="base-text-paragraph"/>
      </w:pPr>
      <w:r>
        <w:t>Item 2 of Schedule 6 provides that the amendment applies to a contract of liability insurance that was originally entered into after commencement of item 2</w:t>
      </w:r>
      <w:r w:rsidR="00214D95">
        <w:t xml:space="preserve">.  </w:t>
      </w:r>
      <w:r>
        <w:t>The amendment also applies to a contract of liability insurance that was originally entered into before the commencement of item 2 and is renewed after that commencement</w:t>
      </w:r>
      <w:r w:rsidR="00214D95">
        <w:t xml:space="preserve">.  </w:t>
      </w:r>
    </w:p>
    <w:p w:rsidR="0048487F" w:rsidRDefault="0048487F" w:rsidP="0048487F">
      <w:pPr>
        <w:pStyle w:val="base-text-paragraph"/>
      </w:pPr>
      <w:r>
        <w:t>By operation of clause 2, item 2 of Schedule 6 commences after the end of the period of 12 months beginning on the day the Act receives the Royal Assent.</w:t>
      </w:r>
    </w:p>
    <w:p w:rsidR="0048487F" w:rsidRDefault="0048487F" w:rsidP="006A159E">
      <w:pPr>
        <w:pStyle w:val="Heading4"/>
      </w:pPr>
      <w:r>
        <w:t>Part 2</w:t>
      </w:r>
      <w:r w:rsidR="00214D95">
        <w:noBreakHyphen/>
      </w:r>
      <w:r>
        <w:t xml:space="preserve"> Insurers</w:t>
      </w:r>
      <w:r w:rsidR="00035750">
        <w:t>’</w:t>
      </w:r>
      <w:r>
        <w:t xml:space="preserve"> defences in actions by third party beneficiaries </w:t>
      </w:r>
    </w:p>
    <w:p w:rsidR="0048487F" w:rsidRDefault="0048487F" w:rsidP="0048487F">
      <w:pPr>
        <w:pStyle w:val="base-text-paragraph"/>
      </w:pPr>
      <w:r>
        <w:t xml:space="preserve">The amendments made by items 3 to </w:t>
      </w:r>
      <w:r w:rsidR="00B049D4">
        <w:t xml:space="preserve">7 </w:t>
      </w:r>
      <w:r>
        <w:t xml:space="preserve">in Part 2 of Schedule 6 apply to a contract of general insurance originally entered into after the commencement of sub item </w:t>
      </w:r>
      <w:r w:rsidR="00B049D4">
        <w:t>14</w:t>
      </w:r>
      <w:r>
        <w:t>(1)</w:t>
      </w:r>
      <w:r w:rsidR="00214D95">
        <w:t xml:space="preserve">.  </w:t>
      </w:r>
    </w:p>
    <w:p w:rsidR="0048487F" w:rsidRDefault="0048487F" w:rsidP="0048487F">
      <w:pPr>
        <w:pStyle w:val="base-text-paragraph"/>
      </w:pPr>
      <w:r>
        <w:t>The amendments also apply to a contract of general insurance that was originally entered into before the commencement of sub item</w:t>
      </w:r>
      <w:r w:rsidR="00B03BF0">
        <w:t> </w:t>
      </w:r>
      <w:r w:rsidR="00B049D4">
        <w:t>14</w:t>
      </w:r>
      <w:r>
        <w:t>(1) and is renewed after that commencement</w:t>
      </w:r>
      <w:r w:rsidR="00214D95">
        <w:t xml:space="preserve">.  </w:t>
      </w:r>
    </w:p>
    <w:p w:rsidR="003174CF" w:rsidRDefault="0048487F" w:rsidP="0048487F">
      <w:pPr>
        <w:pStyle w:val="base-text-paragraph"/>
      </w:pPr>
      <w:r>
        <w:lastRenderedPageBreak/>
        <w:t xml:space="preserve">The amendments made by items </w:t>
      </w:r>
      <w:r w:rsidR="00B049D4">
        <w:t xml:space="preserve">8 </w:t>
      </w:r>
      <w:r>
        <w:t xml:space="preserve">to </w:t>
      </w:r>
      <w:r w:rsidR="00B049D4">
        <w:t xml:space="preserve">13 </w:t>
      </w:r>
      <w:r>
        <w:t xml:space="preserve">in Part 2 of Schedule 6 apply </w:t>
      </w:r>
      <w:r w:rsidR="003174CF">
        <w:t>as follows:</w:t>
      </w:r>
    </w:p>
    <w:p w:rsidR="00B049D4" w:rsidRDefault="0048487F" w:rsidP="003174CF">
      <w:pPr>
        <w:pStyle w:val="dotpoint"/>
      </w:pPr>
      <w:proofErr w:type="gramStart"/>
      <w:r>
        <w:t>to</w:t>
      </w:r>
      <w:proofErr w:type="gramEnd"/>
      <w:r>
        <w:t xml:space="preserve"> a contract of life insurance that was originally entered into after the commencement of sub item </w:t>
      </w:r>
      <w:r w:rsidR="00B049D4">
        <w:t>14</w:t>
      </w:r>
      <w:r>
        <w:t>(2)</w:t>
      </w:r>
      <w:r w:rsidR="00214D95">
        <w:t xml:space="preserve">.  </w:t>
      </w:r>
    </w:p>
    <w:p w:rsidR="00B049D4" w:rsidRDefault="00B049D4" w:rsidP="003174CF">
      <w:pPr>
        <w:pStyle w:val="dotpoint"/>
      </w:pPr>
      <w:r>
        <w:t xml:space="preserve">if </w:t>
      </w:r>
    </w:p>
    <w:p w:rsidR="00B049D4" w:rsidRDefault="00B049D4" w:rsidP="003174CF">
      <w:pPr>
        <w:pStyle w:val="dotpoint2"/>
      </w:pPr>
      <w:r>
        <w:t>the contract is a contract of life insurance that was originally entered into before commencement of sub item</w:t>
      </w:r>
      <w:r w:rsidR="00B03BF0">
        <w:t> </w:t>
      </w:r>
      <w:r>
        <w:t>14(2) and is varied after that commencement to increase a sum insured under the contract or provide one or</w:t>
      </w:r>
      <w:r w:rsidR="001A677D">
        <w:t xml:space="preserve"> more additional kinds of cover; </w:t>
      </w:r>
    </w:p>
    <w:p w:rsidR="00B049D4" w:rsidRDefault="001A677D" w:rsidP="003174CF">
      <w:pPr>
        <w:pStyle w:val="dotpoint2"/>
      </w:pPr>
      <w:r>
        <w:t>t</w:t>
      </w:r>
      <w:r w:rsidR="00B049D4">
        <w:t xml:space="preserve">he variation was not an automatic variation but was required to be expressly </w:t>
      </w:r>
      <w:r w:rsidR="00295AB7">
        <w:t>agreed</w:t>
      </w:r>
      <w:r w:rsidR="00B049D4">
        <w:t xml:space="preserve"> between the insurer and the insured</w:t>
      </w:r>
      <w:r w:rsidR="003174CF">
        <w:t xml:space="preserve"> before the contract was varied;</w:t>
      </w:r>
      <w:r w:rsidR="00B03BF0">
        <w:t xml:space="preserve"> and</w:t>
      </w:r>
    </w:p>
    <w:p w:rsidR="00B049D4" w:rsidRDefault="00B049D4" w:rsidP="003174CF">
      <w:pPr>
        <w:pStyle w:val="dotpoint2"/>
        <w:numPr>
          <w:ilvl w:val="0"/>
          <w:numId w:val="0"/>
        </w:numPr>
        <w:ind w:left="2552"/>
      </w:pPr>
      <w:proofErr w:type="gramStart"/>
      <w:r>
        <w:t>then</w:t>
      </w:r>
      <w:proofErr w:type="gramEnd"/>
      <w:r>
        <w:t xml:space="preserve"> the contract is treated, to the extent of the variation, as if it had been originally entered into after the commencement of </w:t>
      </w:r>
      <w:r w:rsidR="009B5AFE">
        <w:t xml:space="preserve">sub </w:t>
      </w:r>
      <w:r w:rsidR="00BC1A36">
        <w:t xml:space="preserve">item </w:t>
      </w:r>
      <w:r w:rsidR="009B5AFE">
        <w:t xml:space="preserve">12(2) </w:t>
      </w:r>
      <w:r>
        <w:t>and the amendments apply to the contract to</w:t>
      </w:r>
      <w:r w:rsidR="009B5AFE">
        <w:t xml:space="preserve"> the extent of the variation</w:t>
      </w:r>
      <w:r w:rsidR="00214D95">
        <w:t xml:space="preserve">.  </w:t>
      </w:r>
    </w:p>
    <w:p w:rsidR="0048487F" w:rsidRDefault="0048487F" w:rsidP="0048487F">
      <w:pPr>
        <w:pStyle w:val="base-text-paragraph"/>
      </w:pPr>
      <w:r>
        <w:t xml:space="preserve">By operation of clause 2, item </w:t>
      </w:r>
      <w:r w:rsidR="009B5AFE">
        <w:t xml:space="preserve">14 </w:t>
      </w:r>
      <w:r>
        <w:t>of Schedule 6 commences at the end of the period of 12 months beginning on the day the Act receives the Royal Assent.</w:t>
      </w:r>
    </w:p>
    <w:p w:rsidR="0048487F" w:rsidRDefault="0048487F" w:rsidP="006A159E">
      <w:pPr>
        <w:pStyle w:val="Heading4"/>
      </w:pPr>
      <w:r>
        <w:t>Part 3</w:t>
      </w:r>
      <w:r w:rsidR="0014053A">
        <w:t xml:space="preserve"> — </w:t>
      </w:r>
      <w:r>
        <w:t>Rights and obligations of third party beneficiaries under life insurance c</w:t>
      </w:r>
      <w:r w:rsidR="00B03BF0">
        <w:t>ontracts</w:t>
      </w:r>
    </w:p>
    <w:p w:rsidR="003174CF" w:rsidRDefault="0048487F" w:rsidP="0048487F">
      <w:pPr>
        <w:pStyle w:val="base-text-paragraph"/>
      </w:pPr>
      <w:r>
        <w:t xml:space="preserve">The amendment in Part 3 of Schedule 6 applies </w:t>
      </w:r>
      <w:r w:rsidR="003174CF">
        <w:t xml:space="preserve">as follows: </w:t>
      </w:r>
    </w:p>
    <w:p w:rsidR="0048487F" w:rsidRDefault="0048487F" w:rsidP="003174CF">
      <w:pPr>
        <w:pStyle w:val="dotpoint"/>
      </w:pPr>
      <w:proofErr w:type="gramStart"/>
      <w:r>
        <w:t>to</w:t>
      </w:r>
      <w:proofErr w:type="gramEnd"/>
      <w:r>
        <w:t xml:space="preserve"> a contract of life insurance that was originally entered into after the commencement of item </w:t>
      </w:r>
      <w:r w:rsidR="009B5AFE">
        <w:t>17</w:t>
      </w:r>
      <w:r w:rsidR="00214D95">
        <w:t xml:space="preserve">.  </w:t>
      </w:r>
    </w:p>
    <w:p w:rsidR="009B5AFE" w:rsidRDefault="009B5AFE" w:rsidP="003174CF">
      <w:pPr>
        <w:pStyle w:val="dotpoint"/>
      </w:pPr>
      <w:r>
        <w:t xml:space="preserve">if </w:t>
      </w:r>
    </w:p>
    <w:p w:rsidR="009B5AFE" w:rsidRDefault="009B5AFE" w:rsidP="003174CF">
      <w:pPr>
        <w:pStyle w:val="dotpoint2"/>
      </w:pPr>
      <w:r>
        <w:t>the contract is a contract of life insurance that was originally entered into before commencement of item 17 and is varied after that commencement to increase a sum insured under the contract or provide one or more additional kinds of cover</w:t>
      </w:r>
      <w:r w:rsidR="001A677D">
        <w:t>;</w:t>
      </w:r>
      <w:r w:rsidR="001A677D" w:rsidRPr="001A677D">
        <w:t xml:space="preserve"> </w:t>
      </w:r>
    </w:p>
    <w:p w:rsidR="009B5AFE" w:rsidRDefault="001A677D" w:rsidP="003174CF">
      <w:pPr>
        <w:pStyle w:val="dotpoint2"/>
      </w:pPr>
      <w:r>
        <w:t>t</w:t>
      </w:r>
      <w:r w:rsidR="009B5AFE">
        <w:t xml:space="preserve">he variation was not an automatic variation but was required to be expressly </w:t>
      </w:r>
      <w:r w:rsidR="00295AB7">
        <w:t>agreed</w:t>
      </w:r>
      <w:r w:rsidR="009B5AFE">
        <w:t xml:space="preserve"> between the insurer and the insured</w:t>
      </w:r>
      <w:r>
        <w:t xml:space="preserve"> before the contract was varied; </w:t>
      </w:r>
      <w:r w:rsidR="00B03BF0">
        <w:t>and</w:t>
      </w:r>
    </w:p>
    <w:p w:rsidR="009B5AFE" w:rsidRDefault="009B5AFE" w:rsidP="003174CF">
      <w:pPr>
        <w:pStyle w:val="dotpoint2"/>
        <w:numPr>
          <w:ilvl w:val="0"/>
          <w:numId w:val="0"/>
        </w:numPr>
        <w:ind w:left="2552"/>
      </w:pPr>
      <w:proofErr w:type="gramStart"/>
      <w:r>
        <w:lastRenderedPageBreak/>
        <w:t>then</w:t>
      </w:r>
      <w:proofErr w:type="gramEnd"/>
      <w:r>
        <w:t xml:space="preserve"> the contract is treated, to the extent of the variation, as if it had been originally entered into after the commencement of item 17 and the amendments apply to the contract to the extent of the variation</w:t>
      </w:r>
      <w:r w:rsidR="0014053A">
        <w:t>.</w:t>
      </w:r>
    </w:p>
    <w:p w:rsidR="0048487F" w:rsidRDefault="0048487F" w:rsidP="0048487F">
      <w:pPr>
        <w:pStyle w:val="base-text-paragraph"/>
      </w:pPr>
      <w:r>
        <w:t xml:space="preserve">By operation of clause 2, item </w:t>
      </w:r>
      <w:r w:rsidR="009B5AFE">
        <w:t xml:space="preserve">17 </w:t>
      </w:r>
      <w:r>
        <w:t>of Schedule 6 commences at the end of the period of 12 months beginning on the day the Act receives the Royal Assent.</w:t>
      </w:r>
    </w:p>
    <w:p w:rsidR="0048487F" w:rsidRDefault="0048487F" w:rsidP="006A159E">
      <w:pPr>
        <w:pStyle w:val="Heading4"/>
      </w:pPr>
      <w:r>
        <w:t>Part 4</w:t>
      </w:r>
      <w:r w:rsidR="0014053A">
        <w:t xml:space="preserve"> — </w:t>
      </w:r>
      <w:r>
        <w:t>Rights of third party to recover against insurers</w:t>
      </w:r>
    </w:p>
    <w:p w:rsidR="0048487F" w:rsidRDefault="0048487F" w:rsidP="0048487F">
      <w:pPr>
        <w:pStyle w:val="base-text-paragraph"/>
      </w:pPr>
      <w:r>
        <w:t>The amendments in Part 4 of Schedule 6 apply to a contract of liability insurance originally entered into after the commencement of item</w:t>
      </w:r>
      <w:r w:rsidR="00B03BF0">
        <w:t> </w:t>
      </w:r>
      <w:r>
        <w:t>18</w:t>
      </w:r>
      <w:r w:rsidR="00214D95">
        <w:t xml:space="preserve">.  </w:t>
      </w:r>
      <w:r>
        <w:t>The amendments also apply to a contract of liability insurance that was originally entered into before the commencement of item 18 and is renewed after that commencement</w:t>
      </w:r>
      <w:r w:rsidR="00214D95">
        <w:t xml:space="preserve">.  </w:t>
      </w:r>
    </w:p>
    <w:p w:rsidR="0048487F" w:rsidRDefault="0048487F" w:rsidP="0048487F">
      <w:pPr>
        <w:pStyle w:val="base-text-paragraph"/>
      </w:pPr>
      <w:r>
        <w:t xml:space="preserve">By operation of clause 2, item </w:t>
      </w:r>
      <w:r w:rsidR="009B5AFE">
        <w:t xml:space="preserve">22 </w:t>
      </w:r>
      <w:r>
        <w:t>of Schedule 6 commences on the day after the end of the period of 12 months beginning on the day the Act receives the Royal Assent.</w:t>
      </w:r>
    </w:p>
    <w:p w:rsidR="0048487F" w:rsidRDefault="0048487F" w:rsidP="006A159E">
      <w:pPr>
        <w:pStyle w:val="Heading4"/>
      </w:pPr>
      <w:r>
        <w:t>Part 5</w:t>
      </w:r>
      <w:r w:rsidR="0014053A">
        <w:t xml:space="preserve"> — </w:t>
      </w:r>
      <w:r>
        <w:t>Representative actions by ASIC on beha</w:t>
      </w:r>
      <w:r w:rsidR="002401F9">
        <w:t>lf of third party beneficiaries</w:t>
      </w:r>
    </w:p>
    <w:p w:rsidR="0048487F" w:rsidRDefault="006A159E" w:rsidP="0048487F">
      <w:pPr>
        <w:pStyle w:val="base-text-paragraph"/>
      </w:pPr>
      <w:r>
        <w:t>T</w:t>
      </w:r>
      <w:r w:rsidR="0048487F">
        <w:t>he amendments apply to contracts of insurance whether originally entered into before or after the commencement of item 2</w:t>
      </w:r>
      <w:r w:rsidR="009B5AFE">
        <w:t>9</w:t>
      </w:r>
      <w:r w:rsidR="00214D95">
        <w:t xml:space="preserve">.  </w:t>
      </w:r>
    </w:p>
    <w:p w:rsidR="0048487F" w:rsidRDefault="0048487F" w:rsidP="0048487F">
      <w:pPr>
        <w:pStyle w:val="base-text-paragraph"/>
      </w:pPr>
      <w:r>
        <w:t xml:space="preserve">By operation of clause 2, item </w:t>
      </w:r>
      <w:r w:rsidR="009B5AFE">
        <w:t xml:space="preserve">29 </w:t>
      </w:r>
      <w:r>
        <w:t>of Schedule 6 commences on the day the Act receives the Royal Assent.</w:t>
      </w:r>
    </w:p>
    <w:p w:rsidR="0048487F" w:rsidRDefault="0048487F" w:rsidP="006A159E">
      <w:pPr>
        <w:pStyle w:val="Heading4"/>
      </w:pPr>
      <w:r>
        <w:t>Part 6</w:t>
      </w:r>
      <w:r w:rsidR="0014053A">
        <w:t xml:space="preserve"> — </w:t>
      </w:r>
      <w:r>
        <w:t>Non</w:t>
      </w:r>
      <w:r w:rsidR="00214D95">
        <w:noBreakHyphen/>
      </w:r>
      <w:r>
        <w:t xml:space="preserve">disclosure or misrepresentation by member </w:t>
      </w:r>
      <w:r w:rsidR="00B03BF0">
        <w:t>of group life insurance schemes</w:t>
      </w:r>
    </w:p>
    <w:p w:rsidR="00A21C26" w:rsidRDefault="0048487F" w:rsidP="0048487F">
      <w:pPr>
        <w:pStyle w:val="base-text-paragraph"/>
      </w:pPr>
      <w:r>
        <w:t xml:space="preserve">The amendments relating to replacement of the term </w:t>
      </w:r>
      <w:r w:rsidR="00035750">
        <w:t>‘</w:t>
      </w:r>
      <w:r>
        <w:t>blanket superannuation contract</w:t>
      </w:r>
      <w:r w:rsidR="00035750">
        <w:t>’</w:t>
      </w:r>
      <w:r>
        <w:t xml:space="preserve"> by items </w:t>
      </w:r>
      <w:r w:rsidR="009B5AFE">
        <w:t>30, 33, 34, 35 and 39</w:t>
      </w:r>
      <w:r>
        <w:t xml:space="preserve"> apply to a contract of life insurance whether originally entered into prior to, or subsequent to, the commencement of item </w:t>
      </w:r>
      <w:r w:rsidR="009B5AFE">
        <w:t>40</w:t>
      </w:r>
      <w:r w:rsidR="00214D95">
        <w:t xml:space="preserve">.  </w:t>
      </w:r>
      <w:r>
        <w:t>The amendment</w:t>
      </w:r>
      <w:r w:rsidR="009B5AFE">
        <w:t xml:space="preserve">s made by items 31, 32 and 36 to 38 </w:t>
      </w:r>
      <w:r>
        <w:t xml:space="preserve"> </w:t>
      </w:r>
      <w:r w:rsidR="009B5AFE">
        <w:t xml:space="preserve">apply </w:t>
      </w:r>
      <w:r w:rsidR="00A21C26">
        <w:t>as follows:</w:t>
      </w:r>
    </w:p>
    <w:p w:rsidR="0048487F" w:rsidRDefault="009B5AFE" w:rsidP="00A21C26">
      <w:pPr>
        <w:pStyle w:val="dotpoint"/>
      </w:pPr>
      <w:proofErr w:type="gramStart"/>
      <w:r>
        <w:t>to</w:t>
      </w:r>
      <w:proofErr w:type="gramEnd"/>
      <w:r>
        <w:t xml:space="preserve"> a contract of life insurance that is originally entered into after the commencement </w:t>
      </w:r>
      <w:r w:rsidR="001838CD">
        <w:t>of item40</w:t>
      </w:r>
      <w:r w:rsidR="004D1963">
        <w:t>.</w:t>
      </w:r>
    </w:p>
    <w:p w:rsidR="009B5AFE" w:rsidRDefault="009B5AFE" w:rsidP="00A21C26">
      <w:pPr>
        <w:pStyle w:val="dotpoint"/>
      </w:pPr>
      <w:r>
        <w:t xml:space="preserve">if </w:t>
      </w:r>
    </w:p>
    <w:p w:rsidR="009B5AFE" w:rsidRDefault="009B5AFE" w:rsidP="00A21C26">
      <w:pPr>
        <w:pStyle w:val="dotpoint2"/>
      </w:pPr>
      <w:r>
        <w:t xml:space="preserve">the contract is a contract of life insurance that was originally entered into before commencement of item 40 and is varied after that commencement to increase a sum </w:t>
      </w:r>
      <w:r>
        <w:lastRenderedPageBreak/>
        <w:t>insured under the contract or provide one or</w:t>
      </w:r>
      <w:r w:rsidR="003174CF">
        <w:t xml:space="preserve"> more additional kinds of cover; </w:t>
      </w:r>
    </w:p>
    <w:p w:rsidR="009B5AFE" w:rsidRDefault="003174CF" w:rsidP="00A21C26">
      <w:pPr>
        <w:pStyle w:val="dotpoint2"/>
      </w:pPr>
      <w:r>
        <w:t>t</w:t>
      </w:r>
      <w:r w:rsidR="009B5AFE">
        <w:t xml:space="preserve">he variation was not an automatic variation but was required to be expressly </w:t>
      </w:r>
      <w:r w:rsidR="00295AB7">
        <w:t>agreed</w:t>
      </w:r>
      <w:r w:rsidR="009B5AFE">
        <w:t xml:space="preserve"> between the insurer and the insured</w:t>
      </w:r>
      <w:r>
        <w:t xml:space="preserve"> before the contract was varied;</w:t>
      </w:r>
      <w:r w:rsidR="00B03BF0">
        <w:t xml:space="preserve"> and</w:t>
      </w:r>
    </w:p>
    <w:p w:rsidR="009B5AFE" w:rsidRDefault="009B5AFE" w:rsidP="00A21C26">
      <w:pPr>
        <w:pStyle w:val="dotpoint2"/>
        <w:numPr>
          <w:ilvl w:val="0"/>
          <w:numId w:val="0"/>
        </w:numPr>
        <w:ind w:left="2552"/>
      </w:pPr>
      <w:proofErr w:type="gramStart"/>
      <w:r>
        <w:t>then</w:t>
      </w:r>
      <w:proofErr w:type="gramEnd"/>
      <w:r>
        <w:t xml:space="preserve"> the contract is treated, to the extent of the variation, as if it had been originally entered into </w:t>
      </w:r>
      <w:r w:rsidR="003174CF">
        <w:t xml:space="preserve">after the commencement of item </w:t>
      </w:r>
      <w:r>
        <w:t>40 and the amendments apply to the contract to the extent of the variation</w:t>
      </w:r>
      <w:r w:rsidR="0014053A">
        <w:t>.</w:t>
      </w:r>
    </w:p>
    <w:p w:rsidR="0048487F" w:rsidRPr="00AF0AD3" w:rsidRDefault="0048487F" w:rsidP="0048487F">
      <w:pPr>
        <w:pStyle w:val="base-text-paragraph"/>
        <w:rPr>
          <w:rStyle w:val="Referencingstyle"/>
        </w:rPr>
      </w:pPr>
      <w:r>
        <w:t xml:space="preserve">By operation of clause 2, </w:t>
      </w:r>
      <w:r w:rsidR="009B5AFE">
        <w:t xml:space="preserve">item 40 </w:t>
      </w:r>
      <w:r>
        <w:t>of Schedule 6 commences on the day after the end of the period of 12 months beginning on the day the Act receives the Royal Assent</w:t>
      </w:r>
      <w:r w:rsidR="00214D95">
        <w:t xml:space="preserve">.  </w:t>
      </w:r>
    </w:p>
    <w:p w:rsidR="0048487F" w:rsidRDefault="0048487F" w:rsidP="006A159E">
      <w:pPr>
        <w:pStyle w:val="Heading2"/>
      </w:pPr>
      <w:r>
        <w:t>Schedule 7</w:t>
      </w:r>
      <w:r w:rsidR="0014053A">
        <w:t xml:space="preserve"> — </w:t>
      </w:r>
      <w:r>
        <w:t>Subrogation</w:t>
      </w:r>
    </w:p>
    <w:p w:rsidR="0048487F" w:rsidRDefault="0048487F" w:rsidP="0048487F">
      <w:pPr>
        <w:pStyle w:val="base-text-paragraph"/>
      </w:pPr>
      <w:r>
        <w:t>In the case of indemnity insurance, unless excluded by the terms of the contract, there is a right for an insurer to bring an action in the name of the insured (that is, the insurer is subrogated to the rights and remedies of the insured in respect of the subject matter insured) to pursue any claims the insured may have against third parties which have contributed to a loss</w:t>
      </w:r>
      <w:r w:rsidR="00214D95">
        <w:t xml:space="preserve">.  </w:t>
      </w:r>
      <w:r>
        <w:t>So if, for example, an insurer pays a claim to an insured arising from a motor vehicle collision, the insurer may, in the name of the insured, pursue actions against the person who caused the collision.</w:t>
      </w:r>
    </w:p>
    <w:p w:rsidR="0048487F" w:rsidRDefault="0048487F" w:rsidP="0048487F">
      <w:pPr>
        <w:pStyle w:val="base-text-paragraph"/>
      </w:pPr>
      <w:r>
        <w:t>The amount recovered from the third party is often not equal to the amount the insurer has paid to the insured in respect of the loss</w:t>
      </w:r>
      <w:r w:rsidR="00214D95">
        <w:t xml:space="preserve">.  </w:t>
      </w:r>
      <w:r>
        <w:t>The costs of the action, and any difference between the amount of the loss and the amount insured, must also be considered when deciding to whom any recovered moneys should be paid.</w:t>
      </w:r>
    </w:p>
    <w:p w:rsidR="0048487F" w:rsidRDefault="0048487F" w:rsidP="0048487F">
      <w:pPr>
        <w:pStyle w:val="base-text-paragraph"/>
      </w:pPr>
      <w:r>
        <w:t>Section 67 of the ICA provides rules for how moneys recovered from a third party by an insurer under a right of subrogation should be divided between the insurer and the insured</w:t>
      </w:r>
      <w:r w:rsidR="00214D95">
        <w:t xml:space="preserve">.  </w:t>
      </w:r>
      <w:r>
        <w:t>The Review Panel listed a number of criticis</w:t>
      </w:r>
      <w:r w:rsidR="00B03BF0">
        <w:t>ms of section 67 in its review.</w:t>
      </w:r>
    </w:p>
    <w:p w:rsidR="00600AEF" w:rsidRDefault="00600AEF" w:rsidP="00600AEF">
      <w:pPr>
        <w:pStyle w:val="base-text-paragraph"/>
      </w:pPr>
      <w:r>
        <w:br w:type="page"/>
      </w:r>
    </w:p>
    <w:p w:rsidR="00600AEF" w:rsidRDefault="00600AEF" w:rsidP="00600AEF">
      <w:pPr>
        <w:pStyle w:val="base-text-paragraph"/>
      </w:pPr>
      <w:r w:rsidRPr="00600AEF">
        <w:lastRenderedPageBreak/>
        <w:t>To address some of the difficulties experienced, existing section</w:t>
      </w:r>
      <w:r>
        <w:t> </w:t>
      </w:r>
      <w:r w:rsidRPr="00600AEF">
        <w:t>67 has been replaced with new section 67.  New section 67 contains rules that are intended to provide for the division of any proceeds from a recovery action.  This provision is based on the following principles:</w:t>
      </w:r>
    </w:p>
    <w:p w:rsidR="0048487F" w:rsidRDefault="0048487F" w:rsidP="00600AEF">
      <w:pPr>
        <w:pStyle w:val="dotpoint"/>
      </w:pPr>
      <w:r>
        <w:t>First, the party taking the recovery action should be entitled to reimbursement for the administrative and legal costs of that action from any moneys recovered</w:t>
      </w:r>
      <w:r w:rsidR="00214D95">
        <w:t xml:space="preserve">.  </w:t>
      </w:r>
      <w:r>
        <w:t xml:space="preserve">If </w:t>
      </w:r>
      <w:proofErr w:type="gramStart"/>
      <w:r>
        <w:t>both parties</w:t>
      </w:r>
      <w:proofErr w:type="gramEnd"/>
      <w:r>
        <w:t xml:space="preserve"> contribute, they both should be reimbursed (see new subsection 67(4)), or share the reimbursement pro rata if there is insufficient recovered money to reimburse both in full (see new subsection 67(5)).</w:t>
      </w:r>
    </w:p>
    <w:p w:rsidR="0048487F" w:rsidRDefault="0048487F" w:rsidP="006A159E">
      <w:pPr>
        <w:pStyle w:val="dotpoint"/>
      </w:pPr>
      <w:r>
        <w:t>Secondly, there are three possibilities for distribution of remaining sums depending on who has funded the recovery action.</w:t>
      </w:r>
    </w:p>
    <w:p w:rsidR="0048487F" w:rsidRDefault="0048487F" w:rsidP="006A159E">
      <w:pPr>
        <w:pStyle w:val="dotpoint2"/>
      </w:pPr>
      <w:r>
        <w:t>If the insurer funds the recovery action pursuant to its rights of subrogation, it is entitled to an amount equal to the amount that it has paid to the insured under the contract of insurance</w:t>
      </w:r>
      <w:r w:rsidR="00214D95">
        <w:t xml:space="preserve">.  </w:t>
      </w:r>
      <w:r>
        <w:t>The insured is then entitled to any further amount necessary for it to ultimately recover from the insurer under the contract of insurance or the third party in the recovery action, or both in combination, the full amount of its loss (not just the measure of indemnity under the policy)</w:t>
      </w:r>
      <w:r w:rsidR="00214D95">
        <w:t xml:space="preserve">.  </w:t>
      </w:r>
      <w:r>
        <w:t>This entitlement does not diminish the insured</w:t>
      </w:r>
      <w:r w:rsidR="00035750">
        <w:t>’</w:t>
      </w:r>
      <w:r>
        <w:t>s right to receive payment under the policy in a prompt manner in accordance with the terms of the contract and the insurer</w:t>
      </w:r>
      <w:r w:rsidR="00035750">
        <w:t>’</w:t>
      </w:r>
      <w:r>
        <w:t>s obligation to pay promptly, subject to any contrary agreement between the parties (see</w:t>
      </w:r>
      <w:r w:rsidR="00EC10E2">
        <w:t> </w:t>
      </w:r>
      <w:r>
        <w:t>new subsection 67(2)).</w:t>
      </w:r>
    </w:p>
    <w:p w:rsidR="0048487F" w:rsidRDefault="0048487F" w:rsidP="006A159E">
      <w:pPr>
        <w:pStyle w:val="dotpoint2"/>
      </w:pPr>
      <w:r>
        <w:t>If the insured funds the recovery action, the order in the preceding paragraph is reversed</w:t>
      </w:r>
      <w:r w:rsidR="00214D95">
        <w:t xml:space="preserve">.  </w:t>
      </w:r>
      <w:r>
        <w:t>The insured is entitled to retain an amount so that the total that it receives from the recovery action and under the policy is equal to its total loss</w:t>
      </w:r>
      <w:r w:rsidR="00214D95">
        <w:t xml:space="preserve">.  </w:t>
      </w:r>
      <w:r>
        <w:t>The insurer is entitled at this point to an amount equal to the amount that it has paid to the insured under the insurance contract (see new subsection 67(3)).</w:t>
      </w:r>
    </w:p>
    <w:p w:rsidR="0048487F" w:rsidRDefault="0048487F" w:rsidP="006A159E">
      <w:pPr>
        <w:pStyle w:val="dotpoint2"/>
      </w:pPr>
      <w:r>
        <w:t>If the action is funded jointly by both the insurer and insured, they are both entitled to the same amounts as referred to in (a) and (b) above pro rata if there are insufficient funds to reimburse them in full (see new subsection 67(5)).</w:t>
      </w:r>
    </w:p>
    <w:p w:rsidR="0048487F" w:rsidRDefault="0048487F" w:rsidP="006A159E">
      <w:pPr>
        <w:pStyle w:val="dotpoint"/>
      </w:pPr>
      <w:r>
        <w:lastRenderedPageBreak/>
        <w:t>Thirdly, any excess or windfall recovery is then to be distributed to both parties in the same proportions as they contributed to the administrative and legal costs of the recovery action (see new subsection 67(7))</w:t>
      </w:r>
      <w:r w:rsidR="00214D95">
        <w:t xml:space="preserve">.  </w:t>
      </w:r>
      <w:r>
        <w:t>Through this process, the party (or parties) that bore most of the cost and risk of the recovery action should receive the benefit of the windfall</w:t>
      </w:r>
      <w:r w:rsidR="00214D95">
        <w:t xml:space="preserve">.  </w:t>
      </w:r>
      <w:r>
        <w:t>Most commonly this would be the insurer</w:t>
      </w:r>
      <w:r w:rsidR="0014053A">
        <w:t xml:space="preserve"> — </w:t>
      </w:r>
      <w:r>
        <w:t>but the insurer only gets the benefit after the insured has received full recovery for all its losses, because the insured would have been entitled to these losses as damages from the third party, whether or not there was any insurance in place.</w:t>
      </w:r>
    </w:p>
    <w:p w:rsidR="0048487F" w:rsidRDefault="0048487F" w:rsidP="006A159E">
      <w:pPr>
        <w:pStyle w:val="dotpoint"/>
      </w:pPr>
      <w:r>
        <w:t>Finally, any separate or identifiable component in respect of interest should be divided fairly between the parties, having regard to the amounts that each has recovered and the periods of time for which each party lost the use of their funds.</w:t>
      </w:r>
    </w:p>
    <w:p w:rsidR="0048487F" w:rsidRPr="00AF0AD3" w:rsidRDefault="0048487F" w:rsidP="003174CF">
      <w:pPr>
        <w:pStyle w:val="dotpoint"/>
        <w:numPr>
          <w:ilvl w:val="0"/>
          <w:numId w:val="0"/>
        </w:numPr>
        <w:ind w:left="2268"/>
        <w:rPr>
          <w:rStyle w:val="Referencingstyle"/>
        </w:rPr>
      </w:pPr>
      <w:r w:rsidRPr="00AF0AD3">
        <w:rPr>
          <w:rStyle w:val="Referencingstyle"/>
        </w:rPr>
        <w:t xml:space="preserve">[Schedule 7, </w:t>
      </w:r>
      <w:r w:rsidR="00C37514" w:rsidRPr="00AF0AD3">
        <w:rPr>
          <w:rStyle w:val="Referencingstyle"/>
        </w:rPr>
        <w:t xml:space="preserve">item </w:t>
      </w:r>
      <w:r w:rsidRPr="00AF0AD3">
        <w:rPr>
          <w:rStyle w:val="Referencingstyle"/>
        </w:rPr>
        <w:t xml:space="preserve">2, </w:t>
      </w:r>
      <w:r w:rsidR="00C37514" w:rsidRPr="00AF0AD3">
        <w:rPr>
          <w:rStyle w:val="Referencingstyle"/>
        </w:rPr>
        <w:t xml:space="preserve">section </w:t>
      </w:r>
      <w:r w:rsidRPr="00AF0AD3">
        <w:rPr>
          <w:rStyle w:val="Referencingstyle"/>
        </w:rPr>
        <w:t xml:space="preserve">67] </w:t>
      </w:r>
    </w:p>
    <w:p w:rsidR="0048487F" w:rsidRDefault="0048487F" w:rsidP="0048487F">
      <w:pPr>
        <w:pStyle w:val="base-text-paragraph"/>
      </w:pPr>
      <w:r>
        <w:t>New subsection 67(9) provides that the rights of the insurer and insured (or third party beneficiary) under section 67 may be modified by the terms of the relevant insurance contract.</w:t>
      </w:r>
    </w:p>
    <w:p w:rsidR="0048487F" w:rsidRDefault="0048487F" w:rsidP="0048487F">
      <w:pPr>
        <w:pStyle w:val="base-text-paragraph"/>
      </w:pPr>
      <w:r>
        <w:t>The Review Panel had also recommended, for the purposes of the new section 67, that third party beneficiaries should be treated as insureds</w:t>
      </w:r>
      <w:r w:rsidR="00214D95">
        <w:t xml:space="preserve">.  </w:t>
      </w:r>
      <w:r>
        <w:t>Accordingly, the same principles of subrogation apply whether the person being indemnified is the insured party or a third party beneficiary to whom the indemnity cover extends</w:t>
      </w:r>
      <w:r w:rsidR="00214D95">
        <w:t xml:space="preserve">.  </w:t>
      </w:r>
      <w:r w:rsidRPr="00AF0AD3">
        <w:rPr>
          <w:rStyle w:val="Referencingstyle"/>
        </w:rPr>
        <w:t xml:space="preserve">[Schedule 7, </w:t>
      </w:r>
      <w:r w:rsidR="00C37514" w:rsidRPr="00AF0AD3">
        <w:rPr>
          <w:rStyle w:val="Referencingstyle"/>
        </w:rPr>
        <w:t xml:space="preserve">item </w:t>
      </w:r>
      <w:r w:rsidRPr="00AF0AD3">
        <w:rPr>
          <w:rStyle w:val="Referencingstyle"/>
        </w:rPr>
        <w:t xml:space="preserve">1, </w:t>
      </w:r>
      <w:r w:rsidR="00C37514" w:rsidRPr="00AF0AD3">
        <w:rPr>
          <w:rStyle w:val="Referencingstyle"/>
        </w:rPr>
        <w:t>section</w:t>
      </w:r>
      <w:r w:rsidR="00EC10E2">
        <w:rPr>
          <w:rStyle w:val="Referencingstyle"/>
        </w:rPr>
        <w:t> </w:t>
      </w:r>
      <w:r w:rsidRPr="00AF0AD3">
        <w:rPr>
          <w:rStyle w:val="Referencingstyle"/>
        </w:rPr>
        <w:t>64]</w:t>
      </w:r>
    </w:p>
    <w:p w:rsidR="0048487F" w:rsidRDefault="0048487F" w:rsidP="006A159E">
      <w:pPr>
        <w:pStyle w:val="Heading2"/>
      </w:pPr>
      <w:r>
        <w:t>Application and transitional provisions</w:t>
      </w:r>
    </w:p>
    <w:p w:rsidR="0048487F" w:rsidRDefault="0048487F" w:rsidP="0048487F">
      <w:pPr>
        <w:pStyle w:val="base-text-paragraph"/>
      </w:pPr>
      <w:r>
        <w:t>The amendments made by Schedule 7 apply to a contract of general insurance that was originally entered into after the commencement of item 3</w:t>
      </w:r>
      <w:r w:rsidR="00214D95">
        <w:t xml:space="preserve">.  </w:t>
      </w:r>
      <w:r>
        <w:t>Schedule 7 also applies to a contract of general insurance that was originally entered into before the commencement of item 3 of Schedule 7, and is renewed after that commencement</w:t>
      </w:r>
      <w:r w:rsidR="00214D95">
        <w:t xml:space="preserve">.  </w:t>
      </w:r>
    </w:p>
    <w:p w:rsidR="0048487F" w:rsidRDefault="0048487F" w:rsidP="0048487F">
      <w:pPr>
        <w:pStyle w:val="base-text-paragraph"/>
      </w:pPr>
      <w:r>
        <w:t>By operation of clause 2, item 3 of Schedule 7 commences on the day after the end of the period of 6 months beginning on the day the Act receives the Royal Assent</w:t>
      </w:r>
      <w:r w:rsidR="00214D95">
        <w:t xml:space="preserve">.  </w:t>
      </w:r>
    </w:p>
    <w:p w:rsidR="00000789" w:rsidRDefault="00000789" w:rsidP="0029684A">
      <w:pPr>
        <w:pStyle w:val="Hiddentext"/>
      </w:pPr>
      <w:r>
        <w:t>Do not remove section break.</w:t>
      </w:r>
    </w:p>
    <w:p w:rsidR="00000789" w:rsidRDefault="00000789" w:rsidP="0029684A">
      <w:pPr>
        <w:sectPr w:rsidR="00000789" w:rsidSect="009F4BFE">
          <w:headerReference w:type="even" r:id="rId32"/>
          <w:headerReference w:type="default" r:id="rId33"/>
          <w:footerReference w:type="even" r:id="rId34"/>
          <w:footerReference w:type="default" r:id="rId35"/>
          <w:footerReference w:type="first" r:id="rId36"/>
          <w:type w:val="oddPage"/>
          <w:pgSz w:w="11906" w:h="16838" w:code="9"/>
          <w:pgMar w:top="2466" w:right="2098" w:bottom="2466" w:left="2098" w:header="1559" w:footer="1899" w:gutter="0"/>
          <w:cols w:space="708"/>
          <w:titlePg/>
          <w:docGrid w:linePitch="360"/>
        </w:sectPr>
      </w:pPr>
    </w:p>
    <w:p w:rsidR="00000789" w:rsidRDefault="00000789" w:rsidP="0029684A">
      <w:pPr>
        <w:pStyle w:val="ChapterHeading"/>
      </w:pPr>
      <w:r>
        <w:lastRenderedPageBreak/>
        <w:br/>
      </w:r>
      <w:bookmarkStart w:id="4" w:name="_Toc350865715"/>
      <w:r>
        <w:t>Regulation impact statement</w:t>
      </w:r>
      <w:bookmarkEnd w:id="4"/>
    </w:p>
    <w:p w:rsidR="006A159E" w:rsidRDefault="006A159E" w:rsidP="006A159E">
      <w:pPr>
        <w:pStyle w:val="Heading2"/>
      </w:pPr>
      <w:bookmarkStart w:id="5" w:name="_Toc338331849"/>
      <w:r>
        <w:t>Background</w:t>
      </w:r>
      <w:bookmarkEnd w:id="5"/>
    </w:p>
    <w:p w:rsidR="006A159E" w:rsidRDefault="006A159E" w:rsidP="006A159E">
      <w:pPr>
        <w:pStyle w:val="Heading4"/>
      </w:pPr>
      <w:r>
        <w:t>Definition</w:t>
      </w:r>
      <w:r w:rsidR="0014053A">
        <w:t xml:space="preserve"> — </w:t>
      </w:r>
      <w:r>
        <w:t>Insurance</w:t>
      </w:r>
    </w:p>
    <w:p w:rsidR="006A159E" w:rsidRDefault="006A159E" w:rsidP="006A159E">
      <w:pPr>
        <w:pStyle w:val="base-text-paragraph"/>
      </w:pPr>
      <w:r>
        <w:t>Insurance plays a vital role in Australia</w:t>
      </w:r>
      <w:r w:rsidR="00035750">
        <w:t>’</w:t>
      </w:r>
      <w:r>
        <w:t>s economy</w:t>
      </w:r>
      <w:r w:rsidR="00214D95">
        <w:t xml:space="preserve">.  </w:t>
      </w:r>
      <w:r>
        <w:t>Individuals, groups, businesses and governments are able to participate in social and economic activities that they otherwise would not be able to engage in by using insurance as a means to price and transfer risks associated with those activities.</w:t>
      </w:r>
    </w:p>
    <w:p w:rsidR="006A159E" w:rsidRDefault="006A159E" w:rsidP="006A159E">
      <w:pPr>
        <w:pStyle w:val="base-text-paragraph"/>
      </w:pPr>
      <w:r>
        <w:t>Insurance is created by an insurer and an insured entering into a contract</w:t>
      </w:r>
      <w:r w:rsidR="00214D95">
        <w:t xml:space="preserve">.  </w:t>
      </w:r>
      <w:r>
        <w:t>Under the contract of insurance, a person facing a risk of loss (the insured) from a possible occurrence pays a contribution known as a premium to an insurer who, in return, promises to compensate the insured in proportion to their loss should the occurrence eventuate.</w:t>
      </w:r>
    </w:p>
    <w:p w:rsidR="006A159E" w:rsidRDefault="006A159E" w:rsidP="006A159E">
      <w:pPr>
        <w:pStyle w:val="Heading5"/>
      </w:pPr>
      <w:r>
        <w:t>There are four main classes of insurance:</w:t>
      </w:r>
    </w:p>
    <w:p w:rsidR="006A159E" w:rsidRDefault="006A159E" w:rsidP="006A159E">
      <w:pPr>
        <w:pStyle w:val="dotpoint"/>
      </w:pPr>
      <w:r>
        <w:t>personal</w:t>
      </w:r>
      <w:r w:rsidR="0014053A">
        <w:t xml:space="preserve"> — </w:t>
      </w:r>
      <w:r>
        <w:t>provides benefits if the insured person dies or is disabled by accident or sickness;</w:t>
      </w:r>
    </w:p>
    <w:p w:rsidR="006A159E" w:rsidRDefault="006A159E" w:rsidP="006A159E">
      <w:pPr>
        <w:pStyle w:val="dotpoint"/>
      </w:pPr>
      <w:r>
        <w:t>property</w:t>
      </w:r>
      <w:r w:rsidR="0014053A">
        <w:t xml:space="preserve"> — </w:t>
      </w:r>
      <w:r>
        <w:t>provides against loss of or damage to insured property such as buildings or their contents, motor vehicles, ships, cargoes or any other class of property;</w:t>
      </w:r>
    </w:p>
    <w:p w:rsidR="006A159E" w:rsidRDefault="006A159E" w:rsidP="006A159E">
      <w:pPr>
        <w:pStyle w:val="dotpoint"/>
      </w:pPr>
      <w:r>
        <w:t>liability</w:t>
      </w:r>
      <w:r w:rsidR="0014053A">
        <w:t xml:space="preserve"> — </w:t>
      </w:r>
      <w:r>
        <w:t>provides against legal liability to pay compensation for injury or damage for which the relevant insured may be sued by some other person; and</w:t>
      </w:r>
    </w:p>
    <w:p w:rsidR="006A159E" w:rsidRDefault="006A159E" w:rsidP="006A159E">
      <w:pPr>
        <w:pStyle w:val="dotpoint"/>
      </w:pPr>
      <w:r>
        <w:t>monetary loss</w:t>
      </w:r>
      <w:r w:rsidR="0014053A">
        <w:t xml:space="preserve"> — </w:t>
      </w:r>
      <w:r>
        <w:t>provides against monetary losses due to, for example, embezzlement by employees or failure of a debtor to repay a loan.</w:t>
      </w:r>
    </w:p>
    <w:p w:rsidR="006A159E" w:rsidRDefault="006A159E" w:rsidP="006A159E">
      <w:pPr>
        <w:pStyle w:val="base-text-paragraph"/>
      </w:pPr>
      <w:r>
        <w:t>Personal insurance equates to life insurance</w:t>
      </w:r>
      <w:r w:rsidR="00214D95">
        <w:t xml:space="preserve">.  </w:t>
      </w:r>
      <w:r>
        <w:t>The remaining three classes of insurance are categorised as general insurance.</w:t>
      </w:r>
    </w:p>
    <w:p w:rsidR="006A159E" w:rsidRDefault="006A159E" w:rsidP="006A159E">
      <w:pPr>
        <w:pStyle w:val="Heading4"/>
      </w:pPr>
      <w:r>
        <w:lastRenderedPageBreak/>
        <w:t>Profile of the Australian insurance market</w:t>
      </w:r>
    </w:p>
    <w:p w:rsidR="006A159E" w:rsidRPr="00242FC3" w:rsidRDefault="006A159E" w:rsidP="006A159E">
      <w:pPr>
        <w:pStyle w:val="Heading5"/>
      </w:pPr>
      <w:r w:rsidRPr="00242FC3">
        <w:t>General insurance</w:t>
      </w:r>
    </w:p>
    <w:p w:rsidR="006A159E" w:rsidRPr="00242FC3" w:rsidRDefault="006A159E" w:rsidP="006A159E">
      <w:pPr>
        <w:pStyle w:val="base-text-paragraph"/>
      </w:pPr>
      <w:r w:rsidRPr="00242FC3">
        <w:t>In the financial years ending in 2008</w:t>
      </w:r>
      <w:r w:rsidR="00214D95">
        <w:noBreakHyphen/>
      </w:r>
      <w:r w:rsidRPr="00242FC3">
        <w:t>09, there were 133 private sector insurers accepting general insurance business (</w:t>
      </w:r>
      <w:r w:rsidR="00EC10E2" w:rsidRPr="00242FC3">
        <w:t>that is</w:t>
      </w:r>
      <w:r w:rsidR="0014053A" w:rsidRPr="00242FC3">
        <w:t xml:space="preserve"> </w:t>
      </w:r>
      <w:r w:rsidRPr="00242FC3">
        <w:t>insurance other than life and health insurance)</w:t>
      </w:r>
      <w:r w:rsidR="00214D95">
        <w:t xml:space="preserve">.  </w:t>
      </w:r>
      <w:r w:rsidRPr="00242FC3">
        <w:t>Of these, 116 were direct insurers and 17 were reinsurers</w:t>
      </w:r>
      <w:r w:rsidR="00214D95">
        <w:t xml:space="preserve">.  </w:t>
      </w:r>
      <w:r w:rsidRPr="00242FC3">
        <w:t>Private insurers reported gross premium revenue of $31.0 billion</w:t>
      </w:r>
      <w:r w:rsidR="00214D95">
        <w:t xml:space="preserve">.  </w:t>
      </w:r>
      <w:r w:rsidRPr="00242FC3">
        <w:t>Direct insurers reported gross premium revenue of $29.2</w:t>
      </w:r>
      <w:r w:rsidR="00EC10E2" w:rsidRPr="00242FC3">
        <w:t> </w:t>
      </w:r>
      <w:r w:rsidRPr="00242FC3">
        <w:t>billion, making up 94.2 per cent of the total</w:t>
      </w:r>
      <w:r w:rsidR="00214D95">
        <w:t xml:space="preserve">.  </w:t>
      </w:r>
      <w:r w:rsidRPr="00242FC3">
        <w:t>Reinsurers accounted for the remaining 5.8 per cent of the total, or $1.8 billion</w:t>
      </w:r>
      <w:r w:rsidR="00214D95">
        <w:t xml:space="preserve">.  </w:t>
      </w:r>
      <w:r w:rsidRPr="00242FC3">
        <w:t>At 22.8</w:t>
      </w:r>
      <w:r w:rsidR="00EC10E2" w:rsidRPr="00242FC3">
        <w:t> </w:t>
      </w:r>
      <w:r w:rsidRPr="00242FC3">
        <w:t>per</w:t>
      </w:r>
      <w:r w:rsidR="00EC10E2" w:rsidRPr="00242FC3">
        <w:t> </w:t>
      </w:r>
      <w:r w:rsidRPr="00242FC3">
        <w:t>cent, the domestic motor vehicle class of business accounted for the largest percentage of total direct gross premium revenue.</w:t>
      </w:r>
    </w:p>
    <w:p w:rsidR="006A159E" w:rsidRPr="00242FC3" w:rsidRDefault="006A159E" w:rsidP="006A159E">
      <w:pPr>
        <w:pStyle w:val="base-text-paragraph"/>
      </w:pPr>
      <w:r w:rsidRPr="00242FC3">
        <w:t>In the financial years ending in 2008</w:t>
      </w:r>
      <w:r w:rsidR="00214D95">
        <w:noBreakHyphen/>
      </w:r>
      <w:r w:rsidRPr="00242FC3">
        <w:t>09, private insurers reported total assets of $94.2 billion, an increase of $3.1 billion (3.4</w:t>
      </w:r>
      <w:r w:rsidR="00BC1A36" w:rsidRPr="00242FC3">
        <w:t> </w:t>
      </w:r>
      <w:r w:rsidRPr="00242FC3">
        <w:t>per</w:t>
      </w:r>
      <w:r w:rsidR="00BC1A36" w:rsidRPr="00242FC3">
        <w:t> </w:t>
      </w:r>
      <w:r w:rsidRPr="00242FC3">
        <w:t>cent) on the previous year</w:t>
      </w:r>
      <w:r w:rsidR="00214D95">
        <w:t xml:space="preserve">.  </w:t>
      </w:r>
      <w:r w:rsidRPr="00242FC3">
        <w:t>Of these assets, $84.8 billion (90</w:t>
      </w:r>
      <w:r w:rsidR="00BC1A36" w:rsidRPr="00242FC3">
        <w:t> </w:t>
      </w:r>
      <w:r w:rsidRPr="00242FC3">
        <w:t>per</w:t>
      </w:r>
      <w:r w:rsidR="00BC1A36" w:rsidRPr="00242FC3">
        <w:t> </w:t>
      </w:r>
      <w:r w:rsidRPr="00242FC3">
        <w:t>cent) are held by direct insurers</w:t>
      </w:r>
      <w:r w:rsidR="00214D95">
        <w:t xml:space="preserve">.  </w:t>
      </w:r>
      <w:r w:rsidRPr="00242FC3">
        <w:t>Industry total liabilities were $65.6 billion, of which $59.2</w:t>
      </w:r>
      <w:r w:rsidR="00EC10E2" w:rsidRPr="00242FC3">
        <w:t> </w:t>
      </w:r>
      <w:r w:rsidRPr="00242FC3">
        <w:t>billion (89.9 per cent) are held by direct insurers</w:t>
      </w:r>
      <w:r w:rsidR="00214D95">
        <w:t xml:space="preserve">.  </w:t>
      </w:r>
    </w:p>
    <w:p w:rsidR="006A159E" w:rsidRPr="00242FC3" w:rsidRDefault="006A159E" w:rsidP="006A159E">
      <w:pPr>
        <w:pStyle w:val="Heading5"/>
      </w:pPr>
      <w:r w:rsidRPr="00242FC3">
        <w:t>Life insurance</w:t>
      </w:r>
    </w:p>
    <w:p w:rsidR="006A159E" w:rsidRPr="00242FC3" w:rsidRDefault="006A159E" w:rsidP="006A159E">
      <w:pPr>
        <w:pStyle w:val="base-text-paragraph"/>
      </w:pPr>
      <w:r w:rsidRPr="00242FC3">
        <w:t>As at September 2009, there were 32 life insurance companies operating in Australia</w:t>
      </w:r>
      <w:r w:rsidR="00214D95">
        <w:t xml:space="preserve">.  </w:t>
      </w:r>
      <w:r w:rsidRPr="00242FC3">
        <w:t>They managed $239.3 billion in assets and generated $41 billion in net premiums for the twelve months ended September 2009</w:t>
      </w:r>
      <w:r w:rsidR="00214D95">
        <w:t xml:space="preserve">.  </w:t>
      </w:r>
    </w:p>
    <w:p w:rsidR="006A159E" w:rsidRPr="00242FC3" w:rsidRDefault="006A159E" w:rsidP="006A159E">
      <w:pPr>
        <w:pStyle w:val="base-text-paragraph"/>
      </w:pPr>
      <w:r w:rsidRPr="00242FC3">
        <w:t xml:space="preserve">The life insurance market is split into </w:t>
      </w:r>
      <w:r w:rsidR="00035750" w:rsidRPr="00242FC3">
        <w:t>‘</w:t>
      </w:r>
      <w:r w:rsidRPr="00242FC3">
        <w:t>superannuation</w:t>
      </w:r>
      <w:r w:rsidR="00035750" w:rsidRPr="00242FC3">
        <w:t>’</w:t>
      </w:r>
      <w:r w:rsidRPr="00242FC3">
        <w:t xml:space="preserve"> and </w:t>
      </w:r>
      <w:r w:rsidR="00035750" w:rsidRPr="00242FC3">
        <w:t>‘</w:t>
      </w:r>
      <w:r w:rsidRPr="00242FC3">
        <w:t>ordinary</w:t>
      </w:r>
      <w:r w:rsidR="00035750" w:rsidRPr="00242FC3">
        <w:t>’</w:t>
      </w:r>
      <w:r w:rsidRPr="00242FC3">
        <w:t>, defined by the source of business</w:t>
      </w:r>
      <w:r w:rsidR="00214D95">
        <w:t xml:space="preserve">.  </w:t>
      </w:r>
      <w:r w:rsidRPr="00242FC3">
        <w:t>In recent years, the superannuation business has become the main focus of life insurers, representing 91.1 per cent of premiums relating to Australian policyholders for the year to 31 March 2008</w:t>
      </w:r>
      <w:r w:rsidR="00214D95">
        <w:t xml:space="preserve">.  </w:t>
      </w:r>
    </w:p>
    <w:p w:rsidR="006A159E" w:rsidRDefault="006A159E" w:rsidP="006A159E">
      <w:pPr>
        <w:pStyle w:val="base-text-paragraph"/>
      </w:pPr>
      <w:r>
        <w:t>Traditional life insurance products (such as endowment policies, whole of life policies and level premium insurance policies) have largely been replaced by more modern products, such as term insurance, as these products reduce the longevity risk of insurers and provide flexibility for consumers</w:t>
      </w:r>
      <w:r w:rsidR="00214D95">
        <w:t xml:space="preserve">.  </w:t>
      </w:r>
    </w:p>
    <w:p w:rsidR="006A159E" w:rsidRDefault="006A159E" w:rsidP="002401F9">
      <w:pPr>
        <w:pStyle w:val="Heading4"/>
      </w:pPr>
      <w:r>
        <w:t>Insurance Contracts Act</w:t>
      </w:r>
      <w:r w:rsidRPr="002401F9">
        <w:t xml:space="preserve"> 1984</w:t>
      </w:r>
    </w:p>
    <w:p w:rsidR="006A159E" w:rsidRDefault="006A159E" w:rsidP="006A159E">
      <w:pPr>
        <w:pStyle w:val="base-text-paragraph"/>
      </w:pPr>
      <w:r>
        <w:t>The law governing contracts of insurance has a direct influence on the effectiveness and efficiency of the insurance market in Australia</w:t>
      </w:r>
      <w:r w:rsidR="00214D95">
        <w:t xml:space="preserve">.  </w:t>
      </w:r>
      <w:r>
        <w:t>For some time, the law concerning contracts of insurance was derived from a combination of common law principles and statutes issued by a variety of parliaments.</w:t>
      </w:r>
    </w:p>
    <w:p w:rsidR="006A159E" w:rsidRDefault="006A159E" w:rsidP="006A159E">
      <w:pPr>
        <w:pStyle w:val="base-text-paragraph"/>
      </w:pPr>
      <w:r>
        <w:lastRenderedPageBreak/>
        <w:t>In 1982, the Australian Law Reform Commission (ALRC) released Report No 20, Insurance Contracts (ALRC 20), which made a number of detailed recommendations for reform of the law concerning contracts of insurance</w:t>
      </w:r>
      <w:r w:rsidR="00214D95">
        <w:t xml:space="preserve">.  </w:t>
      </w:r>
      <w:r>
        <w:t xml:space="preserve">That report led to the enactment by the </w:t>
      </w:r>
      <w:r w:rsidRPr="00922F75">
        <w:rPr>
          <w:i/>
        </w:rPr>
        <w:t>Australian Parliament of the Insurance Contracts Act 1984</w:t>
      </w:r>
      <w:r>
        <w:t xml:space="preserve"> (ICA), which came into operation on 1 July 1986</w:t>
      </w:r>
      <w:r w:rsidR="00214D95">
        <w:t xml:space="preserve">.  </w:t>
      </w:r>
      <w:r>
        <w:t>The ICA provisions were based largely on the ALRC</w:t>
      </w:r>
      <w:r w:rsidR="00035750">
        <w:t>’</w:t>
      </w:r>
      <w:r>
        <w:t>s recommendations.</w:t>
      </w:r>
    </w:p>
    <w:p w:rsidR="006A159E" w:rsidRDefault="006A159E" w:rsidP="006A159E">
      <w:pPr>
        <w:pStyle w:val="Heading2"/>
      </w:pPr>
      <w:bookmarkStart w:id="6" w:name="_Toc338331850"/>
      <w:r>
        <w:t>Problem identification</w:t>
      </w:r>
      <w:bookmarkEnd w:id="6"/>
    </w:p>
    <w:p w:rsidR="006A159E" w:rsidRPr="00E75D23" w:rsidRDefault="006A159E" w:rsidP="006A159E">
      <w:pPr>
        <w:pStyle w:val="base-text-paragraph"/>
      </w:pPr>
      <w:r w:rsidRPr="00E75D23">
        <w:t>The ALRC identified a series of key principles in ALRC 20 that it considered should be the foundation of the law concerning contracts of insurance</w:t>
      </w:r>
      <w:r w:rsidR="00214D95">
        <w:t xml:space="preserve">.  </w:t>
      </w:r>
      <w:r w:rsidRPr="00E75D23">
        <w:t>Those principles, outlined below, addressed some issues and deficiencies that had affected the efficiency of the former law.</w:t>
      </w:r>
    </w:p>
    <w:p w:rsidR="006A159E" w:rsidRPr="00E75D23" w:rsidRDefault="006A159E" w:rsidP="006A159E">
      <w:pPr>
        <w:pStyle w:val="dotpoint"/>
      </w:pPr>
      <w:r w:rsidRPr="00E75D23">
        <w:rPr>
          <w:i/>
        </w:rPr>
        <w:t>Uniformity and modernisation</w:t>
      </w:r>
      <w:r w:rsidR="0014053A">
        <w:t xml:space="preserve"> — </w:t>
      </w:r>
      <w:r w:rsidRPr="00E75D23">
        <w:t>The law should, as far as possible, be uniform throughout Australia</w:t>
      </w:r>
      <w:r w:rsidR="00214D95">
        <w:t xml:space="preserve">.  </w:t>
      </w:r>
      <w:r w:rsidRPr="00E75D23">
        <w:t>The ALRC noted the law should remove uncertainties and specify acceptable rules for the modern relationship of the insurer and insured.</w:t>
      </w:r>
    </w:p>
    <w:p w:rsidR="006A159E" w:rsidRPr="00E75D23" w:rsidRDefault="006A159E" w:rsidP="006A159E">
      <w:pPr>
        <w:pStyle w:val="dotpoint"/>
      </w:pPr>
      <w:r w:rsidRPr="00E75D23">
        <w:rPr>
          <w:i/>
        </w:rPr>
        <w:t>Assurance of fair competition</w:t>
      </w:r>
      <w:r w:rsidR="0014053A">
        <w:t xml:space="preserve"> — </w:t>
      </w:r>
      <w:r w:rsidRPr="00E75D23">
        <w:t>The law should ensure that freedom of contract and promotion of competition, so far as compatible with principles of equity and fairness to the insuring public, are basic goals.</w:t>
      </w:r>
    </w:p>
    <w:p w:rsidR="006A159E" w:rsidRPr="00E75D23" w:rsidRDefault="006A159E" w:rsidP="006A159E">
      <w:pPr>
        <w:pStyle w:val="dotpoint"/>
      </w:pPr>
      <w:r w:rsidRPr="00E75D23">
        <w:rPr>
          <w:i/>
        </w:rPr>
        <w:t>Promotion of informed choice of insurance</w:t>
      </w:r>
      <w:r w:rsidR="0014053A">
        <w:t xml:space="preserve"> — </w:t>
      </w:r>
      <w:r w:rsidRPr="00E75D23">
        <w:t>As far as practicable, insureds should receive sufficient information and be otherwise protected by the law so that they may choose the insurance policy best suited to their needs</w:t>
      </w:r>
      <w:r w:rsidR="00214D95">
        <w:t xml:space="preserve">.  </w:t>
      </w:r>
      <w:r w:rsidRPr="00E75D23">
        <w:t>The ALRC noted that a lack of information concerning contracts of insurance and the different types of cover available was a serious problem for consumers.</w:t>
      </w:r>
    </w:p>
    <w:p w:rsidR="006A159E" w:rsidRPr="00E75D23" w:rsidRDefault="006A159E" w:rsidP="006A159E">
      <w:pPr>
        <w:pStyle w:val="dotpoint"/>
      </w:pPr>
      <w:r w:rsidRPr="00E75D23">
        <w:rPr>
          <w:i/>
        </w:rPr>
        <w:t>Principle of utmost good faith</w:t>
      </w:r>
      <w:r w:rsidR="0014053A">
        <w:t xml:space="preserve"> — </w:t>
      </w:r>
      <w:r w:rsidRPr="00E75D23">
        <w:t>The principle of utmost good faith, which has traditionally underlined contracts of insurance, should remain the touchstone of contracts of insurance.</w:t>
      </w:r>
    </w:p>
    <w:p w:rsidR="006A159E" w:rsidRPr="00E75D23" w:rsidRDefault="006A159E" w:rsidP="006A159E">
      <w:pPr>
        <w:pStyle w:val="dotpoint"/>
      </w:pPr>
      <w:r w:rsidRPr="00E75D23">
        <w:rPr>
          <w:i/>
        </w:rPr>
        <w:t>Need to avoid unfair burdens</w:t>
      </w:r>
      <w:r w:rsidR="0014053A">
        <w:t xml:space="preserve"> — </w:t>
      </w:r>
      <w:r w:rsidRPr="00E75D23">
        <w:t>The remedies available to insurers in respect of misrepresentation, non</w:t>
      </w:r>
      <w:r w:rsidR="00214D95">
        <w:noBreakHyphen/>
      </w:r>
      <w:r w:rsidRPr="00E75D23">
        <w:t>disclosure and breach of contract should not place a burden on the insured that is vastly disproportionate to the loss the insured</w:t>
      </w:r>
      <w:r w:rsidR="00035750">
        <w:t>’</w:t>
      </w:r>
      <w:r w:rsidRPr="00E75D23">
        <w:t>s actions caused to the insurer.</w:t>
      </w:r>
    </w:p>
    <w:p w:rsidR="006A159E" w:rsidRPr="00E75D23" w:rsidRDefault="006A159E" w:rsidP="006A159E">
      <w:pPr>
        <w:pStyle w:val="dotpoint"/>
      </w:pPr>
      <w:r w:rsidRPr="00E75D23">
        <w:rPr>
          <w:i/>
        </w:rPr>
        <w:lastRenderedPageBreak/>
        <w:t>Need to avoid catastrophic losses</w:t>
      </w:r>
      <w:r w:rsidR="0014053A">
        <w:t xml:space="preserve"> — </w:t>
      </w:r>
      <w:r w:rsidRPr="00E75D23">
        <w:t>As far as practicable, insureds that might otherwise unintentionally be exposed to the risk of catastrophic losses should be protected against losing insurance cover through no fault of their own</w:t>
      </w:r>
      <w:r w:rsidR="00214D95">
        <w:t xml:space="preserve">.  </w:t>
      </w:r>
    </w:p>
    <w:p w:rsidR="006A159E" w:rsidRPr="00E75D23" w:rsidRDefault="006A159E" w:rsidP="006A159E">
      <w:pPr>
        <w:pStyle w:val="base-text-paragraph"/>
      </w:pPr>
      <w:r w:rsidRPr="00E75D23">
        <w:t xml:space="preserve">The </w:t>
      </w:r>
      <w:r>
        <w:t>ICA</w:t>
      </w:r>
      <w:r w:rsidRPr="00E75D23">
        <w:t xml:space="preserve"> was designed to give effect to those principles</w:t>
      </w:r>
      <w:r w:rsidR="00214D95">
        <w:t xml:space="preserve">.  </w:t>
      </w:r>
      <w:r w:rsidRPr="00E75D23">
        <w:t>Since its commencement in 1986, the market for insurance in Australia has evolved, both in terms of the type of insurance on offer and the participants in the market</w:t>
      </w:r>
      <w:r w:rsidR="00214D95">
        <w:t xml:space="preserve">.  </w:t>
      </w:r>
      <w:r w:rsidRPr="00E75D23">
        <w:t xml:space="preserve">Judicial interpretations of the </w:t>
      </w:r>
      <w:r>
        <w:t>ICA</w:t>
      </w:r>
      <w:r w:rsidRPr="00E75D23">
        <w:t xml:space="preserve"> have highlighted how it applies in a range of situations, some of which may not have been contemplated when the </w:t>
      </w:r>
      <w:r>
        <w:t>ICA</w:t>
      </w:r>
      <w:r w:rsidRPr="00E75D23">
        <w:t xml:space="preserve"> was designed</w:t>
      </w:r>
      <w:r w:rsidR="00214D95">
        <w:t xml:space="preserve">.  </w:t>
      </w:r>
      <w:r w:rsidRPr="00E75D23">
        <w:t xml:space="preserve">Also, subsequent statutes, such as the </w:t>
      </w:r>
      <w:r w:rsidRPr="00922F75">
        <w:rPr>
          <w:i/>
        </w:rPr>
        <w:t>Corporations Act 2001</w:t>
      </w:r>
      <w:r w:rsidRPr="00E75D23">
        <w:t xml:space="preserve"> and </w:t>
      </w:r>
      <w:r w:rsidRPr="00922F75">
        <w:rPr>
          <w:i/>
        </w:rPr>
        <w:t>Electronic Transactions Act 1999</w:t>
      </w:r>
      <w:r w:rsidRPr="00E75D23">
        <w:t>, have brought change to the surrounding regulatory environment.</w:t>
      </w:r>
    </w:p>
    <w:p w:rsidR="006A159E" w:rsidRPr="00E75D23" w:rsidRDefault="006A159E" w:rsidP="006A159E">
      <w:pPr>
        <w:pStyle w:val="base-text-paragraph"/>
      </w:pPr>
      <w:r w:rsidRPr="00E75D23">
        <w:t xml:space="preserve">Those developments, and the experience of applying the </w:t>
      </w:r>
      <w:r>
        <w:t>ICA</w:t>
      </w:r>
      <w:r w:rsidRPr="00E75D23">
        <w:t xml:space="preserve"> since 1986, has led to a widely held view that, although the </w:t>
      </w:r>
      <w:r>
        <w:t>ICA</w:t>
      </w:r>
      <w:r w:rsidRPr="00E75D23">
        <w:t xml:space="preserve"> has generally operated effectively to the benefit of the insurance market, there are aspects that would benefit from refinement to prevent inefficiencies and inappropriate outcomes.</w:t>
      </w:r>
    </w:p>
    <w:p w:rsidR="006A159E" w:rsidRPr="00E75D23" w:rsidRDefault="006A159E" w:rsidP="006A159E">
      <w:pPr>
        <w:pStyle w:val="Heading2"/>
      </w:pPr>
      <w:bookmarkStart w:id="7" w:name="_Toc338331851"/>
      <w:r>
        <w:t>Revision of the ICA: Objectives</w:t>
      </w:r>
      <w:bookmarkEnd w:id="7"/>
    </w:p>
    <w:p w:rsidR="006A159E" w:rsidRPr="00E75D23" w:rsidRDefault="006A159E" w:rsidP="006A159E">
      <w:pPr>
        <w:pStyle w:val="base-text-paragraph"/>
      </w:pPr>
      <w:r w:rsidRPr="00E75D23">
        <w:t xml:space="preserve">In 2003, the Australian Government commissioned a review panel (the Review Panel) to review the </w:t>
      </w:r>
      <w:r>
        <w:t>ICA</w:t>
      </w:r>
      <w:r w:rsidRPr="00E75D23">
        <w:t xml:space="preserve"> to ensure it </w:t>
      </w:r>
      <w:r w:rsidR="00035750">
        <w:t>‘</w:t>
      </w:r>
      <w:r w:rsidRPr="00E75D23">
        <w:t>continues to meet its original consumer protection objectives and does not discourage insurers from writing policies in Australia</w:t>
      </w:r>
      <w:r w:rsidR="002401F9">
        <w:t>’</w:t>
      </w:r>
      <w:r w:rsidR="00214D95">
        <w:t xml:space="preserve">.  </w:t>
      </w:r>
      <w:r w:rsidRPr="00E75D23">
        <w:t xml:space="preserve">The Review Panel was asked to report on whether provisions of the </w:t>
      </w:r>
      <w:r>
        <w:t>ICA</w:t>
      </w:r>
      <w:r w:rsidRPr="00E75D23">
        <w:t xml:space="preserve"> remained appropriate in the light of developments in the insurance market and whether any amendments were necessary to clarify or remove ambiguity</w:t>
      </w:r>
      <w:r>
        <w:t>.</w:t>
      </w:r>
    </w:p>
    <w:p w:rsidR="006A159E" w:rsidRDefault="006A159E" w:rsidP="006A159E">
      <w:pPr>
        <w:pStyle w:val="base-text-paragraph"/>
      </w:pPr>
      <w:r>
        <w:t>T</w:t>
      </w:r>
      <w:r w:rsidRPr="00E75D23">
        <w:t xml:space="preserve">he Review Panel found that the </w:t>
      </w:r>
      <w:r>
        <w:t>ICA</w:t>
      </w:r>
      <w:r w:rsidRPr="00E75D23">
        <w:t xml:space="preserve"> was generally operating satisfactorily</w:t>
      </w:r>
      <w:r w:rsidR="00214D95">
        <w:t xml:space="preserve">.  </w:t>
      </w:r>
      <w:r w:rsidRPr="00E75D23">
        <w:t>However, some amendments were recommended to address insurance market developments and judicial interpretation during the period since its enactment</w:t>
      </w:r>
      <w:r w:rsidR="00214D95">
        <w:t xml:space="preserve">.  </w:t>
      </w:r>
      <w:r w:rsidRPr="00E75D23">
        <w:t>The Review Panel</w:t>
      </w:r>
      <w:r w:rsidR="00035750">
        <w:t>’</w:t>
      </w:r>
      <w:r w:rsidRPr="00E75D23">
        <w:t>s recommendations were developed having regard to the need to preserve an appropriate balance between the rights and obligations of insurers and insureds</w:t>
      </w:r>
      <w:r w:rsidR="002401F9">
        <w:t>.</w:t>
      </w:r>
    </w:p>
    <w:p w:rsidR="006A159E" w:rsidRDefault="006A159E" w:rsidP="006A159E">
      <w:pPr>
        <w:pStyle w:val="Heading2"/>
      </w:pPr>
      <w:bookmarkStart w:id="8" w:name="_Toc338331852"/>
      <w:r>
        <w:lastRenderedPageBreak/>
        <w:t>Consultation</w:t>
      </w:r>
      <w:bookmarkEnd w:id="8"/>
    </w:p>
    <w:p w:rsidR="006A159E" w:rsidRPr="00E75D23" w:rsidRDefault="006A159E" w:rsidP="006A159E">
      <w:pPr>
        <w:pStyle w:val="Heading3"/>
      </w:pPr>
      <w:bookmarkStart w:id="9" w:name="_Toc338331853"/>
      <w:r w:rsidRPr="00E75D23">
        <w:t>Review Panel deliberations</w:t>
      </w:r>
      <w:bookmarkEnd w:id="9"/>
    </w:p>
    <w:p w:rsidR="006A159E" w:rsidRDefault="006A159E" w:rsidP="006A159E">
      <w:pPr>
        <w:pStyle w:val="Heading4"/>
      </w:pPr>
      <w:r>
        <w:t>Section 54 of the ICA</w:t>
      </w:r>
    </w:p>
    <w:p w:rsidR="006A159E" w:rsidRDefault="006A159E" w:rsidP="006A159E">
      <w:pPr>
        <w:pStyle w:val="base-text-paragraph"/>
      </w:pPr>
      <w:r>
        <w:t>Insurers had particular concerns about the operation of section</w:t>
      </w:r>
      <w:r w:rsidR="00677846">
        <w:t> </w:t>
      </w:r>
      <w:r>
        <w:t>54 of the ICA and its impact on the cost and availability of liability insurance</w:t>
      </w:r>
      <w:r w:rsidR="00214D95">
        <w:t xml:space="preserve">.  </w:t>
      </w:r>
      <w:r>
        <w:t>The Review Panel began its review by releasing an issues paper that explained the operation of section 54 and its current judicial interpretation</w:t>
      </w:r>
      <w:r w:rsidR="00214D95">
        <w:t xml:space="preserve">.  </w:t>
      </w:r>
      <w:r>
        <w:t>In response, 32 written submissions were received from stakeholders, including the insurance industry, consumer representatives, the regulator, and dispute resolution bodies</w:t>
      </w:r>
      <w:r w:rsidR="00214D95">
        <w:t xml:space="preserve">.  </w:t>
      </w:r>
      <w:r>
        <w:t>The Review Panel also met with stakeholders.</w:t>
      </w:r>
    </w:p>
    <w:p w:rsidR="006A159E" w:rsidRDefault="006A159E" w:rsidP="006A159E">
      <w:pPr>
        <w:pStyle w:val="base-text-paragraph"/>
      </w:pPr>
      <w:r>
        <w:t>The Review Panel recommended legislative reform of section</w:t>
      </w:r>
      <w:r w:rsidR="00EC10E2">
        <w:t> </w:t>
      </w:r>
      <w:r>
        <w:t>54, but only in respect of particular types of insurance policies</w:t>
      </w:r>
      <w:r w:rsidR="00214D95">
        <w:t xml:space="preserve">.  </w:t>
      </w:r>
      <w:r>
        <w:t>Draft amendments that gave effect to the Review Panel</w:t>
      </w:r>
      <w:r w:rsidR="00035750">
        <w:t>’</w:t>
      </w:r>
      <w:r w:rsidR="00EC10E2">
        <w:t xml:space="preserve">s initial </w:t>
      </w:r>
      <w:r>
        <w:t>recommendations were released for public consultation in 2004</w:t>
      </w:r>
      <w:r w:rsidR="00214D95">
        <w:t xml:space="preserve">.  </w:t>
      </w:r>
      <w:r>
        <w:t>An additional 16 submissions primarily from the insurance industry, the legal profession and the regulator were received on the draft amendments</w:t>
      </w:r>
      <w:r w:rsidR="00214D95">
        <w:t xml:space="preserve">.  </w:t>
      </w:r>
      <w:r>
        <w:t>The Review Panel made further recommendations to revise the draft amendments in response to these submissions and stakeholder consultations.</w:t>
      </w:r>
    </w:p>
    <w:p w:rsidR="006A159E" w:rsidRDefault="006A159E" w:rsidP="006A159E">
      <w:pPr>
        <w:pStyle w:val="Heading4"/>
      </w:pPr>
      <w:r>
        <w:t>Provisions of the ICA other than section 54</w:t>
      </w:r>
    </w:p>
    <w:p w:rsidR="006A159E" w:rsidRDefault="006A159E" w:rsidP="006A159E">
      <w:pPr>
        <w:pStyle w:val="base-text-paragraph"/>
      </w:pPr>
      <w:r>
        <w:t>The Review Panel</w:t>
      </w:r>
      <w:r w:rsidR="00035750">
        <w:t>’</w:t>
      </w:r>
      <w:r>
        <w:t xml:space="preserve">s review of provisions of the ICA other than section 54 began in November 2003 with a request to stakeholders for written </w:t>
      </w:r>
      <w:r w:rsidR="00035750">
        <w:t>‘</w:t>
      </w:r>
      <w:r>
        <w:t>submissions at large</w:t>
      </w:r>
      <w:r w:rsidR="00035750">
        <w:t>’</w:t>
      </w:r>
      <w:r>
        <w:t xml:space="preserve"> on issues that may be affecting the current operation of the ICA and options to address those issues</w:t>
      </w:r>
      <w:r w:rsidR="00214D95">
        <w:t xml:space="preserve">.  </w:t>
      </w:r>
      <w:r>
        <w:t>This was followed by a series of stakeholder meetings in February 2004 to identify key matters for consideration from those issues raised in written submissions.</w:t>
      </w:r>
    </w:p>
    <w:p w:rsidR="006A159E" w:rsidRDefault="006A159E" w:rsidP="006A159E">
      <w:pPr>
        <w:pStyle w:val="base-text-paragraph"/>
      </w:pPr>
      <w:r>
        <w:t>In March 2004, the Review Panel released an issues paper, which outlined the matters raised by stakeholders that the Review Panel intended exploring in the second phase of the Review</w:t>
      </w:r>
      <w:r w:rsidR="00214D95">
        <w:t xml:space="preserve">.  </w:t>
      </w:r>
      <w:r>
        <w:t>The Review Panel noted that it could only address issues that had an adverse impact on the operation of the ICA and could not analyse some issues that may be of significance but fell outside the review</w:t>
      </w:r>
      <w:r w:rsidR="00035750">
        <w:t>’</w:t>
      </w:r>
      <w:r>
        <w:t>s terms of reference.</w:t>
      </w:r>
    </w:p>
    <w:p w:rsidR="006A159E" w:rsidRDefault="006A159E" w:rsidP="006A159E">
      <w:pPr>
        <w:pStyle w:val="base-text-paragraph"/>
      </w:pPr>
      <w:r>
        <w:t>The Review Panel received around 25 submissions from the insurance industry, consumer representatives, dispute resolution bodies and the legal profession in response to the issues paper and used them to develop a proposals paper, which was released in May 2004</w:t>
      </w:r>
      <w:r w:rsidR="00214D95">
        <w:t xml:space="preserve">.  </w:t>
      </w:r>
      <w:r>
        <w:t xml:space="preserve">The </w:t>
      </w:r>
      <w:r>
        <w:lastRenderedPageBreak/>
        <w:t>proposals paper included over 40 proposals to amend the ICA</w:t>
      </w:r>
      <w:r w:rsidR="00214D95">
        <w:t xml:space="preserve">.  </w:t>
      </w:r>
      <w:r>
        <w:t>The Review Panel sought further comments on the contents of its proposals, particularly those that had not been raised in the issues paper but were developed subsequently.</w:t>
      </w:r>
    </w:p>
    <w:p w:rsidR="006A159E" w:rsidRDefault="006A159E" w:rsidP="006A159E">
      <w:pPr>
        <w:pStyle w:val="base-text-paragraph"/>
      </w:pPr>
      <w:r>
        <w:t>The proposals paper generated further written submissions from the insurance industry, dispute resolution bodies, consumer representatives and the legal profession</w:t>
      </w:r>
      <w:r w:rsidR="00214D95">
        <w:t xml:space="preserve">.  </w:t>
      </w:r>
      <w:r>
        <w:t>Those were taken into account by the Review Panel in formulating its final recommendations and report, released in January 2005.</w:t>
      </w:r>
    </w:p>
    <w:p w:rsidR="006A159E" w:rsidRDefault="006A159E" w:rsidP="006A159E">
      <w:pPr>
        <w:pStyle w:val="Heading4"/>
      </w:pPr>
      <w:r>
        <w:t>Summary of key stakeholder views on the Review Panel</w:t>
      </w:r>
      <w:r w:rsidR="00035750">
        <w:t>’</w:t>
      </w:r>
      <w:r>
        <w:t>s reports</w:t>
      </w:r>
    </w:p>
    <w:p w:rsidR="006A159E" w:rsidRDefault="006A159E" w:rsidP="006A159E">
      <w:pPr>
        <w:pStyle w:val="base-text-paragraph"/>
      </w:pPr>
      <w:r>
        <w:t>Insurance brokers, legal specialists, life insurance industry representatives and the regulator expressed general support for the recommendations of the Review Panel, with some reservations on details.</w:t>
      </w:r>
    </w:p>
    <w:p w:rsidR="006A159E" w:rsidRDefault="006A159E" w:rsidP="006A159E">
      <w:pPr>
        <w:pStyle w:val="base-text-paragraph"/>
      </w:pPr>
      <w:r>
        <w:t>Consumer representatives indicated that they would have preferred the Review Panel to propose more regulation concerning claims handling processes, and they also have some reservations about the detail of some recommendations</w:t>
      </w:r>
      <w:r w:rsidR="00214D95">
        <w:t xml:space="preserve">.  </w:t>
      </w:r>
      <w:r>
        <w:t>However, generally consumer representatives were satisfied with the review process and considered that the recommendations to be well reasoned and balanced.</w:t>
      </w:r>
    </w:p>
    <w:p w:rsidR="006A159E" w:rsidRDefault="006A159E" w:rsidP="006A159E">
      <w:pPr>
        <w:pStyle w:val="base-text-paragraph"/>
      </w:pPr>
      <w:r>
        <w:t>The industry body representing general insurers expressed some dissatisfaction with the time frame of the consultation process and opposed a number of the Review Panel</w:t>
      </w:r>
      <w:r w:rsidR="00035750">
        <w:t>’</w:t>
      </w:r>
      <w:r>
        <w:t>s recommendations on the basis that they would impose additional costs for their insurers</w:t>
      </w:r>
      <w:r w:rsidR="00214D95">
        <w:t xml:space="preserve">.  </w:t>
      </w:r>
    </w:p>
    <w:p w:rsidR="006A159E" w:rsidRDefault="006A159E" w:rsidP="006A159E">
      <w:pPr>
        <w:pStyle w:val="Heading4"/>
      </w:pPr>
      <w:r>
        <w:t>Exposure draft legislative package</w:t>
      </w:r>
      <w:r w:rsidR="0014053A">
        <w:t xml:space="preserve"> — </w:t>
      </w:r>
      <w:r>
        <w:t>February 2007</w:t>
      </w:r>
    </w:p>
    <w:p w:rsidR="006A159E" w:rsidRDefault="006A159E" w:rsidP="006A159E">
      <w:pPr>
        <w:pStyle w:val="base-text-paragraph"/>
      </w:pPr>
      <w:r>
        <w:t>An exposure draft of an amending Bill and accompanying regulations was prepared so that stakeholders could comment on the detail of the proposals</w:t>
      </w:r>
      <w:r w:rsidR="00214D95">
        <w:t xml:space="preserve">.  </w:t>
      </w:r>
      <w:r>
        <w:t>The exposure draft legislative package was publicly released in February 2007</w:t>
      </w:r>
      <w:r w:rsidR="00214D95">
        <w:t xml:space="preserve">.  </w:t>
      </w:r>
      <w:r>
        <w:t>It included a revised version of the section 54 amendments</w:t>
      </w:r>
      <w:r w:rsidR="00214D95">
        <w:t xml:space="preserve">.  </w:t>
      </w:r>
      <w:r>
        <w:t>More than 20 submissions were received on the exposure draft Bill.</w:t>
      </w:r>
    </w:p>
    <w:p w:rsidR="006A159E" w:rsidRDefault="006A159E" w:rsidP="006A159E">
      <w:pPr>
        <w:pStyle w:val="Heading2"/>
      </w:pPr>
      <w:bookmarkStart w:id="10" w:name="_Toc338331854"/>
      <w:r>
        <w:t>Identification of options</w:t>
      </w:r>
      <w:bookmarkEnd w:id="10"/>
    </w:p>
    <w:p w:rsidR="006A159E" w:rsidRDefault="006A159E" w:rsidP="006A159E">
      <w:pPr>
        <w:pStyle w:val="base-text-paragraph"/>
      </w:pPr>
      <w:r>
        <w:t>The options for reform, outlined below, are based on a number of the recommendations of the Review Panel, developed in the course of the review in meetings with the Review Panel and in response to issues raised by stakeholders in written submissions to the Review Panel</w:t>
      </w:r>
      <w:r w:rsidR="00214D95">
        <w:t xml:space="preserve">.  </w:t>
      </w:r>
      <w:r>
        <w:t xml:space="preserve">These </w:t>
      </w:r>
      <w:r>
        <w:lastRenderedPageBreak/>
        <w:t>options were subsequently modified in response to stakeholders</w:t>
      </w:r>
      <w:r w:rsidR="00035750">
        <w:t>’</w:t>
      </w:r>
      <w:r>
        <w:t xml:space="preserve"> concerns raised in relation to the February 2007 exposure draft Bill</w:t>
      </w:r>
      <w:r w:rsidR="00214D95">
        <w:t xml:space="preserve">.  </w:t>
      </w:r>
    </w:p>
    <w:p w:rsidR="006A159E" w:rsidRDefault="006A159E" w:rsidP="006A159E">
      <w:pPr>
        <w:pStyle w:val="base-text-paragraph"/>
      </w:pPr>
      <w:r>
        <w:t>The Insurance Contracts Amendment Bill 2009 (the Bill) is based on a number of the Review Panel</w:t>
      </w:r>
      <w:r w:rsidR="00035750">
        <w:t>’</w:t>
      </w:r>
      <w:r>
        <w:t>s recommendations and contains some further modifications made to the February 2007 exposure draft Bill in the light of consultations with stakeholders subsequent to the release of the Bill, including, in some cases, removal of a measure</w:t>
      </w:r>
      <w:r w:rsidR="00214D95">
        <w:t xml:space="preserve">.  </w:t>
      </w:r>
    </w:p>
    <w:p w:rsidR="006A159E" w:rsidRDefault="006A159E" w:rsidP="006A159E">
      <w:pPr>
        <w:pStyle w:val="base-text-paragraph"/>
      </w:pPr>
      <w:r>
        <w:t>The proposed regulatory changes in the 2009 Bill, which are not minor or machinery, relate to the following matters:</w:t>
      </w:r>
    </w:p>
    <w:p w:rsidR="006A159E" w:rsidRDefault="006A159E" w:rsidP="006A159E">
      <w:pPr>
        <w:pStyle w:val="base-text-paragraph"/>
        <w:numPr>
          <w:ilvl w:val="0"/>
          <w:numId w:val="0"/>
        </w:numPr>
        <w:ind w:left="1134"/>
      </w:pPr>
      <w:r>
        <w:t>1.</w:t>
      </w:r>
      <w:r>
        <w:tab/>
        <w:t>electronic communication;</w:t>
      </w:r>
    </w:p>
    <w:p w:rsidR="006A159E" w:rsidRDefault="00295AB7" w:rsidP="006A159E">
      <w:pPr>
        <w:pStyle w:val="base-text-paragraph"/>
        <w:numPr>
          <w:ilvl w:val="0"/>
          <w:numId w:val="0"/>
        </w:numPr>
        <w:ind w:left="1134"/>
      </w:pPr>
      <w:r>
        <w:t>2.</w:t>
      </w:r>
      <w:r>
        <w:tab/>
        <w:t>objective component of the insured</w:t>
      </w:r>
      <w:r w:rsidR="00035750">
        <w:t>’</w:t>
      </w:r>
      <w:r>
        <w:t>s duty of disclosure;</w:t>
      </w:r>
    </w:p>
    <w:p w:rsidR="006A159E" w:rsidRDefault="006A159E" w:rsidP="006A159E">
      <w:pPr>
        <w:pStyle w:val="base-text-paragraph"/>
        <w:numPr>
          <w:ilvl w:val="0"/>
          <w:numId w:val="0"/>
        </w:numPr>
        <w:ind w:left="1134"/>
      </w:pPr>
      <w:r>
        <w:t>3.</w:t>
      </w:r>
      <w:r>
        <w:tab/>
        <w:t>disclosure obligations on renewal of an eligible contract of insurance;</w:t>
      </w:r>
    </w:p>
    <w:p w:rsidR="006A159E" w:rsidRDefault="006A159E" w:rsidP="006A159E">
      <w:pPr>
        <w:pStyle w:val="base-text-paragraph"/>
        <w:numPr>
          <w:ilvl w:val="0"/>
          <w:numId w:val="0"/>
        </w:numPr>
        <w:ind w:left="1134"/>
      </w:pPr>
      <w:r>
        <w:t>4.</w:t>
      </w:r>
      <w:r>
        <w:tab/>
        <w:t>notification of duty of disclosure;</w:t>
      </w:r>
    </w:p>
    <w:p w:rsidR="006A159E" w:rsidRDefault="006A159E" w:rsidP="006A159E">
      <w:pPr>
        <w:pStyle w:val="base-text-paragraph"/>
        <w:numPr>
          <w:ilvl w:val="0"/>
          <w:numId w:val="0"/>
        </w:numPr>
        <w:ind w:left="1134"/>
      </w:pPr>
      <w:r>
        <w:t>5.</w:t>
      </w:r>
      <w:r>
        <w:tab/>
        <w:t>non</w:t>
      </w:r>
      <w:r w:rsidR="00214D95">
        <w:noBreakHyphen/>
      </w:r>
      <w:r>
        <w:t>disclosure rules and life insureds;</w:t>
      </w:r>
    </w:p>
    <w:p w:rsidR="006A159E" w:rsidRDefault="006A159E" w:rsidP="006A159E">
      <w:pPr>
        <w:pStyle w:val="base-text-paragraph"/>
        <w:numPr>
          <w:ilvl w:val="0"/>
          <w:numId w:val="0"/>
        </w:numPr>
        <w:ind w:left="1134"/>
      </w:pPr>
      <w:r>
        <w:t>6.</w:t>
      </w:r>
      <w:r>
        <w:tab/>
        <w:t>life insurance remedies; and</w:t>
      </w:r>
    </w:p>
    <w:p w:rsidR="006A159E" w:rsidRDefault="006A159E" w:rsidP="006A159E">
      <w:pPr>
        <w:pStyle w:val="base-text-paragraph"/>
        <w:numPr>
          <w:ilvl w:val="0"/>
          <w:numId w:val="0"/>
        </w:numPr>
        <w:ind w:left="1134"/>
      </w:pPr>
      <w:r>
        <w:t>7.</w:t>
      </w:r>
      <w:r>
        <w:tab/>
        <w:t>third party beneficiaries.</w:t>
      </w:r>
    </w:p>
    <w:p w:rsidR="006A159E" w:rsidRDefault="006A159E" w:rsidP="006A159E">
      <w:pPr>
        <w:pStyle w:val="base-text-paragraph"/>
      </w:pPr>
      <w:r>
        <w:t xml:space="preserve">The groups that will primarily be impacted upon by the proposals include: </w:t>
      </w:r>
    </w:p>
    <w:p w:rsidR="006A159E" w:rsidRDefault="006A159E" w:rsidP="006A159E">
      <w:pPr>
        <w:pStyle w:val="dotpoint"/>
      </w:pPr>
      <w:r>
        <w:t>insurers;</w:t>
      </w:r>
    </w:p>
    <w:p w:rsidR="006A159E" w:rsidRDefault="006A159E" w:rsidP="006A159E">
      <w:pPr>
        <w:pStyle w:val="dotpoint"/>
      </w:pPr>
      <w:r>
        <w:t>insureds (especially those that have claims), including proposed insureds and beneficiaries under policies; and</w:t>
      </w:r>
    </w:p>
    <w:p w:rsidR="006A159E" w:rsidRDefault="006A159E" w:rsidP="006A159E">
      <w:pPr>
        <w:pStyle w:val="dotpoint"/>
      </w:pPr>
      <w:r>
        <w:t>government and regulators, including self</w:t>
      </w:r>
      <w:r w:rsidR="00214D95">
        <w:noBreakHyphen/>
      </w:r>
      <w:r>
        <w:t>regulatory organisations.</w:t>
      </w:r>
    </w:p>
    <w:p w:rsidR="006A159E" w:rsidRDefault="006A159E" w:rsidP="006A159E">
      <w:pPr>
        <w:pStyle w:val="base-text-paragraph"/>
      </w:pPr>
      <w:r>
        <w:t>Most of the proposals affecting insurers or insureds would also affect insurance brokers, where a broker was involved in the negotiation and ongoing management of an insurance contract</w:t>
      </w:r>
      <w:r w:rsidR="00214D95">
        <w:t xml:space="preserve">.  </w:t>
      </w:r>
      <w:r>
        <w:t>However, for the sake of simplicity, insurance brokers have not been identified as a separate impact group for the purposes of the regulation impact statement</w:t>
      </w:r>
      <w:r w:rsidR="00214D95">
        <w:t xml:space="preserve">.  </w:t>
      </w:r>
      <w:r>
        <w:t>It has been assumed that the costs and benefits accruing to insurance brokers as a result of the proposals would ultimately be passed onto insurers and insureds.</w:t>
      </w:r>
    </w:p>
    <w:p w:rsidR="006A159E" w:rsidRDefault="006A159E" w:rsidP="006A159E">
      <w:pPr>
        <w:pStyle w:val="base-text-paragraph"/>
      </w:pPr>
      <w:r>
        <w:lastRenderedPageBreak/>
        <w:t>Options for responses to each of these matters are analysed below.</w:t>
      </w:r>
    </w:p>
    <w:p w:rsidR="006A159E" w:rsidRDefault="006A159E" w:rsidP="006A159E">
      <w:pPr>
        <w:pStyle w:val="Heading2"/>
      </w:pPr>
      <w:bookmarkStart w:id="11" w:name="_Toc338331855"/>
      <w:r>
        <w:t>Identification of options, impact analysis, conclusions and recommendations</w:t>
      </w:r>
      <w:bookmarkEnd w:id="11"/>
    </w:p>
    <w:p w:rsidR="006A159E" w:rsidRPr="00E74A71" w:rsidRDefault="006A159E" w:rsidP="006A159E">
      <w:pPr>
        <w:pStyle w:val="Heading3"/>
      </w:pPr>
      <w:bookmarkStart w:id="12" w:name="_Toc338331856"/>
      <w:r w:rsidRPr="00E74A71">
        <w:t>Impact assessment methodology</w:t>
      </w:r>
      <w:bookmarkEnd w:id="12"/>
    </w:p>
    <w:p w:rsidR="006A159E" w:rsidRPr="00DE051D" w:rsidRDefault="006A159E" w:rsidP="006A159E">
      <w:pPr>
        <w:pStyle w:val="base-text-paragraph"/>
        <w:numPr>
          <w:ilvl w:val="1"/>
          <w:numId w:val="0"/>
        </w:numPr>
        <w:tabs>
          <w:tab w:val="num" w:pos="2050"/>
        </w:tabs>
        <w:ind w:left="1200"/>
      </w:pPr>
      <w:r w:rsidRPr="00DE051D">
        <w:t xml:space="preserve">Impacts </w:t>
      </w:r>
      <w:r>
        <w:t>can be</w:t>
      </w:r>
      <w:r w:rsidRPr="00DE051D">
        <w:t xml:space="preserve"> divided between three impact groups (consumers</w:t>
      </w:r>
      <w:r>
        <w:t>,</w:t>
      </w:r>
      <w:r w:rsidRPr="00DE051D">
        <w:t xml:space="preserve"> business and government)</w:t>
      </w:r>
      <w:r w:rsidR="00214D95">
        <w:t xml:space="preserve">.  </w:t>
      </w:r>
      <w:r w:rsidRPr="00DE051D">
        <w:t>Typical impacts of an option on consumers might be changes in access to a market, the level of information and disclosure provided, or prices of goods or services</w:t>
      </w:r>
      <w:r w:rsidR="00214D95">
        <w:t xml:space="preserve">.  </w:t>
      </w:r>
      <w:r w:rsidRPr="00DE051D">
        <w:t>Typical impacts of an option on business would be the changes in the costs of compliance with a regulatory requirement</w:t>
      </w:r>
      <w:r w:rsidR="00214D95">
        <w:t xml:space="preserve">.  </w:t>
      </w:r>
      <w:r w:rsidRPr="00DE051D">
        <w:t>Typical impacts on government might be the costs of administering a regulatory requirement</w:t>
      </w:r>
      <w:r w:rsidR="00214D95">
        <w:t xml:space="preserve">.  </w:t>
      </w:r>
      <w:r w:rsidRPr="00DE051D">
        <w:t>Some impacts, such as changes in overall confidence in a market, may impact on more than one impact group.</w:t>
      </w:r>
    </w:p>
    <w:p w:rsidR="006A159E" w:rsidRPr="00DE051D" w:rsidRDefault="006A159E" w:rsidP="006A159E">
      <w:pPr>
        <w:pStyle w:val="base-text-paragraph"/>
        <w:numPr>
          <w:ilvl w:val="1"/>
          <w:numId w:val="0"/>
        </w:numPr>
        <w:tabs>
          <w:tab w:val="num" w:pos="2050"/>
        </w:tabs>
        <w:ind w:left="1200"/>
      </w:pPr>
      <w:r w:rsidRPr="00DE051D">
        <w:t xml:space="preserve">The assessment of impacts in this regulation statement is based on a </w:t>
      </w:r>
      <w:r>
        <w:t>seven</w:t>
      </w:r>
      <w:r w:rsidR="00214D95">
        <w:noBreakHyphen/>
      </w:r>
      <w:r w:rsidRPr="00DE051D">
        <w:t>point scale (</w:t>
      </w:r>
      <w:r w:rsidR="00214D95">
        <w:noBreakHyphen/>
      </w:r>
      <w:r w:rsidRPr="00DE051D">
        <w:t>3 to +3)</w:t>
      </w:r>
      <w:r w:rsidR="00214D95">
        <w:t xml:space="preserve">.  </w:t>
      </w:r>
      <w:r w:rsidRPr="00DE051D">
        <w:t xml:space="preserve">The impacts of each option are compared with the equivalent impact of the </w:t>
      </w:r>
      <w:r w:rsidR="00035750">
        <w:t>‘</w:t>
      </w:r>
      <w:r w:rsidRPr="00DE051D">
        <w:t>do nothing</w:t>
      </w:r>
      <w:r w:rsidR="00035750">
        <w:t>’</w:t>
      </w:r>
      <w:r w:rsidRPr="00DE051D">
        <w:t xml:space="preserve"> option</w:t>
      </w:r>
      <w:r w:rsidR="00214D95">
        <w:t xml:space="preserve">.  </w:t>
      </w:r>
      <w:r w:rsidRPr="00DE051D">
        <w:t>If an impact on the impact group would, relative to doing nothing, be beneficial, the impact is allocated a positive rating of +1 to +3, depending on the magnitude of the relative benefit</w:t>
      </w:r>
      <w:r w:rsidR="00214D95">
        <w:t xml:space="preserve">.  </w:t>
      </w:r>
      <w:r w:rsidRPr="00DE051D">
        <w:t xml:space="preserve">On the other hand, if the impact imposes an additional cost on the impact group relative to the status quo, the impact </w:t>
      </w:r>
      <w:r>
        <w:t>is</w:t>
      </w:r>
      <w:r w:rsidRPr="00DE051D">
        <w:t xml:space="preserve"> allocated a negative rating of </w:t>
      </w:r>
      <w:r w:rsidR="00214D95">
        <w:noBreakHyphen/>
      </w:r>
      <w:r w:rsidRPr="00DE051D">
        <w:t xml:space="preserve">1 to </w:t>
      </w:r>
      <w:r w:rsidR="00214D95">
        <w:noBreakHyphen/>
      </w:r>
      <w:r w:rsidRPr="00DE051D">
        <w:t>3, depending on the magnitude of the relative cost</w:t>
      </w:r>
      <w:r w:rsidR="00214D95">
        <w:t xml:space="preserve">.  </w:t>
      </w:r>
      <w:r w:rsidRPr="00DE051D">
        <w:t>If the impact is the same as that imposed under the current situation, a zero score would be given</w:t>
      </w:r>
      <w:r>
        <w:t xml:space="preserve">, </w:t>
      </w:r>
      <w:r w:rsidRPr="00DE051D">
        <w:t>although usually the impact would no</w:t>
      </w:r>
      <w:r>
        <w:t>t be listed in such a case.</w:t>
      </w:r>
    </w:p>
    <w:p w:rsidR="006A159E" w:rsidRDefault="006A159E" w:rsidP="00EC10E2">
      <w:pPr>
        <w:pStyle w:val="base-text-paragraph"/>
        <w:numPr>
          <w:ilvl w:val="1"/>
          <w:numId w:val="0"/>
        </w:numPr>
        <w:tabs>
          <w:tab w:val="num" w:pos="2050"/>
        </w:tabs>
        <w:ind w:left="1200"/>
        <w:rPr>
          <w:bCs/>
          <w:szCs w:val="24"/>
        </w:rPr>
      </w:pPr>
      <w:r w:rsidRPr="00DE051D">
        <w:t xml:space="preserve">The magnitude of the rating of a particular impact associated with an option </w:t>
      </w:r>
      <w:r w:rsidRPr="00DE051D">
        <w:rPr>
          <w:bCs/>
          <w:szCs w:val="24"/>
        </w:rPr>
        <w:t>has been assigned taking into account the overall potential impact on the impact group</w:t>
      </w:r>
      <w:r w:rsidR="00214D95">
        <w:rPr>
          <w:bCs/>
          <w:szCs w:val="24"/>
        </w:rPr>
        <w:t xml:space="preserve">.  </w:t>
      </w:r>
      <w:r w:rsidRPr="00DE051D">
        <w:rPr>
          <w:bCs/>
          <w:szCs w:val="24"/>
        </w:rPr>
        <w:t xml:space="preserve">The reference point is always the status quo (or </w:t>
      </w:r>
      <w:r w:rsidR="00035750">
        <w:rPr>
          <w:bCs/>
          <w:szCs w:val="24"/>
        </w:rPr>
        <w:t>‘</w:t>
      </w:r>
      <w:r w:rsidRPr="00DE051D">
        <w:rPr>
          <w:bCs/>
          <w:szCs w:val="24"/>
        </w:rPr>
        <w:t>do nothing</w:t>
      </w:r>
      <w:r w:rsidR="00035750">
        <w:rPr>
          <w:bCs/>
          <w:szCs w:val="24"/>
        </w:rPr>
        <w:t>’</w:t>
      </w:r>
      <w:r w:rsidRPr="00DE051D">
        <w:rPr>
          <w:bCs/>
          <w:szCs w:val="24"/>
        </w:rPr>
        <w:t xml:space="preserve"> option)</w:t>
      </w:r>
      <w:r w:rsidR="00214D95">
        <w:rPr>
          <w:bCs/>
          <w:szCs w:val="24"/>
        </w:rPr>
        <w:t xml:space="preserve">.  </w:t>
      </w:r>
      <w:r w:rsidRPr="00DE051D">
        <w:rPr>
          <w:bCs/>
          <w:szCs w:val="24"/>
        </w:rPr>
        <w:t>Whether the cost or benefit is one</w:t>
      </w:r>
      <w:r w:rsidR="00214D95">
        <w:rPr>
          <w:bCs/>
          <w:szCs w:val="24"/>
        </w:rPr>
        <w:noBreakHyphen/>
      </w:r>
      <w:r w:rsidRPr="00DE051D">
        <w:rPr>
          <w:bCs/>
          <w:szCs w:val="24"/>
        </w:rPr>
        <w:t>off or recurring, and whether it would fall on a small or large proportion of the impact group (in the case of business and consumers), is factored into the rating</w:t>
      </w:r>
      <w:r w:rsidR="00214D95">
        <w:rPr>
          <w:bCs/>
          <w:szCs w:val="24"/>
        </w:rPr>
        <w:t xml:space="preserve">.  </w:t>
      </w:r>
      <w:r w:rsidRPr="00DE051D">
        <w:rPr>
          <w:bCs/>
          <w:szCs w:val="24"/>
        </w:rPr>
        <w:t>For example, a cost or benefit, even though large for the persons concerned, may not result in the maximum rating (+/</w:t>
      </w:r>
      <w:r w:rsidR="00214D95">
        <w:rPr>
          <w:bCs/>
          <w:szCs w:val="24"/>
        </w:rPr>
        <w:noBreakHyphen/>
      </w:r>
      <w:r w:rsidRPr="00DE051D">
        <w:rPr>
          <w:bCs/>
          <w:szCs w:val="24"/>
        </w:rPr>
        <w:t>3) if it is a one</w:t>
      </w:r>
      <w:r w:rsidR="00214D95">
        <w:rPr>
          <w:bCs/>
          <w:szCs w:val="24"/>
        </w:rPr>
        <w:noBreakHyphen/>
      </w:r>
      <w:r w:rsidRPr="00DE051D">
        <w:rPr>
          <w:bCs/>
          <w:szCs w:val="24"/>
        </w:rPr>
        <w:t>off event that only falls on a few individuals</w:t>
      </w:r>
      <w:r w:rsidR="00214D95">
        <w:rPr>
          <w:bCs/>
          <w:szCs w:val="24"/>
        </w:rPr>
        <w:t xml:space="preserve">.  </w:t>
      </w:r>
      <w:r w:rsidRPr="00DE051D">
        <w:rPr>
          <w:bCs/>
          <w:szCs w:val="24"/>
        </w:rPr>
        <w:t>Conversely, a small increase in costs or benefits might be given a moderate or high rating if it would be likely to recur or if it falls on a large proportion of the impact group</w:t>
      </w:r>
      <w:r w:rsidR="00214D95">
        <w:rPr>
          <w:bCs/>
          <w:szCs w:val="24"/>
        </w:rPr>
        <w:t xml:space="preserve">.  </w:t>
      </w:r>
      <w:r w:rsidRPr="00DE051D">
        <w:rPr>
          <w:bCs/>
          <w:szCs w:val="24"/>
        </w:rPr>
        <w:t>The rating scale for individual impacts is explained in the table below.</w:t>
      </w:r>
    </w:p>
    <w:p w:rsidR="006A159E" w:rsidRPr="00DE051D" w:rsidRDefault="006A159E" w:rsidP="00EC10E2">
      <w:pPr>
        <w:keepNext/>
        <w:keepLines/>
        <w:ind w:left="567"/>
        <w:jc w:val="center"/>
        <w:rPr>
          <w:b/>
        </w:rPr>
      </w:pPr>
      <w:r w:rsidRPr="00DE051D">
        <w:rPr>
          <w:b/>
        </w:rPr>
        <w:lastRenderedPageBreak/>
        <w:t>Rating an individual impact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CellMar>
          <w:left w:w="0" w:type="dxa"/>
          <w:right w:w="0" w:type="dxa"/>
        </w:tblCellMar>
        <w:tblLook w:val="0000" w:firstRow="0" w:lastRow="0" w:firstColumn="0" w:lastColumn="0" w:noHBand="0" w:noVBand="0"/>
      </w:tblPr>
      <w:tblGrid>
        <w:gridCol w:w="1061"/>
        <w:gridCol w:w="1060"/>
        <w:gridCol w:w="1060"/>
        <w:gridCol w:w="1075"/>
        <w:gridCol w:w="1224"/>
        <w:gridCol w:w="1224"/>
        <w:gridCol w:w="1222"/>
      </w:tblGrid>
      <w:tr w:rsidR="006A159E" w:rsidRPr="00E2715B" w:rsidTr="00FB4CE3">
        <w:tc>
          <w:tcPr>
            <w:tcW w:w="669" w:type="pct"/>
            <w:shd w:val="clear" w:color="auto" w:fill="E6E6E6"/>
            <w:tcMar>
              <w:top w:w="0" w:type="dxa"/>
              <w:left w:w="108" w:type="dxa"/>
              <w:bottom w:w="0" w:type="dxa"/>
              <w:right w:w="108" w:type="dxa"/>
            </w:tcMar>
          </w:tcPr>
          <w:p w:rsidR="006A159E" w:rsidRPr="00E2715B" w:rsidRDefault="006A159E" w:rsidP="0029684A">
            <w:pPr>
              <w:keepLines/>
              <w:rPr>
                <w:b/>
                <w:bCs/>
                <w:sz w:val="20"/>
              </w:rPr>
            </w:pPr>
            <w:r w:rsidRPr="00E2715B">
              <w:rPr>
                <w:b/>
                <w:bCs/>
                <w:sz w:val="20"/>
              </w:rPr>
              <w:t>+3</w:t>
            </w:r>
          </w:p>
        </w:tc>
        <w:tc>
          <w:tcPr>
            <w:tcW w:w="669" w:type="pct"/>
            <w:shd w:val="clear" w:color="auto" w:fill="E6E6E6"/>
            <w:tcMar>
              <w:top w:w="0" w:type="dxa"/>
              <w:left w:w="108" w:type="dxa"/>
              <w:bottom w:w="0" w:type="dxa"/>
              <w:right w:w="108" w:type="dxa"/>
            </w:tcMar>
          </w:tcPr>
          <w:p w:rsidR="006A159E" w:rsidRPr="00E2715B" w:rsidRDefault="006A159E" w:rsidP="0029684A">
            <w:pPr>
              <w:keepLines/>
              <w:rPr>
                <w:b/>
                <w:bCs/>
                <w:sz w:val="20"/>
              </w:rPr>
            </w:pPr>
            <w:r w:rsidRPr="00E2715B">
              <w:rPr>
                <w:b/>
                <w:bCs/>
                <w:sz w:val="20"/>
              </w:rPr>
              <w:t>+2</w:t>
            </w:r>
          </w:p>
        </w:tc>
        <w:tc>
          <w:tcPr>
            <w:tcW w:w="669" w:type="pct"/>
            <w:shd w:val="clear" w:color="auto" w:fill="E6E6E6"/>
            <w:tcMar>
              <w:top w:w="0" w:type="dxa"/>
              <w:left w:w="108" w:type="dxa"/>
              <w:bottom w:w="0" w:type="dxa"/>
              <w:right w:w="108" w:type="dxa"/>
            </w:tcMar>
          </w:tcPr>
          <w:p w:rsidR="006A159E" w:rsidRPr="00E2715B" w:rsidRDefault="006A159E" w:rsidP="0029684A">
            <w:pPr>
              <w:keepLines/>
              <w:rPr>
                <w:b/>
                <w:bCs/>
                <w:sz w:val="20"/>
              </w:rPr>
            </w:pPr>
            <w:r w:rsidRPr="00E2715B">
              <w:rPr>
                <w:b/>
                <w:bCs/>
                <w:sz w:val="20"/>
              </w:rPr>
              <w:t>+1</w:t>
            </w:r>
          </w:p>
        </w:tc>
        <w:tc>
          <w:tcPr>
            <w:tcW w:w="678" w:type="pct"/>
            <w:shd w:val="clear" w:color="auto" w:fill="E6E6E6"/>
            <w:tcMar>
              <w:top w:w="0" w:type="dxa"/>
              <w:left w:w="108" w:type="dxa"/>
              <w:bottom w:w="0" w:type="dxa"/>
              <w:right w:w="108" w:type="dxa"/>
            </w:tcMar>
          </w:tcPr>
          <w:p w:rsidR="006A159E" w:rsidRPr="00E2715B" w:rsidRDefault="006A159E" w:rsidP="0029684A">
            <w:pPr>
              <w:keepLines/>
              <w:rPr>
                <w:b/>
                <w:bCs/>
                <w:sz w:val="20"/>
              </w:rPr>
            </w:pPr>
            <w:r w:rsidRPr="00E2715B">
              <w:rPr>
                <w:b/>
                <w:bCs/>
                <w:sz w:val="20"/>
              </w:rPr>
              <w:t>0</w:t>
            </w:r>
          </w:p>
        </w:tc>
        <w:tc>
          <w:tcPr>
            <w:tcW w:w="772" w:type="pct"/>
            <w:shd w:val="clear" w:color="auto" w:fill="E6E6E6"/>
            <w:tcMar>
              <w:top w:w="0" w:type="dxa"/>
              <w:left w:w="108" w:type="dxa"/>
              <w:bottom w:w="0" w:type="dxa"/>
              <w:right w:w="108" w:type="dxa"/>
            </w:tcMar>
          </w:tcPr>
          <w:p w:rsidR="006A159E" w:rsidRPr="00E2715B" w:rsidRDefault="00214D95" w:rsidP="0029684A">
            <w:pPr>
              <w:keepLines/>
              <w:rPr>
                <w:b/>
                <w:bCs/>
                <w:sz w:val="20"/>
              </w:rPr>
            </w:pPr>
            <w:r>
              <w:rPr>
                <w:b/>
                <w:bCs/>
                <w:sz w:val="20"/>
              </w:rPr>
              <w:noBreakHyphen/>
            </w:r>
            <w:r w:rsidR="006A159E" w:rsidRPr="00E2715B">
              <w:rPr>
                <w:b/>
                <w:bCs/>
                <w:sz w:val="20"/>
              </w:rPr>
              <w:t>1</w:t>
            </w:r>
          </w:p>
        </w:tc>
        <w:tc>
          <w:tcPr>
            <w:tcW w:w="772" w:type="pct"/>
            <w:shd w:val="clear" w:color="auto" w:fill="E6E6E6"/>
            <w:tcMar>
              <w:top w:w="0" w:type="dxa"/>
              <w:left w:w="108" w:type="dxa"/>
              <w:bottom w:w="0" w:type="dxa"/>
              <w:right w:w="108" w:type="dxa"/>
            </w:tcMar>
          </w:tcPr>
          <w:p w:rsidR="006A159E" w:rsidRPr="00E2715B" w:rsidRDefault="00214D95" w:rsidP="0029684A">
            <w:pPr>
              <w:keepLines/>
              <w:rPr>
                <w:b/>
                <w:bCs/>
                <w:sz w:val="20"/>
              </w:rPr>
            </w:pPr>
            <w:r>
              <w:rPr>
                <w:b/>
                <w:bCs/>
                <w:sz w:val="20"/>
              </w:rPr>
              <w:noBreakHyphen/>
            </w:r>
            <w:r w:rsidR="006A159E" w:rsidRPr="00E2715B">
              <w:rPr>
                <w:b/>
                <w:bCs/>
                <w:sz w:val="20"/>
              </w:rPr>
              <w:t>2</w:t>
            </w:r>
          </w:p>
        </w:tc>
        <w:tc>
          <w:tcPr>
            <w:tcW w:w="772" w:type="pct"/>
            <w:shd w:val="clear" w:color="auto" w:fill="E6E6E6"/>
            <w:tcMar>
              <w:top w:w="0" w:type="dxa"/>
              <w:left w:w="108" w:type="dxa"/>
              <w:bottom w:w="0" w:type="dxa"/>
              <w:right w:w="108" w:type="dxa"/>
            </w:tcMar>
          </w:tcPr>
          <w:p w:rsidR="006A159E" w:rsidRPr="00E2715B" w:rsidRDefault="00214D95" w:rsidP="0029684A">
            <w:pPr>
              <w:keepLines/>
              <w:rPr>
                <w:b/>
                <w:bCs/>
                <w:sz w:val="20"/>
              </w:rPr>
            </w:pPr>
            <w:r>
              <w:rPr>
                <w:b/>
                <w:bCs/>
                <w:sz w:val="20"/>
              </w:rPr>
              <w:noBreakHyphen/>
            </w:r>
            <w:r w:rsidR="006A159E" w:rsidRPr="00E2715B">
              <w:rPr>
                <w:b/>
                <w:bCs/>
                <w:sz w:val="20"/>
              </w:rPr>
              <w:t>3</w:t>
            </w:r>
          </w:p>
        </w:tc>
      </w:tr>
      <w:tr w:rsidR="006A159E" w:rsidRPr="00E2715B" w:rsidTr="00FB4CE3">
        <w:tc>
          <w:tcPr>
            <w:tcW w:w="669" w:type="pct"/>
            <w:shd w:val="clear" w:color="auto" w:fill="E6E6E6"/>
            <w:tcMar>
              <w:top w:w="0" w:type="dxa"/>
              <w:left w:w="108" w:type="dxa"/>
              <w:bottom w:w="0" w:type="dxa"/>
              <w:right w:w="108" w:type="dxa"/>
            </w:tcMar>
          </w:tcPr>
          <w:p w:rsidR="006A159E" w:rsidRPr="00E2715B" w:rsidRDefault="006A159E" w:rsidP="0029684A">
            <w:pPr>
              <w:pStyle w:val="TableTextLeft"/>
              <w:keepLines/>
            </w:pPr>
            <w:r w:rsidRPr="00E2715B">
              <w:t>Large benefit/</w:t>
            </w:r>
            <w:r w:rsidRPr="00E2715B">
              <w:br/>
              <w:t xml:space="preserve">advantage compared to </w:t>
            </w:r>
            <w:r w:rsidR="00035750">
              <w:t>‘</w:t>
            </w:r>
            <w:r w:rsidRPr="00E2715B">
              <w:t>do nothing</w:t>
            </w:r>
            <w:r w:rsidR="00035750">
              <w:t>’</w:t>
            </w:r>
            <w:r w:rsidR="00600AEF">
              <w:t>.</w:t>
            </w:r>
          </w:p>
        </w:tc>
        <w:tc>
          <w:tcPr>
            <w:tcW w:w="669" w:type="pct"/>
            <w:shd w:val="clear" w:color="auto" w:fill="E6E6E6"/>
            <w:tcMar>
              <w:top w:w="0" w:type="dxa"/>
              <w:left w:w="108" w:type="dxa"/>
              <w:bottom w:w="0" w:type="dxa"/>
              <w:right w:w="108" w:type="dxa"/>
            </w:tcMar>
          </w:tcPr>
          <w:p w:rsidR="006A159E" w:rsidRPr="00E2715B" w:rsidRDefault="006A159E" w:rsidP="0029684A">
            <w:pPr>
              <w:pStyle w:val="TableTextLeft"/>
              <w:keepLines/>
            </w:pPr>
            <w:r w:rsidRPr="00E2715B">
              <w:t>Moderate benefit/</w:t>
            </w:r>
            <w:r w:rsidRPr="00E2715B">
              <w:br/>
              <w:t xml:space="preserve">advantage compared to </w:t>
            </w:r>
            <w:r w:rsidR="00035750">
              <w:t>‘</w:t>
            </w:r>
            <w:r w:rsidRPr="00E2715B">
              <w:t>do nothing</w:t>
            </w:r>
            <w:r w:rsidR="00035750">
              <w:t>’</w:t>
            </w:r>
            <w:r w:rsidR="00600AEF">
              <w:t>.</w:t>
            </w:r>
          </w:p>
        </w:tc>
        <w:tc>
          <w:tcPr>
            <w:tcW w:w="669" w:type="pct"/>
            <w:shd w:val="clear" w:color="auto" w:fill="E6E6E6"/>
            <w:tcMar>
              <w:top w:w="0" w:type="dxa"/>
              <w:left w:w="108" w:type="dxa"/>
              <w:bottom w:w="0" w:type="dxa"/>
              <w:right w:w="108" w:type="dxa"/>
            </w:tcMar>
          </w:tcPr>
          <w:p w:rsidR="006A159E" w:rsidRPr="00E2715B" w:rsidRDefault="006A159E" w:rsidP="0029684A">
            <w:pPr>
              <w:pStyle w:val="TableTextLeft"/>
              <w:keepLines/>
            </w:pPr>
            <w:r w:rsidRPr="00E2715B">
              <w:t>Small benefit/</w:t>
            </w:r>
            <w:r w:rsidRPr="00E2715B">
              <w:br/>
              <w:t xml:space="preserve">advantage compared to </w:t>
            </w:r>
            <w:r w:rsidR="00035750">
              <w:t>‘</w:t>
            </w:r>
            <w:r w:rsidRPr="00E2715B">
              <w:t>do nothing</w:t>
            </w:r>
            <w:r w:rsidR="00035750">
              <w:t>’</w:t>
            </w:r>
            <w:r w:rsidR="00600AEF">
              <w:t>.</w:t>
            </w:r>
          </w:p>
        </w:tc>
        <w:tc>
          <w:tcPr>
            <w:tcW w:w="678" w:type="pct"/>
            <w:shd w:val="clear" w:color="auto" w:fill="E6E6E6"/>
            <w:tcMar>
              <w:top w:w="0" w:type="dxa"/>
              <w:left w:w="108" w:type="dxa"/>
              <w:bottom w:w="0" w:type="dxa"/>
              <w:right w:w="108" w:type="dxa"/>
            </w:tcMar>
          </w:tcPr>
          <w:p w:rsidR="006A159E" w:rsidRPr="00E2715B" w:rsidRDefault="006A159E" w:rsidP="0029684A">
            <w:pPr>
              <w:pStyle w:val="TableTextLeft"/>
              <w:keepLines/>
            </w:pPr>
            <w:r w:rsidRPr="00E2715B">
              <w:t xml:space="preserve">No substantial change from </w:t>
            </w:r>
            <w:r w:rsidR="00035750">
              <w:t>‘</w:t>
            </w:r>
            <w:r w:rsidRPr="00E2715B">
              <w:t>do nothing</w:t>
            </w:r>
            <w:r w:rsidR="00035750">
              <w:t>’</w:t>
            </w:r>
            <w:r w:rsidR="00600AEF">
              <w:t>.</w:t>
            </w:r>
          </w:p>
        </w:tc>
        <w:tc>
          <w:tcPr>
            <w:tcW w:w="772" w:type="pct"/>
            <w:shd w:val="clear" w:color="auto" w:fill="E6E6E6"/>
            <w:tcMar>
              <w:top w:w="0" w:type="dxa"/>
              <w:left w:w="108" w:type="dxa"/>
              <w:bottom w:w="0" w:type="dxa"/>
              <w:right w:w="108" w:type="dxa"/>
            </w:tcMar>
          </w:tcPr>
          <w:p w:rsidR="006A159E" w:rsidRPr="00E2715B" w:rsidRDefault="006A159E" w:rsidP="0029684A">
            <w:pPr>
              <w:pStyle w:val="TableTextLeft"/>
              <w:keepLines/>
            </w:pPr>
            <w:r w:rsidRPr="00E2715B">
              <w:t>Small cost/</w:t>
            </w:r>
            <w:r w:rsidRPr="00E2715B">
              <w:br/>
              <w:t xml:space="preserve">disadvantage compared to </w:t>
            </w:r>
            <w:r w:rsidR="00035750">
              <w:t>‘</w:t>
            </w:r>
            <w:r w:rsidRPr="00E2715B">
              <w:t>do nothing</w:t>
            </w:r>
            <w:r w:rsidR="00035750">
              <w:t>’</w:t>
            </w:r>
            <w:r w:rsidR="00600AEF">
              <w:t>.</w:t>
            </w:r>
          </w:p>
        </w:tc>
        <w:tc>
          <w:tcPr>
            <w:tcW w:w="772" w:type="pct"/>
            <w:shd w:val="clear" w:color="auto" w:fill="E6E6E6"/>
            <w:tcMar>
              <w:top w:w="0" w:type="dxa"/>
              <w:left w:w="108" w:type="dxa"/>
              <w:bottom w:w="0" w:type="dxa"/>
              <w:right w:w="108" w:type="dxa"/>
            </w:tcMar>
          </w:tcPr>
          <w:p w:rsidR="006A159E" w:rsidRPr="00E2715B" w:rsidRDefault="006A159E" w:rsidP="0029684A">
            <w:pPr>
              <w:pStyle w:val="TableTextLeft"/>
              <w:keepLines/>
            </w:pPr>
            <w:r w:rsidRPr="00E2715B">
              <w:t>Moderate cost/</w:t>
            </w:r>
            <w:r w:rsidRPr="00E2715B">
              <w:br/>
              <w:t xml:space="preserve">disadvantage compared to </w:t>
            </w:r>
            <w:r w:rsidR="00035750">
              <w:t>‘</w:t>
            </w:r>
            <w:r w:rsidRPr="00E2715B">
              <w:t>do nothing</w:t>
            </w:r>
            <w:r w:rsidR="00035750">
              <w:t>’</w:t>
            </w:r>
            <w:r w:rsidR="00600AEF">
              <w:t>.</w:t>
            </w:r>
          </w:p>
        </w:tc>
        <w:tc>
          <w:tcPr>
            <w:tcW w:w="772" w:type="pct"/>
            <w:shd w:val="clear" w:color="auto" w:fill="E6E6E6"/>
            <w:tcMar>
              <w:top w:w="0" w:type="dxa"/>
              <w:left w:w="108" w:type="dxa"/>
              <w:bottom w:w="0" w:type="dxa"/>
              <w:right w:w="108" w:type="dxa"/>
            </w:tcMar>
          </w:tcPr>
          <w:p w:rsidR="006A159E" w:rsidRPr="00E2715B" w:rsidRDefault="006A159E" w:rsidP="0029684A">
            <w:pPr>
              <w:pStyle w:val="TableTextLeft"/>
              <w:keepLines/>
            </w:pPr>
            <w:r w:rsidRPr="00E2715B">
              <w:t>Large cost/</w:t>
            </w:r>
            <w:r w:rsidRPr="00E2715B">
              <w:br/>
              <w:t xml:space="preserve">disadvantage compared to </w:t>
            </w:r>
            <w:r w:rsidR="00035750">
              <w:t>‘</w:t>
            </w:r>
            <w:r w:rsidRPr="00E2715B">
              <w:t>do nothing</w:t>
            </w:r>
            <w:r w:rsidR="00035750">
              <w:t>’</w:t>
            </w:r>
            <w:r w:rsidR="00600AEF">
              <w:t>.</w:t>
            </w:r>
          </w:p>
        </w:tc>
      </w:tr>
    </w:tbl>
    <w:p w:rsidR="006A159E" w:rsidRPr="00DE051D" w:rsidRDefault="006A159E" w:rsidP="00F557C9">
      <w:pPr>
        <w:pStyle w:val="base-text-paragraph"/>
        <w:numPr>
          <w:ilvl w:val="1"/>
          <w:numId w:val="0"/>
        </w:numPr>
        <w:tabs>
          <w:tab w:val="num" w:pos="2050"/>
        </w:tabs>
        <w:spacing w:before="360"/>
        <w:ind w:left="1202"/>
      </w:pPr>
      <w:r w:rsidRPr="00DE051D">
        <w:t>The ratings for the individual impacts compared to the status quo are then tallied to produce an overall outcome for the option</w:t>
      </w:r>
      <w:r w:rsidR="00214D95">
        <w:t xml:space="preserve">.  </w:t>
      </w:r>
      <w:r w:rsidRPr="00DE051D">
        <w:t>If it is positive, it indicates that the option is likely to produce a more favourable cost/benefit ratio than the status quo</w:t>
      </w:r>
      <w:r w:rsidR="00214D95">
        <w:t xml:space="preserve">.  </w:t>
      </w:r>
      <w:r w:rsidRPr="00DE051D">
        <w:t xml:space="preserve">If it is zero there would be no overall benefit from adopting the option, and if negative the option would provide overall a less favourable cost/benefit ratio than the </w:t>
      </w:r>
      <w:r w:rsidR="00035750">
        <w:t>‘</w:t>
      </w:r>
      <w:r w:rsidRPr="00DE051D">
        <w:t>do nothing</w:t>
      </w:r>
      <w:r w:rsidR="00035750">
        <w:t>’</w:t>
      </w:r>
      <w:r w:rsidRPr="00DE051D">
        <w:t xml:space="preserve"> option</w:t>
      </w:r>
      <w:r w:rsidR="00214D95">
        <w:t xml:space="preserve">.  </w:t>
      </w:r>
      <w:r w:rsidRPr="00DE051D">
        <w:t>Ordinarily, options that have the highest positive score would be the favoured courses of action</w:t>
      </w:r>
      <w:r>
        <w:t>.</w:t>
      </w:r>
    </w:p>
    <w:p w:rsidR="006A159E" w:rsidRPr="00DE051D" w:rsidRDefault="006A159E" w:rsidP="006A159E">
      <w:pPr>
        <w:pStyle w:val="base-text-paragraph"/>
        <w:numPr>
          <w:ilvl w:val="1"/>
          <w:numId w:val="0"/>
        </w:numPr>
        <w:tabs>
          <w:tab w:val="num" w:pos="2050"/>
        </w:tabs>
        <w:ind w:left="1200"/>
      </w:pPr>
      <w:r w:rsidRPr="00DE051D">
        <w:t xml:space="preserve">What is classed as a </w:t>
      </w:r>
      <w:r w:rsidR="00035750">
        <w:t>‘</w:t>
      </w:r>
      <w:r w:rsidRPr="00DE051D">
        <w:t>large</w:t>
      </w:r>
      <w:r w:rsidR="00035750">
        <w:t>’</w:t>
      </w:r>
      <w:r w:rsidRPr="00DE051D">
        <w:t xml:space="preserve">, </w:t>
      </w:r>
      <w:r w:rsidR="00035750">
        <w:t>‘</w:t>
      </w:r>
      <w:r w:rsidRPr="00DE051D">
        <w:t>moderate</w:t>
      </w:r>
      <w:r w:rsidR="00035750">
        <w:t>’</w:t>
      </w:r>
      <w:r w:rsidRPr="00DE051D">
        <w:t xml:space="preserve"> or </w:t>
      </w:r>
      <w:r w:rsidR="00035750">
        <w:t>‘</w:t>
      </w:r>
      <w:r w:rsidRPr="00DE051D">
        <w:t>small</w:t>
      </w:r>
      <w:r w:rsidR="00035750">
        <w:t>’</w:t>
      </w:r>
      <w:r w:rsidRPr="00DE051D">
        <w:t xml:space="preserve"> cost or benefit depends on the nature of the problem and options being considered</w:t>
      </w:r>
      <w:r w:rsidR="00214D95">
        <w:t xml:space="preserve">.  </w:t>
      </w:r>
      <w:r w:rsidRPr="00DE051D">
        <w:t xml:space="preserve">Of course, the costs and benefits associated with options to address a problem costing billions of dollars per year are likely to be of a much greater absolute magnitude than the costs and benefits of options for dealing with a rather modest issue that </w:t>
      </w:r>
      <w:r>
        <w:t>a</w:t>
      </w:r>
      <w:r w:rsidRPr="00DE051D">
        <w:t>ffects only a handful of persons</w:t>
      </w:r>
      <w:r w:rsidR="00214D95">
        <w:t xml:space="preserve">.  </w:t>
      </w:r>
      <w:r w:rsidRPr="00DE051D">
        <w:t>However, as all the ratings are m</w:t>
      </w:r>
      <w:r w:rsidR="00EC10E2">
        <w:t>ade relative to the status quo/</w:t>
      </w:r>
      <w:r w:rsidRPr="00DE051D">
        <w:t xml:space="preserve">do nothing option for a particular problem, the absolute value of </w:t>
      </w:r>
      <w:r w:rsidR="00035750">
        <w:t>‘</w:t>
      </w:r>
      <w:r w:rsidRPr="00DE051D">
        <w:t>large</w:t>
      </w:r>
      <w:r w:rsidR="00035750">
        <w:t>’</w:t>
      </w:r>
      <w:r w:rsidRPr="00DE051D">
        <w:t xml:space="preserve"> or </w:t>
      </w:r>
      <w:r w:rsidR="00035750">
        <w:t>‘</w:t>
      </w:r>
      <w:r w:rsidRPr="00DE051D">
        <w:t>moderate</w:t>
      </w:r>
      <w:r w:rsidR="00035750">
        <w:t>’</w:t>
      </w:r>
      <w:r w:rsidRPr="00DE051D">
        <w:t xml:space="preserve"> or </w:t>
      </w:r>
      <w:r w:rsidR="00035750">
        <w:t>‘</w:t>
      </w:r>
      <w:r w:rsidRPr="00DE051D">
        <w:t>small</w:t>
      </w:r>
      <w:r w:rsidR="00035750">
        <w:t>’</w:t>
      </w:r>
      <w:r w:rsidRPr="00DE051D">
        <w:t xml:space="preserve"> is not really important</w:t>
      </w:r>
      <w:r w:rsidR="00214D95">
        <w:t xml:space="preserve">.  </w:t>
      </w:r>
      <w:r w:rsidRPr="00DE051D">
        <w:t xml:space="preserve">All that matters is that within a problem assessment, the impacts </w:t>
      </w:r>
      <w:r>
        <w:t xml:space="preserve">of each option </w:t>
      </w:r>
      <w:r w:rsidRPr="00DE051D">
        <w:t>are given appropriate ratings relative to the status quo and each other</w:t>
      </w:r>
      <w:r w:rsidR="00214D95">
        <w:t xml:space="preserve">.  </w:t>
      </w:r>
      <w:r w:rsidRPr="00DE051D">
        <w:t>If that occurs, it will be sufficient for the methodology to yield an overall rating that assists in assessing the relative merits of options, from a cost/benefit perspective, to address the particular problem.</w:t>
      </w:r>
    </w:p>
    <w:p w:rsidR="006A159E" w:rsidRPr="00DE051D" w:rsidRDefault="006A159E" w:rsidP="006A159E">
      <w:pPr>
        <w:pStyle w:val="base-text-paragraph"/>
        <w:numPr>
          <w:ilvl w:val="1"/>
          <w:numId w:val="0"/>
        </w:numPr>
        <w:tabs>
          <w:tab w:val="num" w:pos="2050"/>
        </w:tabs>
        <w:ind w:left="1200"/>
      </w:pPr>
      <w:r w:rsidRPr="00DE051D">
        <w:t xml:space="preserve">An example of the rating calculation for an option, </w:t>
      </w:r>
      <w:r>
        <w:t>using the seven</w:t>
      </w:r>
      <w:r w:rsidR="00214D95">
        <w:noBreakHyphen/>
      </w:r>
      <w:r w:rsidRPr="00DE051D">
        <w:t>point scale ratings of impacts, is in the table below</w:t>
      </w:r>
      <w:r w:rsidR="00214D95">
        <w:t xml:space="preserve">.  </w:t>
      </w:r>
      <w:r w:rsidRPr="00DE051D">
        <w:t>The example is based on a purely hypothetical scenario that a new type of long</w:t>
      </w:r>
      <w:r w:rsidR="00214D95">
        <w:noBreakHyphen/>
      </w:r>
      <w:r w:rsidRPr="00DE051D">
        <w:t xml:space="preserve">wearing vehicle tyre is being sold and marketed, but it has become apparent that the new </w:t>
      </w:r>
      <w:r>
        <w:t xml:space="preserve">style of </w:t>
      </w:r>
      <w:r w:rsidRPr="00DE051D">
        <w:t>tyres have a higher risk of exploding while in motion than conventional tyres</w:t>
      </w:r>
      <w:r w:rsidR="00214D95">
        <w:t xml:space="preserve">.  </w:t>
      </w:r>
      <w:r w:rsidRPr="00DE051D">
        <w:t>The example is designed merely to illustrate how the rating scale might be used to compare a proposal</w:t>
      </w:r>
      <w:r w:rsidR="00035750">
        <w:t>’</w:t>
      </w:r>
      <w:r w:rsidRPr="00DE051D">
        <w:t xml:space="preserve">s costs and benefits option to the </w:t>
      </w:r>
      <w:r w:rsidR="00035750">
        <w:t>‘</w:t>
      </w:r>
      <w:r w:rsidRPr="00DE051D">
        <w:t>do nothing</w:t>
      </w:r>
      <w:r w:rsidR="00035750">
        <w:t>’</w:t>
      </w:r>
      <w:r w:rsidRPr="00DE051D">
        <w:t xml:space="preserve"> option </w:t>
      </w:r>
      <w:r>
        <w:t>—</w:t>
      </w:r>
      <w:r w:rsidRPr="00DE051D">
        <w:t xml:space="preserve"> it is not intended to be a comprehensive or realistic assessment of options to address such a problem.</w:t>
      </w:r>
    </w:p>
    <w:p w:rsidR="006A159E" w:rsidRPr="00DE051D" w:rsidRDefault="006A159E" w:rsidP="006A159E">
      <w:pPr>
        <w:keepNext/>
        <w:jc w:val="center"/>
        <w:rPr>
          <w:b/>
        </w:rPr>
      </w:pPr>
      <w:r w:rsidRPr="00DE051D">
        <w:rPr>
          <w:b/>
        </w:rPr>
        <w:lastRenderedPageBreak/>
        <w:t>Illustrative rating for the problem of a long</w:t>
      </w:r>
      <w:r w:rsidR="00214D95">
        <w:rPr>
          <w:b/>
        </w:rPr>
        <w:noBreakHyphen/>
      </w:r>
      <w:r w:rsidRPr="00DE051D">
        <w:rPr>
          <w:b/>
        </w:rPr>
        <w:t>wearing tyre that may fail</w:t>
      </w:r>
    </w:p>
    <w:p w:rsidR="006A159E" w:rsidRPr="00DE051D" w:rsidRDefault="006A159E" w:rsidP="006A159E">
      <w:pPr>
        <w:pStyle w:val="Heading4"/>
      </w:pPr>
      <w:r w:rsidRPr="00DE051D">
        <w:t>Option A:</w:t>
      </w:r>
      <w:r w:rsidRPr="00DE051D">
        <w:tab/>
        <w:t>Do nothing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436"/>
        <w:gridCol w:w="2724"/>
        <w:gridCol w:w="2766"/>
      </w:tblGrid>
      <w:tr w:rsidR="006A159E" w:rsidRPr="00DE051D" w:rsidTr="00E10149">
        <w:tc>
          <w:tcPr>
            <w:tcW w:w="2612" w:type="dxa"/>
            <w:tcBorders>
              <w:top w:val="single" w:sz="8" w:space="0" w:color="auto"/>
              <w:left w:val="single" w:sz="8" w:space="0" w:color="auto"/>
              <w:bottom w:val="single" w:sz="8" w:space="0" w:color="auto"/>
              <w:right w:val="single" w:sz="8" w:space="0" w:color="auto"/>
            </w:tcBorders>
            <w:shd w:val="clear" w:color="auto" w:fill="E6E6E6"/>
          </w:tcPr>
          <w:p w:rsidR="006A159E" w:rsidRPr="00DE051D" w:rsidRDefault="006A159E" w:rsidP="0029684A">
            <w:pPr>
              <w:pStyle w:val="TableColumnHeadingCentred"/>
              <w:rPr>
                <w:rFonts w:ascii="Times New Roman" w:hAnsi="Times New Roman"/>
              </w:rPr>
            </w:pPr>
          </w:p>
        </w:tc>
        <w:tc>
          <w:tcPr>
            <w:tcW w:w="2936" w:type="dxa"/>
            <w:tcBorders>
              <w:top w:val="single" w:sz="8" w:space="0" w:color="auto"/>
              <w:left w:val="single" w:sz="8" w:space="0" w:color="auto"/>
              <w:bottom w:val="single" w:sz="8" w:space="0" w:color="auto"/>
              <w:right w:val="single" w:sz="8" w:space="0" w:color="auto"/>
            </w:tcBorders>
            <w:shd w:val="clear" w:color="auto" w:fill="E6E6E6"/>
          </w:tcPr>
          <w:p w:rsidR="006A159E" w:rsidRPr="008A6FF5" w:rsidRDefault="006A159E" w:rsidP="0029684A">
            <w:pPr>
              <w:pStyle w:val="TableColumnHeadingCentred"/>
            </w:pPr>
            <w:r w:rsidRPr="008A6FF5">
              <w:t>Benefits</w:t>
            </w:r>
          </w:p>
        </w:tc>
        <w:tc>
          <w:tcPr>
            <w:tcW w:w="2980" w:type="dxa"/>
            <w:tcBorders>
              <w:top w:val="single" w:sz="8" w:space="0" w:color="auto"/>
              <w:left w:val="single" w:sz="8" w:space="0" w:color="auto"/>
              <w:bottom w:val="single" w:sz="8" w:space="0" w:color="auto"/>
              <w:right w:val="single" w:sz="8" w:space="0" w:color="auto"/>
            </w:tcBorders>
            <w:shd w:val="clear" w:color="auto" w:fill="E6E6E6"/>
          </w:tcPr>
          <w:p w:rsidR="006A159E" w:rsidRPr="008A6FF5" w:rsidRDefault="006A159E" w:rsidP="0029684A">
            <w:pPr>
              <w:pStyle w:val="TableColumnHeadingCentred"/>
            </w:pPr>
            <w:r w:rsidRPr="008A6FF5">
              <w:t>Costs</w:t>
            </w:r>
          </w:p>
        </w:tc>
      </w:tr>
      <w:tr w:rsidR="006A159E" w:rsidRPr="008A6FF5" w:rsidTr="00E10149">
        <w:tc>
          <w:tcPr>
            <w:tcW w:w="2612" w:type="dxa"/>
            <w:tcBorders>
              <w:top w:val="single" w:sz="8" w:space="0" w:color="auto"/>
              <w:left w:val="single" w:sz="8" w:space="0" w:color="auto"/>
              <w:bottom w:val="single" w:sz="8" w:space="0" w:color="auto"/>
              <w:right w:val="single" w:sz="8" w:space="0" w:color="auto"/>
            </w:tcBorders>
            <w:shd w:val="clear" w:color="auto" w:fill="E6E6E6"/>
          </w:tcPr>
          <w:p w:rsidR="006A159E" w:rsidRPr="002D19F4" w:rsidRDefault="006A159E" w:rsidP="0029684A">
            <w:pPr>
              <w:pStyle w:val="TableTextLeft"/>
              <w:rPr>
                <w:b/>
              </w:rPr>
            </w:pPr>
            <w:r w:rsidRPr="002D19F4">
              <w:rPr>
                <w:b/>
              </w:rPr>
              <w:t>Consumers</w:t>
            </w:r>
          </w:p>
        </w:tc>
        <w:tc>
          <w:tcPr>
            <w:tcW w:w="2936" w:type="dxa"/>
            <w:tcBorders>
              <w:top w:val="single" w:sz="8" w:space="0" w:color="auto"/>
              <w:left w:val="single" w:sz="8" w:space="0" w:color="auto"/>
              <w:bottom w:val="single" w:sz="8" w:space="0" w:color="auto"/>
              <w:right w:val="single" w:sz="8" w:space="0" w:color="auto"/>
            </w:tcBorders>
            <w:shd w:val="clear" w:color="auto" w:fill="E6E6E6"/>
          </w:tcPr>
          <w:p w:rsidR="006A159E" w:rsidRPr="008A6FF5" w:rsidRDefault="006A159E" w:rsidP="0029684A">
            <w:pPr>
              <w:pStyle w:val="TableTextLeft"/>
              <w:tabs>
                <w:tab w:val="left" w:pos="2456"/>
                <w:tab w:val="left" w:pos="2491"/>
              </w:tabs>
              <w:ind w:right="35"/>
            </w:pPr>
            <w:r w:rsidRPr="008A6FF5">
              <w:t>Access to a cheaper solution for vehicle tyres</w:t>
            </w:r>
            <w:r w:rsidR="002C1581">
              <w:t>.</w:t>
            </w:r>
          </w:p>
        </w:tc>
        <w:tc>
          <w:tcPr>
            <w:tcW w:w="2980" w:type="dxa"/>
            <w:tcBorders>
              <w:top w:val="single" w:sz="8" w:space="0" w:color="auto"/>
              <w:left w:val="single" w:sz="8" w:space="0" w:color="auto"/>
              <w:bottom w:val="single" w:sz="8" w:space="0" w:color="auto"/>
              <w:right w:val="single" w:sz="8" w:space="0" w:color="auto"/>
            </w:tcBorders>
            <w:shd w:val="clear" w:color="auto" w:fill="E6E6E6"/>
          </w:tcPr>
          <w:p w:rsidR="006A159E" w:rsidRPr="008A6FF5" w:rsidRDefault="006A159E" w:rsidP="0029684A">
            <w:pPr>
              <w:pStyle w:val="TableTextLeft"/>
            </w:pPr>
            <w:r w:rsidRPr="008A6FF5">
              <w:t>Risk of tyre failure that can result in personal and property damage as a result of collision</w:t>
            </w:r>
            <w:r w:rsidR="00214D95">
              <w:t xml:space="preserve">.  </w:t>
            </w:r>
            <w:r w:rsidRPr="008A6FF5">
              <w:t>Damage can be severe but cases are rare</w:t>
            </w:r>
            <w:r w:rsidR="002C1581">
              <w:t>.</w:t>
            </w:r>
          </w:p>
        </w:tc>
      </w:tr>
      <w:tr w:rsidR="006A159E" w:rsidRPr="008A6FF5" w:rsidTr="00E10149">
        <w:tc>
          <w:tcPr>
            <w:tcW w:w="2612" w:type="dxa"/>
            <w:tcBorders>
              <w:top w:val="single" w:sz="8" w:space="0" w:color="auto"/>
              <w:left w:val="single" w:sz="8" w:space="0" w:color="auto"/>
              <w:bottom w:val="single" w:sz="8" w:space="0" w:color="auto"/>
              <w:right w:val="single" w:sz="8" w:space="0" w:color="auto"/>
            </w:tcBorders>
            <w:shd w:val="clear" w:color="auto" w:fill="E6E6E6"/>
          </w:tcPr>
          <w:p w:rsidR="006A159E" w:rsidRPr="002D19F4" w:rsidRDefault="006A159E" w:rsidP="0029684A">
            <w:pPr>
              <w:pStyle w:val="TableTextLeft"/>
              <w:rPr>
                <w:b/>
              </w:rPr>
            </w:pPr>
            <w:r w:rsidRPr="002D19F4">
              <w:rPr>
                <w:b/>
              </w:rPr>
              <w:t>Industry</w:t>
            </w:r>
          </w:p>
        </w:tc>
        <w:tc>
          <w:tcPr>
            <w:tcW w:w="2936" w:type="dxa"/>
            <w:tcBorders>
              <w:top w:val="single" w:sz="8" w:space="0" w:color="auto"/>
              <w:left w:val="single" w:sz="8" w:space="0" w:color="auto"/>
              <w:bottom w:val="single" w:sz="8" w:space="0" w:color="auto"/>
              <w:right w:val="single" w:sz="8" w:space="0" w:color="auto"/>
            </w:tcBorders>
            <w:shd w:val="clear" w:color="auto" w:fill="E6E6E6"/>
          </w:tcPr>
          <w:p w:rsidR="006A159E" w:rsidRPr="008A6FF5" w:rsidRDefault="006A159E" w:rsidP="0029684A">
            <w:pPr>
              <w:pStyle w:val="TableTextLeft"/>
              <w:tabs>
                <w:tab w:val="left" w:pos="2456"/>
                <w:tab w:val="left" w:pos="2491"/>
              </w:tabs>
              <w:ind w:right="35"/>
            </w:pPr>
          </w:p>
        </w:tc>
        <w:tc>
          <w:tcPr>
            <w:tcW w:w="2980" w:type="dxa"/>
            <w:tcBorders>
              <w:top w:val="single" w:sz="8" w:space="0" w:color="auto"/>
              <w:left w:val="single" w:sz="8" w:space="0" w:color="auto"/>
              <w:bottom w:val="single" w:sz="8" w:space="0" w:color="auto"/>
              <w:right w:val="single" w:sz="8" w:space="0" w:color="auto"/>
            </w:tcBorders>
            <w:shd w:val="clear" w:color="auto" w:fill="E6E6E6"/>
          </w:tcPr>
          <w:p w:rsidR="006A159E" w:rsidRPr="008A6FF5" w:rsidRDefault="006A159E" w:rsidP="0029684A">
            <w:pPr>
              <w:pStyle w:val="TableTextLeft"/>
            </w:pPr>
            <w:r w:rsidRPr="008A6FF5">
              <w:t>Some compensation payments to persons as a result of collisions caused by the tyre</w:t>
            </w:r>
            <w:r w:rsidR="002C1581">
              <w:t>.</w:t>
            </w:r>
          </w:p>
        </w:tc>
      </w:tr>
      <w:tr w:rsidR="006A159E" w:rsidRPr="008A6FF5" w:rsidTr="00E10149">
        <w:tc>
          <w:tcPr>
            <w:tcW w:w="2612" w:type="dxa"/>
            <w:tcBorders>
              <w:top w:val="single" w:sz="8" w:space="0" w:color="auto"/>
              <w:left w:val="single" w:sz="8" w:space="0" w:color="auto"/>
              <w:bottom w:val="single" w:sz="8" w:space="0" w:color="auto"/>
              <w:right w:val="single" w:sz="8" w:space="0" w:color="auto"/>
            </w:tcBorders>
            <w:shd w:val="clear" w:color="auto" w:fill="E6E6E6"/>
          </w:tcPr>
          <w:p w:rsidR="006A159E" w:rsidRPr="002D19F4" w:rsidRDefault="006A159E" w:rsidP="0029684A">
            <w:pPr>
              <w:pStyle w:val="TableTextLeft"/>
              <w:rPr>
                <w:b/>
              </w:rPr>
            </w:pPr>
            <w:r w:rsidRPr="002D19F4">
              <w:rPr>
                <w:b/>
              </w:rPr>
              <w:t>Government</w:t>
            </w:r>
          </w:p>
        </w:tc>
        <w:tc>
          <w:tcPr>
            <w:tcW w:w="2936" w:type="dxa"/>
            <w:tcBorders>
              <w:top w:val="single" w:sz="8" w:space="0" w:color="auto"/>
              <w:left w:val="single" w:sz="8" w:space="0" w:color="auto"/>
              <w:bottom w:val="single" w:sz="8" w:space="0" w:color="auto"/>
              <w:right w:val="single" w:sz="8" w:space="0" w:color="auto"/>
            </w:tcBorders>
            <w:shd w:val="clear" w:color="auto" w:fill="E6E6E6"/>
          </w:tcPr>
          <w:p w:rsidR="006A159E" w:rsidRPr="008A6FF5" w:rsidRDefault="006A159E" w:rsidP="0029684A">
            <w:pPr>
              <w:pStyle w:val="TableTextLeft"/>
              <w:tabs>
                <w:tab w:val="left" w:pos="2456"/>
                <w:tab w:val="left" w:pos="2491"/>
              </w:tabs>
              <w:ind w:right="35"/>
            </w:pPr>
            <w:r w:rsidRPr="008A6FF5">
              <w:t xml:space="preserve">Advantages </w:t>
            </w:r>
            <w:r>
              <w:t>for</w:t>
            </w:r>
            <w:r w:rsidRPr="008A6FF5">
              <w:t xml:space="preserve"> waste management perspective</w:t>
            </w:r>
            <w:r w:rsidR="002C1581">
              <w:t>.</w:t>
            </w:r>
          </w:p>
        </w:tc>
        <w:tc>
          <w:tcPr>
            <w:tcW w:w="2980" w:type="dxa"/>
            <w:tcBorders>
              <w:top w:val="single" w:sz="8" w:space="0" w:color="auto"/>
              <w:left w:val="single" w:sz="8" w:space="0" w:color="auto"/>
              <w:bottom w:val="single" w:sz="8" w:space="0" w:color="auto"/>
              <w:right w:val="single" w:sz="8" w:space="0" w:color="auto"/>
            </w:tcBorders>
            <w:shd w:val="clear" w:color="auto" w:fill="E6E6E6"/>
          </w:tcPr>
          <w:p w:rsidR="006A159E" w:rsidRPr="008A6FF5" w:rsidRDefault="006A159E" w:rsidP="0029684A">
            <w:pPr>
              <w:pStyle w:val="TableTextLeft"/>
            </w:pPr>
          </w:p>
        </w:tc>
      </w:tr>
    </w:tbl>
    <w:p w:rsidR="006A159E" w:rsidRPr="00DE051D" w:rsidRDefault="006A159E" w:rsidP="00EC10E2">
      <w:pPr>
        <w:pStyle w:val="Heading4"/>
        <w:spacing w:before="360"/>
      </w:pPr>
      <w:r w:rsidRPr="00DE051D">
        <w:t>Option B:</w:t>
      </w:r>
      <w:r w:rsidRPr="00DE051D">
        <w:tab/>
        <w:t>Ban on sale of the new tyre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3F3F3"/>
        <w:tblLook w:val="01E0" w:firstRow="1" w:lastRow="1" w:firstColumn="1" w:lastColumn="1" w:noHBand="0" w:noVBand="0"/>
      </w:tblPr>
      <w:tblGrid>
        <w:gridCol w:w="2364"/>
        <w:gridCol w:w="2723"/>
        <w:gridCol w:w="2839"/>
      </w:tblGrid>
      <w:tr w:rsidR="006A159E" w:rsidRPr="00DE051D" w:rsidTr="00E10149">
        <w:tc>
          <w:tcPr>
            <w:tcW w:w="2569" w:type="dxa"/>
            <w:shd w:val="clear" w:color="auto" w:fill="E6E6E6"/>
          </w:tcPr>
          <w:p w:rsidR="006A159E" w:rsidRPr="00DE051D" w:rsidRDefault="006A159E" w:rsidP="0029684A">
            <w:pPr>
              <w:pStyle w:val="TableColumnHeadingCentred"/>
              <w:rPr>
                <w:rFonts w:ascii="Times New Roman" w:hAnsi="Times New Roman"/>
              </w:rPr>
            </w:pPr>
          </w:p>
        </w:tc>
        <w:tc>
          <w:tcPr>
            <w:tcW w:w="2979" w:type="dxa"/>
            <w:shd w:val="clear" w:color="auto" w:fill="E6E6E6"/>
          </w:tcPr>
          <w:p w:rsidR="006A159E" w:rsidRPr="008A6FF5" w:rsidRDefault="006A159E" w:rsidP="0029684A">
            <w:pPr>
              <w:pStyle w:val="TableColumnHeadingCentred"/>
            </w:pPr>
            <w:r w:rsidRPr="008A6FF5">
              <w:t>Benefits</w:t>
            </w:r>
          </w:p>
        </w:tc>
        <w:tc>
          <w:tcPr>
            <w:tcW w:w="2980" w:type="dxa"/>
            <w:shd w:val="clear" w:color="auto" w:fill="E6E6E6"/>
          </w:tcPr>
          <w:p w:rsidR="006A159E" w:rsidRPr="008A6FF5" w:rsidRDefault="006A159E" w:rsidP="0029684A">
            <w:pPr>
              <w:pStyle w:val="TableColumnHeadingCentred"/>
            </w:pPr>
            <w:r w:rsidRPr="008A6FF5">
              <w:t>Costs</w:t>
            </w:r>
          </w:p>
        </w:tc>
      </w:tr>
      <w:tr w:rsidR="006A159E" w:rsidRPr="008A6FF5" w:rsidTr="00E10149">
        <w:tc>
          <w:tcPr>
            <w:tcW w:w="2569" w:type="dxa"/>
            <w:shd w:val="clear" w:color="auto" w:fill="E6E6E6"/>
          </w:tcPr>
          <w:p w:rsidR="006A159E" w:rsidRPr="002D19F4" w:rsidRDefault="006A159E" w:rsidP="0029684A">
            <w:pPr>
              <w:pStyle w:val="TableTextLeft"/>
              <w:rPr>
                <w:b/>
              </w:rPr>
            </w:pPr>
            <w:r w:rsidRPr="002D19F4">
              <w:rPr>
                <w:b/>
              </w:rPr>
              <w:t>Consumers</w:t>
            </w:r>
          </w:p>
        </w:tc>
        <w:tc>
          <w:tcPr>
            <w:tcW w:w="2979" w:type="dxa"/>
            <w:shd w:val="clear" w:color="auto" w:fill="E6E6E6"/>
          </w:tcPr>
          <w:p w:rsidR="006A159E" w:rsidRPr="008A6FF5" w:rsidRDefault="006A159E" w:rsidP="0029684A">
            <w:pPr>
              <w:pStyle w:val="TableTextLeft"/>
            </w:pPr>
            <w:r w:rsidRPr="008A6FF5">
              <w:t>No persons will be affected by tyre failure and resultant damage (+3)</w:t>
            </w:r>
            <w:r w:rsidR="002C1581">
              <w:t>.</w:t>
            </w:r>
          </w:p>
        </w:tc>
        <w:tc>
          <w:tcPr>
            <w:tcW w:w="2980" w:type="dxa"/>
            <w:shd w:val="clear" w:color="auto" w:fill="E6E6E6"/>
          </w:tcPr>
          <w:p w:rsidR="006A159E" w:rsidRPr="008A6FF5" w:rsidRDefault="006A159E" w:rsidP="0029684A">
            <w:pPr>
              <w:pStyle w:val="TableTextLeft"/>
              <w:ind w:right="30"/>
            </w:pPr>
            <w:r w:rsidRPr="008A6FF5">
              <w:t>Lack of access by consumers to long</w:t>
            </w:r>
            <w:r w:rsidR="00214D95">
              <w:noBreakHyphen/>
            </w:r>
            <w:r w:rsidRPr="008A6FF5">
              <w:t xml:space="preserve">wearing vehicle tyres, increasing the cost of vehicle maintenance </w:t>
            </w:r>
            <w:r>
              <w:t>[</w:t>
            </w:r>
            <w:r w:rsidR="00214D95">
              <w:noBreakHyphen/>
            </w:r>
            <w:r w:rsidRPr="008A6FF5">
              <w:t>2</w:t>
            </w:r>
            <w:r>
              <w:t>]</w:t>
            </w:r>
            <w:r w:rsidR="002C1581">
              <w:t>.</w:t>
            </w:r>
          </w:p>
        </w:tc>
      </w:tr>
      <w:tr w:rsidR="006A159E" w:rsidRPr="008A6FF5" w:rsidTr="00E10149">
        <w:tc>
          <w:tcPr>
            <w:tcW w:w="2569" w:type="dxa"/>
            <w:shd w:val="clear" w:color="auto" w:fill="E6E6E6"/>
          </w:tcPr>
          <w:p w:rsidR="006A159E" w:rsidRPr="002D19F4" w:rsidRDefault="006A159E" w:rsidP="0029684A">
            <w:pPr>
              <w:pStyle w:val="TableTextLeft"/>
              <w:rPr>
                <w:b/>
              </w:rPr>
            </w:pPr>
            <w:r w:rsidRPr="002D19F4">
              <w:rPr>
                <w:b/>
              </w:rPr>
              <w:t>Industry</w:t>
            </w:r>
          </w:p>
        </w:tc>
        <w:tc>
          <w:tcPr>
            <w:tcW w:w="2979" w:type="dxa"/>
            <w:shd w:val="clear" w:color="auto" w:fill="E6E6E6"/>
          </w:tcPr>
          <w:p w:rsidR="006A159E" w:rsidRPr="008A6FF5" w:rsidRDefault="006A159E" w:rsidP="0029684A">
            <w:pPr>
              <w:pStyle w:val="TableTextLeft"/>
            </w:pPr>
            <w:r w:rsidRPr="008A6FF5">
              <w:t xml:space="preserve">No compensation payments for accident victims </w:t>
            </w:r>
            <w:r>
              <w:t>[</w:t>
            </w:r>
            <w:r w:rsidRPr="008A6FF5">
              <w:t>+1</w:t>
            </w:r>
            <w:r>
              <w:t>]</w:t>
            </w:r>
            <w:r w:rsidR="002C1581">
              <w:t>.</w:t>
            </w:r>
          </w:p>
        </w:tc>
        <w:tc>
          <w:tcPr>
            <w:tcW w:w="2980" w:type="dxa"/>
            <w:shd w:val="clear" w:color="auto" w:fill="E6E6E6"/>
          </w:tcPr>
          <w:p w:rsidR="006A159E" w:rsidRPr="008A6FF5" w:rsidRDefault="006A159E" w:rsidP="0029684A">
            <w:pPr>
              <w:pStyle w:val="TableTextLeft"/>
              <w:ind w:right="30"/>
            </w:pPr>
            <w:r w:rsidRPr="008A6FF5">
              <w:t xml:space="preserve">Transitional costs involved with switching back all manufacturing/marketing operations to conventional tyres </w:t>
            </w:r>
            <w:r>
              <w:t>[</w:t>
            </w:r>
            <w:r w:rsidR="00214D95">
              <w:noBreakHyphen/>
            </w:r>
            <w:r w:rsidRPr="008A6FF5">
              <w:t>3</w:t>
            </w:r>
            <w:r>
              <w:t>]</w:t>
            </w:r>
            <w:r w:rsidR="002C1581">
              <w:t>.</w:t>
            </w:r>
          </w:p>
        </w:tc>
      </w:tr>
      <w:tr w:rsidR="006A159E" w:rsidRPr="008A6FF5" w:rsidTr="00E10149">
        <w:tc>
          <w:tcPr>
            <w:tcW w:w="2569" w:type="dxa"/>
            <w:shd w:val="clear" w:color="auto" w:fill="E6E6E6"/>
          </w:tcPr>
          <w:p w:rsidR="006A159E" w:rsidRPr="002D19F4" w:rsidRDefault="006A159E" w:rsidP="0029684A">
            <w:pPr>
              <w:pStyle w:val="TableTextLeft"/>
              <w:rPr>
                <w:b/>
              </w:rPr>
            </w:pPr>
            <w:r w:rsidRPr="002D19F4">
              <w:rPr>
                <w:b/>
              </w:rPr>
              <w:t>Government</w:t>
            </w:r>
          </w:p>
        </w:tc>
        <w:tc>
          <w:tcPr>
            <w:tcW w:w="2979" w:type="dxa"/>
            <w:shd w:val="clear" w:color="auto" w:fill="E6E6E6"/>
          </w:tcPr>
          <w:p w:rsidR="006A159E" w:rsidRPr="008A6FF5" w:rsidRDefault="006A159E" w:rsidP="0029684A">
            <w:pPr>
              <w:pStyle w:val="TableTextLeft"/>
            </w:pPr>
          </w:p>
        </w:tc>
        <w:tc>
          <w:tcPr>
            <w:tcW w:w="2980" w:type="dxa"/>
            <w:shd w:val="clear" w:color="auto" w:fill="E6E6E6"/>
          </w:tcPr>
          <w:p w:rsidR="006A159E" w:rsidRPr="008A6FF5" w:rsidRDefault="006A159E" w:rsidP="0029684A">
            <w:pPr>
              <w:pStyle w:val="TableTextLeft"/>
              <w:ind w:right="30"/>
            </w:pPr>
            <w:r w:rsidRPr="008A6FF5">
              <w:t xml:space="preserve">Conventional tyres produce more waste which is costly to deal with </w:t>
            </w:r>
            <w:r>
              <w:t>[</w:t>
            </w:r>
            <w:r w:rsidR="00214D95">
              <w:noBreakHyphen/>
            </w:r>
            <w:r w:rsidRPr="008A6FF5">
              <w:t>1</w:t>
            </w:r>
            <w:r>
              <w:t>]</w:t>
            </w:r>
            <w:r w:rsidR="002C1581">
              <w:t>.</w:t>
            </w:r>
          </w:p>
        </w:tc>
      </w:tr>
      <w:tr w:rsidR="006A159E" w:rsidRPr="002D19F4" w:rsidTr="00E10149">
        <w:tc>
          <w:tcPr>
            <w:tcW w:w="2569" w:type="dxa"/>
            <w:shd w:val="clear" w:color="auto" w:fill="E6E6E6"/>
          </w:tcPr>
          <w:p w:rsidR="006A159E" w:rsidRPr="002D19F4" w:rsidRDefault="006A159E" w:rsidP="0029684A">
            <w:pPr>
              <w:pStyle w:val="TableTextLeft"/>
              <w:rPr>
                <w:b/>
              </w:rPr>
            </w:pPr>
            <w:r w:rsidRPr="002D19F4">
              <w:rPr>
                <w:b/>
              </w:rPr>
              <w:t>Sub</w:t>
            </w:r>
            <w:r w:rsidR="00214D95">
              <w:rPr>
                <w:b/>
              </w:rPr>
              <w:noBreakHyphen/>
            </w:r>
            <w:r w:rsidRPr="002D19F4">
              <w:rPr>
                <w:b/>
              </w:rPr>
              <w:t>rating</w:t>
            </w:r>
          </w:p>
        </w:tc>
        <w:tc>
          <w:tcPr>
            <w:tcW w:w="2979" w:type="dxa"/>
            <w:shd w:val="clear" w:color="auto" w:fill="E6E6E6"/>
          </w:tcPr>
          <w:p w:rsidR="006A159E" w:rsidRPr="002D19F4" w:rsidRDefault="006A159E" w:rsidP="0029684A">
            <w:pPr>
              <w:pStyle w:val="TableTextLeft"/>
              <w:jc w:val="center"/>
              <w:rPr>
                <w:b/>
              </w:rPr>
            </w:pPr>
            <w:r w:rsidRPr="002D19F4">
              <w:rPr>
                <w:b/>
              </w:rPr>
              <w:t>+4</w:t>
            </w:r>
          </w:p>
        </w:tc>
        <w:tc>
          <w:tcPr>
            <w:tcW w:w="2980" w:type="dxa"/>
            <w:shd w:val="clear" w:color="auto" w:fill="E6E6E6"/>
          </w:tcPr>
          <w:p w:rsidR="006A159E" w:rsidRPr="002D19F4" w:rsidRDefault="00214D95" w:rsidP="0029684A">
            <w:pPr>
              <w:pStyle w:val="TableTextLeft"/>
              <w:ind w:right="30"/>
              <w:jc w:val="center"/>
              <w:rPr>
                <w:b/>
              </w:rPr>
            </w:pPr>
            <w:r>
              <w:rPr>
                <w:b/>
              </w:rPr>
              <w:noBreakHyphen/>
            </w:r>
            <w:r w:rsidR="006A159E" w:rsidRPr="002D19F4">
              <w:rPr>
                <w:b/>
              </w:rPr>
              <w:t>6</w:t>
            </w:r>
          </w:p>
        </w:tc>
      </w:tr>
      <w:tr w:rsidR="006A159E" w:rsidRPr="002D19F4" w:rsidTr="00E10149">
        <w:tc>
          <w:tcPr>
            <w:tcW w:w="2569" w:type="dxa"/>
            <w:shd w:val="clear" w:color="auto" w:fill="E6E6E6"/>
          </w:tcPr>
          <w:p w:rsidR="006A159E" w:rsidRPr="002D19F4" w:rsidRDefault="006A159E" w:rsidP="0029684A">
            <w:pPr>
              <w:pStyle w:val="TableTextLeft"/>
              <w:rPr>
                <w:b/>
              </w:rPr>
            </w:pPr>
            <w:r w:rsidRPr="002D19F4">
              <w:rPr>
                <w:b/>
              </w:rPr>
              <w:t>Overall rating</w:t>
            </w:r>
          </w:p>
        </w:tc>
        <w:tc>
          <w:tcPr>
            <w:tcW w:w="5959" w:type="dxa"/>
            <w:gridSpan w:val="2"/>
            <w:shd w:val="clear" w:color="auto" w:fill="E6E6E6"/>
          </w:tcPr>
          <w:p w:rsidR="006A159E" w:rsidRPr="002D19F4" w:rsidRDefault="00214D95" w:rsidP="0029684A">
            <w:pPr>
              <w:pStyle w:val="TableTextLeft"/>
              <w:jc w:val="center"/>
              <w:rPr>
                <w:b/>
              </w:rPr>
            </w:pPr>
            <w:r>
              <w:rPr>
                <w:b/>
              </w:rPr>
              <w:noBreakHyphen/>
            </w:r>
            <w:r w:rsidR="006A159E" w:rsidRPr="002D19F4">
              <w:rPr>
                <w:b/>
              </w:rPr>
              <w:t>2</w:t>
            </w:r>
          </w:p>
        </w:tc>
      </w:tr>
    </w:tbl>
    <w:p w:rsidR="006A159E" w:rsidRPr="00DE051D" w:rsidRDefault="006A159E" w:rsidP="00EC10E2">
      <w:pPr>
        <w:pStyle w:val="Heading4"/>
        <w:spacing w:before="360"/>
      </w:pPr>
      <w:r w:rsidRPr="00DE051D">
        <w:t>Option C:</w:t>
      </w:r>
      <w:r w:rsidRPr="00DE051D">
        <w:tab/>
        <w:t>Industry</w:t>
      </w:r>
      <w:r w:rsidR="00214D95">
        <w:noBreakHyphen/>
      </w:r>
      <w:r w:rsidRPr="00DE051D">
        <w:t>developed quality control standards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3F3F3"/>
        <w:tblLook w:val="01E0" w:firstRow="1" w:lastRow="1" w:firstColumn="1" w:lastColumn="1" w:noHBand="0" w:noVBand="0"/>
      </w:tblPr>
      <w:tblGrid>
        <w:gridCol w:w="2399"/>
        <w:gridCol w:w="2765"/>
        <w:gridCol w:w="2762"/>
      </w:tblGrid>
      <w:tr w:rsidR="006A159E" w:rsidRPr="008A6FF5" w:rsidTr="00E10149">
        <w:tc>
          <w:tcPr>
            <w:tcW w:w="2568" w:type="dxa"/>
            <w:shd w:val="clear" w:color="auto" w:fill="E6E6E6"/>
          </w:tcPr>
          <w:p w:rsidR="006A159E" w:rsidRPr="005A336F" w:rsidRDefault="006A159E" w:rsidP="0029684A">
            <w:pPr>
              <w:pStyle w:val="TableColumnHeadingCentred"/>
            </w:pPr>
          </w:p>
        </w:tc>
        <w:tc>
          <w:tcPr>
            <w:tcW w:w="2978" w:type="dxa"/>
            <w:shd w:val="clear" w:color="auto" w:fill="E6E6E6"/>
          </w:tcPr>
          <w:p w:rsidR="006A159E" w:rsidRPr="008A6FF5" w:rsidRDefault="006A159E" w:rsidP="0029684A">
            <w:pPr>
              <w:pStyle w:val="TableColumnHeadingCentred"/>
            </w:pPr>
            <w:r w:rsidRPr="008A6FF5">
              <w:t>Benefits</w:t>
            </w:r>
          </w:p>
        </w:tc>
        <w:tc>
          <w:tcPr>
            <w:tcW w:w="2982" w:type="dxa"/>
            <w:shd w:val="clear" w:color="auto" w:fill="E6E6E6"/>
          </w:tcPr>
          <w:p w:rsidR="006A159E" w:rsidRPr="008A6FF5" w:rsidRDefault="006A159E" w:rsidP="0029684A">
            <w:pPr>
              <w:pStyle w:val="TableColumnHeadingCentred"/>
            </w:pPr>
            <w:r w:rsidRPr="008A6FF5">
              <w:t>Costs</w:t>
            </w:r>
          </w:p>
        </w:tc>
      </w:tr>
      <w:tr w:rsidR="006A159E" w:rsidRPr="008A6FF5" w:rsidTr="00E10149">
        <w:tc>
          <w:tcPr>
            <w:tcW w:w="2568" w:type="dxa"/>
            <w:shd w:val="clear" w:color="auto" w:fill="E6E6E6"/>
          </w:tcPr>
          <w:p w:rsidR="006A159E" w:rsidRPr="005A336F" w:rsidRDefault="006A159E" w:rsidP="0029684A">
            <w:pPr>
              <w:pStyle w:val="TableTextLeft"/>
              <w:rPr>
                <w:b/>
              </w:rPr>
            </w:pPr>
            <w:r w:rsidRPr="005A336F">
              <w:rPr>
                <w:b/>
              </w:rPr>
              <w:t>Consumers</w:t>
            </w:r>
          </w:p>
        </w:tc>
        <w:tc>
          <w:tcPr>
            <w:tcW w:w="2978" w:type="dxa"/>
            <w:shd w:val="clear" w:color="auto" w:fill="E6E6E6"/>
          </w:tcPr>
          <w:p w:rsidR="006A159E" w:rsidRPr="008A6FF5" w:rsidRDefault="006A159E" w:rsidP="0029684A">
            <w:pPr>
              <w:pStyle w:val="TableTextLeft"/>
            </w:pPr>
            <w:r w:rsidRPr="008A6FF5">
              <w:t xml:space="preserve">Much lower risk of tyre failure and resultant damage than status quo </w:t>
            </w:r>
            <w:r>
              <w:t>[</w:t>
            </w:r>
            <w:r w:rsidRPr="008A6FF5">
              <w:t>+2</w:t>
            </w:r>
            <w:r>
              <w:t>]</w:t>
            </w:r>
            <w:r w:rsidR="002C1581">
              <w:t>.</w:t>
            </w:r>
          </w:p>
        </w:tc>
        <w:tc>
          <w:tcPr>
            <w:tcW w:w="2982" w:type="dxa"/>
            <w:shd w:val="clear" w:color="auto" w:fill="E6E6E6"/>
          </w:tcPr>
          <w:p w:rsidR="006A159E" w:rsidRPr="008A6FF5" w:rsidRDefault="006A159E" w:rsidP="0029684A">
            <w:pPr>
              <w:pStyle w:val="TableTextLeft"/>
              <w:tabs>
                <w:tab w:val="left" w:pos="2532"/>
              </w:tabs>
            </w:pPr>
          </w:p>
        </w:tc>
      </w:tr>
      <w:tr w:rsidR="006A159E" w:rsidRPr="008A6FF5" w:rsidTr="00E10149">
        <w:tc>
          <w:tcPr>
            <w:tcW w:w="2568" w:type="dxa"/>
            <w:shd w:val="clear" w:color="auto" w:fill="E6E6E6"/>
          </w:tcPr>
          <w:p w:rsidR="006A159E" w:rsidRPr="005A336F" w:rsidRDefault="006A159E" w:rsidP="0029684A">
            <w:pPr>
              <w:pStyle w:val="TableTextLeft"/>
              <w:rPr>
                <w:b/>
              </w:rPr>
            </w:pPr>
            <w:r w:rsidRPr="005A336F">
              <w:rPr>
                <w:b/>
              </w:rPr>
              <w:t>Industry</w:t>
            </w:r>
          </w:p>
        </w:tc>
        <w:tc>
          <w:tcPr>
            <w:tcW w:w="2978" w:type="dxa"/>
            <w:shd w:val="clear" w:color="auto" w:fill="E6E6E6"/>
          </w:tcPr>
          <w:p w:rsidR="006A159E" w:rsidRPr="008A6FF5" w:rsidRDefault="006A159E" w:rsidP="0029684A">
            <w:pPr>
              <w:pStyle w:val="TableTextLeft"/>
            </w:pPr>
            <w:r w:rsidRPr="008A6FF5">
              <w:t xml:space="preserve">Significantly less compensation payments for accident victims </w:t>
            </w:r>
            <w:r>
              <w:t>[</w:t>
            </w:r>
            <w:r w:rsidRPr="008A6FF5">
              <w:t>+1</w:t>
            </w:r>
            <w:r>
              <w:t>]</w:t>
            </w:r>
            <w:r w:rsidR="002C1581">
              <w:t>.</w:t>
            </w:r>
          </w:p>
        </w:tc>
        <w:tc>
          <w:tcPr>
            <w:tcW w:w="2982" w:type="dxa"/>
            <w:shd w:val="clear" w:color="auto" w:fill="E6E6E6"/>
          </w:tcPr>
          <w:p w:rsidR="006A159E" w:rsidRPr="008A6FF5" w:rsidRDefault="006A159E" w:rsidP="0029684A">
            <w:pPr>
              <w:pStyle w:val="TableTextLeft"/>
              <w:tabs>
                <w:tab w:val="left" w:pos="2532"/>
              </w:tabs>
            </w:pPr>
            <w:r w:rsidRPr="008A6FF5">
              <w:t>Developing and monitoring industry</w:t>
            </w:r>
            <w:r w:rsidR="00214D95">
              <w:noBreakHyphen/>
            </w:r>
            <w:r w:rsidRPr="008A6FF5">
              <w:t xml:space="preserve">wide quality control standards </w:t>
            </w:r>
            <w:r>
              <w:t>[</w:t>
            </w:r>
            <w:r w:rsidR="00214D95">
              <w:noBreakHyphen/>
            </w:r>
            <w:r w:rsidRPr="008A6FF5">
              <w:t>2</w:t>
            </w:r>
            <w:r>
              <w:t>]</w:t>
            </w:r>
            <w:r w:rsidR="002C1581">
              <w:t>.</w:t>
            </w:r>
          </w:p>
        </w:tc>
      </w:tr>
      <w:tr w:rsidR="006A159E" w:rsidRPr="008A6FF5" w:rsidTr="00E10149">
        <w:tc>
          <w:tcPr>
            <w:tcW w:w="2568" w:type="dxa"/>
            <w:shd w:val="clear" w:color="auto" w:fill="E6E6E6"/>
          </w:tcPr>
          <w:p w:rsidR="006A159E" w:rsidRPr="005A336F" w:rsidRDefault="006A159E" w:rsidP="0029684A">
            <w:pPr>
              <w:pStyle w:val="TableTextLeft"/>
              <w:rPr>
                <w:b/>
              </w:rPr>
            </w:pPr>
            <w:r w:rsidRPr="005A336F">
              <w:rPr>
                <w:b/>
              </w:rPr>
              <w:t>Government</w:t>
            </w:r>
          </w:p>
        </w:tc>
        <w:tc>
          <w:tcPr>
            <w:tcW w:w="2978" w:type="dxa"/>
            <w:shd w:val="clear" w:color="auto" w:fill="E6E6E6"/>
          </w:tcPr>
          <w:p w:rsidR="006A159E" w:rsidRPr="008A6FF5" w:rsidRDefault="006A159E" w:rsidP="0029684A">
            <w:pPr>
              <w:pStyle w:val="TableTextLeft"/>
            </w:pPr>
          </w:p>
        </w:tc>
        <w:tc>
          <w:tcPr>
            <w:tcW w:w="2982" w:type="dxa"/>
            <w:shd w:val="clear" w:color="auto" w:fill="E6E6E6"/>
          </w:tcPr>
          <w:p w:rsidR="006A159E" w:rsidRPr="008A6FF5" w:rsidRDefault="006A159E" w:rsidP="0029684A">
            <w:pPr>
              <w:pStyle w:val="TableTextLeft"/>
              <w:tabs>
                <w:tab w:val="left" w:pos="2532"/>
              </w:tabs>
            </w:pPr>
          </w:p>
        </w:tc>
      </w:tr>
      <w:tr w:rsidR="006A159E" w:rsidRPr="005A336F" w:rsidTr="00E10149">
        <w:tc>
          <w:tcPr>
            <w:tcW w:w="2568" w:type="dxa"/>
            <w:shd w:val="clear" w:color="auto" w:fill="E6E6E6"/>
          </w:tcPr>
          <w:p w:rsidR="006A159E" w:rsidRPr="005A336F" w:rsidRDefault="006A159E" w:rsidP="0029684A">
            <w:pPr>
              <w:pStyle w:val="TableTextLeft"/>
              <w:rPr>
                <w:b/>
              </w:rPr>
            </w:pPr>
            <w:bookmarkStart w:id="13" w:name="_Hlk215549887"/>
            <w:r w:rsidRPr="005A336F">
              <w:rPr>
                <w:b/>
              </w:rPr>
              <w:t>Sub</w:t>
            </w:r>
            <w:r w:rsidR="00214D95">
              <w:rPr>
                <w:b/>
              </w:rPr>
              <w:noBreakHyphen/>
            </w:r>
            <w:r w:rsidRPr="005A336F">
              <w:rPr>
                <w:b/>
              </w:rPr>
              <w:t>rating</w:t>
            </w:r>
          </w:p>
        </w:tc>
        <w:tc>
          <w:tcPr>
            <w:tcW w:w="2978" w:type="dxa"/>
            <w:shd w:val="clear" w:color="auto" w:fill="E6E6E6"/>
          </w:tcPr>
          <w:p w:rsidR="006A159E" w:rsidRPr="005A336F" w:rsidRDefault="006A159E" w:rsidP="0029684A">
            <w:pPr>
              <w:pStyle w:val="TableTextLeft"/>
              <w:jc w:val="center"/>
              <w:rPr>
                <w:b/>
              </w:rPr>
            </w:pPr>
            <w:r w:rsidRPr="005A336F">
              <w:rPr>
                <w:b/>
              </w:rPr>
              <w:t>+3</w:t>
            </w:r>
          </w:p>
        </w:tc>
        <w:tc>
          <w:tcPr>
            <w:tcW w:w="2982" w:type="dxa"/>
            <w:shd w:val="clear" w:color="auto" w:fill="E6E6E6"/>
          </w:tcPr>
          <w:p w:rsidR="006A159E" w:rsidRPr="005A336F" w:rsidRDefault="00214D95" w:rsidP="0029684A">
            <w:pPr>
              <w:pStyle w:val="TableTextLeft"/>
              <w:tabs>
                <w:tab w:val="left" w:pos="2532"/>
              </w:tabs>
              <w:jc w:val="center"/>
              <w:rPr>
                <w:b/>
              </w:rPr>
            </w:pPr>
            <w:r>
              <w:rPr>
                <w:b/>
              </w:rPr>
              <w:noBreakHyphen/>
            </w:r>
            <w:r w:rsidR="006A159E" w:rsidRPr="005A336F">
              <w:rPr>
                <w:b/>
              </w:rPr>
              <w:t>2</w:t>
            </w:r>
          </w:p>
        </w:tc>
      </w:tr>
      <w:tr w:rsidR="006A159E" w:rsidRPr="005A336F" w:rsidTr="00E10149">
        <w:tc>
          <w:tcPr>
            <w:tcW w:w="2568" w:type="dxa"/>
            <w:shd w:val="clear" w:color="auto" w:fill="E6E6E6"/>
          </w:tcPr>
          <w:p w:rsidR="006A159E" w:rsidRPr="005A336F" w:rsidRDefault="006A159E" w:rsidP="0029684A">
            <w:pPr>
              <w:pStyle w:val="TableTextLeft"/>
              <w:rPr>
                <w:b/>
              </w:rPr>
            </w:pPr>
            <w:r w:rsidRPr="005A336F">
              <w:rPr>
                <w:b/>
              </w:rPr>
              <w:t>Overall rating</w:t>
            </w:r>
          </w:p>
        </w:tc>
        <w:tc>
          <w:tcPr>
            <w:tcW w:w="5960" w:type="dxa"/>
            <w:gridSpan w:val="2"/>
            <w:shd w:val="clear" w:color="auto" w:fill="E6E6E6"/>
          </w:tcPr>
          <w:p w:rsidR="006A159E" w:rsidRPr="005A336F" w:rsidRDefault="006A159E" w:rsidP="0029684A">
            <w:pPr>
              <w:pStyle w:val="TableTextLeft"/>
              <w:jc w:val="center"/>
              <w:rPr>
                <w:b/>
              </w:rPr>
            </w:pPr>
            <w:r w:rsidRPr="005A336F">
              <w:rPr>
                <w:b/>
              </w:rPr>
              <w:t>+1</w:t>
            </w:r>
          </w:p>
        </w:tc>
      </w:tr>
    </w:tbl>
    <w:bookmarkEnd w:id="13"/>
    <w:p w:rsidR="006A159E" w:rsidRPr="00DE051D" w:rsidRDefault="006A159E" w:rsidP="00F01256">
      <w:pPr>
        <w:pStyle w:val="base-text-paragraph"/>
        <w:numPr>
          <w:ilvl w:val="1"/>
          <w:numId w:val="0"/>
        </w:numPr>
        <w:tabs>
          <w:tab w:val="num" w:pos="2050"/>
        </w:tabs>
        <w:spacing w:before="240"/>
        <w:ind w:left="1202"/>
      </w:pPr>
      <w:r w:rsidRPr="00DE051D">
        <w:lastRenderedPageBreak/>
        <w:t>In the above hypothetical example, Option C appears to have a better impact for consumers and a better overall cost/benefit rating than Option</w:t>
      </w:r>
      <w:r>
        <w:t> </w:t>
      </w:r>
      <w:r w:rsidRPr="00DE051D">
        <w:t>B</w:t>
      </w:r>
      <w:r w:rsidR="00214D95">
        <w:t xml:space="preserve">.  </w:t>
      </w:r>
    </w:p>
    <w:p w:rsidR="006A159E" w:rsidRDefault="006A159E" w:rsidP="006A159E">
      <w:pPr>
        <w:pStyle w:val="Heading3"/>
      </w:pPr>
      <w:bookmarkStart w:id="14" w:name="_Toc255909297"/>
      <w:bookmarkStart w:id="15" w:name="_Toc338331857"/>
      <w:r>
        <w:t>Electronic communication</w:t>
      </w:r>
      <w:bookmarkEnd w:id="14"/>
      <w:bookmarkEnd w:id="15"/>
    </w:p>
    <w:p w:rsidR="006A159E" w:rsidRDefault="006A159E" w:rsidP="006A159E">
      <w:pPr>
        <w:pStyle w:val="Heading4"/>
      </w:pPr>
      <w:bookmarkStart w:id="16" w:name="_Toc255909298"/>
      <w:r>
        <w:t>Problem</w:t>
      </w:r>
      <w:bookmarkEnd w:id="16"/>
    </w:p>
    <w:p w:rsidR="006A159E" w:rsidRDefault="006A159E" w:rsidP="006A159E">
      <w:pPr>
        <w:pStyle w:val="base-text-paragraph"/>
      </w:pPr>
      <w:r>
        <w:t xml:space="preserve">Communications under the ICA are currently exempt from the operation of the </w:t>
      </w:r>
      <w:r w:rsidRPr="009744C6">
        <w:rPr>
          <w:i/>
        </w:rPr>
        <w:t>Electronic Transa</w:t>
      </w:r>
      <w:r w:rsidRPr="008D6301">
        <w:t>c</w:t>
      </w:r>
      <w:r w:rsidRPr="009744C6">
        <w:rPr>
          <w:i/>
        </w:rPr>
        <w:t>tions Act 1989</w:t>
      </w:r>
      <w:r>
        <w:rPr>
          <w:i/>
        </w:rPr>
        <w:t xml:space="preserve"> </w:t>
      </w:r>
      <w:r>
        <w:t>(ETA)</w:t>
      </w:r>
      <w:r w:rsidR="00214D95">
        <w:t xml:space="preserve">.  </w:t>
      </w:r>
      <w:r>
        <w:t>The ETA provides that if a Commonwealth law requires a notice to be provided in writing, it may also be given by means of electronic communication if the relevant recipient consents.</w:t>
      </w:r>
    </w:p>
    <w:p w:rsidR="006A159E" w:rsidRDefault="006A159E" w:rsidP="006A159E">
      <w:pPr>
        <w:pStyle w:val="base-text-paragraph"/>
      </w:pPr>
      <w:r>
        <w:t>There are no equivalent facilities in the ICA</w:t>
      </w:r>
      <w:r w:rsidR="00214D95">
        <w:t xml:space="preserve">.  </w:t>
      </w:r>
      <w:r>
        <w:t>Accordingly, the exemption for the ICA limits the ability of insurers to utilise electronic communication with insureds</w:t>
      </w:r>
      <w:r w:rsidR="00214D95">
        <w:t xml:space="preserve">.  </w:t>
      </w:r>
      <w:r>
        <w:t>Use of electronic communication for various requirements under the ICA, including for the dissemination of notices, documents and other information, has the potential to lower costs and increase convenience for insurers and insureds.</w:t>
      </w:r>
    </w:p>
    <w:p w:rsidR="006A159E" w:rsidRDefault="006A159E" w:rsidP="006A159E">
      <w:pPr>
        <w:pStyle w:val="Heading4"/>
      </w:pPr>
      <w:bookmarkStart w:id="17" w:name="_Toc255909299"/>
      <w:r w:rsidRPr="00E639F2">
        <w:t>Objective</w:t>
      </w:r>
      <w:bookmarkEnd w:id="17"/>
    </w:p>
    <w:p w:rsidR="006A159E" w:rsidRDefault="006A159E" w:rsidP="006A159E">
      <w:pPr>
        <w:pStyle w:val="base-text-paragraph"/>
      </w:pPr>
      <w:r>
        <w:t>The objective is to ensure that the ICA permits a range of means of communication between insurers and insureds, including by electronic means, such as phone, facsimile, and the internet, provided that the risks for the recipients in the use of electronic means are not unreasonable.</w:t>
      </w:r>
    </w:p>
    <w:p w:rsidR="006A159E" w:rsidRPr="0065759A" w:rsidRDefault="006A159E" w:rsidP="006A159E">
      <w:pPr>
        <w:pStyle w:val="Heading4"/>
      </w:pPr>
      <w:bookmarkStart w:id="18" w:name="_Toc255909300"/>
      <w:r w:rsidRPr="0065759A">
        <w:t>Options</w:t>
      </w:r>
      <w:bookmarkEnd w:id="18"/>
    </w:p>
    <w:p w:rsidR="006A159E" w:rsidRDefault="006A159E" w:rsidP="006A159E">
      <w:pPr>
        <w:pStyle w:val="Heading5"/>
      </w:pPr>
      <w:r>
        <w:t>Option A: Do nothing</w:t>
      </w:r>
    </w:p>
    <w:p w:rsidR="006A159E" w:rsidRDefault="006A159E" w:rsidP="006A159E">
      <w:pPr>
        <w:pStyle w:val="base-text-paragraph"/>
      </w:pPr>
      <w:r>
        <w:t>Under this option, the ICA would remain exempt from the ETA and a number of communications under the Act would still need to be made by traditional writing.</w:t>
      </w:r>
    </w:p>
    <w:p w:rsidR="006A159E" w:rsidRDefault="006A159E" w:rsidP="006A159E">
      <w:pPr>
        <w:pStyle w:val="Heading5"/>
      </w:pPr>
      <w:r>
        <w:t>Option B: Make amendments so that electronic communication may be used for communications between insurers and insureds</w:t>
      </w:r>
    </w:p>
    <w:p w:rsidR="006A159E" w:rsidRDefault="006A159E" w:rsidP="006A159E">
      <w:pPr>
        <w:pStyle w:val="base-text-paragraph"/>
      </w:pPr>
      <w:r w:rsidRPr="007731AA">
        <w:rPr>
          <w:rStyle w:val="base-text-paragraphChar"/>
        </w:rPr>
        <w:t xml:space="preserve">This option would involve removing the exemption of the </w:t>
      </w:r>
      <w:r>
        <w:rPr>
          <w:rStyle w:val="base-text-paragraphChar"/>
        </w:rPr>
        <w:t>ICA</w:t>
      </w:r>
      <w:r w:rsidRPr="007731AA">
        <w:rPr>
          <w:rStyle w:val="base-text-paragraphChar"/>
        </w:rPr>
        <w:t xml:space="preserve"> from the operation of the </w:t>
      </w:r>
      <w:r>
        <w:rPr>
          <w:rStyle w:val="base-text-paragraphChar"/>
        </w:rPr>
        <w:t>ETA</w:t>
      </w:r>
      <w:r w:rsidRPr="007731AA">
        <w:rPr>
          <w:rStyle w:val="base-text-paragraphChar"/>
        </w:rPr>
        <w:t xml:space="preserve"> and amending the </w:t>
      </w:r>
      <w:r>
        <w:rPr>
          <w:rStyle w:val="base-text-paragraphChar"/>
        </w:rPr>
        <w:t>ICA,</w:t>
      </w:r>
      <w:r w:rsidRPr="007731AA">
        <w:rPr>
          <w:rStyle w:val="base-text-paragraphChar"/>
        </w:rPr>
        <w:t xml:space="preserve"> so that communications currently required to be </w:t>
      </w:r>
      <w:r w:rsidR="00035750">
        <w:rPr>
          <w:rStyle w:val="base-text-paragraphChar"/>
        </w:rPr>
        <w:t>‘</w:t>
      </w:r>
      <w:r w:rsidRPr="007731AA">
        <w:rPr>
          <w:rStyle w:val="base-text-paragraphChar"/>
        </w:rPr>
        <w:t>in writing</w:t>
      </w:r>
      <w:r w:rsidR="00035750">
        <w:rPr>
          <w:rStyle w:val="base-text-paragraphChar"/>
        </w:rPr>
        <w:t>’</w:t>
      </w:r>
      <w:r w:rsidRPr="007731AA">
        <w:rPr>
          <w:rStyle w:val="base-text-paragraphChar"/>
        </w:rPr>
        <w:t xml:space="preserve"> for the purposes of the </w:t>
      </w:r>
      <w:r>
        <w:rPr>
          <w:rStyle w:val="base-text-paragraphChar"/>
        </w:rPr>
        <w:t>ICA</w:t>
      </w:r>
      <w:r w:rsidRPr="007731AA">
        <w:rPr>
          <w:rStyle w:val="base-text-paragraphChar"/>
        </w:rPr>
        <w:t xml:space="preserve"> may be </w:t>
      </w:r>
      <w:r>
        <w:rPr>
          <w:rStyle w:val="base-text-paragraphChar"/>
        </w:rPr>
        <w:t>made</w:t>
      </w:r>
      <w:r w:rsidRPr="007731AA">
        <w:rPr>
          <w:rStyle w:val="base-text-paragraphChar"/>
        </w:rPr>
        <w:t xml:space="preserve"> by electronic means</w:t>
      </w:r>
      <w:r w:rsidR="00214D95">
        <w:rPr>
          <w:rStyle w:val="base-text-paragraphChar"/>
        </w:rPr>
        <w:t xml:space="preserve">.  </w:t>
      </w:r>
      <w:r>
        <w:rPr>
          <w:rStyle w:val="base-text-paragraphChar"/>
        </w:rPr>
        <w:t>U</w:t>
      </w:r>
      <w:r>
        <w:t>nder this option, insurers would not be compelled to utilise electronic communication methods to interface with insureds or potential insureds if they did not choose to do so.</w:t>
      </w:r>
    </w:p>
    <w:p w:rsidR="006A159E" w:rsidRDefault="006A159E" w:rsidP="00805473">
      <w:pPr>
        <w:pStyle w:val="Heading4"/>
      </w:pPr>
      <w:bookmarkStart w:id="19" w:name="_Toc255909301"/>
      <w:r w:rsidRPr="0065759A">
        <w:lastRenderedPageBreak/>
        <w:t>Impact analysis</w:t>
      </w:r>
      <w:bookmarkEnd w:id="19"/>
    </w:p>
    <w:p w:rsidR="006A159E" w:rsidRPr="0065759A" w:rsidRDefault="006A159E" w:rsidP="00805473">
      <w:pPr>
        <w:pStyle w:val="Heading5"/>
      </w:pPr>
      <w:r w:rsidRPr="0065759A">
        <w:t>Impact group identification</w:t>
      </w:r>
    </w:p>
    <w:p w:rsidR="006A159E" w:rsidRPr="0088668C" w:rsidRDefault="006A159E" w:rsidP="00805473">
      <w:pPr>
        <w:pStyle w:val="base-text-paragraph"/>
        <w:keepNext/>
      </w:pPr>
      <w:r w:rsidRPr="0088668C">
        <w:t>Affected groups:</w:t>
      </w:r>
    </w:p>
    <w:p w:rsidR="006A159E" w:rsidRPr="0088668C" w:rsidRDefault="006A159E" w:rsidP="006A159E">
      <w:pPr>
        <w:pStyle w:val="dotpoint"/>
      </w:pPr>
      <w:r>
        <w:t>i</w:t>
      </w:r>
      <w:r w:rsidRPr="0088668C">
        <w:t>nsurers</w:t>
      </w:r>
      <w:r>
        <w:t>;</w:t>
      </w:r>
      <w:r w:rsidRPr="001E1C0F">
        <w:t xml:space="preserve"> </w:t>
      </w:r>
      <w:r>
        <w:t>and</w:t>
      </w:r>
    </w:p>
    <w:p w:rsidR="006A159E" w:rsidRPr="0088668C" w:rsidRDefault="006A159E" w:rsidP="006A159E">
      <w:pPr>
        <w:pStyle w:val="dotpoint"/>
      </w:pPr>
      <w:r>
        <w:t>i</w:t>
      </w:r>
      <w:r w:rsidRPr="0088668C">
        <w:t>nsureds</w:t>
      </w:r>
      <w:r w:rsidR="00214D95">
        <w:t xml:space="preserve">.  </w:t>
      </w:r>
    </w:p>
    <w:p w:rsidR="006A159E" w:rsidRDefault="006A159E" w:rsidP="006A159E">
      <w:pPr>
        <w:pStyle w:val="Heading4"/>
      </w:pPr>
      <w:r>
        <w:t>Assessment of costs and benefits</w:t>
      </w:r>
    </w:p>
    <w:p w:rsidR="006A159E" w:rsidRPr="00DE051D" w:rsidRDefault="006A159E" w:rsidP="006A159E">
      <w:pPr>
        <w:pStyle w:val="Heading5"/>
      </w:pPr>
      <w:r w:rsidRPr="00DE051D">
        <w:t>Option A:</w:t>
      </w:r>
      <w:r w:rsidRPr="00DE051D">
        <w:tab/>
        <w:t>Do nothing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404"/>
        <w:gridCol w:w="2714"/>
        <w:gridCol w:w="2808"/>
      </w:tblGrid>
      <w:tr w:rsidR="006A159E" w:rsidRPr="00FF1661" w:rsidTr="00E10149">
        <w:tc>
          <w:tcPr>
            <w:tcW w:w="2404"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ColumnHeadingCentred"/>
              <w:keepNext/>
              <w:rPr>
                <w:b w:val="0"/>
              </w:rPr>
            </w:pPr>
          </w:p>
        </w:tc>
        <w:tc>
          <w:tcPr>
            <w:tcW w:w="2714"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keepNext/>
            </w:pPr>
            <w:r w:rsidRPr="00FF1661">
              <w:t>Benefits</w:t>
            </w:r>
          </w:p>
        </w:tc>
        <w:tc>
          <w:tcPr>
            <w:tcW w:w="2808"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keepNext/>
            </w:pPr>
            <w:r w:rsidRPr="00FF1661">
              <w:t>Costs</w:t>
            </w:r>
          </w:p>
        </w:tc>
      </w:tr>
      <w:tr w:rsidR="006A159E" w:rsidRPr="00FF1661" w:rsidTr="00E10149">
        <w:tc>
          <w:tcPr>
            <w:tcW w:w="2404" w:type="dxa"/>
            <w:tcBorders>
              <w:top w:val="single" w:sz="8" w:space="0" w:color="auto"/>
              <w:left w:val="single" w:sz="8" w:space="0" w:color="auto"/>
              <w:bottom w:val="single" w:sz="8" w:space="0" w:color="auto"/>
              <w:right w:val="single" w:sz="8" w:space="0" w:color="auto"/>
            </w:tcBorders>
            <w:shd w:val="clear" w:color="auto" w:fill="E6E6E6"/>
          </w:tcPr>
          <w:p w:rsidR="006A159E" w:rsidRPr="00711CE1" w:rsidRDefault="006A159E" w:rsidP="0029684A">
            <w:pPr>
              <w:pStyle w:val="TableTextLeft"/>
              <w:spacing w:before="40" w:after="40"/>
              <w:rPr>
                <w:b/>
              </w:rPr>
            </w:pPr>
            <w:r w:rsidRPr="00711CE1">
              <w:rPr>
                <w:b/>
              </w:rPr>
              <w:t>Consumers</w:t>
            </w:r>
          </w:p>
        </w:tc>
        <w:tc>
          <w:tcPr>
            <w:tcW w:w="2714"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TextLeft"/>
              <w:spacing w:before="40" w:after="40"/>
            </w:pPr>
            <w:r>
              <w:t>No risk of inadvertent loss of cover arising from electronic communication not being received or appropriately recognised</w:t>
            </w:r>
            <w:r w:rsidR="00062686">
              <w:t>.</w:t>
            </w:r>
          </w:p>
        </w:tc>
        <w:tc>
          <w:tcPr>
            <w:tcW w:w="2808"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TextLeft"/>
              <w:spacing w:before="40" w:after="40"/>
            </w:pPr>
            <w:r>
              <w:t>Additional costs of hard copy correspondence passed on through additional charges</w:t>
            </w:r>
            <w:r w:rsidR="00062686">
              <w:t>.</w:t>
            </w:r>
          </w:p>
        </w:tc>
      </w:tr>
      <w:tr w:rsidR="006A159E" w:rsidRPr="00FF1661" w:rsidTr="00E10149">
        <w:tc>
          <w:tcPr>
            <w:tcW w:w="2404" w:type="dxa"/>
            <w:tcBorders>
              <w:top w:val="single" w:sz="8" w:space="0" w:color="auto"/>
              <w:left w:val="single" w:sz="8" w:space="0" w:color="auto"/>
              <w:bottom w:val="single" w:sz="8" w:space="0" w:color="auto"/>
              <w:right w:val="single" w:sz="8" w:space="0" w:color="auto"/>
            </w:tcBorders>
            <w:shd w:val="clear" w:color="auto" w:fill="E6E6E6"/>
          </w:tcPr>
          <w:p w:rsidR="006A159E" w:rsidRPr="00711CE1" w:rsidRDefault="006A159E" w:rsidP="0029684A">
            <w:pPr>
              <w:pStyle w:val="TableTextLeft"/>
              <w:spacing w:before="40" w:after="40"/>
              <w:rPr>
                <w:b/>
              </w:rPr>
            </w:pPr>
            <w:r w:rsidRPr="00711CE1">
              <w:rPr>
                <w:b/>
              </w:rPr>
              <w:t>Insurers</w:t>
            </w:r>
          </w:p>
        </w:tc>
        <w:tc>
          <w:tcPr>
            <w:tcW w:w="2714"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TextLeft"/>
              <w:spacing w:before="40" w:after="40"/>
            </w:pPr>
          </w:p>
        </w:tc>
        <w:tc>
          <w:tcPr>
            <w:tcW w:w="2808"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TextLeft"/>
              <w:spacing w:before="40" w:after="40"/>
            </w:pPr>
            <w:r>
              <w:t>Using hard copy correspondence for all required communications may be more expensive than electronic means</w:t>
            </w:r>
            <w:r w:rsidR="00062686">
              <w:t>.</w:t>
            </w:r>
          </w:p>
        </w:tc>
      </w:tr>
      <w:tr w:rsidR="006A159E" w:rsidRPr="00FF1661" w:rsidTr="00E10149">
        <w:tc>
          <w:tcPr>
            <w:tcW w:w="2404" w:type="dxa"/>
            <w:tcBorders>
              <w:top w:val="single" w:sz="8" w:space="0" w:color="auto"/>
              <w:left w:val="single" w:sz="8" w:space="0" w:color="auto"/>
              <w:bottom w:val="single" w:sz="8" w:space="0" w:color="auto"/>
              <w:right w:val="single" w:sz="8" w:space="0" w:color="auto"/>
            </w:tcBorders>
            <w:shd w:val="clear" w:color="auto" w:fill="E6E6E6"/>
          </w:tcPr>
          <w:p w:rsidR="006A159E" w:rsidRPr="00711CE1" w:rsidRDefault="006A159E" w:rsidP="0029684A">
            <w:pPr>
              <w:pStyle w:val="TableTextLeft"/>
              <w:spacing w:before="40" w:after="40"/>
              <w:rPr>
                <w:b/>
              </w:rPr>
            </w:pPr>
            <w:r w:rsidRPr="00711CE1">
              <w:rPr>
                <w:b/>
              </w:rPr>
              <w:t>Government/regulators</w:t>
            </w:r>
          </w:p>
        </w:tc>
        <w:tc>
          <w:tcPr>
            <w:tcW w:w="2714"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TextLeft"/>
              <w:spacing w:before="40" w:after="40"/>
            </w:pPr>
          </w:p>
        </w:tc>
        <w:tc>
          <w:tcPr>
            <w:tcW w:w="2808"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TextLeft"/>
              <w:spacing w:before="40" w:after="40"/>
            </w:pPr>
          </w:p>
        </w:tc>
      </w:tr>
    </w:tbl>
    <w:p w:rsidR="006A159E" w:rsidRPr="00DE051D" w:rsidRDefault="006A159E" w:rsidP="00805473">
      <w:pPr>
        <w:pStyle w:val="Heading5"/>
        <w:spacing w:before="360"/>
      </w:pPr>
      <w:r>
        <w:t>Option B:</w:t>
      </w:r>
      <w:r>
        <w:tab/>
        <w:t>Make amendments so that electronic communication may be used for communications between insurers and insureds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416"/>
        <w:gridCol w:w="2723"/>
        <w:gridCol w:w="2787"/>
      </w:tblGrid>
      <w:tr w:rsidR="006A159E" w:rsidRPr="00FF1661" w:rsidTr="00E10149">
        <w:tc>
          <w:tcPr>
            <w:tcW w:w="2416"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ColumnHeadingCentred"/>
            </w:pPr>
            <w:bookmarkStart w:id="20" w:name="_Hlk219545149"/>
          </w:p>
        </w:tc>
        <w:tc>
          <w:tcPr>
            <w:tcW w:w="2723"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pPr>
            <w:r w:rsidRPr="00FF1661">
              <w:t>Benefits</w:t>
            </w:r>
          </w:p>
        </w:tc>
        <w:tc>
          <w:tcPr>
            <w:tcW w:w="2787"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pPr>
            <w:r w:rsidRPr="00FF1661">
              <w:t>Costs</w:t>
            </w:r>
          </w:p>
        </w:tc>
      </w:tr>
      <w:tr w:rsidR="006A159E" w:rsidRPr="00FF1661" w:rsidTr="00E10149">
        <w:tc>
          <w:tcPr>
            <w:tcW w:w="2416"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spacing w:before="20" w:after="20"/>
              <w:rPr>
                <w:b/>
              </w:rPr>
            </w:pPr>
            <w:r w:rsidRPr="009E22B7">
              <w:rPr>
                <w:b/>
              </w:rPr>
              <w:t>Consumers</w:t>
            </w:r>
          </w:p>
        </w:tc>
        <w:tc>
          <w:tcPr>
            <w:tcW w:w="2723"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TextLeft"/>
              <w:spacing w:before="20" w:after="20"/>
            </w:pPr>
            <w:r>
              <w:t>Savings for insurers from use of electronic communications would be passed to consumers in the form of lower prices[+1]</w:t>
            </w:r>
            <w:r w:rsidR="00062686">
              <w:t>.</w:t>
            </w:r>
          </w:p>
        </w:tc>
        <w:tc>
          <w:tcPr>
            <w:tcW w:w="2787"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TextLeft"/>
              <w:spacing w:before="20" w:after="20"/>
            </w:pPr>
            <w:r>
              <w:t>Possible greater risk in some cases that cover will be inadvertently lost as a result of electronic statutory communications not being received or their importance not recognised by the insured [</w:t>
            </w:r>
            <w:r w:rsidR="00214D95">
              <w:noBreakHyphen/>
            </w:r>
            <w:r>
              <w:t>1]</w:t>
            </w:r>
            <w:r w:rsidR="00062686">
              <w:t>.</w:t>
            </w:r>
          </w:p>
        </w:tc>
      </w:tr>
      <w:tr w:rsidR="006A159E" w:rsidRPr="00FF1661" w:rsidTr="00E10149">
        <w:tc>
          <w:tcPr>
            <w:tcW w:w="2416"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spacing w:before="20" w:after="20"/>
              <w:rPr>
                <w:b/>
              </w:rPr>
            </w:pPr>
            <w:r w:rsidRPr="009E22B7">
              <w:rPr>
                <w:b/>
              </w:rPr>
              <w:t>Insurers</w:t>
            </w:r>
          </w:p>
        </w:tc>
        <w:tc>
          <w:tcPr>
            <w:tcW w:w="2723"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TextLeft"/>
              <w:spacing w:before="20" w:after="20"/>
            </w:pPr>
            <w:r>
              <w:t>Administrative savings by use of electronic means for statutory communications rather than hard copy correspondence [+3]</w:t>
            </w:r>
            <w:r w:rsidR="00062686">
              <w:t>.</w:t>
            </w:r>
          </w:p>
        </w:tc>
        <w:tc>
          <w:tcPr>
            <w:tcW w:w="2787"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TextLeft"/>
              <w:spacing w:before="20" w:after="20"/>
            </w:pPr>
          </w:p>
        </w:tc>
      </w:tr>
      <w:tr w:rsidR="006A159E" w:rsidRPr="00FF1661" w:rsidTr="00E10149">
        <w:tc>
          <w:tcPr>
            <w:tcW w:w="2416"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spacing w:before="20" w:after="20"/>
              <w:rPr>
                <w:b/>
              </w:rPr>
            </w:pPr>
            <w:r w:rsidRPr="009E22B7">
              <w:rPr>
                <w:b/>
              </w:rPr>
              <w:t>Government/regulators</w:t>
            </w:r>
          </w:p>
        </w:tc>
        <w:tc>
          <w:tcPr>
            <w:tcW w:w="2723"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Del="001E1C0F" w:rsidRDefault="006A159E" w:rsidP="0029684A">
            <w:pPr>
              <w:pStyle w:val="TableTextLeft"/>
              <w:spacing w:before="20" w:after="20"/>
              <w:rPr>
                <w:b/>
              </w:rPr>
            </w:pPr>
          </w:p>
        </w:tc>
        <w:tc>
          <w:tcPr>
            <w:tcW w:w="2787"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spacing w:before="20" w:after="20"/>
              <w:rPr>
                <w:b/>
              </w:rPr>
            </w:pPr>
          </w:p>
        </w:tc>
      </w:tr>
      <w:tr w:rsidR="006A159E" w:rsidRPr="00FF1661" w:rsidTr="00E10149">
        <w:tc>
          <w:tcPr>
            <w:tcW w:w="2416"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rPr>
                <w:b/>
              </w:rPr>
            </w:pPr>
            <w:r w:rsidRPr="009E22B7">
              <w:rPr>
                <w:b/>
              </w:rPr>
              <w:t>Sub</w:t>
            </w:r>
            <w:r w:rsidR="00214D95">
              <w:rPr>
                <w:b/>
              </w:rPr>
              <w:noBreakHyphen/>
            </w:r>
            <w:r w:rsidRPr="009E22B7">
              <w:rPr>
                <w:b/>
              </w:rPr>
              <w:t>rating</w:t>
            </w:r>
          </w:p>
        </w:tc>
        <w:tc>
          <w:tcPr>
            <w:tcW w:w="2723"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jc w:val="center"/>
              <w:rPr>
                <w:b/>
              </w:rPr>
            </w:pPr>
            <w:r w:rsidRPr="009E22B7">
              <w:rPr>
                <w:b/>
              </w:rPr>
              <w:t>+4</w:t>
            </w:r>
          </w:p>
        </w:tc>
        <w:tc>
          <w:tcPr>
            <w:tcW w:w="2787"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214D95" w:rsidP="0029684A">
            <w:pPr>
              <w:pStyle w:val="TableTextLeft"/>
              <w:jc w:val="center"/>
              <w:rPr>
                <w:b/>
              </w:rPr>
            </w:pPr>
            <w:r>
              <w:rPr>
                <w:b/>
              </w:rPr>
              <w:noBreakHyphen/>
            </w:r>
            <w:r w:rsidR="006A159E" w:rsidRPr="009E22B7">
              <w:rPr>
                <w:b/>
              </w:rPr>
              <w:t>1</w:t>
            </w:r>
          </w:p>
        </w:tc>
      </w:tr>
      <w:tr w:rsidR="006A159E" w:rsidRPr="00FF1661" w:rsidTr="00E10149">
        <w:tc>
          <w:tcPr>
            <w:tcW w:w="2416"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rPr>
                <w:b/>
              </w:rPr>
            </w:pPr>
            <w:r w:rsidRPr="009E22B7">
              <w:rPr>
                <w:b/>
              </w:rPr>
              <w:t>Overall rating</w:t>
            </w:r>
          </w:p>
        </w:tc>
        <w:tc>
          <w:tcPr>
            <w:tcW w:w="5510"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jc w:val="center"/>
              <w:rPr>
                <w:b/>
              </w:rPr>
            </w:pPr>
            <w:r w:rsidRPr="009E22B7">
              <w:rPr>
                <w:b/>
              </w:rPr>
              <w:t>+3</w:t>
            </w:r>
          </w:p>
        </w:tc>
      </w:tr>
    </w:tbl>
    <w:p w:rsidR="006A159E" w:rsidRDefault="006A159E" w:rsidP="00C96263">
      <w:pPr>
        <w:pStyle w:val="Heading4"/>
        <w:spacing w:before="360"/>
      </w:pPr>
      <w:bookmarkStart w:id="21" w:name="_Toc255909302"/>
      <w:bookmarkEnd w:id="20"/>
      <w:r>
        <w:t>Consultation</w:t>
      </w:r>
      <w:bookmarkEnd w:id="21"/>
    </w:p>
    <w:p w:rsidR="006A159E" w:rsidRDefault="006A159E" w:rsidP="006A159E">
      <w:pPr>
        <w:pStyle w:val="base-text-paragraph"/>
      </w:pPr>
      <w:r>
        <w:t>Removal of the current ICA exemption from the scope of the ETA received wide support</w:t>
      </w:r>
      <w:r w:rsidR="00214D95">
        <w:t xml:space="preserve">.  </w:t>
      </w:r>
      <w:r>
        <w:t>There were no submissions in response to the Review Panel</w:t>
      </w:r>
      <w:r w:rsidR="00035750">
        <w:t>’</w:t>
      </w:r>
      <w:r>
        <w:t>s reports opposed to allowing for electronic communications under the ICA</w:t>
      </w:r>
      <w:r w:rsidR="00214D95">
        <w:t xml:space="preserve">.  </w:t>
      </w:r>
      <w:r>
        <w:t>However</w:t>
      </w:r>
      <w:r w:rsidR="0014053A">
        <w:t>,</w:t>
      </w:r>
      <w:r>
        <w:t xml:space="preserve"> there were suggestions from representatives of consumers and the legal profession that allowing </w:t>
      </w:r>
      <w:r>
        <w:lastRenderedPageBreak/>
        <w:t>electronic communications should be subject to particular safeguards, including the safeguards proposed by the Review Panel in its final report.</w:t>
      </w:r>
    </w:p>
    <w:p w:rsidR="006A159E" w:rsidRDefault="006A159E" w:rsidP="006A159E">
      <w:pPr>
        <w:pStyle w:val="base-text-paragraph"/>
      </w:pPr>
      <w:r>
        <w:t>Representatives of insurers submitted there should be no requirement to provide notices in hard copy if the relevant insured has consented to receive information electronically</w:t>
      </w:r>
      <w:r w:rsidR="00214D95">
        <w:t xml:space="preserve">.  </w:t>
      </w:r>
      <w:r>
        <w:t>This was supported by other submissions</w:t>
      </w:r>
      <w:r w:rsidR="00214D95">
        <w:t xml:space="preserve">.  </w:t>
      </w:r>
      <w:r>
        <w:t>However, an insurance dispute resolution body argued that no sanction should apply to an insured until they had been sent a hard copy of the relevant notice or acknowledged receipt of the notice through electronic means.</w:t>
      </w:r>
    </w:p>
    <w:p w:rsidR="006A159E" w:rsidRDefault="006A159E" w:rsidP="006A159E">
      <w:pPr>
        <w:pStyle w:val="base-text-paragraph"/>
      </w:pPr>
      <w:r>
        <w:t>Following the release of the exposure draft bill for consultation, life insurance industry representatives suggested that the annual review notice could still be required to be provided in hard copy.</w:t>
      </w:r>
    </w:p>
    <w:p w:rsidR="006A159E" w:rsidRDefault="006A159E" w:rsidP="006A159E">
      <w:pPr>
        <w:pStyle w:val="Heading4"/>
      </w:pPr>
      <w:bookmarkStart w:id="22" w:name="_Toc255909303"/>
      <w:r>
        <w:t>Conclusion and recommended option</w:t>
      </w:r>
      <w:bookmarkEnd w:id="22"/>
    </w:p>
    <w:p w:rsidR="006A159E" w:rsidRDefault="006A159E" w:rsidP="006A159E">
      <w:pPr>
        <w:pStyle w:val="base-text-paragraph"/>
      </w:pPr>
      <w:r w:rsidRPr="006C7973">
        <w:rPr>
          <w:rStyle w:val="Heading5Char"/>
        </w:rPr>
        <w:t>Option A is not preferred because</w:t>
      </w:r>
      <w:r>
        <w:t>:</w:t>
      </w:r>
    </w:p>
    <w:p w:rsidR="006A159E" w:rsidRPr="00CA6096" w:rsidRDefault="006A159E" w:rsidP="006A159E">
      <w:pPr>
        <w:pStyle w:val="dotpoint"/>
      </w:pPr>
      <w:r>
        <w:t>g</w:t>
      </w:r>
      <w:r w:rsidRPr="00CA6096">
        <w:t>en</w:t>
      </w:r>
      <w:r>
        <w:t xml:space="preserve">eral government policy, as reflected in the </w:t>
      </w:r>
      <w:r w:rsidRPr="00CA6096">
        <w:rPr>
          <w:i/>
        </w:rPr>
        <w:t>Electronic Transactions Act</w:t>
      </w:r>
      <w:r>
        <w:rPr>
          <w:i/>
        </w:rPr>
        <w:t> </w:t>
      </w:r>
      <w:r w:rsidRPr="00CA6096">
        <w:rPr>
          <w:i/>
        </w:rPr>
        <w:t>1999</w:t>
      </w:r>
      <w:r>
        <w:t>, is to facilitate electronic transactions; and</w:t>
      </w:r>
    </w:p>
    <w:p w:rsidR="006A159E" w:rsidRPr="009634AF" w:rsidRDefault="006A159E" w:rsidP="006A159E">
      <w:pPr>
        <w:pStyle w:val="dotpoint"/>
      </w:pPr>
      <w:r w:rsidRPr="009634AF">
        <w:t xml:space="preserve">the potential cost savings in permitting electronic communication to be used for </w:t>
      </w:r>
      <w:r>
        <w:t>ICA</w:t>
      </w:r>
      <w:r w:rsidRPr="009634AF">
        <w:t xml:space="preserve"> purposes are significant.</w:t>
      </w:r>
    </w:p>
    <w:p w:rsidR="006A159E" w:rsidRDefault="006A159E" w:rsidP="006A159E">
      <w:pPr>
        <w:pStyle w:val="base-text-paragraph"/>
      </w:pPr>
      <w:r>
        <w:t>Option B would allow for electronic communications in accordance with the requirements of the ETA</w:t>
      </w:r>
      <w:r w:rsidR="00214D95">
        <w:t xml:space="preserve">.  </w:t>
      </w:r>
      <w:r>
        <w:t>However, a number of submissions argued that insurance contacts warranted additional safeguards</w:t>
      </w:r>
      <w:r w:rsidR="00214D95">
        <w:t xml:space="preserve">.  </w:t>
      </w:r>
      <w:r>
        <w:t>The main issue of concern was that the failure of a consumer either to receive or react appropriately to a statutory communication under the ICA might, in some cases, lead to inadvertent loss of cover and, if the cover had to be called upon due to a claim arising, they would face major financial difficulties</w:t>
      </w:r>
      <w:r w:rsidR="00214D95">
        <w:t xml:space="preserve">.  </w:t>
      </w:r>
      <w:r>
        <w:t>For example, it was argued strongly by consumer representatives and some lawyers that communications required under the ICA, which are sent electronically, should be capable of being printed and retained</w:t>
      </w:r>
      <w:r w:rsidR="00214D95">
        <w:t xml:space="preserve">.  </w:t>
      </w:r>
      <w:r>
        <w:t>However, responses to the February 2007 exposure draft Bill argued that the requirements of the ETA are sufficient to address these concerns</w:t>
      </w:r>
      <w:r w:rsidR="00214D95">
        <w:t xml:space="preserve">.  </w:t>
      </w:r>
    </w:p>
    <w:p w:rsidR="006A159E" w:rsidRPr="008D6301" w:rsidRDefault="006A159E" w:rsidP="006A159E">
      <w:pPr>
        <w:pStyle w:val="base-text-paragraph"/>
        <w:rPr>
          <w:rFonts w:ascii="Times" w:hAnsi="Times" w:cs="Times"/>
          <w:bCs/>
        </w:rPr>
      </w:pPr>
      <w:r>
        <w:t>A further counter</w:t>
      </w:r>
      <w:r w:rsidR="00214D95">
        <w:noBreakHyphen/>
      </w:r>
      <w:r>
        <w:t>argument against additional safeguards is that electronic communications are more likely to be promptly read and recognised than hard copies</w:t>
      </w:r>
      <w:r w:rsidR="00214D95">
        <w:t xml:space="preserve">.  </w:t>
      </w:r>
    </w:p>
    <w:p w:rsidR="006A159E" w:rsidRPr="008527F4" w:rsidRDefault="006A159E" w:rsidP="006A159E">
      <w:pPr>
        <w:pStyle w:val="Heading3"/>
      </w:pPr>
      <w:bookmarkStart w:id="23" w:name="_Toc255909304"/>
      <w:bookmarkStart w:id="24" w:name="_Toc338331858"/>
      <w:r w:rsidRPr="008527F4">
        <w:lastRenderedPageBreak/>
        <w:t>Objective component of insured</w:t>
      </w:r>
      <w:r w:rsidR="00035750">
        <w:t>’</w:t>
      </w:r>
      <w:r w:rsidRPr="008527F4">
        <w:t>s duty of disclosure</w:t>
      </w:r>
      <w:bookmarkEnd w:id="23"/>
      <w:bookmarkEnd w:id="24"/>
    </w:p>
    <w:p w:rsidR="006A159E" w:rsidRPr="008527F4" w:rsidRDefault="006A159E" w:rsidP="006A159E">
      <w:pPr>
        <w:pStyle w:val="Heading4"/>
      </w:pPr>
      <w:bookmarkStart w:id="25" w:name="_Toc255909305"/>
      <w:r w:rsidRPr="008527F4">
        <w:t>Problem</w:t>
      </w:r>
      <w:bookmarkEnd w:id="25"/>
    </w:p>
    <w:p w:rsidR="006A159E" w:rsidRPr="008527F4" w:rsidRDefault="006A159E" w:rsidP="006A159E">
      <w:pPr>
        <w:pStyle w:val="base-text-paragraph"/>
      </w:pPr>
      <w:r w:rsidRPr="008527F4">
        <w:t xml:space="preserve">A number of submissions to the </w:t>
      </w:r>
      <w:r>
        <w:t>Review Panel</w:t>
      </w:r>
      <w:r w:rsidRPr="008527F4">
        <w:t xml:space="preserve">, particularly those from advocates </w:t>
      </w:r>
      <w:r>
        <w:t>for</w:t>
      </w:r>
      <w:r w:rsidRPr="008527F4">
        <w:t xml:space="preserve"> insureds, argued that the current tests for the duty of disclosure (particularly those under subsections 21(1) and 21A(4) of the </w:t>
      </w:r>
      <w:r>
        <w:t>ICA</w:t>
      </w:r>
      <w:r w:rsidRPr="008527F4">
        <w:t>) impose an unreasonable burden on insureds to know what an insurer regards as relevant to its decision whether to enter a contract of insurance.</w:t>
      </w:r>
    </w:p>
    <w:p w:rsidR="006A159E" w:rsidRPr="008527F4" w:rsidRDefault="006A159E" w:rsidP="006A159E">
      <w:pPr>
        <w:pStyle w:val="base-text-paragraph"/>
      </w:pPr>
      <w:r w:rsidRPr="008527F4">
        <w:t>Section 21, which applies to all contracts of insurance, requires an insured to disclose every matter that they know, or</w:t>
      </w:r>
      <w:r w:rsidRPr="00E8660E">
        <w:t xml:space="preserve"> </w:t>
      </w:r>
      <w:r w:rsidRPr="008527F4">
        <w:t xml:space="preserve">in the circumstances </w:t>
      </w:r>
      <w:r>
        <w:t xml:space="preserve">could </w:t>
      </w:r>
      <w:r w:rsidRPr="008527F4">
        <w:t>reasonably be expected to know, would be relevant to the insurer</w:t>
      </w:r>
      <w:r w:rsidR="00035750">
        <w:t>’</w:t>
      </w:r>
      <w:r w:rsidRPr="008527F4">
        <w:t>s decision whether to accept the risk and enter the contract.</w:t>
      </w:r>
    </w:p>
    <w:p w:rsidR="006A159E" w:rsidRPr="008527F4" w:rsidRDefault="006A159E" w:rsidP="006A159E">
      <w:pPr>
        <w:pStyle w:val="base-text-paragraph"/>
      </w:pPr>
      <w:r w:rsidRPr="008527F4">
        <w:t>Section 21A, which applies in respect of eligible contracts of insurance,</w:t>
      </w:r>
      <w:r w:rsidR="001A4CA1">
        <w:rPr>
          <w:rStyle w:val="FootnoteReference"/>
        </w:rPr>
        <w:footnoteReference w:id="1"/>
      </w:r>
      <w:r w:rsidRPr="008527F4">
        <w:t xml:space="preserve"> precludes an insurer </w:t>
      </w:r>
      <w:r>
        <w:t xml:space="preserve">from </w:t>
      </w:r>
      <w:r w:rsidRPr="008527F4">
        <w:t>making open</w:t>
      </w:r>
      <w:r w:rsidR="00214D95">
        <w:noBreakHyphen/>
      </w:r>
      <w:r w:rsidRPr="008527F4">
        <w:t xml:space="preserve">ended requests for an insured to disclose </w:t>
      </w:r>
      <w:r w:rsidR="00035750">
        <w:t>‘</w:t>
      </w:r>
      <w:r w:rsidRPr="008527F4">
        <w:t>any other matter</w:t>
      </w:r>
      <w:r w:rsidR="00035750">
        <w:t>’</w:t>
      </w:r>
      <w:r w:rsidR="00214D95">
        <w:t xml:space="preserve">.  </w:t>
      </w:r>
      <w:r w:rsidRPr="008527F4">
        <w:t xml:space="preserve">However, the insurer may still seek disclosure of </w:t>
      </w:r>
      <w:r w:rsidR="00035750">
        <w:t>‘</w:t>
      </w:r>
      <w:r w:rsidRPr="008527F4">
        <w:t>exceptional circumstances</w:t>
      </w:r>
      <w:r w:rsidR="00035750">
        <w:t>’</w:t>
      </w:r>
      <w:r w:rsidRPr="008527F4">
        <w:t xml:space="preserve"> that the insured, or a reasonable person in the circumstances, would be expected to know are relevant to the insurer</w:t>
      </w:r>
      <w:r w:rsidR="00035750">
        <w:t>’</w:t>
      </w:r>
      <w:r w:rsidRPr="008527F4">
        <w:t>s decision whether to accept the risk (subsection 21A(4)).</w:t>
      </w:r>
    </w:p>
    <w:p w:rsidR="0012468C" w:rsidRDefault="0012468C" w:rsidP="006A159E">
      <w:pPr>
        <w:pStyle w:val="base-text-paragraph"/>
      </w:pPr>
      <w:r>
        <w:br w:type="page"/>
      </w:r>
    </w:p>
    <w:p w:rsidR="006A159E" w:rsidRPr="008527F4" w:rsidRDefault="006A159E" w:rsidP="006A159E">
      <w:pPr>
        <w:pStyle w:val="base-text-paragraph"/>
      </w:pPr>
      <w:r w:rsidRPr="002A6D76">
        <w:lastRenderedPageBreak/>
        <w:t>Disclosure is a significant issue in a number of insurance</w:t>
      </w:r>
      <w:r w:rsidR="00214D95">
        <w:noBreakHyphen/>
      </w:r>
      <w:r w:rsidRPr="002A6D76">
        <w:t>related disputes</w:t>
      </w:r>
      <w:r w:rsidR="00214D95">
        <w:t xml:space="preserve">.  </w:t>
      </w:r>
      <w:r w:rsidRPr="002A6D76">
        <w:t xml:space="preserve">In a submission responding to the </w:t>
      </w:r>
      <w:r>
        <w:t>Review Panel</w:t>
      </w:r>
      <w:r w:rsidR="00035750">
        <w:t>’</w:t>
      </w:r>
      <w:r w:rsidRPr="002A6D76">
        <w:t xml:space="preserve">s issues paper, </w:t>
      </w:r>
      <w:r w:rsidRPr="00067651">
        <w:t>the Consumers</w:t>
      </w:r>
      <w:r w:rsidR="00035750">
        <w:t>’</w:t>
      </w:r>
      <w:r w:rsidRPr="00067651">
        <w:t xml:space="preserve"> Federation of Australia (CFA) estimated that around 13</w:t>
      </w:r>
      <w:r w:rsidR="00805473">
        <w:t> </w:t>
      </w:r>
      <w:r w:rsidRPr="00067651">
        <w:t xml:space="preserve">per cent of determinations made by the then </w:t>
      </w:r>
      <w:r>
        <w:t xml:space="preserve">General </w:t>
      </w:r>
      <w:r w:rsidRPr="00067651">
        <w:t xml:space="preserve">Insurance Inquiries and Complaints Service Ltd </w:t>
      </w:r>
      <w:r>
        <w:t xml:space="preserve">(IEC) </w:t>
      </w:r>
      <w:r w:rsidRPr="00067651">
        <w:t>involved disputes regarding disclosur</w:t>
      </w:r>
      <w:r w:rsidRPr="002A6D76">
        <w:t>e.</w:t>
      </w:r>
      <w:r>
        <w:rPr>
          <w:rStyle w:val="FootnoteReference"/>
        </w:rPr>
        <w:footnoteReference w:id="2"/>
      </w:r>
      <w:r>
        <w:t xml:space="preserve">  More recently, the Financial Ombudsman Service has advised that in the year ending June 2009, 4 per cent of disputes determined by the General Insurance Division of the Service related to </w:t>
      </w:r>
      <w:r w:rsidR="00035750">
        <w:t>‘</w:t>
      </w:r>
      <w:r>
        <w:t>non</w:t>
      </w:r>
      <w:r w:rsidR="00214D95">
        <w:noBreakHyphen/>
      </w:r>
      <w:r>
        <w:t>disclosure on proposal</w:t>
      </w:r>
      <w:r w:rsidR="00035750">
        <w:t>’</w:t>
      </w:r>
      <w:r>
        <w:t xml:space="preserve">, and a further 2 per cent related to </w:t>
      </w:r>
      <w:r w:rsidR="00035750">
        <w:t>‘</w:t>
      </w:r>
      <w:r>
        <w:t>disclosure issues</w:t>
      </w:r>
      <w:r w:rsidR="00035750">
        <w:t>’</w:t>
      </w:r>
      <w:r w:rsidR="00214D95">
        <w:t xml:space="preserve">.  </w:t>
      </w:r>
      <w:r>
        <w:t xml:space="preserve">In the ended ending June 2009, about 4.5 per cent of disputes determined by the former Insurance Ombudsman Service related to </w:t>
      </w:r>
      <w:r w:rsidR="00035750">
        <w:t>‘</w:t>
      </w:r>
      <w:r>
        <w:t>non</w:t>
      </w:r>
      <w:r w:rsidR="00214D95">
        <w:noBreakHyphen/>
      </w:r>
      <w:r>
        <w:t>disclosure on proposal</w:t>
      </w:r>
      <w:r w:rsidR="00035750">
        <w:t>’</w:t>
      </w:r>
      <w:r>
        <w:t>.</w:t>
      </w:r>
    </w:p>
    <w:p w:rsidR="006A159E" w:rsidRPr="008527F4" w:rsidRDefault="006A159E" w:rsidP="006A159E">
      <w:pPr>
        <w:pStyle w:val="base-text-paragraph"/>
      </w:pPr>
      <w:r>
        <w:t>T</w:t>
      </w:r>
      <w:r w:rsidRPr="008527F4">
        <w:t>he CFA argued that no other consumer contract imposes a burden on the consumer to know what information the other party requires when deciding whether to enter the contract</w:t>
      </w:r>
      <w:r w:rsidR="00214D95">
        <w:t xml:space="preserve">.  </w:t>
      </w:r>
      <w:r w:rsidRPr="008527F4">
        <w:t>The CFA noted that in the case of consumer credit, consumers must answer the credit provider</w:t>
      </w:r>
      <w:r w:rsidR="00035750">
        <w:t>’</w:t>
      </w:r>
      <w:r w:rsidRPr="008527F4">
        <w:t>s questions accurately but are not expected to know what other information the credit provider needs to assess the loan application.</w:t>
      </w:r>
    </w:p>
    <w:p w:rsidR="006A159E" w:rsidRPr="008527F4" w:rsidRDefault="006A159E" w:rsidP="006A159E">
      <w:pPr>
        <w:pStyle w:val="base-text-paragraph"/>
      </w:pPr>
      <w:r w:rsidRPr="008527F4">
        <w:t xml:space="preserve">The CFA also argued that the </w:t>
      </w:r>
      <w:r>
        <w:t>ICA</w:t>
      </w:r>
      <w:r w:rsidRPr="008527F4">
        <w:t xml:space="preserve"> provisions concerning disclosure fail to take account of technological advances such as data processing and the internet, which </w:t>
      </w:r>
      <w:r>
        <w:t xml:space="preserve">have </w:t>
      </w:r>
      <w:r w:rsidRPr="008527F4">
        <w:t>place</w:t>
      </w:r>
      <w:r>
        <w:t>d</w:t>
      </w:r>
      <w:r w:rsidRPr="008527F4">
        <w:t xml:space="preserve"> insurers in a</w:t>
      </w:r>
      <w:r>
        <w:t>n even</w:t>
      </w:r>
      <w:r w:rsidRPr="008527F4">
        <w:t xml:space="preserve"> better position to assess risk.</w:t>
      </w:r>
    </w:p>
    <w:p w:rsidR="006A159E" w:rsidRDefault="006A159E" w:rsidP="006A159E">
      <w:pPr>
        <w:pStyle w:val="base-text-paragraph"/>
      </w:pPr>
      <w:r w:rsidRPr="008527F4">
        <w:t>Requiring potential insureds to disclose all information relevant to an insurer</w:t>
      </w:r>
      <w:r w:rsidR="00035750">
        <w:t>’</w:t>
      </w:r>
      <w:r w:rsidRPr="008527F4">
        <w:t xml:space="preserve">s decision, when those persons are not necessarily in a </w:t>
      </w:r>
      <w:r w:rsidRPr="008527F4">
        <w:lastRenderedPageBreak/>
        <w:t>position to assess what type of information may be relevant, can result in unfair outcomes for insureds</w:t>
      </w:r>
      <w:r>
        <w:t>, for example, where</w:t>
      </w:r>
      <w:r w:rsidRPr="008527F4">
        <w:t xml:space="preserve"> a claim is denied or reduced as a result of the failure to disclose.</w:t>
      </w:r>
      <w:r>
        <w:rPr>
          <w:rStyle w:val="FootnoteReference"/>
        </w:rPr>
        <w:footnoteReference w:id="3"/>
      </w:r>
      <w:r>
        <w:t xml:space="preserve"> </w:t>
      </w:r>
    </w:p>
    <w:p w:rsidR="006A159E" w:rsidRPr="008527F4" w:rsidRDefault="006A159E" w:rsidP="006A159E">
      <w:pPr>
        <w:pStyle w:val="Heading4"/>
      </w:pPr>
      <w:bookmarkStart w:id="26" w:name="_Toc255909306"/>
      <w:r w:rsidRPr="008527F4">
        <w:t>Objective</w:t>
      </w:r>
      <w:bookmarkEnd w:id="26"/>
    </w:p>
    <w:p w:rsidR="006A159E" w:rsidRPr="008527F4" w:rsidRDefault="006A159E" w:rsidP="006A159E">
      <w:pPr>
        <w:pStyle w:val="base-text-paragraph"/>
      </w:pPr>
      <w:r w:rsidRPr="008527F4">
        <w:t xml:space="preserve">The objective is to ensure that the duty of disclosure requirements in the </w:t>
      </w:r>
      <w:r>
        <w:t>ICA</w:t>
      </w:r>
      <w:r w:rsidRPr="008527F4">
        <w:t xml:space="preserve"> strike an appropriate balance between, on one hand, ensuring insurers have reliable information to assess and price risk and, on the other hand, the need to avoid placing unfair burdens on insureds in respect of the remedies available against them for non</w:t>
      </w:r>
      <w:r w:rsidR="00214D95">
        <w:noBreakHyphen/>
      </w:r>
      <w:r w:rsidRPr="008527F4">
        <w:t>disclosure.</w:t>
      </w:r>
    </w:p>
    <w:p w:rsidR="006A159E" w:rsidRPr="008527F4" w:rsidRDefault="006A159E" w:rsidP="006A159E">
      <w:pPr>
        <w:pStyle w:val="Heading4"/>
      </w:pPr>
      <w:bookmarkStart w:id="27" w:name="_Toc255909307"/>
      <w:r w:rsidRPr="008527F4">
        <w:t>Options</w:t>
      </w:r>
      <w:bookmarkEnd w:id="27"/>
    </w:p>
    <w:p w:rsidR="006A159E" w:rsidRPr="008527F4" w:rsidRDefault="006A159E" w:rsidP="006A159E">
      <w:pPr>
        <w:pStyle w:val="Heading5"/>
      </w:pPr>
      <w:r w:rsidRPr="008527F4">
        <w:t xml:space="preserve">Option </w:t>
      </w:r>
      <w:r>
        <w:t>A</w:t>
      </w:r>
      <w:r w:rsidRPr="008527F4">
        <w:t xml:space="preserve">: </w:t>
      </w:r>
      <w:r>
        <w:t>Do nothing</w:t>
      </w:r>
    </w:p>
    <w:p w:rsidR="006A159E" w:rsidRPr="008527F4" w:rsidRDefault="006A159E" w:rsidP="006A159E">
      <w:pPr>
        <w:pStyle w:val="base-text-paragraph"/>
      </w:pPr>
      <w:r w:rsidRPr="008527F4">
        <w:t>No changes would be made to the objective elements of the insured</w:t>
      </w:r>
      <w:r w:rsidR="00035750">
        <w:t>’</w:t>
      </w:r>
      <w:r w:rsidRPr="008527F4">
        <w:t>s duty of disclosure tests in sections 21 and 21A.</w:t>
      </w:r>
    </w:p>
    <w:p w:rsidR="006A159E" w:rsidRPr="008527F4" w:rsidRDefault="006A159E" w:rsidP="006A159E">
      <w:pPr>
        <w:pStyle w:val="Heading5"/>
      </w:pPr>
      <w:r w:rsidRPr="008527F4">
        <w:t xml:space="preserve">Option </w:t>
      </w:r>
      <w:r>
        <w:t>B</w:t>
      </w:r>
      <w:r w:rsidRPr="008527F4">
        <w:t>: Replace the general duty to disclose in section 21 with a requirement to answer specific questions honestly and fully</w:t>
      </w:r>
    </w:p>
    <w:p w:rsidR="006A159E" w:rsidRPr="008527F4" w:rsidRDefault="006A159E" w:rsidP="006A159E">
      <w:pPr>
        <w:pStyle w:val="base-text-paragraph"/>
      </w:pPr>
      <w:r w:rsidRPr="008527F4">
        <w:t>Under this option, the general duty of disclosure in section 21 would be replaced with a duty on insureds to answer fully and honestly questions that are put to them by the insurer</w:t>
      </w:r>
      <w:r w:rsidR="00214D95">
        <w:t xml:space="preserve">.  </w:t>
      </w:r>
      <w:r w:rsidRPr="008527F4">
        <w:t>If that were to happen, section 21A, which applies such a framework to eligible contracts of insurance, would no longer be necessary.</w:t>
      </w:r>
    </w:p>
    <w:p w:rsidR="006A159E" w:rsidRPr="008527F4" w:rsidRDefault="006A159E" w:rsidP="006A159E">
      <w:pPr>
        <w:pStyle w:val="Heading5"/>
      </w:pPr>
      <w:r w:rsidRPr="008527F4">
        <w:t xml:space="preserve">Option </w:t>
      </w:r>
      <w:r>
        <w:t>C</w:t>
      </w:r>
      <w:r w:rsidRPr="008527F4">
        <w:t>: Clarify the operation of the mixed objective/subjective duty of disclosure test in section 21</w:t>
      </w:r>
    </w:p>
    <w:p w:rsidR="006A159E" w:rsidRPr="008527F4" w:rsidRDefault="006A159E" w:rsidP="006A159E">
      <w:pPr>
        <w:pStyle w:val="base-text-paragraph"/>
      </w:pPr>
      <w:r w:rsidRPr="008527F4">
        <w:t>Under this option, the current mixed objective/subjective duty of disclosure that applies to insureds under section 21 would be retained</w:t>
      </w:r>
      <w:r w:rsidR="00214D95">
        <w:t xml:space="preserve">.  </w:t>
      </w:r>
      <w:r w:rsidRPr="008527F4">
        <w:t>However, the application of the test would be elucidated by requiring reference to non</w:t>
      </w:r>
      <w:r w:rsidR="00214D95">
        <w:noBreakHyphen/>
      </w:r>
      <w:r w:rsidRPr="008527F4">
        <w:t>exclusive</w:t>
      </w:r>
      <w:r>
        <w:t xml:space="preserve"> </w:t>
      </w:r>
      <w:r w:rsidRPr="008527F4">
        <w:t>factors, including the nature of the particular cover being provided.</w:t>
      </w:r>
    </w:p>
    <w:p w:rsidR="006A159E" w:rsidRPr="008527F4" w:rsidRDefault="006A159E" w:rsidP="006A159E">
      <w:pPr>
        <w:pStyle w:val="Heading5"/>
      </w:pPr>
      <w:r w:rsidRPr="008527F4">
        <w:lastRenderedPageBreak/>
        <w:t xml:space="preserve">Option </w:t>
      </w:r>
      <w:r>
        <w:t>D</w:t>
      </w:r>
      <w:r w:rsidRPr="008527F4">
        <w:t xml:space="preserve">: Remove that part of section 21A that permits insurers to ask </w:t>
      </w:r>
      <w:r w:rsidR="00035750">
        <w:t>‘</w:t>
      </w:r>
      <w:r w:rsidRPr="008527F4">
        <w:t>catch all</w:t>
      </w:r>
      <w:r w:rsidR="00035750">
        <w:t>’</w:t>
      </w:r>
      <w:r w:rsidRPr="008527F4">
        <w:t xml:space="preserve"> questions in relation to eligible contracts of insurance</w:t>
      </w:r>
    </w:p>
    <w:p w:rsidR="006A159E" w:rsidRPr="008527F4" w:rsidRDefault="006A159E" w:rsidP="006A159E">
      <w:pPr>
        <w:pStyle w:val="base-text-paragraph"/>
      </w:pPr>
      <w:r w:rsidRPr="008527F4">
        <w:t xml:space="preserve">This option would discourage insurers that offer eligible contracts of insurance from asking general </w:t>
      </w:r>
      <w:r w:rsidR="00035750">
        <w:t>‘</w:t>
      </w:r>
      <w:r w:rsidRPr="008527F4">
        <w:t>catch all</w:t>
      </w:r>
      <w:r w:rsidR="00035750">
        <w:t>’</w:t>
      </w:r>
      <w:r w:rsidRPr="008527F4">
        <w:t xml:space="preserve"> questions concerning </w:t>
      </w:r>
      <w:r w:rsidR="00035750">
        <w:t>‘</w:t>
      </w:r>
      <w:r w:rsidRPr="008527F4">
        <w:t>exceptional circumstances</w:t>
      </w:r>
      <w:r w:rsidR="00035750">
        <w:t>’</w:t>
      </w:r>
      <w:r w:rsidR="00214D95">
        <w:t xml:space="preserve">.  </w:t>
      </w:r>
      <w:r w:rsidRPr="008527F4">
        <w:t xml:space="preserve">Insurers would no longer be able to rely on the duty of disclosure in relation to eligible contracts of insurance if they ask the insured to disclose </w:t>
      </w:r>
      <w:r w:rsidR="00035750">
        <w:t>‘</w:t>
      </w:r>
      <w:r w:rsidRPr="008527F4">
        <w:t>exceptional circumstances</w:t>
      </w:r>
      <w:r w:rsidR="00035750">
        <w:t>’</w:t>
      </w:r>
      <w:r w:rsidRPr="008527F4">
        <w:t xml:space="preserve"> in circumstances such as described by the current paragraph 21A(4)(b).</w:t>
      </w:r>
    </w:p>
    <w:p w:rsidR="006A159E" w:rsidRPr="008527F4" w:rsidRDefault="006A159E" w:rsidP="006A159E">
      <w:pPr>
        <w:pStyle w:val="Heading4"/>
      </w:pPr>
      <w:bookmarkStart w:id="28" w:name="_Toc255909308"/>
      <w:r w:rsidRPr="008527F4">
        <w:t>Impact analysis</w:t>
      </w:r>
      <w:bookmarkEnd w:id="28"/>
    </w:p>
    <w:p w:rsidR="006A159E" w:rsidRPr="008527F4" w:rsidRDefault="006A159E" w:rsidP="006A159E">
      <w:pPr>
        <w:pStyle w:val="Heading5"/>
      </w:pPr>
      <w:r w:rsidRPr="008527F4">
        <w:t>Impact group identification</w:t>
      </w:r>
    </w:p>
    <w:p w:rsidR="006A159E" w:rsidRPr="008527F4" w:rsidRDefault="006A159E" w:rsidP="006A159E">
      <w:pPr>
        <w:pStyle w:val="base-text-paragraph"/>
      </w:pPr>
      <w:r w:rsidRPr="008527F4">
        <w:t>Affected groups:</w:t>
      </w:r>
    </w:p>
    <w:p w:rsidR="006A159E" w:rsidRPr="008527F4" w:rsidRDefault="006A159E" w:rsidP="006A159E">
      <w:pPr>
        <w:pStyle w:val="dotpoint"/>
      </w:pPr>
      <w:r w:rsidRPr="008527F4">
        <w:t>insurers;</w:t>
      </w:r>
      <w:r>
        <w:t xml:space="preserve"> </w:t>
      </w:r>
    </w:p>
    <w:p w:rsidR="006A159E" w:rsidRDefault="006A159E" w:rsidP="006A159E">
      <w:pPr>
        <w:pStyle w:val="dotpoint"/>
      </w:pPr>
      <w:r w:rsidRPr="008527F4">
        <w:t>insureds</w:t>
      </w:r>
      <w:r>
        <w:t xml:space="preserve">, including proposed insureds and beneficiaries under policies; and </w:t>
      </w:r>
    </w:p>
    <w:p w:rsidR="006A159E" w:rsidRPr="008527F4" w:rsidRDefault="006A159E" w:rsidP="006A159E">
      <w:pPr>
        <w:pStyle w:val="dotpoint"/>
      </w:pPr>
      <w:r>
        <w:t>government and regulators, including self</w:t>
      </w:r>
      <w:r w:rsidR="00214D95">
        <w:noBreakHyphen/>
      </w:r>
      <w:r>
        <w:t>regulatory organisations</w:t>
      </w:r>
      <w:r w:rsidR="00214D95">
        <w:t xml:space="preserve">.  </w:t>
      </w:r>
    </w:p>
    <w:p w:rsidR="006A159E" w:rsidRPr="008527F4" w:rsidRDefault="006A159E" w:rsidP="006A159E">
      <w:pPr>
        <w:pStyle w:val="Heading4"/>
      </w:pPr>
      <w:r w:rsidRPr="008527F4">
        <w:t>Assessment of costs and benefits</w:t>
      </w:r>
    </w:p>
    <w:p w:rsidR="006A159E" w:rsidRDefault="006A159E" w:rsidP="006A159E">
      <w:pPr>
        <w:pStyle w:val="Heading5"/>
      </w:pPr>
      <w:r w:rsidRPr="008527F4">
        <w:t xml:space="preserve">Option </w:t>
      </w:r>
      <w:r>
        <w:t>A</w:t>
      </w:r>
      <w:r w:rsidRPr="008527F4">
        <w:t xml:space="preserve">: </w:t>
      </w:r>
      <w:r>
        <w:t>Do nothing</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3F3F3"/>
        <w:tblLook w:val="01E0" w:firstRow="1" w:lastRow="1" w:firstColumn="1" w:lastColumn="1" w:noHBand="0" w:noVBand="0"/>
      </w:tblPr>
      <w:tblGrid>
        <w:gridCol w:w="2416"/>
        <w:gridCol w:w="2723"/>
        <w:gridCol w:w="2787"/>
      </w:tblGrid>
      <w:tr w:rsidR="006A159E" w:rsidRPr="00FF1661" w:rsidTr="00E10149">
        <w:tc>
          <w:tcPr>
            <w:tcW w:w="2416" w:type="dxa"/>
            <w:shd w:val="clear" w:color="auto" w:fill="E6E6E6"/>
          </w:tcPr>
          <w:p w:rsidR="006A159E" w:rsidRPr="00FF1661" w:rsidRDefault="006A159E" w:rsidP="0029684A">
            <w:pPr>
              <w:pStyle w:val="TableColumnHeadingCentred"/>
            </w:pPr>
          </w:p>
        </w:tc>
        <w:tc>
          <w:tcPr>
            <w:tcW w:w="2723" w:type="dxa"/>
            <w:shd w:val="clear" w:color="auto" w:fill="E6E6E6"/>
          </w:tcPr>
          <w:p w:rsidR="006A159E" w:rsidRPr="00FF1661" w:rsidRDefault="006A159E" w:rsidP="0029684A">
            <w:pPr>
              <w:pStyle w:val="TableColumnHeadingCentred"/>
            </w:pPr>
            <w:r w:rsidRPr="00FF1661">
              <w:t>Benefits</w:t>
            </w:r>
          </w:p>
        </w:tc>
        <w:tc>
          <w:tcPr>
            <w:tcW w:w="2787" w:type="dxa"/>
            <w:shd w:val="clear" w:color="auto" w:fill="E6E6E6"/>
          </w:tcPr>
          <w:p w:rsidR="006A159E" w:rsidRPr="00FF1661" w:rsidRDefault="006A159E" w:rsidP="0029684A">
            <w:pPr>
              <w:pStyle w:val="TableColumnHeadingCentred"/>
            </w:pPr>
            <w:r w:rsidRPr="00FF1661">
              <w:t>Costs</w:t>
            </w:r>
          </w:p>
        </w:tc>
      </w:tr>
      <w:tr w:rsidR="006A159E" w:rsidRPr="00FF1661" w:rsidTr="00E10149">
        <w:tc>
          <w:tcPr>
            <w:tcW w:w="2416" w:type="dxa"/>
            <w:shd w:val="clear" w:color="auto" w:fill="E6E6E6"/>
          </w:tcPr>
          <w:p w:rsidR="006A159E" w:rsidRPr="009E22B7" w:rsidRDefault="006A159E" w:rsidP="0029684A">
            <w:pPr>
              <w:pStyle w:val="TableTextLeft"/>
              <w:spacing w:before="20" w:after="20"/>
              <w:rPr>
                <w:b/>
              </w:rPr>
            </w:pPr>
            <w:r w:rsidRPr="009E22B7">
              <w:rPr>
                <w:b/>
              </w:rPr>
              <w:t>Consumers</w:t>
            </w:r>
          </w:p>
        </w:tc>
        <w:tc>
          <w:tcPr>
            <w:tcW w:w="2723" w:type="dxa"/>
            <w:shd w:val="clear" w:color="auto" w:fill="E6E6E6"/>
          </w:tcPr>
          <w:p w:rsidR="006A159E" w:rsidRPr="00FF1661" w:rsidRDefault="006A159E" w:rsidP="0029684A">
            <w:pPr>
              <w:pStyle w:val="TableTextLeft"/>
              <w:spacing w:before="20" w:after="20"/>
            </w:pPr>
          </w:p>
        </w:tc>
        <w:tc>
          <w:tcPr>
            <w:tcW w:w="2787" w:type="dxa"/>
            <w:shd w:val="clear" w:color="auto" w:fill="E6E6E6"/>
          </w:tcPr>
          <w:p w:rsidR="006A159E" w:rsidRPr="00FF1661" w:rsidRDefault="006A159E" w:rsidP="0029684A">
            <w:pPr>
              <w:pStyle w:val="TableTextLeft"/>
              <w:tabs>
                <w:tab w:val="left" w:pos="2361"/>
              </w:tabs>
              <w:spacing w:before="20" w:after="20"/>
            </w:pPr>
            <w:r w:rsidRPr="008527F4">
              <w:rPr>
                <w:rFonts w:cs="Arial"/>
              </w:rPr>
              <w:t>Leaving the current duty of disclosure test unchanged may continue to unfairly disadvantage some insureds if they fail to disclose a matter they do not realise is relevant to an insurer</w:t>
            </w:r>
            <w:r w:rsidR="00035750">
              <w:rPr>
                <w:rFonts w:cs="Arial"/>
              </w:rPr>
              <w:t>’</w:t>
            </w:r>
            <w:r w:rsidRPr="008527F4">
              <w:rPr>
                <w:rFonts w:cs="Arial"/>
              </w:rPr>
              <w:t xml:space="preserve">s decision whether to </w:t>
            </w:r>
            <w:r w:rsidR="00062686">
              <w:rPr>
                <w:rFonts w:cs="Arial"/>
              </w:rPr>
              <w:t>enter the contract of insurance.</w:t>
            </w:r>
          </w:p>
        </w:tc>
      </w:tr>
      <w:tr w:rsidR="006A159E" w:rsidRPr="00FF1661" w:rsidTr="00E10149">
        <w:tc>
          <w:tcPr>
            <w:tcW w:w="2416" w:type="dxa"/>
            <w:shd w:val="clear" w:color="auto" w:fill="E6E6E6"/>
          </w:tcPr>
          <w:p w:rsidR="006A159E" w:rsidRPr="009E22B7" w:rsidRDefault="006A159E" w:rsidP="0029684A">
            <w:pPr>
              <w:pStyle w:val="TableTextLeft"/>
              <w:spacing w:before="20" w:after="20"/>
              <w:rPr>
                <w:b/>
              </w:rPr>
            </w:pPr>
            <w:r w:rsidRPr="009E22B7">
              <w:rPr>
                <w:b/>
              </w:rPr>
              <w:t>Insurers</w:t>
            </w:r>
          </w:p>
        </w:tc>
        <w:tc>
          <w:tcPr>
            <w:tcW w:w="2723" w:type="dxa"/>
            <w:shd w:val="clear" w:color="auto" w:fill="E6E6E6"/>
          </w:tcPr>
          <w:p w:rsidR="006A159E" w:rsidRPr="00FF1661" w:rsidRDefault="006A159E" w:rsidP="0029684A">
            <w:pPr>
              <w:pStyle w:val="TableTextLeft"/>
              <w:spacing w:before="20" w:after="20"/>
            </w:pPr>
            <w:r w:rsidRPr="008527F4">
              <w:rPr>
                <w:rFonts w:cs="Arial"/>
              </w:rPr>
              <w:t>Insurers sometimes benefit from the objective elements of the existing duty of di</w:t>
            </w:r>
            <w:r>
              <w:rPr>
                <w:rFonts w:cs="Arial"/>
              </w:rPr>
              <w:t>sclosure test to deny claims</w:t>
            </w:r>
            <w:r w:rsidR="00062686">
              <w:rPr>
                <w:rFonts w:cs="Arial"/>
              </w:rPr>
              <w:t>.</w:t>
            </w:r>
          </w:p>
        </w:tc>
        <w:tc>
          <w:tcPr>
            <w:tcW w:w="2787" w:type="dxa"/>
            <w:shd w:val="clear" w:color="auto" w:fill="E6E6E6"/>
          </w:tcPr>
          <w:p w:rsidR="006A159E" w:rsidRPr="00FF1661" w:rsidRDefault="006A159E" w:rsidP="0029684A">
            <w:pPr>
              <w:pStyle w:val="TableTextLeft"/>
              <w:tabs>
                <w:tab w:val="left" w:pos="2361"/>
              </w:tabs>
              <w:spacing w:before="20" w:after="20"/>
            </w:pPr>
            <w:r w:rsidRPr="008527F4">
              <w:rPr>
                <w:rFonts w:cs="Arial"/>
              </w:rPr>
              <w:t xml:space="preserve">Courts may continue to have different interpretations about the factors to consider in relation to the objective element of the duty of disclosure, which leads to a lack of uniformity </w:t>
            </w:r>
            <w:r>
              <w:rPr>
                <w:rFonts w:cs="Arial"/>
              </w:rPr>
              <w:t>in application of the ICA</w:t>
            </w:r>
            <w:r w:rsidR="00062686">
              <w:rPr>
                <w:rFonts w:cs="Arial"/>
              </w:rPr>
              <w:t>.</w:t>
            </w:r>
          </w:p>
        </w:tc>
      </w:tr>
      <w:tr w:rsidR="006A159E" w:rsidRPr="00FF1661" w:rsidTr="00E10149">
        <w:tc>
          <w:tcPr>
            <w:tcW w:w="2416" w:type="dxa"/>
            <w:shd w:val="clear" w:color="auto" w:fill="E6E6E6"/>
          </w:tcPr>
          <w:p w:rsidR="006A159E" w:rsidRPr="009E22B7" w:rsidRDefault="006A159E" w:rsidP="0029684A">
            <w:pPr>
              <w:pStyle w:val="TableTextLeft"/>
              <w:rPr>
                <w:b/>
              </w:rPr>
            </w:pPr>
            <w:r w:rsidRPr="009E22B7">
              <w:rPr>
                <w:b/>
              </w:rPr>
              <w:t>Government/regulators</w:t>
            </w:r>
          </w:p>
        </w:tc>
        <w:tc>
          <w:tcPr>
            <w:tcW w:w="2723" w:type="dxa"/>
            <w:shd w:val="clear" w:color="auto" w:fill="E6E6E6"/>
          </w:tcPr>
          <w:p w:rsidR="006A159E" w:rsidRPr="00FF1661" w:rsidRDefault="006A159E" w:rsidP="0029684A">
            <w:pPr>
              <w:pStyle w:val="TableTextLeft"/>
              <w:jc w:val="center"/>
            </w:pPr>
          </w:p>
        </w:tc>
        <w:tc>
          <w:tcPr>
            <w:tcW w:w="2787" w:type="dxa"/>
            <w:shd w:val="clear" w:color="auto" w:fill="E6E6E6"/>
          </w:tcPr>
          <w:p w:rsidR="006A159E" w:rsidRPr="00FF1661" w:rsidRDefault="006A159E" w:rsidP="0029684A">
            <w:pPr>
              <w:pStyle w:val="TableTextLeft"/>
              <w:tabs>
                <w:tab w:val="left" w:pos="2361"/>
              </w:tabs>
            </w:pPr>
          </w:p>
        </w:tc>
      </w:tr>
    </w:tbl>
    <w:p w:rsidR="006A159E" w:rsidRPr="008527F4" w:rsidRDefault="006A159E" w:rsidP="00527FD7">
      <w:pPr>
        <w:pStyle w:val="Heading5"/>
        <w:spacing w:before="360"/>
      </w:pPr>
      <w:r w:rsidRPr="008527F4">
        <w:lastRenderedPageBreak/>
        <w:t xml:space="preserve">Option </w:t>
      </w:r>
      <w:r>
        <w:t>B</w:t>
      </w:r>
      <w:r w:rsidRPr="008527F4">
        <w:t>: Replace the general duty to disclose with a requirement to answer specific questions honestly and fully</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3F3F3"/>
        <w:tblLook w:val="01E0" w:firstRow="1" w:lastRow="1" w:firstColumn="1" w:lastColumn="1" w:noHBand="0" w:noVBand="0"/>
      </w:tblPr>
      <w:tblGrid>
        <w:gridCol w:w="2868"/>
        <w:gridCol w:w="2492"/>
        <w:gridCol w:w="2566"/>
      </w:tblGrid>
      <w:tr w:rsidR="006A159E" w:rsidRPr="00FF1661" w:rsidTr="00E10149">
        <w:tc>
          <w:tcPr>
            <w:tcW w:w="2868" w:type="dxa"/>
            <w:shd w:val="clear" w:color="auto" w:fill="E6E6E6"/>
          </w:tcPr>
          <w:p w:rsidR="006A159E" w:rsidRPr="00FF1661" w:rsidRDefault="006A159E" w:rsidP="00527FD7">
            <w:pPr>
              <w:pStyle w:val="TableColumnHeadingCentred"/>
              <w:keepNext/>
              <w:widowControl w:val="0"/>
            </w:pPr>
          </w:p>
        </w:tc>
        <w:tc>
          <w:tcPr>
            <w:tcW w:w="2492" w:type="dxa"/>
            <w:shd w:val="clear" w:color="auto" w:fill="E6E6E6"/>
          </w:tcPr>
          <w:p w:rsidR="006A159E" w:rsidRPr="00FF1661" w:rsidRDefault="006A159E" w:rsidP="00527FD7">
            <w:pPr>
              <w:pStyle w:val="TableColumnHeadingCentred"/>
              <w:keepNext/>
              <w:widowControl w:val="0"/>
            </w:pPr>
            <w:r w:rsidRPr="00FF1661">
              <w:t>Benefits</w:t>
            </w:r>
          </w:p>
        </w:tc>
        <w:tc>
          <w:tcPr>
            <w:tcW w:w="2566" w:type="dxa"/>
            <w:shd w:val="clear" w:color="auto" w:fill="E6E6E6"/>
          </w:tcPr>
          <w:p w:rsidR="006A159E" w:rsidRPr="00FF1661" w:rsidRDefault="006A159E" w:rsidP="00527FD7">
            <w:pPr>
              <w:pStyle w:val="TableColumnHeadingCentred"/>
              <w:keepNext/>
              <w:widowControl w:val="0"/>
            </w:pPr>
            <w:r w:rsidRPr="00FF1661">
              <w:t>Costs</w:t>
            </w:r>
          </w:p>
        </w:tc>
      </w:tr>
      <w:tr w:rsidR="006A159E" w:rsidRPr="00FF1661" w:rsidTr="00E10149">
        <w:tc>
          <w:tcPr>
            <w:tcW w:w="2868" w:type="dxa"/>
            <w:shd w:val="clear" w:color="auto" w:fill="E6E6E6"/>
          </w:tcPr>
          <w:p w:rsidR="006A159E" w:rsidRPr="009E22B7" w:rsidRDefault="006A159E" w:rsidP="00527FD7">
            <w:pPr>
              <w:pStyle w:val="TableTextLeft"/>
              <w:keepNext/>
              <w:widowControl w:val="0"/>
              <w:spacing w:before="20" w:after="20"/>
              <w:rPr>
                <w:b/>
              </w:rPr>
            </w:pPr>
            <w:r w:rsidRPr="009E22B7">
              <w:rPr>
                <w:b/>
              </w:rPr>
              <w:t>Insurers</w:t>
            </w:r>
          </w:p>
        </w:tc>
        <w:tc>
          <w:tcPr>
            <w:tcW w:w="2492" w:type="dxa"/>
            <w:shd w:val="clear" w:color="auto" w:fill="E6E6E6"/>
          </w:tcPr>
          <w:p w:rsidR="006A159E" w:rsidRPr="00FF1661" w:rsidRDefault="006A159E" w:rsidP="00527FD7">
            <w:pPr>
              <w:pStyle w:val="TableTextLeft"/>
              <w:keepNext/>
              <w:widowControl w:val="0"/>
              <w:tabs>
                <w:tab w:val="left" w:pos="1932"/>
                <w:tab w:val="left" w:pos="2052"/>
              </w:tabs>
              <w:spacing w:before="20" w:after="20"/>
              <w:ind w:right="3"/>
            </w:pPr>
            <w:r>
              <w:rPr>
                <w:rFonts w:cs="Arial"/>
              </w:rPr>
              <w:t>F</w:t>
            </w:r>
            <w:r w:rsidRPr="008527F4">
              <w:rPr>
                <w:rFonts w:cs="Arial"/>
              </w:rPr>
              <w:t xml:space="preserve">ewer disputes and legal actions by insureds concerning their obligation to disclose matters that were considered relevant by the insurer </w:t>
            </w:r>
            <w:r w:rsidRPr="00D17704">
              <w:rPr>
                <w:rFonts w:cs="Arial"/>
              </w:rPr>
              <w:t>[</w:t>
            </w:r>
            <w:r>
              <w:rPr>
                <w:rFonts w:cs="Arial"/>
              </w:rPr>
              <w:t>1</w:t>
            </w:r>
            <w:r w:rsidRPr="00D17704">
              <w:rPr>
                <w:rFonts w:cs="Arial"/>
              </w:rPr>
              <w:t>]</w:t>
            </w:r>
            <w:r w:rsidR="00062686">
              <w:rPr>
                <w:rFonts w:cs="Arial"/>
              </w:rPr>
              <w:t>.</w:t>
            </w:r>
          </w:p>
        </w:tc>
        <w:tc>
          <w:tcPr>
            <w:tcW w:w="2566" w:type="dxa"/>
            <w:shd w:val="clear" w:color="auto" w:fill="E6E6E6"/>
          </w:tcPr>
          <w:p w:rsidR="006A159E" w:rsidRPr="00FF1661" w:rsidRDefault="006A159E" w:rsidP="00527FD7">
            <w:pPr>
              <w:pStyle w:val="TableTextLeft"/>
            </w:pPr>
            <w:r>
              <w:t>Applying this</w:t>
            </w:r>
            <w:r w:rsidRPr="008527F4">
              <w:t xml:space="preserve"> option to large commercial risks, and in respect of some life insurance products, </w:t>
            </w:r>
            <w:r>
              <w:t>practicable extremely costly for insurers,</w:t>
            </w:r>
            <w:r w:rsidRPr="008527F4">
              <w:t xml:space="preserve"> </w:t>
            </w:r>
            <w:r>
              <w:t>as it would require them to construct lengthy and complex specific questions to ensure all relevant information is obtained</w:t>
            </w:r>
            <w:r w:rsidRPr="008527F4">
              <w:t xml:space="preserve"> [</w:t>
            </w:r>
            <w:r w:rsidR="00214D95">
              <w:noBreakHyphen/>
            </w:r>
            <w:r>
              <w:t>3</w:t>
            </w:r>
            <w:r w:rsidRPr="008527F4">
              <w:t>]</w:t>
            </w:r>
            <w:r w:rsidR="00062686">
              <w:t>.</w:t>
            </w:r>
          </w:p>
        </w:tc>
      </w:tr>
      <w:tr w:rsidR="006A159E" w:rsidRPr="00FF1661" w:rsidTr="00E10149">
        <w:tc>
          <w:tcPr>
            <w:tcW w:w="2868" w:type="dxa"/>
            <w:shd w:val="clear" w:color="auto" w:fill="E6E6E6"/>
          </w:tcPr>
          <w:p w:rsidR="006A159E" w:rsidRPr="009E22B7" w:rsidRDefault="006A159E" w:rsidP="0029684A">
            <w:pPr>
              <w:pStyle w:val="TableTextLeft"/>
              <w:widowControl w:val="0"/>
              <w:spacing w:before="20" w:after="20"/>
              <w:rPr>
                <w:b/>
              </w:rPr>
            </w:pPr>
            <w:r w:rsidRPr="009E22B7">
              <w:rPr>
                <w:b/>
              </w:rPr>
              <w:t>Insureds</w:t>
            </w:r>
          </w:p>
        </w:tc>
        <w:tc>
          <w:tcPr>
            <w:tcW w:w="2492" w:type="dxa"/>
            <w:shd w:val="clear" w:color="auto" w:fill="E6E6E6"/>
          </w:tcPr>
          <w:p w:rsidR="006A159E" w:rsidRPr="00FF1661" w:rsidRDefault="006A159E" w:rsidP="00527FD7">
            <w:pPr>
              <w:pStyle w:val="TableTextLeft"/>
            </w:pPr>
            <w:r>
              <w:t>F</w:t>
            </w:r>
            <w:r w:rsidRPr="00AD3561">
              <w:t>ewer disputes about an alleged failure to disclose relevant matters</w:t>
            </w:r>
            <w:r w:rsidRPr="008527F4">
              <w:t xml:space="preserve"> [</w:t>
            </w:r>
            <w:r>
              <w:t>1</w:t>
            </w:r>
            <w:r w:rsidRPr="008527F4">
              <w:t>]</w:t>
            </w:r>
            <w:r w:rsidR="00062686">
              <w:t>.</w:t>
            </w:r>
          </w:p>
        </w:tc>
        <w:tc>
          <w:tcPr>
            <w:tcW w:w="2566" w:type="dxa"/>
            <w:shd w:val="clear" w:color="auto" w:fill="E6E6E6"/>
          </w:tcPr>
          <w:p w:rsidR="006A159E" w:rsidRPr="00AD549C" w:rsidRDefault="006A159E" w:rsidP="00527FD7">
            <w:pPr>
              <w:pStyle w:val="TableTextLeft"/>
            </w:pPr>
            <w:r w:rsidRPr="00AD549C">
              <w:t>Insurers may require consumers to respond to more lengthy and complex sets of questions [</w:t>
            </w:r>
            <w:r w:rsidR="00214D95">
              <w:noBreakHyphen/>
            </w:r>
            <w:r w:rsidRPr="00AD549C">
              <w:t>2]</w:t>
            </w:r>
            <w:r w:rsidR="00062686">
              <w:t>.</w:t>
            </w:r>
          </w:p>
          <w:p w:rsidR="006A159E" w:rsidRPr="00E437BB" w:rsidRDefault="006A159E" w:rsidP="00527FD7">
            <w:pPr>
              <w:pStyle w:val="TableTextLeft"/>
            </w:pPr>
            <w:r w:rsidRPr="00AD549C">
              <w:t>Less availability of insurance and higher costs for insureds, especially in non</w:t>
            </w:r>
            <w:r w:rsidR="00214D95">
              <w:noBreakHyphen/>
            </w:r>
            <w:r w:rsidRPr="00AD549C">
              <w:t>eligible lines [</w:t>
            </w:r>
            <w:r w:rsidR="00214D95">
              <w:noBreakHyphen/>
            </w:r>
            <w:r w:rsidRPr="00AD549C">
              <w:t>2]</w:t>
            </w:r>
            <w:r w:rsidR="00062686">
              <w:t>.</w:t>
            </w:r>
          </w:p>
        </w:tc>
      </w:tr>
      <w:tr w:rsidR="006A159E" w:rsidRPr="00FF1661" w:rsidTr="00E10149">
        <w:tc>
          <w:tcPr>
            <w:tcW w:w="2868" w:type="dxa"/>
            <w:shd w:val="clear" w:color="auto" w:fill="E6E6E6"/>
          </w:tcPr>
          <w:p w:rsidR="006A159E" w:rsidRPr="009E22B7" w:rsidRDefault="006A159E" w:rsidP="0029684A">
            <w:pPr>
              <w:pStyle w:val="TableTextLeft"/>
              <w:widowControl w:val="0"/>
              <w:rPr>
                <w:b/>
              </w:rPr>
            </w:pPr>
            <w:r w:rsidRPr="009E22B7">
              <w:rPr>
                <w:b/>
              </w:rPr>
              <w:t>Government/regulators</w:t>
            </w:r>
          </w:p>
        </w:tc>
        <w:tc>
          <w:tcPr>
            <w:tcW w:w="2492" w:type="dxa"/>
            <w:shd w:val="clear" w:color="auto" w:fill="E6E6E6"/>
          </w:tcPr>
          <w:p w:rsidR="006A159E" w:rsidRPr="00FF1661" w:rsidRDefault="006A159E" w:rsidP="0029684A">
            <w:pPr>
              <w:pStyle w:val="TableTextLeft"/>
              <w:widowControl w:val="0"/>
              <w:tabs>
                <w:tab w:val="left" w:pos="2323"/>
                <w:tab w:val="left" w:pos="2357"/>
              </w:tabs>
              <w:ind w:right="34"/>
            </w:pPr>
            <w:r>
              <w:t>Frequency of disputes regarding disclosure could reduce and ease of resolution could increase [1]</w:t>
            </w:r>
            <w:r w:rsidR="00062686">
              <w:t>.</w:t>
            </w:r>
          </w:p>
        </w:tc>
        <w:tc>
          <w:tcPr>
            <w:tcW w:w="2566" w:type="dxa"/>
            <w:shd w:val="clear" w:color="auto" w:fill="E6E6E6"/>
          </w:tcPr>
          <w:p w:rsidR="006A159E" w:rsidRPr="00FF1661" w:rsidRDefault="006A159E" w:rsidP="0029684A">
            <w:pPr>
              <w:pStyle w:val="TableTextLeft"/>
              <w:widowControl w:val="0"/>
              <w:jc w:val="center"/>
            </w:pPr>
          </w:p>
        </w:tc>
      </w:tr>
      <w:tr w:rsidR="006A159E" w:rsidRPr="00FF1661" w:rsidTr="00E10149">
        <w:tc>
          <w:tcPr>
            <w:tcW w:w="2868" w:type="dxa"/>
            <w:shd w:val="clear" w:color="auto" w:fill="E6E6E6"/>
          </w:tcPr>
          <w:p w:rsidR="006A159E" w:rsidRPr="009E22B7" w:rsidRDefault="006A159E" w:rsidP="0029684A">
            <w:pPr>
              <w:pStyle w:val="TableTextLeft"/>
              <w:widowControl w:val="0"/>
              <w:rPr>
                <w:b/>
              </w:rPr>
            </w:pPr>
            <w:r w:rsidRPr="009E22B7">
              <w:rPr>
                <w:b/>
              </w:rPr>
              <w:t>Sub</w:t>
            </w:r>
            <w:r w:rsidR="00214D95">
              <w:rPr>
                <w:b/>
              </w:rPr>
              <w:noBreakHyphen/>
            </w:r>
            <w:r w:rsidRPr="009E22B7">
              <w:rPr>
                <w:b/>
              </w:rPr>
              <w:t>rating</w:t>
            </w:r>
          </w:p>
        </w:tc>
        <w:tc>
          <w:tcPr>
            <w:tcW w:w="2492" w:type="dxa"/>
            <w:shd w:val="clear" w:color="auto" w:fill="E6E6E6"/>
          </w:tcPr>
          <w:p w:rsidR="006A159E" w:rsidRPr="009E22B7" w:rsidRDefault="006A159E" w:rsidP="0029684A">
            <w:pPr>
              <w:pStyle w:val="TableTextLeft"/>
              <w:widowControl w:val="0"/>
              <w:jc w:val="center"/>
              <w:rPr>
                <w:b/>
              </w:rPr>
            </w:pPr>
            <w:r w:rsidRPr="009E22B7">
              <w:rPr>
                <w:b/>
              </w:rPr>
              <w:t>+3</w:t>
            </w:r>
          </w:p>
        </w:tc>
        <w:tc>
          <w:tcPr>
            <w:tcW w:w="2566" w:type="dxa"/>
            <w:shd w:val="clear" w:color="auto" w:fill="E6E6E6"/>
          </w:tcPr>
          <w:p w:rsidR="006A159E" w:rsidRPr="009E22B7" w:rsidRDefault="00214D95" w:rsidP="0029684A">
            <w:pPr>
              <w:pStyle w:val="TableTextLeft"/>
              <w:widowControl w:val="0"/>
              <w:jc w:val="center"/>
              <w:rPr>
                <w:b/>
              </w:rPr>
            </w:pPr>
            <w:r>
              <w:rPr>
                <w:b/>
              </w:rPr>
              <w:noBreakHyphen/>
            </w:r>
            <w:r w:rsidR="006A159E" w:rsidRPr="009E22B7">
              <w:rPr>
                <w:b/>
              </w:rPr>
              <w:t>7</w:t>
            </w:r>
          </w:p>
        </w:tc>
      </w:tr>
      <w:tr w:rsidR="006A159E" w:rsidRPr="00FF1661" w:rsidTr="00E10149">
        <w:tc>
          <w:tcPr>
            <w:tcW w:w="2868" w:type="dxa"/>
            <w:shd w:val="clear" w:color="auto" w:fill="E6E6E6"/>
          </w:tcPr>
          <w:p w:rsidR="006A159E" w:rsidRPr="009E22B7" w:rsidRDefault="006A159E" w:rsidP="0029684A">
            <w:pPr>
              <w:pStyle w:val="TableTextLeft"/>
              <w:widowControl w:val="0"/>
              <w:rPr>
                <w:b/>
              </w:rPr>
            </w:pPr>
            <w:r w:rsidRPr="009E22B7">
              <w:rPr>
                <w:b/>
              </w:rPr>
              <w:t>Overall rating</w:t>
            </w:r>
          </w:p>
        </w:tc>
        <w:tc>
          <w:tcPr>
            <w:tcW w:w="5058" w:type="dxa"/>
            <w:gridSpan w:val="2"/>
            <w:shd w:val="clear" w:color="auto" w:fill="E6E6E6"/>
          </w:tcPr>
          <w:p w:rsidR="006A159E" w:rsidRPr="009E22B7" w:rsidRDefault="00214D95" w:rsidP="0029684A">
            <w:pPr>
              <w:pStyle w:val="TableTextLeft"/>
              <w:widowControl w:val="0"/>
              <w:jc w:val="center"/>
              <w:rPr>
                <w:b/>
              </w:rPr>
            </w:pPr>
            <w:r>
              <w:rPr>
                <w:b/>
              </w:rPr>
              <w:noBreakHyphen/>
            </w:r>
            <w:r w:rsidR="006A159E" w:rsidRPr="009E22B7">
              <w:rPr>
                <w:b/>
              </w:rPr>
              <w:t>4</w:t>
            </w:r>
          </w:p>
        </w:tc>
      </w:tr>
    </w:tbl>
    <w:p w:rsidR="006A159E" w:rsidRPr="008527F4" w:rsidRDefault="006A159E" w:rsidP="00527FD7">
      <w:pPr>
        <w:pStyle w:val="Heading5"/>
        <w:spacing w:before="360"/>
      </w:pPr>
      <w:r w:rsidRPr="008527F4">
        <w:t xml:space="preserve">Option </w:t>
      </w:r>
      <w:r>
        <w:t>C</w:t>
      </w:r>
      <w:r w:rsidRPr="008527F4">
        <w:t>: Clarify the operation of the mixed objective/subjective duty of disclosure test in section 21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3F3F3"/>
        <w:tblLook w:val="01E0" w:firstRow="1" w:lastRow="1" w:firstColumn="1" w:lastColumn="1" w:noHBand="0" w:noVBand="0"/>
      </w:tblPr>
      <w:tblGrid>
        <w:gridCol w:w="2837"/>
        <w:gridCol w:w="2539"/>
        <w:gridCol w:w="2550"/>
      </w:tblGrid>
      <w:tr w:rsidR="006A159E" w:rsidRPr="00FF1661" w:rsidTr="00E10149">
        <w:tc>
          <w:tcPr>
            <w:tcW w:w="2837" w:type="dxa"/>
            <w:shd w:val="clear" w:color="auto" w:fill="E6E6E6"/>
          </w:tcPr>
          <w:p w:rsidR="006A159E" w:rsidRPr="009E22B7" w:rsidRDefault="006A159E" w:rsidP="0029684A">
            <w:pPr>
              <w:pStyle w:val="TableColumnHeadingCentred"/>
              <w:rPr>
                <w:b w:val="0"/>
              </w:rPr>
            </w:pPr>
          </w:p>
        </w:tc>
        <w:tc>
          <w:tcPr>
            <w:tcW w:w="2539" w:type="dxa"/>
            <w:shd w:val="clear" w:color="auto" w:fill="E6E6E6"/>
          </w:tcPr>
          <w:p w:rsidR="006A159E" w:rsidRPr="00FF1661" w:rsidRDefault="006A159E" w:rsidP="0029684A">
            <w:pPr>
              <w:pStyle w:val="TableColumnHeadingCentred"/>
            </w:pPr>
            <w:r w:rsidRPr="00FF1661">
              <w:t>Benefits</w:t>
            </w:r>
          </w:p>
        </w:tc>
        <w:tc>
          <w:tcPr>
            <w:tcW w:w="2550" w:type="dxa"/>
            <w:shd w:val="clear" w:color="auto" w:fill="E6E6E6"/>
          </w:tcPr>
          <w:p w:rsidR="006A159E" w:rsidRPr="00FF1661" w:rsidRDefault="006A159E" w:rsidP="0029684A">
            <w:pPr>
              <w:pStyle w:val="TableColumnHeadingCentred"/>
            </w:pPr>
            <w:r w:rsidRPr="00FF1661">
              <w:t>Costs</w:t>
            </w:r>
          </w:p>
        </w:tc>
      </w:tr>
      <w:tr w:rsidR="006A159E" w:rsidRPr="00FF1661" w:rsidTr="00E10149">
        <w:tc>
          <w:tcPr>
            <w:tcW w:w="2837" w:type="dxa"/>
            <w:shd w:val="clear" w:color="auto" w:fill="E6E6E6"/>
          </w:tcPr>
          <w:p w:rsidR="006A159E" w:rsidRPr="009E22B7" w:rsidRDefault="006A159E" w:rsidP="0029684A">
            <w:pPr>
              <w:pStyle w:val="TableTextLeft"/>
              <w:spacing w:before="20" w:after="20"/>
              <w:rPr>
                <w:b/>
              </w:rPr>
            </w:pPr>
            <w:r w:rsidRPr="009E22B7">
              <w:rPr>
                <w:b/>
              </w:rPr>
              <w:t>Insurers</w:t>
            </w:r>
          </w:p>
        </w:tc>
        <w:tc>
          <w:tcPr>
            <w:tcW w:w="2539" w:type="dxa"/>
            <w:shd w:val="clear" w:color="auto" w:fill="E6E6E6"/>
          </w:tcPr>
          <w:p w:rsidR="006A159E" w:rsidRPr="00527FD7" w:rsidRDefault="006A159E" w:rsidP="00527FD7">
            <w:pPr>
              <w:pStyle w:val="TableTextLeft"/>
            </w:pPr>
            <w:r w:rsidRPr="00527FD7">
              <w:t>Reduction in frequency and complexity/cost of disputes [1]</w:t>
            </w:r>
            <w:r w:rsidR="00062686">
              <w:t>.</w:t>
            </w:r>
          </w:p>
        </w:tc>
        <w:tc>
          <w:tcPr>
            <w:tcW w:w="2550" w:type="dxa"/>
            <w:shd w:val="clear" w:color="auto" w:fill="E6E6E6"/>
          </w:tcPr>
          <w:p w:rsidR="006A159E" w:rsidRPr="00527FD7" w:rsidRDefault="006A159E" w:rsidP="00527FD7">
            <w:pPr>
              <w:pStyle w:val="TableTextLeft"/>
            </w:pPr>
            <w:r w:rsidRPr="00527FD7">
              <w:t>This option may lead to some litigation about interpretation of the new objective factors [</w:t>
            </w:r>
            <w:r w:rsidR="00214D95">
              <w:noBreakHyphen/>
            </w:r>
            <w:r w:rsidRPr="00527FD7">
              <w:t>1]</w:t>
            </w:r>
            <w:r w:rsidR="00062686">
              <w:t>.</w:t>
            </w:r>
          </w:p>
        </w:tc>
      </w:tr>
      <w:tr w:rsidR="006A159E" w:rsidRPr="00FF1661" w:rsidTr="00E10149">
        <w:tc>
          <w:tcPr>
            <w:tcW w:w="2837" w:type="dxa"/>
            <w:shd w:val="clear" w:color="auto" w:fill="E6E6E6"/>
          </w:tcPr>
          <w:p w:rsidR="006A159E" w:rsidRPr="009E22B7" w:rsidRDefault="006A159E" w:rsidP="0029684A">
            <w:pPr>
              <w:pStyle w:val="TableTextLeft"/>
              <w:spacing w:before="20" w:after="20"/>
              <w:rPr>
                <w:b/>
              </w:rPr>
            </w:pPr>
            <w:r w:rsidRPr="009E22B7">
              <w:rPr>
                <w:b/>
              </w:rPr>
              <w:t>Insureds</w:t>
            </w:r>
          </w:p>
        </w:tc>
        <w:tc>
          <w:tcPr>
            <w:tcW w:w="2539" w:type="dxa"/>
            <w:shd w:val="clear" w:color="auto" w:fill="E6E6E6"/>
          </w:tcPr>
          <w:p w:rsidR="006A159E" w:rsidRPr="00527FD7" w:rsidRDefault="006A159E" w:rsidP="00527FD7">
            <w:pPr>
              <w:pStyle w:val="TableTextLeft"/>
            </w:pPr>
            <w:r w:rsidRPr="00527FD7">
              <w:t>Reduction in frequency and complexity/cost of disputes [1]</w:t>
            </w:r>
            <w:r w:rsidR="00062686">
              <w:t>.</w:t>
            </w:r>
          </w:p>
        </w:tc>
        <w:tc>
          <w:tcPr>
            <w:tcW w:w="2550" w:type="dxa"/>
            <w:shd w:val="clear" w:color="auto" w:fill="E6E6E6"/>
          </w:tcPr>
          <w:p w:rsidR="006A159E" w:rsidRPr="00527FD7" w:rsidRDefault="006A159E" w:rsidP="00527FD7">
            <w:pPr>
              <w:pStyle w:val="TableTextLeft"/>
            </w:pPr>
            <w:r w:rsidRPr="00527FD7">
              <w:t>This option may lead to some litigation about interpretation of the new objective factors [</w:t>
            </w:r>
            <w:r w:rsidR="00214D95">
              <w:noBreakHyphen/>
            </w:r>
            <w:r w:rsidRPr="00527FD7">
              <w:t>1]</w:t>
            </w:r>
            <w:r w:rsidR="00062686">
              <w:t>.</w:t>
            </w:r>
          </w:p>
        </w:tc>
      </w:tr>
      <w:tr w:rsidR="006A159E" w:rsidRPr="00FF1661" w:rsidTr="00E10149">
        <w:tc>
          <w:tcPr>
            <w:tcW w:w="2837" w:type="dxa"/>
            <w:shd w:val="clear" w:color="auto" w:fill="E6E6E6"/>
          </w:tcPr>
          <w:p w:rsidR="006A159E" w:rsidRPr="009E22B7" w:rsidRDefault="006A159E" w:rsidP="0029684A">
            <w:pPr>
              <w:pStyle w:val="TableTextLeft"/>
              <w:spacing w:before="20" w:after="20"/>
              <w:rPr>
                <w:b/>
              </w:rPr>
            </w:pPr>
            <w:r w:rsidRPr="009E22B7">
              <w:rPr>
                <w:b/>
              </w:rPr>
              <w:t>Government/regulators</w:t>
            </w:r>
          </w:p>
        </w:tc>
        <w:tc>
          <w:tcPr>
            <w:tcW w:w="2539" w:type="dxa"/>
            <w:shd w:val="clear" w:color="auto" w:fill="E6E6E6"/>
          </w:tcPr>
          <w:p w:rsidR="006A159E" w:rsidRPr="00527FD7" w:rsidRDefault="006A159E" w:rsidP="00527FD7">
            <w:pPr>
              <w:pStyle w:val="TableTextLeft"/>
            </w:pPr>
            <w:r w:rsidRPr="00527FD7">
              <w:t>Ease of interpretation and reduction of inconsistencies between factors that are taken into account in determining an insured</w:t>
            </w:r>
            <w:r w:rsidR="00035750" w:rsidRPr="00527FD7">
              <w:t>’</w:t>
            </w:r>
            <w:r w:rsidRPr="00527FD7">
              <w:t>s duty of disclosure is likely to result in more efficient adjudication [2]</w:t>
            </w:r>
            <w:r w:rsidR="00062686">
              <w:t>.</w:t>
            </w:r>
          </w:p>
        </w:tc>
        <w:tc>
          <w:tcPr>
            <w:tcW w:w="2550" w:type="dxa"/>
            <w:shd w:val="clear" w:color="auto" w:fill="E6E6E6"/>
          </w:tcPr>
          <w:p w:rsidR="006A159E" w:rsidRPr="00527FD7" w:rsidRDefault="006A159E" w:rsidP="00527FD7">
            <w:pPr>
              <w:pStyle w:val="TableTextLeft"/>
            </w:pPr>
          </w:p>
        </w:tc>
      </w:tr>
      <w:tr w:rsidR="006A159E" w:rsidRPr="00FF1661" w:rsidTr="00E10149">
        <w:tc>
          <w:tcPr>
            <w:tcW w:w="2837" w:type="dxa"/>
            <w:shd w:val="clear" w:color="auto" w:fill="E6E6E6"/>
          </w:tcPr>
          <w:p w:rsidR="006A159E" w:rsidRPr="009E22B7" w:rsidRDefault="006A159E" w:rsidP="0029684A">
            <w:pPr>
              <w:pStyle w:val="TableTextLeft"/>
              <w:rPr>
                <w:b/>
              </w:rPr>
            </w:pPr>
            <w:r w:rsidRPr="009E22B7">
              <w:rPr>
                <w:b/>
              </w:rPr>
              <w:t>Sub</w:t>
            </w:r>
            <w:r w:rsidR="00214D95">
              <w:rPr>
                <w:b/>
              </w:rPr>
              <w:noBreakHyphen/>
            </w:r>
            <w:r w:rsidRPr="009E22B7">
              <w:rPr>
                <w:b/>
              </w:rPr>
              <w:t>rating</w:t>
            </w:r>
          </w:p>
        </w:tc>
        <w:tc>
          <w:tcPr>
            <w:tcW w:w="2539" w:type="dxa"/>
            <w:shd w:val="clear" w:color="auto" w:fill="E6E6E6"/>
          </w:tcPr>
          <w:p w:rsidR="006A159E" w:rsidRPr="009E22B7" w:rsidRDefault="006A159E" w:rsidP="0029684A">
            <w:pPr>
              <w:pStyle w:val="TableTextLeft"/>
              <w:jc w:val="center"/>
              <w:rPr>
                <w:b/>
              </w:rPr>
            </w:pPr>
            <w:r w:rsidRPr="009E22B7">
              <w:rPr>
                <w:b/>
              </w:rPr>
              <w:t>+4</w:t>
            </w:r>
          </w:p>
        </w:tc>
        <w:tc>
          <w:tcPr>
            <w:tcW w:w="2550" w:type="dxa"/>
            <w:shd w:val="clear" w:color="auto" w:fill="E6E6E6"/>
          </w:tcPr>
          <w:p w:rsidR="006A159E" w:rsidRPr="009E22B7" w:rsidRDefault="00214D95" w:rsidP="0029684A">
            <w:pPr>
              <w:pStyle w:val="TableTextLeft"/>
              <w:tabs>
                <w:tab w:val="left" w:pos="2350"/>
                <w:tab w:val="left" w:pos="2380"/>
              </w:tabs>
              <w:jc w:val="center"/>
              <w:rPr>
                <w:b/>
              </w:rPr>
            </w:pPr>
            <w:r>
              <w:rPr>
                <w:b/>
              </w:rPr>
              <w:noBreakHyphen/>
            </w:r>
            <w:r w:rsidR="006A159E" w:rsidRPr="009E22B7">
              <w:rPr>
                <w:b/>
              </w:rPr>
              <w:t>2</w:t>
            </w:r>
          </w:p>
        </w:tc>
      </w:tr>
      <w:tr w:rsidR="006A159E" w:rsidRPr="00FF1661" w:rsidTr="00E10149">
        <w:tc>
          <w:tcPr>
            <w:tcW w:w="2837" w:type="dxa"/>
            <w:shd w:val="clear" w:color="auto" w:fill="E6E6E6"/>
          </w:tcPr>
          <w:p w:rsidR="006A159E" w:rsidRPr="009E22B7" w:rsidRDefault="006A159E" w:rsidP="0029684A">
            <w:pPr>
              <w:pStyle w:val="TableTextLeft"/>
              <w:rPr>
                <w:b/>
              </w:rPr>
            </w:pPr>
            <w:r w:rsidRPr="009E22B7">
              <w:rPr>
                <w:b/>
              </w:rPr>
              <w:t>Overall rating</w:t>
            </w:r>
          </w:p>
        </w:tc>
        <w:tc>
          <w:tcPr>
            <w:tcW w:w="5089" w:type="dxa"/>
            <w:gridSpan w:val="2"/>
            <w:shd w:val="clear" w:color="auto" w:fill="E6E6E6"/>
          </w:tcPr>
          <w:p w:rsidR="006A159E" w:rsidRPr="009E22B7" w:rsidRDefault="006A159E" w:rsidP="0029684A">
            <w:pPr>
              <w:pStyle w:val="TableTextLeft"/>
              <w:jc w:val="center"/>
              <w:rPr>
                <w:b/>
              </w:rPr>
            </w:pPr>
            <w:r w:rsidRPr="009E22B7">
              <w:rPr>
                <w:b/>
              </w:rPr>
              <w:t>+2</w:t>
            </w:r>
          </w:p>
        </w:tc>
      </w:tr>
    </w:tbl>
    <w:p w:rsidR="006A159E" w:rsidRPr="008527F4" w:rsidRDefault="006A159E" w:rsidP="00527FD7">
      <w:pPr>
        <w:pStyle w:val="Heading5"/>
      </w:pPr>
      <w:r w:rsidRPr="008527F4">
        <w:lastRenderedPageBreak/>
        <w:t xml:space="preserve">Option </w:t>
      </w:r>
      <w:r>
        <w:t>D</w:t>
      </w:r>
      <w:r w:rsidRPr="008527F4">
        <w:t xml:space="preserve">: Remove the part of section 21A that permits insurers to ask </w:t>
      </w:r>
      <w:r w:rsidR="00035750">
        <w:t>‘</w:t>
      </w:r>
      <w:r w:rsidRPr="008527F4">
        <w:t>catch all</w:t>
      </w:r>
      <w:r w:rsidR="00035750">
        <w:t>’</w:t>
      </w:r>
      <w:r w:rsidRPr="008527F4">
        <w:t xml:space="preserve"> questions in relation to eligible contracts of insurance</w:t>
      </w:r>
    </w:p>
    <w:tbl>
      <w:tblPr>
        <w:tblW w:w="7920" w:type="dxa"/>
        <w:tblInd w:w="108" w:type="dxa"/>
        <w:tblLook w:val="01E0" w:firstRow="1" w:lastRow="1" w:firstColumn="1" w:lastColumn="1" w:noHBand="0" w:noVBand="0"/>
      </w:tblPr>
      <w:tblGrid>
        <w:gridCol w:w="2837"/>
        <w:gridCol w:w="2561"/>
        <w:gridCol w:w="2522"/>
      </w:tblGrid>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527FD7">
            <w:pPr>
              <w:pStyle w:val="TableColumnHeadingCentred"/>
              <w:keepNext/>
            </w:pPr>
          </w:p>
        </w:tc>
        <w:tc>
          <w:tcPr>
            <w:tcW w:w="2561"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527FD7">
            <w:pPr>
              <w:pStyle w:val="TableColumnHeadingCentred"/>
              <w:keepNext/>
            </w:pPr>
            <w:r w:rsidRPr="00FF1661">
              <w:t>Benefits</w:t>
            </w:r>
          </w:p>
        </w:tc>
        <w:tc>
          <w:tcPr>
            <w:tcW w:w="2522"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527FD7">
            <w:pPr>
              <w:pStyle w:val="TableColumnHeadingCentred"/>
              <w:keepNext/>
            </w:pPr>
            <w:r w:rsidRPr="00FF1661">
              <w:t>Costs</w:t>
            </w:r>
          </w:p>
        </w:tc>
      </w:tr>
      <w:tr w:rsidR="006A159E" w:rsidRPr="00FF1661" w:rsidTr="00E10149">
        <w:trPr>
          <w:trHeight w:val="2320"/>
        </w:trPr>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spacing w:before="20" w:after="20"/>
              <w:rPr>
                <w:b/>
              </w:rPr>
            </w:pPr>
            <w:r w:rsidRPr="009E22B7">
              <w:rPr>
                <w:b/>
              </w:rPr>
              <w:t>Insurers</w:t>
            </w:r>
          </w:p>
        </w:tc>
        <w:tc>
          <w:tcPr>
            <w:tcW w:w="2561" w:type="dxa"/>
            <w:tcBorders>
              <w:top w:val="single" w:sz="8" w:space="0" w:color="auto"/>
              <w:left w:val="single" w:sz="8" w:space="0" w:color="auto"/>
              <w:bottom w:val="single" w:sz="8" w:space="0" w:color="auto"/>
              <w:right w:val="single" w:sz="8" w:space="0" w:color="auto"/>
            </w:tcBorders>
            <w:shd w:val="clear" w:color="auto" w:fill="E6E6E6"/>
          </w:tcPr>
          <w:p w:rsidR="006A159E" w:rsidRPr="00527FD7" w:rsidRDefault="006A159E" w:rsidP="00527FD7">
            <w:pPr>
              <w:pStyle w:val="TableTextLeft"/>
            </w:pPr>
          </w:p>
        </w:tc>
        <w:tc>
          <w:tcPr>
            <w:tcW w:w="2522" w:type="dxa"/>
            <w:tcBorders>
              <w:top w:val="single" w:sz="8" w:space="0" w:color="auto"/>
              <w:left w:val="single" w:sz="8" w:space="0" w:color="auto"/>
              <w:bottom w:val="single" w:sz="8" w:space="0" w:color="auto"/>
              <w:right w:val="single" w:sz="8" w:space="0" w:color="auto"/>
            </w:tcBorders>
            <w:shd w:val="clear" w:color="auto" w:fill="E6E6E6"/>
          </w:tcPr>
          <w:p w:rsidR="006A159E" w:rsidRPr="00527FD7" w:rsidRDefault="006A159E" w:rsidP="00527FD7">
            <w:pPr>
              <w:pStyle w:val="TableTextLeft"/>
            </w:pPr>
            <w:r w:rsidRPr="00527FD7">
              <w:t xml:space="preserve">For some insurers under eligible contracts, being no longer able to rely on </w:t>
            </w:r>
            <w:r w:rsidR="00035750" w:rsidRPr="00527FD7">
              <w:t>‘</w:t>
            </w:r>
            <w:r w:rsidRPr="00527FD7">
              <w:t>catch all</w:t>
            </w:r>
            <w:r w:rsidR="00035750" w:rsidRPr="00527FD7">
              <w:t>’</w:t>
            </w:r>
            <w:r w:rsidRPr="00527FD7">
              <w:t xml:space="preserve"> questions may encourage them to formulate more, or more complex, specific questions [</w:t>
            </w:r>
            <w:r w:rsidR="00214D95">
              <w:noBreakHyphen/>
            </w:r>
            <w:r w:rsidRPr="00527FD7">
              <w:t>1</w:t>
            </w:r>
            <w:r w:rsidR="00062686">
              <w:t>.</w:t>
            </w:r>
            <w:r w:rsidRPr="00527FD7">
              <w:t>]</w:t>
            </w: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spacing w:before="20" w:after="20"/>
              <w:rPr>
                <w:b/>
              </w:rPr>
            </w:pPr>
            <w:r w:rsidRPr="009E22B7">
              <w:rPr>
                <w:b/>
              </w:rPr>
              <w:t>Insureds</w:t>
            </w:r>
          </w:p>
        </w:tc>
        <w:tc>
          <w:tcPr>
            <w:tcW w:w="2561" w:type="dxa"/>
            <w:tcBorders>
              <w:top w:val="single" w:sz="8" w:space="0" w:color="auto"/>
              <w:left w:val="single" w:sz="8" w:space="0" w:color="auto"/>
              <w:bottom w:val="single" w:sz="8" w:space="0" w:color="auto"/>
              <w:right w:val="single" w:sz="8" w:space="0" w:color="auto"/>
            </w:tcBorders>
            <w:shd w:val="clear" w:color="auto" w:fill="E6E6E6"/>
          </w:tcPr>
          <w:p w:rsidR="006A159E" w:rsidRPr="00527FD7" w:rsidRDefault="006A159E" w:rsidP="00527FD7">
            <w:pPr>
              <w:pStyle w:val="TableTextLeft"/>
            </w:pPr>
            <w:r w:rsidRPr="00527FD7">
              <w:t>Insureds under eligible contracts will not be disadvantaged by being required to answer questions that require a knowledge of what factors may be relevant to an insurer</w:t>
            </w:r>
            <w:r w:rsidR="00035750" w:rsidRPr="00527FD7">
              <w:t>’</w:t>
            </w:r>
            <w:r w:rsidRPr="00527FD7">
              <w:t>s decision [+2]</w:t>
            </w:r>
            <w:r w:rsidR="00062686">
              <w:t>.</w:t>
            </w:r>
          </w:p>
        </w:tc>
        <w:tc>
          <w:tcPr>
            <w:tcW w:w="2522" w:type="dxa"/>
            <w:tcBorders>
              <w:top w:val="single" w:sz="8" w:space="0" w:color="auto"/>
              <w:left w:val="single" w:sz="8" w:space="0" w:color="auto"/>
              <w:bottom w:val="single" w:sz="8" w:space="0" w:color="auto"/>
              <w:right w:val="single" w:sz="8" w:space="0" w:color="auto"/>
            </w:tcBorders>
            <w:shd w:val="clear" w:color="auto" w:fill="E6E6E6"/>
          </w:tcPr>
          <w:p w:rsidR="006A159E" w:rsidRPr="00527FD7" w:rsidRDefault="006A159E" w:rsidP="00527FD7">
            <w:pPr>
              <w:pStyle w:val="TableTextLeft"/>
            </w:pPr>
            <w:r w:rsidRPr="00527FD7">
              <w:t>Possibility of having to answer a larger number, or more complex, questions [</w:t>
            </w:r>
            <w:r w:rsidR="00214D95">
              <w:noBreakHyphen/>
            </w:r>
            <w:r w:rsidRPr="00527FD7">
              <w:t>1]</w:t>
            </w:r>
            <w:r w:rsidR="00062686">
              <w:t>.</w:t>
            </w: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rPr>
                <w:b/>
              </w:rPr>
            </w:pPr>
            <w:r w:rsidRPr="009E22B7">
              <w:rPr>
                <w:b/>
              </w:rPr>
              <w:t>Government/regulators</w:t>
            </w:r>
          </w:p>
        </w:tc>
        <w:tc>
          <w:tcPr>
            <w:tcW w:w="2561" w:type="dxa"/>
            <w:tcBorders>
              <w:top w:val="single" w:sz="8" w:space="0" w:color="auto"/>
              <w:left w:val="single" w:sz="8" w:space="0" w:color="auto"/>
              <w:bottom w:val="single" w:sz="8" w:space="0" w:color="auto"/>
              <w:right w:val="single" w:sz="8" w:space="0" w:color="auto"/>
            </w:tcBorders>
            <w:shd w:val="clear" w:color="auto" w:fill="E6E6E6"/>
          </w:tcPr>
          <w:p w:rsidR="006A159E" w:rsidRPr="00527FD7" w:rsidRDefault="006A159E" w:rsidP="00527FD7">
            <w:pPr>
              <w:pStyle w:val="TableTextLeft"/>
            </w:pPr>
            <w:r w:rsidRPr="00527FD7">
              <w:t>Frequency and complexity of disputes that need to be adjudicated regarding the duty of disclosure will be reduced [+1]</w:t>
            </w:r>
            <w:r w:rsidR="00062686">
              <w:t>.</w:t>
            </w:r>
          </w:p>
        </w:tc>
        <w:tc>
          <w:tcPr>
            <w:tcW w:w="2522" w:type="dxa"/>
            <w:tcBorders>
              <w:top w:val="single" w:sz="8" w:space="0" w:color="auto"/>
              <w:left w:val="single" w:sz="8" w:space="0" w:color="auto"/>
              <w:bottom w:val="single" w:sz="8" w:space="0" w:color="auto"/>
              <w:right w:val="single" w:sz="8" w:space="0" w:color="auto"/>
            </w:tcBorders>
            <w:shd w:val="clear" w:color="auto" w:fill="E6E6E6"/>
          </w:tcPr>
          <w:p w:rsidR="006A159E" w:rsidRPr="00527FD7" w:rsidRDefault="006A159E" w:rsidP="00527FD7">
            <w:pPr>
              <w:pStyle w:val="TableTextLeft"/>
            </w:pP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rPr>
                <w:b/>
              </w:rPr>
            </w:pPr>
            <w:r w:rsidRPr="009E22B7">
              <w:rPr>
                <w:b/>
              </w:rPr>
              <w:t>Sub</w:t>
            </w:r>
            <w:r w:rsidR="00214D95">
              <w:rPr>
                <w:b/>
              </w:rPr>
              <w:noBreakHyphen/>
            </w:r>
            <w:r w:rsidRPr="009E22B7">
              <w:rPr>
                <w:b/>
              </w:rPr>
              <w:t>rating</w:t>
            </w:r>
          </w:p>
        </w:tc>
        <w:tc>
          <w:tcPr>
            <w:tcW w:w="2561"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jc w:val="center"/>
              <w:rPr>
                <w:b/>
              </w:rPr>
            </w:pPr>
            <w:r w:rsidRPr="009E22B7">
              <w:rPr>
                <w:b/>
              </w:rPr>
              <w:t>+3</w:t>
            </w:r>
          </w:p>
        </w:tc>
        <w:tc>
          <w:tcPr>
            <w:tcW w:w="2522"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214D95" w:rsidP="0029684A">
            <w:pPr>
              <w:pStyle w:val="TableTextLeft"/>
              <w:jc w:val="center"/>
              <w:rPr>
                <w:b/>
              </w:rPr>
            </w:pPr>
            <w:r>
              <w:rPr>
                <w:b/>
              </w:rPr>
              <w:noBreakHyphen/>
            </w:r>
            <w:r w:rsidR="006A159E" w:rsidRPr="009E22B7">
              <w:rPr>
                <w:b/>
              </w:rPr>
              <w:t>2</w:t>
            </w: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rPr>
                <w:b/>
              </w:rPr>
            </w:pPr>
            <w:r w:rsidRPr="009E22B7">
              <w:rPr>
                <w:b/>
              </w:rPr>
              <w:t>Overall rating</w:t>
            </w:r>
          </w:p>
        </w:tc>
        <w:tc>
          <w:tcPr>
            <w:tcW w:w="5083"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9E22B7" w:rsidRDefault="006A159E" w:rsidP="0029684A">
            <w:pPr>
              <w:pStyle w:val="TableTextLeft"/>
              <w:jc w:val="center"/>
              <w:rPr>
                <w:b/>
              </w:rPr>
            </w:pPr>
            <w:r w:rsidRPr="009E22B7">
              <w:rPr>
                <w:b/>
              </w:rPr>
              <w:t>+1</w:t>
            </w:r>
          </w:p>
        </w:tc>
      </w:tr>
    </w:tbl>
    <w:p w:rsidR="006A159E" w:rsidRPr="008527F4" w:rsidRDefault="006A159E" w:rsidP="00527FD7">
      <w:pPr>
        <w:pStyle w:val="Heading4"/>
        <w:spacing w:before="360"/>
      </w:pPr>
      <w:bookmarkStart w:id="29" w:name="_Toc255909309"/>
      <w:r w:rsidRPr="008527F4">
        <w:t>Con</w:t>
      </w:r>
      <w:r>
        <w:t>s</w:t>
      </w:r>
      <w:r w:rsidRPr="008527F4">
        <w:t>ultation</w:t>
      </w:r>
      <w:bookmarkEnd w:id="29"/>
    </w:p>
    <w:p w:rsidR="006A159E" w:rsidRPr="008527F4" w:rsidRDefault="006A159E" w:rsidP="006A159E">
      <w:pPr>
        <w:pStyle w:val="base-text-paragraph"/>
      </w:pPr>
      <w:r w:rsidRPr="008527F4">
        <w:t xml:space="preserve">Option </w:t>
      </w:r>
      <w:r>
        <w:t>B</w:t>
      </w:r>
      <w:r w:rsidRPr="008527F4">
        <w:t xml:space="preserve"> was supported by stakeholders including representatives of insurance broke</w:t>
      </w:r>
      <w:r>
        <w:t>rs, and a legal aid commission</w:t>
      </w:r>
      <w:r w:rsidR="00214D95">
        <w:t xml:space="preserve">.  </w:t>
      </w:r>
      <w:r w:rsidRPr="008527F4">
        <w:t>It was argued that insurers should be required to ask insureds specific questions that reflect their underwriting guidelines</w:t>
      </w:r>
      <w:r w:rsidR="00214D95">
        <w:t xml:space="preserve">.  </w:t>
      </w:r>
      <w:r w:rsidRPr="008527F4">
        <w:t>Insurers that offered insurance over large commercial risks</w:t>
      </w:r>
      <w:r>
        <w:t xml:space="preserve"> </w:t>
      </w:r>
      <w:r w:rsidRPr="008527F4">
        <w:t>disagreed</w:t>
      </w:r>
      <w:r w:rsidR="00214D95">
        <w:t xml:space="preserve">.  </w:t>
      </w:r>
      <w:r w:rsidRPr="008527F4">
        <w:t>They provided examples suggesting that, in those cases, questions were formulated and asked in the course of negotiating the relevant contract of insurance</w:t>
      </w:r>
      <w:r w:rsidR="00214D95">
        <w:t xml:space="preserve">.  </w:t>
      </w:r>
      <w:r w:rsidRPr="008527F4">
        <w:t xml:space="preserve">It was not possible to produce a </w:t>
      </w:r>
      <w:r w:rsidR="00035750">
        <w:t>‘</w:t>
      </w:r>
      <w:r w:rsidRPr="008527F4">
        <w:t>pro</w:t>
      </w:r>
      <w:r w:rsidR="00214D95">
        <w:noBreakHyphen/>
      </w:r>
      <w:r w:rsidRPr="008527F4">
        <w:t>forma</w:t>
      </w:r>
      <w:r w:rsidR="00035750">
        <w:t>’</w:t>
      </w:r>
      <w:r w:rsidRPr="008527F4">
        <w:t xml:space="preserve"> list of questions at the outset capable of dealing with all relevant risk factors that may affect the policy proposal.</w:t>
      </w:r>
    </w:p>
    <w:p w:rsidR="006A159E" w:rsidRPr="008527F4" w:rsidRDefault="006A159E" w:rsidP="006A159E">
      <w:pPr>
        <w:pStyle w:val="base-text-paragraph"/>
      </w:pPr>
      <w:r w:rsidRPr="008527F4">
        <w:t xml:space="preserve">Option </w:t>
      </w:r>
      <w:r>
        <w:t>C</w:t>
      </w:r>
      <w:r w:rsidRPr="008527F4">
        <w:t xml:space="preserve"> was suggested to the </w:t>
      </w:r>
      <w:r>
        <w:t>Review Panel</w:t>
      </w:r>
      <w:r w:rsidRPr="008527F4">
        <w:t xml:space="preserve"> by a firm of commercial solicitors</w:t>
      </w:r>
      <w:r w:rsidR="00214D95">
        <w:t xml:space="preserve">.  </w:t>
      </w:r>
      <w:r w:rsidRPr="008527F4">
        <w:t>They noted the existing test in section 21 had been applied inconsistently by various courts, which runs counter to the policy intention that the law concerning contracts of insurance should apply uniformly throughout Australia.</w:t>
      </w:r>
    </w:p>
    <w:p w:rsidR="006A159E" w:rsidRDefault="006A159E" w:rsidP="006A159E">
      <w:pPr>
        <w:pStyle w:val="base-text-paragraph"/>
      </w:pPr>
      <w:r w:rsidRPr="008527F4">
        <w:t xml:space="preserve">In respect of eligible contracts of insurance, one general insurer reported to the </w:t>
      </w:r>
      <w:r>
        <w:t>Review Panel</w:t>
      </w:r>
      <w:r w:rsidRPr="008527F4">
        <w:t xml:space="preserve"> that it asked potential insureds specific questions and did not have a </w:t>
      </w:r>
      <w:r w:rsidR="00035750">
        <w:t>‘</w:t>
      </w:r>
      <w:r w:rsidRPr="008527F4">
        <w:t>catch all</w:t>
      </w:r>
      <w:r w:rsidR="00035750">
        <w:t>’</w:t>
      </w:r>
      <w:r w:rsidRPr="008527F4">
        <w:t xml:space="preserve"> question</w:t>
      </w:r>
      <w:r>
        <w:t xml:space="preserve"> (Option D)</w:t>
      </w:r>
      <w:r w:rsidR="00214D95">
        <w:t xml:space="preserve">.  </w:t>
      </w:r>
      <w:r w:rsidRPr="008527F4">
        <w:t xml:space="preserve">That insurer </w:t>
      </w:r>
      <w:r w:rsidRPr="008527F4">
        <w:lastRenderedPageBreak/>
        <w:t xml:space="preserve">argued the </w:t>
      </w:r>
      <w:r w:rsidR="00035750">
        <w:t>‘</w:t>
      </w:r>
      <w:r w:rsidRPr="008527F4">
        <w:t>catch all</w:t>
      </w:r>
      <w:r w:rsidR="00035750">
        <w:t>’</w:t>
      </w:r>
      <w:r w:rsidRPr="008527F4">
        <w:t xml:space="preserve"> question was no longer relevant to eligible contracts</w:t>
      </w:r>
      <w:r w:rsidR="00214D95">
        <w:t xml:space="preserve">.  </w:t>
      </w:r>
      <w:r w:rsidRPr="008527F4">
        <w:t xml:space="preserve">Insurers offering that type of contract had </w:t>
      </w:r>
      <w:r w:rsidR="00035750">
        <w:t>‘</w:t>
      </w:r>
      <w:r w:rsidRPr="008527F4">
        <w:t>clear underwriting guidelines based on comprehensive historical data that effectively define what information a prospective customer needs to provide to enable a risk to be accepted</w:t>
      </w:r>
      <w:r w:rsidR="00035750">
        <w:t>’</w:t>
      </w:r>
      <w:r w:rsidR="00214D95">
        <w:t xml:space="preserve">.  </w:t>
      </w:r>
      <w:r w:rsidRPr="008527F4">
        <w:t xml:space="preserve">This view was not shared by other general insurers and their representative body, </w:t>
      </w:r>
      <w:r>
        <w:t>which</w:t>
      </w:r>
      <w:r w:rsidRPr="008527F4">
        <w:t xml:space="preserve"> </w:t>
      </w:r>
      <w:r>
        <w:t xml:space="preserve">submitted to the Panel that </w:t>
      </w:r>
      <w:r w:rsidRPr="008527F4">
        <w:t>it would not be possible for many insurers to develop a list of relevant specific questions.</w:t>
      </w:r>
    </w:p>
    <w:p w:rsidR="006A159E" w:rsidRPr="008527F4" w:rsidRDefault="006A159E" w:rsidP="006A159E">
      <w:pPr>
        <w:pStyle w:val="base-text-paragraph"/>
      </w:pPr>
      <w:r>
        <w:rPr>
          <w:color w:val="000000"/>
        </w:rPr>
        <w:t>In response to the exposure draft Bill, few stakeholders commented on this particular amendment and at least</w:t>
      </w:r>
      <w:r w:rsidRPr="00D83D50">
        <w:rPr>
          <w:color w:val="000000"/>
        </w:rPr>
        <w:t xml:space="preserve"> one major insurer supported </w:t>
      </w:r>
      <w:r>
        <w:rPr>
          <w:color w:val="000000"/>
        </w:rPr>
        <w:t>the way the Bill gave the Review Panel recommendation effect</w:t>
      </w:r>
      <w:r w:rsidR="00214D95">
        <w:rPr>
          <w:color w:val="000000"/>
        </w:rPr>
        <w:t xml:space="preserve">.  </w:t>
      </w:r>
      <w:r>
        <w:t>The g</w:t>
      </w:r>
      <w:r w:rsidRPr="008527F4">
        <w:t>eneral insurers</w:t>
      </w:r>
      <w:r w:rsidR="00035750">
        <w:t>’</w:t>
      </w:r>
      <w:r w:rsidRPr="008527F4">
        <w:t xml:space="preserve"> representative body</w:t>
      </w:r>
      <w:r>
        <w:rPr>
          <w:color w:val="000000"/>
        </w:rPr>
        <w:t xml:space="preserve"> offered</w:t>
      </w:r>
      <w:r w:rsidRPr="00D83D50">
        <w:rPr>
          <w:color w:val="000000"/>
        </w:rPr>
        <w:t xml:space="preserve"> no</w:t>
      </w:r>
      <w:r>
        <w:rPr>
          <w:color w:val="000000"/>
        </w:rPr>
        <w:t xml:space="preserve"> additional information on how the removal of the</w:t>
      </w:r>
      <w:r w:rsidRPr="00D83D50">
        <w:rPr>
          <w:color w:val="000000"/>
        </w:rPr>
        <w:t xml:space="preserve"> </w:t>
      </w:r>
      <w:r w:rsidR="00035750">
        <w:rPr>
          <w:color w:val="000000"/>
        </w:rPr>
        <w:t>‘</w:t>
      </w:r>
      <w:r w:rsidRPr="00D83D50">
        <w:rPr>
          <w:color w:val="000000"/>
        </w:rPr>
        <w:t>exceptional circumstances</w:t>
      </w:r>
      <w:r w:rsidR="00035750">
        <w:rPr>
          <w:color w:val="000000"/>
        </w:rPr>
        <w:t>’</w:t>
      </w:r>
      <w:r w:rsidRPr="00D83D50">
        <w:rPr>
          <w:color w:val="000000"/>
        </w:rPr>
        <w:t xml:space="preserve"> </w:t>
      </w:r>
      <w:r>
        <w:rPr>
          <w:color w:val="000000"/>
        </w:rPr>
        <w:t>question would impose costs on insurers.</w:t>
      </w:r>
    </w:p>
    <w:p w:rsidR="006A159E" w:rsidRPr="008527F4" w:rsidRDefault="006A159E" w:rsidP="006A159E">
      <w:pPr>
        <w:pStyle w:val="Heading4"/>
      </w:pPr>
      <w:bookmarkStart w:id="30" w:name="_Toc255909310"/>
      <w:r w:rsidRPr="008527F4">
        <w:t>Conclusion and recommended options</w:t>
      </w:r>
      <w:bookmarkEnd w:id="30"/>
    </w:p>
    <w:p w:rsidR="006A159E" w:rsidRPr="008527F4" w:rsidRDefault="006A159E" w:rsidP="006A159E">
      <w:pPr>
        <w:pStyle w:val="base-text-paragraph"/>
      </w:pPr>
      <w:r w:rsidRPr="008527F4">
        <w:t xml:space="preserve">Option </w:t>
      </w:r>
      <w:r>
        <w:t>B</w:t>
      </w:r>
      <w:r w:rsidRPr="008527F4">
        <w:t xml:space="preserve"> (replacing the general duty of disclosure with a duty to answer specific questions) is unlikely to be practicable to apply more widely than in relation to eligible contracts</w:t>
      </w:r>
      <w:r w:rsidR="00214D95">
        <w:t xml:space="preserve">.  </w:t>
      </w:r>
      <w:r w:rsidRPr="008527F4">
        <w:t xml:space="preserve">In particular, it would not appear to be practical to apply Option </w:t>
      </w:r>
      <w:r>
        <w:t>B</w:t>
      </w:r>
      <w:r w:rsidRPr="008527F4">
        <w:t xml:space="preserve"> in the context of large commercial insurance and some types of individual life insurance</w:t>
      </w:r>
      <w:r w:rsidR="00214D95">
        <w:t xml:space="preserve">.  </w:t>
      </w:r>
      <w:r w:rsidRPr="008527F4">
        <w:t xml:space="preserve">Accordingly, Option </w:t>
      </w:r>
      <w:r>
        <w:t>B</w:t>
      </w:r>
      <w:r w:rsidRPr="008527F4">
        <w:t xml:space="preserve"> is rejected.</w:t>
      </w:r>
    </w:p>
    <w:p w:rsidR="006A159E" w:rsidRPr="008527F4" w:rsidRDefault="006A159E" w:rsidP="006A159E">
      <w:pPr>
        <w:pStyle w:val="base-text-paragraph"/>
      </w:pPr>
      <w:r w:rsidRPr="008527F4">
        <w:t xml:space="preserve">Option </w:t>
      </w:r>
      <w:r>
        <w:t>C</w:t>
      </w:r>
      <w:r w:rsidRPr="008527F4">
        <w:t>, under which the duty of disclosure would be clarified by setting out some non</w:t>
      </w:r>
      <w:r w:rsidR="00214D95">
        <w:noBreakHyphen/>
      </w:r>
      <w:r w:rsidRPr="008527F4">
        <w:t>exclusive factors in the Act to which regard should be had in applying the duty test, does not result in greater expenses for insurers</w:t>
      </w:r>
      <w:r w:rsidR="00214D95">
        <w:t xml:space="preserve">.  </w:t>
      </w:r>
      <w:r w:rsidRPr="008527F4">
        <w:t>This option is designed to assist courts</w:t>
      </w:r>
      <w:r>
        <w:t xml:space="preserve"> in</w:t>
      </w:r>
      <w:r w:rsidRPr="008527F4">
        <w:t xml:space="preserve"> interpreting how the duty applies in difficult cases and should assist to remove current inconsistencies in the application of the test between courts and promote uniform application of the </w:t>
      </w:r>
      <w:r>
        <w:t>ICA</w:t>
      </w:r>
      <w:r w:rsidRPr="008527F4">
        <w:t xml:space="preserve"> throughout Australia.</w:t>
      </w:r>
      <w:r>
        <w:rPr>
          <w:rStyle w:val="FootnoteReference"/>
        </w:rPr>
        <w:footnoteReference w:id="4"/>
      </w:r>
    </w:p>
    <w:p w:rsidR="006A159E" w:rsidRPr="008527F4" w:rsidRDefault="006A159E" w:rsidP="006A159E">
      <w:pPr>
        <w:pStyle w:val="base-text-paragraph"/>
      </w:pPr>
      <w:r w:rsidRPr="008527F4">
        <w:t xml:space="preserve">Option </w:t>
      </w:r>
      <w:r>
        <w:t>D</w:t>
      </w:r>
      <w:r w:rsidRPr="008527F4">
        <w:t xml:space="preserve"> would address concerns about the duty of disclosure rules incorporating an objective test that requires insureds to know what an insurer regards as relevant, at least in respect of personal lines insurance (eligible contracts)</w:t>
      </w:r>
      <w:r w:rsidR="00214D95">
        <w:t xml:space="preserve">.  </w:t>
      </w:r>
      <w:r w:rsidRPr="008527F4">
        <w:t xml:space="preserve">Although some insurers have strongly opposed Option </w:t>
      </w:r>
      <w:r>
        <w:t>D</w:t>
      </w:r>
      <w:r w:rsidRPr="008527F4">
        <w:t xml:space="preserve"> on the grounds that it would increase expenses, others </w:t>
      </w:r>
      <w:r w:rsidRPr="008527F4">
        <w:lastRenderedPageBreak/>
        <w:t xml:space="preserve">have noted that in the case of personal lines insurance, insurers generally have a very strong understanding of what factors are relevant to </w:t>
      </w:r>
      <w:r>
        <w:t xml:space="preserve">the </w:t>
      </w:r>
      <w:r w:rsidRPr="008527F4">
        <w:t>risk</w:t>
      </w:r>
      <w:r>
        <w:t xml:space="preserve"> in question</w:t>
      </w:r>
      <w:r w:rsidRPr="008527F4">
        <w:t>, and ask specific questions accordingly</w:t>
      </w:r>
      <w:r w:rsidR="00214D95">
        <w:t xml:space="preserve">.  </w:t>
      </w:r>
      <w:r w:rsidRPr="008527F4">
        <w:t xml:space="preserve">The likelihood of any </w:t>
      </w:r>
      <w:r>
        <w:t xml:space="preserve">unforseen </w:t>
      </w:r>
      <w:r w:rsidRPr="008527F4">
        <w:t xml:space="preserve">factors being relevant to risk is not high, and </w:t>
      </w:r>
      <w:r>
        <w:t xml:space="preserve">to the extent that it exists, there is a cogent argument that it is most appropriately borne by </w:t>
      </w:r>
      <w:r w:rsidRPr="008527F4">
        <w:t>the insurer rather than the insured.</w:t>
      </w:r>
    </w:p>
    <w:p w:rsidR="006A159E" w:rsidRPr="008527F4" w:rsidRDefault="006A159E" w:rsidP="006A159E">
      <w:pPr>
        <w:pStyle w:val="base-text-paragraph"/>
      </w:pPr>
      <w:r w:rsidRPr="008527F4">
        <w:t xml:space="preserve">Option </w:t>
      </w:r>
      <w:r>
        <w:t>C</w:t>
      </w:r>
      <w:r w:rsidRPr="008527F4">
        <w:t xml:space="preserve"> is recommended because further guidance in interpreting provisions in the </w:t>
      </w:r>
      <w:r>
        <w:t>ICA</w:t>
      </w:r>
      <w:r w:rsidRPr="008527F4">
        <w:t xml:space="preserve"> dealing with disclosure is likely to be of benefit to insurers, insureds and courts</w:t>
      </w:r>
      <w:r w:rsidR="00214D95">
        <w:t xml:space="preserve">.  </w:t>
      </w:r>
      <w:r w:rsidRPr="008527F4">
        <w:t>Further, the costs of applying this option are not great</w:t>
      </w:r>
      <w:r w:rsidR="00214D95">
        <w:t xml:space="preserve">.  </w:t>
      </w:r>
      <w:r w:rsidRPr="008527F4">
        <w:t xml:space="preserve">Option </w:t>
      </w:r>
      <w:r>
        <w:t>D</w:t>
      </w:r>
      <w:r w:rsidRPr="008527F4">
        <w:t xml:space="preserve"> (removing the ability to ask for disclosure of exceptional circumstances) is also recommended, because it largely addresses concerns from the insureds</w:t>
      </w:r>
      <w:r w:rsidR="00035750">
        <w:t>’</w:t>
      </w:r>
      <w:r w:rsidRPr="008527F4">
        <w:t xml:space="preserve"> perspective regarding the objective component of the duty of disclosure in respect of eligible contracts, notwithstanding there are some costs associated with its implementation.</w:t>
      </w:r>
    </w:p>
    <w:p w:rsidR="006A159E" w:rsidRPr="008527F4" w:rsidRDefault="006A159E" w:rsidP="006A159E">
      <w:pPr>
        <w:pStyle w:val="Heading3"/>
      </w:pPr>
      <w:bookmarkStart w:id="31" w:name="_Toc255909311"/>
      <w:bookmarkStart w:id="32" w:name="_Toc338331859"/>
      <w:r w:rsidRPr="008527F4">
        <w:t>Disclosure obligations on renewal of an eligible contract of insurance</w:t>
      </w:r>
      <w:bookmarkEnd w:id="31"/>
      <w:bookmarkEnd w:id="32"/>
    </w:p>
    <w:p w:rsidR="006A159E" w:rsidRPr="008527F4" w:rsidRDefault="006A159E" w:rsidP="006A159E">
      <w:pPr>
        <w:pStyle w:val="Heading4"/>
      </w:pPr>
      <w:bookmarkStart w:id="33" w:name="_Toc255909312"/>
      <w:r w:rsidRPr="008527F4">
        <w:t>Problem</w:t>
      </w:r>
      <w:bookmarkEnd w:id="33"/>
    </w:p>
    <w:p w:rsidR="006A159E" w:rsidRPr="008527F4" w:rsidRDefault="006A159E" w:rsidP="006A159E">
      <w:pPr>
        <w:pStyle w:val="base-text-paragraph"/>
      </w:pPr>
      <w:r w:rsidRPr="008527F4">
        <w:t xml:space="preserve">The then </w:t>
      </w:r>
      <w:r>
        <w:t xml:space="preserve">General </w:t>
      </w:r>
      <w:r w:rsidRPr="008527F4">
        <w:t>Insurance Enquiries and Complaints Service Ltd (IEC) (</w:t>
      </w:r>
      <w:r>
        <w:t>a predecessor of the</w:t>
      </w:r>
      <w:r w:rsidRPr="008527F4">
        <w:t xml:space="preserve"> </w:t>
      </w:r>
      <w:r>
        <w:t>Financial</w:t>
      </w:r>
      <w:r w:rsidRPr="008527F4">
        <w:t xml:space="preserve"> Ombudsman Service), in its first submission to the </w:t>
      </w:r>
      <w:r>
        <w:t>Review Panel</w:t>
      </w:r>
      <w:r w:rsidRPr="008527F4">
        <w:t>, raised concerns at the current law surrounding notice of the duty of disclosure upon renewal of a contract of insurance</w:t>
      </w:r>
      <w:r w:rsidR="00214D95">
        <w:t xml:space="preserve">.  </w:t>
      </w:r>
      <w:r w:rsidRPr="008527F4">
        <w:t>The IEC stated:</w:t>
      </w:r>
    </w:p>
    <w:p w:rsidR="006A159E" w:rsidRPr="00DA4F53" w:rsidRDefault="00214D95" w:rsidP="006A159E">
      <w:pPr>
        <w:ind w:left="1440"/>
        <w:rPr>
          <w:i/>
        </w:rPr>
      </w:pPr>
      <w:r>
        <w:t>‘</w:t>
      </w:r>
      <w:r w:rsidR="006A159E" w:rsidRPr="008527F4">
        <w:t>…</w:t>
      </w:r>
      <w:r w:rsidR="006A159E" w:rsidRPr="00DA4F53">
        <w:rPr>
          <w:i/>
        </w:rPr>
        <w:t xml:space="preserve"> the experience of (IEC) Review Panel members is that the great majority of people regard a renewal notice in the same way as they would a gas bill, that is an account to be paid at or about the due date, although unlike the gas bill, a reminder notice is usually not issued if the sum payable is not paid within the prescribed time</w:t>
      </w:r>
      <w:r>
        <w:rPr>
          <w:i/>
        </w:rPr>
        <w:t xml:space="preserve">.  </w:t>
      </w:r>
      <w:r w:rsidR="006A159E" w:rsidRPr="00DA4F53">
        <w:rPr>
          <w:i/>
        </w:rPr>
        <w:t xml:space="preserve">In other words, the general public do not understand the renewal process creates a new insurance contract, sometimes with new policy terms, </w:t>
      </w:r>
      <w:r w:rsidR="00FD09AB">
        <w:rPr>
          <w:i/>
        </w:rPr>
        <w:t>with new disclosure obligations</w:t>
      </w:r>
      <w:r w:rsidR="0012468C">
        <w:rPr>
          <w:i/>
        </w:rPr>
        <w:t>’</w:t>
      </w:r>
      <w:r w:rsidR="00FD09AB">
        <w:rPr>
          <w:i/>
        </w:rPr>
        <w:t>.</w:t>
      </w:r>
    </w:p>
    <w:p w:rsidR="006A159E" w:rsidRDefault="006A159E" w:rsidP="006A159E">
      <w:pPr>
        <w:pStyle w:val="base-text-paragraph"/>
      </w:pPr>
      <w:r w:rsidRPr="008527F4">
        <w:t>In its submission, the IEC noted instances of insureds under motor vehicle policies being denied claims because they failed to update their driving history as required upon renewal</w:t>
      </w:r>
      <w:r w:rsidR="00214D95">
        <w:t xml:space="preserve">.  </w:t>
      </w:r>
      <w:r w:rsidRPr="008527F4">
        <w:t>Apparently this was due to a lack of awareness of the disclosure requirement, rather than any deliberate concealment on their part</w:t>
      </w:r>
      <w:r w:rsidR="00FD09AB">
        <w:t>.</w:t>
      </w:r>
    </w:p>
    <w:p w:rsidR="006A159E" w:rsidRPr="008527F4" w:rsidRDefault="006A159E" w:rsidP="006A159E">
      <w:pPr>
        <w:pStyle w:val="base-text-paragraph"/>
      </w:pPr>
      <w:r w:rsidRPr="008527F4">
        <w:t>To have circumstances such as these continuing to arise is undesirable because the detriment to the persons concerned is potentially great</w:t>
      </w:r>
      <w:r w:rsidR="00214D95">
        <w:t xml:space="preserve">.  </w:t>
      </w:r>
      <w:r w:rsidRPr="008527F4">
        <w:t xml:space="preserve">If insureds do not realise that they are under a new set of disclosure obligations upon renewal of a contract of insurance, they risk failing to inform the insurer of matters that have occurred since the relevant contract </w:t>
      </w:r>
      <w:r w:rsidRPr="008527F4">
        <w:lastRenderedPageBreak/>
        <w:t>was entered into that are relevant to the insurer</w:t>
      </w:r>
      <w:r w:rsidR="00035750">
        <w:t>’</w:t>
      </w:r>
      <w:r w:rsidRPr="008527F4">
        <w:t>s decision whether to accept the risk of the renewed contract</w:t>
      </w:r>
      <w:r w:rsidR="00214D95">
        <w:t xml:space="preserve">.  </w:t>
      </w:r>
      <w:r w:rsidRPr="008527F4">
        <w:t>As a consequence, the insured may be denied the right to recover under the contract, to potentially great detriment to the insured and any other person with an interest in the particular insurance contract</w:t>
      </w:r>
      <w:r w:rsidR="00214D95">
        <w:t xml:space="preserve">.  </w:t>
      </w:r>
    </w:p>
    <w:p w:rsidR="006A159E" w:rsidRPr="008527F4" w:rsidRDefault="006A159E" w:rsidP="006A159E">
      <w:pPr>
        <w:pStyle w:val="base-text-paragraph"/>
      </w:pPr>
      <w:r>
        <w:t>An examination of statistics published by an external dispute resolution body is indicative of the extent to which non</w:t>
      </w:r>
      <w:r w:rsidR="00214D95">
        <w:noBreakHyphen/>
      </w:r>
      <w:r>
        <w:t>disclosure on renewal leads to disputes between insurers and insureds</w:t>
      </w:r>
      <w:r w:rsidR="00214D95">
        <w:t xml:space="preserve">.  </w:t>
      </w:r>
      <w:r>
        <w:t>For the period July 2005 to June 2006 in relation to which the former Insurance Ombudsman Service</w:t>
      </w:r>
      <w:r w:rsidR="0014053A">
        <w:t xml:space="preserve"> — </w:t>
      </w:r>
      <w:r>
        <w:t>the IOS</w:t>
      </w:r>
      <w:r w:rsidR="0014053A">
        <w:t xml:space="preserve"> — </w:t>
      </w:r>
      <w:r>
        <w:t xml:space="preserve">reported on </w:t>
      </w:r>
      <w:r w:rsidRPr="002A04A8">
        <w:t xml:space="preserve">disputes </w:t>
      </w:r>
      <w:r>
        <w:t>determined by the scheme during that period</w:t>
      </w:r>
      <w:r w:rsidRPr="00E97D7F">
        <w:t xml:space="preserve"> </w:t>
      </w:r>
      <w:r>
        <w:t xml:space="preserve">with </w:t>
      </w:r>
      <w:r w:rsidR="00035750">
        <w:t>‘</w:t>
      </w:r>
      <w:r w:rsidRPr="00E97D7F">
        <w:t>Non</w:t>
      </w:r>
      <w:r w:rsidR="00214D95">
        <w:noBreakHyphen/>
      </w:r>
      <w:r w:rsidRPr="00E97D7F">
        <w:t>disclosure on proposal</w:t>
      </w:r>
      <w:r w:rsidR="00035750">
        <w:t>’</w:t>
      </w:r>
      <w:r>
        <w:t xml:space="preserve"> as a r</w:t>
      </w:r>
      <w:r w:rsidRPr="00E97D7F">
        <w:t xml:space="preserve">eason </w:t>
      </w:r>
      <w:r>
        <w:t>m</w:t>
      </w:r>
      <w:r w:rsidRPr="00E97D7F">
        <w:t xml:space="preserve">embers </w:t>
      </w:r>
      <w:r>
        <w:t>d</w:t>
      </w:r>
      <w:r w:rsidRPr="00E97D7F">
        <w:t xml:space="preserve">enied </w:t>
      </w:r>
      <w:r>
        <w:t>l</w:t>
      </w:r>
      <w:r w:rsidRPr="00E97D7F">
        <w:t>iability</w:t>
      </w:r>
      <w:r>
        <w:t>, i</w:t>
      </w:r>
      <w:r w:rsidRPr="007E5833">
        <w:rPr>
          <w:szCs w:val="22"/>
        </w:rPr>
        <w:t>n total, 53 out of 107 disputes relating to alleged non</w:t>
      </w:r>
      <w:r w:rsidR="00214D95">
        <w:rPr>
          <w:szCs w:val="22"/>
        </w:rPr>
        <w:noBreakHyphen/>
      </w:r>
      <w:r w:rsidRPr="007E5833">
        <w:rPr>
          <w:szCs w:val="22"/>
        </w:rPr>
        <w:t>disclosure involved renewals.</w:t>
      </w:r>
      <w:r>
        <w:rPr>
          <w:rStyle w:val="FootnoteReference"/>
          <w:szCs w:val="22"/>
        </w:rPr>
        <w:footnoteReference w:id="5"/>
      </w:r>
    </w:p>
    <w:p w:rsidR="006A159E" w:rsidRPr="008527F4" w:rsidRDefault="006A159E" w:rsidP="006A159E">
      <w:pPr>
        <w:pStyle w:val="Heading4"/>
      </w:pPr>
      <w:bookmarkStart w:id="34" w:name="_Toc255909313"/>
      <w:r w:rsidRPr="008527F4">
        <w:t>Objective</w:t>
      </w:r>
      <w:bookmarkEnd w:id="34"/>
    </w:p>
    <w:p w:rsidR="006A159E" w:rsidRPr="008527F4" w:rsidRDefault="006A159E" w:rsidP="006A159E">
      <w:pPr>
        <w:pStyle w:val="base-text-paragraph"/>
      </w:pPr>
      <w:r w:rsidRPr="008527F4">
        <w:t>The objective is to ensure that, as much as possible, insureds renew</w:t>
      </w:r>
      <w:r>
        <w:t>ing</w:t>
      </w:r>
      <w:r w:rsidRPr="008527F4">
        <w:t xml:space="preserve"> an eligible contract of insurance understand their duty of disclosure obligations</w:t>
      </w:r>
      <w:r w:rsidR="00214D95">
        <w:t xml:space="preserve">.  </w:t>
      </w:r>
    </w:p>
    <w:p w:rsidR="006A159E" w:rsidRPr="008527F4" w:rsidRDefault="006A159E" w:rsidP="006A159E">
      <w:pPr>
        <w:pStyle w:val="Heading4"/>
      </w:pPr>
      <w:bookmarkStart w:id="35" w:name="_Toc255909314"/>
      <w:r w:rsidRPr="008527F4">
        <w:t>Options</w:t>
      </w:r>
      <w:bookmarkEnd w:id="35"/>
    </w:p>
    <w:p w:rsidR="006A159E" w:rsidRPr="008527F4" w:rsidRDefault="006A159E" w:rsidP="006A159E">
      <w:pPr>
        <w:pStyle w:val="Heading5"/>
      </w:pPr>
      <w:r w:rsidRPr="008527F4">
        <w:t xml:space="preserve">Option </w:t>
      </w:r>
      <w:r>
        <w:t>A</w:t>
      </w:r>
      <w:r w:rsidRPr="008527F4">
        <w:t xml:space="preserve">: </w:t>
      </w:r>
      <w:r>
        <w:t>Do nothing</w:t>
      </w:r>
    </w:p>
    <w:p w:rsidR="006A159E" w:rsidRPr="008527F4" w:rsidRDefault="006A159E" w:rsidP="006A159E">
      <w:pPr>
        <w:pStyle w:val="base-text-paragraph"/>
      </w:pPr>
      <w:r w:rsidRPr="008527F4">
        <w:t>The requirement on insurers under an eligible contract of insurance to ask sp</w:t>
      </w:r>
      <w:r>
        <w:t>ecific questions of the insured</w:t>
      </w:r>
      <w:r w:rsidR="0014053A">
        <w:t xml:space="preserve"> — </w:t>
      </w:r>
      <w:r w:rsidRPr="008527F4">
        <w:t xml:space="preserve">if they wish to rely on </w:t>
      </w:r>
      <w:r w:rsidRPr="008527F4">
        <w:lastRenderedPageBreak/>
        <w:t>the insured</w:t>
      </w:r>
      <w:r w:rsidR="00035750">
        <w:t>’</w:t>
      </w:r>
      <w:r w:rsidRPr="008527F4">
        <w:t>s duty of disclosure</w:t>
      </w:r>
      <w:r w:rsidR="0014053A">
        <w:t xml:space="preserve"> — </w:t>
      </w:r>
      <w:r w:rsidRPr="008527F4">
        <w:t>would not apply on renewal of the particular eligible insurance contract.</w:t>
      </w:r>
    </w:p>
    <w:p w:rsidR="006A159E" w:rsidRPr="008527F4" w:rsidRDefault="006A159E" w:rsidP="006A159E">
      <w:pPr>
        <w:pStyle w:val="Heading5"/>
      </w:pPr>
      <w:r w:rsidRPr="008527F4">
        <w:t xml:space="preserve">Option </w:t>
      </w:r>
      <w:r>
        <w:t>B</w:t>
      </w:r>
      <w:r w:rsidRPr="008527F4">
        <w:t>: Make the obligation to provide details regarding the duty of disclosure the same at both inception and renewal of an eligible contract of insurance</w:t>
      </w:r>
    </w:p>
    <w:p w:rsidR="006A159E" w:rsidRPr="008527F4" w:rsidRDefault="006A159E" w:rsidP="006A159E">
      <w:pPr>
        <w:pStyle w:val="base-text-paragraph"/>
      </w:pPr>
      <w:r w:rsidRPr="008527F4">
        <w:t>Under this option, renewal of an eligible contract of insurance would trigger duty of disclosure obligations for both insurers and insureds</w:t>
      </w:r>
      <w:r>
        <w:t xml:space="preserve"> similar</w:t>
      </w:r>
      <w:r w:rsidRPr="008527F4">
        <w:t xml:space="preserve"> </w:t>
      </w:r>
      <w:r>
        <w:t>to</w:t>
      </w:r>
      <w:r w:rsidRPr="008527F4">
        <w:t xml:space="preserve"> the obligations that applied when the contract was first entered into.</w:t>
      </w:r>
    </w:p>
    <w:p w:rsidR="006A159E" w:rsidRPr="008527F4" w:rsidRDefault="006A159E" w:rsidP="006A159E">
      <w:pPr>
        <w:pStyle w:val="base-text-paragraph"/>
      </w:pPr>
      <w:r w:rsidRPr="008527F4">
        <w:t>For example, under this option, an insurer wishing to rely on an insured</w:t>
      </w:r>
      <w:r w:rsidR="00035750">
        <w:t>’</w:t>
      </w:r>
      <w:r w:rsidRPr="008527F4">
        <w:t xml:space="preserve">s duty of disclosure at renewal </w:t>
      </w:r>
      <w:r>
        <w:t xml:space="preserve">of an eligible contract </w:t>
      </w:r>
      <w:r w:rsidRPr="008527F4">
        <w:t xml:space="preserve">would need to </w:t>
      </w:r>
      <w:r>
        <w:t>ask</w:t>
      </w:r>
      <w:r w:rsidRPr="008527F4">
        <w:t xml:space="preserve"> the insured specific questions or</w:t>
      </w:r>
      <w:r>
        <w:t>, alternatively,</w:t>
      </w:r>
      <w:r w:rsidRPr="008527F4">
        <w:t xml:space="preserve"> seek an update to the answers the insured had provided at the inception of the contract.</w:t>
      </w:r>
    </w:p>
    <w:p w:rsidR="006A159E" w:rsidRPr="008527F4" w:rsidRDefault="006A159E" w:rsidP="006A159E">
      <w:pPr>
        <w:pStyle w:val="Heading4"/>
      </w:pPr>
      <w:bookmarkStart w:id="36" w:name="_Toc255909315"/>
      <w:r w:rsidRPr="008527F4">
        <w:t>Impact analysis</w:t>
      </w:r>
      <w:bookmarkEnd w:id="36"/>
    </w:p>
    <w:p w:rsidR="006A159E" w:rsidRPr="008527F4" w:rsidRDefault="006A159E" w:rsidP="006A159E">
      <w:pPr>
        <w:pStyle w:val="Heading5"/>
      </w:pPr>
      <w:r w:rsidRPr="008527F4">
        <w:t>Impact group identification</w:t>
      </w:r>
    </w:p>
    <w:p w:rsidR="006A159E" w:rsidRPr="008527F4" w:rsidRDefault="006A159E" w:rsidP="006A159E">
      <w:pPr>
        <w:pStyle w:val="base-text-paragraph"/>
      </w:pPr>
      <w:r w:rsidRPr="008527F4">
        <w:t>Affected groups:</w:t>
      </w:r>
    </w:p>
    <w:p w:rsidR="006A159E" w:rsidRPr="008527F4" w:rsidRDefault="006A159E" w:rsidP="006A159E">
      <w:pPr>
        <w:pStyle w:val="dotpoint"/>
      </w:pPr>
      <w:r w:rsidRPr="008527F4">
        <w:t>insurers;</w:t>
      </w:r>
      <w:r>
        <w:t xml:space="preserve"> </w:t>
      </w:r>
    </w:p>
    <w:p w:rsidR="006A159E" w:rsidRDefault="006A159E" w:rsidP="006A159E">
      <w:pPr>
        <w:pStyle w:val="dotpoint"/>
      </w:pPr>
      <w:r w:rsidRPr="008527F4">
        <w:t>insureds</w:t>
      </w:r>
      <w:r>
        <w:t>; and</w:t>
      </w:r>
    </w:p>
    <w:p w:rsidR="006A159E" w:rsidRPr="008527F4" w:rsidRDefault="006A159E" w:rsidP="006A159E">
      <w:pPr>
        <w:pStyle w:val="dotpoint"/>
      </w:pPr>
      <w:r>
        <w:t>government and regulators, including self</w:t>
      </w:r>
      <w:r w:rsidR="00214D95">
        <w:noBreakHyphen/>
      </w:r>
      <w:r>
        <w:t>regulatory organisations.</w:t>
      </w:r>
    </w:p>
    <w:p w:rsidR="006A159E" w:rsidRPr="008527F4" w:rsidRDefault="006A159E" w:rsidP="001713EA">
      <w:pPr>
        <w:pStyle w:val="Heading4"/>
        <w:ind w:left="0"/>
      </w:pPr>
      <w:r w:rsidRPr="008527F4">
        <w:t>Assessment of costs and benefits</w:t>
      </w:r>
    </w:p>
    <w:p w:rsidR="006A159E" w:rsidRDefault="006A159E" w:rsidP="006A159E">
      <w:pPr>
        <w:pStyle w:val="Heading5"/>
      </w:pPr>
      <w:r w:rsidRPr="008527F4">
        <w:t xml:space="preserve">Option </w:t>
      </w:r>
      <w:r>
        <w:t>A</w:t>
      </w:r>
      <w:r w:rsidRPr="008527F4">
        <w:t xml:space="preserve">: </w:t>
      </w:r>
      <w:r>
        <w:t>Do nothing</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3F3F3"/>
        <w:tblLook w:val="01E0" w:firstRow="1" w:lastRow="1" w:firstColumn="1" w:lastColumn="1" w:noHBand="0" w:noVBand="0"/>
      </w:tblPr>
      <w:tblGrid>
        <w:gridCol w:w="2837"/>
        <w:gridCol w:w="2539"/>
        <w:gridCol w:w="2550"/>
      </w:tblGrid>
      <w:tr w:rsidR="006A159E" w:rsidRPr="00FF1661" w:rsidTr="00E10149">
        <w:tc>
          <w:tcPr>
            <w:tcW w:w="2837" w:type="dxa"/>
            <w:shd w:val="clear" w:color="auto" w:fill="E6E6E6"/>
          </w:tcPr>
          <w:p w:rsidR="006A159E" w:rsidRPr="00FF1661" w:rsidRDefault="006A159E" w:rsidP="0029684A">
            <w:pPr>
              <w:pStyle w:val="TableColumnHeadingCentred"/>
            </w:pPr>
          </w:p>
        </w:tc>
        <w:tc>
          <w:tcPr>
            <w:tcW w:w="2539" w:type="dxa"/>
            <w:shd w:val="clear" w:color="auto" w:fill="E6E6E6"/>
          </w:tcPr>
          <w:p w:rsidR="006A159E" w:rsidRPr="00FF1661" w:rsidRDefault="006A159E" w:rsidP="0029684A">
            <w:pPr>
              <w:pStyle w:val="TableColumnHeadingCentred"/>
            </w:pPr>
            <w:r w:rsidRPr="00FF1661">
              <w:t>Benefits</w:t>
            </w:r>
          </w:p>
        </w:tc>
        <w:tc>
          <w:tcPr>
            <w:tcW w:w="2550" w:type="dxa"/>
            <w:shd w:val="clear" w:color="auto" w:fill="E6E6E6"/>
          </w:tcPr>
          <w:p w:rsidR="006A159E" w:rsidRPr="00FF1661" w:rsidRDefault="006A159E" w:rsidP="0029684A">
            <w:pPr>
              <w:pStyle w:val="TableColumnHeadingCentred"/>
            </w:pPr>
            <w:r w:rsidRPr="00FF1661">
              <w:t>Costs</w:t>
            </w:r>
          </w:p>
        </w:tc>
      </w:tr>
      <w:tr w:rsidR="006A159E" w:rsidRPr="00FF1661" w:rsidTr="00E10149">
        <w:tc>
          <w:tcPr>
            <w:tcW w:w="2837" w:type="dxa"/>
            <w:shd w:val="clear" w:color="auto" w:fill="E6E6E6"/>
          </w:tcPr>
          <w:p w:rsidR="006A159E" w:rsidRPr="00440A85" w:rsidRDefault="006A159E" w:rsidP="0029684A">
            <w:pPr>
              <w:pStyle w:val="TableTextLeft"/>
              <w:spacing w:before="20" w:after="20"/>
              <w:rPr>
                <w:b/>
              </w:rPr>
            </w:pPr>
            <w:r w:rsidRPr="00440A85">
              <w:rPr>
                <w:b/>
              </w:rPr>
              <w:t>Insurers</w:t>
            </w:r>
          </w:p>
        </w:tc>
        <w:tc>
          <w:tcPr>
            <w:tcW w:w="2539" w:type="dxa"/>
            <w:shd w:val="clear" w:color="auto" w:fill="E6E6E6"/>
          </w:tcPr>
          <w:p w:rsidR="006A159E" w:rsidRPr="00FF1661" w:rsidRDefault="006A159E" w:rsidP="0029684A">
            <w:pPr>
              <w:pStyle w:val="TableTextLeft"/>
              <w:spacing w:before="20" w:after="20"/>
            </w:pPr>
            <w:r>
              <w:t>Minimal administrative burden to take advantage of duty of disclosure on renewal of eligible contracts</w:t>
            </w:r>
            <w:r w:rsidR="00062686">
              <w:t>.</w:t>
            </w:r>
          </w:p>
        </w:tc>
        <w:tc>
          <w:tcPr>
            <w:tcW w:w="2550" w:type="dxa"/>
            <w:shd w:val="clear" w:color="auto" w:fill="E6E6E6"/>
          </w:tcPr>
          <w:p w:rsidR="006A159E" w:rsidRPr="00FF1661" w:rsidRDefault="006A159E" w:rsidP="0029684A">
            <w:pPr>
              <w:pStyle w:val="TableTextLeft"/>
              <w:tabs>
                <w:tab w:val="left" w:pos="2386"/>
              </w:tabs>
              <w:spacing w:before="20" w:after="20"/>
            </w:pPr>
          </w:p>
        </w:tc>
      </w:tr>
      <w:tr w:rsidR="006A159E" w:rsidRPr="00FF1661" w:rsidTr="00E10149">
        <w:tc>
          <w:tcPr>
            <w:tcW w:w="2837" w:type="dxa"/>
            <w:shd w:val="clear" w:color="auto" w:fill="E6E6E6"/>
          </w:tcPr>
          <w:p w:rsidR="006A159E" w:rsidRPr="00440A85" w:rsidRDefault="006A159E" w:rsidP="0029684A">
            <w:pPr>
              <w:pStyle w:val="TableTextLeft"/>
              <w:spacing w:before="20" w:after="20"/>
              <w:rPr>
                <w:b/>
              </w:rPr>
            </w:pPr>
            <w:r w:rsidRPr="00440A85">
              <w:rPr>
                <w:b/>
              </w:rPr>
              <w:t>Insureds</w:t>
            </w:r>
          </w:p>
        </w:tc>
        <w:tc>
          <w:tcPr>
            <w:tcW w:w="2539" w:type="dxa"/>
            <w:shd w:val="clear" w:color="auto" w:fill="E6E6E6"/>
          </w:tcPr>
          <w:p w:rsidR="006A159E" w:rsidRPr="00FF1661" w:rsidRDefault="006A159E" w:rsidP="0029684A">
            <w:pPr>
              <w:pStyle w:val="TableTextLeft"/>
              <w:spacing w:before="20" w:after="20"/>
            </w:pPr>
          </w:p>
        </w:tc>
        <w:tc>
          <w:tcPr>
            <w:tcW w:w="2550" w:type="dxa"/>
            <w:shd w:val="clear" w:color="auto" w:fill="E6E6E6"/>
          </w:tcPr>
          <w:p w:rsidR="006A159E" w:rsidRPr="00FF1661" w:rsidRDefault="006A159E" w:rsidP="0029684A">
            <w:pPr>
              <w:pStyle w:val="TableTextLeft"/>
              <w:tabs>
                <w:tab w:val="left" w:pos="2386"/>
              </w:tabs>
              <w:spacing w:before="20" w:after="20"/>
            </w:pPr>
            <w:r>
              <w:rPr>
                <w:rFonts w:cs="Arial"/>
              </w:rPr>
              <w:t>D</w:t>
            </w:r>
            <w:r w:rsidRPr="008527F4">
              <w:rPr>
                <w:rFonts w:cs="Arial"/>
              </w:rPr>
              <w:t xml:space="preserve">isadvantage for some insureds who </w:t>
            </w:r>
            <w:r>
              <w:rPr>
                <w:rFonts w:cs="Arial"/>
              </w:rPr>
              <w:t>are</w:t>
            </w:r>
            <w:r w:rsidRPr="008527F4">
              <w:rPr>
                <w:rFonts w:cs="Arial"/>
              </w:rPr>
              <w:t xml:space="preserve"> denied claims because they did not realise their duty of disclosure obligations on renewal</w:t>
            </w:r>
            <w:r>
              <w:rPr>
                <w:rFonts w:cs="Arial"/>
              </w:rPr>
              <w:t xml:space="preserve"> of eligible contacts</w:t>
            </w:r>
            <w:r w:rsidR="00062686">
              <w:rPr>
                <w:rFonts w:cs="Arial"/>
              </w:rPr>
              <w:t>.</w:t>
            </w:r>
          </w:p>
        </w:tc>
      </w:tr>
      <w:tr w:rsidR="006A159E" w:rsidRPr="00FF1661" w:rsidTr="00E10149">
        <w:tc>
          <w:tcPr>
            <w:tcW w:w="2837" w:type="dxa"/>
            <w:shd w:val="clear" w:color="auto" w:fill="E6E6E6"/>
          </w:tcPr>
          <w:p w:rsidR="006A159E" w:rsidRPr="00440A85" w:rsidRDefault="006A159E" w:rsidP="0029684A">
            <w:pPr>
              <w:pStyle w:val="TableTextLeft"/>
              <w:spacing w:before="20" w:after="20"/>
              <w:rPr>
                <w:b/>
              </w:rPr>
            </w:pPr>
            <w:r w:rsidRPr="00440A85">
              <w:rPr>
                <w:b/>
              </w:rPr>
              <w:t>Government/regulators</w:t>
            </w:r>
          </w:p>
        </w:tc>
        <w:tc>
          <w:tcPr>
            <w:tcW w:w="2539" w:type="dxa"/>
            <w:shd w:val="clear" w:color="auto" w:fill="E6E6E6"/>
          </w:tcPr>
          <w:p w:rsidR="006A159E" w:rsidRPr="00FF1661" w:rsidRDefault="006A159E" w:rsidP="0029684A">
            <w:pPr>
              <w:pStyle w:val="TableTextLeft"/>
              <w:spacing w:before="20" w:after="20"/>
            </w:pPr>
          </w:p>
        </w:tc>
        <w:tc>
          <w:tcPr>
            <w:tcW w:w="2550" w:type="dxa"/>
            <w:shd w:val="clear" w:color="auto" w:fill="E6E6E6"/>
          </w:tcPr>
          <w:p w:rsidR="006A159E" w:rsidRDefault="006A159E" w:rsidP="0029684A">
            <w:pPr>
              <w:pStyle w:val="TableTextLeft"/>
              <w:spacing w:before="20" w:after="20"/>
              <w:rPr>
                <w:rFonts w:cs="Arial"/>
              </w:rPr>
            </w:pPr>
          </w:p>
        </w:tc>
      </w:tr>
    </w:tbl>
    <w:p w:rsidR="006A159E" w:rsidRPr="008527F4" w:rsidRDefault="006A159E" w:rsidP="001713EA">
      <w:pPr>
        <w:pStyle w:val="Heading5"/>
      </w:pPr>
      <w:r w:rsidRPr="008527F4">
        <w:lastRenderedPageBreak/>
        <w:t xml:space="preserve">Option </w:t>
      </w:r>
      <w:r>
        <w:t>B</w:t>
      </w:r>
      <w:r w:rsidRPr="008527F4">
        <w:t xml:space="preserve">: Make </w:t>
      </w:r>
      <w:r w:rsidRPr="00690D48">
        <w:rPr>
          <w:rStyle w:val="Heading5Char"/>
        </w:rPr>
        <w:t>t</w:t>
      </w:r>
      <w:r w:rsidRPr="008527F4">
        <w:t>he obligation to provide details regarding the duty of disclosure the same at both inception and renewal of an eligible contract of insurance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3F3F3"/>
        <w:tblLook w:val="01E0" w:firstRow="1" w:lastRow="1" w:firstColumn="1" w:lastColumn="1" w:noHBand="0" w:noVBand="0"/>
      </w:tblPr>
      <w:tblGrid>
        <w:gridCol w:w="2837"/>
        <w:gridCol w:w="2539"/>
        <w:gridCol w:w="2550"/>
      </w:tblGrid>
      <w:tr w:rsidR="006A159E" w:rsidRPr="00FF1661" w:rsidTr="00E10149">
        <w:tc>
          <w:tcPr>
            <w:tcW w:w="2837" w:type="dxa"/>
            <w:shd w:val="clear" w:color="auto" w:fill="E6E6E6"/>
          </w:tcPr>
          <w:p w:rsidR="006A159E" w:rsidRPr="00FF1661" w:rsidRDefault="006A159E" w:rsidP="001713EA">
            <w:pPr>
              <w:pStyle w:val="TableColumnHeadingCentred"/>
              <w:keepNext/>
            </w:pPr>
          </w:p>
        </w:tc>
        <w:tc>
          <w:tcPr>
            <w:tcW w:w="2539" w:type="dxa"/>
            <w:shd w:val="clear" w:color="auto" w:fill="E6E6E6"/>
          </w:tcPr>
          <w:p w:rsidR="006A159E" w:rsidRPr="00FF1661" w:rsidRDefault="006A159E" w:rsidP="001713EA">
            <w:pPr>
              <w:pStyle w:val="TableColumnHeadingCentred"/>
              <w:keepNext/>
            </w:pPr>
            <w:r w:rsidRPr="00FF1661">
              <w:t>Benefits</w:t>
            </w:r>
          </w:p>
        </w:tc>
        <w:tc>
          <w:tcPr>
            <w:tcW w:w="2550" w:type="dxa"/>
            <w:shd w:val="clear" w:color="auto" w:fill="E6E6E6"/>
          </w:tcPr>
          <w:p w:rsidR="006A159E" w:rsidRPr="00FF1661" w:rsidRDefault="006A159E" w:rsidP="001713EA">
            <w:pPr>
              <w:pStyle w:val="TableColumnHeadingCentred"/>
              <w:keepNext/>
            </w:pPr>
            <w:r w:rsidRPr="00FF1661">
              <w:t>Costs</w:t>
            </w:r>
          </w:p>
        </w:tc>
      </w:tr>
      <w:tr w:rsidR="006A159E" w:rsidRPr="00FF1661" w:rsidTr="00E10149">
        <w:tc>
          <w:tcPr>
            <w:tcW w:w="2837" w:type="dxa"/>
            <w:shd w:val="clear" w:color="auto" w:fill="E6E6E6"/>
          </w:tcPr>
          <w:p w:rsidR="006A159E" w:rsidRPr="00440A85" w:rsidRDefault="006A159E" w:rsidP="0029684A">
            <w:pPr>
              <w:pStyle w:val="TableTextLeft"/>
              <w:spacing w:before="20" w:after="20"/>
              <w:rPr>
                <w:b/>
              </w:rPr>
            </w:pPr>
            <w:r w:rsidRPr="00440A85">
              <w:rPr>
                <w:b/>
              </w:rPr>
              <w:t>Insurers</w:t>
            </w:r>
          </w:p>
        </w:tc>
        <w:tc>
          <w:tcPr>
            <w:tcW w:w="2539" w:type="dxa"/>
            <w:shd w:val="clear" w:color="auto" w:fill="E6E6E6"/>
          </w:tcPr>
          <w:p w:rsidR="006A159E" w:rsidRPr="001713EA" w:rsidRDefault="006A159E" w:rsidP="001713EA">
            <w:pPr>
              <w:pStyle w:val="TableTextLeft"/>
            </w:pPr>
            <w:r>
              <w:t>Insurers</w:t>
            </w:r>
            <w:r w:rsidRPr="008527F4">
              <w:t xml:space="preserve"> </w:t>
            </w:r>
            <w:r>
              <w:t>would receive better information</w:t>
            </w:r>
            <w:r w:rsidRPr="008527F4">
              <w:t xml:space="preserve"> about the risks associated with renewal of a</w:t>
            </w:r>
            <w:r>
              <w:t xml:space="preserve"> particular eligible contract [1</w:t>
            </w:r>
            <w:r w:rsidRPr="008527F4">
              <w:t>]</w:t>
            </w:r>
            <w:r w:rsidR="00062686">
              <w:t>.</w:t>
            </w:r>
          </w:p>
        </w:tc>
        <w:tc>
          <w:tcPr>
            <w:tcW w:w="2550" w:type="dxa"/>
            <w:shd w:val="clear" w:color="auto" w:fill="E6E6E6"/>
          </w:tcPr>
          <w:p w:rsidR="006A159E" w:rsidRPr="00FF1661" w:rsidRDefault="006A159E" w:rsidP="001713EA">
            <w:pPr>
              <w:pStyle w:val="TableTextLeft"/>
            </w:pPr>
            <w:r>
              <w:t>Changes to administrative procedures for renewals of eligible contracts that could, for some insurers, involve significant costs</w:t>
            </w:r>
            <w:r w:rsidRPr="002812A4">
              <w:t xml:space="preserve"> [</w:t>
            </w:r>
            <w:r w:rsidR="00214D95">
              <w:noBreakHyphen/>
            </w:r>
            <w:r>
              <w:t>2</w:t>
            </w:r>
            <w:r w:rsidRPr="002812A4">
              <w:t>]</w:t>
            </w:r>
            <w:r w:rsidR="00062686">
              <w:t>.</w:t>
            </w:r>
          </w:p>
        </w:tc>
      </w:tr>
      <w:tr w:rsidR="006A159E" w:rsidRPr="00FF1661" w:rsidTr="00E10149">
        <w:tc>
          <w:tcPr>
            <w:tcW w:w="2837" w:type="dxa"/>
            <w:shd w:val="clear" w:color="auto" w:fill="E6E6E6"/>
          </w:tcPr>
          <w:p w:rsidR="006A159E" w:rsidRPr="00440A85" w:rsidRDefault="006A159E" w:rsidP="0029684A">
            <w:pPr>
              <w:pStyle w:val="TableTextLeft"/>
              <w:spacing w:before="20" w:after="20"/>
              <w:rPr>
                <w:b/>
              </w:rPr>
            </w:pPr>
            <w:r w:rsidRPr="00440A85">
              <w:rPr>
                <w:b/>
              </w:rPr>
              <w:t>Insureds</w:t>
            </w:r>
          </w:p>
        </w:tc>
        <w:tc>
          <w:tcPr>
            <w:tcW w:w="2539" w:type="dxa"/>
            <w:shd w:val="clear" w:color="auto" w:fill="E6E6E6"/>
          </w:tcPr>
          <w:p w:rsidR="006A159E" w:rsidRPr="002812A4" w:rsidRDefault="006A159E" w:rsidP="001713EA">
            <w:pPr>
              <w:pStyle w:val="TableTextLeft"/>
            </w:pPr>
            <w:r>
              <w:t>I</w:t>
            </w:r>
            <w:r w:rsidRPr="002812A4">
              <w:t xml:space="preserve">nsureds </w:t>
            </w:r>
            <w:r>
              <w:t>would no longer face denial of a claim because they did not</w:t>
            </w:r>
            <w:r w:rsidRPr="002812A4">
              <w:t xml:space="preserve"> realise that the duty of disclosure applies on renewal of an insurance contract [</w:t>
            </w:r>
            <w:r>
              <w:t>3</w:t>
            </w:r>
            <w:r w:rsidRPr="002812A4">
              <w:t>]</w:t>
            </w:r>
            <w:r w:rsidR="00062686">
              <w:t>.</w:t>
            </w:r>
          </w:p>
        </w:tc>
        <w:tc>
          <w:tcPr>
            <w:tcW w:w="2550" w:type="dxa"/>
            <w:shd w:val="clear" w:color="auto" w:fill="E6E6E6"/>
          </w:tcPr>
          <w:p w:rsidR="006A159E" w:rsidRPr="00FF1661" w:rsidRDefault="006A159E" w:rsidP="001713EA">
            <w:pPr>
              <w:pStyle w:val="TableTextLeft"/>
            </w:pPr>
            <w:r>
              <w:t>Possible increases in premiums passed on by some insurers due to increased costs [</w:t>
            </w:r>
            <w:r w:rsidR="00214D95">
              <w:noBreakHyphen/>
            </w:r>
            <w:r>
              <w:t>1]</w:t>
            </w:r>
            <w:r w:rsidR="00062686">
              <w:t>.</w:t>
            </w:r>
          </w:p>
        </w:tc>
      </w:tr>
      <w:tr w:rsidR="006A159E" w:rsidRPr="00FF1661" w:rsidTr="00E10149">
        <w:tc>
          <w:tcPr>
            <w:tcW w:w="2837" w:type="dxa"/>
            <w:shd w:val="clear" w:color="auto" w:fill="E6E6E6"/>
          </w:tcPr>
          <w:p w:rsidR="006A159E" w:rsidRPr="00440A85" w:rsidRDefault="006A159E" w:rsidP="0029684A">
            <w:pPr>
              <w:pStyle w:val="TableTextLeft"/>
              <w:spacing w:before="20" w:after="20"/>
              <w:rPr>
                <w:b/>
              </w:rPr>
            </w:pPr>
            <w:r w:rsidRPr="00440A85">
              <w:rPr>
                <w:b/>
              </w:rPr>
              <w:t>Government/regulators</w:t>
            </w:r>
          </w:p>
        </w:tc>
        <w:tc>
          <w:tcPr>
            <w:tcW w:w="2539" w:type="dxa"/>
            <w:shd w:val="clear" w:color="auto" w:fill="E6E6E6"/>
          </w:tcPr>
          <w:p w:rsidR="006A159E" w:rsidRPr="008527F4" w:rsidRDefault="006A159E" w:rsidP="001713EA">
            <w:pPr>
              <w:pStyle w:val="TableTextLeft"/>
            </w:pPr>
            <w:r>
              <w:t>Reduction in</w:t>
            </w:r>
            <w:r w:rsidRPr="008527F4">
              <w:t xml:space="preserve"> dispute resolution regarding the disclosure requirements </w:t>
            </w:r>
            <w:r>
              <w:t xml:space="preserve">on renewal of eligible contracts </w:t>
            </w:r>
            <w:r w:rsidRPr="008527F4">
              <w:t>[1]</w:t>
            </w:r>
            <w:r w:rsidR="00062686">
              <w:t>.</w:t>
            </w:r>
          </w:p>
        </w:tc>
        <w:tc>
          <w:tcPr>
            <w:tcW w:w="2550" w:type="dxa"/>
            <w:shd w:val="clear" w:color="auto" w:fill="E6E6E6"/>
          </w:tcPr>
          <w:p w:rsidR="006A159E" w:rsidRPr="00FF1661" w:rsidRDefault="006A159E" w:rsidP="001713EA">
            <w:pPr>
              <w:pStyle w:val="TableTextLeft"/>
            </w:pPr>
          </w:p>
        </w:tc>
      </w:tr>
      <w:tr w:rsidR="006A159E" w:rsidRPr="00FF1661" w:rsidTr="00E10149">
        <w:tc>
          <w:tcPr>
            <w:tcW w:w="2837" w:type="dxa"/>
            <w:shd w:val="clear" w:color="auto" w:fill="E6E6E6"/>
          </w:tcPr>
          <w:p w:rsidR="006A159E" w:rsidRPr="00440A85" w:rsidRDefault="006A159E" w:rsidP="0029684A">
            <w:pPr>
              <w:pStyle w:val="TableTextLeft"/>
              <w:rPr>
                <w:b/>
              </w:rPr>
            </w:pPr>
            <w:r w:rsidRPr="00440A85">
              <w:rPr>
                <w:b/>
              </w:rPr>
              <w:t>Sub</w:t>
            </w:r>
            <w:r w:rsidR="00214D95">
              <w:rPr>
                <w:b/>
              </w:rPr>
              <w:noBreakHyphen/>
            </w:r>
            <w:r w:rsidRPr="00440A85">
              <w:rPr>
                <w:b/>
              </w:rPr>
              <w:t>rating</w:t>
            </w:r>
          </w:p>
        </w:tc>
        <w:tc>
          <w:tcPr>
            <w:tcW w:w="2539" w:type="dxa"/>
            <w:shd w:val="clear" w:color="auto" w:fill="E6E6E6"/>
          </w:tcPr>
          <w:p w:rsidR="006A159E" w:rsidRPr="00440A85" w:rsidRDefault="006A159E" w:rsidP="0029684A">
            <w:pPr>
              <w:pStyle w:val="TableTextLeft"/>
              <w:ind w:right="95"/>
              <w:jc w:val="center"/>
              <w:rPr>
                <w:b/>
              </w:rPr>
            </w:pPr>
            <w:r w:rsidRPr="00440A85">
              <w:rPr>
                <w:b/>
              </w:rPr>
              <w:t>+5</w:t>
            </w:r>
          </w:p>
        </w:tc>
        <w:tc>
          <w:tcPr>
            <w:tcW w:w="2550" w:type="dxa"/>
            <w:shd w:val="clear" w:color="auto" w:fill="E6E6E6"/>
          </w:tcPr>
          <w:p w:rsidR="006A159E" w:rsidRPr="00440A85" w:rsidRDefault="00214D95" w:rsidP="0029684A">
            <w:pPr>
              <w:pStyle w:val="TableTextLeft"/>
              <w:jc w:val="center"/>
              <w:rPr>
                <w:b/>
              </w:rPr>
            </w:pPr>
            <w:r>
              <w:rPr>
                <w:b/>
              </w:rPr>
              <w:noBreakHyphen/>
            </w:r>
            <w:r w:rsidR="006A159E" w:rsidRPr="00440A85">
              <w:rPr>
                <w:b/>
              </w:rPr>
              <w:t>3</w:t>
            </w:r>
          </w:p>
        </w:tc>
      </w:tr>
      <w:tr w:rsidR="006A159E" w:rsidRPr="00FF1661" w:rsidTr="00E10149">
        <w:tc>
          <w:tcPr>
            <w:tcW w:w="2837" w:type="dxa"/>
            <w:shd w:val="clear" w:color="auto" w:fill="E6E6E6"/>
          </w:tcPr>
          <w:p w:rsidR="006A159E" w:rsidRPr="00440A85" w:rsidRDefault="006A159E" w:rsidP="0029684A">
            <w:pPr>
              <w:pStyle w:val="TableTextLeft"/>
              <w:rPr>
                <w:b/>
              </w:rPr>
            </w:pPr>
            <w:r w:rsidRPr="00440A85">
              <w:rPr>
                <w:b/>
              </w:rPr>
              <w:t>Overall rating</w:t>
            </w:r>
          </w:p>
        </w:tc>
        <w:tc>
          <w:tcPr>
            <w:tcW w:w="5089" w:type="dxa"/>
            <w:gridSpan w:val="2"/>
            <w:shd w:val="clear" w:color="auto" w:fill="E6E6E6"/>
          </w:tcPr>
          <w:p w:rsidR="006A159E" w:rsidRPr="00440A85" w:rsidRDefault="006A159E" w:rsidP="0029684A">
            <w:pPr>
              <w:pStyle w:val="TableTextLeft"/>
              <w:jc w:val="center"/>
              <w:rPr>
                <w:b/>
              </w:rPr>
            </w:pPr>
            <w:r w:rsidRPr="00440A85">
              <w:rPr>
                <w:b/>
              </w:rPr>
              <w:t>+2</w:t>
            </w:r>
          </w:p>
        </w:tc>
      </w:tr>
    </w:tbl>
    <w:p w:rsidR="006A159E" w:rsidRPr="008527F4" w:rsidRDefault="006A159E" w:rsidP="001713EA">
      <w:pPr>
        <w:pStyle w:val="Heading4"/>
        <w:spacing w:before="360"/>
      </w:pPr>
      <w:bookmarkStart w:id="37" w:name="_Toc255909316"/>
      <w:r w:rsidRPr="008527F4">
        <w:t>Consultation</w:t>
      </w:r>
      <w:bookmarkEnd w:id="37"/>
    </w:p>
    <w:p w:rsidR="006A159E" w:rsidRPr="008527F4" w:rsidRDefault="006A159E" w:rsidP="006A159E">
      <w:pPr>
        <w:pStyle w:val="base-text-paragraph"/>
      </w:pPr>
      <w:r w:rsidRPr="008527F4">
        <w:t xml:space="preserve">In submissions to the </w:t>
      </w:r>
      <w:r>
        <w:t>Review Panel</w:t>
      </w:r>
      <w:r w:rsidRPr="008527F4">
        <w:t xml:space="preserve">, a consumer representative body and a legal aid commission expressed support for the amendment proposed in Option </w:t>
      </w:r>
      <w:r>
        <w:t>B</w:t>
      </w:r>
      <w:r w:rsidR="00214D95">
        <w:t xml:space="preserve">.  </w:t>
      </w:r>
      <w:r w:rsidRPr="008527F4">
        <w:t>The legal aid commission noted that, in its experience, many insureds were unaware of their duty of disclosure obligations on renewal and assumed that it was an automatic process, subject to payment of the premium</w:t>
      </w:r>
      <w:r w:rsidR="00214D95">
        <w:t xml:space="preserve">.  </w:t>
      </w:r>
      <w:r w:rsidRPr="008527F4">
        <w:t xml:space="preserve">Insurance broker representatives submitted the </w:t>
      </w:r>
      <w:r>
        <w:t>ICA</w:t>
      </w:r>
      <w:r w:rsidRPr="008527F4">
        <w:t xml:space="preserve"> should be amended so that insurers must make clear in any renewals the consequences of non</w:t>
      </w:r>
      <w:r w:rsidR="00214D95">
        <w:noBreakHyphen/>
      </w:r>
      <w:r w:rsidRPr="008527F4">
        <w:t>disclosure.</w:t>
      </w:r>
    </w:p>
    <w:p w:rsidR="006A159E" w:rsidRPr="008527F4" w:rsidRDefault="006A159E" w:rsidP="006A159E">
      <w:pPr>
        <w:pStyle w:val="base-text-paragraph"/>
      </w:pPr>
      <w:r w:rsidRPr="008527F4">
        <w:t xml:space="preserve">General insurer representatives submitted that requiring </w:t>
      </w:r>
      <w:r>
        <w:t>insurers to ask specific questions</w:t>
      </w:r>
      <w:r w:rsidRPr="008527F4">
        <w:t xml:space="preserve"> on renewal would result in significant increases in the costs incurred by insurers.</w:t>
      </w:r>
      <w:r>
        <w:rPr>
          <w:rStyle w:val="FootnoteReference"/>
        </w:rPr>
        <w:footnoteReference w:id="6"/>
      </w:r>
      <w:r w:rsidRPr="008527F4">
        <w:t xml:space="preserve"> </w:t>
      </w:r>
      <w:r>
        <w:t xml:space="preserve"> </w:t>
      </w:r>
      <w:r w:rsidRPr="008527F4">
        <w:t>The additional costs would</w:t>
      </w:r>
      <w:r>
        <w:t xml:space="preserve"> ultimately </w:t>
      </w:r>
      <w:r w:rsidRPr="008527F4">
        <w:t>be passed on to insureds.</w:t>
      </w:r>
    </w:p>
    <w:p w:rsidR="006A159E" w:rsidRPr="008527F4" w:rsidRDefault="006A159E" w:rsidP="006A159E">
      <w:pPr>
        <w:pStyle w:val="Heading4"/>
      </w:pPr>
      <w:bookmarkStart w:id="38" w:name="_Toc255909317"/>
      <w:r w:rsidRPr="008527F4">
        <w:t>Conclusions and recommended options</w:t>
      </w:r>
      <w:bookmarkEnd w:id="38"/>
    </w:p>
    <w:p w:rsidR="006A159E" w:rsidRDefault="006A159E" w:rsidP="006A159E">
      <w:pPr>
        <w:pStyle w:val="base-text-paragraph"/>
      </w:pPr>
      <w:r w:rsidRPr="00B935C1">
        <w:t xml:space="preserve">Option </w:t>
      </w:r>
      <w:r>
        <w:t>B</w:t>
      </w:r>
      <w:r w:rsidRPr="00B935C1">
        <w:t xml:space="preserve"> would result in the duty of disclosure obligations (such as the requirement to ask specific questions for eligible contracts) applying at renewal, as well as inception</w:t>
      </w:r>
      <w:r w:rsidR="00214D95">
        <w:t xml:space="preserve">.  </w:t>
      </w:r>
    </w:p>
    <w:p w:rsidR="006A159E" w:rsidRPr="008527F4" w:rsidRDefault="006A159E" w:rsidP="006A159E">
      <w:pPr>
        <w:pStyle w:val="base-text-paragraph"/>
      </w:pPr>
      <w:r w:rsidRPr="008527F4">
        <w:lastRenderedPageBreak/>
        <w:t xml:space="preserve">If Option </w:t>
      </w:r>
      <w:r>
        <w:t>B</w:t>
      </w:r>
      <w:r w:rsidRPr="008527F4">
        <w:t xml:space="preserve"> were adopted:</w:t>
      </w:r>
    </w:p>
    <w:p w:rsidR="006A159E" w:rsidRPr="008527F4" w:rsidRDefault="006A159E" w:rsidP="006A159E">
      <w:pPr>
        <w:pStyle w:val="dotpoint"/>
      </w:pPr>
      <w:r w:rsidRPr="008527F4">
        <w:t xml:space="preserve">insurers would be better advised of factors affecting the risk associated with a particular contract of insurance; and </w:t>
      </w:r>
    </w:p>
    <w:p w:rsidR="006A159E" w:rsidRPr="008527F4" w:rsidRDefault="006A159E" w:rsidP="006A159E">
      <w:pPr>
        <w:pStyle w:val="dotpoint"/>
      </w:pPr>
      <w:r w:rsidRPr="008527F4">
        <w:t>insureds would be less likely to be disadvantaged when making a claim because they failed to disclose adequately on renewal.</w:t>
      </w:r>
    </w:p>
    <w:p w:rsidR="006A159E" w:rsidRDefault="006A159E" w:rsidP="006A159E">
      <w:pPr>
        <w:pStyle w:val="base-text-paragraph"/>
      </w:pPr>
      <w:r w:rsidRPr="008527F4">
        <w:t xml:space="preserve">However, the change </w:t>
      </w:r>
      <w:r>
        <w:t>would</w:t>
      </w:r>
      <w:r w:rsidRPr="008527F4">
        <w:t xml:space="preserve"> result in costs for insurers because they would need to ask insureds to update answers provided at inception of the contract, or on last renewa</w:t>
      </w:r>
      <w:r>
        <w:t>l</w:t>
      </w:r>
      <w:r w:rsidRPr="008527F4">
        <w:t>, rather than relying on the general duty of disclosure in section 21</w:t>
      </w:r>
      <w:r>
        <w:t xml:space="preserve"> of the ICA</w:t>
      </w:r>
      <w:r w:rsidR="00214D95">
        <w:t xml:space="preserve">.  </w:t>
      </w:r>
      <w:r w:rsidRPr="008527F4">
        <w:t xml:space="preserve">Notwithstanding the prospect of increased administrative costs, Option </w:t>
      </w:r>
      <w:r>
        <w:t>B</w:t>
      </w:r>
      <w:r w:rsidRPr="008527F4">
        <w:t xml:space="preserve"> is recommended because</w:t>
      </w:r>
      <w:r>
        <w:t>:</w:t>
      </w:r>
    </w:p>
    <w:p w:rsidR="006A159E" w:rsidRPr="000579BB" w:rsidRDefault="006A159E" w:rsidP="006A159E">
      <w:pPr>
        <w:pStyle w:val="dotpoint"/>
      </w:pPr>
      <w:r>
        <w:t>some general insurers either do not seek to rely on the duty of disclosure on renewal for lines of eligible contracts, or already adopt the practice of seeking an update to answers provided previously, so the potential for increased costs to insureds involved in changing process</w:t>
      </w:r>
      <w:r w:rsidRPr="000579BB">
        <w:t>es would depend on the systems processes individual insurers have in place for handling renewals where practices such as these are not currently employed; and</w:t>
      </w:r>
    </w:p>
    <w:p w:rsidR="006A159E" w:rsidRPr="008527F4" w:rsidRDefault="006A159E" w:rsidP="006A159E">
      <w:pPr>
        <w:pStyle w:val="dotpoint"/>
      </w:pPr>
      <w:r w:rsidRPr="008527F4">
        <w:t xml:space="preserve">the measure would avoid the possibility of </w:t>
      </w:r>
      <w:r w:rsidRPr="00B935C1">
        <w:t>significant detriment for insureds</w:t>
      </w:r>
      <w:r w:rsidRPr="008527F4">
        <w:t xml:space="preserve"> as a result of a failure to comply with the general duty of disclosure obligations applying on renewal, due to ignorance about their existence.</w:t>
      </w:r>
    </w:p>
    <w:p w:rsidR="006A159E" w:rsidRPr="008527F4" w:rsidRDefault="006A159E" w:rsidP="006A159E">
      <w:pPr>
        <w:pStyle w:val="Heading3"/>
      </w:pPr>
      <w:bookmarkStart w:id="39" w:name="_Toc255909318"/>
      <w:bookmarkStart w:id="40" w:name="_Toc338331860"/>
      <w:r w:rsidRPr="008527F4">
        <w:t>Notification of duty of disclosure</w:t>
      </w:r>
      <w:bookmarkEnd w:id="39"/>
      <w:bookmarkEnd w:id="40"/>
    </w:p>
    <w:p w:rsidR="006A159E" w:rsidRPr="008527F4" w:rsidRDefault="006A159E" w:rsidP="006A159E">
      <w:pPr>
        <w:pStyle w:val="Heading4"/>
      </w:pPr>
      <w:bookmarkStart w:id="41" w:name="_Toc255909319"/>
      <w:r w:rsidRPr="008527F4">
        <w:t>Problem</w:t>
      </w:r>
      <w:bookmarkEnd w:id="41"/>
    </w:p>
    <w:p w:rsidR="006A159E" w:rsidRDefault="006A159E" w:rsidP="006A159E">
      <w:pPr>
        <w:pStyle w:val="base-text-paragraph"/>
      </w:pPr>
      <w:r w:rsidRPr="008527F4">
        <w:t xml:space="preserve">Section 22 of the </w:t>
      </w:r>
      <w:r>
        <w:t>ICA</w:t>
      </w:r>
      <w:r w:rsidRPr="008527F4">
        <w:t xml:space="preserve"> requires insurers to clearly inform prospective insureds of the general nature and effect of the duty of disclosure before the insured enters the relevant contract of insurance</w:t>
      </w:r>
      <w:r w:rsidR="00214D95">
        <w:t xml:space="preserve">.  </w:t>
      </w:r>
    </w:p>
    <w:p w:rsidR="006A159E" w:rsidRDefault="006A159E" w:rsidP="001713EA">
      <w:pPr>
        <w:pStyle w:val="base-text-paragraph"/>
        <w:spacing w:after="100"/>
      </w:pPr>
      <w:r w:rsidRPr="008527F4">
        <w:t xml:space="preserve">A legal aid commission noted in a submission to the </w:t>
      </w:r>
      <w:r>
        <w:t>Review Panel</w:t>
      </w:r>
      <w:r w:rsidRPr="008527F4">
        <w:t xml:space="preserve"> that, in its experience, many insureds assume they have complied with their duty of disclosure obligations when they disclose all facts known to the insured at the time of filling out a proposal form or answering an insurer</w:t>
      </w:r>
      <w:r w:rsidR="00035750">
        <w:t>’</w:t>
      </w:r>
      <w:r w:rsidRPr="008527F4">
        <w:t>s questions during a preliminary telephone application interview</w:t>
      </w:r>
      <w:r w:rsidR="00214D95">
        <w:t xml:space="preserve">.  </w:t>
      </w:r>
      <w:r>
        <w:t>However, m</w:t>
      </w:r>
      <w:r w:rsidRPr="008527F4">
        <w:t>atters that are relevant to the insurer</w:t>
      </w:r>
      <w:r w:rsidR="00035750">
        <w:t>’</w:t>
      </w:r>
      <w:r w:rsidRPr="008527F4">
        <w:t>s decision to accept the risk and enter the contract may arise after the date of application for the policy and the date it comes into effect</w:t>
      </w:r>
      <w:r>
        <w:t>, for example, significant changes in the state of an insured</w:t>
      </w:r>
      <w:r w:rsidR="00035750">
        <w:t>’</w:t>
      </w:r>
      <w:r>
        <w:t>s or a life insured</w:t>
      </w:r>
      <w:r w:rsidR="00035750">
        <w:t>’</w:t>
      </w:r>
      <w:r>
        <w:t>s health</w:t>
      </w:r>
      <w:r w:rsidR="00214D95">
        <w:t xml:space="preserve">.  </w:t>
      </w:r>
      <w:r>
        <w:t>It</w:t>
      </w:r>
      <w:r w:rsidRPr="008527F4">
        <w:t xml:space="preserve"> is quite common for insureds to fail to disclose such matters because they </w:t>
      </w:r>
      <w:r w:rsidRPr="008527F4">
        <w:lastRenderedPageBreak/>
        <w:t>mistakenly believe they a</w:t>
      </w:r>
      <w:r>
        <w:t>re under no obligation to do so</w:t>
      </w:r>
      <w:r w:rsidR="00214D95">
        <w:t xml:space="preserve">.  </w:t>
      </w:r>
      <w:r>
        <w:rPr>
          <w:color w:val="000000"/>
        </w:rPr>
        <w:t>Ignorance about the duration and scope of the duty of disclosure was a common misconception.</w:t>
      </w:r>
      <w:r>
        <w:rPr>
          <w:rStyle w:val="FootnoteReference"/>
        </w:rPr>
        <w:footnoteReference w:id="7"/>
      </w:r>
    </w:p>
    <w:p w:rsidR="006A159E" w:rsidRDefault="006A159E" w:rsidP="001713EA">
      <w:pPr>
        <w:pStyle w:val="base-text-paragraph"/>
        <w:spacing w:before="100" w:after="100"/>
      </w:pPr>
      <w:r>
        <w:t>Thus, many insureds will inadvertently fail to disclose facts that may come to light after the insured completes the proposal process but before the contract of insurance comes into effect and, as a consequence, may be in breach of their duty of disclosure</w:t>
      </w:r>
      <w:r w:rsidR="00214D95">
        <w:t xml:space="preserve">.  </w:t>
      </w:r>
      <w:r>
        <w:t>The result of such ignorance on the part of some insureds, coupled with prolonged delays between application and the issuing of the insurance policy (t</w:t>
      </w:r>
      <w:r w:rsidRPr="008527F4">
        <w:t xml:space="preserve">he </w:t>
      </w:r>
      <w:r>
        <w:t>Review Panel</w:t>
      </w:r>
      <w:r w:rsidRPr="008527F4">
        <w:t xml:space="preserve"> was made aware that in some circumstances the time between providing the relevant disclosure and the commencement of the contract of insurance can be some months</w:t>
      </w:r>
      <w:r>
        <w:t>), may mean that claims and even entire policies may be jeopardized to the serious detriment of insureds or their dependants and beneficiaries</w:t>
      </w:r>
      <w:r w:rsidR="00214D95">
        <w:t xml:space="preserve">.  </w:t>
      </w:r>
      <w:r w:rsidRPr="00E704E0">
        <w:rPr>
          <w:bCs/>
          <w:color w:val="000000"/>
        </w:rPr>
        <w:t xml:space="preserve">This is particularly important for beneficiaries of insurance linked to superannuation and dependants receiving or expecting to receive death benefits from </w:t>
      </w:r>
      <w:r>
        <w:rPr>
          <w:bCs/>
          <w:color w:val="000000"/>
        </w:rPr>
        <w:t xml:space="preserve">life </w:t>
      </w:r>
      <w:r w:rsidRPr="00E704E0">
        <w:rPr>
          <w:bCs/>
          <w:color w:val="000000"/>
        </w:rPr>
        <w:t>insurance policies applied for years prior to a claim being made on the policy</w:t>
      </w:r>
      <w:r>
        <w:rPr>
          <w:bCs/>
          <w:color w:val="000000"/>
        </w:rPr>
        <w:t>.</w:t>
      </w:r>
    </w:p>
    <w:p w:rsidR="004616DF" w:rsidRDefault="004616DF" w:rsidP="001713EA">
      <w:pPr>
        <w:pStyle w:val="base-text-paragraph"/>
        <w:spacing w:before="100" w:after="100"/>
        <w:rPr>
          <w:color w:val="000000"/>
        </w:rPr>
        <w:sectPr w:rsidR="004616DF" w:rsidSect="009F4BFE">
          <w:headerReference w:type="even" r:id="rId37"/>
          <w:headerReference w:type="default" r:id="rId38"/>
          <w:footerReference w:type="even" r:id="rId39"/>
          <w:footerReference w:type="default" r:id="rId40"/>
          <w:footerReference w:type="first" r:id="rId41"/>
          <w:type w:val="oddPage"/>
          <w:pgSz w:w="11906" w:h="16838" w:code="9"/>
          <w:pgMar w:top="2466" w:right="2098" w:bottom="2466" w:left="2098" w:header="1559" w:footer="1899" w:gutter="0"/>
          <w:cols w:space="708"/>
          <w:titlePg/>
          <w:docGrid w:linePitch="360"/>
        </w:sectPr>
      </w:pPr>
    </w:p>
    <w:p w:rsidR="006A159E" w:rsidRDefault="006A159E" w:rsidP="001713EA">
      <w:pPr>
        <w:pStyle w:val="base-text-paragraph"/>
        <w:spacing w:before="100" w:after="100"/>
      </w:pPr>
      <w:r>
        <w:rPr>
          <w:color w:val="000000"/>
        </w:rPr>
        <w:lastRenderedPageBreak/>
        <w:t>Instances of disputes involving alleged breaches of disclosure (bot</w:t>
      </w:r>
      <w:r>
        <w:t>h</w:t>
      </w:r>
      <w:r>
        <w:rPr>
          <w:color w:val="000000"/>
        </w:rPr>
        <w:t xml:space="preserve"> innocent and fraudulent) wher</w:t>
      </w:r>
      <w:r>
        <w:t>e</w:t>
      </w:r>
      <w:r>
        <w:rPr>
          <w:color w:val="000000"/>
        </w:rPr>
        <w:t xml:space="preserve"> prolonged delays occurred have arisen before the life insurance and superannuation external dispute resolution schemes, in particular, the former Financial Industry Complaints Service (FICS)</w:t>
      </w:r>
      <w:r w:rsidR="0014053A">
        <w:rPr>
          <w:color w:val="000000"/>
        </w:rPr>
        <w:t xml:space="preserve"> — </w:t>
      </w:r>
      <w:r>
        <w:rPr>
          <w:color w:val="000000"/>
        </w:rPr>
        <w:t>now part of the Financial Ombudsman Service) and the Superannuation Complaints Tribunal</w:t>
      </w:r>
      <w:r w:rsidR="00214D95">
        <w:rPr>
          <w:color w:val="000000"/>
        </w:rPr>
        <w:t xml:space="preserve">.  </w:t>
      </w:r>
      <w:r>
        <w:rPr>
          <w:color w:val="000000"/>
        </w:rPr>
        <w:t>Cases have also arisen before the Australian courts involving ignorance of the extent of the insured</w:t>
      </w:r>
      <w:r w:rsidR="00035750">
        <w:rPr>
          <w:color w:val="000000"/>
        </w:rPr>
        <w:t>’</w:t>
      </w:r>
      <w:r>
        <w:rPr>
          <w:color w:val="000000"/>
        </w:rPr>
        <w:t>s duty of disclosure where delays have been found to be a factor in disputes involving alleged breaches of the duty.</w:t>
      </w:r>
      <w:r>
        <w:rPr>
          <w:rStyle w:val="FootnoteReference"/>
          <w:color w:val="000000"/>
        </w:rPr>
        <w:footnoteReference w:id="8"/>
      </w:r>
    </w:p>
    <w:p w:rsidR="006A159E" w:rsidRPr="006C7973" w:rsidRDefault="006A159E" w:rsidP="006A159E">
      <w:pPr>
        <w:pStyle w:val="base-text-paragraph"/>
      </w:pPr>
      <w:r w:rsidRPr="006C7973">
        <w:t>Delays can be caused by both insurers and insureds</w:t>
      </w:r>
      <w:r w:rsidR="00214D95">
        <w:t xml:space="preserve">.  </w:t>
      </w:r>
      <w:r w:rsidRPr="006C7973">
        <w:rPr>
          <w:color w:val="000000"/>
        </w:rPr>
        <w:t>The problem tends to occur more frequently in certain lines of business, for example, in life insurance and in directors</w:t>
      </w:r>
      <w:r w:rsidR="00035750">
        <w:rPr>
          <w:color w:val="000000"/>
        </w:rPr>
        <w:t>’</w:t>
      </w:r>
      <w:r w:rsidRPr="006C7973">
        <w:rPr>
          <w:color w:val="000000"/>
        </w:rPr>
        <w:t xml:space="preserve"> and officers</w:t>
      </w:r>
      <w:r w:rsidR="00035750">
        <w:rPr>
          <w:color w:val="000000"/>
        </w:rPr>
        <w:t>’</w:t>
      </w:r>
      <w:r w:rsidRPr="006C7973">
        <w:rPr>
          <w:color w:val="000000"/>
        </w:rPr>
        <w:t xml:space="preserve"> (D&amp;O) liability insurance, mainly because of the extended nature of the assessment process in those business lines</w:t>
      </w:r>
      <w:r w:rsidR="00214D95">
        <w:rPr>
          <w:color w:val="000000"/>
        </w:rPr>
        <w:t xml:space="preserve">.  </w:t>
      </w:r>
      <w:r w:rsidRPr="006C7973">
        <w:t>Delays may be caused by the insurer where time–consuming processes are involved, such as, example, collecting declarations from directors for D&amp;O liability insurance or collecting medical disclosures in relation to life insurance policies</w:t>
      </w:r>
      <w:r w:rsidR="00214D95">
        <w:t xml:space="preserve">.  </w:t>
      </w:r>
      <w:r w:rsidRPr="006C7973">
        <w:t>Delays may also be caused when negotiations are extended where the insurer makes a counter</w:t>
      </w:r>
      <w:r w:rsidR="00214D95">
        <w:noBreakHyphen/>
      </w:r>
      <w:r w:rsidRPr="006C7973">
        <w:t>offer.</w:t>
      </w:r>
    </w:p>
    <w:p w:rsidR="006A159E" w:rsidRPr="006C7973" w:rsidRDefault="006A159E" w:rsidP="006A159E">
      <w:pPr>
        <w:pStyle w:val="base-text-paragraph"/>
      </w:pPr>
      <w:r w:rsidRPr="006C7973">
        <w:t>Delays may be caused by the insured where, for example, a written application is posted many weeks after the blank application form had been provided to the insured, or where the insured has provided incomplete responses to questions or made mistakes in completing forms or failed to append their signature to a paper form.</w:t>
      </w:r>
    </w:p>
    <w:p w:rsidR="006A159E" w:rsidRPr="008527F4" w:rsidRDefault="006A159E" w:rsidP="006A159E">
      <w:pPr>
        <w:pStyle w:val="base-text-paragraph"/>
      </w:pPr>
      <w:r>
        <w:rPr>
          <w:color w:val="000000"/>
        </w:rPr>
        <w:t>Some of the determinations of the external dispute resolution schemes indicate that the policy/proposal wording used by many insurers is not clear about the scope of the disclosure obligation</w:t>
      </w:r>
      <w:r w:rsidR="00214D95">
        <w:rPr>
          <w:color w:val="000000"/>
        </w:rPr>
        <w:t xml:space="preserve">.  </w:t>
      </w:r>
      <w:r>
        <w:rPr>
          <w:color w:val="000000"/>
        </w:rPr>
        <w:t>The extent to which this may disadvantage consumers is accentuated when delays occur</w:t>
      </w:r>
      <w:r w:rsidR="00214D95">
        <w:rPr>
          <w:color w:val="000000"/>
        </w:rPr>
        <w:t xml:space="preserve">.  </w:t>
      </w:r>
      <w:r>
        <w:rPr>
          <w:color w:val="000000"/>
        </w:rPr>
        <w:t xml:space="preserve">While negative outcomes for consumers may be attenuated by the proposed reform that would require insurers to clearly inform the insured, before a contract is entered into, that their duty of disclosure applies until </w:t>
      </w:r>
      <w:r>
        <w:rPr>
          <w:color w:val="000000"/>
        </w:rPr>
        <w:lastRenderedPageBreak/>
        <w:t>the proposed contract is entered into, this may not of itself alleviate those cases where there is a prolonged delay between the time an application is made and the concluding of the contract, particularly where this is coupled with lack of understanding or ignorance of the insured</w:t>
      </w:r>
      <w:r w:rsidR="00035750">
        <w:rPr>
          <w:color w:val="000000"/>
        </w:rPr>
        <w:t>’</w:t>
      </w:r>
      <w:r>
        <w:rPr>
          <w:color w:val="000000"/>
        </w:rPr>
        <w:t>s duty of disclosure</w:t>
      </w:r>
      <w:r w:rsidR="004616DF">
        <w:rPr>
          <w:color w:val="000000"/>
        </w:rPr>
        <w:t>.</w:t>
      </w:r>
    </w:p>
    <w:p w:rsidR="006A159E" w:rsidRPr="008527F4" w:rsidRDefault="006A159E" w:rsidP="006A159E">
      <w:pPr>
        <w:pStyle w:val="base-text-paragraph"/>
      </w:pPr>
      <w:r w:rsidRPr="008527F4">
        <w:t>If no action is taken, fail</w:t>
      </w:r>
      <w:r>
        <w:t>ure</w:t>
      </w:r>
      <w:r w:rsidRPr="008527F4">
        <w:t xml:space="preserve"> to provide requisite disclosures for events that took place between the date of the initial application and the time the contract was entered</w:t>
      </w:r>
      <w:r>
        <w:t xml:space="preserve"> into</w:t>
      </w:r>
      <w:r w:rsidRPr="00DA6371">
        <w:t xml:space="preserve"> will continue to be one of the reasons</w:t>
      </w:r>
      <w:r>
        <w:t xml:space="preserve"> that</w:t>
      </w:r>
      <w:r w:rsidRPr="004668F5">
        <w:t xml:space="preserve"> </w:t>
      </w:r>
      <w:r>
        <w:t>the claims of some insureds are</w:t>
      </w:r>
      <w:r w:rsidRPr="00DA6371">
        <w:t xml:space="preserve"> jeopardised</w:t>
      </w:r>
      <w:r w:rsidR="00214D95">
        <w:t xml:space="preserve">.  </w:t>
      </w:r>
      <w:r w:rsidRPr="008527F4">
        <w:t xml:space="preserve">The </w:t>
      </w:r>
      <w:r>
        <w:t>Review Panel</w:t>
      </w:r>
      <w:r w:rsidRPr="008527F4">
        <w:t xml:space="preserve"> noted that although some insurers ask the insured immediately prior to the policy coming into effect whether they have anything additional to disclose since filling out the original proposal form, this is not a universal practice.</w:t>
      </w:r>
    </w:p>
    <w:p w:rsidR="006A159E" w:rsidRPr="008527F4" w:rsidRDefault="006A159E" w:rsidP="006A159E">
      <w:pPr>
        <w:pStyle w:val="Heading4"/>
      </w:pPr>
      <w:bookmarkStart w:id="42" w:name="_Toc255909320"/>
      <w:r w:rsidRPr="008527F4">
        <w:t>Objective</w:t>
      </w:r>
      <w:bookmarkEnd w:id="42"/>
    </w:p>
    <w:p w:rsidR="006A159E" w:rsidRPr="008527F4" w:rsidRDefault="006A159E" w:rsidP="006A159E">
      <w:pPr>
        <w:pStyle w:val="base-text-paragraph"/>
      </w:pPr>
      <w:r w:rsidRPr="008527F4">
        <w:t xml:space="preserve">The objective is to ensure, so far as is reasonably possible, that insureds are not disadvantaged </w:t>
      </w:r>
      <w:r>
        <w:t>when</w:t>
      </w:r>
      <w:r w:rsidRPr="008527F4">
        <w:t xml:space="preserve"> a claim arises because they </w:t>
      </w:r>
      <w:r>
        <w:t>did</w:t>
      </w:r>
      <w:r w:rsidRPr="008527F4">
        <w:t xml:space="preserve"> not underst</w:t>
      </w:r>
      <w:r>
        <w:t>an</w:t>
      </w:r>
      <w:r w:rsidRPr="008527F4">
        <w:t>d their duty of disclosure obligations whe</w:t>
      </w:r>
      <w:r>
        <w:t>re</w:t>
      </w:r>
      <w:r w:rsidRPr="008527F4">
        <w:t xml:space="preserve"> there </w:t>
      </w:r>
      <w:r>
        <w:t>wa</w:t>
      </w:r>
      <w:r w:rsidRPr="008527F4">
        <w:t>s a delay between the date they initially applied for</w:t>
      </w:r>
      <w:r>
        <w:t xml:space="preserve"> the</w:t>
      </w:r>
      <w:r w:rsidRPr="008527F4">
        <w:t xml:space="preserve"> insurance and the date the contract was entered into.</w:t>
      </w:r>
    </w:p>
    <w:p w:rsidR="006A159E" w:rsidRPr="008527F4" w:rsidRDefault="006A159E" w:rsidP="006A159E">
      <w:pPr>
        <w:pStyle w:val="Heading4"/>
      </w:pPr>
      <w:bookmarkStart w:id="43" w:name="_Toc255909321"/>
      <w:r w:rsidRPr="008527F4">
        <w:t>Options</w:t>
      </w:r>
      <w:bookmarkEnd w:id="43"/>
    </w:p>
    <w:p w:rsidR="006A159E" w:rsidRPr="008527F4" w:rsidRDefault="006A159E" w:rsidP="006A159E">
      <w:pPr>
        <w:pStyle w:val="Heading5"/>
      </w:pPr>
      <w:r w:rsidRPr="008527F4">
        <w:t xml:space="preserve">Option </w:t>
      </w:r>
      <w:r>
        <w:t>A</w:t>
      </w:r>
      <w:r w:rsidRPr="008527F4">
        <w:t xml:space="preserve">: </w:t>
      </w:r>
      <w:r>
        <w:t>Do nothing</w:t>
      </w:r>
    </w:p>
    <w:p w:rsidR="006A159E" w:rsidRPr="008527F4" w:rsidRDefault="006A159E" w:rsidP="006A159E">
      <w:pPr>
        <w:pStyle w:val="base-text-paragraph"/>
      </w:pPr>
      <w:r w:rsidRPr="008527F4">
        <w:t>This option would retain the current rule that insurers must advise prospective insureds of their duty of disclosure at the time the insured submits an application for insurance</w:t>
      </w:r>
      <w:r w:rsidR="00214D95">
        <w:t xml:space="preserve">.  </w:t>
      </w:r>
      <w:r>
        <w:t>T</w:t>
      </w:r>
      <w:r w:rsidRPr="008527F4">
        <w:t>here is no further requirement for a reminder at the time the policy is issued.</w:t>
      </w:r>
    </w:p>
    <w:p w:rsidR="006A159E" w:rsidRPr="008527F4" w:rsidRDefault="006A159E" w:rsidP="006A159E">
      <w:pPr>
        <w:pStyle w:val="Heading5"/>
      </w:pPr>
      <w:r w:rsidRPr="008527F4">
        <w:t xml:space="preserve">Option </w:t>
      </w:r>
      <w:r>
        <w:t>B</w:t>
      </w:r>
      <w:r w:rsidRPr="008527F4">
        <w:t>: Require insurers to issue reminders concerning the duty of disclosure at the time the relevant contract is issued</w:t>
      </w:r>
    </w:p>
    <w:p w:rsidR="006A159E" w:rsidRPr="008527F4" w:rsidRDefault="006A159E" w:rsidP="006A159E">
      <w:pPr>
        <w:pStyle w:val="base-text-paragraph"/>
      </w:pPr>
      <w:r w:rsidRPr="008527F4">
        <w:t>Under this option, insurers would be required to provide to the insured, at the time the contract of insurance is issued, a reminder that the duty of disclosure continues until the time that the policy is entered into, unless the contract is entered a short time after the person initially applied for insurance.</w:t>
      </w:r>
    </w:p>
    <w:p w:rsidR="006A159E" w:rsidRPr="008527F4" w:rsidRDefault="006A159E" w:rsidP="006A159E">
      <w:pPr>
        <w:pStyle w:val="Heading5"/>
      </w:pPr>
      <w:r w:rsidRPr="008527F4">
        <w:t xml:space="preserve">Option </w:t>
      </w:r>
      <w:r>
        <w:t>C</w:t>
      </w:r>
      <w:r w:rsidRPr="008527F4">
        <w:t>: Require insurers to use clearer language as to when the duty applies in the initial notification</w:t>
      </w:r>
    </w:p>
    <w:p w:rsidR="006A159E" w:rsidRPr="008527F4" w:rsidRDefault="006A159E" w:rsidP="006A159E">
      <w:pPr>
        <w:pStyle w:val="base-text-paragraph"/>
      </w:pPr>
      <w:r w:rsidRPr="008527F4">
        <w:t xml:space="preserve">Under this option, there would be no need for an additional reminder when the policy is issued as proposed by Option </w:t>
      </w:r>
      <w:r>
        <w:t>B</w:t>
      </w:r>
      <w:r w:rsidR="00214D95">
        <w:t xml:space="preserve">.  </w:t>
      </w:r>
      <w:r w:rsidRPr="008527F4">
        <w:t>However, insurers would need to clearly state when explaining the insured</w:t>
      </w:r>
      <w:r w:rsidR="00035750">
        <w:t>’</w:t>
      </w:r>
      <w:r w:rsidRPr="008527F4">
        <w:t xml:space="preserve">s duty of </w:t>
      </w:r>
      <w:r w:rsidRPr="008527F4">
        <w:lastRenderedPageBreak/>
        <w:t>disclosure that it extends until the time the contract</w:t>
      </w:r>
      <w:r>
        <w:t xml:space="preserve"> of insurance </w:t>
      </w:r>
      <w:r w:rsidRPr="008527F4">
        <w:t>is entered into.</w:t>
      </w:r>
    </w:p>
    <w:p w:rsidR="006A159E" w:rsidRPr="008527F4" w:rsidRDefault="006A159E" w:rsidP="005233A1">
      <w:pPr>
        <w:pStyle w:val="Heading4"/>
        <w:spacing w:before="100"/>
      </w:pPr>
      <w:bookmarkStart w:id="44" w:name="_Toc255909322"/>
      <w:r w:rsidRPr="008527F4">
        <w:t>Impact analysis</w:t>
      </w:r>
      <w:bookmarkEnd w:id="44"/>
    </w:p>
    <w:p w:rsidR="006A159E" w:rsidRPr="008527F4" w:rsidRDefault="006A159E" w:rsidP="006A159E">
      <w:pPr>
        <w:pStyle w:val="Heading5"/>
      </w:pPr>
      <w:r w:rsidRPr="008527F4">
        <w:t>Impact group identification</w:t>
      </w:r>
    </w:p>
    <w:p w:rsidR="006A159E" w:rsidRPr="008527F4" w:rsidRDefault="006A159E" w:rsidP="006A159E">
      <w:pPr>
        <w:pStyle w:val="base-text-paragraph"/>
      </w:pPr>
      <w:r w:rsidRPr="008527F4">
        <w:t xml:space="preserve">Affected groups: </w:t>
      </w:r>
    </w:p>
    <w:p w:rsidR="006A159E" w:rsidRPr="008527F4" w:rsidRDefault="006A159E" w:rsidP="006A159E">
      <w:pPr>
        <w:pStyle w:val="dotpoint"/>
      </w:pPr>
      <w:r w:rsidRPr="008527F4">
        <w:t>insurers;</w:t>
      </w:r>
    </w:p>
    <w:p w:rsidR="006A159E" w:rsidRDefault="006A159E" w:rsidP="006A159E">
      <w:pPr>
        <w:pStyle w:val="dotpoint"/>
      </w:pPr>
      <w:r>
        <w:t>insureds (especially those that have claims), including proposed insureds and beneficiaries under policies; and</w:t>
      </w:r>
    </w:p>
    <w:p w:rsidR="006A159E" w:rsidRDefault="006A159E" w:rsidP="006A159E">
      <w:pPr>
        <w:pStyle w:val="dotpoint"/>
      </w:pPr>
      <w:r>
        <w:t>government and regulators, including self</w:t>
      </w:r>
      <w:r w:rsidR="00214D95">
        <w:noBreakHyphen/>
      </w:r>
      <w:r>
        <w:t>regulatory organisations.</w:t>
      </w:r>
    </w:p>
    <w:p w:rsidR="006A159E" w:rsidRPr="008527F4" w:rsidRDefault="006A159E" w:rsidP="005233A1">
      <w:pPr>
        <w:pStyle w:val="Heading4"/>
        <w:spacing w:before="100"/>
      </w:pPr>
      <w:bookmarkStart w:id="45" w:name="_Toc255909323"/>
      <w:r w:rsidRPr="008527F4">
        <w:t>Assessment of costs and benefits</w:t>
      </w:r>
      <w:bookmarkEnd w:id="45"/>
    </w:p>
    <w:p w:rsidR="006A159E" w:rsidRPr="008527F4" w:rsidRDefault="006A159E" w:rsidP="006A159E">
      <w:pPr>
        <w:pStyle w:val="Heading5"/>
      </w:pPr>
      <w:r w:rsidRPr="008527F4">
        <w:t xml:space="preserve">Option </w:t>
      </w:r>
      <w:r>
        <w:t>A</w:t>
      </w:r>
      <w:r w:rsidRPr="008527F4">
        <w:t xml:space="preserve">: </w:t>
      </w:r>
      <w:r>
        <w:t>Do nothing</w:t>
      </w:r>
    </w:p>
    <w:tbl>
      <w:tblPr>
        <w:tblW w:w="0" w:type="auto"/>
        <w:shd w:val="clear" w:color="auto" w:fill="F3F3F3"/>
        <w:tblLook w:val="01E0" w:firstRow="1" w:lastRow="1" w:firstColumn="1" w:lastColumn="1" w:noHBand="0" w:noVBand="0"/>
      </w:tblPr>
      <w:tblGrid>
        <w:gridCol w:w="2837"/>
        <w:gridCol w:w="2539"/>
        <w:gridCol w:w="2550"/>
      </w:tblGrid>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pPr>
          </w:p>
        </w:tc>
        <w:tc>
          <w:tcPr>
            <w:tcW w:w="2539"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pPr>
            <w:r w:rsidRPr="00FF1661">
              <w:t>Benefits</w:t>
            </w:r>
          </w:p>
        </w:tc>
        <w:tc>
          <w:tcPr>
            <w:tcW w:w="2550"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pPr>
            <w:r w:rsidRPr="00FF1661">
              <w:t>Costs</w:t>
            </w: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785000" w:rsidRDefault="006A159E" w:rsidP="0029684A">
            <w:pPr>
              <w:pStyle w:val="TableTextLeft"/>
              <w:spacing w:before="20" w:after="20"/>
              <w:rPr>
                <w:b/>
              </w:rPr>
            </w:pPr>
            <w:r w:rsidRPr="00785000">
              <w:rPr>
                <w:b/>
              </w:rPr>
              <w:t>Insurers</w:t>
            </w:r>
          </w:p>
        </w:tc>
        <w:tc>
          <w:tcPr>
            <w:tcW w:w="2539"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TextLeft"/>
              <w:spacing w:before="20" w:after="20"/>
            </w:pPr>
          </w:p>
        </w:tc>
        <w:tc>
          <w:tcPr>
            <w:tcW w:w="2550"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TextLeft"/>
              <w:spacing w:before="20" w:after="20"/>
            </w:pP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785000" w:rsidRDefault="006A159E" w:rsidP="0029684A">
            <w:pPr>
              <w:pStyle w:val="TableTextLeft"/>
              <w:spacing w:before="20" w:after="20"/>
              <w:rPr>
                <w:b/>
              </w:rPr>
            </w:pPr>
            <w:r w:rsidRPr="00785000">
              <w:rPr>
                <w:b/>
              </w:rPr>
              <w:t>Consumers</w:t>
            </w:r>
          </w:p>
        </w:tc>
        <w:tc>
          <w:tcPr>
            <w:tcW w:w="2539" w:type="dxa"/>
            <w:tcBorders>
              <w:top w:val="single" w:sz="8" w:space="0" w:color="auto"/>
              <w:left w:val="single" w:sz="8" w:space="0" w:color="auto"/>
              <w:bottom w:val="single" w:sz="8" w:space="0" w:color="auto"/>
              <w:right w:val="single" w:sz="8" w:space="0" w:color="auto"/>
            </w:tcBorders>
            <w:shd w:val="clear" w:color="auto" w:fill="E6E6E6"/>
          </w:tcPr>
          <w:p w:rsidR="006A159E" w:rsidRPr="005233A1" w:rsidRDefault="006A159E" w:rsidP="005233A1">
            <w:pPr>
              <w:pStyle w:val="TableTextLeft"/>
            </w:pPr>
          </w:p>
        </w:tc>
        <w:tc>
          <w:tcPr>
            <w:tcW w:w="2550" w:type="dxa"/>
            <w:tcBorders>
              <w:top w:val="single" w:sz="8" w:space="0" w:color="auto"/>
              <w:left w:val="single" w:sz="8" w:space="0" w:color="auto"/>
              <w:bottom w:val="single" w:sz="8" w:space="0" w:color="auto"/>
              <w:right w:val="single" w:sz="8" w:space="0" w:color="auto"/>
            </w:tcBorders>
            <w:shd w:val="clear" w:color="auto" w:fill="E6E6E6"/>
          </w:tcPr>
          <w:p w:rsidR="006A159E" w:rsidRPr="005233A1" w:rsidRDefault="006A159E" w:rsidP="005233A1">
            <w:pPr>
              <w:pStyle w:val="TableTextLeft"/>
            </w:pPr>
            <w:r w:rsidRPr="005233A1">
              <w:t>Claims by some insureds will continue to be jeopardised due to non</w:t>
            </w:r>
            <w:r w:rsidR="00214D95">
              <w:noBreakHyphen/>
            </w:r>
            <w:r w:rsidRPr="005233A1">
              <w:t>disclosure</w:t>
            </w:r>
            <w:r w:rsidR="00062686">
              <w:t>.</w:t>
            </w: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785000" w:rsidRDefault="006A159E" w:rsidP="0029684A">
            <w:pPr>
              <w:pStyle w:val="TableTextLeft"/>
              <w:rPr>
                <w:b/>
              </w:rPr>
            </w:pPr>
            <w:r w:rsidRPr="00785000">
              <w:rPr>
                <w:b/>
              </w:rPr>
              <w:t>Government/regulators</w:t>
            </w:r>
          </w:p>
        </w:tc>
        <w:tc>
          <w:tcPr>
            <w:tcW w:w="2539" w:type="dxa"/>
            <w:tcBorders>
              <w:top w:val="single" w:sz="8" w:space="0" w:color="auto"/>
              <w:left w:val="single" w:sz="8" w:space="0" w:color="auto"/>
              <w:bottom w:val="single" w:sz="8" w:space="0" w:color="auto"/>
              <w:right w:val="single" w:sz="8" w:space="0" w:color="auto"/>
            </w:tcBorders>
            <w:shd w:val="clear" w:color="auto" w:fill="E6E6E6"/>
          </w:tcPr>
          <w:p w:rsidR="006A159E" w:rsidRPr="005233A1" w:rsidRDefault="006A159E" w:rsidP="005233A1">
            <w:pPr>
              <w:pStyle w:val="TableTextLeft"/>
            </w:pPr>
          </w:p>
        </w:tc>
        <w:tc>
          <w:tcPr>
            <w:tcW w:w="2550" w:type="dxa"/>
            <w:tcBorders>
              <w:top w:val="single" w:sz="8" w:space="0" w:color="auto"/>
              <w:left w:val="single" w:sz="8" w:space="0" w:color="auto"/>
              <w:bottom w:val="single" w:sz="8" w:space="0" w:color="auto"/>
              <w:right w:val="single" w:sz="8" w:space="0" w:color="auto"/>
            </w:tcBorders>
            <w:shd w:val="clear" w:color="auto" w:fill="E6E6E6"/>
          </w:tcPr>
          <w:p w:rsidR="006A159E" w:rsidRPr="005233A1" w:rsidRDefault="006A159E" w:rsidP="005233A1">
            <w:pPr>
              <w:pStyle w:val="TableTextLeft"/>
            </w:pPr>
            <w:r w:rsidRPr="005233A1">
              <w:t>Ongoing need to resolve disputes about non</w:t>
            </w:r>
            <w:r w:rsidR="00214D95">
              <w:noBreakHyphen/>
            </w:r>
            <w:r w:rsidRPr="005233A1">
              <w:t>disclosure of events between application and contract</w:t>
            </w:r>
            <w:r w:rsidR="00062686">
              <w:t>.</w:t>
            </w:r>
          </w:p>
        </w:tc>
      </w:tr>
    </w:tbl>
    <w:p w:rsidR="006A159E" w:rsidRPr="008527F4" w:rsidRDefault="006A159E" w:rsidP="005233A1">
      <w:pPr>
        <w:pStyle w:val="Heading5"/>
        <w:spacing w:before="320"/>
      </w:pPr>
      <w:r w:rsidRPr="008527F4">
        <w:t xml:space="preserve">Option </w:t>
      </w:r>
      <w:r>
        <w:t>B</w:t>
      </w:r>
      <w:r w:rsidRPr="008527F4">
        <w:t>: Require an additional reminder at the time the policy is issued</w:t>
      </w:r>
    </w:p>
    <w:tbl>
      <w:tblPr>
        <w:tblW w:w="0" w:type="auto"/>
        <w:shd w:val="clear" w:color="auto" w:fill="F3F3F3"/>
        <w:tblLook w:val="01E0" w:firstRow="1" w:lastRow="1" w:firstColumn="1" w:lastColumn="1" w:noHBand="0" w:noVBand="0"/>
      </w:tblPr>
      <w:tblGrid>
        <w:gridCol w:w="2837"/>
        <w:gridCol w:w="2539"/>
        <w:gridCol w:w="2550"/>
      </w:tblGrid>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pPr>
          </w:p>
        </w:tc>
        <w:tc>
          <w:tcPr>
            <w:tcW w:w="2539"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pPr>
            <w:r w:rsidRPr="00FF1661">
              <w:t>Benefits</w:t>
            </w:r>
          </w:p>
        </w:tc>
        <w:tc>
          <w:tcPr>
            <w:tcW w:w="2550"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pPr>
            <w:r w:rsidRPr="00FF1661">
              <w:t>Costs</w:t>
            </w: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785000" w:rsidRDefault="006A159E" w:rsidP="0029684A">
            <w:pPr>
              <w:pStyle w:val="TableTextLeft"/>
              <w:spacing w:before="20" w:after="20"/>
              <w:rPr>
                <w:b/>
              </w:rPr>
            </w:pPr>
            <w:r w:rsidRPr="00785000">
              <w:rPr>
                <w:b/>
              </w:rPr>
              <w:t>Insurers</w:t>
            </w:r>
          </w:p>
        </w:tc>
        <w:tc>
          <w:tcPr>
            <w:tcW w:w="2539" w:type="dxa"/>
            <w:tcBorders>
              <w:top w:val="single" w:sz="8" w:space="0" w:color="auto"/>
              <w:left w:val="single" w:sz="8" w:space="0" w:color="auto"/>
              <w:bottom w:val="single" w:sz="8" w:space="0" w:color="auto"/>
              <w:right w:val="single" w:sz="8" w:space="0" w:color="auto"/>
            </w:tcBorders>
            <w:shd w:val="clear" w:color="auto" w:fill="E6E6E6"/>
          </w:tcPr>
          <w:p w:rsidR="006A159E" w:rsidRPr="005233A1" w:rsidRDefault="006A159E" w:rsidP="005233A1">
            <w:pPr>
              <w:pStyle w:val="TableTextLeft"/>
            </w:pPr>
            <w:r>
              <w:t>An reminder notification</w:t>
            </w:r>
            <w:r w:rsidRPr="008527F4">
              <w:t xml:space="preserve"> increases the likelihood that insurers will be properly advised of relevant factors necessary to assess risks [</w:t>
            </w:r>
            <w:r>
              <w:t>1</w:t>
            </w:r>
            <w:r w:rsidRPr="008527F4">
              <w:t>]</w:t>
            </w:r>
            <w:r w:rsidR="00062686">
              <w:t>.</w:t>
            </w:r>
          </w:p>
        </w:tc>
        <w:tc>
          <w:tcPr>
            <w:tcW w:w="2550"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5233A1">
            <w:pPr>
              <w:pStyle w:val="TableTextLeft"/>
            </w:pPr>
            <w:r>
              <w:t>Possible a</w:t>
            </w:r>
            <w:r w:rsidRPr="008527F4">
              <w:t>dditional administrative costs</w:t>
            </w:r>
            <w:r w:rsidR="00214D95">
              <w:t xml:space="preserve">.  </w:t>
            </w:r>
            <w:r>
              <w:t xml:space="preserve">Note that some insurers already issue a reminder where delays have occurred </w:t>
            </w:r>
            <w:proofErr w:type="gramStart"/>
            <w:r>
              <w:t>after  the</w:t>
            </w:r>
            <w:proofErr w:type="gramEnd"/>
            <w:r>
              <w:t xml:space="preserve"> initial application</w:t>
            </w:r>
            <w:r w:rsidRPr="008527F4">
              <w:t xml:space="preserve"> [</w:t>
            </w:r>
            <w:r w:rsidR="00214D95">
              <w:noBreakHyphen/>
            </w:r>
            <w:r>
              <w:t>2</w:t>
            </w:r>
            <w:r w:rsidRPr="008527F4">
              <w:t>]</w:t>
            </w:r>
            <w:r w:rsidR="00062686">
              <w:t>.</w:t>
            </w: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785000" w:rsidRDefault="006A159E" w:rsidP="0029684A">
            <w:pPr>
              <w:pStyle w:val="TableTextLeft"/>
              <w:spacing w:before="20" w:after="20"/>
              <w:rPr>
                <w:b/>
              </w:rPr>
            </w:pPr>
            <w:r w:rsidRPr="00785000">
              <w:rPr>
                <w:b/>
              </w:rPr>
              <w:t>Insureds</w:t>
            </w:r>
          </w:p>
        </w:tc>
        <w:tc>
          <w:tcPr>
            <w:tcW w:w="2539"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5233A1">
            <w:pPr>
              <w:pStyle w:val="TableTextLeft"/>
            </w:pPr>
            <w:r>
              <w:t>Significant reduction in</w:t>
            </w:r>
            <w:r w:rsidRPr="008527F4">
              <w:t xml:space="preserve"> </w:t>
            </w:r>
            <w:r w:rsidRPr="00DA6371">
              <w:t>claim deni</w:t>
            </w:r>
            <w:r>
              <w:t>als</w:t>
            </w:r>
            <w:r w:rsidRPr="008527F4">
              <w:t xml:space="preserve"> due to </w:t>
            </w:r>
            <w:r>
              <w:t>a</w:t>
            </w:r>
            <w:r w:rsidRPr="008527F4">
              <w:t xml:space="preserve"> failure to understand that the duty of disclosure extends until the policy is entered </w:t>
            </w:r>
            <w:r>
              <w:t xml:space="preserve">into </w:t>
            </w:r>
            <w:r w:rsidRPr="008527F4">
              <w:t>[</w:t>
            </w:r>
            <w:r>
              <w:t>3</w:t>
            </w:r>
            <w:r w:rsidR="005233A1">
              <w:t>]</w:t>
            </w:r>
            <w:r w:rsidR="00062686">
              <w:t>.</w:t>
            </w:r>
          </w:p>
        </w:tc>
        <w:tc>
          <w:tcPr>
            <w:tcW w:w="2550"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5233A1">
            <w:pPr>
              <w:pStyle w:val="TableTextLeft"/>
            </w:pP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785000" w:rsidDel="005D1B61" w:rsidRDefault="006A159E" w:rsidP="0029684A">
            <w:pPr>
              <w:pStyle w:val="TableTextLeft"/>
              <w:spacing w:before="20" w:after="20"/>
              <w:rPr>
                <w:b/>
              </w:rPr>
            </w:pPr>
            <w:r w:rsidRPr="00785000">
              <w:rPr>
                <w:b/>
              </w:rPr>
              <w:t>Government/regulators</w:t>
            </w:r>
          </w:p>
        </w:tc>
        <w:tc>
          <w:tcPr>
            <w:tcW w:w="2539" w:type="dxa"/>
            <w:tcBorders>
              <w:top w:val="single" w:sz="8" w:space="0" w:color="auto"/>
              <w:left w:val="single" w:sz="8" w:space="0" w:color="auto"/>
              <w:bottom w:val="single" w:sz="8" w:space="0" w:color="auto"/>
              <w:right w:val="single" w:sz="8" w:space="0" w:color="auto"/>
            </w:tcBorders>
            <w:shd w:val="clear" w:color="auto" w:fill="E6E6E6"/>
          </w:tcPr>
          <w:p w:rsidR="006A159E" w:rsidDel="007D3ADE" w:rsidRDefault="006A159E" w:rsidP="005233A1">
            <w:pPr>
              <w:pStyle w:val="TableTextLeft"/>
            </w:pPr>
            <w:r>
              <w:t>Likely reduced need to resolve disputes involving a failure to disclose events between application and contract [1]</w:t>
            </w:r>
            <w:r w:rsidR="00062686">
              <w:t>.</w:t>
            </w:r>
          </w:p>
        </w:tc>
        <w:tc>
          <w:tcPr>
            <w:tcW w:w="2550" w:type="dxa"/>
            <w:tcBorders>
              <w:top w:val="single" w:sz="8" w:space="0" w:color="auto"/>
              <w:left w:val="single" w:sz="8" w:space="0" w:color="auto"/>
              <w:bottom w:val="single" w:sz="8" w:space="0" w:color="auto"/>
              <w:right w:val="single" w:sz="8" w:space="0" w:color="auto"/>
            </w:tcBorders>
            <w:shd w:val="clear" w:color="auto" w:fill="E6E6E6"/>
          </w:tcPr>
          <w:p w:rsidR="006A159E" w:rsidRPr="008527F4" w:rsidDel="007D3ADE" w:rsidRDefault="006A159E" w:rsidP="005233A1">
            <w:pPr>
              <w:pStyle w:val="TableTextLeft"/>
            </w:pP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785000" w:rsidRDefault="006A159E" w:rsidP="0029684A">
            <w:pPr>
              <w:pStyle w:val="TableTextLeft"/>
              <w:rPr>
                <w:b/>
              </w:rPr>
            </w:pPr>
            <w:r w:rsidRPr="00785000">
              <w:rPr>
                <w:b/>
              </w:rPr>
              <w:t>Sub</w:t>
            </w:r>
            <w:r w:rsidR="00214D95">
              <w:rPr>
                <w:b/>
              </w:rPr>
              <w:noBreakHyphen/>
            </w:r>
            <w:r w:rsidRPr="00785000">
              <w:rPr>
                <w:b/>
              </w:rPr>
              <w:t>rating</w:t>
            </w:r>
          </w:p>
        </w:tc>
        <w:tc>
          <w:tcPr>
            <w:tcW w:w="2539" w:type="dxa"/>
            <w:tcBorders>
              <w:top w:val="single" w:sz="8" w:space="0" w:color="auto"/>
              <w:left w:val="single" w:sz="8" w:space="0" w:color="auto"/>
              <w:bottom w:val="single" w:sz="8" w:space="0" w:color="auto"/>
              <w:right w:val="single" w:sz="8" w:space="0" w:color="auto"/>
            </w:tcBorders>
            <w:shd w:val="clear" w:color="auto" w:fill="E6E6E6"/>
          </w:tcPr>
          <w:p w:rsidR="006A159E" w:rsidRPr="00785000" w:rsidRDefault="006A159E" w:rsidP="0029684A">
            <w:pPr>
              <w:pStyle w:val="TableTextLeft"/>
              <w:jc w:val="center"/>
              <w:rPr>
                <w:b/>
              </w:rPr>
            </w:pPr>
            <w:r w:rsidRPr="00785000">
              <w:rPr>
                <w:b/>
              </w:rPr>
              <w:t>+4</w:t>
            </w:r>
          </w:p>
        </w:tc>
        <w:tc>
          <w:tcPr>
            <w:tcW w:w="2550" w:type="dxa"/>
            <w:tcBorders>
              <w:top w:val="single" w:sz="8" w:space="0" w:color="auto"/>
              <w:left w:val="single" w:sz="8" w:space="0" w:color="auto"/>
              <w:bottom w:val="single" w:sz="8" w:space="0" w:color="auto"/>
              <w:right w:val="single" w:sz="8" w:space="0" w:color="auto"/>
            </w:tcBorders>
            <w:shd w:val="clear" w:color="auto" w:fill="E6E6E6"/>
          </w:tcPr>
          <w:p w:rsidR="006A159E" w:rsidRPr="00785000" w:rsidRDefault="00214D95" w:rsidP="0029684A">
            <w:pPr>
              <w:pStyle w:val="TableTextLeft"/>
              <w:jc w:val="center"/>
              <w:rPr>
                <w:b/>
              </w:rPr>
            </w:pPr>
            <w:r>
              <w:rPr>
                <w:b/>
              </w:rPr>
              <w:noBreakHyphen/>
            </w:r>
            <w:r w:rsidR="006A159E" w:rsidRPr="00785000">
              <w:rPr>
                <w:b/>
              </w:rPr>
              <w:t>2</w:t>
            </w:r>
          </w:p>
        </w:tc>
      </w:tr>
      <w:tr w:rsidR="006A159E" w:rsidRPr="00FF1661" w:rsidTr="0029684A">
        <w:tc>
          <w:tcPr>
            <w:tcW w:w="2837" w:type="dxa"/>
            <w:tcBorders>
              <w:top w:val="single" w:sz="8" w:space="0" w:color="auto"/>
              <w:left w:val="single" w:sz="8" w:space="0" w:color="auto"/>
              <w:bottom w:val="single" w:sz="8" w:space="0" w:color="auto"/>
              <w:right w:val="single" w:sz="8" w:space="0" w:color="auto"/>
            </w:tcBorders>
            <w:shd w:val="clear" w:color="auto" w:fill="F3F3F3"/>
          </w:tcPr>
          <w:p w:rsidR="006A159E" w:rsidRPr="00785000" w:rsidRDefault="006A159E" w:rsidP="0029684A">
            <w:pPr>
              <w:pStyle w:val="TableTextLeft"/>
              <w:rPr>
                <w:b/>
              </w:rPr>
            </w:pPr>
            <w:r w:rsidRPr="00785000">
              <w:rPr>
                <w:b/>
              </w:rPr>
              <w:lastRenderedPageBreak/>
              <w:t>Overall rating</w:t>
            </w:r>
          </w:p>
        </w:tc>
        <w:tc>
          <w:tcPr>
            <w:tcW w:w="5089" w:type="dxa"/>
            <w:gridSpan w:val="2"/>
            <w:tcBorders>
              <w:top w:val="single" w:sz="8" w:space="0" w:color="auto"/>
              <w:left w:val="single" w:sz="8" w:space="0" w:color="auto"/>
              <w:bottom w:val="single" w:sz="8" w:space="0" w:color="auto"/>
              <w:right w:val="single" w:sz="8" w:space="0" w:color="auto"/>
            </w:tcBorders>
            <w:shd w:val="clear" w:color="auto" w:fill="F3F3F3"/>
          </w:tcPr>
          <w:p w:rsidR="006A159E" w:rsidRPr="00785000" w:rsidRDefault="006A159E" w:rsidP="0029684A">
            <w:pPr>
              <w:pStyle w:val="TableTextLeft"/>
              <w:jc w:val="center"/>
              <w:rPr>
                <w:b/>
              </w:rPr>
            </w:pPr>
            <w:r w:rsidRPr="00785000">
              <w:rPr>
                <w:b/>
              </w:rPr>
              <w:t>+2</w:t>
            </w:r>
          </w:p>
        </w:tc>
      </w:tr>
    </w:tbl>
    <w:p w:rsidR="006A159E" w:rsidRPr="008527F4" w:rsidRDefault="006A159E" w:rsidP="005233A1">
      <w:pPr>
        <w:pStyle w:val="Heading5"/>
        <w:keepLines/>
        <w:spacing w:before="360"/>
      </w:pPr>
      <w:r w:rsidRPr="008527F4">
        <w:t xml:space="preserve">Option </w:t>
      </w:r>
      <w:r>
        <w:t>C</w:t>
      </w:r>
      <w:r w:rsidRPr="008527F4">
        <w:t>: Require insurers to use clearer language as to when the duty applies in the initial notification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3F3F3"/>
        <w:tblLook w:val="01E0" w:firstRow="1" w:lastRow="1" w:firstColumn="1" w:lastColumn="1" w:noHBand="0" w:noVBand="0"/>
      </w:tblPr>
      <w:tblGrid>
        <w:gridCol w:w="2748"/>
        <w:gridCol w:w="2578"/>
        <w:gridCol w:w="2600"/>
      </w:tblGrid>
      <w:tr w:rsidR="006A159E" w:rsidRPr="00FF1661" w:rsidTr="0029684A">
        <w:tc>
          <w:tcPr>
            <w:tcW w:w="2748" w:type="dxa"/>
            <w:shd w:val="clear" w:color="auto" w:fill="F3F3F3"/>
          </w:tcPr>
          <w:p w:rsidR="006A159E" w:rsidRPr="00FF1661" w:rsidRDefault="006A159E" w:rsidP="0029684A">
            <w:pPr>
              <w:pStyle w:val="TableColumnHeadingCentred"/>
            </w:pPr>
          </w:p>
        </w:tc>
        <w:tc>
          <w:tcPr>
            <w:tcW w:w="2578" w:type="dxa"/>
            <w:shd w:val="clear" w:color="auto" w:fill="F3F3F3"/>
          </w:tcPr>
          <w:p w:rsidR="006A159E" w:rsidRPr="00FF1661" w:rsidRDefault="006A159E" w:rsidP="0029684A">
            <w:pPr>
              <w:pStyle w:val="TableColumnHeadingCentred"/>
            </w:pPr>
            <w:r w:rsidRPr="00FF1661">
              <w:t>Benefits</w:t>
            </w:r>
          </w:p>
        </w:tc>
        <w:tc>
          <w:tcPr>
            <w:tcW w:w="2600" w:type="dxa"/>
            <w:shd w:val="clear" w:color="auto" w:fill="F3F3F3"/>
          </w:tcPr>
          <w:p w:rsidR="006A159E" w:rsidRPr="00FF1661" w:rsidRDefault="006A159E" w:rsidP="0029684A">
            <w:pPr>
              <w:pStyle w:val="TableColumnHeadingCentred"/>
            </w:pPr>
            <w:r w:rsidRPr="00FF1661">
              <w:t>Costs</w:t>
            </w:r>
          </w:p>
        </w:tc>
      </w:tr>
      <w:tr w:rsidR="006A159E" w:rsidRPr="00FF1661" w:rsidTr="0029684A">
        <w:tc>
          <w:tcPr>
            <w:tcW w:w="2748" w:type="dxa"/>
            <w:shd w:val="clear" w:color="auto" w:fill="F3F3F3"/>
          </w:tcPr>
          <w:p w:rsidR="006A159E" w:rsidRPr="00785000" w:rsidRDefault="006A159E" w:rsidP="0029684A">
            <w:pPr>
              <w:pStyle w:val="TableTextLeft"/>
              <w:spacing w:before="20" w:after="20"/>
              <w:rPr>
                <w:b/>
              </w:rPr>
            </w:pPr>
            <w:r w:rsidRPr="00785000">
              <w:rPr>
                <w:b/>
              </w:rPr>
              <w:t>Insurers</w:t>
            </w:r>
          </w:p>
        </w:tc>
        <w:tc>
          <w:tcPr>
            <w:tcW w:w="2578" w:type="dxa"/>
            <w:shd w:val="clear" w:color="auto" w:fill="F3F3F3"/>
          </w:tcPr>
          <w:p w:rsidR="006A159E" w:rsidRPr="00FF1661" w:rsidRDefault="006A159E" w:rsidP="0029684A">
            <w:pPr>
              <w:pStyle w:val="TableTextLeft"/>
              <w:spacing w:before="20" w:after="20"/>
            </w:pPr>
          </w:p>
        </w:tc>
        <w:tc>
          <w:tcPr>
            <w:tcW w:w="2600" w:type="dxa"/>
            <w:shd w:val="clear" w:color="auto" w:fill="F3F3F3"/>
          </w:tcPr>
          <w:p w:rsidR="006A159E" w:rsidRPr="00FF1661" w:rsidRDefault="006A159E" w:rsidP="0029684A">
            <w:pPr>
              <w:pStyle w:val="TableTextLeft"/>
              <w:tabs>
                <w:tab w:val="left" w:pos="2396"/>
              </w:tabs>
              <w:spacing w:before="20" w:after="20"/>
            </w:pPr>
            <w:r>
              <w:rPr>
                <w:rFonts w:cs="Arial"/>
              </w:rPr>
              <w:t>Insurers would incur one</w:t>
            </w:r>
            <w:r w:rsidR="00214D95">
              <w:rPr>
                <w:rFonts w:cs="Arial"/>
              </w:rPr>
              <w:noBreakHyphen/>
            </w:r>
            <w:r>
              <w:rPr>
                <w:rFonts w:cs="Arial"/>
              </w:rPr>
              <w:t xml:space="preserve">off </w:t>
            </w:r>
            <w:r w:rsidRPr="008527F4">
              <w:rPr>
                <w:rFonts w:cs="Arial"/>
              </w:rPr>
              <w:t xml:space="preserve">administrative expenses required </w:t>
            </w:r>
            <w:r>
              <w:rPr>
                <w:rFonts w:cs="Arial"/>
              </w:rPr>
              <w:t>to change reminder wordings</w:t>
            </w:r>
            <w:r w:rsidRPr="008527F4">
              <w:rPr>
                <w:rFonts w:cs="Arial"/>
              </w:rPr>
              <w:t xml:space="preserve"> [</w:t>
            </w:r>
            <w:r w:rsidR="00214D95">
              <w:rPr>
                <w:rFonts w:cs="Arial"/>
              </w:rPr>
              <w:noBreakHyphen/>
            </w:r>
            <w:r>
              <w:rPr>
                <w:rFonts w:cs="Arial"/>
              </w:rPr>
              <w:t>2</w:t>
            </w:r>
            <w:r w:rsidRPr="008527F4">
              <w:rPr>
                <w:rFonts w:cs="Arial"/>
              </w:rPr>
              <w:t>]</w:t>
            </w:r>
            <w:r w:rsidR="00062686">
              <w:rPr>
                <w:rFonts w:cs="Arial"/>
              </w:rPr>
              <w:t>.</w:t>
            </w:r>
          </w:p>
        </w:tc>
      </w:tr>
      <w:tr w:rsidR="006A159E" w:rsidRPr="00FF1661" w:rsidTr="0029684A">
        <w:tc>
          <w:tcPr>
            <w:tcW w:w="2748" w:type="dxa"/>
            <w:shd w:val="clear" w:color="auto" w:fill="F3F3F3"/>
          </w:tcPr>
          <w:p w:rsidR="006A159E" w:rsidRPr="00785000" w:rsidRDefault="006A159E" w:rsidP="0029684A">
            <w:pPr>
              <w:pStyle w:val="TableTextLeft"/>
              <w:spacing w:before="20" w:after="20"/>
              <w:rPr>
                <w:b/>
              </w:rPr>
            </w:pPr>
            <w:r w:rsidRPr="00785000">
              <w:rPr>
                <w:b/>
              </w:rPr>
              <w:t>Insureds</w:t>
            </w:r>
          </w:p>
        </w:tc>
        <w:tc>
          <w:tcPr>
            <w:tcW w:w="2578" w:type="dxa"/>
            <w:shd w:val="clear" w:color="auto" w:fill="F3F3F3"/>
          </w:tcPr>
          <w:p w:rsidR="006A159E" w:rsidRPr="00FF1661" w:rsidRDefault="006A159E" w:rsidP="0029684A">
            <w:pPr>
              <w:pStyle w:val="TableTextLeft"/>
              <w:spacing w:before="20" w:after="20"/>
            </w:pPr>
            <w:r>
              <w:rPr>
                <w:rFonts w:cs="Arial"/>
              </w:rPr>
              <w:t>Likely reduction in</w:t>
            </w:r>
            <w:r w:rsidRPr="008527F4">
              <w:rPr>
                <w:rFonts w:cs="Arial"/>
              </w:rPr>
              <w:t xml:space="preserve"> </w:t>
            </w:r>
            <w:r w:rsidRPr="00DA6371">
              <w:rPr>
                <w:rFonts w:cs="Arial"/>
              </w:rPr>
              <w:t>claim deni</w:t>
            </w:r>
            <w:r>
              <w:rPr>
                <w:rFonts w:cs="Arial"/>
              </w:rPr>
              <w:t>als</w:t>
            </w:r>
            <w:r w:rsidRPr="008527F4">
              <w:rPr>
                <w:rFonts w:cs="Arial"/>
              </w:rPr>
              <w:t xml:space="preserve"> due to </w:t>
            </w:r>
            <w:r>
              <w:rPr>
                <w:rFonts w:cs="Arial"/>
              </w:rPr>
              <w:t>a</w:t>
            </w:r>
            <w:r w:rsidRPr="008527F4">
              <w:rPr>
                <w:rFonts w:cs="Arial"/>
              </w:rPr>
              <w:t xml:space="preserve"> failure to understand that the duty of disclosure extends until the policy is entered </w:t>
            </w:r>
            <w:r>
              <w:rPr>
                <w:rFonts w:cs="Arial"/>
              </w:rPr>
              <w:t xml:space="preserve">into </w:t>
            </w:r>
            <w:r w:rsidRPr="008527F4">
              <w:rPr>
                <w:rFonts w:cs="Arial"/>
              </w:rPr>
              <w:t>[</w:t>
            </w:r>
            <w:r>
              <w:rPr>
                <w:rFonts w:cs="Arial"/>
              </w:rPr>
              <w:t>2</w:t>
            </w:r>
            <w:r w:rsidR="00062686">
              <w:rPr>
                <w:rFonts w:cs="Arial"/>
              </w:rPr>
              <w:t>].</w:t>
            </w:r>
          </w:p>
        </w:tc>
        <w:tc>
          <w:tcPr>
            <w:tcW w:w="2600" w:type="dxa"/>
            <w:shd w:val="clear" w:color="auto" w:fill="F3F3F3"/>
          </w:tcPr>
          <w:p w:rsidR="006A159E" w:rsidRPr="00FF1661" w:rsidRDefault="006A159E" w:rsidP="0029684A">
            <w:pPr>
              <w:pStyle w:val="TableTextLeft"/>
              <w:tabs>
                <w:tab w:val="left" w:pos="2396"/>
              </w:tabs>
              <w:spacing w:before="20" w:after="20"/>
            </w:pPr>
          </w:p>
        </w:tc>
      </w:tr>
      <w:tr w:rsidR="006A159E" w:rsidRPr="00FF1661" w:rsidTr="0029684A">
        <w:tc>
          <w:tcPr>
            <w:tcW w:w="2748" w:type="dxa"/>
            <w:shd w:val="clear" w:color="auto" w:fill="F3F3F3"/>
          </w:tcPr>
          <w:p w:rsidR="006A159E" w:rsidRPr="00785000" w:rsidRDefault="006A159E" w:rsidP="0029684A">
            <w:pPr>
              <w:pStyle w:val="TableTextLeft"/>
              <w:spacing w:before="20" w:after="20"/>
              <w:rPr>
                <w:b/>
              </w:rPr>
            </w:pPr>
            <w:r w:rsidRPr="00785000">
              <w:rPr>
                <w:b/>
              </w:rPr>
              <w:t>Government/regulator</w:t>
            </w:r>
          </w:p>
        </w:tc>
        <w:tc>
          <w:tcPr>
            <w:tcW w:w="2578" w:type="dxa"/>
            <w:shd w:val="clear" w:color="auto" w:fill="F3F3F3"/>
          </w:tcPr>
          <w:p w:rsidR="006A159E" w:rsidRPr="008527F4" w:rsidDel="00FE5AD6" w:rsidRDefault="006A159E" w:rsidP="0029684A">
            <w:pPr>
              <w:pStyle w:val="TableTextLeft"/>
              <w:spacing w:before="20" w:after="20"/>
              <w:rPr>
                <w:rFonts w:cs="Arial"/>
              </w:rPr>
            </w:pPr>
            <w:r>
              <w:rPr>
                <w:rFonts w:cs="Arial"/>
              </w:rPr>
              <w:t>Likely reduced need to resolve disputes involving a failure to disclose events between application and contract [1]</w:t>
            </w:r>
            <w:r w:rsidR="00062686">
              <w:rPr>
                <w:rFonts w:cs="Arial"/>
              </w:rPr>
              <w:t>.</w:t>
            </w:r>
          </w:p>
        </w:tc>
        <w:tc>
          <w:tcPr>
            <w:tcW w:w="2600" w:type="dxa"/>
            <w:shd w:val="clear" w:color="auto" w:fill="F3F3F3"/>
          </w:tcPr>
          <w:p w:rsidR="006A159E" w:rsidRPr="008527F4" w:rsidDel="00FE5AD6" w:rsidRDefault="006A159E" w:rsidP="0029684A">
            <w:pPr>
              <w:pStyle w:val="TableTextLeft"/>
              <w:tabs>
                <w:tab w:val="left" w:pos="2396"/>
              </w:tabs>
              <w:spacing w:before="20" w:after="20"/>
              <w:rPr>
                <w:rFonts w:cs="Arial"/>
              </w:rPr>
            </w:pPr>
          </w:p>
        </w:tc>
      </w:tr>
      <w:tr w:rsidR="006A159E" w:rsidRPr="00FF1661" w:rsidTr="0029684A">
        <w:tc>
          <w:tcPr>
            <w:tcW w:w="2748" w:type="dxa"/>
            <w:shd w:val="clear" w:color="auto" w:fill="F3F3F3"/>
          </w:tcPr>
          <w:p w:rsidR="006A159E" w:rsidRPr="00785000" w:rsidRDefault="006A159E" w:rsidP="0029684A">
            <w:pPr>
              <w:pStyle w:val="TableTextLeft"/>
              <w:rPr>
                <w:b/>
              </w:rPr>
            </w:pPr>
            <w:r w:rsidRPr="00785000">
              <w:rPr>
                <w:b/>
              </w:rPr>
              <w:t>Sub</w:t>
            </w:r>
            <w:r w:rsidR="00214D95">
              <w:rPr>
                <w:b/>
              </w:rPr>
              <w:noBreakHyphen/>
            </w:r>
            <w:r w:rsidRPr="00785000">
              <w:rPr>
                <w:b/>
              </w:rPr>
              <w:t>rating</w:t>
            </w:r>
          </w:p>
        </w:tc>
        <w:tc>
          <w:tcPr>
            <w:tcW w:w="2578" w:type="dxa"/>
            <w:shd w:val="clear" w:color="auto" w:fill="F3F3F3"/>
          </w:tcPr>
          <w:p w:rsidR="006A159E" w:rsidRPr="00785000" w:rsidRDefault="006A159E" w:rsidP="0029684A">
            <w:pPr>
              <w:pStyle w:val="TableTextLeft"/>
              <w:jc w:val="center"/>
              <w:rPr>
                <w:b/>
              </w:rPr>
            </w:pPr>
            <w:r w:rsidRPr="00785000">
              <w:rPr>
                <w:b/>
              </w:rPr>
              <w:t>+3</w:t>
            </w:r>
          </w:p>
        </w:tc>
        <w:tc>
          <w:tcPr>
            <w:tcW w:w="2600" w:type="dxa"/>
            <w:shd w:val="clear" w:color="auto" w:fill="F3F3F3"/>
          </w:tcPr>
          <w:p w:rsidR="006A159E" w:rsidRPr="00785000" w:rsidRDefault="00214D95" w:rsidP="0029684A">
            <w:pPr>
              <w:pStyle w:val="TableTextLeft"/>
              <w:tabs>
                <w:tab w:val="left" w:pos="2396"/>
              </w:tabs>
              <w:jc w:val="center"/>
              <w:rPr>
                <w:b/>
              </w:rPr>
            </w:pPr>
            <w:r>
              <w:rPr>
                <w:b/>
              </w:rPr>
              <w:noBreakHyphen/>
            </w:r>
            <w:r w:rsidR="006A159E" w:rsidRPr="00785000">
              <w:rPr>
                <w:b/>
              </w:rPr>
              <w:t>2</w:t>
            </w:r>
          </w:p>
        </w:tc>
      </w:tr>
      <w:tr w:rsidR="006A159E" w:rsidRPr="00FF1661" w:rsidTr="0029684A">
        <w:tc>
          <w:tcPr>
            <w:tcW w:w="2748" w:type="dxa"/>
            <w:shd w:val="clear" w:color="auto" w:fill="F3F3F3"/>
          </w:tcPr>
          <w:p w:rsidR="006A159E" w:rsidRPr="00785000" w:rsidRDefault="006A159E" w:rsidP="0029684A">
            <w:pPr>
              <w:pStyle w:val="TableTextLeft"/>
              <w:rPr>
                <w:b/>
              </w:rPr>
            </w:pPr>
            <w:r w:rsidRPr="00785000">
              <w:rPr>
                <w:b/>
              </w:rPr>
              <w:t>Overall rating</w:t>
            </w:r>
          </w:p>
        </w:tc>
        <w:tc>
          <w:tcPr>
            <w:tcW w:w="5178" w:type="dxa"/>
            <w:gridSpan w:val="2"/>
            <w:shd w:val="clear" w:color="auto" w:fill="F3F3F3"/>
          </w:tcPr>
          <w:p w:rsidR="006A159E" w:rsidRPr="00785000" w:rsidRDefault="006A159E" w:rsidP="0029684A">
            <w:pPr>
              <w:pStyle w:val="TableTextLeft"/>
              <w:jc w:val="center"/>
              <w:rPr>
                <w:b/>
              </w:rPr>
            </w:pPr>
            <w:r w:rsidRPr="00785000">
              <w:rPr>
                <w:b/>
              </w:rPr>
              <w:t>+1</w:t>
            </w:r>
          </w:p>
        </w:tc>
      </w:tr>
    </w:tbl>
    <w:p w:rsidR="006A159E" w:rsidRPr="008527F4" w:rsidRDefault="006A159E" w:rsidP="005233A1">
      <w:pPr>
        <w:pStyle w:val="Heading4"/>
        <w:spacing w:before="360"/>
      </w:pPr>
      <w:bookmarkStart w:id="46" w:name="_Toc255909324"/>
      <w:r w:rsidRPr="008527F4">
        <w:t>Consultation</w:t>
      </w:r>
      <w:bookmarkEnd w:id="46"/>
    </w:p>
    <w:p w:rsidR="006A159E" w:rsidRPr="008527F4" w:rsidRDefault="006A159E" w:rsidP="006A159E">
      <w:pPr>
        <w:pStyle w:val="base-text-paragraph"/>
      </w:pPr>
      <w:r w:rsidRPr="008527F4">
        <w:t xml:space="preserve">General insurance industry representatives argued the benefits of a change such as proposed by Option </w:t>
      </w:r>
      <w:r>
        <w:t>B</w:t>
      </w:r>
      <w:r w:rsidRPr="008527F4">
        <w:t xml:space="preserve"> were not significant enough to justify the costs</w:t>
      </w:r>
      <w:r w:rsidR="00214D95">
        <w:t xml:space="preserve">.  </w:t>
      </w:r>
      <w:r w:rsidRPr="008527F4">
        <w:t xml:space="preserve">Option </w:t>
      </w:r>
      <w:r>
        <w:t>B</w:t>
      </w:r>
      <w:r w:rsidRPr="008527F4">
        <w:t xml:space="preserve"> would require a change in the compliance requirements of insurers that was disproportionate to the benefits that may flow from such an amendment</w:t>
      </w:r>
      <w:r w:rsidR="00214D95">
        <w:t xml:space="preserve">.  </w:t>
      </w:r>
      <w:r w:rsidRPr="000579BB">
        <w:t>A submission made in relation to the February 2007 exposure draft Bill argued that sending a reminder notice was unnecessary, problematic and administratively costly.</w:t>
      </w:r>
      <w:r w:rsidRPr="000579BB">
        <w:rPr>
          <w:rStyle w:val="FootnoteReference"/>
        </w:rPr>
        <w:footnoteReference w:id="9"/>
      </w:r>
    </w:p>
    <w:p w:rsidR="006A159E" w:rsidRPr="008527F4" w:rsidRDefault="006A159E" w:rsidP="006A159E">
      <w:pPr>
        <w:pStyle w:val="base-text-paragraph"/>
      </w:pPr>
      <w:r w:rsidRPr="008527F4">
        <w:t>However</w:t>
      </w:r>
      <w:r>
        <w:t>,</w:t>
      </w:r>
      <w:r w:rsidRPr="008527F4">
        <w:t xml:space="preserve"> other submissions, including from legal profession representatives and a dispute resolution body, supported reform of the type proposed in Option </w:t>
      </w:r>
      <w:r>
        <w:t>B</w:t>
      </w:r>
      <w:r w:rsidR="00214D95">
        <w:t xml:space="preserve">.  </w:t>
      </w:r>
      <w:r w:rsidRPr="008527F4">
        <w:t xml:space="preserve">One submission noted that an amendment such as Option </w:t>
      </w:r>
      <w:r>
        <w:t>B</w:t>
      </w:r>
      <w:r w:rsidRPr="008527F4">
        <w:t xml:space="preserve"> could be expected to lead to a reduction in the number of disputes.</w:t>
      </w:r>
    </w:p>
    <w:p w:rsidR="006A159E" w:rsidRPr="008527F4" w:rsidRDefault="006A159E" w:rsidP="006A159E">
      <w:pPr>
        <w:pStyle w:val="base-text-paragraph"/>
      </w:pPr>
      <w:r w:rsidRPr="008527F4">
        <w:t xml:space="preserve">Life insurance industry representatives </w:t>
      </w:r>
      <w:r>
        <w:t xml:space="preserve">indicated to the Review Panel </w:t>
      </w:r>
      <w:r w:rsidRPr="008527F4">
        <w:t xml:space="preserve">that the majority of life insurers already included advice to </w:t>
      </w:r>
      <w:r w:rsidRPr="008527F4">
        <w:lastRenderedPageBreak/>
        <w:t>prospective applicants that their duty of disclosure continues until the date the contract is entered into, such as that proposed in Option</w:t>
      </w:r>
      <w:r w:rsidR="00F80332">
        <w:t xml:space="preserve"> </w:t>
      </w:r>
      <w:r>
        <w:t>C</w:t>
      </w:r>
      <w:r w:rsidRPr="008527F4">
        <w:t>.</w:t>
      </w:r>
    </w:p>
    <w:p w:rsidR="006A159E" w:rsidRPr="008527F4" w:rsidRDefault="006A159E" w:rsidP="006A159E">
      <w:pPr>
        <w:pStyle w:val="Heading4"/>
      </w:pPr>
      <w:bookmarkStart w:id="47" w:name="_Toc255909325"/>
      <w:r w:rsidRPr="008527F4">
        <w:t>Conclusions and recommended options</w:t>
      </w:r>
      <w:bookmarkEnd w:id="47"/>
    </w:p>
    <w:p w:rsidR="006A159E" w:rsidRPr="008527F4" w:rsidRDefault="006A159E" w:rsidP="006A159E">
      <w:pPr>
        <w:pStyle w:val="base-text-paragraph"/>
      </w:pPr>
      <w:r w:rsidRPr="008527F4">
        <w:t>Many insureds do not realise that their duty of disclosure extends until the contract is entered into</w:t>
      </w:r>
      <w:r>
        <w:t>,</w:t>
      </w:r>
      <w:r w:rsidRPr="008527F4">
        <w:t xml:space="preserve"> so that if the policy is issued sometime after a proposal form is submitted, the insured may be exposed to the denial of a claim if they failed to disclose a relevant fact that arose (or which they became aware of) during the interim period</w:t>
      </w:r>
      <w:r w:rsidR="00214D95">
        <w:t xml:space="preserve">.  </w:t>
      </w:r>
      <w:r w:rsidRPr="008527F4">
        <w:t xml:space="preserve">A failure to disclose could lead </w:t>
      </w:r>
      <w:r>
        <w:t>to loss of the insurance cover altogether through avoidance of the policy by the insurer</w:t>
      </w:r>
      <w:r w:rsidRPr="008527F4">
        <w:t>.</w:t>
      </w:r>
    </w:p>
    <w:p w:rsidR="006A159E" w:rsidRPr="008527F4" w:rsidRDefault="006A159E" w:rsidP="006A159E">
      <w:pPr>
        <w:pStyle w:val="base-text-paragraph"/>
      </w:pPr>
      <w:r w:rsidRPr="008527F4">
        <w:t xml:space="preserve">Option </w:t>
      </w:r>
      <w:r>
        <w:t>B</w:t>
      </w:r>
      <w:r w:rsidRPr="008527F4">
        <w:t xml:space="preserve"> minimises this risk by requiring insurers to give insureds a reminder of the duty at the time the contract is issued (unless the contract is issued within a short time of receiving the proposal)</w:t>
      </w:r>
      <w:r w:rsidR="00214D95">
        <w:t xml:space="preserve">.  </w:t>
      </w:r>
      <w:r w:rsidRPr="008527F4">
        <w:t>This option would generate additional administrative expenses for insurers.</w:t>
      </w:r>
    </w:p>
    <w:p w:rsidR="006A159E" w:rsidRPr="008527F4" w:rsidRDefault="006A159E" w:rsidP="006A159E">
      <w:pPr>
        <w:pStyle w:val="base-text-paragraph"/>
      </w:pPr>
      <w:r w:rsidRPr="008527F4">
        <w:t xml:space="preserve">Option </w:t>
      </w:r>
      <w:r>
        <w:t>C</w:t>
      </w:r>
      <w:r w:rsidRPr="008527F4">
        <w:t xml:space="preserve"> goes some way toward addressing the problem by having the initial notice of the duty state more clearly that the duty extends until the time the contract is issued</w:t>
      </w:r>
      <w:r w:rsidR="00214D95">
        <w:t xml:space="preserve">.  </w:t>
      </w:r>
      <w:r>
        <w:t>The</w:t>
      </w:r>
      <w:r w:rsidRPr="008527F4">
        <w:t xml:space="preserve"> additional administrative expenses associated with Option </w:t>
      </w:r>
      <w:r>
        <w:t>C</w:t>
      </w:r>
      <w:r w:rsidRPr="008527F4">
        <w:t xml:space="preserve"> would be less than those associated with Option</w:t>
      </w:r>
      <w:r w:rsidR="007E5A81">
        <w:t xml:space="preserve"> </w:t>
      </w:r>
      <w:r>
        <w:t>B</w:t>
      </w:r>
      <w:r w:rsidRPr="008527F4">
        <w:t xml:space="preserve">, </w:t>
      </w:r>
      <w:r>
        <w:t xml:space="preserve">but </w:t>
      </w:r>
      <w:r w:rsidRPr="008527F4">
        <w:t xml:space="preserve">Option </w:t>
      </w:r>
      <w:r>
        <w:t>C</w:t>
      </w:r>
      <w:r w:rsidRPr="008527F4">
        <w:t xml:space="preserve"> is likely to be less effective than a reminder at</w:t>
      </w:r>
      <w:r>
        <w:t xml:space="preserve"> the time the policy is issued, especially </w:t>
      </w:r>
      <w:r w:rsidRPr="008527F4">
        <w:t xml:space="preserve">when the contract is entered </w:t>
      </w:r>
      <w:r>
        <w:t xml:space="preserve">into </w:t>
      </w:r>
      <w:r w:rsidRPr="008527F4">
        <w:t>some time after the proposal form is submitted.</w:t>
      </w:r>
    </w:p>
    <w:p w:rsidR="006A159E" w:rsidRPr="006C7973" w:rsidRDefault="006A159E" w:rsidP="006A159E">
      <w:pPr>
        <w:pStyle w:val="base-text-paragraph"/>
      </w:pPr>
      <w:r w:rsidRPr="006C7973">
        <w:t>Typically, the insurer would communicate with the insured at the time the proposal is accepted by the insurer to notify the insured of the acceptance and to request payment</w:t>
      </w:r>
      <w:r w:rsidR="00214D95">
        <w:t xml:space="preserve">.  </w:t>
      </w:r>
      <w:r w:rsidRPr="006C7973">
        <w:t xml:space="preserve">At this time, the insurer could add an additional </w:t>
      </w:r>
      <w:r w:rsidR="00035750">
        <w:t>‘</w:t>
      </w:r>
      <w:r w:rsidRPr="006C7973">
        <w:t>standard</w:t>
      </w:r>
      <w:r w:rsidR="00035750">
        <w:t>’</w:t>
      </w:r>
      <w:r w:rsidRPr="006C7973">
        <w:t xml:space="preserve"> element to that communication regarding the fact that the duty of disclosure extended until the relevant contract was entered into</w:t>
      </w:r>
      <w:r w:rsidR="00214D95">
        <w:t xml:space="preserve">.  </w:t>
      </w:r>
      <w:r w:rsidRPr="006C7973">
        <w:t>Therefore, the additional costs of complying with Option B (after a transitional phase) are not expected to be great.</w:t>
      </w:r>
    </w:p>
    <w:p w:rsidR="006A159E" w:rsidRPr="006C7973" w:rsidRDefault="006A159E" w:rsidP="006A159E">
      <w:pPr>
        <w:pStyle w:val="base-text-paragraph"/>
      </w:pPr>
      <w:r w:rsidRPr="006C7973">
        <w:t>On balance, Option B is favoured</w:t>
      </w:r>
      <w:r w:rsidR="00214D95">
        <w:t xml:space="preserve">.  </w:t>
      </w:r>
    </w:p>
    <w:p w:rsidR="006A159E" w:rsidRDefault="006A159E" w:rsidP="006A159E">
      <w:pPr>
        <w:pStyle w:val="Heading3"/>
      </w:pPr>
      <w:bookmarkStart w:id="48" w:name="_Toc255909326"/>
      <w:bookmarkStart w:id="49" w:name="_Toc338331861"/>
      <w:r>
        <w:t>Non</w:t>
      </w:r>
      <w:r w:rsidR="00214D95">
        <w:noBreakHyphen/>
      </w:r>
      <w:r>
        <w:t>disclosure rules and life insureds</w:t>
      </w:r>
      <w:bookmarkEnd w:id="48"/>
      <w:bookmarkEnd w:id="49"/>
    </w:p>
    <w:p w:rsidR="006A159E" w:rsidRDefault="006A159E" w:rsidP="006A159E">
      <w:pPr>
        <w:pStyle w:val="Heading4"/>
      </w:pPr>
      <w:bookmarkStart w:id="50" w:name="_Toc255909327"/>
      <w:r>
        <w:t>Problem</w:t>
      </w:r>
      <w:bookmarkEnd w:id="50"/>
    </w:p>
    <w:p w:rsidR="006A159E" w:rsidRDefault="006A159E" w:rsidP="006A159E">
      <w:pPr>
        <w:pStyle w:val="base-text-paragraph"/>
      </w:pPr>
      <w:r w:rsidRPr="00876F02">
        <w:t xml:space="preserve">Misrepresentations by a </w:t>
      </w:r>
      <w:r w:rsidR="00035750">
        <w:t>‘</w:t>
      </w:r>
      <w:r w:rsidRPr="00876F02">
        <w:t>life insured</w:t>
      </w:r>
      <w:r w:rsidR="00035750">
        <w:t>’</w:t>
      </w:r>
      <w:r w:rsidRPr="00876F02">
        <w:t xml:space="preserve"> (that is, a person other than the insured whose life is insured under the contract of life insurance) are treated as if they were made by the insured themselves pursuant to section</w:t>
      </w:r>
      <w:r>
        <w:t> </w:t>
      </w:r>
      <w:r w:rsidRPr="00876F02">
        <w:t xml:space="preserve">25 of the </w:t>
      </w:r>
      <w:r>
        <w:t>ICA</w:t>
      </w:r>
      <w:r w:rsidR="00214D95">
        <w:t xml:space="preserve">.  </w:t>
      </w:r>
      <w:r w:rsidRPr="00876F02">
        <w:t xml:space="preserve">As a consequence, if a life insured is found to have </w:t>
      </w:r>
      <w:r>
        <w:t xml:space="preserve">made a </w:t>
      </w:r>
      <w:r w:rsidRPr="00876F02">
        <w:t>misrepresent</w:t>
      </w:r>
      <w:r>
        <w:t>ation to an insurer</w:t>
      </w:r>
      <w:r w:rsidRPr="00876F02">
        <w:t>, the insurer has the same remedies against the insured as if the misrepresentatio</w:t>
      </w:r>
      <w:r>
        <w:t>n had been made by the insured</w:t>
      </w:r>
      <w:r w:rsidR="00214D95">
        <w:t xml:space="preserve">.  </w:t>
      </w:r>
      <w:r>
        <w:t xml:space="preserve">However, </w:t>
      </w:r>
      <w:r w:rsidRPr="00876F02">
        <w:t>under the current law</w:t>
      </w:r>
      <w:r>
        <w:t xml:space="preserve">, there is no remedy against the </w:t>
      </w:r>
      <w:r>
        <w:lastRenderedPageBreak/>
        <w:t xml:space="preserve">insured where the </w:t>
      </w:r>
      <w:r w:rsidRPr="00B103AD">
        <w:rPr>
          <w:b/>
        </w:rPr>
        <w:t>life insured</w:t>
      </w:r>
      <w:r w:rsidRPr="007E5A81">
        <w:t xml:space="preserve"> </w:t>
      </w:r>
      <w:r w:rsidRPr="00566C20">
        <w:t>fails</w:t>
      </w:r>
      <w:r>
        <w:t xml:space="preserve"> to </w:t>
      </w:r>
      <w:r w:rsidRPr="00876F02">
        <w:t>disclose some matter that is relevant to an insurer</w:t>
      </w:r>
      <w:r w:rsidR="00035750">
        <w:t>’</w:t>
      </w:r>
      <w:r w:rsidRPr="00876F02">
        <w:t>s decision whether to enter the contract of life insurance</w:t>
      </w:r>
      <w:r w:rsidR="00214D95">
        <w:t xml:space="preserve">.  </w:t>
      </w:r>
    </w:p>
    <w:p w:rsidR="006A159E" w:rsidRDefault="006A159E" w:rsidP="006A159E">
      <w:pPr>
        <w:pStyle w:val="base-text-paragraph"/>
      </w:pPr>
      <w:r>
        <w:t>N</w:t>
      </w:r>
      <w:r w:rsidRPr="00876F02">
        <w:t>on</w:t>
      </w:r>
      <w:r w:rsidR="00214D95">
        <w:noBreakHyphen/>
      </w:r>
      <w:r w:rsidRPr="00876F02">
        <w:t>disclosure by a li</w:t>
      </w:r>
      <w:r>
        <w:t>fe insured may adversely affect</w:t>
      </w:r>
      <w:r w:rsidRPr="00876F02">
        <w:t xml:space="preserve"> the reliability of information available to insurers</w:t>
      </w:r>
      <w:r w:rsidR="00214D95">
        <w:t xml:space="preserve">.  </w:t>
      </w:r>
      <w:r>
        <w:t>I</w:t>
      </w:r>
      <w:r w:rsidRPr="00876F02">
        <w:t xml:space="preserve">n </w:t>
      </w:r>
      <w:r>
        <w:t xml:space="preserve">that regard, </w:t>
      </w:r>
      <w:r w:rsidRPr="00876F02">
        <w:t>non</w:t>
      </w:r>
      <w:r w:rsidR="00214D95">
        <w:noBreakHyphen/>
      </w:r>
      <w:r w:rsidRPr="00876F02">
        <w:t xml:space="preserve">disclosure </w:t>
      </w:r>
      <w:r>
        <w:t>has</w:t>
      </w:r>
      <w:r w:rsidRPr="00876F02">
        <w:t xml:space="preserve"> a similar result to misrepresent</w:t>
      </w:r>
      <w:r>
        <w:t>ation</w:t>
      </w:r>
      <w:r w:rsidR="00214D95">
        <w:t xml:space="preserve">.  </w:t>
      </w:r>
      <w:r>
        <w:rPr>
          <w:color w:val="000000"/>
        </w:rPr>
        <w:t>Preventing non</w:t>
      </w:r>
      <w:r w:rsidR="00214D95">
        <w:rPr>
          <w:color w:val="000000"/>
        </w:rPr>
        <w:noBreakHyphen/>
      </w:r>
      <w:r>
        <w:rPr>
          <w:color w:val="000000"/>
        </w:rPr>
        <w:t>disclosure by life insureds would help ensure that insurers are fully informed about the relevant risks so they can price them accordingly</w:t>
      </w:r>
      <w:r w:rsidR="00214D95">
        <w:rPr>
          <w:color w:val="000000"/>
        </w:rPr>
        <w:t xml:space="preserve">.  </w:t>
      </w:r>
    </w:p>
    <w:p w:rsidR="006A159E" w:rsidRPr="00876F02" w:rsidRDefault="006A159E" w:rsidP="006A159E">
      <w:pPr>
        <w:pStyle w:val="base-text-paragraph"/>
      </w:pPr>
      <w:r>
        <w:t>An expansion of section 25 to include non</w:t>
      </w:r>
      <w:r w:rsidR="00214D95">
        <w:noBreakHyphen/>
      </w:r>
      <w:r>
        <w:t>disclosure by a life insured would provide a fairer balance between the interests of the parties</w:t>
      </w:r>
      <w:r w:rsidR="00214D95">
        <w:t xml:space="preserve">.  </w:t>
      </w:r>
      <w:r>
        <w:t>The reason is that insurers</w:t>
      </w:r>
      <w:r w:rsidRPr="00876F02">
        <w:t xml:space="preserve"> must </w:t>
      </w:r>
      <w:r>
        <w:t xml:space="preserve">still </w:t>
      </w:r>
      <w:r w:rsidRPr="00876F02">
        <w:t>satisfy a claim under a contract of life insurance</w:t>
      </w:r>
      <w:r>
        <w:t>,</w:t>
      </w:r>
      <w:r w:rsidRPr="00876F02">
        <w:t xml:space="preserve"> notwithstanding that there has been a non</w:t>
      </w:r>
      <w:r w:rsidR="00214D95">
        <w:noBreakHyphen/>
      </w:r>
      <w:r w:rsidRPr="00876F02">
        <w:t>disclosure by the life insured that, if made by the insured, would have allowed the insurer the right to avoid the contract or reduce their liability</w:t>
      </w:r>
      <w:r>
        <w:t>.</w:t>
      </w:r>
    </w:p>
    <w:p w:rsidR="006A159E" w:rsidRPr="00876F02" w:rsidRDefault="006A159E" w:rsidP="006A159E">
      <w:pPr>
        <w:pStyle w:val="base-text-paragraph"/>
      </w:pPr>
      <w:r>
        <w:t>There appears to be no reason why non</w:t>
      </w:r>
      <w:r w:rsidR="00214D95">
        <w:noBreakHyphen/>
      </w:r>
      <w:r>
        <w:t xml:space="preserve">disclosure and misrepresentation on the part of the life insured should be treated differently and for </w:t>
      </w:r>
      <w:r w:rsidRPr="00876F02">
        <w:t xml:space="preserve">the current disparity </w:t>
      </w:r>
      <w:r>
        <w:t>with</w:t>
      </w:r>
      <w:r w:rsidRPr="00876F02">
        <w:t xml:space="preserve"> respect </w:t>
      </w:r>
      <w:r>
        <w:t>t</w:t>
      </w:r>
      <w:r w:rsidRPr="00876F02">
        <w:t>o misrep</w:t>
      </w:r>
      <w:r>
        <w:t>resentation and non</w:t>
      </w:r>
      <w:r w:rsidR="00214D95">
        <w:noBreakHyphen/>
      </w:r>
      <w:r>
        <w:t>disclosure</w:t>
      </w:r>
      <w:r w:rsidRPr="00876F02">
        <w:t xml:space="preserve"> by life insureds </w:t>
      </w:r>
      <w:r>
        <w:t>to</w:t>
      </w:r>
      <w:r w:rsidRPr="00876F02">
        <w:t xml:space="preserve"> continu</w:t>
      </w:r>
      <w:r>
        <w:t>e.</w:t>
      </w:r>
    </w:p>
    <w:p w:rsidR="006A159E" w:rsidRDefault="006A159E" w:rsidP="006A159E">
      <w:pPr>
        <w:pStyle w:val="base-text-paragraph"/>
      </w:pPr>
      <w:r w:rsidRPr="00876F02">
        <w:t xml:space="preserve">If no change is made, then the </w:t>
      </w:r>
      <w:r>
        <w:t xml:space="preserve">degree of information asymmetry as between the parties would not be reduced and the </w:t>
      </w:r>
      <w:r w:rsidRPr="00876F02">
        <w:t xml:space="preserve">current disparity of remedies for insurers </w:t>
      </w:r>
      <w:r>
        <w:t>with</w:t>
      </w:r>
      <w:r w:rsidRPr="00876F02">
        <w:t xml:space="preserve"> respect </w:t>
      </w:r>
      <w:r>
        <w:t>t</w:t>
      </w:r>
      <w:r w:rsidRPr="00876F02">
        <w:t>o misrepresentations and non</w:t>
      </w:r>
      <w:r w:rsidR="00214D95">
        <w:noBreakHyphen/>
      </w:r>
      <w:r w:rsidRPr="00876F02">
        <w:t xml:space="preserve">disclosures by life insureds would continue, resulting in unfair </w:t>
      </w:r>
      <w:r>
        <w:t xml:space="preserve">and anomalous </w:t>
      </w:r>
      <w:r w:rsidRPr="00876F02">
        <w:t>outcomes.</w:t>
      </w:r>
    </w:p>
    <w:p w:rsidR="006A159E" w:rsidRDefault="006A159E" w:rsidP="006A159E">
      <w:pPr>
        <w:pStyle w:val="Heading4"/>
      </w:pPr>
      <w:bookmarkStart w:id="51" w:name="_Toc255909328"/>
      <w:r>
        <w:t>Objective</w:t>
      </w:r>
      <w:bookmarkEnd w:id="51"/>
    </w:p>
    <w:p w:rsidR="006A159E" w:rsidRPr="00876F02" w:rsidRDefault="006A159E" w:rsidP="006A159E">
      <w:pPr>
        <w:pStyle w:val="base-text-paragraph"/>
      </w:pPr>
      <w:r>
        <w:t>T</w:t>
      </w:r>
      <w:r w:rsidRPr="00876F02">
        <w:t xml:space="preserve">he </w:t>
      </w:r>
      <w:r>
        <w:t xml:space="preserve">objective is to ensure that insurers receive reliable and adequate information to assess and price risk, without placing an unfair burden on insureds in respect of the </w:t>
      </w:r>
      <w:r w:rsidRPr="00876F02">
        <w:t>remedies available against them for non</w:t>
      </w:r>
      <w:r w:rsidR="00214D95">
        <w:noBreakHyphen/>
      </w:r>
      <w:r w:rsidRPr="00876F02">
        <w:t>disclosure</w:t>
      </w:r>
      <w:r>
        <w:t>.</w:t>
      </w:r>
    </w:p>
    <w:p w:rsidR="006A159E" w:rsidRDefault="006A159E" w:rsidP="006A159E">
      <w:pPr>
        <w:pStyle w:val="Heading4"/>
      </w:pPr>
      <w:bookmarkStart w:id="52" w:name="_Toc255909329"/>
      <w:r>
        <w:t>Options</w:t>
      </w:r>
      <w:bookmarkEnd w:id="52"/>
    </w:p>
    <w:p w:rsidR="006A159E" w:rsidRPr="00390ACB" w:rsidRDefault="006A159E" w:rsidP="006A159E">
      <w:pPr>
        <w:pStyle w:val="Heading5"/>
        <w:rPr>
          <w:highlight w:val="green"/>
        </w:rPr>
      </w:pPr>
      <w:r w:rsidRPr="00E04884">
        <w:t xml:space="preserve">Option </w:t>
      </w:r>
      <w:r>
        <w:t>A: Do nothing</w:t>
      </w:r>
    </w:p>
    <w:p w:rsidR="006A159E" w:rsidRPr="00876F02" w:rsidRDefault="006A159E" w:rsidP="006A159E">
      <w:pPr>
        <w:pStyle w:val="base-text-paragraph"/>
      </w:pPr>
      <w:r w:rsidRPr="00876F02">
        <w:t xml:space="preserve">This option would leave section 25 of the </w:t>
      </w:r>
      <w:r>
        <w:t>ICA</w:t>
      </w:r>
      <w:r w:rsidRPr="00876F02">
        <w:t xml:space="preserve"> unchanged so that it continue</w:t>
      </w:r>
      <w:r>
        <w:t>d</w:t>
      </w:r>
      <w:r w:rsidRPr="00876F02">
        <w:t xml:space="preserve"> to apply only in respect of misrepresentation by </w:t>
      </w:r>
      <w:r>
        <w:t xml:space="preserve">a </w:t>
      </w:r>
      <w:r w:rsidRPr="00876F02">
        <w:t>life insured</w:t>
      </w:r>
      <w:r>
        <w:t>, but not in respect of non</w:t>
      </w:r>
      <w:r w:rsidR="00214D95">
        <w:noBreakHyphen/>
      </w:r>
      <w:r>
        <w:t>disclosure by a life insured</w:t>
      </w:r>
      <w:r w:rsidR="00214D95">
        <w:t xml:space="preserve">.  </w:t>
      </w:r>
      <w:r w:rsidRPr="00876F02">
        <w:t>Also, there would be no obligation on insurers to give the life insured no</w:t>
      </w:r>
      <w:r>
        <w:t>tice of the duty of disclosure.</w:t>
      </w:r>
    </w:p>
    <w:p w:rsidR="006A159E" w:rsidRPr="00A12F71" w:rsidRDefault="006A159E" w:rsidP="006A159E">
      <w:pPr>
        <w:pStyle w:val="Heading5"/>
      </w:pPr>
      <w:r w:rsidRPr="00A12F71">
        <w:lastRenderedPageBreak/>
        <w:t xml:space="preserve">Option </w:t>
      </w:r>
      <w:r>
        <w:t xml:space="preserve">B: </w:t>
      </w:r>
      <w:r w:rsidRPr="00A12F71">
        <w:t>Expand the duty of disclosure under section 25 to cover non</w:t>
      </w:r>
      <w:r w:rsidR="00214D95">
        <w:noBreakHyphen/>
      </w:r>
      <w:r w:rsidRPr="00A12F71">
        <w:t>disclosure by a life insured</w:t>
      </w:r>
    </w:p>
    <w:p w:rsidR="006A159E" w:rsidRDefault="006A159E" w:rsidP="006A159E">
      <w:pPr>
        <w:pStyle w:val="base-text-paragraph"/>
      </w:pPr>
      <w:r w:rsidRPr="00876F02">
        <w:t xml:space="preserve">Under this option, the rule in section 25 of the </w:t>
      </w:r>
      <w:r>
        <w:t>ICA</w:t>
      </w:r>
      <w:r w:rsidRPr="00876F02">
        <w:t xml:space="preserve"> that </w:t>
      </w:r>
      <w:r>
        <w:t>imputes</w:t>
      </w:r>
      <w:r w:rsidRPr="00876F02">
        <w:t xml:space="preserve"> a misrepresentation by a life insured to an insured would also apply to a non</w:t>
      </w:r>
      <w:r w:rsidR="00214D95">
        <w:noBreakHyphen/>
      </w:r>
      <w:r w:rsidRPr="00876F02">
        <w:t>disclosure by the life insured</w:t>
      </w:r>
      <w:r w:rsidR="00214D95">
        <w:t xml:space="preserve">.  </w:t>
      </w:r>
      <w:r w:rsidRPr="00876F02">
        <w:t>Further, the insurer would be required to give the life insured notice of the duty of disclosure before the relevant insured en</w:t>
      </w:r>
      <w:r>
        <w:t>tered into the contract of insurance</w:t>
      </w:r>
      <w:r w:rsidR="00214D95">
        <w:t xml:space="preserve">.  </w:t>
      </w:r>
    </w:p>
    <w:p w:rsidR="006A159E" w:rsidRPr="00876F02" w:rsidRDefault="006A159E" w:rsidP="006A159E">
      <w:pPr>
        <w:pStyle w:val="base-text-paragraph"/>
      </w:pPr>
      <w:r>
        <w:t>Section 22 of the ICA would be amended to require the insurer to clearly inform the life insured of their proposed new duty of disclosure.</w:t>
      </w:r>
    </w:p>
    <w:p w:rsidR="006A159E" w:rsidRDefault="006A159E" w:rsidP="006A159E">
      <w:pPr>
        <w:pStyle w:val="Heading4"/>
      </w:pPr>
      <w:bookmarkStart w:id="53" w:name="_Toc255909330"/>
      <w:r>
        <w:t>Impact analysis</w:t>
      </w:r>
      <w:bookmarkEnd w:id="53"/>
    </w:p>
    <w:p w:rsidR="006A159E" w:rsidRPr="0065759A" w:rsidRDefault="006A159E" w:rsidP="006A159E">
      <w:pPr>
        <w:pStyle w:val="Heading4"/>
      </w:pPr>
      <w:r w:rsidRPr="0065759A">
        <w:t>Impact group identification</w:t>
      </w:r>
    </w:p>
    <w:p w:rsidR="006A159E" w:rsidRDefault="006A159E" w:rsidP="006A159E">
      <w:pPr>
        <w:pStyle w:val="base-text-paragraph"/>
      </w:pPr>
      <w:r w:rsidRPr="00876F02">
        <w:t xml:space="preserve">Affected groups: </w:t>
      </w:r>
    </w:p>
    <w:p w:rsidR="006A159E" w:rsidRDefault="006A159E" w:rsidP="006A159E">
      <w:pPr>
        <w:pStyle w:val="dotpoint"/>
      </w:pPr>
      <w:r w:rsidRPr="00876F02">
        <w:t>insurers;</w:t>
      </w:r>
    </w:p>
    <w:p w:rsidR="006A159E" w:rsidRDefault="006A159E" w:rsidP="006A159E">
      <w:pPr>
        <w:pStyle w:val="dotpoint"/>
      </w:pPr>
      <w:r w:rsidRPr="00876F02">
        <w:t>insureds</w:t>
      </w:r>
      <w:r>
        <w:t xml:space="preserve"> (including life insureds and prospective life insureds)</w:t>
      </w:r>
      <w:r w:rsidRPr="00876F02">
        <w:t xml:space="preserve">; </w:t>
      </w:r>
      <w:r>
        <w:t>and</w:t>
      </w:r>
    </w:p>
    <w:p w:rsidR="006A159E" w:rsidRPr="00876F02" w:rsidRDefault="006A159E" w:rsidP="006A159E">
      <w:pPr>
        <w:pStyle w:val="dotpoint"/>
      </w:pPr>
      <w:proofErr w:type="gramStart"/>
      <w:r>
        <w:t>government/regulators</w:t>
      </w:r>
      <w:proofErr w:type="gramEnd"/>
      <w:r w:rsidR="00214D95">
        <w:t xml:space="preserve">.  </w:t>
      </w:r>
    </w:p>
    <w:p w:rsidR="006A159E" w:rsidRDefault="006A159E" w:rsidP="006A159E">
      <w:pPr>
        <w:pStyle w:val="Heading4"/>
      </w:pPr>
      <w:bookmarkStart w:id="54" w:name="_Toc255909331"/>
      <w:r>
        <w:t>Assessment of costs and benefits</w:t>
      </w:r>
      <w:bookmarkEnd w:id="54"/>
    </w:p>
    <w:p w:rsidR="006A159E" w:rsidRPr="00B22F16" w:rsidRDefault="006A159E" w:rsidP="00AE6CC7">
      <w:pPr>
        <w:pStyle w:val="Heading5"/>
        <w:spacing w:before="360"/>
      </w:pPr>
      <w:r w:rsidRPr="00B22F16">
        <w:t xml:space="preserve">Option </w:t>
      </w:r>
      <w:r>
        <w:t>A</w:t>
      </w:r>
      <w:r w:rsidRPr="00B22F16">
        <w:t>:</w:t>
      </w:r>
      <w:r>
        <w:t xml:space="preserve"> No specification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3F3F3"/>
        <w:tblLook w:val="01E0" w:firstRow="1" w:lastRow="1" w:firstColumn="1" w:lastColumn="1" w:noHBand="0" w:noVBand="0"/>
      </w:tblPr>
      <w:tblGrid>
        <w:gridCol w:w="2837"/>
        <w:gridCol w:w="2539"/>
        <w:gridCol w:w="2550"/>
      </w:tblGrid>
      <w:tr w:rsidR="006A159E" w:rsidRPr="00FF1661" w:rsidTr="00E10149">
        <w:tc>
          <w:tcPr>
            <w:tcW w:w="2837" w:type="dxa"/>
            <w:shd w:val="clear" w:color="auto" w:fill="E6E6E6"/>
          </w:tcPr>
          <w:p w:rsidR="006A159E" w:rsidRPr="00FF1661" w:rsidRDefault="006A159E" w:rsidP="0029684A">
            <w:pPr>
              <w:pStyle w:val="TableColumnHeadingCentred"/>
            </w:pPr>
          </w:p>
        </w:tc>
        <w:tc>
          <w:tcPr>
            <w:tcW w:w="2539" w:type="dxa"/>
            <w:shd w:val="clear" w:color="auto" w:fill="E6E6E6"/>
          </w:tcPr>
          <w:p w:rsidR="006A159E" w:rsidRPr="00FF1661" w:rsidRDefault="006A159E" w:rsidP="0029684A">
            <w:pPr>
              <w:pStyle w:val="TableColumnHeadingCentred"/>
            </w:pPr>
            <w:r w:rsidRPr="00FF1661">
              <w:t>Benefits</w:t>
            </w:r>
          </w:p>
        </w:tc>
        <w:tc>
          <w:tcPr>
            <w:tcW w:w="2550" w:type="dxa"/>
            <w:shd w:val="clear" w:color="auto" w:fill="E6E6E6"/>
          </w:tcPr>
          <w:p w:rsidR="006A159E" w:rsidRPr="00FF1661" w:rsidRDefault="006A159E" w:rsidP="0029684A">
            <w:pPr>
              <w:pStyle w:val="TableColumnHeadingCentred"/>
            </w:pPr>
            <w:r w:rsidRPr="00FF1661">
              <w:t>Costs</w:t>
            </w:r>
          </w:p>
        </w:tc>
      </w:tr>
      <w:tr w:rsidR="006A159E" w:rsidRPr="00FF1661" w:rsidTr="00E10149">
        <w:tc>
          <w:tcPr>
            <w:tcW w:w="2837" w:type="dxa"/>
            <w:shd w:val="clear" w:color="auto" w:fill="E6E6E6"/>
          </w:tcPr>
          <w:p w:rsidR="006A159E" w:rsidRPr="00785000" w:rsidRDefault="006A159E" w:rsidP="0029684A">
            <w:pPr>
              <w:pStyle w:val="TableTextLeft"/>
              <w:spacing w:before="20" w:after="20"/>
              <w:rPr>
                <w:b/>
              </w:rPr>
            </w:pPr>
            <w:r w:rsidRPr="00785000">
              <w:rPr>
                <w:b/>
              </w:rPr>
              <w:t>Insurers</w:t>
            </w:r>
          </w:p>
        </w:tc>
        <w:tc>
          <w:tcPr>
            <w:tcW w:w="2539" w:type="dxa"/>
            <w:shd w:val="clear" w:color="auto" w:fill="E6E6E6"/>
          </w:tcPr>
          <w:p w:rsidR="006A159E" w:rsidRPr="00AE6CC7" w:rsidRDefault="006A159E" w:rsidP="00AE6CC7">
            <w:pPr>
              <w:pStyle w:val="TableTextLeft"/>
            </w:pPr>
          </w:p>
        </w:tc>
        <w:tc>
          <w:tcPr>
            <w:tcW w:w="2550" w:type="dxa"/>
            <w:shd w:val="clear" w:color="auto" w:fill="E6E6E6"/>
          </w:tcPr>
          <w:p w:rsidR="006A159E" w:rsidRPr="00AE6CC7" w:rsidRDefault="006A159E" w:rsidP="00AE6CC7">
            <w:pPr>
              <w:pStyle w:val="TableTextLeft"/>
            </w:pPr>
            <w:r w:rsidRPr="00AE6CC7">
              <w:t>Insurers would continue to be disadvantaged in some cases by non</w:t>
            </w:r>
            <w:r w:rsidR="00214D95">
              <w:noBreakHyphen/>
            </w:r>
            <w:r w:rsidRPr="00AE6CC7">
              <w:t>disclosures by life insureds that cannot be imputed to the insured</w:t>
            </w:r>
            <w:r w:rsidR="00062686">
              <w:t>.</w:t>
            </w:r>
          </w:p>
        </w:tc>
      </w:tr>
      <w:tr w:rsidR="006A159E" w:rsidRPr="00FF1661" w:rsidTr="00E10149">
        <w:tc>
          <w:tcPr>
            <w:tcW w:w="2837" w:type="dxa"/>
            <w:shd w:val="clear" w:color="auto" w:fill="E6E6E6"/>
          </w:tcPr>
          <w:p w:rsidR="006A159E" w:rsidRPr="00785000" w:rsidRDefault="006A159E" w:rsidP="0029684A">
            <w:pPr>
              <w:pStyle w:val="TableTextLeft"/>
              <w:spacing w:before="20" w:after="20"/>
              <w:rPr>
                <w:b/>
              </w:rPr>
            </w:pPr>
            <w:r w:rsidRPr="00785000">
              <w:rPr>
                <w:b/>
              </w:rPr>
              <w:t>Insureds</w:t>
            </w:r>
          </w:p>
        </w:tc>
        <w:tc>
          <w:tcPr>
            <w:tcW w:w="2539" w:type="dxa"/>
            <w:shd w:val="clear" w:color="auto" w:fill="E6E6E6"/>
          </w:tcPr>
          <w:p w:rsidR="006A159E" w:rsidRPr="00AE6CC7" w:rsidRDefault="006A159E" w:rsidP="00AE6CC7">
            <w:pPr>
              <w:pStyle w:val="TableTextLeft"/>
            </w:pPr>
          </w:p>
        </w:tc>
        <w:tc>
          <w:tcPr>
            <w:tcW w:w="2550" w:type="dxa"/>
            <w:shd w:val="clear" w:color="auto" w:fill="E6E6E6"/>
          </w:tcPr>
          <w:p w:rsidR="006A159E" w:rsidRPr="00AE6CC7" w:rsidRDefault="006A159E" w:rsidP="00AE6CC7">
            <w:pPr>
              <w:pStyle w:val="TableTextLeft"/>
            </w:pPr>
          </w:p>
        </w:tc>
      </w:tr>
      <w:tr w:rsidR="006A159E" w:rsidRPr="00FF1661" w:rsidTr="00E10149">
        <w:tc>
          <w:tcPr>
            <w:tcW w:w="2837" w:type="dxa"/>
            <w:shd w:val="clear" w:color="auto" w:fill="E6E6E6"/>
          </w:tcPr>
          <w:p w:rsidR="006A159E" w:rsidRPr="00785000" w:rsidRDefault="006A159E" w:rsidP="0029684A">
            <w:pPr>
              <w:pStyle w:val="TableTextLeft"/>
              <w:spacing w:before="20" w:after="20"/>
              <w:rPr>
                <w:b/>
              </w:rPr>
            </w:pPr>
            <w:r w:rsidRPr="00785000">
              <w:rPr>
                <w:b/>
              </w:rPr>
              <w:t>Government/regulators</w:t>
            </w:r>
          </w:p>
        </w:tc>
        <w:tc>
          <w:tcPr>
            <w:tcW w:w="2539" w:type="dxa"/>
            <w:shd w:val="clear" w:color="auto" w:fill="E6E6E6"/>
          </w:tcPr>
          <w:p w:rsidR="006A159E" w:rsidRPr="00AE6CC7" w:rsidRDefault="006A159E" w:rsidP="00AE6CC7">
            <w:pPr>
              <w:pStyle w:val="TableTextLeft"/>
            </w:pPr>
          </w:p>
        </w:tc>
        <w:tc>
          <w:tcPr>
            <w:tcW w:w="2550" w:type="dxa"/>
            <w:shd w:val="clear" w:color="auto" w:fill="E6E6E6"/>
          </w:tcPr>
          <w:p w:rsidR="006A159E" w:rsidRPr="00AE6CC7" w:rsidRDefault="006A159E" w:rsidP="00AE6CC7">
            <w:pPr>
              <w:pStyle w:val="TableTextLeft"/>
            </w:pPr>
          </w:p>
        </w:tc>
      </w:tr>
    </w:tbl>
    <w:p w:rsidR="006A159E" w:rsidRPr="00B22F16" w:rsidRDefault="006A159E" w:rsidP="00AE6CC7">
      <w:pPr>
        <w:pStyle w:val="Heading5"/>
      </w:pPr>
      <w:r w:rsidRPr="00B22F16">
        <w:lastRenderedPageBreak/>
        <w:t xml:space="preserve">Option </w:t>
      </w:r>
      <w:r>
        <w:t xml:space="preserve">B: </w:t>
      </w:r>
      <w:r w:rsidRPr="00A12F71">
        <w:t>Expand the duty of disclosure under section 25 to cover non</w:t>
      </w:r>
      <w:r w:rsidR="00214D95">
        <w:noBreakHyphen/>
      </w:r>
      <w:r w:rsidRPr="00A12F71">
        <w:t>disclosure by a life insured</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3F3F3"/>
        <w:tblLook w:val="01E0" w:firstRow="1" w:lastRow="1" w:firstColumn="1" w:lastColumn="1" w:noHBand="0" w:noVBand="0"/>
      </w:tblPr>
      <w:tblGrid>
        <w:gridCol w:w="2416"/>
        <w:gridCol w:w="2723"/>
        <w:gridCol w:w="2787"/>
      </w:tblGrid>
      <w:tr w:rsidR="006A159E" w:rsidRPr="00FF1661" w:rsidTr="00E10149">
        <w:tc>
          <w:tcPr>
            <w:tcW w:w="2416" w:type="dxa"/>
            <w:shd w:val="clear" w:color="auto" w:fill="E6E6E6"/>
          </w:tcPr>
          <w:p w:rsidR="006A159E" w:rsidRPr="00FF1661" w:rsidRDefault="006A159E" w:rsidP="00AE6CC7">
            <w:pPr>
              <w:pStyle w:val="TableColumnHeadingCentred"/>
              <w:keepNext/>
            </w:pPr>
          </w:p>
        </w:tc>
        <w:tc>
          <w:tcPr>
            <w:tcW w:w="2723" w:type="dxa"/>
            <w:shd w:val="clear" w:color="auto" w:fill="E6E6E6"/>
          </w:tcPr>
          <w:p w:rsidR="006A159E" w:rsidRPr="00FF1661" w:rsidRDefault="006A159E" w:rsidP="00AE6CC7">
            <w:pPr>
              <w:pStyle w:val="TableColumnHeadingCentred"/>
              <w:keepNext/>
            </w:pPr>
            <w:r w:rsidRPr="00FF1661">
              <w:t>Benefits</w:t>
            </w:r>
          </w:p>
        </w:tc>
        <w:tc>
          <w:tcPr>
            <w:tcW w:w="2787" w:type="dxa"/>
            <w:shd w:val="clear" w:color="auto" w:fill="E6E6E6"/>
          </w:tcPr>
          <w:p w:rsidR="006A159E" w:rsidRPr="00FF1661" w:rsidRDefault="006A159E" w:rsidP="00AE6CC7">
            <w:pPr>
              <w:pStyle w:val="TableColumnHeadingCentred"/>
              <w:keepNext/>
            </w:pPr>
            <w:r w:rsidRPr="00FF1661">
              <w:t>Costs</w:t>
            </w:r>
          </w:p>
        </w:tc>
      </w:tr>
      <w:tr w:rsidR="006A159E" w:rsidRPr="00FF1661" w:rsidTr="00E10149">
        <w:tc>
          <w:tcPr>
            <w:tcW w:w="2416" w:type="dxa"/>
            <w:shd w:val="clear" w:color="auto" w:fill="E6E6E6"/>
          </w:tcPr>
          <w:p w:rsidR="006A159E" w:rsidRPr="00785000" w:rsidRDefault="006A159E" w:rsidP="00AE6CC7">
            <w:pPr>
              <w:pStyle w:val="TableTextLeft"/>
              <w:keepNext/>
              <w:spacing w:before="20" w:after="20"/>
              <w:rPr>
                <w:b/>
              </w:rPr>
            </w:pPr>
            <w:r w:rsidRPr="00785000">
              <w:rPr>
                <w:b/>
              </w:rPr>
              <w:t>Insurers</w:t>
            </w:r>
          </w:p>
        </w:tc>
        <w:tc>
          <w:tcPr>
            <w:tcW w:w="2723" w:type="dxa"/>
            <w:shd w:val="clear" w:color="auto" w:fill="E6E6E6"/>
          </w:tcPr>
          <w:p w:rsidR="006A159E" w:rsidRPr="00FF1661" w:rsidRDefault="006A159E" w:rsidP="00AE6CC7">
            <w:pPr>
              <w:pStyle w:val="TableTextLeft"/>
              <w:keepNext/>
            </w:pPr>
            <w:r>
              <w:t>I</w:t>
            </w:r>
            <w:r w:rsidRPr="007E05E3">
              <w:t>nsurers would benefit by being able to rely on non</w:t>
            </w:r>
            <w:r w:rsidR="00214D95">
              <w:noBreakHyphen/>
            </w:r>
            <w:r w:rsidRPr="007E05E3">
              <w:t>disclosures by life insureds as a defence to claims, as well as their current righ</w:t>
            </w:r>
            <w:r>
              <w:t>t to rely on misrepresentations [3]</w:t>
            </w:r>
            <w:r w:rsidR="00214D95">
              <w:t xml:space="preserve">.  </w:t>
            </w:r>
          </w:p>
        </w:tc>
        <w:tc>
          <w:tcPr>
            <w:tcW w:w="2787" w:type="dxa"/>
            <w:shd w:val="clear" w:color="auto" w:fill="E6E6E6"/>
          </w:tcPr>
          <w:p w:rsidR="006A159E" w:rsidRPr="00FF1661" w:rsidRDefault="006A159E" w:rsidP="00AE6CC7">
            <w:pPr>
              <w:pStyle w:val="TableTextLeft"/>
              <w:keepNext/>
            </w:pPr>
            <w:r w:rsidRPr="007E05E3">
              <w:t xml:space="preserve">The proposed additional requirement that insureds notify life insureds of the duty of disclosure would result in additional </w:t>
            </w:r>
            <w:r>
              <w:t xml:space="preserve">compliance </w:t>
            </w:r>
            <w:r w:rsidRPr="007E05E3">
              <w:t>costs for insurers</w:t>
            </w:r>
            <w:r>
              <w:t xml:space="preserve"> [</w:t>
            </w:r>
            <w:r w:rsidR="00214D95">
              <w:noBreakHyphen/>
            </w:r>
            <w:r>
              <w:t>2]</w:t>
            </w:r>
            <w:r w:rsidR="00062686">
              <w:t>.</w:t>
            </w:r>
          </w:p>
        </w:tc>
      </w:tr>
      <w:tr w:rsidR="006A159E" w:rsidRPr="00FF1661" w:rsidTr="00E10149">
        <w:tc>
          <w:tcPr>
            <w:tcW w:w="2416" w:type="dxa"/>
            <w:shd w:val="clear" w:color="auto" w:fill="E6E6E6"/>
          </w:tcPr>
          <w:p w:rsidR="006A159E" w:rsidRPr="00785000" w:rsidRDefault="006A159E" w:rsidP="00AE6CC7">
            <w:pPr>
              <w:pStyle w:val="TableTextLeft"/>
              <w:keepNext/>
              <w:spacing w:before="20" w:after="20"/>
              <w:rPr>
                <w:b/>
              </w:rPr>
            </w:pPr>
            <w:r w:rsidRPr="00785000">
              <w:rPr>
                <w:b/>
              </w:rPr>
              <w:t>Insureds</w:t>
            </w:r>
          </w:p>
        </w:tc>
        <w:tc>
          <w:tcPr>
            <w:tcW w:w="2723" w:type="dxa"/>
            <w:shd w:val="clear" w:color="auto" w:fill="E6E6E6"/>
          </w:tcPr>
          <w:p w:rsidR="006A159E" w:rsidRPr="00FF1661" w:rsidRDefault="006A159E" w:rsidP="00AE6CC7">
            <w:pPr>
              <w:pStyle w:val="TableTextLeft"/>
              <w:keepNext/>
            </w:pPr>
            <w:r>
              <w:t>The savings to insurers by denying claims for non</w:t>
            </w:r>
            <w:r w:rsidR="00214D95">
              <w:noBreakHyphen/>
            </w:r>
            <w:r>
              <w:t>disclosure by life</w:t>
            </w:r>
            <w:r w:rsidR="00214D95">
              <w:noBreakHyphen/>
            </w:r>
            <w:r>
              <w:t>insureds could lead to</w:t>
            </w:r>
            <w:r w:rsidRPr="007E05E3">
              <w:t xml:space="preserve"> risk premiums </w:t>
            </w:r>
            <w:r>
              <w:t xml:space="preserve">for consumers </w:t>
            </w:r>
            <w:r w:rsidRPr="007E05E3">
              <w:t>[</w:t>
            </w:r>
            <w:r>
              <w:t>1</w:t>
            </w:r>
            <w:r w:rsidRPr="007E05E3">
              <w:t>]</w:t>
            </w:r>
            <w:r w:rsidR="00062686">
              <w:t>.</w:t>
            </w:r>
          </w:p>
        </w:tc>
        <w:tc>
          <w:tcPr>
            <w:tcW w:w="2787" w:type="dxa"/>
            <w:shd w:val="clear" w:color="auto" w:fill="E6E6E6"/>
          </w:tcPr>
          <w:p w:rsidR="006A159E" w:rsidRPr="00FF1661" w:rsidRDefault="006A159E" w:rsidP="00AE6CC7">
            <w:pPr>
              <w:pStyle w:val="TableTextLeft"/>
              <w:keepNext/>
            </w:pPr>
            <w:r>
              <w:t>A</w:t>
            </w:r>
            <w:r w:rsidRPr="007E05E3">
              <w:t xml:space="preserve">dditional </w:t>
            </w:r>
            <w:r>
              <w:t xml:space="preserve">compliance </w:t>
            </w:r>
            <w:r w:rsidRPr="007E05E3">
              <w:t>costs for insurers</w:t>
            </w:r>
            <w:r>
              <w:t xml:space="preserve"> may lead to increased </w:t>
            </w:r>
            <w:proofErr w:type="gramStart"/>
            <w:r>
              <w:t>premiums  for</w:t>
            </w:r>
            <w:proofErr w:type="gramEnd"/>
            <w:r>
              <w:t xml:space="preserve"> consumers</w:t>
            </w:r>
            <w:r w:rsidRPr="007E05E3">
              <w:t xml:space="preserve"> [</w:t>
            </w:r>
            <w:r w:rsidR="00214D95">
              <w:noBreakHyphen/>
            </w:r>
            <w:r>
              <w:t>1</w:t>
            </w:r>
            <w:r w:rsidRPr="007E05E3">
              <w:t>]</w:t>
            </w:r>
            <w:r w:rsidR="00062686">
              <w:t>.</w:t>
            </w:r>
          </w:p>
        </w:tc>
      </w:tr>
      <w:tr w:rsidR="006A159E" w:rsidRPr="00FF1661" w:rsidTr="00E10149">
        <w:tc>
          <w:tcPr>
            <w:tcW w:w="2416" w:type="dxa"/>
            <w:shd w:val="clear" w:color="auto" w:fill="E6E6E6"/>
          </w:tcPr>
          <w:p w:rsidR="006A159E" w:rsidRPr="00785000" w:rsidRDefault="006A159E" w:rsidP="0029684A">
            <w:pPr>
              <w:pStyle w:val="TableTextLeft"/>
              <w:rPr>
                <w:b/>
              </w:rPr>
            </w:pPr>
            <w:r w:rsidRPr="00785000">
              <w:rPr>
                <w:b/>
              </w:rPr>
              <w:t>Sub</w:t>
            </w:r>
            <w:r w:rsidR="00214D95">
              <w:rPr>
                <w:b/>
              </w:rPr>
              <w:noBreakHyphen/>
            </w:r>
            <w:r w:rsidRPr="00785000">
              <w:rPr>
                <w:b/>
              </w:rPr>
              <w:t>rating</w:t>
            </w:r>
          </w:p>
        </w:tc>
        <w:tc>
          <w:tcPr>
            <w:tcW w:w="2723" w:type="dxa"/>
            <w:shd w:val="clear" w:color="auto" w:fill="E6E6E6"/>
          </w:tcPr>
          <w:p w:rsidR="006A159E" w:rsidRPr="00785000" w:rsidRDefault="006A159E" w:rsidP="0029684A">
            <w:pPr>
              <w:pStyle w:val="TableTextLeft"/>
              <w:ind w:right="3"/>
              <w:jc w:val="center"/>
              <w:rPr>
                <w:b/>
              </w:rPr>
            </w:pPr>
            <w:r w:rsidRPr="00785000">
              <w:rPr>
                <w:b/>
              </w:rPr>
              <w:t>+4</w:t>
            </w:r>
          </w:p>
        </w:tc>
        <w:tc>
          <w:tcPr>
            <w:tcW w:w="2787" w:type="dxa"/>
            <w:shd w:val="clear" w:color="auto" w:fill="E6E6E6"/>
          </w:tcPr>
          <w:p w:rsidR="006A159E" w:rsidRPr="00785000" w:rsidRDefault="00214D95" w:rsidP="0029684A">
            <w:pPr>
              <w:pStyle w:val="TableTextLeft"/>
              <w:jc w:val="center"/>
              <w:rPr>
                <w:b/>
              </w:rPr>
            </w:pPr>
            <w:r>
              <w:rPr>
                <w:b/>
              </w:rPr>
              <w:noBreakHyphen/>
            </w:r>
            <w:r w:rsidR="006A159E" w:rsidRPr="00785000">
              <w:rPr>
                <w:b/>
              </w:rPr>
              <w:t>3</w:t>
            </w:r>
          </w:p>
        </w:tc>
      </w:tr>
      <w:tr w:rsidR="006A159E" w:rsidRPr="00FF1661" w:rsidTr="00E10149">
        <w:tc>
          <w:tcPr>
            <w:tcW w:w="2416" w:type="dxa"/>
            <w:shd w:val="clear" w:color="auto" w:fill="E6E6E6"/>
          </w:tcPr>
          <w:p w:rsidR="006A159E" w:rsidRPr="00785000" w:rsidRDefault="006A159E" w:rsidP="0029684A">
            <w:pPr>
              <w:pStyle w:val="TableTextLeft"/>
              <w:rPr>
                <w:b/>
              </w:rPr>
            </w:pPr>
            <w:r w:rsidRPr="00785000">
              <w:rPr>
                <w:b/>
              </w:rPr>
              <w:t>Overall rating</w:t>
            </w:r>
          </w:p>
        </w:tc>
        <w:tc>
          <w:tcPr>
            <w:tcW w:w="5510" w:type="dxa"/>
            <w:gridSpan w:val="2"/>
            <w:shd w:val="clear" w:color="auto" w:fill="E6E6E6"/>
          </w:tcPr>
          <w:p w:rsidR="006A159E" w:rsidRPr="00785000" w:rsidRDefault="006A159E" w:rsidP="0029684A">
            <w:pPr>
              <w:pStyle w:val="TableTextLeft"/>
              <w:jc w:val="center"/>
              <w:rPr>
                <w:b/>
              </w:rPr>
            </w:pPr>
            <w:r w:rsidRPr="00785000">
              <w:rPr>
                <w:b/>
              </w:rPr>
              <w:t>+1</w:t>
            </w:r>
          </w:p>
        </w:tc>
      </w:tr>
    </w:tbl>
    <w:p w:rsidR="006A159E" w:rsidRPr="00952D79" w:rsidRDefault="006A159E" w:rsidP="00AE6CC7">
      <w:pPr>
        <w:pStyle w:val="Heading4"/>
        <w:spacing w:before="360"/>
      </w:pPr>
      <w:bookmarkStart w:id="55" w:name="_Toc255909332"/>
      <w:r w:rsidRPr="00952D79">
        <w:t>Consultation</w:t>
      </w:r>
      <w:bookmarkEnd w:id="55"/>
    </w:p>
    <w:p w:rsidR="006A159E" w:rsidRPr="00876F02" w:rsidRDefault="006A159E" w:rsidP="006A159E">
      <w:pPr>
        <w:pStyle w:val="base-text-paragraph"/>
      </w:pPr>
      <w:r w:rsidRPr="00876F02">
        <w:t xml:space="preserve">In submissions to the </w:t>
      </w:r>
      <w:r>
        <w:t>Review Panel</w:t>
      </w:r>
      <w:r w:rsidRPr="00876F02">
        <w:t xml:space="preserve">, life insurance industry representatives strongly supported amending the </w:t>
      </w:r>
      <w:r>
        <w:t>ICA</w:t>
      </w:r>
      <w:r w:rsidRPr="00876F02">
        <w:t xml:space="preserve"> in t</w:t>
      </w:r>
      <w:r>
        <w:t>he manner proposed by Option B</w:t>
      </w:r>
      <w:r w:rsidR="00214D95">
        <w:t xml:space="preserve">.  </w:t>
      </w:r>
    </w:p>
    <w:p w:rsidR="006A159E" w:rsidRPr="00876F02" w:rsidRDefault="006A159E" w:rsidP="006A159E">
      <w:pPr>
        <w:pStyle w:val="base-text-paragraph"/>
      </w:pPr>
      <w:r w:rsidRPr="00876F02">
        <w:t xml:space="preserve">Representatives of the legal profession submitted that further evidence and consideration were necessary before Option </w:t>
      </w:r>
      <w:r>
        <w:t>B</w:t>
      </w:r>
      <w:r w:rsidRPr="00876F02">
        <w:t xml:space="preserve"> were considered</w:t>
      </w:r>
      <w:r w:rsidR="00214D95">
        <w:t xml:space="preserve">.  </w:t>
      </w:r>
      <w:r w:rsidRPr="00876F02">
        <w:t xml:space="preserve">A consumer representative body argued there was no empirical evidence to suggest the current formulation of section 25 had caused problems for insurers, and a legal aid </w:t>
      </w:r>
      <w:r>
        <w:t xml:space="preserve">commission </w:t>
      </w:r>
      <w:r w:rsidRPr="00876F02">
        <w:t>also opposed any reform of</w:t>
      </w:r>
      <w:r>
        <w:t xml:space="preserve"> the type proposed in Option B.</w:t>
      </w:r>
    </w:p>
    <w:p w:rsidR="006A159E" w:rsidRPr="002D52E2" w:rsidRDefault="006A159E" w:rsidP="006A159E">
      <w:pPr>
        <w:pStyle w:val="Heading4"/>
      </w:pPr>
      <w:bookmarkStart w:id="56" w:name="_Toc255909333"/>
      <w:r w:rsidRPr="002D52E2">
        <w:t>Conclusion</w:t>
      </w:r>
      <w:r>
        <w:t>s</w:t>
      </w:r>
      <w:r w:rsidRPr="002D52E2">
        <w:t xml:space="preserve"> and recommended option</w:t>
      </w:r>
      <w:r>
        <w:t>s</w:t>
      </w:r>
      <w:bookmarkEnd w:id="56"/>
    </w:p>
    <w:p w:rsidR="006A159E" w:rsidRDefault="006A159E" w:rsidP="006A159E">
      <w:pPr>
        <w:pStyle w:val="base-text-paragraph"/>
      </w:pPr>
      <w:r>
        <w:t>Non</w:t>
      </w:r>
      <w:r w:rsidR="00214D95">
        <w:noBreakHyphen/>
      </w:r>
      <w:r>
        <w:t>disclosure by a life insured may have a similar result to that of a misrepresentation by the life insured, in that a non</w:t>
      </w:r>
      <w:r w:rsidR="00214D95">
        <w:noBreakHyphen/>
      </w:r>
      <w:r>
        <w:t>disclosure may also adversely affect the reliability of information available to insurers to price their risk</w:t>
      </w:r>
      <w:r w:rsidR="00214D95">
        <w:t xml:space="preserve">.  </w:t>
      </w:r>
      <w:r>
        <w:t>Reducing information asymmetry between parties to a contract will achieve a fairer result for the parties and also third party beneficiaries.</w:t>
      </w:r>
    </w:p>
    <w:p w:rsidR="006A159E" w:rsidRPr="00876F02" w:rsidRDefault="006A159E" w:rsidP="006A159E">
      <w:pPr>
        <w:pStyle w:val="base-text-paragraph"/>
      </w:pPr>
      <w:r w:rsidRPr="00876F02">
        <w:t xml:space="preserve">Option </w:t>
      </w:r>
      <w:r>
        <w:t>B</w:t>
      </w:r>
      <w:r w:rsidRPr="00876F02">
        <w:t xml:space="preserve"> ensures that non</w:t>
      </w:r>
      <w:r w:rsidR="00214D95">
        <w:noBreakHyphen/>
      </w:r>
      <w:r w:rsidRPr="00876F02">
        <w:t xml:space="preserve">disclosure by a life insured would have similar ramifications </w:t>
      </w:r>
      <w:r>
        <w:t>to</w:t>
      </w:r>
      <w:r w:rsidRPr="00876F02">
        <w:t xml:space="preserve"> a misrep</w:t>
      </w:r>
      <w:r>
        <w:t>resentation</w:t>
      </w:r>
      <w:r w:rsidR="00214D95">
        <w:t xml:space="preserve">.  </w:t>
      </w:r>
      <w:r>
        <w:t>This will help to e</w:t>
      </w:r>
      <w:r w:rsidRPr="00876F02">
        <w:t xml:space="preserve">nsure insurers are fully informed about the relevant risks so that they can price </w:t>
      </w:r>
      <w:r>
        <w:t>them</w:t>
      </w:r>
      <w:r w:rsidRPr="00876F02">
        <w:t xml:space="preserve"> accordingly</w:t>
      </w:r>
      <w:r w:rsidR="00214D95">
        <w:t xml:space="preserve">.  </w:t>
      </w:r>
      <w:r w:rsidRPr="00876F02">
        <w:t xml:space="preserve">Failure to disclose </w:t>
      </w:r>
      <w:r>
        <w:t xml:space="preserve">by a life insured </w:t>
      </w:r>
      <w:r w:rsidRPr="00876F02">
        <w:t>would have the same impact for insureds as a misrepresentation by a life insured</w:t>
      </w:r>
      <w:r w:rsidR="00214D95">
        <w:t xml:space="preserve">.  </w:t>
      </w:r>
      <w:r>
        <w:t xml:space="preserve">Although </w:t>
      </w:r>
      <w:r w:rsidRPr="00876F02">
        <w:t>life insureds would be subject t</w:t>
      </w:r>
      <w:r>
        <w:t>o a duty of disclosure to which they are not currently subject, the non</w:t>
      </w:r>
      <w:r w:rsidR="00214D95">
        <w:noBreakHyphen/>
      </w:r>
      <w:r>
        <w:t>disclosure would be imputed to the insured.</w:t>
      </w:r>
    </w:p>
    <w:p w:rsidR="006A159E" w:rsidRPr="00876F02" w:rsidRDefault="006A159E" w:rsidP="006A159E">
      <w:pPr>
        <w:pStyle w:val="base-text-paragraph"/>
      </w:pPr>
      <w:r w:rsidRPr="00876F02">
        <w:lastRenderedPageBreak/>
        <w:t>If a life insured</w:t>
      </w:r>
      <w:r w:rsidR="00035750">
        <w:t>’</w:t>
      </w:r>
      <w:r w:rsidRPr="00876F02">
        <w:t>s non</w:t>
      </w:r>
      <w:r w:rsidR="00214D95">
        <w:noBreakHyphen/>
      </w:r>
      <w:r w:rsidRPr="00876F02">
        <w:t>disclosure or misrepresentation is to be imputed to an insured</w:t>
      </w:r>
      <w:r>
        <w:t>,</w:t>
      </w:r>
      <w:r w:rsidRPr="00876F02">
        <w:t xml:space="preserve"> then it follows that the life insured should receive some notice that this </w:t>
      </w:r>
      <w:r>
        <w:t>may</w:t>
      </w:r>
      <w:r w:rsidRPr="00876F02">
        <w:t xml:space="preserve"> occur</w:t>
      </w:r>
      <w:r w:rsidR="00214D95">
        <w:t xml:space="preserve">.  </w:t>
      </w:r>
      <w:r w:rsidRPr="00876F02">
        <w:t xml:space="preserve">A key principle underlying the ALRC recommendations that gave rise to the </w:t>
      </w:r>
      <w:r>
        <w:t>ICA</w:t>
      </w:r>
      <w:r w:rsidRPr="00876F02">
        <w:t xml:space="preserve"> was that consumers should receive all the information relevant to their contract of insurance and therefore the notice requirement in Option </w:t>
      </w:r>
      <w:r>
        <w:t>B</w:t>
      </w:r>
      <w:r w:rsidRPr="00876F02">
        <w:t xml:space="preserve"> appears appropriate</w:t>
      </w:r>
      <w:r w:rsidR="00214D95">
        <w:t xml:space="preserve">.  </w:t>
      </w:r>
      <w:r w:rsidRPr="00876F02">
        <w:t>Insurers would usually communicate with life insureds about their disclosure obligations</w:t>
      </w:r>
      <w:r>
        <w:t xml:space="preserve">, </w:t>
      </w:r>
      <w:r w:rsidRPr="00876F02">
        <w:t>so it is reasonable that the insurer provide information about the duty directly as part of that process</w:t>
      </w:r>
      <w:r>
        <w:t>,</w:t>
      </w:r>
      <w:r w:rsidRPr="00876F02">
        <w:t xml:space="preserve"> rather than relying on indirect channels through the insured.</w:t>
      </w:r>
    </w:p>
    <w:p w:rsidR="006A159E" w:rsidRPr="00876F02" w:rsidRDefault="006A159E" w:rsidP="006A159E">
      <w:pPr>
        <w:pStyle w:val="base-text-paragraph"/>
      </w:pPr>
      <w:r w:rsidRPr="00876F02">
        <w:t xml:space="preserve">Although Option </w:t>
      </w:r>
      <w:r>
        <w:t>B</w:t>
      </w:r>
      <w:r w:rsidRPr="00876F02">
        <w:t xml:space="preserve"> does impose some additional costs for life insurers (in relation to the notification obligation) and life insureds (in respect of the broader duty), it is preferred over Option </w:t>
      </w:r>
      <w:r>
        <w:t>A</w:t>
      </w:r>
      <w:r w:rsidRPr="00876F02">
        <w:t xml:space="preserve"> in order to ensure that non</w:t>
      </w:r>
      <w:r w:rsidR="00214D95">
        <w:noBreakHyphen/>
      </w:r>
      <w:r w:rsidRPr="00876F02">
        <w:t>disclosure by a life insured is dealt with appropriately</w:t>
      </w:r>
      <w:r>
        <w:t>,</w:t>
      </w:r>
      <w:r w:rsidRPr="00876F02">
        <w:t xml:space="preserve"> and insurers may deny or reduce claims in appropriate circumstances if non</w:t>
      </w:r>
      <w:r w:rsidR="00214D95">
        <w:noBreakHyphen/>
      </w:r>
      <w:r w:rsidRPr="00876F02">
        <w:t xml:space="preserve">disclosure by a life </w:t>
      </w:r>
      <w:r>
        <w:t>insured occurs.</w:t>
      </w:r>
    </w:p>
    <w:p w:rsidR="006A159E" w:rsidRPr="004D5271" w:rsidRDefault="006A159E" w:rsidP="006A159E">
      <w:pPr>
        <w:pStyle w:val="Heading3"/>
      </w:pPr>
      <w:bookmarkStart w:id="57" w:name="_Toc255909334"/>
      <w:bookmarkStart w:id="58" w:name="_Toc338331862"/>
      <w:r w:rsidRPr="004D5271">
        <w:t>Life insurance remedies</w:t>
      </w:r>
      <w:bookmarkEnd w:id="57"/>
      <w:bookmarkEnd w:id="58"/>
    </w:p>
    <w:p w:rsidR="006A159E" w:rsidRPr="004D5271" w:rsidRDefault="006A159E" w:rsidP="006A159E">
      <w:pPr>
        <w:pStyle w:val="Heading4"/>
      </w:pPr>
      <w:bookmarkStart w:id="59" w:name="_Toc255909335"/>
      <w:r w:rsidRPr="004D5271">
        <w:t>Problem</w:t>
      </w:r>
      <w:bookmarkEnd w:id="59"/>
    </w:p>
    <w:p w:rsidR="006A159E" w:rsidRDefault="006A159E" w:rsidP="006A159E">
      <w:pPr>
        <w:pStyle w:val="base-text-paragraph"/>
      </w:pPr>
      <w:r w:rsidRPr="004D5271">
        <w:t xml:space="preserve">The current provisions in the </w:t>
      </w:r>
      <w:r>
        <w:t>ICA</w:t>
      </w:r>
      <w:r w:rsidRPr="004D5271">
        <w:t xml:space="preserve"> that deal with the remedies available to a life insurer are of long standing</w:t>
      </w:r>
      <w:r w:rsidR="00214D95">
        <w:t xml:space="preserve">.  </w:t>
      </w:r>
      <w:r>
        <w:t>The</w:t>
      </w:r>
      <w:r w:rsidRPr="004D5271">
        <w:t xml:space="preserve"> life insurance industry argues that the remedies are now inadequate and inappropriate for </w:t>
      </w:r>
      <w:r>
        <w:t>many</w:t>
      </w:r>
      <w:r w:rsidRPr="004D5271">
        <w:t xml:space="preserve"> </w:t>
      </w:r>
      <w:r>
        <w:t xml:space="preserve">life insurance </w:t>
      </w:r>
      <w:r w:rsidRPr="004D5271">
        <w:t xml:space="preserve">products </w:t>
      </w:r>
      <w:r>
        <w:t>now</w:t>
      </w:r>
      <w:r w:rsidRPr="004D5271">
        <w:t xml:space="preserve"> </w:t>
      </w:r>
      <w:r>
        <w:t>on the market</w:t>
      </w:r>
      <w:r w:rsidRPr="004D5271">
        <w:t>.</w:t>
      </w:r>
    </w:p>
    <w:p w:rsidR="006A159E" w:rsidRDefault="006A159E" w:rsidP="006A159E">
      <w:pPr>
        <w:pStyle w:val="base-text-paragraph"/>
      </w:pPr>
      <w:r>
        <w:t xml:space="preserve">Sections </w:t>
      </w:r>
      <w:r w:rsidRPr="00526DE4">
        <w:t>29 and 30</w:t>
      </w:r>
      <w:r>
        <w:t xml:space="preserve"> of the ICA provide remedies for life insurers in relation to misstatements, misrepresentations and non</w:t>
      </w:r>
      <w:r w:rsidR="00214D95">
        <w:noBreakHyphen/>
      </w:r>
      <w:r>
        <w:t>disclosures</w:t>
      </w:r>
      <w:r w:rsidR="00214D95">
        <w:t xml:space="preserve">.  </w:t>
      </w:r>
      <w:r>
        <w:t xml:space="preserve">If there is </w:t>
      </w:r>
      <w:proofErr w:type="gramStart"/>
      <w:r>
        <w:t>a misstatement</w:t>
      </w:r>
      <w:proofErr w:type="gramEnd"/>
      <w:r>
        <w:t xml:space="preserve"> about the date of birth of a life insured, section 30 provides for a remedy for the insurer, based on the principle of proportionality, to vary the sum insured or adjust/refund premiums</w:t>
      </w:r>
      <w:r w:rsidR="00214D95">
        <w:t xml:space="preserve">.  </w:t>
      </w:r>
      <w:r>
        <w:t>The remedies in section 29 deal with pre</w:t>
      </w:r>
      <w:r w:rsidR="00214D95">
        <w:noBreakHyphen/>
      </w:r>
      <w:r>
        <w:t>contractual misrepresentations and non</w:t>
      </w:r>
      <w:r w:rsidR="00214D95">
        <w:noBreakHyphen/>
      </w:r>
      <w:r>
        <w:t>disclosure about relevant matters other than age/date of birth</w:t>
      </w:r>
      <w:r w:rsidR="00214D95">
        <w:t xml:space="preserve">.  </w:t>
      </w:r>
      <w:r>
        <w:t xml:space="preserve">In summary: </w:t>
      </w:r>
    </w:p>
    <w:p w:rsidR="006A159E" w:rsidRPr="00D630F7" w:rsidRDefault="006A159E" w:rsidP="006A159E">
      <w:pPr>
        <w:pStyle w:val="dotpoint"/>
      </w:pPr>
      <w:r w:rsidRPr="00D630F7">
        <w:t>the only remedy for fraudulent non</w:t>
      </w:r>
      <w:r w:rsidR="00214D95">
        <w:noBreakHyphen/>
      </w:r>
      <w:r w:rsidRPr="00D630F7">
        <w:t>disclosure or misrepresentation is avoidance</w:t>
      </w:r>
      <w:r>
        <w:t xml:space="preserve"> of the contract</w:t>
      </w:r>
      <w:r w:rsidRPr="00D630F7">
        <w:t>;</w:t>
      </w:r>
    </w:p>
    <w:p w:rsidR="006A159E" w:rsidRDefault="006A159E" w:rsidP="006A159E">
      <w:pPr>
        <w:pStyle w:val="dotpoint"/>
      </w:pPr>
      <w:r w:rsidRPr="00D630F7">
        <w:t>the only remed</w:t>
      </w:r>
      <w:r>
        <w:t>ies</w:t>
      </w:r>
      <w:r w:rsidRPr="00D630F7">
        <w:t xml:space="preserve"> for innocent non</w:t>
      </w:r>
      <w:r w:rsidR="00214D95">
        <w:noBreakHyphen/>
      </w:r>
      <w:r w:rsidRPr="00D630F7">
        <w:t xml:space="preserve">disclosure or misrepresentation discovered within three years </w:t>
      </w:r>
      <w:r>
        <w:t>are either:</w:t>
      </w:r>
    </w:p>
    <w:p w:rsidR="006A159E" w:rsidRDefault="006A159E" w:rsidP="006A159E">
      <w:pPr>
        <w:pStyle w:val="dotpoint2"/>
      </w:pPr>
      <w:r w:rsidRPr="00D630F7">
        <w:t xml:space="preserve">a </w:t>
      </w:r>
      <w:r>
        <w:t>variation of the</w:t>
      </w:r>
      <w:r w:rsidRPr="00D630F7">
        <w:t xml:space="preserve"> sum insured</w:t>
      </w:r>
      <w:r>
        <w:t xml:space="preserve"> to an amount not less than by a factor calculated by reference to the premiums actually charged as a proportion of the premiums that </w:t>
      </w:r>
      <w:r>
        <w:lastRenderedPageBreak/>
        <w:t>would have been charged if the non</w:t>
      </w:r>
      <w:r w:rsidR="00214D95">
        <w:noBreakHyphen/>
      </w:r>
      <w:r>
        <w:t>disclosure or misrepresentation had not occurred; or</w:t>
      </w:r>
    </w:p>
    <w:p w:rsidR="006A159E" w:rsidRPr="00D630F7" w:rsidRDefault="006A159E" w:rsidP="006A159E">
      <w:pPr>
        <w:pStyle w:val="dotpoint2"/>
      </w:pPr>
      <w:r>
        <w:t xml:space="preserve">if the insurer would not have been prepared to enter into a contract of life insurance </w:t>
      </w:r>
      <w:r w:rsidRPr="00116659">
        <w:rPr>
          <w:i/>
        </w:rPr>
        <w:t>on any terms</w:t>
      </w:r>
      <w:r>
        <w:t xml:space="preserve"> it may avoid the contract;</w:t>
      </w:r>
    </w:p>
    <w:p w:rsidR="006A159E" w:rsidRPr="00D630F7" w:rsidRDefault="006A159E" w:rsidP="006A159E">
      <w:pPr>
        <w:pStyle w:val="dotpoint"/>
      </w:pPr>
      <w:proofErr w:type="gramStart"/>
      <w:r w:rsidRPr="00D630F7">
        <w:t>there</w:t>
      </w:r>
      <w:proofErr w:type="gramEnd"/>
      <w:r w:rsidRPr="00D630F7">
        <w:t xml:space="preserve"> is no remedy for innocent non</w:t>
      </w:r>
      <w:r w:rsidR="00214D95">
        <w:noBreakHyphen/>
      </w:r>
      <w:r w:rsidRPr="00D630F7">
        <w:t>disclosure or misrepresentation discovered after three years.</w:t>
      </w:r>
    </w:p>
    <w:p w:rsidR="006A159E" w:rsidRDefault="006A159E" w:rsidP="006A159E">
      <w:pPr>
        <w:pStyle w:val="base-text-paragraph"/>
      </w:pPr>
      <w:r w:rsidRPr="004D5271">
        <w:t>The</w:t>
      </w:r>
      <w:r>
        <w:t xml:space="preserve"> remedies in sections 29 and 30</w:t>
      </w:r>
      <w:r w:rsidRPr="004D5271">
        <w:t xml:space="preserve"> derive from remedies formerly available under the </w:t>
      </w:r>
      <w:r w:rsidRPr="004D5271">
        <w:rPr>
          <w:i/>
        </w:rPr>
        <w:t>Life Insurance Act 1945</w:t>
      </w:r>
      <w:r w:rsidR="00214D95">
        <w:rPr>
          <w:i/>
        </w:rPr>
        <w:t xml:space="preserve">.  </w:t>
      </w:r>
      <w:r>
        <w:t xml:space="preserve">They were designed for the </w:t>
      </w:r>
      <w:r w:rsidR="00035750">
        <w:t>‘</w:t>
      </w:r>
      <w:r w:rsidRPr="004D5271">
        <w:t>traditional</w:t>
      </w:r>
      <w:r w:rsidR="00035750">
        <w:t>’</w:t>
      </w:r>
      <w:r w:rsidRPr="004D5271">
        <w:t xml:space="preserve"> life insurance products that were </w:t>
      </w:r>
      <w:r>
        <w:t>common</w:t>
      </w:r>
      <w:r w:rsidRPr="004D5271">
        <w:t xml:space="preserve"> at the time the remedies were developed</w:t>
      </w:r>
      <w:r>
        <w:t xml:space="preserve"> (</w:t>
      </w:r>
      <w:r>
        <w:rPr>
          <w:color w:val="000000"/>
        </w:rPr>
        <w:t>for example, whole of life and endowment policies)</w:t>
      </w:r>
      <w:r w:rsidR="00214D95">
        <w:t xml:space="preserve">.  </w:t>
      </w:r>
      <w:r>
        <w:t>Traditional products such as these were</w:t>
      </w:r>
      <w:r w:rsidRPr="004D5271">
        <w:t xml:space="preserve"> </w:t>
      </w:r>
      <w:r>
        <w:t xml:space="preserve">long term, </w:t>
      </w:r>
      <w:r w:rsidRPr="004D5271">
        <w:t>provide</w:t>
      </w:r>
      <w:r>
        <w:t>d</w:t>
      </w:r>
      <w:r w:rsidRPr="004D5271">
        <w:t xml:space="preserve"> for cover on death and</w:t>
      </w:r>
      <w:r>
        <w:t xml:space="preserve"> had a surrender value</w:t>
      </w:r>
      <w:r w:rsidR="00214D95">
        <w:t xml:space="preserve">.  </w:t>
      </w:r>
      <w:r>
        <w:t xml:space="preserve">A surrender value is, in effect, an investment (rather than a risk) component that provides for </w:t>
      </w:r>
      <w:r w:rsidRPr="004D5271">
        <w:t>an amount payable to an insured should their contract be termin</w:t>
      </w:r>
      <w:r>
        <w:t>ated before the end of its term</w:t>
      </w:r>
      <w:r w:rsidR="00214D95">
        <w:t xml:space="preserve">.  </w:t>
      </w:r>
    </w:p>
    <w:p w:rsidR="006A159E" w:rsidRPr="004D5271" w:rsidRDefault="006A159E" w:rsidP="006A159E">
      <w:pPr>
        <w:pStyle w:val="base-text-paragraph"/>
      </w:pPr>
      <w:r>
        <w:t>A</w:t>
      </w:r>
      <w:r w:rsidRPr="004D5271">
        <w:t>rgu</w:t>
      </w:r>
      <w:r>
        <w:t>ing</w:t>
      </w:r>
      <w:r w:rsidRPr="004D5271">
        <w:t xml:space="preserve"> that the remedies </w:t>
      </w:r>
      <w:r>
        <w:t>for non</w:t>
      </w:r>
      <w:r w:rsidR="00214D95">
        <w:noBreakHyphen/>
      </w:r>
      <w:r>
        <w:t xml:space="preserve">disclosure </w:t>
      </w:r>
      <w:r w:rsidRPr="004D5271">
        <w:t xml:space="preserve">are now inadequate and inappropriate for </w:t>
      </w:r>
      <w:r>
        <w:t>many</w:t>
      </w:r>
      <w:r w:rsidRPr="004D5271">
        <w:t xml:space="preserve"> </w:t>
      </w:r>
      <w:r>
        <w:t xml:space="preserve">life insurance </w:t>
      </w:r>
      <w:r w:rsidRPr="004D5271">
        <w:t xml:space="preserve">products </w:t>
      </w:r>
      <w:r>
        <w:t>now</w:t>
      </w:r>
      <w:r w:rsidRPr="004D5271">
        <w:t xml:space="preserve"> </w:t>
      </w:r>
      <w:r>
        <w:t xml:space="preserve">on the market, </w:t>
      </w:r>
      <w:r w:rsidRPr="004D5271">
        <w:t>life insurance industry representatives</w:t>
      </w:r>
      <w:r>
        <w:t xml:space="preserve">, in </w:t>
      </w:r>
      <w:r w:rsidRPr="004D5271">
        <w:t xml:space="preserve">a submission to the </w:t>
      </w:r>
      <w:r>
        <w:t>Review Panel,</w:t>
      </w:r>
      <w:r w:rsidRPr="004D5271">
        <w:t xml:space="preserve"> </w:t>
      </w:r>
      <w:r>
        <w:t xml:space="preserve">identified </w:t>
      </w:r>
      <w:r w:rsidRPr="004D5271">
        <w:t>the following developments</w:t>
      </w:r>
      <w:r>
        <w:t xml:space="preserve"> in the life insurance market that </w:t>
      </w:r>
      <w:r w:rsidRPr="004D5271">
        <w:t xml:space="preserve">had taken place since the </w:t>
      </w:r>
      <w:r>
        <w:t>ICA</w:t>
      </w:r>
      <w:r w:rsidRPr="004D5271">
        <w:t xml:space="preserve"> commenced operation:</w:t>
      </w:r>
    </w:p>
    <w:p w:rsidR="006A159E" w:rsidRPr="004D5271" w:rsidRDefault="006A159E" w:rsidP="006A159E">
      <w:pPr>
        <w:pStyle w:val="dotpoint"/>
      </w:pPr>
      <w:r w:rsidRPr="004D5271">
        <w:t xml:space="preserve">the increasing popularity of </w:t>
      </w:r>
      <w:r>
        <w:t>risk</w:t>
      </w:r>
      <w:r w:rsidR="00214D95">
        <w:noBreakHyphen/>
      </w:r>
      <w:r>
        <w:t xml:space="preserve">only products </w:t>
      </w:r>
      <w:r w:rsidRPr="004D5271">
        <w:t xml:space="preserve">such as income protection </w:t>
      </w:r>
      <w:r>
        <w:t xml:space="preserve">(IP) </w:t>
      </w:r>
      <w:r w:rsidRPr="004D5271">
        <w:t>and total and permanent disablement (TPD) insurance, as well as trauma/critical illness</w:t>
      </w:r>
      <w:r>
        <w:t xml:space="preserve"> and term life insurance:</w:t>
      </w:r>
    </w:p>
    <w:p w:rsidR="006A159E" w:rsidRPr="004D5271" w:rsidRDefault="006A159E" w:rsidP="006A159E">
      <w:pPr>
        <w:pStyle w:val="dotpoint"/>
      </w:pPr>
      <w:r w:rsidRPr="004D5271">
        <w:t xml:space="preserve">the practice by some life insurers of selling multiple types of cover within one contract (for example, </w:t>
      </w:r>
      <w:r w:rsidR="00035750">
        <w:t>‘</w:t>
      </w:r>
      <w:r w:rsidRPr="004D5271">
        <w:t>bundled</w:t>
      </w:r>
      <w:r w:rsidR="00035750">
        <w:t>’</w:t>
      </w:r>
      <w:r w:rsidRPr="004D5271">
        <w:t xml:space="preserve"> contracts);</w:t>
      </w:r>
    </w:p>
    <w:p w:rsidR="006A159E" w:rsidRDefault="006A159E" w:rsidP="006A159E">
      <w:pPr>
        <w:pStyle w:val="dotpoint"/>
      </w:pPr>
      <w:r w:rsidRPr="004D5271">
        <w:t xml:space="preserve">the incidence of life insurance products allowing for more than one life insured; </w:t>
      </w:r>
    </w:p>
    <w:p w:rsidR="006A159E" w:rsidRPr="004D5271" w:rsidRDefault="006A159E" w:rsidP="006A159E">
      <w:pPr>
        <w:pStyle w:val="dotpoint"/>
      </w:pPr>
      <w:r>
        <w:t xml:space="preserve">the increasing proportion of policies taken out on a short term basis; </w:t>
      </w:r>
      <w:r w:rsidRPr="004D5271">
        <w:t>and</w:t>
      </w:r>
    </w:p>
    <w:p w:rsidR="006A159E" w:rsidRPr="004D5271" w:rsidRDefault="006A159E" w:rsidP="006A159E">
      <w:pPr>
        <w:pStyle w:val="dotpoint"/>
      </w:pPr>
      <w:proofErr w:type="gramStart"/>
      <w:r w:rsidRPr="004D5271">
        <w:t>developments</w:t>
      </w:r>
      <w:proofErr w:type="gramEnd"/>
      <w:r w:rsidRPr="004D5271">
        <w:t xml:space="preserve"> in underwriting practices to take account of the changing nature of life insurance products available.</w:t>
      </w:r>
    </w:p>
    <w:p w:rsidR="006A159E" w:rsidRPr="0009477A" w:rsidRDefault="006A159E" w:rsidP="006A159E">
      <w:pPr>
        <w:pStyle w:val="base-text-paragraph"/>
      </w:pPr>
      <w:r>
        <w:t xml:space="preserve">The submission argued that the prescriptive and inflexible nature of the remedies in section 29 no longer provides a fair balance between </w:t>
      </w:r>
      <w:r>
        <w:lastRenderedPageBreak/>
        <w:t>the interests of insurers and insureds.</w:t>
      </w:r>
      <w:r>
        <w:rPr>
          <w:rStyle w:val="FootnoteReference"/>
        </w:rPr>
        <w:footnoteReference w:id="10"/>
      </w:r>
      <w:r>
        <w:t xml:space="preserve">  For example, </w:t>
      </w:r>
      <w:r w:rsidRPr="004D5271">
        <w:t xml:space="preserve">if different types of life cover are bundled in the same contract, </w:t>
      </w:r>
      <w:r>
        <w:t>which often occurs</w:t>
      </w:r>
      <w:r w:rsidR="002E41B9">
        <w:t>,</w:t>
      </w:r>
      <w:r>
        <w:rPr>
          <w:rStyle w:val="FootnoteReference"/>
        </w:rPr>
        <w:footnoteReference w:id="11"/>
      </w:r>
      <w:r>
        <w:t xml:space="preserve"> </w:t>
      </w:r>
      <w:r w:rsidRPr="004D5271">
        <w:t xml:space="preserve">the </w:t>
      </w:r>
      <w:r>
        <w:t>section 29 remedies are not sufficiently flexible to</w:t>
      </w:r>
      <w:r w:rsidRPr="004D5271">
        <w:t xml:space="preserve"> allow avoidance </w:t>
      </w:r>
      <w:r>
        <w:t xml:space="preserve">of the contract by the insurer </w:t>
      </w:r>
      <w:r w:rsidRPr="004D5271">
        <w:t>or correction of one cover</w:t>
      </w:r>
      <w:r>
        <w:t xml:space="preserve"> that is affected by a non</w:t>
      </w:r>
      <w:r w:rsidR="00214D95">
        <w:noBreakHyphen/>
      </w:r>
      <w:r>
        <w:t xml:space="preserve">disclosure or a misrepresentation </w:t>
      </w:r>
      <w:r w:rsidRPr="004D5271">
        <w:t>without affecting the other cover(s) bundled in the same contract</w:t>
      </w:r>
      <w:r w:rsidR="002E41B9">
        <w:t>.</w:t>
      </w:r>
      <w:r>
        <w:rPr>
          <w:rStyle w:val="FootnoteReference"/>
        </w:rPr>
        <w:footnoteReference w:id="12"/>
      </w:r>
    </w:p>
    <w:p w:rsidR="006A159E" w:rsidRPr="004D5271" w:rsidRDefault="006A159E" w:rsidP="006A159E">
      <w:pPr>
        <w:pStyle w:val="base-text-paragraph"/>
      </w:pPr>
      <w:r w:rsidRPr="004D5271">
        <w:t xml:space="preserve">Life insurance industry representatives </w:t>
      </w:r>
      <w:r>
        <w:t xml:space="preserve">also </w:t>
      </w:r>
      <w:r w:rsidRPr="004D5271">
        <w:t>argued that the relative inflexibility of remedies in section 29 frequently leads to inequitable results</w:t>
      </w:r>
      <w:r>
        <w:t xml:space="preserve"> for the insured</w:t>
      </w:r>
      <w:r w:rsidR="00214D95">
        <w:t xml:space="preserve">.  </w:t>
      </w:r>
      <w:r w:rsidRPr="004D5271">
        <w:t xml:space="preserve">For example, if an insured </w:t>
      </w:r>
      <w:r>
        <w:t xml:space="preserve">innocently </w:t>
      </w:r>
      <w:r w:rsidRPr="004D5271">
        <w:t xml:space="preserve">failed to disclose that they </w:t>
      </w:r>
      <w:r>
        <w:t>were</w:t>
      </w:r>
      <w:r w:rsidRPr="004D5271">
        <w:t xml:space="preserve"> a smoker</w:t>
      </w:r>
      <w:r>
        <w:t xml:space="preserve"> and this was discovered by the insurer within three years</w:t>
      </w:r>
      <w:r w:rsidRPr="004D5271">
        <w:t xml:space="preserve">, an appropriate remedy could be </w:t>
      </w:r>
      <w:r>
        <w:t xml:space="preserve">to continue the insurance as initially agreed but to set </w:t>
      </w:r>
      <w:r w:rsidRPr="004D5271">
        <w:t>a higher premium</w:t>
      </w:r>
      <w:r>
        <w:t xml:space="preserve"> rather than relying on the available section 29</w:t>
      </w:r>
      <w:r w:rsidRPr="004D5271">
        <w:t xml:space="preserve"> remedy </w:t>
      </w:r>
      <w:r>
        <w:t>of reducing</w:t>
      </w:r>
      <w:r w:rsidRPr="004D5271">
        <w:t xml:space="preserve"> the </w:t>
      </w:r>
      <w:r>
        <w:t xml:space="preserve">sum insured: a </w:t>
      </w:r>
      <w:r w:rsidRPr="004D5271">
        <w:t>harsher penalt</w:t>
      </w:r>
      <w:r>
        <w:t>y</w:t>
      </w:r>
      <w:r w:rsidRPr="004D5271">
        <w:t xml:space="preserve"> </w:t>
      </w:r>
      <w:r>
        <w:t xml:space="preserve">for the insured </w:t>
      </w:r>
      <w:r w:rsidRPr="004D5271">
        <w:t xml:space="preserve">than </w:t>
      </w:r>
      <w:r>
        <w:t>may have been</w:t>
      </w:r>
      <w:r w:rsidRPr="004D5271">
        <w:t xml:space="preserve"> </w:t>
      </w:r>
      <w:r>
        <w:t>needed</w:t>
      </w:r>
      <w:r w:rsidRPr="004D5271">
        <w:t xml:space="preserve"> or appropriate in the circumstances.</w:t>
      </w:r>
    </w:p>
    <w:p w:rsidR="006A159E" w:rsidRPr="00E66C19" w:rsidRDefault="006A159E" w:rsidP="006A159E">
      <w:pPr>
        <w:pStyle w:val="Heading4"/>
        <w:rPr>
          <w:bCs/>
          <w:color w:val="000000"/>
          <w:sz w:val="24"/>
          <w:szCs w:val="26"/>
        </w:rPr>
      </w:pPr>
      <w:r w:rsidRPr="00E66C19">
        <w:t>Objective</w:t>
      </w:r>
    </w:p>
    <w:p w:rsidR="006A159E" w:rsidRPr="004D5271" w:rsidRDefault="006A159E" w:rsidP="006A159E">
      <w:pPr>
        <w:pStyle w:val="base-text-paragraph"/>
      </w:pPr>
      <w:r w:rsidRPr="004D5271">
        <w:t xml:space="preserve">The objective is to ensure that remedies in respect of </w:t>
      </w:r>
      <w:r>
        <w:t>pre</w:t>
      </w:r>
      <w:r w:rsidR="00214D95">
        <w:noBreakHyphen/>
      </w:r>
      <w:r>
        <w:t xml:space="preserve">contractual </w:t>
      </w:r>
      <w:r w:rsidRPr="004D5271">
        <w:t>misrepresentation and non</w:t>
      </w:r>
      <w:r w:rsidR="00214D95">
        <w:noBreakHyphen/>
      </w:r>
      <w:r w:rsidRPr="004D5271">
        <w:t xml:space="preserve">disclosure </w:t>
      </w:r>
      <w:r>
        <w:t xml:space="preserve">by insureds </w:t>
      </w:r>
      <w:r w:rsidRPr="004D5271">
        <w:t xml:space="preserve">provide adequate redress for </w:t>
      </w:r>
      <w:r>
        <w:t xml:space="preserve">life </w:t>
      </w:r>
      <w:r w:rsidRPr="004D5271">
        <w:t>insurers but do not result in penalties for insureds that are disproportionate to the loss suffered by the insurer.</w:t>
      </w:r>
    </w:p>
    <w:p w:rsidR="006A159E" w:rsidRPr="004D5271" w:rsidRDefault="006A159E" w:rsidP="006A159E">
      <w:pPr>
        <w:pStyle w:val="Heading4"/>
      </w:pPr>
      <w:bookmarkStart w:id="60" w:name="_Toc255909336"/>
      <w:r w:rsidRPr="004D5271">
        <w:t>Options</w:t>
      </w:r>
      <w:bookmarkEnd w:id="60"/>
    </w:p>
    <w:p w:rsidR="006A159E" w:rsidRPr="004D5271" w:rsidRDefault="006A159E" w:rsidP="006A159E">
      <w:pPr>
        <w:pStyle w:val="Heading5"/>
      </w:pPr>
      <w:r w:rsidRPr="004D5271">
        <w:t xml:space="preserve">Option </w:t>
      </w:r>
      <w:r>
        <w:t>A</w:t>
      </w:r>
      <w:r w:rsidRPr="004D5271">
        <w:t>:</w:t>
      </w:r>
      <w:r w:rsidRPr="004D5271">
        <w:tab/>
      </w:r>
      <w:r>
        <w:t>Do nothing</w:t>
      </w:r>
    </w:p>
    <w:p w:rsidR="006A159E" w:rsidRPr="004D5271" w:rsidRDefault="006A159E" w:rsidP="006A159E">
      <w:pPr>
        <w:pStyle w:val="base-text-paragraph"/>
      </w:pPr>
      <w:r w:rsidRPr="004D5271">
        <w:t xml:space="preserve">Under this option, the specialised life insurance remedies in section 29 </w:t>
      </w:r>
      <w:r>
        <w:t xml:space="preserve">would </w:t>
      </w:r>
      <w:r w:rsidRPr="004D5271">
        <w:t>continue to apply to all types of life insurance.</w:t>
      </w:r>
    </w:p>
    <w:p w:rsidR="006A159E" w:rsidRPr="004D5271" w:rsidRDefault="006A159E" w:rsidP="006A159E">
      <w:pPr>
        <w:pStyle w:val="Heading5"/>
      </w:pPr>
      <w:r w:rsidRPr="004D5271">
        <w:lastRenderedPageBreak/>
        <w:t xml:space="preserve">Option </w:t>
      </w:r>
      <w:r>
        <w:t>B</w:t>
      </w:r>
      <w:r w:rsidRPr="004D5271">
        <w:t>: Make remedies for breach of the duty of disclosure for life insurance mirror the counterpart remedies for general insurance</w:t>
      </w:r>
    </w:p>
    <w:p w:rsidR="006A159E" w:rsidRDefault="006A159E" w:rsidP="006A159E">
      <w:pPr>
        <w:pStyle w:val="base-text-paragraph"/>
      </w:pPr>
      <w:r w:rsidRPr="004D5271">
        <w:t>Under this option, the remedies for non</w:t>
      </w:r>
      <w:r w:rsidR="00214D95">
        <w:noBreakHyphen/>
      </w:r>
      <w:r w:rsidRPr="004D5271">
        <w:t>disclosure or misrepresentation under a contract of life insurance would be similar to remedies for non</w:t>
      </w:r>
      <w:r w:rsidR="00214D95">
        <w:noBreakHyphen/>
      </w:r>
      <w:r w:rsidRPr="004D5271">
        <w:t>disclosure and misrepresentation under a contract of general insurance</w:t>
      </w:r>
      <w:r>
        <w:t xml:space="preserve">, </w:t>
      </w:r>
      <w:r w:rsidRPr="00107FA9">
        <w:t>providing an avenue whereby a policy could be continued, albeit on terms that reflected the position had non</w:t>
      </w:r>
      <w:r w:rsidR="00214D95">
        <w:noBreakHyphen/>
      </w:r>
      <w:r w:rsidRPr="00107FA9">
        <w:t>disclosure or misrepresentation not occurred</w:t>
      </w:r>
      <w:r w:rsidR="00214D95">
        <w:t xml:space="preserve">.  </w:t>
      </w:r>
      <w:r>
        <w:t>I</w:t>
      </w:r>
      <w:r w:rsidRPr="004D5271">
        <w:t>n the case of fraud, the insurer could avoid the contract</w:t>
      </w:r>
      <w:r w:rsidR="00214D95">
        <w:t xml:space="preserve">.  </w:t>
      </w:r>
    </w:p>
    <w:p w:rsidR="006A159E" w:rsidRPr="006C7973" w:rsidRDefault="006A159E" w:rsidP="006A159E">
      <w:pPr>
        <w:pStyle w:val="base-text-paragraph"/>
      </w:pPr>
      <w:r w:rsidRPr="004D5271">
        <w:t xml:space="preserve">In the absence of fraud, the insurer </w:t>
      </w:r>
      <w:r>
        <w:t>could, for example, impose an exclusion so as to put the life insurer and the insured in the same position they would have been in if the non</w:t>
      </w:r>
      <w:r w:rsidR="00214D95">
        <w:noBreakHyphen/>
      </w:r>
      <w:r>
        <w:t xml:space="preserve">disclosure or misrepresentation had not occurred, or could </w:t>
      </w:r>
      <w:r w:rsidRPr="004D5271">
        <w:t xml:space="preserve">reduce its liability to an amount that would restore the insurer to </w:t>
      </w:r>
      <w:r>
        <w:t xml:space="preserve">its original </w:t>
      </w:r>
      <w:r w:rsidRPr="004D5271">
        <w:t>position had no breach of the duty of disclosure occurred.</w:t>
      </w:r>
      <w:r w:rsidRPr="002E41B9">
        <w:rPr>
          <w:rStyle w:val="FootnoteReference"/>
        </w:rPr>
        <w:footnoteReference w:id="13"/>
      </w:r>
      <w:r>
        <w:t xml:space="preserve"> </w:t>
      </w:r>
      <w:r w:rsidR="002E41B9">
        <w:t xml:space="preserve"> </w:t>
      </w:r>
      <w:r>
        <w:t>This is a much more flexible remedy than the proportionate reduction of the sum insured currently provided for in section 29</w:t>
      </w:r>
      <w:r w:rsidR="00214D95">
        <w:t xml:space="preserve">.  </w:t>
      </w:r>
    </w:p>
    <w:p w:rsidR="006A159E" w:rsidRPr="004D5271" w:rsidRDefault="006A159E" w:rsidP="006A159E">
      <w:pPr>
        <w:pStyle w:val="base-text-paragraph"/>
      </w:pPr>
      <w:r w:rsidRPr="004F6BF1">
        <w:t>If the remedy currently available to general insurers under subsection 28(3) were applied, this would put the life insurer and the insured in the same position they would have been if the non</w:t>
      </w:r>
      <w:r w:rsidR="00214D95">
        <w:noBreakHyphen/>
      </w:r>
      <w:r w:rsidRPr="004F6BF1">
        <w:t xml:space="preserve">disclosure/misrepresentation not occurred in the first place, providing protection for </w:t>
      </w:r>
      <w:r>
        <w:t xml:space="preserve">other policyholders in respect of the cross subsidisation of spiralling </w:t>
      </w:r>
      <w:r w:rsidRPr="004F6BF1">
        <w:t>claims costs</w:t>
      </w:r>
      <w:r>
        <w:t xml:space="preserve"> by paying increased premiums.</w:t>
      </w:r>
    </w:p>
    <w:p w:rsidR="006A159E" w:rsidRPr="004F6BF1" w:rsidRDefault="006A159E" w:rsidP="006A159E">
      <w:pPr>
        <w:pStyle w:val="base-text-paragraph"/>
      </w:pPr>
      <w:r w:rsidRPr="004F6BF1">
        <w:t>The three</w:t>
      </w:r>
      <w:r w:rsidR="00214D95">
        <w:noBreakHyphen/>
      </w:r>
      <w:r w:rsidRPr="004F6BF1">
        <w:t>year time limit for insurers to seek a remedy on the basis of innocent non</w:t>
      </w:r>
      <w:r w:rsidR="00214D95">
        <w:noBreakHyphen/>
      </w:r>
      <w:r w:rsidRPr="004F6BF1">
        <w:t>disclosure or misrepresentation would be removed.</w:t>
      </w:r>
      <w:r w:rsidRPr="004F6BF1">
        <w:rPr>
          <w:rStyle w:val="FootnoteReference"/>
        </w:rPr>
        <w:footnoteReference w:id="14"/>
      </w:r>
    </w:p>
    <w:p w:rsidR="006A159E" w:rsidRPr="004F6BF1" w:rsidRDefault="006A159E" w:rsidP="00617616">
      <w:pPr>
        <w:pStyle w:val="base-text-paragraph"/>
        <w:spacing w:after="100"/>
      </w:pPr>
      <w:r w:rsidRPr="004F6BF1">
        <w:lastRenderedPageBreak/>
        <w:t>There would continue to be a distinct remedy in respect of fraud or non</w:t>
      </w:r>
      <w:r w:rsidR="00214D95">
        <w:noBreakHyphen/>
      </w:r>
      <w:r w:rsidRPr="004F6BF1">
        <w:t>disclosure concerning age as currently applies under section 30</w:t>
      </w:r>
      <w:r w:rsidR="00214D95">
        <w:t xml:space="preserve">.  </w:t>
      </w:r>
    </w:p>
    <w:p w:rsidR="006A159E" w:rsidRPr="004D5271" w:rsidRDefault="006A159E" w:rsidP="00617616">
      <w:pPr>
        <w:pStyle w:val="Heading5"/>
        <w:spacing w:before="100"/>
      </w:pPr>
      <w:r w:rsidRPr="004D5271">
        <w:t xml:space="preserve">Option </w:t>
      </w:r>
      <w:r>
        <w:t>C</w:t>
      </w:r>
      <w:r w:rsidRPr="004D5271">
        <w:t xml:space="preserve">: As per Option </w:t>
      </w:r>
      <w:r>
        <w:t>B</w:t>
      </w:r>
      <w:r w:rsidRPr="004D5271">
        <w:t>, but retain specialised life insurance remedies for policies that have a surrender value</w:t>
      </w:r>
      <w:r>
        <w:t xml:space="preserve"> or provide death cover</w:t>
      </w:r>
    </w:p>
    <w:p w:rsidR="006A159E" w:rsidRDefault="006A159E" w:rsidP="00617616">
      <w:pPr>
        <w:pStyle w:val="base-text-paragraph"/>
        <w:spacing w:after="100"/>
      </w:pPr>
      <w:r w:rsidRPr="004D5271">
        <w:t xml:space="preserve">This option is like Option </w:t>
      </w:r>
      <w:r>
        <w:t>B</w:t>
      </w:r>
      <w:r w:rsidRPr="004D5271">
        <w:t>, but the current remedies for life insurance in section 29 would be retained for polic</w:t>
      </w:r>
      <w:r>
        <w:t>ies</w:t>
      </w:r>
      <w:r w:rsidRPr="004D5271">
        <w:t xml:space="preserve"> </w:t>
      </w:r>
      <w:r>
        <w:t>that</w:t>
      </w:r>
      <w:r w:rsidRPr="004D5271">
        <w:t xml:space="preserve"> have a surrender value</w:t>
      </w:r>
      <w:r>
        <w:t xml:space="preserve"> or provide death cover</w:t>
      </w:r>
      <w:r w:rsidRPr="004D5271">
        <w:t>.</w:t>
      </w:r>
      <w:r>
        <w:rPr>
          <w:rStyle w:val="FootnoteReference"/>
        </w:rPr>
        <w:footnoteReference w:id="15"/>
      </w:r>
      <w:r>
        <w:t xml:space="preserve"> </w:t>
      </w:r>
      <w:r w:rsidRPr="00003D54">
        <w:t xml:space="preserve"> </w:t>
      </w:r>
    </w:p>
    <w:p w:rsidR="006A159E" w:rsidRDefault="006A159E" w:rsidP="00617616">
      <w:pPr>
        <w:pStyle w:val="base-text-paragraph"/>
        <w:spacing w:after="100"/>
      </w:pPr>
      <w:r>
        <w:t>If</w:t>
      </w:r>
      <w:r w:rsidRPr="004D5271">
        <w:t xml:space="preserve"> the policy </w:t>
      </w:r>
      <w:r>
        <w:t xml:space="preserve">has an aspect of cover with </w:t>
      </w:r>
      <w:r w:rsidRPr="004D5271">
        <w:t>a surrender value</w:t>
      </w:r>
      <w:r>
        <w:t xml:space="preserve"> and/or death cover</w:t>
      </w:r>
      <w:r w:rsidRPr="004D5271">
        <w:t>, and some other type of insurance cover</w:t>
      </w:r>
      <w:r>
        <w:t xml:space="preserve"> as well</w:t>
      </w:r>
      <w:r w:rsidRPr="004D5271">
        <w:t xml:space="preserve">, the policy would be </w:t>
      </w:r>
      <w:r w:rsidR="00035750">
        <w:t>‘</w:t>
      </w:r>
      <w:r w:rsidRPr="004D5271">
        <w:t>unbundled</w:t>
      </w:r>
      <w:r w:rsidR="00035750">
        <w:t>’</w:t>
      </w:r>
      <w:r w:rsidRPr="004D5271">
        <w:t xml:space="preserve"> for the purposes of considering the application of remedies for breach of the duty of disclosure</w:t>
      </w:r>
      <w:r w:rsidR="00214D95">
        <w:t xml:space="preserve">.  </w:t>
      </w:r>
    </w:p>
    <w:p w:rsidR="006A159E" w:rsidRDefault="006A159E" w:rsidP="00617616">
      <w:pPr>
        <w:pStyle w:val="base-text-paragraph"/>
        <w:spacing w:after="100"/>
      </w:pPr>
      <w:r>
        <w:t xml:space="preserve">In addition, contracts could be </w:t>
      </w:r>
      <w:r w:rsidR="00035750">
        <w:t>‘</w:t>
      </w:r>
      <w:r w:rsidRPr="00B23FF7">
        <w:t>unbundl</w:t>
      </w:r>
      <w:r>
        <w:t>ed</w:t>
      </w:r>
      <w:r w:rsidR="00035750">
        <w:t>’</w:t>
      </w:r>
      <w:r>
        <w:t xml:space="preserve"> so that </w:t>
      </w:r>
      <w:r w:rsidRPr="00B23FF7">
        <w:t xml:space="preserve">a misrepresentation or </w:t>
      </w:r>
      <w:r>
        <w:t xml:space="preserve">a </w:t>
      </w:r>
      <w:r w:rsidRPr="00B23FF7">
        <w:t>non</w:t>
      </w:r>
      <w:r w:rsidR="00214D95">
        <w:noBreakHyphen/>
      </w:r>
      <w:r w:rsidRPr="00B23FF7">
        <w:t xml:space="preserve">disclosure that </w:t>
      </w:r>
      <w:r>
        <w:t>wa</w:t>
      </w:r>
      <w:r w:rsidRPr="00B23FF7">
        <w:t>s relevant to the risk for one type of cover</w:t>
      </w:r>
      <w:r>
        <w:t>,</w:t>
      </w:r>
      <w:r w:rsidRPr="00B23FF7">
        <w:t xml:space="preserve"> for example, </w:t>
      </w:r>
      <w:r>
        <w:t xml:space="preserve">a </w:t>
      </w:r>
      <w:r w:rsidRPr="00B23FF7">
        <w:t>misrepresentation about assets relevant to income protection insurance</w:t>
      </w:r>
      <w:r>
        <w:t>,</w:t>
      </w:r>
      <w:r w:rsidRPr="00B23FF7">
        <w:t xml:space="preserve"> would not necessarily apply to a different type of cover</w:t>
      </w:r>
      <w:r>
        <w:t>,</w:t>
      </w:r>
      <w:r w:rsidRPr="00B23FF7">
        <w:t xml:space="preserve"> </w:t>
      </w:r>
      <w:r>
        <w:t>provided as part of the bundled policy, in relation to</w:t>
      </w:r>
      <w:r w:rsidRPr="00B23FF7">
        <w:t xml:space="preserve"> which the misrepresentation was of no consequence or relevance</w:t>
      </w:r>
      <w:r>
        <w:t>.</w:t>
      </w:r>
    </w:p>
    <w:p w:rsidR="006A159E" w:rsidRDefault="006A159E" w:rsidP="00617616">
      <w:pPr>
        <w:pStyle w:val="base-text-paragraph"/>
        <w:spacing w:after="100"/>
      </w:pPr>
      <w:r>
        <w:t>Like Option B, section 30 would still apply to misstatements regarding age</w:t>
      </w:r>
      <w:r w:rsidR="00214D95">
        <w:t xml:space="preserve">.  </w:t>
      </w:r>
      <w:r>
        <w:t>The three year limitation on remedies would apply only to policies, or types of cover under a bundled contract, which included a surrender value or death cover.</w:t>
      </w:r>
    </w:p>
    <w:p w:rsidR="006A159E" w:rsidRPr="004D5271" w:rsidRDefault="006A159E" w:rsidP="00617616">
      <w:pPr>
        <w:pStyle w:val="Heading4"/>
        <w:spacing w:after="100"/>
      </w:pPr>
      <w:bookmarkStart w:id="61" w:name="_Toc255909337"/>
      <w:r w:rsidRPr="004D5271">
        <w:t>Impa</w:t>
      </w:r>
      <w:r w:rsidRPr="00AF23E8">
        <w:rPr>
          <w:rStyle w:val="Heading3Char"/>
        </w:rPr>
        <w:t>c</w:t>
      </w:r>
      <w:r w:rsidRPr="004D5271">
        <w:t>t analysis</w:t>
      </w:r>
      <w:bookmarkEnd w:id="61"/>
    </w:p>
    <w:p w:rsidR="006A159E" w:rsidRPr="004D5271" w:rsidRDefault="006A159E" w:rsidP="00617616">
      <w:pPr>
        <w:pStyle w:val="Heading5"/>
        <w:spacing w:before="100"/>
      </w:pPr>
      <w:r w:rsidRPr="004D5271">
        <w:t>Impact group identification</w:t>
      </w:r>
    </w:p>
    <w:p w:rsidR="006A159E" w:rsidRPr="004D5271" w:rsidRDefault="006A159E" w:rsidP="00617616">
      <w:pPr>
        <w:pStyle w:val="base-text-paragraph"/>
        <w:spacing w:after="100"/>
      </w:pPr>
      <w:r w:rsidRPr="004D5271">
        <w:t>Affected groups:</w:t>
      </w:r>
    </w:p>
    <w:p w:rsidR="006A159E" w:rsidRPr="004D5271" w:rsidRDefault="006A159E" w:rsidP="00617616">
      <w:pPr>
        <w:pStyle w:val="dotpoint"/>
        <w:spacing w:before="100" w:after="80"/>
        <w:ind w:left="2269" w:hanging="284"/>
      </w:pPr>
      <w:r w:rsidRPr="004D5271">
        <w:t>life insurers;</w:t>
      </w:r>
    </w:p>
    <w:p w:rsidR="006A159E" w:rsidRDefault="006A159E" w:rsidP="00617616">
      <w:pPr>
        <w:pStyle w:val="dotpoint"/>
        <w:spacing w:before="100" w:after="80"/>
        <w:ind w:left="2269" w:hanging="284"/>
      </w:pPr>
      <w:r w:rsidRPr="004D5271">
        <w:t>insureds</w:t>
      </w:r>
      <w:r>
        <w:t>, including life insureds; and</w:t>
      </w:r>
    </w:p>
    <w:p w:rsidR="006A159E" w:rsidRPr="004D5271" w:rsidRDefault="006A159E" w:rsidP="00617616">
      <w:pPr>
        <w:pStyle w:val="dotpoint"/>
        <w:spacing w:before="100" w:after="80"/>
        <w:ind w:left="2269" w:hanging="284"/>
      </w:pPr>
      <w:proofErr w:type="gramStart"/>
      <w:r>
        <w:t>government</w:t>
      </w:r>
      <w:proofErr w:type="gramEnd"/>
      <w:r>
        <w:t xml:space="preserve"> and regulators, including self</w:t>
      </w:r>
      <w:r w:rsidR="00214D95">
        <w:noBreakHyphen/>
      </w:r>
      <w:r>
        <w:t>regulatory organisations.</w:t>
      </w:r>
    </w:p>
    <w:p w:rsidR="006A159E" w:rsidRPr="004D5271" w:rsidRDefault="006A159E" w:rsidP="006A159E">
      <w:pPr>
        <w:pStyle w:val="Heading4"/>
      </w:pPr>
      <w:bookmarkStart w:id="62" w:name="_Toc255909338"/>
      <w:r w:rsidRPr="004D5271">
        <w:lastRenderedPageBreak/>
        <w:t>Assessment of costs and benefits</w:t>
      </w:r>
      <w:bookmarkEnd w:id="62"/>
    </w:p>
    <w:p w:rsidR="006A159E" w:rsidRPr="00575C03" w:rsidRDefault="006A159E" w:rsidP="006A159E">
      <w:pPr>
        <w:pStyle w:val="Heading5"/>
      </w:pPr>
      <w:r w:rsidRPr="00575C03">
        <w:t xml:space="preserve">Option </w:t>
      </w:r>
      <w:r>
        <w:t>A</w:t>
      </w:r>
      <w:r w:rsidRPr="00575C03">
        <w:t>:</w:t>
      </w:r>
      <w:r>
        <w:t xml:space="preserve"> Do nothing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404"/>
        <w:gridCol w:w="2714"/>
        <w:gridCol w:w="2808"/>
      </w:tblGrid>
      <w:tr w:rsidR="006A159E" w:rsidRPr="00FF1661" w:rsidTr="00E10149">
        <w:tc>
          <w:tcPr>
            <w:tcW w:w="2404"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keepNext/>
            </w:pPr>
          </w:p>
        </w:tc>
        <w:tc>
          <w:tcPr>
            <w:tcW w:w="2714"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keepNext/>
            </w:pPr>
            <w:r w:rsidRPr="00FF1661">
              <w:t>Benefits</w:t>
            </w:r>
          </w:p>
        </w:tc>
        <w:tc>
          <w:tcPr>
            <w:tcW w:w="2808"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keepNext/>
            </w:pPr>
            <w:r w:rsidRPr="00FF1661">
              <w:t>Costs</w:t>
            </w:r>
          </w:p>
        </w:tc>
      </w:tr>
      <w:tr w:rsidR="006A159E" w:rsidRPr="00FF1661" w:rsidTr="00E10149">
        <w:tc>
          <w:tcPr>
            <w:tcW w:w="2404"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spacing w:before="40" w:after="40"/>
              <w:rPr>
                <w:b/>
              </w:rPr>
            </w:pPr>
            <w:r w:rsidRPr="000B2A0D">
              <w:rPr>
                <w:b/>
              </w:rPr>
              <w:t>Insurers</w:t>
            </w:r>
          </w:p>
        </w:tc>
        <w:tc>
          <w:tcPr>
            <w:tcW w:w="2714" w:type="dxa"/>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p>
        </w:tc>
        <w:tc>
          <w:tcPr>
            <w:tcW w:w="2808" w:type="dxa"/>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r w:rsidRPr="007E6E72">
              <w:t>No scope for use of less costly r</w:t>
            </w:r>
            <w:r w:rsidR="00A37D8C">
              <w:t>emedies for life insurers.</w:t>
            </w:r>
          </w:p>
          <w:p w:rsidR="006A159E" w:rsidRPr="007E6E72" w:rsidRDefault="006A159E" w:rsidP="007E6E72">
            <w:pPr>
              <w:pStyle w:val="TableTextLeft"/>
            </w:pPr>
            <w:r w:rsidRPr="007E6E72">
              <w:t>Lack of flexibility of remedy can force insurers to allege fraud, with resultant costly litigation placing pressure on premium rates</w:t>
            </w:r>
            <w:r w:rsidR="00A37D8C">
              <w:t>.</w:t>
            </w:r>
          </w:p>
        </w:tc>
      </w:tr>
      <w:tr w:rsidR="006A159E" w:rsidRPr="00FF1661" w:rsidTr="00E10149">
        <w:tc>
          <w:tcPr>
            <w:tcW w:w="2404"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7E6E72" w:rsidP="007E6E72">
            <w:pPr>
              <w:pStyle w:val="TableTextLeft"/>
              <w:tabs>
                <w:tab w:val="left" w:pos="1207"/>
              </w:tabs>
              <w:spacing w:before="40" w:after="40"/>
              <w:rPr>
                <w:b/>
              </w:rPr>
            </w:pPr>
            <w:r>
              <w:rPr>
                <w:b/>
              </w:rPr>
              <w:t>Insureds</w:t>
            </w:r>
          </w:p>
        </w:tc>
        <w:tc>
          <w:tcPr>
            <w:tcW w:w="2714" w:type="dxa"/>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r w:rsidRPr="007E6E72">
              <w:t>The claims of insureds under traditional policies and risk only term life insurance policies will continue to enjoy the protections offered under the present remedies framework</w:t>
            </w:r>
            <w:r w:rsidR="00A37D8C">
              <w:t>.</w:t>
            </w:r>
          </w:p>
        </w:tc>
        <w:tc>
          <w:tcPr>
            <w:tcW w:w="2808" w:type="dxa"/>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r w:rsidRPr="007E6E72">
              <w:t>The lack of flexibility in remedies for life insurance can result in detriment to insureds who are subjected to a sanction more onerous than necessary</w:t>
            </w:r>
            <w:r w:rsidR="00A37D8C">
              <w:t>.</w:t>
            </w:r>
          </w:p>
          <w:p w:rsidR="006A159E" w:rsidRPr="007E6E72" w:rsidRDefault="006A159E" w:rsidP="007E6E72">
            <w:pPr>
              <w:pStyle w:val="TableTextLeft"/>
            </w:pPr>
            <w:r w:rsidRPr="007E6E72">
              <w:t>The price and availability of life insurance may continue to be adversely affected through lack of access to more appropriate remedies</w:t>
            </w:r>
            <w:r w:rsidR="00A37D8C">
              <w:t>.</w:t>
            </w:r>
          </w:p>
        </w:tc>
      </w:tr>
      <w:tr w:rsidR="006A159E" w:rsidRPr="00FF1661" w:rsidTr="00E10149">
        <w:tc>
          <w:tcPr>
            <w:tcW w:w="2404"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spacing w:before="40" w:after="40"/>
              <w:rPr>
                <w:b/>
              </w:rPr>
            </w:pPr>
            <w:r w:rsidRPr="000B2A0D">
              <w:rPr>
                <w:b/>
              </w:rPr>
              <w:t>Government/regulators</w:t>
            </w:r>
          </w:p>
        </w:tc>
        <w:tc>
          <w:tcPr>
            <w:tcW w:w="2714" w:type="dxa"/>
            <w:tcBorders>
              <w:top w:val="single" w:sz="8" w:space="0" w:color="auto"/>
              <w:left w:val="single" w:sz="8" w:space="0" w:color="auto"/>
              <w:bottom w:val="single" w:sz="8" w:space="0" w:color="auto"/>
              <w:right w:val="single" w:sz="8" w:space="0" w:color="auto"/>
            </w:tcBorders>
            <w:shd w:val="clear" w:color="auto" w:fill="E6E6E6"/>
          </w:tcPr>
          <w:p w:rsidR="006A159E" w:rsidRDefault="006A159E" w:rsidP="0029684A">
            <w:pPr>
              <w:pStyle w:val="TableTextLeft"/>
              <w:spacing w:before="40" w:after="40"/>
              <w:rPr>
                <w:rFonts w:cs="Arial"/>
              </w:rPr>
            </w:pPr>
          </w:p>
        </w:tc>
        <w:tc>
          <w:tcPr>
            <w:tcW w:w="2808" w:type="dxa"/>
            <w:tcBorders>
              <w:top w:val="single" w:sz="8" w:space="0" w:color="auto"/>
              <w:left w:val="single" w:sz="8" w:space="0" w:color="auto"/>
              <w:bottom w:val="single" w:sz="8" w:space="0" w:color="auto"/>
              <w:right w:val="single" w:sz="8" w:space="0" w:color="auto"/>
            </w:tcBorders>
            <w:shd w:val="clear" w:color="auto" w:fill="E6E6E6"/>
          </w:tcPr>
          <w:p w:rsidR="006A159E" w:rsidRDefault="006A159E" w:rsidP="0029684A">
            <w:pPr>
              <w:pStyle w:val="TableTextLeft"/>
              <w:spacing w:before="40" w:after="40"/>
              <w:rPr>
                <w:rFonts w:cs="Arial"/>
              </w:rPr>
            </w:pPr>
          </w:p>
        </w:tc>
      </w:tr>
    </w:tbl>
    <w:p w:rsidR="006A159E" w:rsidRDefault="006A159E" w:rsidP="007E6E72">
      <w:pPr>
        <w:pStyle w:val="Heading5"/>
        <w:spacing w:before="360"/>
      </w:pPr>
      <w:r w:rsidRPr="004D5271">
        <w:t xml:space="preserve">Option </w:t>
      </w:r>
      <w:r>
        <w:t>B</w:t>
      </w:r>
      <w:r w:rsidRPr="004D5271">
        <w:t>: Make remedies for breach of the duty of disclosure for life insurance mirror the counterpart remedies for general 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837"/>
        <w:gridCol w:w="2549"/>
        <w:gridCol w:w="9"/>
        <w:gridCol w:w="2531"/>
      </w:tblGrid>
      <w:tr w:rsidR="006A159E" w:rsidRPr="000B2A0D"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jc w:val="center"/>
              <w:rPr>
                <w:b/>
              </w:rPr>
            </w:pPr>
          </w:p>
        </w:tc>
        <w:tc>
          <w:tcPr>
            <w:tcW w:w="2558"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spacing w:before="40" w:after="40"/>
              <w:jc w:val="center"/>
              <w:rPr>
                <w:rFonts w:cs="Arial"/>
                <w:b/>
              </w:rPr>
            </w:pPr>
            <w:r w:rsidRPr="000B2A0D">
              <w:rPr>
                <w:rFonts w:cs="Arial"/>
                <w:b/>
              </w:rPr>
              <w:t>Benefits</w:t>
            </w:r>
          </w:p>
        </w:tc>
        <w:tc>
          <w:tcPr>
            <w:tcW w:w="2531"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spacing w:before="40" w:after="40"/>
              <w:jc w:val="center"/>
              <w:rPr>
                <w:rFonts w:cs="Arial"/>
                <w:b/>
              </w:rPr>
            </w:pPr>
            <w:r w:rsidRPr="000B2A0D">
              <w:rPr>
                <w:rFonts w:cs="Arial"/>
                <w:b/>
              </w:rPr>
              <w:t>Costs</w:t>
            </w:r>
          </w:p>
        </w:tc>
      </w:tr>
      <w:tr w:rsidR="006A159E" w:rsidRPr="008A6FF5"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rPr>
                <w:b/>
              </w:rPr>
            </w:pPr>
            <w:r w:rsidRPr="000B2A0D">
              <w:rPr>
                <w:b/>
              </w:rPr>
              <w:t>Insurers</w:t>
            </w:r>
          </w:p>
        </w:tc>
        <w:tc>
          <w:tcPr>
            <w:tcW w:w="2558"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r w:rsidRPr="007E6E72">
              <w:t>This option would allow more flexibility in determining remedies for breach of duty of disclosure allowing the use of less costly remedies [+3]</w:t>
            </w:r>
            <w:r w:rsidR="00A37D8C">
              <w:t>.</w:t>
            </w:r>
          </w:p>
        </w:tc>
        <w:tc>
          <w:tcPr>
            <w:tcW w:w="2531" w:type="dxa"/>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r w:rsidRPr="007E6E72">
              <w:t>There will be transitional administrative costs for insurers associated with adopting a new remedies framework [</w:t>
            </w:r>
            <w:r w:rsidR="00214D95">
              <w:noBreakHyphen/>
            </w:r>
            <w:r w:rsidRPr="007E6E72">
              <w:t>1]</w:t>
            </w:r>
            <w:r w:rsidR="00A37D8C">
              <w:t>.</w:t>
            </w:r>
          </w:p>
        </w:tc>
      </w:tr>
      <w:tr w:rsidR="006A159E" w:rsidRPr="008A6FF5"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rPr>
                <w:b/>
              </w:rPr>
            </w:pPr>
            <w:r w:rsidRPr="000B2A0D">
              <w:rPr>
                <w:b/>
              </w:rPr>
              <w:t>Insureds</w:t>
            </w:r>
          </w:p>
        </w:tc>
        <w:tc>
          <w:tcPr>
            <w:tcW w:w="2558"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r w:rsidRPr="007E6E72">
              <w:t>Increased flexibility of remedy may benefit insureds overall through use of less costly and less onerous remedies, and possible decrease in premiums [+1]</w:t>
            </w:r>
            <w:r w:rsidR="00A37D8C">
              <w:t>.</w:t>
            </w:r>
          </w:p>
        </w:tc>
        <w:tc>
          <w:tcPr>
            <w:tcW w:w="2531" w:type="dxa"/>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r w:rsidRPr="007E6E72">
              <w:t xml:space="preserve">Removal of the specialised remedies and the protection offered by the </w:t>
            </w:r>
            <w:r w:rsidR="00035750" w:rsidRPr="007E6E72">
              <w:t>‘</w:t>
            </w:r>
            <w:r w:rsidRPr="007E6E72">
              <w:t>three year rule</w:t>
            </w:r>
            <w:r w:rsidR="00035750" w:rsidRPr="007E6E72">
              <w:t>’</w:t>
            </w:r>
            <w:r w:rsidRPr="007E6E72">
              <w:t xml:space="preserve"> in section 29 could produce inappropriate outcomes in some cases (particularly </w:t>
            </w:r>
            <w:r w:rsidR="00035750" w:rsidRPr="007E6E72">
              <w:t>‘</w:t>
            </w:r>
            <w:r w:rsidRPr="007E6E72">
              <w:t>traditional</w:t>
            </w:r>
            <w:r w:rsidR="00035750" w:rsidRPr="007E6E72">
              <w:t>’</w:t>
            </w:r>
            <w:r w:rsidRPr="007E6E72">
              <w:t xml:space="preserve"> life insurance policies, including those with death cover/surrender value) to the significant detriment of some insureds and their beneficiaries [</w:t>
            </w:r>
            <w:r w:rsidR="00214D95">
              <w:noBreakHyphen/>
            </w:r>
            <w:r w:rsidRPr="007E6E72">
              <w:t>3]</w:t>
            </w:r>
            <w:r w:rsidR="00A37D8C">
              <w:t>.</w:t>
            </w: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rPr>
                <w:b/>
              </w:rPr>
            </w:pPr>
            <w:r w:rsidRPr="000B2A0D">
              <w:rPr>
                <w:b/>
              </w:rPr>
              <w:t>Government/regulators</w:t>
            </w:r>
          </w:p>
        </w:tc>
        <w:tc>
          <w:tcPr>
            <w:tcW w:w="2549" w:type="dxa"/>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r w:rsidRPr="007E6E72">
              <w:t>Increased flexibility of remedy may lead to less complex dispute resolution processes [+1]</w:t>
            </w:r>
            <w:r w:rsidR="00A37D8C">
              <w:t>.</w:t>
            </w:r>
          </w:p>
        </w:tc>
        <w:tc>
          <w:tcPr>
            <w:tcW w:w="2540"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p>
        </w:tc>
      </w:tr>
      <w:tr w:rsidR="006A159E" w:rsidRPr="000B2A0D"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rPr>
                <w:b/>
              </w:rPr>
            </w:pPr>
            <w:r w:rsidRPr="000B2A0D">
              <w:rPr>
                <w:b/>
              </w:rPr>
              <w:t>Sub</w:t>
            </w:r>
            <w:r w:rsidR="00214D95">
              <w:rPr>
                <w:b/>
              </w:rPr>
              <w:noBreakHyphen/>
            </w:r>
            <w:r w:rsidRPr="000B2A0D">
              <w:rPr>
                <w:b/>
              </w:rPr>
              <w:t>rating</w:t>
            </w:r>
          </w:p>
        </w:tc>
        <w:tc>
          <w:tcPr>
            <w:tcW w:w="2549"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tabs>
                <w:tab w:val="left" w:pos="2287"/>
              </w:tabs>
              <w:jc w:val="center"/>
              <w:rPr>
                <w:b/>
              </w:rPr>
            </w:pPr>
            <w:r w:rsidRPr="000B2A0D">
              <w:rPr>
                <w:b/>
              </w:rPr>
              <w:t>+5</w:t>
            </w:r>
          </w:p>
        </w:tc>
        <w:tc>
          <w:tcPr>
            <w:tcW w:w="2540"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214D95" w:rsidP="0029684A">
            <w:pPr>
              <w:pStyle w:val="TableTextLeft"/>
              <w:ind w:right="30"/>
              <w:jc w:val="center"/>
              <w:rPr>
                <w:b/>
              </w:rPr>
            </w:pPr>
            <w:r>
              <w:rPr>
                <w:b/>
              </w:rPr>
              <w:noBreakHyphen/>
            </w:r>
            <w:r w:rsidR="006A159E" w:rsidRPr="000B2A0D">
              <w:rPr>
                <w:b/>
              </w:rPr>
              <w:t>4</w:t>
            </w:r>
          </w:p>
        </w:tc>
      </w:tr>
      <w:tr w:rsidR="006A159E" w:rsidRPr="000B2A0D"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rPr>
                <w:b/>
              </w:rPr>
            </w:pPr>
            <w:r w:rsidRPr="000B2A0D">
              <w:rPr>
                <w:b/>
              </w:rPr>
              <w:t>Overall rating</w:t>
            </w:r>
          </w:p>
        </w:tc>
        <w:tc>
          <w:tcPr>
            <w:tcW w:w="5089" w:type="dxa"/>
            <w:gridSpan w:val="3"/>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jc w:val="center"/>
              <w:rPr>
                <w:b/>
              </w:rPr>
            </w:pPr>
            <w:r w:rsidRPr="000B2A0D">
              <w:rPr>
                <w:b/>
              </w:rPr>
              <w:t>+1</w:t>
            </w:r>
          </w:p>
        </w:tc>
      </w:tr>
    </w:tbl>
    <w:p w:rsidR="006A159E" w:rsidRDefault="006A159E" w:rsidP="007E6E72">
      <w:pPr>
        <w:pStyle w:val="Heading5"/>
        <w:spacing w:after="240"/>
      </w:pPr>
      <w:r w:rsidRPr="004D5271">
        <w:lastRenderedPageBreak/>
        <w:t xml:space="preserve">Option </w:t>
      </w:r>
      <w:r>
        <w:t>C</w:t>
      </w:r>
      <w:r w:rsidRPr="004D5271">
        <w:t xml:space="preserve">: As per Option </w:t>
      </w:r>
      <w:r>
        <w:t>B</w:t>
      </w:r>
      <w:r w:rsidRPr="004D5271">
        <w:t>, but retain specialised life insurance remedies for policies that have a surrender value</w:t>
      </w:r>
      <w:r>
        <w:t xml:space="preserve"> or provide death cover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837"/>
        <w:gridCol w:w="2549"/>
        <w:gridCol w:w="9"/>
        <w:gridCol w:w="2531"/>
      </w:tblGrid>
      <w:tr w:rsidR="006A159E" w:rsidRPr="000B2A0D"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jc w:val="center"/>
              <w:rPr>
                <w:b/>
              </w:rPr>
            </w:pPr>
          </w:p>
        </w:tc>
        <w:tc>
          <w:tcPr>
            <w:tcW w:w="2558"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spacing w:before="40" w:after="40"/>
              <w:jc w:val="center"/>
              <w:rPr>
                <w:b/>
              </w:rPr>
            </w:pPr>
            <w:r w:rsidRPr="000B2A0D">
              <w:rPr>
                <w:b/>
              </w:rPr>
              <w:t>Benefits</w:t>
            </w:r>
          </w:p>
        </w:tc>
        <w:tc>
          <w:tcPr>
            <w:tcW w:w="2531"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spacing w:before="40" w:after="40"/>
              <w:jc w:val="center"/>
              <w:rPr>
                <w:rFonts w:cs="Arial"/>
                <w:b/>
              </w:rPr>
            </w:pPr>
            <w:r w:rsidRPr="000B2A0D">
              <w:rPr>
                <w:rFonts w:cs="Arial"/>
                <w:b/>
              </w:rPr>
              <w:t>Costs</w:t>
            </w:r>
          </w:p>
        </w:tc>
      </w:tr>
      <w:tr w:rsidR="006A159E" w:rsidRPr="008A6FF5"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rPr>
                <w:b/>
              </w:rPr>
            </w:pPr>
            <w:r w:rsidRPr="000B2A0D">
              <w:rPr>
                <w:b/>
              </w:rPr>
              <w:t>Insurers</w:t>
            </w:r>
          </w:p>
        </w:tc>
        <w:tc>
          <w:tcPr>
            <w:tcW w:w="2558"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r w:rsidRPr="007E6E72">
              <w:t>This option would allow more flexibility in determining remedies for breach of duty of disclosure allowing less costly remedies [+3]</w:t>
            </w:r>
            <w:r w:rsidR="00A37D8C">
              <w:t>.</w:t>
            </w:r>
          </w:p>
        </w:tc>
        <w:tc>
          <w:tcPr>
            <w:tcW w:w="2531" w:type="dxa"/>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r w:rsidRPr="007E6E72">
              <w:t xml:space="preserve">Dividing different types of life insurance cover into categories, including for the purposes of </w:t>
            </w:r>
            <w:r w:rsidR="00035750" w:rsidRPr="007E6E72">
              <w:t>‘</w:t>
            </w:r>
            <w:r w:rsidRPr="007E6E72">
              <w:t>unbundling</w:t>
            </w:r>
            <w:r w:rsidR="00035750" w:rsidRPr="007E6E72">
              <w:t>’</w:t>
            </w:r>
            <w:r w:rsidRPr="007E6E72">
              <w:t>, increases complexity and administration of the legislation [</w:t>
            </w:r>
            <w:r w:rsidR="00214D95">
              <w:noBreakHyphen/>
            </w:r>
            <w:r w:rsidRPr="007E6E72">
              <w:t>1]</w:t>
            </w:r>
            <w:r w:rsidR="00A37D8C">
              <w:t>.</w:t>
            </w:r>
          </w:p>
        </w:tc>
      </w:tr>
      <w:tr w:rsidR="006A159E" w:rsidRPr="008A6FF5"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rPr>
                <w:b/>
              </w:rPr>
            </w:pPr>
            <w:r w:rsidRPr="000B2A0D">
              <w:rPr>
                <w:b/>
              </w:rPr>
              <w:t>Insureds</w:t>
            </w:r>
          </w:p>
        </w:tc>
        <w:tc>
          <w:tcPr>
            <w:tcW w:w="2558"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r w:rsidRPr="007E6E72">
              <w:t>Increased flexibility of remedy may benefit insureds overall through use of less costly and less onerous remedies, and possible decrease in premiums [+1]</w:t>
            </w:r>
            <w:r w:rsidR="00A37D8C">
              <w:t>.</w:t>
            </w:r>
          </w:p>
        </w:tc>
        <w:tc>
          <w:tcPr>
            <w:tcW w:w="2531" w:type="dxa"/>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A37D8C">
            <w:pPr>
              <w:pStyle w:val="TableTextLeft"/>
            </w:pPr>
            <w:r w:rsidRPr="007E6E72">
              <w:t xml:space="preserve">The claims of some insureds, including those with beneficiaries, may be detrimentally affected by loss of protections offered under the present remedies framework, though if surrender value/death policies retain the prior </w:t>
            </w:r>
            <w:proofErr w:type="gramStart"/>
            <w:r w:rsidRPr="007E6E72">
              <w:t>re</w:t>
            </w:r>
            <w:r w:rsidR="00A37D8C">
              <w:t>medies,</w:t>
            </w:r>
            <w:proofErr w:type="gramEnd"/>
            <w:r w:rsidR="00A37D8C">
              <w:t xml:space="preserve"> this would occur rarely </w:t>
            </w:r>
            <w:r w:rsidRPr="007E6E72">
              <w:t>[</w:t>
            </w:r>
            <w:r w:rsidR="00214D95">
              <w:noBreakHyphen/>
            </w:r>
            <w:r w:rsidRPr="007E6E72">
              <w:t>1]</w:t>
            </w:r>
            <w:r w:rsidR="00A37D8C">
              <w:t>.</w:t>
            </w: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rPr>
                <w:b/>
              </w:rPr>
            </w:pPr>
            <w:r w:rsidRPr="000B2A0D">
              <w:rPr>
                <w:b/>
              </w:rPr>
              <w:t>Government/regulators</w:t>
            </w:r>
          </w:p>
        </w:tc>
        <w:tc>
          <w:tcPr>
            <w:tcW w:w="2549" w:type="dxa"/>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r w:rsidRPr="007E6E72">
              <w:t>Increased flexibility of remedy may lead to less complex dispute resolution processes [+1]</w:t>
            </w:r>
            <w:r w:rsidR="00A37D8C">
              <w:t>.</w:t>
            </w:r>
          </w:p>
        </w:tc>
        <w:tc>
          <w:tcPr>
            <w:tcW w:w="2540"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7E6E72" w:rsidRDefault="006A159E" w:rsidP="007E6E72">
            <w:pPr>
              <w:pStyle w:val="TableTextLeft"/>
            </w:pP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rPr>
                <w:b/>
              </w:rPr>
            </w:pPr>
            <w:r w:rsidRPr="000B2A0D">
              <w:rPr>
                <w:b/>
              </w:rPr>
              <w:t>Sub</w:t>
            </w:r>
            <w:r w:rsidR="00214D95">
              <w:rPr>
                <w:b/>
              </w:rPr>
              <w:noBreakHyphen/>
            </w:r>
            <w:r w:rsidRPr="000B2A0D">
              <w:rPr>
                <w:b/>
              </w:rPr>
              <w:t>rating</w:t>
            </w:r>
          </w:p>
        </w:tc>
        <w:tc>
          <w:tcPr>
            <w:tcW w:w="2549"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ind w:right="-20"/>
              <w:jc w:val="center"/>
              <w:rPr>
                <w:b/>
              </w:rPr>
            </w:pPr>
            <w:r w:rsidRPr="000B2A0D">
              <w:rPr>
                <w:b/>
              </w:rPr>
              <w:t>+5</w:t>
            </w:r>
          </w:p>
        </w:tc>
        <w:tc>
          <w:tcPr>
            <w:tcW w:w="2540"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214D95" w:rsidP="0029684A">
            <w:pPr>
              <w:pStyle w:val="TableTextLeft"/>
              <w:jc w:val="center"/>
              <w:rPr>
                <w:b/>
              </w:rPr>
            </w:pPr>
            <w:r>
              <w:rPr>
                <w:b/>
              </w:rPr>
              <w:noBreakHyphen/>
            </w:r>
            <w:r w:rsidR="006A159E" w:rsidRPr="000B2A0D">
              <w:rPr>
                <w:b/>
              </w:rPr>
              <w:t>2</w:t>
            </w: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rPr>
                <w:b/>
              </w:rPr>
            </w:pPr>
            <w:r w:rsidRPr="000B2A0D">
              <w:rPr>
                <w:b/>
              </w:rPr>
              <w:t>Overall rating</w:t>
            </w:r>
          </w:p>
        </w:tc>
        <w:tc>
          <w:tcPr>
            <w:tcW w:w="5089" w:type="dxa"/>
            <w:gridSpan w:val="3"/>
            <w:tcBorders>
              <w:top w:val="single" w:sz="8" w:space="0" w:color="auto"/>
              <w:left w:val="single" w:sz="8" w:space="0" w:color="auto"/>
              <w:bottom w:val="single" w:sz="8" w:space="0" w:color="auto"/>
              <w:right w:val="single" w:sz="8" w:space="0" w:color="auto"/>
            </w:tcBorders>
            <w:shd w:val="clear" w:color="auto" w:fill="E6E6E6"/>
          </w:tcPr>
          <w:p w:rsidR="006A159E" w:rsidRPr="000B2A0D" w:rsidRDefault="006A159E" w:rsidP="0029684A">
            <w:pPr>
              <w:pStyle w:val="TableTextLeft"/>
              <w:jc w:val="center"/>
              <w:rPr>
                <w:b/>
              </w:rPr>
            </w:pPr>
            <w:r w:rsidRPr="000B2A0D">
              <w:rPr>
                <w:b/>
              </w:rPr>
              <w:t>+3</w:t>
            </w:r>
          </w:p>
        </w:tc>
      </w:tr>
    </w:tbl>
    <w:p w:rsidR="007E6E72" w:rsidRDefault="007E6E72" w:rsidP="00A37D8C">
      <w:pPr>
        <w:pStyle w:val="Heading4"/>
        <w:ind w:left="0"/>
      </w:pPr>
      <w:bookmarkStart w:id="63" w:name="_Toc255909339"/>
      <w:r>
        <w:br w:type="page"/>
      </w:r>
    </w:p>
    <w:p w:rsidR="006A159E" w:rsidRPr="004D5271" w:rsidRDefault="006A159E" w:rsidP="006A159E">
      <w:pPr>
        <w:pStyle w:val="Heading4"/>
      </w:pPr>
      <w:r w:rsidRPr="004D5271">
        <w:lastRenderedPageBreak/>
        <w:t>Consultation</w:t>
      </w:r>
      <w:bookmarkEnd w:id="63"/>
    </w:p>
    <w:p w:rsidR="006A159E" w:rsidRPr="004D5271" w:rsidRDefault="006A159E" w:rsidP="006A159E">
      <w:pPr>
        <w:pStyle w:val="base-text-paragraph"/>
      </w:pPr>
      <w:r w:rsidRPr="004D5271">
        <w:t>There has been no clear consensus regarding the need to reform the current remedies available to life insurers in respect of non</w:t>
      </w:r>
      <w:r w:rsidR="00214D95">
        <w:noBreakHyphen/>
      </w:r>
      <w:r w:rsidRPr="004D5271">
        <w:t>disclosure and misrepresentation</w:t>
      </w:r>
      <w:r w:rsidR="00214D95">
        <w:t xml:space="preserve">.  </w:t>
      </w:r>
      <w:r w:rsidRPr="004D5271">
        <w:t>The life insurance industry strongly argues that there are significant deficiencies in the current remedy arrangements given the range and type of life insurance products currently on the market</w:t>
      </w:r>
      <w:r w:rsidR="00214D95">
        <w:t xml:space="preserve">.  </w:t>
      </w:r>
      <w:r w:rsidRPr="004D5271">
        <w:t xml:space="preserve">In a submission to the </w:t>
      </w:r>
      <w:r>
        <w:t>Review Panel</w:t>
      </w:r>
      <w:r w:rsidRPr="004D5271">
        <w:t>, one life insurer noted that difficulties with the current life insurance remedies may be affecting the cost and availability of insurance (with consequent negative effects for insureds).</w:t>
      </w:r>
      <w:r>
        <w:rPr>
          <w:rStyle w:val="FootnoteReference"/>
        </w:rPr>
        <w:footnoteReference w:id="16"/>
      </w:r>
      <w:r w:rsidRPr="00D86784">
        <w:rPr>
          <w:b/>
          <w:sz w:val="23"/>
          <w:szCs w:val="23"/>
        </w:rPr>
        <w:t xml:space="preserve"> </w:t>
      </w:r>
      <w:r>
        <w:rPr>
          <w:b/>
          <w:sz w:val="23"/>
          <w:szCs w:val="23"/>
        </w:rPr>
        <w:t xml:space="preserve"> </w:t>
      </w:r>
      <w:r w:rsidRPr="001F7CB7">
        <w:rPr>
          <w:szCs w:val="22"/>
        </w:rPr>
        <w:t xml:space="preserve">Life insurance representatives argued that if the remedy currently available to general insurers under subsection 28(3) </w:t>
      </w:r>
      <w:r>
        <w:rPr>
          <w:szCs w:val="22"/>
        </w:rPr>
        <w:t xml:space="preserve">of the ICA </w:t>
      </w:r>
      <w:r w:rsidRPr="001F7CB7">
        <w:rPr>
          <w:szCs w:val="22"/>
        </w:rPr>
        <w:t>were applied, this would put the life insurer and the insured in the same position they would have been if the non</w:t>
      </w:r>
      <w:r w:rsidR="00214D95">
        <w:rPr>
          <w:szCs w:val="22"/>
        </w:rPr>
        <w:noBreakHyphen/>
      </w:r>
      <w:r w:rsidRPr="001F7CB7">
        <w:rPr>
          <w:szCs w:val="22"/>
        </w:rPr>
        <w:t>disclosure/misrepresentation not occurred in the first place, providing protection for other policyholders in respect of the cross subsidisation of spiralling claims costs by paying increased premiums.</w:t>
      </w:r>
    </w:p>
    <w:p w:rsidR="006A159E" w:rsidRPr="004D5271" w:rsidRDefault="006A159E" w:rsidP="006A159E">
      <w:pPr>
        <w:pStyle w:val="base-text-paragraph"/>
      </w:pPr>
      <w:r w:rsidRPr="004D5271">
        <w:t xml:space="preserve">However, consumer representatives opposed any change of the type proposed by Options </w:t>
      </w:r>
      <w:r>
        <w:t>B</w:t>
      </w:r>
      <w:r w:rsidRPr="004D5271">
        <w:t xml:space="preserve"> or </w:t>
      </w:r>
      <w:r>
        <w:t>C</w:t>
      </w:r>
      <w:r w:rsidR="00214D95">
        <w:t xml:space="preserve">.  </w:t>
      </w:r>
      <w:r w:rsidRPr="004D5271">
        <w:t xml:space="preserve">A consumer representative body submitted that the distinction between remedies in respect of life insurance and general insurance had historical foundations in that it was an acknowledgement that the </w:t>
      </w:r>
      <w:r w:rsidRPr="009726BC">
        <w:rPr>
          <w:i/>
        </w:rPr>
        <w:t>Life Insurance Act 1945</w:t>
      </w:r>
      <w:r w:rsidRPr="004D5271">
        <w:t xml:space="preserve"> already regulated life insurer conduct</w:t>
      </w:r>
      <w:r w:rsidR="00214D95">
        <w:t xml:space="preserve">.  </w:t>
      </w:r>
      <w:r w:rsidRPr="004D5271">
        <w:t xml:space="preserve">Consumer representatives questioned whether the current remedies are as restrictive as claimed by members of the life insurance industry and expressed concern about the impact of changes </w:t>
      </w:r>
      <w:r>
        <w:t>t</w:t>
      </w:r>
      <w:r w:rsidRPr="004D5271">
        <w:t xml:space="preserve">o the protections </w:t>
      </w:r>
      <w:r>
        <w:t>currently available to</w:t>
      </w:r>
      <w:r w:rsidRPr="004D5271">
        <w:t xml:space="preserve"> insureds.</w:t>
      </w:r>
    </w:p>
    <w:p w:rsidR="006A159E" w:rsidRPr="004D5271" w:rsidRDefault="006A159E" w:rsidP="006A159E">
      <w:pPr>
        <w:pStyle w:val="base-text-paragraph"/>
      </w:pPr>
      <w:r w:rsidRPr="004D5271">
        <w:t xml:space="preserve">It was argued that life insurance, even the types of life insurance that are akin to </w:t>
      </w:r>
      <w:r w:rsidR="00035750">
        <w:t>‘</w:t>
      </w:r>
      <w:r w:rsidRPr="004D5271">
        <w:t xml:space="preserve">pure </w:t>
      </w:r>
      <w:r w:rsidR="007C385F" w:rsidRPr="004D5271">
        <w:t>risk</w:t>
      </w:r>
      <w:r w:rsidR="007C385F">
        <w:t>’</w:t>
      </w:r>
      <w:r w:rsidR="007C385F" w:rsidRPr="004D5271">
        <w:t>;</w:t>
      </w:r>
      <w:r w:rsidRPr="004D5271">
        <w:t xml:space="preserve"> involve more complex disclosures than an </w:t>
      </w:r>
      <w:r w:rsidRPr="004D5271">
        <w:lastRenderedPageBreak/>
        <w:t>ordinary general insurance product</w:t>
      </w:r>
      <w:r w:rsidR="00214D95">
        <w:t xml:space="preserve">.  </w:t>
      </w:r>
      <w:r w:rsidRPr="004D5271">
        <w:t xml:space="preserve">Therefore, </w:t>
      </w:r>
      <w:r>
        <w:t xml:space="preserve">life </w:t>
      </w:r>
      <w:r w:rsidRPr="004D5271">
        <w:t>insureds require greater protections than general insureds in relation to remedies for breaches of the duty of disclosure</w:t>
      </w:r>
      <w:r>
        <w:t xml:space="preserve"> and, in particular, the protection offered by the </w:t>
      </w:r>
      <w:r w:rsidR="00035750">
        <w:t>‘</w:t>
      </w:r>
      <w:r>
        <w:t>three year rule</w:t>
      </w:r>
      <w:r w:rsidR="00035750">
        <w:t>’</w:t>
      </w:r>
      <w:r>
        <w:t xml:space="preserve"> should be retained for all life insurance.</w:t>
      </w:r>
    </w:p>
    <w:p w:rsidR="006A159E" w:rsidRPr="004D5271" w:rsidRDefault="006A159E" w:rsidP="006A159E">
      <w:pPr>
        <w:pStyle w:val="Heading4"/>
      </w:pPr>
      <w:bookmarkStart w:id="64" w:name="_Toc255909340"/>
      <w:r w:rsidRPr="004D5271">
        <w:t>Conclusions and recommended options</w:t>
      </w:r>
      <w:bookmarkEnd w:id="64"/>
    </w:p>
    <w:p w:rsidR="006A159E" w:rsidRPr="004D5271" w:rsidRDefault="006A159E" w:rsidP="006A159E">
      <w:pPr>
        <w:pStyle w:val="base-text-paragraph"/>
      </w:pPr>
      <w:r w:rsidRPr="004D5271">
        <w:t xml:space="preserve">The problem is that the remedies available to life insurers </w:t>
      </w:r>
      <w:r>
        <w:t xml:space="preserve">under the ICA </w:t>
      </w:r>
      <w:r w:rsidRPr="004D5271">
        <w:t>for non</w:t>
      </w:r>
      <w:r w:rsidR="00214D95">
        <w:noBreakHyphen/>
      </w:r>
      <w:r w:rsidRPr="004D5271">
        <w:t xml:space="preserve">disclosure or misrepresentation </w:t>
      </w:r>
      <w:r>
        <w:t>do not adequately</w:t>
      </w:r>
      <w:r w:rsidRPr="004D5271">
        <w:t xml:space="preserve"> take into account the changed nature of life insurance products and, as a result, unnecessarily limit the availability of life insurance or increase its cost.</w:t>
      </w:r>
    </w:p>
    <w:p w:rsidR="006A159E" w:rsidRPr="004D5271" w:rsidRDefault="006A159E" w:rsidP="006A159E">
      <w:pPr>
        <w:pStyle w:val="base-text-paragraph"/>
      </w:pPr>
      <w:r w:rsidRPr="004D5271">
        <w:t xml:space="preserve">Option </w:t>
      </w:r>
      <w:r>
        <w:t>A</w:t>
      </w:r>
      <w:r w:rsidRPr="004D5271">
        <w:t xml:space="preserve"> would involve no change to the current </w:t>
      </w:r>
      <w:r>
        <w:t>remedies</w:t>
      </w:r>
      <w:r w:rsidRPr="004D5271">
        <w:t xml:space="preserve"> and, as a consequence, the concerns regarding the inflexible nature of life insurance remedies would </w:t>
      </w:r>
      <w:r>
        <w:t>remain</w:t>
      </w:r>
      <w:r w:rsidR="00214D95">
        <w:t xml:space="preserve">.  </w:t>
      </w:r>
      <w:r w:rsidRPr="004D5271">
        <w:t xml:space="preserve">Option </w:t>
      </w:r>
      <w:r>
        <w:t>B</w:t>
      </w:r>
      <w:r w:rsidRPr="004D5271">
        <w:t xml:space="preserve"> would involve removing the current distinction between remedies for a breach of the duty of disclosure in life insurance and general insurance so that the remedies are the same</w:t>
      </w:r>
      <w:r w:rsidR="00214D95">
        <w:t xml:space="preserve">.  </w:t>
      </w:r>
      <w:r w:rsidRPr="004D5271">
        <w:t>Option</w:t>
      </w:r>
      <w:r>
        <w:t> C</w:t>
      </w:r>
      <w:r w:rsidRPr="004D5271">
        <w:t xml:space="preserve"> is similar to Option </w:t>
      </w:r>
      <w:r>
        <w:t>B</w:t>
      </w:r>
      <w:r w:rsidRPr="004D5271">
        <w:t>, although Option</w:t>
      </w:r>
      <w:r>
        <w:t> C</w:t>
      </w:r>
      <w:r w:rsidRPr="004D5271">
        <w:t xml:space="preserve"> would leave the existing life insurance remedies available for particular types of cover</w:t>
      </w:r>
      <w:r w:rsidRPr="001252E6">
        <w:t xml:space="preserve"> </w:t>
      </w:r>
      <w:r>
        <w:t>(namely, life policies with a surrender value and those with a death cover component)</w:t>
      </w:r>
      <w:r w:rsidRPr="004D5271">
        <w:t>.</w:t>
      </w:r>
    </w:p>
    <w:p w:rsidR="006A159E" w:rsidRDefault="006A159E" w:rsidP="006A159E">
      <w:pPr>
        <w:pStyle w:val="base-text-paragraph"/>
      </w:pPr>
      <w:r w:rsidRPr="004D5271">
        <w:t xml:space="preserve">It is accepted that the current remedies for breaches of the duty of disclosure in life insurance </w:t>
      </w:r>
      <w:r>
        <w:t xml:space="preserve">(not related to age) </w:t>
      </w:r>
      <w:r w:rsidRPr="004D5271">
        <w:t>unnecessarily restrict the remedies available to insurers in the context of some types of cover</w:t>
      </w:r>
      <w:r w:rsidR="00214D95">
        <w:t xml:space="preserve">.  </w:t>
      </w:r>
      <w:r w:rsidRPr="00BD2C2B">
        <w:t xml:space="preserve">However, the </w:t>
      </w:r>
      <w:r>
        <w:t xml:space="preserve">restricted and </w:t>
      </w:r>
      <w:r w:rsidRPr="00BD2C2B">
        <w:t xml:space="preserve">specialised remedies offered in relation to life insurance policies with a surrender value </w:t>
      </w:r>
      <w:r>
        <w:t xml:space="preserve">and/or death cover </w:t>
      </w:r>
      <w:r w:rsidRPr="00BD2C2B">
        <w:t>remain appropriate</w:t>
      </w:r>
      <w:r>
        <w:t xml:space="preserve"> and provide useful protections to insureds</w:t>
      </w:r>
      <w:r w:rsidR="00214D95">
        <w:t xml:space="preserve">.  </w:t>
      </w:r>
      <w:r w:rsidRPr="00E70662">
        <w:t>T</w:t>
      </w:r>
      <w:r w:rsidRPr="004D5271">
        <w:t xml:space="preserve">he benefits of freeing up the remedies in other cases outweigh the costs of moving to a bifurcated system, with the </w:t>
      </w:r>
      <w:r>
        <w:t xml:space="preserve">added </w:t>
      </w:r>
      <w:r w:rsidRPr="004D5271">
        <w:t xml:space="preserve">complexity of </w:t>
      </w:r>
      <w:r w:rsidR="00035750">
        <w:t>‘</w:t>
      </w:r>
      <w:r w:rsidRPr="004D5271">
        <w:t>unbundling</w:t>
      </w:r>
      <w:r w:rsidR="00035750">
        <w:t>’</w:t>
      </w:r>
      <w:r w:rsidRPr="004D5271">
        <w:t xml:space="preserve"> the components of policies</w:t>
      </w:r>
      <w:r w:rsidR="00214D95">
        <w:t xml:space="preserve">.  </w:t>
      </w:r>
      <w:r w:rsidRPr="004D5271">
        <w:t xml:space="preserve">The risks of unfairly disadvantaging insureds by removing the protections currently </w:t>
      </w:r>
      <w:r>
        <w:t>provided</w:t>
      </w:r>
      <w:r w:rsidRPr="004D5271">
        <w:t xml:space="preserve"> is not considered great in respect of policies</w:t>
      </w:r>
      <w:r>
        <w:t xml:space="preserve"> that do not have a surrender value</w:t>
      </w:r>
      <w:r w:rsidRPr="004D5271">
        <w:t>.</w:t>
      </w:r>
    </w:p>
    <w:p w:rsidR="006A159E" w:rsidRDefault="006A159E" w:rsidP="006A159E">
      <w:pPr>
        <w:pStyle w:val="Heading3"/>
      </w:pPr>
      <w:bookmarkStart w:id="65" w:name="_Toc255909341"/>
      <w:bookmarkStart w:id="66" w:name="_Toc338331863"/>
      <w:r>
        <w:t>Third party beneficiaries</w:t>
      </w:r>
      <w:bookmarkEnd w:id="65"/>
      <w:bookmarkEnd w:id="66"/>
    </w:p>
    <w:p w:rsidR="006A159E" w:rsidRPr="00102180" w:rsidRDefault="006A159E" w:rsidP="006A159E">
      <w:pPr>
        <w:pStyle w:val="Heading4"/>
      </w:pPr>
      <w:bookmarkStart w:id="67" w:name="_Toc255909342"/>
      <w:r w:rsidRPr="00102180">
        <w:t>Problem</w:t>
      </w:r>
      <w:bookmarkEnd w:id="67"/>
    </w:p>
    <w:p w:rsidR="006A159E" w:rsidRPr="00876F02" w:rsidRDefault="006A159E" w:rsidP="006A159E">
      <w:pPr>
        <w:pStyle w:val="base-text-paragraph"/>
      </w:pPr>
      <w:r w:rsidRPr="00876F02">
        <w:t>Third party beneficiaries are not parties to a contract of insurance</w:t>
      </w:r>
      <w:r w:rsidR="00214D95">
        <w:t xml:space="preserve">.  </w:t>
      </w:r>
      <w:r w:rsidRPr="00876F02">
        <w:t>Rather, they are specified in the contract as being persons to whom insurance cover provided by the contract extends</w:t>
      </w:r>
      <w:r w:rsidR="00214D95">
        <w:t xml:space="preserve">.  </w:t>
      </w:r>
      <w:r w:rsidRPr="00876F02">
        <w:t xml:space="preserve">They </w:t>
      </w:r>
      <w:r>
        <w:t>may be</w:t>
      </w:r>
      <w:r w:rsidRPr="00876F02">
        <w:t xml:space="preserve">, for example, </w:t>
      </w:r>
      <w:r>
        <w:t>employees</w:t>
      </w:r>
      <w:r w:rsidRPr="00876F02">
        <w:t xml:space="preserve"> who are covered by a personal accident policy taken out by their employer or </w:t>
      </w:r>
      <w:r>
        <w:t>members of a superannuation fund who receive</w:t>
      </w:r>
      <w:r w:rsidRPr="00876F02">
        <w:t xml:space="preserve"> life insurance cover under a policy taken ou</w:t>
      </w:r>
      <w:r>
        <w:t>t by the trustee of the fund.</w:t>
      </w:r>
    </w:p>
    <w:p w:rsidR="006A159E" w:rsidRPr="00876F02" w:rsidRDefault="006A159E" w:rsidP="006A159E">
      <w:pPr>
        <w:pStyle w:val="base-text-paragraph"/>
      </w:pPr>
      <w:r w:rsidRPr="00876F02">
        <w:lastRenderedPageBreak/>
        <w:t xml:space="preserve">Although the </w:t>
      </w:r>
      <w:r>
        <w:t>ICA</w:t>
      </w:r>
      <w:r w:rsidRPr="00876F02">
        <w:t xml:space="preserve"> deals with the entitlement of such persons to make a claim</w:t>
      </w:r>
      <w:r>
        <w:t>,</w:t>
      </w:r>
      <w:r w:rsidRPr="00876F02">
        <w:t xml:space="preserve"> notwithstanding that they are not parties to the contract (see section</w:t>
      </w:r>
      <w:r>
        <w:t> </w:t>
      </w:r>
      <w:r w:rsidRPr="00876F02">
        <w:t xml:space="preserve">48 as one example), there </w:t>
      </w:r>
      <w:r>
        <w:t>are few</w:t>
      </w:r>
      <w:r w:rsidRPr="00876F02">
        <w:t xml:space="preserve"> </w:t>
      </w:r>
      <w:r>
        <w:t xml:space="preserve">other </w:t>
      </w:r>
      <w:r w:rsidRPr="00876F02">
        <w:t>reference</w:t>
      </w:r>
      <w:r>
        <w:t>s</w:t>
      </w:r>
      <w:r w:rsidRPr="00876F02">
        <w:t xml:space="preserve"> to third party beneficiaries in the </w:t>
      </w:r>
      <w:r>
        <w:t>ICA</w:t>
      </w:r>
      <w:r w:rsidR="00214D95">
        <w:t xml:space="preserve">.  </w:t>
      </w:r>
      <w:r>
        <w:t>It has been suggested</w:t>
      </w:r>
      <w:r w:rsidRPr="00876F02">
        <w:t xml:space="preserve"> </w:t>
      </w:r>
      <w:r>
        <w:t xml:space="preserve">that </w:t>
      </w:r>
      <w:r w:rsidRPr="00876F02">
        <w:t xml:space="preserve">their status as the primary object of insurance cover in many instances may mean </w:t>
      </w:r>
      <w:r>
        <w:t>that third party beneficiaries</w:t>
      </w:r>
      <w:r w:rsidRPr="00876F02">
        <w:t xml:space="preserve"> should have </w:t>
      </w:r>
      <w:r>
        <w:t xml:space="preserve">essentially </w:t>
      </w:r>
      <w:r w:rsidRPr="00876F02">
        <w:t>the same righ</w:t>
      </w:r>
      <w:r>
        <w:t>ts and obligations as insureds</w:t>
      </w:r>
      <w:r w:rsidR="00214D95">
        <w:t xml:space="preserve">.  </w:t>
      </w:r>
    </w:p>
    <w:p w:rsidR="006A159E" w:rsidRDefault="006A159E" w:rsidP="006A159E">
      <w:pPr>
        <w:pStyle w:val="base-text-paragraph"/>
      </w:pPr>
      <w:r w:rsidRPr="00876F02">
        <w:t>For example, it is arguable that an insurer should have a duty to act in good faith to</w:t>
      </w:r>
      <w:r>
        <w:t>wards</w:t>
      </w:r>
      <w:r w:rsidRPr="00876F02">
        <w:t xml:space="preserve"> </w:t>
      </w:r>
      <w:r>
        <w:t>a</w:t>
      </w:r>
      <w:r w:rsidRPr="00876F02">
        <w:t xml:space="preserve"> specified </w:t>
      </w:r>
      <w:r>
        <w:t xml:space="preserve">third party </w:t>
      </w:r>
      <w:r w:rsidRPr="00876F02">
        <w:t>beneficiary, and vice</w:t>
      </w:r>
      <w:r w:rsidR="00214D95">
        <w:noBreakHyphen/>
      </w:r>
      <w:r w:rsidRPr="00876F02">
        <w:t>versa, at least after the contract has been entered into.</w:t>
      </w:r>
    </w:p>
    <w:p w:rsidR="006A159E" w:rsidRPr="00876F02" w:rsidRDefault="006A159E" w:rsidP="006A159E">
      <w:pPr>
        <w:pStyle w:val="base-text-paragraph"/>
      </w:pPr>
      <w:r>
        <w:t>As a result of the ICA dealing with specified third party beneficiaries to a limited extent, there is uncertainty about aspects of the legal rights and obligations among the insurer, the insured and the third party</w:t>
      </w:r>
      <w:r w:rsidR="00214D95">
        <w:t xml:space="preserve">.  </w:t>
      </w:r>
      <w:r>
        <w:t>Uncertainty leads to expensive litigation and, although the precedents set by earlier litigation provides guidance for later cases, there is often still room to argue how a particular case should be resolved</w:t>
      </w:r>
      <w:r w:rsidR="00214D95">
        <w:t xml:space="preserve">.  </w:t>
      </w:r>
      <w:r>
        <w:t>Uncertainty of outcomes ultimately leads to higher risk premiums being charged in relation to the affected policies and also results in outcomes that may be anomalous or inconsistent.</w:t>
      </w:r>
    </w:p>
    <w:p w:rsidR="006A159E" w:rsidRPr="00876F02" w:rsidRDefault="006A159E" w:rsidP="006A159E">
      <w:pPr>
        <w:pStyle w:val="base-text-paragraph"/>
      </w:pPr>
      <w:r w:rsidRPr="00876F02">
        <w:t xml:space="preserve">Inclusion of suitable contractual provisions to deal with third party beneficiaries may provide a partial solution to the limited application of the </w:t>
      </w:r>
      <w:r>
        <w:t>ICA</w:t>
      </w:r>
      <w:r w:rsidR="00214D95">
        <w:t xml:space="preserve">.  </w:t>
      </w:r>
      <w:r w:rsidRPr="00876F02">
        <w:t xml:space="preserve">However, as third party beneficiaries are not parties to the contract, </w:t>
      </w:r>
      <w:r>
        <w:t>there are limitations to the scope of contractual solutions</w:t>
      </w:r>
      <w:r w:rsidRPr="00876F02">
        <w:t>.</w:t>
      </w:r>
    </w:p>
    <w:p w:rsidR="006A159E" w:rsidRPr="00866897" w:rsidRDefault="006A159E" w:rsidP="006A159E">
      <w:pPr>
        <w:pStyle w:val="Heading4"/>
      </w:pPr>
      <w:bookmarkStart w:id="68" w:name="_Toc255909343"/>
      <w:r w:rsidRPr="00866897">
        <w:t>Objective</w:t>
      </w:r>
      <w:bookmarkEnd w:id="68"/>
    </w:p>
    <w:p w:rsidR="006A159E" w:rsidRPr="00876F02" w:rsidRDefault="006A159E" w:rsidP="006A159E">
      <w:pPr>
        <w:pStyle w:val="base-text-paragraph"/>
      </w:pPr>
      <w:r w:rsidRPr="00876F02">
        <w:t>The objective is to ensure that, to the extent reasonably practical</w:t>
      </w:r>
      <w:r>
        <w:t>,</w:t>
      </w:r>
      <w:r w:rsidRPr="00876F02">
        <w:t xml:space="preserve"> third party beneficiaries under an insurance contract have rights and obligations that are </w:t>
      </w:r>
      <w:r>
        <w:t xml:space="preserve">predictable and </w:t>
      </w:r>
      <w:r w:rsidRPr="00876F02">
        <w:t>in keeping with the context and intention of their relationships with both the insurer and the insured.</w:t>
      </w:r>
    </w:p>
    <w:p w:rsidR="006A159E" w:rsidRPr="006E499E" w:rsidRDefault="006A159E" w:rsidP="006A159E">
      <w:pPr>
        <w:pStyle w:val="Heading4"/>
      </w:pPr>
      <w:bookmarkStart w:id="69" w:name="_Toc255909344"/>
      <w:r w:rsidRPr="002E1D9F">
        <w:t>Options</w:t>
      </w:r>
      <w:bookmarkEnd w:id="69"/>
    </w:p>
    <w:p w:rsidR="006A159E" w:rsidRPr="00986FB1" w:rsidRDefault="006A159E" w:rsidP="006A159E">
      <w:pPr>
        <w:pStyle w:val="Heading5"/>
      </w:pPr>
      <w:r w:rsidRPr="00986FB1">
        <w:t xml:space="preserve">Option </w:t>
      </w:r>
      <w:r>
        <w:t>A: Do nothing</w:t>
      </w:r>
    </w:p>
    <w:p w:rsidR="006A159E" w:rsidRPr="00626E9A" w:rsidRDefault="006A159E" w:rsidP="006A159E">
      <w:pPr>
        <w:pStyle w:val="base-text-paragraph"/>
      </w:pPr>
      <w:r w:rsidRPr="00626E9A">
        <w:t xml:space="preserve">This option would retain the current position under which specified third party beneficiaries are generally not covered by the </w:t>
      </w:r>
      <w:r>
        <w:t>ICA</w:t>
      </w:r>
      <w:r w:rsidRPr="00626E9A">
        <w:t>.</w:t>
      </w:r>
    </w:p>
    <w:p w:rsidR="006A159E" w:rsidRPr="00504A19" w:rsidRDefault="006A159E" w:rsidP="006A159E">
      <w:pPr>
        <w:pStyle w:val="Heading5"/>
      </w:pPr>
      <w:r w:rsidRPr="00504A19">
        <w:t xml:space="preserve">Option </w:t>
      </w:r>
      <w:r>
        <w:t>B: Extend all rights and obligations of insureds under the ICA to spec</w:t>
      </w:r>
      <w:r w:rsidR="00B53682">
        <w:t>ified third party beneficiaries</w:t>
      </w:r>
    </w:p>
    <w:p w:rsidR="006A159E" w:rsidRPr="00876F02" w:rsidRDefault="006A159E" w:rsidP="006A159E">
      <w:pPr>
        <w:pStyle w:val="base-text-paragraph"/>
      </w:pPr>
      <w:r w:rsidRPr="00876F02">
        <w:t xml:space="preserve">Under this option, specified third party beneficiaries would have the same rights and obligations under the </w:t>
      </w:r>
      <w:r>
        <w:t>ICA</w:t>
      </w:r>
      <w:r w:rsidRPr="00876F02">
        <w:t xml:space="preserve"> as if they were the insured</w:t>
      </w:r>
      <w:r w:rsidR="00214D95">
        <w:t xml:space="preserve">.  </w:t>
      </w:r>
      <w:r>
        <w:t>T</w:t>
      </w:r>
      <w:r w:rsidRPr="00876F02">
        <w:t xml:space="preserve">he insurer would need to notify all third party beneficiaries of their duty </w:t>
      </w:r>
      <w:r w:rsidRPr="00876F02">
        <w:lastRenderedPageBreak/>
        <w:t>of disclosure before the relevant contract is entered</w:t>
      </w:r>
      <w:r>
        <w:t xml:space="preserve"> into</w:t>
      </w:r>
      <w:r w:rsidR="00214D95">
        <w:t xml:space="preserve">.  </w:t>
      </w:r>
      <w:r w:rsidRPr="00876F02">
        <w:t>Further, in relation to eligible contracts of insurance, all third party beneficiaries would need to be notified of</w:t>
      </w:r>
      <w:r>
        <w:t xml:space="preserve"> unusual terms in the contract.</w:t>
      </w:r>
    </w:p>
    <w:p w:rsidR="006A159E" w:rsidRPr="002E605A" w:rsidRDefault="006A159E" w:rsidP="006A159E">
      <w:pPr>
        <w:pStyle w:val="Heading5"/>
      </w:pPr>
      <w:r w:rsidRPr="002E605A">
        <w:t xml:space="preserve">Option </w:t>
      </w:r>
      <w:r>
        <w:t xml:space="preserve">C: </w:t>
      </w:r>
      <w:r w:rsidRPr="002E605A">
        <w:t xml:space="preserve">Extend only certain rights and obligations under the </w:t>
      </w:r>
      <w:r>
        <w:t>ICA</w:t>
      </w:r>
      <w:r w:rsidRPr="002E605A">
        <w:t xml:space="preserve"> to </w:t>
      </w:r>
      <w:r>
        <w:t>specified</w:t>
      </w:r>
      <w:r w:rsidRPr="002E605A">
        <w:t xml:space="preserve"> third party beneficiaries</w:t>
      </w:r>
    </w:p>
    <w:p w:rsidR="006A159E" w:rsidRPr="00876F02" w:rsidRDefault="006A159E" w:rsidP="006A159E">
      <w:pPr>
        <w:pStyle w:val="base-text-paragraph"/>
      </w:pPr>
      <w:r w:rsidRPr="00876F02">
        <w:t xml:space="preserve">This option would treat specified third party beneficiaries as insureds under the </w:t>
      </w:r>
      <w:r>
        <w:t>ICA</w:t>
      </w:r>
      <w:r w:rsidRPr="00876F02">
        <w:t xml:space="preserve"> only for the purposes of:</w:t>
      </w:r>
    </w:p>
    <w:p w:rsidR="006A159E" w:rsidRPr="00876F02" w:rsidRDefault="006A159E" w:rsidP="006A159E">
      <w:pPr>
        <w:pStyle w:val="dotpoint"/>
      </w:pPr>
      <w:r w:rsidRPr="00876F02">
        <w:t xml:space="preserve">subrogation, in that the insurer would be able to substitute for the third party beneficiary in an action against a third party who is liable for a loss that has been paid by the </w:t>
      </w:r>
      <w:r>
        <w:t>insurer;</w:t>
      </w:r>
    </w:p>
    <w:p w:rsidR="006A159E" w:rsidRPr="00876F02" w:rsidRDefault="006A159E" w:rsidP="006A159E">
      <w:pPr>
        <w:pStyle w:val="dotpoint"/>
      </w:pPr>
      <w:r w:rsidRPr="00876F02">
        <w:t>the duty of utmost good faith (but not pre</w:t>
      </w:r>
      <w:r w:rsidR="00214D95">
        <w:noBreakHyphen/>
      </w:r>
      <w:r w:rsidRPr="00876F02">
        <w:t>contractually); and</w:t>
      </w:r>
    </w:p>
    <w:p w:rsidR="006A159E" w:rsidRPr="00876F02" w:rsidRDefault="006A159E" w:rsidP="006A159E">
      <w:pPr>
        <w:pStyle w:val="dotpoint"/>
      </w:pPr>
      <w:proofErr w:type="gramStart"/>
      <w:r w:rsidRPr="00876F02">
        <w:t>circumstances</w:t>
      </w:r>
      <w:proofErr w:type="gramEnd"/>
      <w:r w:rsidRPr="00876F02">
        <w:t xml:space="preserve"> where the </w:t>
      </w:r>
      <w:r>
        <w:t>ICA</w:t>
      </w:r>
      <w:r w:rsidRPr="00876F02">
        <w:t xml:space="preserve"> allows an insured to request the insurer provide them with particular information by way of written notice.</w:t>
      </w:r>
    </w:p>
    <w:p w:rsidR="006A159E" w:rsidRPr="0088668C" w:rsidRDefault="006A159E" w:rsidP="006A159E">
      <w:pPr>
        <w:pStyle w:val="Heading4"/>
      </w:pPr>
      <w:bookmarkStart w:id="70" w:name="_Toc255909345"/>
      <w:r w:rsidRPr="0088668C">
        <w:t>Impact analysis</w:t>
      </w:r>
      <w:bookmarkEnd w:id="70"/>
    </w:p>
    <w:p w:rsidR="006A159E" w:rsidRPr="0088668C" w:rsidRDefault="006A159E" w:rsidP="006A159E">
      <w:pPr>
        <w:pStyle w:val="Heading5"/>
      </w:pPr>
      <w:r w:rsidRPr="0088668C">
        <w:t>Impact group identification</w:t>
      </w:r>
    </w:p>
    <w:p w:rsidR="006A159E" w:rsidRPr="0088668C" w:rsidRDefault="006A159E" w:rsidP="006A159E">
      <w:pPr>
        <w:pStyle w:val="base-text-paragraph"/>
      </w:pPr>
      <w:r w:rsidRPr="0088668C">
        <w:t>Affected g</w:t>
      </w:r>
      <w:r w:rsidRPr="00A276EF">
        <w:t>r</w:t>
      </w:r>
      <w:r w:rsidRPr="0088668C">
        <w:t>oups:</w:t>
      </w:r>
    </w:p>
    <w:p w:rsidR="006A159E" w:rsidRPr="00A276EF" w:rsidRDefault="006A159E" w:rsidP="006A159E">
      <w:pPr>
        <w:pStyle w:val="dotpoint"/>
      </w:pPr>
      <w:r w:rsidRPr="00A276EF">
        <w:t>insurers;</w:t>
      </w:r>
      <w:r w:rsidRPr="008C2AC1">
        <w:t xml:space="preserve"> </w:t>
      </w:r>
    </w:p>
    <w:p w:rsidR="006A159E" w:rsidRDefault="006A159E" w:rsidP="006A159E">
      <w:pPr>
        <w:pStyle w:val="dotpoint"/>
      </w:pPr>
      <w:r>
        <w:t>insureds (including specified third party beneficiaries and insureds); and</w:t>
      </w:r>
    </w:p>
    <w:p w:rsidR="006A159E" w:rsidRPr="00A276EF" w:rsidRDefault="006A159E" w:rsidP="006A159E">
      <w:pPr>
        <w:pStyle w:val="dotpoint"/>
      </w:pPr>
      <w:proofErr w:type="gramStart"/>
      <w:r>
        <w:t>government</w:t>
      </w:r>
      <w:proofErr w:type="gramEnd"/>
      <w:r>
        <w:t xml:space="preserve"> and regulators, including self</w:t>
      </w:r>
      <w:r w:rsidR="00214D95">
        <w:noBreakHyphen/>
      </w:r>
      <w:r>
        <w:t>regulatory organisations.</w:t>
      </w:r>
    </w:p>
    <w:p w:rsidR="006A159E" w:rsidRPr="00985552" w:rsidRDefault="006A159E" w:rsidP="006A159E">
      <w:pPr>
        <w:pStyle w:val="Heading4"/>
        <w:rPr>
          <w:rFonts w:ascii="Times" w:hAnsi="Times" w:cs="Times"/>
        </w:rPr>
      </w:pPr>
      <w:bookmarkStart w:id="71" w:name="_Toc255909346"/>
      <w:r w:rsidRPr="005B0B51">
        <w:t>Assessment of costs and benefits</w:t>
      </w:r>
      <w:bookmarkEnd w:id="71"/>
    </w:p>
    <w:p w:rsidR="006A159E" w:rsidRPr="00575C03" w:rsidRDefault="006A159E" w:rsidP="006A159E">
      <w:pPr>
        <w:pStyle w:val="Heading5"/>
      </w:pPr>
      <w:r w:rsidRPr="00575C03">
        <w:t xml:space="preserve">Option </w:t>
      </w:r>
      <w:r>
        <w:t>A</w:t>
      </w:r>
      <w:r w:rsidRPr="00575C03">
        <w:t>:</w:t>
      </w:r>
      <w:r>
        <w:t xml:space="preserve"> No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404"/>
        <w:gridCol w:w="2714"/>
        <w:gridCol w:w="2808"/>
      </w:tblGrid>
      <w:tr w:rsidR="006A159E" w:rsidRPr="00FF1661" w:rsidTr="00E10149">
        <w:tc>
          <w:tcPr>
            <w:tcW w:w="2404"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keepNext/>
            </w:pPr>
          </w:p>
        </w:tc>
        <w:tc>
          <w:tcPr>
            <w:tcW w:w="2714"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keepNext/>
            </w:pPr>
            <w:r w:rsidRPr="00FF1661">
              <w:t>Benefits</w:t>
            </w:r>
          </w:p>
        </w:tc>
        <w:tc>
          <w:tcPr>
            <w:tcW w:w="2808"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ColumnHeadingCentred"/>
              <w:keepNext/>
            </w:pPr>
            <w:r w:rsidRPr="00FF1661">
              <w:t>Costs</w:t>
            </w:r>
          </w:p>
        </w:tc>
      </w:tr>
      <w:tr w:rsidR="006A159E" w:rsidRPr="00FF1661" w:rsidTr="00E10149">
        <w:tc>
          <w:tcPr>
            <w:tcW w:w="2404"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rPr>
                <w:b/>
              </w:rPr>
            </w:pPr>
            <w:r w:rsidRPr="00B53682">
              <w:rPr>
                <w:b/>
              </w:rPr>
              <w:t>Insurers</w:t>
            </w:r>
          </w:p>
        </w:tc>
        <w:tc>
          <w:tcPr>
            <w:tcW w:w="2714"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p>
        </w:tc>
        <w:tc>
          <w:tcPr>
            <w:tcW w:w="2808"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r w:rsidRPr="00B53682">
              <w:t>Risk of unanticipated outcomes, which may require litigation to resolve</w:t>
            </w:r>
            <w:r w:rsidR="00A37D8C">
              <w:t>.</w:t>
            </w:r>
          </w:p>
        </w:tc>
      </w:tr>
      <w:tr w:rsidR="006A159E" w:rsidRPr="00FF1661" w:rsidTr="00E10149">
        <w:tc>
          <w:tcPr>
            <w:tcW w:w="2404"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B53682" w:rsidP="00B53682">
            <w:pPr>
              <w:pStyle w:val="TableTextLeft"/>
              <w:rPr>
                <w:b/>
              </w:rPr>
            </w:pPr>
            <w:r w:rsidRPr="00B53682">
              <w:rPr>
                <w:b/>
              </w:rPr>
              <w:t>Insureds</w:t>
            </w:r>
          </w:p>
        </w:tc>
        <w:tc>
          <w:tcPr>
            <w:tcW w:w="2714"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p>
        </w:tc>
        <w:tc>
          <w:tcPr>
            <w:tcW w:w="2808"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r w:rsidRPr="00B53682">
              <w:t>Risk of unanticipated outcomes, which may require litigation to resolve</w:t>
            </w:r>
            <w:r w:rsidR="00A37D8C">
              <w:t>.</w:t>
            </w:r>
          </w:p>
          <w:p w:rsidR="006A159E" w:rsidRPr="00B53682" w:rsidRDefault="006A159E" w:rsidP="00B53682">
            <w:pPr>
              <w:pStyle w:val="TableTextLeft"/>
            </w:pPr>
            <w:r w:rsidRPr="00B53682">
              <w:t>Some increased risk premium passed on to insureds as a result of uncertainty</w:t>
            </w:r>
            <w:r w:rsidR="00A37D8C">
              <w:t>.</w:t>
            </w:r>
          </w:p>
        </w:tc>
      </w:tr>
      <w:tr w:rsidR="006A159E" w:rsidRPr="00FF1661" w:rsidTr="00E10149">
        <w:tc>
          <w:tcPr>
            <w:tcW w:w="2404"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Del="007E6806" w:rsidRDefault="006A159E" w:rsidP="00B53682">
            <w:pPr>
              <w:pStyle w:val="TableTextLeft"/>
              <w:rPr>
                <w:b/>
              </w:rPr>
            </w:pPr>
            <w:r w:rsidRPr="00B53682">
              <w:rPr>
                <w:b/>
              </w:rPr>
              <w:t>Government/regulators</w:t>
            </w:r>
          </w:p>
        </w:tc>
        <w:tc>
          <w:tcPr>
            <w:tcW w:w="2714" w:type="dxa"/>
            <w:tcBorders>
              <w:top w:val="single" w:sz="8" w:space="0" w:color="auto"/>
              <w:left w:val="single" w:sz="8" w:space="0" w:color="auto"/>
              <w:bottom w:val="single" w:sz="8" w:space="0" w:color="auto"/>
              <w:right w:val="single" w:sz="8" w:space="0" w:color="auto"/>
            </w:tcBorders>
            <w:shd w:val="clear" w:color="auto" w:fill="E6E6E6"/>
          </w:tcPr>
          <w:p w:rsidR="006A159E" w:rsidRPr="00FF1661" w:rsidRDefault="006A159E" w:rsidP="0029684A">
            <w:pPr>
              <w:pStyle w:val="TableTextLeft"/>
              <w:spacing w:before="40" w:after="40"/>
            </w:pPr>
          </w:p>
        </w:tc>
        <w:tc>
          <w:tcPr>
            <w:tcW w:w="2808" w:type="dxa"/>
            <w:tcBorders>
              <w:top w:val="single" w:sz="8" w:space="0" w:color="auto"/>
              <w:left w:val="single" w:sz="8" w:space="0" w:color="auto"/>
              <w:bottom w:val="single" w:sz="8" w:space="0" w:color="auto"/>
              <w:right w:val="single" w:sz="8" w:space="0" w:color="auto"/>
            </w:tcBorders>
            <w:shd w:val="clear" w:color="auto" w:fill="E6E6E6"/>
          </w:tcPr>
          <w:p w:rsidR="006A159E" w:rsidRPr="00087781" w:rsidRDefault="006A159E" w:rsidP="0029684A">
            <w:pPr>
              <w:pStyle w:val="TableTextLeft"/>
              <w:spacing w:before="40" w:after="40"/>
            </w:pPr>
          </w:p>
        </w:tc>
      </w:tr>
    </w:tbl>
    <w:p w:rsidR="006A159E" w:rsidRDefault="006A159E" w:rsidP="006A159E">
      <w:pPr>
        <w:pStyle w:val="Heading5"/>
      </w:pPr>
      <w:r>
        <w:lastRenderedPageBreak/>
        <w:t xml:space="preserve">Option B: </w:t>
      </w:r>
      <w:r w:rsidRPr="00C37439">
        <w:t xml:space="preserve">Extend all rights and obligations of insureds under the </w:t>
      </w:r>
      <w:r>
        <w:t>ICA</w:t>
      </w:r>
      <w:r w:rsidRPr="00C37439">
        <w:t xml:space="preserve"> to specified third party</w:t>
      </w:r>
      <w:r>
        <w:t xml:space="preserve"> beneficiaries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837"/>
        <w:gridCol w:w="2540"/>
        <w:gridCol w:w="2549"/>
      </w:tblGrid>
      <w:tr w:rsidR="006A159E" w:rsidRPr="005D5E42"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jc w:val="center"/>
              <w:rPr>
                <w:b/>
              </w:rPr>
            </w:pPr>
          </w:p>
        </w:tc>
        <w:tc>
          <w:tcPr>
            <w:tcW w:w="2540"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spacing w:before="40" w:after="40"/>
              <w:jc w:val="center"/>
              <w:rPr>
                <w:b/>
              </w:rPr>
            </w:pPr>
            <w:r w:rsidRPr="005D5E42">
              <w:rPr>
                <w:b/>
              </w:rPr>
              <w:t>Benefits</w:t>
            </w:r>
          </w:p>
        </w:tc>
        <w:tc>
          <w:tcPr>
            <w:tcW w:w="2549"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spacing w:before="40" w:after="40"/>
              <w:jc w:val="center"/>
              <w:rPr>
                <w:b/>
              </w:rPr>
            </w:pPr>
            <w:r w:rsidRPr="005D5E42">
              <w:rPr>
                <w:b/>
              </w:rPr>
              <w:t>Costs</w:t>
            </w:r>
          </w:p>
        </w:tc>
      </w:tr>
      <w:tr w:rsidR="006A159E" w:rsidRPr="008A6FF5"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rPr>
                <w:b/>
              </w:rPr>
            </w:pPr>
            <w:r w:rsidRPr="005D5E42">
              <w:rPr>
                <w:b/>
              </w:rPr>
              <w:t>Insurers</w:t>
            </w:r>
          </w:p>
        </w:tc>
        <w:tc>
          <w:tcPr>
            <w:tcW w:w="2540"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r w:rsidRPr="00B53682">
              <w:t>Decreased risk of unanticipated outcomes regarding claims by third party beneficiaries [2]</w:t>
            </w:r>
            <w:r w:rsidR="00A37D8C">
              <w:t>.</w:t>
            </w:r>
          </w:p>
        </w:tc>
        <w:tc>
          <w:tcPr>
            <w:tcW w:w="2549"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r w:rsidRPr="00B53682">
              <w:t>Greater administrative expenses in treating third parties as beneficiaries, for example, due to the requirements to give notices pre</w:t>
            </w:r>
            <w:r w:rsidR="00214D95">
              <w:noBreakHyphen/>
            </w:r>
            <w:r w:rsidRPr="00B53682">
              <w:t xml:space="preserve"> and post</w:t>
            </w:r>
            <w:r w:rsidR="00214D95">
              <w:noBreakHyphen/>
            </w:r>
            <w:r w:rsidRPr="00B53682">
              <w:t xml:space="preserve"> contractually, which may be impractical to apply [</w:t>
            </w:r>
            <w:r w:rsidR="00214D95">
              <w:noBreakHyphen/>
            </w:r>
            <w:r w:rsidRPr="00B53682">
              <w:t>3]</w:t>
            </w:r>
            <w:r w:rsidR="00A37D8C">
              <w:t>.</w:t>
            </w:r>
          </w:p>
        </w:tc>
      </w:tr>
      <w:tr w:rsidR="006A159E" w:rsidRPr="008A6FF5"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rPr>
                <w:b/>
              </w:rPr>
            </w:pPr>
            <w:r w:rsidRPr="005D5E42">
              <w:rPr>
                <w:b/>
              </w:rPr>
              <w:t>Consumers</w:t>
            </w:r>
          </w:p>
        </w:tc>
        <w:tc>
          <w:tcPr>
            <w:tcW w:w="2540"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r w:rsidRPr="00B53682">
              <w:t>Reduced uncertainty act can reduce litigation costs and</w:t>
            </w:r>
            <w:r w:rsidR="00A37D8C">
              <w:t xml:space="preserve"> expenses and risk premiums [1].</w:t>
            </w:r>
          </w:p>
        </w:tc>
        <w:tc>
          <w:tcPr>
            <w:tcW w:w="2549"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r w:rsidRPr="00B53682">
              <w:t>Higher administrative costs are likely to be passed on to customers [</w:t>
            </w:r>
            <w:r w:rsidR="00214D95">
              <w:noBreakHyphen/>
            </w:r>
            <w:r w:rsidRPr="00B53682">
              <w:t>2]</w:t>
            </w:r>
            <w:r w:rsidR="00A37D8C">
              <w:t>.</w:t>
            </w:r>
          </w:p>
          <w:p w:rsidR="006A159E" w:rsidRPr="00B53682" w:rsidRDefault="006A159E" w:rsidP="00B53682">
            <w:pPr>
              <w:pStyle w:val="TableTextLeft"/>
            </w:pPr>
            <w:r w:rsidRPr="00B53682">
              <w:t>Insurers may cease to offer some products involving multiple third party beneficiaries, reducing the opportunity for insureds to manage risk [</w:t>
            </w:r>
            <w:r w:rsidR="00214D95">
              <w:noBreakHyphen/>
            </w:r>
            <w:r w:rsidRPr="00B53682">
              <w:t>2]</w:t>
            </w:r>
            <w:r w:rsidR="00A37D8C">
              <w:t>.</w:t>
            </w: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rPr>
                <w:b/>
              </w:rPr>
            </w:pPr>
            <w:r w:rsidRPr="005D5E42">
              <w:rPr>
                <w:b/>
              </w:rPr>
              <w:t>Government/regulators</w:t>
            </w:r>
          </w:p>
        </w:tc>
        <w:tc>
          <w:tcPr>
            <w:tcW w:w="2540"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r w:rsidRPr="00B53682">
              <w:t>Increased certainty may lead to less complex dispute resolution processes [+1]</w:t>
            </w:r>
            <w:r w:rsidR="00A37D8C">
              <w:t>.</w:t>
            </w:r>
          </w:p>
        </w:tc>
        <w:tc>
          <w:tcPr>
            <w:tcW w:w="2549"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rPr>
                <w:b/>
              </w:rPr>
            </w:pPr>
            <w:r w:rsidRPr="005D5E42">
              <w:rPr>
                <w:b/>
              </w:rPr>
              <w:t>Sub</w:t>
            </w:r>
            <w:r w:rsidR="00214D95">
              <w:rPr>
                <w:b/>
              </w:rPr>
              <w:noBreakHyphen/>
            </w:r>
            <w:r w:rsidRPr="005D5E42">
              <w:rPr>
                <w:b/>
              </w:rPr>
              <w:t>rating</w:t>
            </w:r>
          </w:p>
        </w:tc>
        <w:tc>
          <w:tcPr>
            <w:tcW w:w="2540"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jc w:val="center"/>
              <w:rPr>
                <w:b/>
              </w:rPr>
            </w:pPr>
            <w:r w:rsidRPr="005D5E42">
              <w:rPr>
                <w:b/>
              </w:rPr>
              <w:t>+4</w:t>
            </w:r>
          </w:p>
        </w:tc>
        <w:tc>
          <w:tcPr>
            <w:tcW w:w="2549"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214D95" w:rsidP="0029684A">
            <w:pPr>
              <w:pStyle w:val="TableTextLeft"/>
              <w:ind w:right="30"/>
              <w:jc w:val="center"/>
              <w:rPr>
                <w:b/>
              </w:rPr>
            </w:pPr>
            <w:r>
              <w:rPr>
                <w:b/>
              </w:rPr>
              <w:noBreakHyphen/>
            </w:r>
            <w:r w:rsidR="006A159E" w:rsidRPr="005D5E42">
              <w:rPr>
                <w:b/>
              </w:rPr>
              <w:t>7</w:t>
            </w:r>
          </w:p>
        </w:tc>
      </w:tr>
      <w:tr w:rsidR="006A159E" w:rsidRPr="00FF1661" w:rsidTr="00E10149">
        <w:tc>
          <w:tcPr>
            <w:tcW w:w="2837"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rPr>
                <w:b/>
              </w:rPr>
            </w:pPr>
            <w:r w:rsidRPr="005D5E42">
              <w:rPr>
                <w:b/>
              </w:rPr>
              <w:t>Overall rating</w:t>
            </w:r>
          </w:p>
        </w:tc>
        <w:tc>
          <w:tcPr>
            <w:tcW w:w="5089"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214D95" w:rsidP="0029684A">
            <w:pPr>
              <w:pStyle w:val="TableTextLeft"/>
              <w:jc w:val="center"/>
              <w:rPr>
                <w:b/>
              </w:rPr>
            </w:pPr>
            <w:r>
              <w:rPr>
                <w:b/>
              </w:rPr>
              <w:noBreakHyphen/>
            </w:r>
            <w:r w:rsidR="006A159E" w:rsidRPr="005D5E42">
              <w:rPr>
                <w:b/>
              </w:rPr>
              <w:t>3</w:t>
            </w:r>
          </w:p>
        </w:tc>
      </w:tr>
    </w:tbl>
    <w:p w:rsidR="006A159E" w:rsidRDefault="006A159E" w:rsidP="00B53682">
      <w:pPr>
        <w:pStyle w:val="Heading5"/>
        <w:spacing w:before="360"/>
      </w:pPr>
      <w:r w:rsidRPr="000A5871">
        <w:t xml:space="preserve">Option </w:t>
      </w:r>
      <w:r>
        <w:t>C</w:t>
      </w:r>
      <w:r w:rsidRPr="000A5871">
        <w:t>:</w:t>
      </w:r>
      <w:r>
        <w:t xml:space="preserve"> </w:t>
      </w:r>
      <w:r w:rsidRPr="000A5871">
        <w:t xml:space="preserve">Extend only certain rights and obligations under the </w:t>
      </w:r>
      <w:r>
        <w:t>ICA</w:t>
      </w:r>
      <w:r w:rsidRPr="000A5871">
        <w:t xml:space="preserve"> to specified third</w:t>
      </w:r>
      <w:r w:rsidRPr="002E605A">
        <w:t xml:space="preserve"> party beneficiaries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448"/>
        <w:gridCol w:w="2700"/>
        <w:gridCol w:w="2700"/>
      </w:tblGrid>
      <w:tr w:rsidR="006A159E" w:rsidRPr="005D5E42" w:rsidTr="00E10149">
        <w:tc>
          <w:tcPr>
            <w:tcW w:w="2448"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jc w:val="center"/>
              <w:rPr>
                <w:b/>
              </w:rPr>
            </w:pPr>
          </w:p>
        </w:tc>
        <w:tc>
          <w:tcPr>
            <w:tcW w:w="2700"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spacing w:before="40" w:after="40"/>
              <w:jc w:val="center"/>
              <w:rPr>
                <w:b/>
              </w:rPr>
            </w:pPr>
            <w:r w:rsidRPr="005D5E42">
              <w:rPr>
                <w:b/>
              </w:rPr>
              <w:t>Benefits</w:t>
            </w:r>
          </w:p>
        </w:tc>
        <w:tc>
          <w:tcPr>
            <w:tcW w:w="2700"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spacing w:before="40" w:after="40"/>
              <w:jc w:val="center"/>
              <w:rPr>
                <w:b/>
              </w:rPr>
            </w:pPr>
            <w:r w:rsidRPr="005D5E42">
              <w:rPr>
                <w:b/>
              </w:rPr>
              <w:t>Costs</w:t>
            </w:r>
          </w:p>
        </w:tc>
      </w:tr>
      <w:tr w:rsidR="006A159E" w:rsidRPr="008A6FF5" w:rsidTr="00E10149">
        <w:tc>
          <w:tcPr>
            <w:tcW w:w="2448"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rPr>
                <w:b/>
              </w:rPr>
            </w:pPr>
            <w:r w:rsidRPr="005D5E42">
              <w:rPr>
                <w:b/>
              </w:rPr>
              <w:t>Insurers</w:t>
            </w:r>
          </w:p>
        </w:tc>
        <w:tc>
          <w:tcPr>
            <w:tcW w:w="2700"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r w:rsidRPr="00B53682">
              <w:t>Decreased risk of unanticipated outcomes regarding claims by third party beneficiaries [+2]</w:t>
            </w:r>
            <w:r w:rsidR="00A37D8C">
              <w:t>.</w:t>
            </w:r>
          </w:p>
        </w:tc>
        <w:tc>
          <w:tcPr>
            <w:tcW w:w="2700"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r w:rsidRPr="00B53682">
              <w:t>There would be some administrative costs arising from the requirement to provide third party beneficiaries with notices in limited circumstances [</w:t>
            </w:r>
            <w:r w:rsidR="00214D95">
              <w:noBreakHyphen/>
            </w:r>
            <w:r w:rsidRPr="00B53682">
              <w:t>1]</w:t>
            </w:r>
            <w:r w:rsidR="00A37D8C">
              <w:t>.</w:t>
            </w:r>
          </w:p>
        </w:tc>
      </w:tr>
      <w:tr w:rsidR="006A159E" w:rsidRPr="008A6FF5" w:rsidTr="00E10149">
        <w:tc>
          <w:tcPr>
            <w:tcW w:w="2448"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rPr>
                <w:b/>
              </w:rPr>
            </w:pPr>
            <w:r w:rsidRPr="005D5E42">
              <w:rPr>
                <w:b/>
              </w:rPr>
              <w:t>Insureds</w:t>
            </w:r>
          </w:p>
        </w:tc>
        <w:tc>
          <w:tcPr>
            <w:tcW w:w="2700"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r w:rsidRPr="00B53682">
              <w:t>Reduced uncertainty about the status of third party beneficiaries may reduce litigation costs and premiums [+2]</w:t>
            </w:r>
            <w:r w:rsidR="00A37D8C">
              <w:t>.</w:t>
            </w:r>
          </w:p>
        </w:tc>
        <w:tc>
          <w:tcPr>
            <w:tcW w:w="2700"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r w:rsidRPr="00B53682">
              <w:t>Some additional administrative costs could be passed on to insureds [</w:t>
            </w:r>
            <w:r w:rsidR="00214D95">
              <w:noBreakHyphen/>
            </w:r>
            <w:r w:rsidRPr="00B53682">
              <w:t>1]</w:t>
            </w:r>
            <w:r w:rsidR="00A37D8C">
              <w:t>.</w:t>
            </w:r>
          </w:p>
        </w:tc>
      </w:tr>
      <w:tr w:rsidR="006A159E" w:rsidRPr="00FF1661" w:rsidTr="00E10149">
        <w:tc>
          <w:tcPr>
            <w:tcW w:w="2448"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rPr>
                <w:b/>
              </w:rPr>
            </w:pPr>
            <w:r w:rsidRPr="005D5E42">
              <w:rPr>
                <w:b/>
              </w:rPr>
              <w:t>Government/regulators</w:t>
            </w:r>
          </w:p>
        </w:tc>
        <w:tc>
          <w:tcPr>
            <w:tcW w:w="2700"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r w:rsidRPr="00B53682">
              <w:t>Increased certainty may lead to less complex dispute resolution processes [+1]</w:t>
            </w:r>
            <w:r w:rsidR="00A37D8C">
              <w:t>.</w:t>
            </w:r>
          </w:p>
        </w:tc>
        <w:tc>
          <w:tcPr>
            <w:tcW w:w="2700" w:type="dxa"/>
            <w:tcBorders>
              <w:top w:val="single" w:sz="8" w:space="0" w:color="auto"/>
              <w:left w:val="single" w:sz="8" w:space="0" w:color="auto"/>
              <w:bottom w:val="single" w:sz="8" w:space="0" w:color="auto"/>
              <w:right w:val="single" w:sz="8" w:space="0" w:color="auto"/>
            </w:tcBorders>
            <w:shd w:val="clear" w:color="auto" w:fill="E6E6E6"/>
          </w:tcPr>
          <w:p w:rsidR="006A159E" w:rsidRPr="00B53682" w:rsidRDefault="006A159E" w:rsidP="00B53682">
            <w:pPr>
              <w:pStyle w:val="TableTextLeft"/>
            </w:pPr>
          </w:p>
        </w:tc>
      </w:tr>
      <w:tr w:rsidR="006A159E" w:rsidRPr="00FF1661" w:rsidTr="00E10149">
        <w:tc>
          <w:tcPr>
            <w:tcW w:w="2448"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rPr>
                <w:b/>
              </w:rPr>
            </w:pPr>
            <w:r w:rsidRPr="005D5E42">
              <w:rPr>
                <w:b/>
              </w:rPr>
              <w:t>Sub</w:t>
            </w:r>
            <w:r w:rsidR="00214D95">
              <w:rPr>
                <w:b/>
              </w:rPr>
              <w:noBreakHyphen/>
            </w:r>
            <w:r w:rsidRPr="005D5E42">
              <w:rPr>
                <w:b/>
              </w:rPr>
              <w:t>rating</w:t>
            </w:r>
          </w:p>
        </w:tc>
        <w:tc>
          <w:tcPr>
            <w:tcW w:w="2700"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tabs>
                <w:tab w:val="left" w:pos="2320"/>
              </w:tabs>
              <w:ind w:right="-3"/>
              <w:jc w:val="center"/>
              <w:rPr>
                <w:b/>
              </w:rPr>
            </w:pPr>
            <w:r w:rsidRPr="005D5E42">
              <w:rPr>
                <w:b/>
              </w:rPr>
              <w:t>+5</w:t>
            </w:r>
          </w:p>
        </w:tc>
        <w:tc>
          <w:tcPr>
            <w:tcW w:w="2700"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214D95" w:rsidP="0029684A">
            <w:pPr>
              <w:pStyle w:val="TableTextLeft"/>
              <w:tabs>
                <w:tab w:val="left" w:pos="2366"/>
              </w:tabs>
              <w:ind w:right="30"/>
              <w:jc w:val="center"/>
              <w:rPr>
                <w:b/>
              </w:rPr>
            </w:pPr>
            <w:r>
              <w:rPr>
                <w:b/>
              </w:rPr>
              <w:noBreakHyphen/>
            </w:r>
            <w:r w:rsidR="006A159E" w:rsidRPr="005D5E42">
              <w:rPr>
                <w:b/>
              </w:rPr>
              <w:t>2</w:t>
            </w:r>
          </w:p>
        </w:tc>
      </w:tr>
      <w:tr w:rsidR="006A159E" w:rsidRPr="00FF1661" w:rsidTr="00E10149">
        <w:tc>
          <w:tcPr>
            <w:tcW w:w="2448" w:type="dxa"/>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rPr>
                <w:b/>
              </w:rPr>
            </w:pPr>
            <w:r w:rsidRPr="005D5E42">
              <w:rPr>
                <w:b/>
              </w:rPr>
              <w:t>Overall rating</w:t>
            </w:r>
          </w:p>
        </w:tc>
        <w:tc>
          <w:tcPr>
            <w:tcW w:w="5400" w:type="dxa"/>
            <w:gridSpan w:val="2"/>
            <w:tcBorders>
              <w:top w:val="single" w:sz="8" w:space="0" w:color="auto"/>
              <w:left w:val="single" w:sz="8" w:space="0" w:color="auto"/>
              <w:bottom w:val="single" w:sz="8" w:space="0" w:color="auto"/>
              <w:right w:val="single" w:sz="8" w:space="0" w:color="auto"/>
            </w:tcBorders>
            <w:shd w:val="clear" w:color="auto" w:fill="E6E6E6"/>
          </w:tcPr>
          <w:p w:rsidR="006A159E" w:rsidRPr="005D5E42" w:rsidRDefault="006A159E" w:rsidP="0029684A">
            <w:pPr>
              <w:pStyle w:val="TableTextLeft"/>
              <w:jc w:val="center"/>
              <w:rPr>
                <w:b/>
              </w:rPr>
            </w:pPr>
            <w:r w:rsidRPr="005D5E42">
              <w:rPr>
                <w:b/>
              </w:rPr>
              <w:t>+3</w:t>
            </w:r>
          </w:p>
        </w:tc>
      </w:tr>
    </w:tbl>
    <w:p w:rsidR="006A159E" w:rsidRPr="00316971" w:rsidRDefault="006A159E" w:rsidP="00B53682">
      <w:pPr>
        <w:pStyle w:val="Heading4"/>
        <w:spacing w:before="360"/>
      </w:pPr>
      <w:bookmarkStart w:id="72" w:name="_Toc255909347"/>
      <w:r w:rsidRPr="00316971">
        <w:t>Consultation</w:t>
      </w:r>
      <w:bookmarkEnd w:id="72"/>
    </w:p>
    <w:p w:rsidR="006A159E" w:rsidRDefault="006A159E" w:rsidP="006A159E">
      <w:pPr>
        <w:pStyle w:val="base-text-paragraph"/>
      </w:pPr>
      <w:r>
        <w:t>There was support from consumer and insurance industry representatives for extending the duty of utmost good faith to third party beneficiaries</w:t>
      </w:r>
      <w:r w:rsidR="00214D95">
        <w:t xml:space="preserve">.  </w:t>
      </w:r>
      <w:r>
        <w:t xml:space="preserve">However, concerns were expressed about the practicalities of extending all rights and obligations of an insured to third party </w:t>
      </w:r>
      <w:r>
        <w:lastRenderedPageBreak/>
        <w:t>beneficiaries</w:t>
      </w:r>
      <w:r w:rsidR="00214D95">
        <w:t xml:space="preserve">.  </w:t>
      </w:r>
      <w:r>
        <w:t>NIBA noted it would be impractical to extend the duty of utmost good faith to pre</w:t>
      </w:r>
      <w:r w:rsidR="00214D95">
        <w:noBreakHyphen/>
      </w:r>
      <w:r>
        <w:t>contractual matters such as the duty of disclosure.</w:t>
      </w:r>
    </w:p>
    <w:p w:rsidR="006A159E" w:rsidRPr="00F12FD9" w:rsidRDefault="006A159E" w:rsidP="006A159E">
      <w:pPr>
        <w:pStyle w:val="Heading4"/>
      </w:pPr>
      <w:bookmarkStart w:id="73" w:name="_Toc255909348"/>
      <w:r w:rsidRPr="00F12FD9">
        <w:t>Conclusions and recommended options</w:t>
      </w:r>
      <w:bookmarkEnd w:id="73"/>
    </w:p>
    <w:p w:rsidR="006A159E" w:rsidRDefault="006A159E" w:rsidP="006A159E">
      <w:pPr>
        <w:pStyle w:val="base-text-paragraph"/>
      </w:pPr>
      <w:r>
        <w:t>The problem is that the current limited application of the ICA to third party beneficiaries has resulted in anomalies and inconsistencies, and legal uncertainty</w:t>
      </w:r>
      <w:r w:rsidR="00214D95">
        <w:t xml:space="preserve">.  </w:t>
      </w:r>
    </w:p>
    <w:p w:rsidR="006A159E" w:rsidRDefault="006A159E" w:rsidP="006A159E">
      <w:pPr>
        <w:pStyle w:val="base-text-paragraph"/>
      </w:pPr>
      <w:r>
        <w:t>The proposal in Option B would extend all rights and responsibilities conferred on insureds under the ICA to third party beneficiaries</w:t>
      </w:r>
      <w:r w:rsidR="00214D95">
        <w:t xml:space="preserve">.  </w:t>
      </w:r>
      <w:r>
        <w:t>Although this would resolve the uncertainty, it would have significant practical difficulties because the identity of many third party beneficiaries will not be known until after the contract is entered into</w:t>
      </w:r>
      <w:r w:rsidR="00214D95">
        <w:t xml:space="preserve">.  </w:t>
      </w:r>
      <w:r>
        <w:t>Option C avoids those difficulties by only conferring on third party beneficiaries a limited range of rights and obligations which do not involve significant expense</w:t>
      </w:r>
      <w:r w:rsidR="00214D95">
        <w:t xml:space="preserve">.  </w:t>
      </w:r>
      <w:r>
        <w:t>Option A involves no change to the current situation.</w:t>
      </w:r>
    </w:p>
    <w:p w:rsidR="006A159E" w:rsidRDefault="006A159E" w:rsidP="006A159E">
      <w:pPr>
        <w:pStyle w:val="base-text-paragraph"/>
      </w:pPr>
      <w:r>
        <w:t>The preferred option is Option C</w:t>
      </w:r>
      <w:r w:rsidR="00214D95">
        <w:t xml:space="preserve">.  </w:t>
      </w:r>
      <w:r>
        <w:t xml:space="preserve">Concerns </w:t>
      </w:r>
      <w:proofErr w:type="gramStart"/>
      <w:r>
        <w:t>raised</w:t>
      </w:r>
      <w:proofErr w:type="gramEnd"/>
      <w:r>
        <w:t xml:space="preserve"> during the initial consultation period regarding the expense and practical difficulties of bestowing third party beneficiaries with all of the rights and obligations held by insureds are justified</w:t>
      </w:r>
      <w:r w:rsidR="00214D95">
        <w:t xml:space="preserve">.  </w:t>
      </w:r>
      <w:r>
        <w:t>Option C</w:t>
      </w:r>
      <w:r w:rsidDel="00F30DBE">
        <w:t xml:space="preserve"> </w:t>
      </w:r>
      <w:r>
        <w:t>clarifies rights and obligations in a range of areas but could be implemented without any significant cost burden for insurers or consumers.</w:t>
      </w:r>
    </w:p>
    <w:p w:rsidR="006A159E" w:rsidRPr="000579BB" w:rsidRDefault="006A159E" w:rsidP="006A159E">
      <w:pPr>
        <w:pStyle w:val="Heading3"/>
      </w:pPr>
      <w:bookmarkStart w:id="74" w:name="_Toc255909349"/>
      <w:bookmarkStart w:id="75" w:name="_Toc338331864"/>
      <w:r w:rsidRPr="000579BB">
        <w:t>Summary of impacts</w:t>
      </w:r>
      <w:bookmarkEnd w:id="74"/>
      <w:bookmarkEnd w:id="75"/>
    </w:p>
    <w:p w:rsidR="006A159E" w:rsidRPr="000579BB" w:rsidRDefault="006A159E" w:rsidP="006A159E">
      <w:pPr>
        <w:pStyle w:val="base-text-paragraph"/>
      </w:pPr>
      <w:r w:rsidRPr="000579BB">
        <w:t>Elements of the proposals set out in the Bill will benefit both insurers and insureds, without imposing significant ongoing compliance costs on industry with flow</w:t>
      </w:r>
      <w:r w:rsidR="00214D95">
        <w:noBreakHyphen/>
      </w:r>
      <w:r w:rsidRPr="000579BB">
        <w:t>on impacts on premium settings</w:t>
      </w:r>
      <w:r w:rsidR="00214D95">
        <w:t xml:space="preserve">.  </w:t>
      </w:r>
    </w:p>
    <w:p w:rsidR="006A159E" w:rsidRPr="000579BB" w:rsidRDefault="006A159E" w:rsidP="006A159E">
      <w:pPr>
        <w:pStyle w:val="base-text-paragraph"/>
      </w:pPr>
      <w:r w:rsidRPr="000579BB">
        <w:t xml:space="preserve">The key measures in the bill relate to </w:t>
      </w:r>
    </w:p>
    <w:p w:rsidR="006A159E" w:rsidRPr="000579BB" w:rsidRDefault="006A159E" w:rsidP="006A159E">
      <w:pPr>
        <w:pStyle w:val="base-text-paragraph"/>
        <w:numPr>
          <w:ilvl w:val="0"/>
          <w:numId w:val="0"/>
        </w:numPr>
        <w:ind w:left="1134"/>
      </w:pPr>
      <w:r w:rsidRPr="000579BB">
        <w:t>1.</w:t>
      </w:r>
      <w:r w:rsidRPr="000579BB">
        <w:tab/>
      </w:r>
      <w:proofErr w:type="gramStart"/>
      <w:r w:rsidRPr="000579BB">
        <w:t>electronic</w:t>
      </w:r>
      <w:proofErr w:type="gramEnd"/>
      <w:r w:rsidRPr="000579BB">
        <w:t xml:space="preserve"> communication;</w:t>
      </w:r>
    </w:p>
    <w:p w:rsidR="006A159E" w:rsidRPr="000579BB" w:rsidRDefault="006A159E" w:rsidP="006A159E">
      <w:pPr>
        <w:pStyle w:val="base-text-paragraph"/>
        <w:numPr>
          <w:ilvl w:val="0"/>
          <w:numId w:val="0"/>
        </w:numPr>
        <w:ind w:left="1134"/>
      </w:pPr>
      <w:r w:rsidRPr="000579BB">
        <w:t>2.</w:t>
      </w:r>
      <w:r w:rsidRPr="000579BB">
        <w:tab/>
      </w:r>
      <w:proofErr w:type="gramStart"/>
      <w:r w:rsidRPr="000579BB">
        <w:t>objective</w:t>
      </w:r>
      <w:proofErr w:type="gramEnd"/>
      <w:r w:rsidRPr="000579BB">
        <w:t xml:space="preserve"> component of insured</w:t>
      </w:r>
      <w:r w:rsidR="00035750">
        <w:t>’</w:t>
      </w:r>
      <w:r w:rsidRPr="000579BB">
        <w:t>s duty of disclosure;</w:t>
      </w:r>
    </w:p>
    <w:p w:rsidR="006A159E" w:rsidRPr="000579BB" w:rsidRDefault="006A159E" w:rsidP="006A159E">
      <w:pPr>
        <w:pStyle w:val="base-text-paragraph"/>
        <w:numPr>
          <w:ilvl w:val="0"/>
          <w:numId w:val="0"/>
        </w:numPr>
        <w:ind w:left="1134"/>
      </w:pPr>
      <w:r w:rsidRPr="000579BB">
        <w:t>3.</w:t>
      </w:r>
      <w:r w:rsidRPr="000579BB">
        <w:tab/>
      </w:r>
      <w:proofErr w:type="gramStart"/>
      <w:r w:rsidRPr="000579BB">
        <w:t>disclosure</w:t>
      </w:r>
      <w:proofErr w:type="gramEnd"/>
      <w:r w:rsidRPr="000579BB">
        <w:t xml:space="preserve"> obligations on renewal of an eligible contract of insurance;</w:t>
      </w:r>
    </w:p>
    <w:p w:rsidR="006A159E" w:rsidRPr="000579BB" w:rsidRDefault="006A159E" w:rsidP="006A159E">
      <w:pPr>
        <w:pStyle w:val="base-text-paragraph"/>
        <w:numPr>
          <w:ilvl w:val="0"/>
          <w:numId w:val="0"/>
        </w:numPr>
        <w:ind w:left="1134"/>
      </w:pPr>
      <w:r w:rsidRPr="000579BB">
        <w:t>4.</w:t>
      </w:r>
      <w:r w:rsidRPr="000579BB">
        <w:tab/>
      </w:r>
      <w:proofErr w:type="gramStart"/>
      <w:r w:rsidRPr="000579BB">
        <w:t>notification</w:t>
      </w:r>
      <w:proofErr w:type="gramEnd"/>
      <w:r w:rsidRPr="000579BB">
        <w:t xml:space="preserve"> of duty of disclosure;</w:t>
      </w:r>
    </w:p>
    <w:p w:rsidR="006A159E" w:rsidRPr="000579BB" w:rsidRDefault="006A159E" w:rsidP="006A159E">
      <w:pPr>
        <w:pStyle w:val="base-text-paragraph"/>
        <w:numPr>
          <w:ilvl w:val="0"/>
          <w:numId w:val="0"/>
        </w:numPr>
        <w:ind w:left="1134"/>
      </w:pPr>
      <w:r w:rsidRPr="000579BB">
        <w:t>5.</w:t>
      </w:r>
      <w:r w:rsidRPr="000579BB">
        <w:tab/>
      </w:r>
      <w:proofErr w:type="gramStart"/>
      <w:r w:rsidRPr="000579BB">
        <w:t>non</w:t>
      </w:r>
      <w:r w:rsidR="00214D95">
        <w:noBreakHyphen/>
      </w:r>
      <w:r w:rsidRPr="000579BB">
        <w:t>disclosure</w:t>
      </w:r>
      <w:proofErr w:type="gramEnd"/>
      <w:r w:rsidRPr="000579BB">
        <w:t xml:space="preserve"> rules and life insureds;</w:t>
      </w:r>
    </w:p>
    <w:p w:rsidR="006A159E" w:rsidRPr="000579BB" w:rsidRDefault="006A159E" w:rsidP="006A159E">
      <w:pPr>
        <w:pStyle w:val="base-text-paragraph"/>
        <w:numPr>
          <w:ilvl w:val="0"/>
          <w:numId w:val="0"/>
        </w:numPr>
        <w:ind w:left="1134"/>
      </w:pPr>
      <w:r w:rsidRPr="000579BB">
        <w:t>6.</w:t>
      </w:r>
      <w:r w:rsidRPr="000579BB">
        <w:tab/>
      </w:r>
      <w:proofErr w:type="gramStart"/>
      <w:r w:rsidRPr="000579BB">
        <w:t>life</w:t>
      </w:r>
      <w:proofErr w:type="gramEnd"/>
      <w:r w:rsidRPr="000579BB">
        <w:t xml:space="preserve"> insurance remedies; and</w:t>
      </w:r>
    </w:p>
    <w:p w:rsidR="006A159E" w:rsidRPr="000579BB" w:rsidRDefault="006A159E" w:rsidP="006A159E">
      <w:pPr>
        <w:pStyle w:val="base-text-paragraph"/>
        <w:numPr>
          <w:ilvl w:val="0"/>
          <w:numId w:val="0"/>
        </w:numPr>
        <w:ind w:left="1134"/>
      </w:pPr>
      <w:r w:rsidRPr="000579BB">
        <w:t>7.</w:t>
      </w:r>
      <w:r w:rsidRPr="000579BB">
        <w:tab/>
      </w:r>
      <w:proofErr w:type="gramStart"/>
      <w:r w:rsidRPr="000579BB">
        <w:t>third</w:t>
      </w:r>
      <w:proofErr w:type="gramEnd"/>
      <w:r w:rsidRPr="000579BB">
        <w:t xml:space="preserve"> party beneficiaries.</w:t>
      </w:r>
    </w:p>
    <w:p w:rsidR="006A159E" w:rsidRPr="000579BB" w:rsidRDefault="006A159E" w:rsidP="006A159E">
      <w:pPr>
        <w:pStyle w:val="base-text-paragraph"/>
      </w:pPr>
      <w:r w:rsidRPr="000579BB">
        <w:lastRenderedPageBreak/>
        <w:t xml:space="preserve">Both insurers and insureds will benefit from the ability to use electronic communication for various notice requirements under the </w:t>
      </w:r>
      <w:r>
        <w:t>ICA</w:t>
      </w:r>
      <w:r w:rsidR="00214D95">
        <w:t xml:space="preserve">.  </w:t>
      </w:r>
      <w:r w:rsidRPr="000579BB">
        <w:t>Use of electronic communications has the potential to lower costs related to use of hard copy communications and to increase convenience for both insurers and insureds.</w:t>
      </w:r>
    </w:p>
    <w:p w:rsidR="006A159E" w:rsidRPr="000579BB" w:rsidRDefault="006A159E" w:rsidP="006A159E">
      <w:pPr>
        <w:pStyle w:val="base-text-paragraph"/>
      </w:pPr>
      <w:r w:rsidRPr="000579BB">
        <w:t>The Bill will clarify the insured</w:t>
      </w:r>
      <w:r w:rsidR="00035750">
        <w:t>’</w:t>
      </w:r>
      <w:r w:rsidRPr="000579BB">
        <w:t>s duty of disclosure, remove the insurer</w:t>
      </w:r>
      <w:r w:rsidR="00035750">
        <w:t>’</w:t>
      </w:r>
      <w:r w:rsidRPr="000579BB">
        <w:t xml:space="preserve">s option to ask </w:t>
      </w:r>
      <w:r w:rsidR="00035750">
        <w:t>‘</w:t>
      </w:r>
      <w:r w:rsidRPr="000579BB">
        <w:t>catch</w:t>
      </w:r>
      <w:r w:rsidR="00214D95">
        <w:noBreakHyphen/>
      </w:r>
      <w:r w:rsidRPr="000579BB">
        <w:t>all</w:t>
      </w:r>
      <w:r w:rsidR="00035750">
        <w:t>’</w:t>
      </w:r>
      <w:r w:rsidRPr="000579BB">
        <w:t xml:space="preserve"> questions and effectively require specific questions to be asked on renewal</w:t>
      </w:r>
      <w:r w:rsidR="00214D95">
        <w:t xml:space="preserve">.  </w:t>
      </w:r>
      <w:r w:rsidRPr="000579BB">
        <w:t>Insurers will be required to remind insureds of their duty of disclosure where there is a significant elapse of time between application and contract</w:t>
      </w:r>
      <w:r w:rsidR="00214D95">
        <w:t xml:space="preserve">.  </w:t>
      </w:r>
    </w:p>
    <w:p w:rsidR="006A159E" w:rsidRPr="000579BB" w:rsidRDefault="006A159E" w:rsidP="006A159E">
      <w:pPr>
        <w:pStyle w:val="base-text-paragraph"/>
      </w:pPr>
      <w:r w:rsidRPr="000579BB">
        <w:t>Initially, some additional administrative costs will be placed on insurers in terms of altering established processes for renewing policies, which could flow through to increased premiums charged</w:t>
      </w:r>
      <w:r w:rsidR="00214D95">
        <w:t xml:space="preserve">.  </w:t>
      </w:r>
      <w:r w:rsidRPr="000579BB">
        <w:t>However, these measures are intended to strike an appropriate balance between ensuring insurers have reliable information to assess and price risk, while at the same time, avoiding an unfair burden being placed on insureds in meeting their duty of disclosure, with potential detrimental outcomes with respect to claims</w:t>
      </w:r>
      <w:r w:rsidR="00214D95">
        <w:t xml:space="preserve">.  </w:t>
      </w:r>
    </w:p>
    <w:p w:rsidR="006A159E" w:rsidRPr="000579BB" w:rsidRDefault="006A159E" w:rsidP="006A159E">
      <w:pPr>
        <w:pStyle w:val="base-text-paragraph"/>
      </w:pPr>
      <w:r w:rsidRPr="000579BB">
        <w:t>Insurers, insureds and regulators would benefit from fewer and less complex disputes relating to disclosure and ease of resolution would increase</w:t>
      </w:r>
      <w:r w:rsidR="00214D95">
        <w:t xml:space="preserve">.  </w:t>
      </w:r>
      <w:r w:rsidRPr="000579BB">
        <w:t>This could ultimately be reflected in lowered costs to insurers, with this factored into premium rates.</w:t>
      </w:r>
    </w:p>
    <w:p w:rsidR="006A159E" w:rsidRPr="000579BB" w:rsidRDefault="006A159E" w:rsidP="006A159E">
      <w:pPr>
        <w:pStyle w:val="base-text-paragraph"/>
      </w:pPr>
      <w:r w:rsidRPr="000579BB">
        <w:t>Insurers will benefit from clarification of the remedies available to them for non</w:t>
      </w:r>
      <w:r w:rsidR="00214D95">
        <w:noBreakHyphen/>
      </w:r>
      <w:r w:rsidRPr="000579BB">
        <w:t xml:space="preserve">disclosure by life insureds, </w:t>
      </w:r>
      <w:proofErr w:type="gramStart"/>
      <w:r w:rsidRPr="000579BB">
        <w:t>who</w:t>
      </w:r>
      <w:proofErr w:type="gramEnd"/>
      <w:r w:rsidRPr="000579BB">
        <w:t xml:space="preserve"> are not the insured under life policies</w:t>
      </w:r>
      <w:r w:rsidR="00214D95">
        <w:t xml:space="preserve">.  </w:t>
      </w:r>
      <w:r w:rsidRPr="000579BB">
        <w:t>More generally, insurers will benefit from simplification of remedies for non</w:t>
      </w:r>
      <w:r w:rsidR="00214D95">
        <w:noBreakHyphen/>
      </w:r>
      <w:r w:rsidRPr="000579BB">
        <w:t>disclosure, with unbundling of remedies allowing for greater flexibility and alignment of life remedies with those available to general insurers more realistically reflecting market realities, namely, bundling of mortality and morbidity life insurance policies, and the almost total contraction of the market for traditional life policies with surrender values being replaced by short term, pure risk policies</w:t>
      </w:r>
      <w:r w:rsidR="00214D95">
        <w:t xml:space="preserve">.  </w:t>
      </w:r>
    </w:p>
    <w:p w:rsidR="006A159E" w:rsidRPr="000579BB" w:rsidRDefault="006A159E" w:rsidP="006A159E">
      <w:pPr>
        <w:pStyle w:val="base-text-paragraph"/>
      </w:pPr>
      <w:r w:rsidRPr="000579BB">
        <w:t>Holders of life insurance policies will benefit from less harsh and inflexible remedies being available to insurers with respect to non</w:t>
      </w:r>
      <w:r w:rsidR="00214D95">
        <w:noBreakHyphen/>
      </w:r>
      <w:r w:rsidRPr="000579BB">
        <w:t>fraudulent (innocent) non</w:t>
      </w:r>
      <w:r w:rsidR="00214D95">
        <w:noBreakHyphen/>
      </w:r>
      <w:r w:rsidRPr="000579BB">
        <w:t>disclosure, with insureds generally benefiting from fewer cost pressures placed on premiums rates (these are ultimately impacted by pursuit of expensive litigation for alleged fraudulent non</w:t>
      </w:r>
      <w:r w:rsidR="00214D95">
        <w:noBreakHyphen/>
      </w:r>
      <w:r w:rsidRPr="000579BB">
        <w:t>disclosure necessitated by the current rigid remedy regime).</w:t>
      </w:r>
    </w:p>
    <w:p w:rsidR="006A159E" w:rsidRPr="000579BB" w:rsidRDefault="006A159E" w:rsidP="006A159E">
      <w:pPr>
        <w:pStyle w:val="base-text-paragraph"/>
      </w:pPr>
      <w:r w:rsidRPr="000579BB">
        <w:t>It is expected that options to benefit third party beneficiaries by clarifying rights and obligations in a range of areas could be implemented without any significant cost burden for insurers or consumers.</w:t>
      </w:r>
    </w:p>
    <w:p w:rsidR="006A159E" w:rsidRDefault="006A159E" w:rsidP="006A159E">
      <w:pPr>
        <w:pStyle w:val="base-text-paragraph"/>
      </w:pPr>
      <w:r w:rsidRPr="000579BB">
        <w:lastRenderedPageBreak/>
        <w:t>While some proposals in the Bill may result in an increase in compliance costs, these are expected to be low when taken into account in the broader context where the overall impact of the changes is likely to lead to greater balance between insurers and insureds and produce fairer outcomes for all parties to the insurance contract and those affected by it</w:t>
      </w:r>
      <w:r w:rsidR="00214D95">
        <w:t xml:space="preserve">.  </w:t>
      </w:r>
    </w:p>
    <w:p w:rsidR="006A159E" w:rsidRDefault="006A159E" w:rsidP="006A159E">
      <w:pPr>
        <w:pStyle w:val="Heading2"/>
      </w:pPr>
      <w:bookmarkStart w:id="76" w:name="_Toc338331865"/>
      <w:r>
        <w:t>Implementation and review</w:t>
      </w:r>
      <w:bookmarkEnd w:id="76"/>
    </w:p>
    <w:p w:rsidR="006A159E" w:rsidRPr="00A276EF" w:rsidRDefault="006A159E" w:rsidP="006A159E">
      <w:pPr>
        <w:pStyle w:val="base-text-paragraph"/>
      </w:pPr>
      <w:r w:rsidRPr="00A276EF">
        <w:t xml:space="preserve">The recommended actions all require legislative amendments to the </w:t>
      </w:r>
      <w:r>
        <w:t>ICA</w:t>
      </w:r>
      <w:r w:rsidRPr="00A276EF">
        <w:t>.</w:t>
      </w:r>
    </w:p>
    <w:p w:rsidR="006A159E" w:rsidRPr="00A276EF" w:rsidRDefault="006A159E" w:rsidP="006A159E">
      <w:pPr>
        <w:pStyle w:val="base-text-paragraph"/>
      </w:pPr>
      <w:r w:rsidRPr="00A276EF">
        <w:t>No formal review has been scheduled</w:t>
      </w:r>
      <w:r w:rsidR="00214D95">
        <w:t xml:space="preserve">.  </w:t>
      </w:r>
      <w:r w:rsidRPr="00A276EF">
        <w:t xml:space="preserve">The operation of the </w:t>
      </w:r>
      <w:r>
        <w:t>ICA</w:t>
      </w:r>
      <w:r w:rsidRPr="00A276EF">
        <w:t xml:space="preserve"> will be under continuous monitoring and adjustments or refinements to the proposed amendments will be made as required.</w:t>
      </w:r>
    </w:p>
    <w:p w:rsidR="00B53682" w:rsidRDefault="00B53682" w:rsidP="0029684A">
      <w:pPr>
        <w:pStyle w:val="ChapterHeading"/>
        <w:sectPr w:rsidR="00B53682" w:rsidSect="009F4BFE">
          <w:headerReference w:type="first" r:id="rId42"/>
          <w:type w:val="oddPage"/>
          <w:pgSz w:w="11906" w:h="16838" w:code="9"/>
          <w:pgMar w:top="2466" w:right="2098" w:bottom="2466" w:left="2098" w:header="1559" w:footer="1899" w:gutter="0"/>
          <w:cols w:space="708"/>
          <w:titlePg/>
          <w:docGrid w:linePitch="360"/>
        </w:sectPr>
      </w:pPr>
    </w:p>
    <w:p w:rsidR="00000789" w:rsidRDefault="00000789" w:rsidP="00B53682">
      <w:pPr>
        <w:pStyle w:val="ChapterHeading"/>
        <w:spacing w:before="0"/>
      </w:pPr>
      <w:r>
        <w:lastRenderedPageBreak/>
        <w:br/>
      </w:r>
      <w:bookmarkStart w:id="77" w:name="_Toc350865716"/>
      <w:r>
        <w:t>Statement of Compatibility with Human Rights</w:t>
      </w:r>
      <w:bookmarkEnd w:id="77"/>
    </w:p>
    <w:p w:rsidR="00000789" w:rsidRDefault="00000789" w:rsidP="00FF56B8">
      <w:pPr>
        <w:pStyle w:val="Heading2"/>
        <w:spacing w:before="280"/>
      </w:pPr>
      <w:r>
        <w:t xml:space="preserve">Prepared in accordance with Part 3 of the </w:t>
      </w:r>
      <w:r w:rsidRPr="007439D0">
        <w:rPr>
          <w:i/>
        </w:rPr>
        <w:t>Human Rights (Parliamentary Scrutiny) Act 2011</w:t>
      </w:r>
    </w:p>
    <w:p w:rsidR="00000789" w:rsidRPr="00A04A9F" w:rsidRDefault="006A159E" w:rsidP="00FF56B8">
      <w:pPr>
        <w:pStyle w:val="Heading3"/>
        <w:spacing w:before="180"/>
        <w:rPr>
          <w:i/>
        </w:rPr>
      </w:pPr>
      <w:r>
        <w:rPr>
          <w:i/>
        </w:rPr>
        <w:t>Insurance Contrac</w:t>
      </w:r>
      <w:r w:rsidR="003B6529">
        <w:rPr>
          <w:i/>
        </w:rPr>
        <w:t>ts Amendment Bill 2013</w:t>
      </w:r>
    </w:p>
    <w:p w:rsidR="00000789" w:rsidRDefault="00000789" w:rsidP="00FF56B8">
      <w:pPr>
        <w:pStyle w:val="base-text-paragraph"/>
        <w:spacing w:after="100"/>
      </w:pPr>
      <w:r>
        <w:t xml:space="preserve">This </w:t>
      </w:r>
      <w:r w:rsidR="006A159E">
        <w:t>Bill</w:t>
      </w:r>
      <w:r w:rsidRPr="002E3A4D">
        <w:t xml:space="preserve"> i</w:t>
      </w:r>
      <w:r>
        <w:t xml:space="preserve">s compatible with the human rights and freedoms recognised or declared in the international instruments listed in section 3 of the </w:t>
      </w:r>
      <w:r w:rsidRPr="00A04A9F">
        <w:rPr>
          <w:i/>
        </w:rPr>
        <w:t>Human Rights (Parliamentary Scrutiny) Act 2011</w:t>
      </w:r>
      <w:r>
        <w:t>.</w:t>
      </w:r>
    </w:p>
    <w:p w:rsidR="00000789" w:rsidRDefault="00000789" w:rsidP="00FF56B8">
      <w:pPr>
        <w:pStyle w:val="Heading3"/>
        <w:spacing w:before="200"/>
      </w:pPr>
      <w:r>
        <w:t>Overview</w:t>
      </w:r>
    </w:p>
    <w:p w:rsidR="00ED3584" w:rsidRDefault="00ED3584" w:rsidP="00FF56B8">
      <w:pPr>
        <w:pStyle w:val="base-text-paragraph"/>
        <w:spacing w:after="100"/>
      </w:pPr>
      <w:r>
        <w:t xml:space="preserve">The Insurance Contracts Amendment Bill </w:t>
      </w:r>
      <w:proofErr w:type="gramStart"/>
      <w:r>
        <w:t>2013  (</w:t>
      </w:r>
      <w:proofErr w:type="gramEnd"/>
      <w:r>
        <w:t>the Bill) re</w:t>
      </w:r>
      <w:r w:rsidR="00214D95">
        <w:noBreakHyphen/>
      </w:r>
      <w:r>
        <w:t>introduces the measures contained in Insurance Contracts Amendment Bill 2010 (the 2010 Bill) with some minor refinements</w:t>
      </w:r>
      <w:r w:rsidR="00214D95">
        <w:t xml:space="preserve">.  </w:t>
      </w:r>
      <w:r>
        <w:t>The re</w:t>
      </w:r>
      <w:r w:rsidR="00214D95">
        <w:noBreakHyphen/>
      </w:r>
      <w:r>
        <w:t xml:space="preserve">introduction of the measures in the 2010 Bill with the minor refinements gives effect to a number of recommendations of a Review Panel appointed to review the </w:t>
      </w:r>
      <w:r w:rsidRPr="00922F75">
        <w:rPr>
          <w:i/>
        </w:rPr>
        <w:t>Insurance Contracts Act 1984</w:t>
      </w:r>
      <w:r w:rsidR="00214D95">
        <w:t xml:space="preserve">.  </w:t>
      </w:r>
      <w:r>
        <w:t>The changes are largely technical in nature and respond to market developments and judicial decisions since its enactment</w:t>
      </w:r>
      <w:r w:rsidR="00214D95">
        <w:t xml:space="preserve">.  </w:t>
      </w:r>
    </w:p>
    <w:p w:rsidR="00000789" w:rsidRDefault="00ED3584" w:rsidP="00FF56B8">
      <w:pPr>
        <w:pStyle w:val="base-text-paragraph"/>
        <w:spacing w:after="100"/>
      </w:pPr>
      <w:r>
        <w:t>The Bill will streamline requirements and address anomalies in the regulatory framework for the benefit of insurers and consumers</w:t>
      </w:r>
      <w:r w:rsidR="00214D95">
        <w:t xml:space="preserve">.  </w:t>
      </w:r>
      <w:r>
        <w:t>The measures have been subject to stakeholder consultation and in some areas the Review Panel</w:t>
      </w:r>
      <w:r w:rsidR="00035750">
        <w:t>’</w:t>
      </w:r>
      <w:r>
        <w:t>s recommendations have been modified to take account of issues raised in consultations.</w:t>
      </w:r>
    </w:p>
    <w:p w:rsidR="00000789" w:rsidRDefault="00000789" w:rsidP="00FF56B8">
      <w:pPr>
        <w:pStyle w:val="Heading3"/>
        <w:spacing w:before="220"/>
      </w:pPr>
      <w:r>
        <w:t>Human rights implications</w:t>
      </w:r>
    </w:p>
    <w:p w:rsidR="00000789" w:rsidRDefault="00000789" w:rsidP="00FF56B8">
      <w:pPr>
        <w:pStyle w:val="base-text-paragraph"/>
        <w:spacing w:after="100"/>
      </w:pPr>
      <w:r>
        <w:t xml:space="preserve">This </w:t>
      </w:r>
      <w:r w:rsidR="00ED3584">
        <w:t>Bill</w:t>
      </w:r>
      <w:r>
        <w:t xml:space="preserve"> does not engage any of the applicable rights or freedoms.</w:t>
      </w:r>
    </w:p>
    <w:p w:rsidR="00000789" w:rsidRDefault="00000789" w:rsidP="00FF56B8">
      <w:pPr>
        <w:pStyle w:val="Heading3"/>
        <w:spacing w:before="220"/>
      </w:pPr>
      <w:r>
        <w:t>Conclusion</w:t>
      </w:r>
    </w:p>
    <w:p w:rsidR="00000789" w:rsidRDefault="00000789" w:rsidP="00FF56B8">
      <w:pPr>
        <w:pStyle w:val="base-text-paragraph"/>
        <w:spacing w:after="100"/>
      </w:pPr>
      <w:r>
        <w:t xml:space="preserve">This </w:t>
      </w:r>
      <w:r w:rsidR="00ED3584">
        <w:t>Bill</w:t>
      </w:r>
      <w:r>
        <w:t xml:space="preserve"> is compatible with human rights as it does not raise any human rights issues.</w:t>
      </w:r>
    </w:p>
    <w:p w:rsidR="003E0434" w:rsidRDefault="00ED3584" w:rsidP="004E3E5B">
      <w:pPr>
        <w:pStyle w:val="Heading2"/>
        <w:spacing w:before="440"/>
        <w:sectPr w:rsidR="003E0434" w:rsidSect="009F4BFE">
          <w:headerReference w:type="first" r:id="rId43"/>
          <w:footerReference w:type="first" r:id="rId44"/>
          <w:type w:val="oddPage"/>
          <w:pgSz w:w="11906" w:h="16838" w:code="9"/>
          <w:pgMar w:top="2466" w:right="2098" w:bottom="2466" w:left="2098" w:header="1559" w:footer="1899" w:gutter="0"/>
          <w:cols w:space="708"/>
          <w:titlePg/>
          <w:docGrid w:linePitch="360"/>
        </w:sectPr>
      </w:pPr>
      <w:r>
        <w:t>The Minister for Financial Services and Sup</w:t>
      </w:r>
      <w:r w:rsidR="00AE1417">
        <w:t xml:space="preserve">erannuation the Hon William </w:t>
      </w:r>
      <w:r w:rsidR="004E3E5B">
        <w:t>Shorten</w:t>
      </w:r>
      <w:r>
        <w:t xml:space="preserve"> MP</w:t>
      </w:r>
    </w:p>
    <w:p w:rsidR="003E0434" w:rsidRPr="00D67ADC" w:rsidRDefault="003E0434" w:rsidP="00637D3C">
      <w:pPr>
        <w:pStyle w:val="Chapterheadingsubdocument"/>
      </w:pPr>
      <w:bookmarkStart w:id="78" w:name="Index"/>
      <w:bookmarkStart w:id="79" w:name="_Toc350865717"/>
      <w:r w:rsidRPr="00D67ADC">
        <w:lastRenderedPageBreak/>
        <w:t>Index</w:t>
      </w:r>
      <w:bookmarkEnd w:id="78"/>
      <w:bookmarkEnd w:id="79"/>
    </w:p>
    <w:p w:rsidR="003E0434" w:rsidRDefault="003E0434" w:rsidP="00BF7D99">
      <w:pPr>
        <w:pStyle w:val="Heading2with18pointafter"/>
        <w:spacing w:before="400"/>
      </w:pPr>
      <w:r>
        <w:t xml:space="preserve">Schedule 1:  </w:t>
      </w:r>
      <w:r w:rsidRPr="00700B4C">
        <w:t>Scope and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3E0434" w:rsidRPr="00442FB9" w:rsidTr="00637D3C">
        <w:trPr>
          <w:tblHeader/>
        </w:trPr>
        <w:tc>
          <w:tcPr>
            <w:tcW w:w="5760" w:type="dxa"/>
          </w:tcPr>
          <w:p w:rsidR="003E0434" w:rsidRPr="00231CBA" w:rsidRDefault="003E0434" w:rsidP="00637D3C">
            <w:pPr>
              <w:pStyle w:val="tableheaderwithintable"/>
            </w:pPr>
            <w:r w:rsidRPr="00231CBA">
              <w:t>Bill reference</w:t>
            </w:r>
          </w:p>
        </w:tc>
        <w:tc>
          <w:tcPr>
            <w:tcW w:w="1980" w:type="dxa"/>
          </w:tcPr>
          <w:p w:rsidR="003E0434" w:rsidRPr="00231CBA" w:rsidRDefault="003E0434" w:rsidP="00637D3C">
            <w:pPr>
              <w:pStyle w:val="tableheaderwithintable"/>
            </w:pPr>
            <w:r w:rsidRPr="00231CBA">
              <w:t>Paragraph number</w:t>
            </w:r>
          </w:p>
        </w:tc>
      </w:tr>
      <w:tr w:rsidR="003E0434" w:rsidRPr="00231CBA" w:rsidTr="00637D3C">
        <w:trPr>
          <w:tblHeader/>
        </w:trPr>
        <w:tc>
          <w:tcPr>
            <w:tcW w:w="5760" w:type="dxa"/>
          </w:tcPr>
          <w:p w:rsidR="003E0434" w:rsidRPr="00231CBA" w:rsidRDefault="003E0434" w:rsidP="00637D3C">
            <w:pPr>
              <w:pStyle w:val="tabletext"/>
            </w:pPr>
            <w:r>
              <w:t>Item 2, subsection 11(1)</w:t>
            </w:r>
          </w:p>
        </w:tc>
        <w:tc>
          <w:tcPr>
            <w:tcW w:w="1980" w:type="dxa"/>
          </w:tcPr>
          <w:p w:rsidR="003E0434" w:rsidRPr="00231CBA" w:rsidRDefault="003E0434" w:rsidP="00637D3C">
            <w:pPr>
              <w:pStyle w:val="tabletext"/>
            </w:pPr>
            <w:r>
              <w:t>1.17</w:t>
            </w:r>
          </w:p>
        </w:tc>
      </w:tr>
      <w:tr w:rsidR="003E0434" w:rsidRPr="00231CBA" w:rsidTr="00637D3C">
        <w:trPr>
          <w:tblHeader/>
        </w:trPr>
        <w:tc>
          <w:tcPr>
            <w:tcW w:w="5760" w:type="dxa"/>
          </w:tcPr>
          <w:p w:rsidR="003E0434" w:rsidRDefault="003E0434" w:rsidP="00637D3C">
            <w:pPr>
              <w:pStyle w:val="tabletext"/>
            </w:pPr>
            <w:r>
              <w:t>Item 4, subsections 13(2)</w:t>
            </w:r>
          </w:p>
        </w:tc>
        <w:tc>
          <w:tcPr>
            <w:tcW w:w="1980" w:type="dxa"/>
          </w:tcPr>
          <w:p w:rsidR="003E0434" w:rsidRDefault="003E0434" w:rsidP="00637D3C">
            <w:pPr>
              <w:pStyle w:val="tabletext"/>
            </w:pPr>
            <w:r>
              <w:t>1.7</w:t>
            </w:r>
          </w:p>
        </w:tc>
      </w:tr>
      <w:tr w:rsidR="003E0434" w:rsidRPr="00231CBA" w:rsidTr="00637D3C">
        <w:trPr>
          <w:tblHeader/>
        </w:trPr>
        <w:tc>
          <w:tcPr>
            <w:tcW w:w="5760" w:type="dxa"/>
          </w:tcPr>
          <w:p w:rsidR="003E0434" w:rsidRDefault="003E0434" w:rsidP="00637D3C">
            <w:pPr>
              <w:pStyle w:val="tabletext"/>
            </w:pPr>
            <w:r>
              <w:t>Item 4, subsections 13(3) and 13(4)</w:t>
            </w:r>
          </w:p>
        </w:tc>
        <w:tc>
          <w:tcPr>
            <w:tcW w:w="1980" w:type="dxa"/>
          </w:tcPr>
          <w:p w:rsidR="003E0434" w:rsidRDefault="003E0434" w:rsidP="00637D3C">
            <w:pPr>
              <w:pStyle w:val="tabletext"/>
            </w:pPr>
            <w:r>
              <w:t>1.19</w:t>
            </w:r>
          </w:p>
        </w:tc>
      </w:tr>
      <w:tr w:rsidR="003E0434" w:rsidRPr="00231CBA" w:rsidTr="00637D3C">
        <w:trPr>
          <w:tblHeader/>
        </w:trPr>
        <w:tc>
          <w:tcPr>
            <w:tcW w:w="5760" w:type="dxa"/>
          </w:tcPr>
          <w:p w:rsidR="003E0434" w:rsidRDefault="003E0434" w:rsidP="00637D3C">
            <w:pPr>
              <w:pStyle w:val="tabletext"/>
            </w:pPr>
            <w:r>
              <w:t>Item 5, subsection 14A(3)</w:t>
            </w:r>
          </w:p>
        </w:tc>
        <w:tc>
          <w:tcPr>
            <w:tcW w:w="1980" w:type="dxa"/>
          </w:tcPr>
          <w:p w:rsidR="003E0434" w:rsidRDefault="003E0434" w:rsidP="00637D3C">
            <w:pPr>
              <w:pStyle w:val="tabletext"/>
            </w:pPr>
            <w:r>
              <w:t>1.10</w:t>
            </w:r>
          </w:p>
        </w:tc>
      </w:tr>
      <w:tr w:rsidR="003E0434" w:rsidRPr="00231CBA" w:rsidTr="00637D3C">
        <w:trPr>
          <w:tblHeader/>
        </w:trPr>
        <w:tc>
          <w:tcPr>
            <w:tcW w:w="5760" w:type="dxa"/>
          </w:tcPr>
          <w:p w:rsidR="003E0434" w:rsidRDefault="003E0434" w:rsidP="00637D3C">
            <w:pPr>
              <w:pStyle w:val="tabletext"/>
            </w:pPr>
            <w:r>
              <w:t>Item 5, subsections  14A(1) and 14(2)</w:t>
            </w:r>
          </w:p>
        </w:tc>
        <w:tc>
          <w:tcPr>
            <w:tcW w:w="1980" w:type="dxa"/>
          </w:tcPr>
          <w:p w:rsidR="003E0434" w:rsidRDefault="003E0434" w:rsidP="00637D3C">
            <w:pPr>
              <w:pStyle w:val="tabletext"/>
            </w:pPr>
            <w:r>
              <w:t>1.8</w:t>
            </w:r>
          </w:p>
        </w:tc>
      </w:tr>
      <w:tr w:rsidR="003E0434" w:rsidRPr="00231CBA" w:rsidTr="00637D3C">
        <w:trPr>
          <w:tblHeader/>
        </w:trPr>
        <w:tc>
          <w:tcPr>
            <w:tcW w:w="5760" w:type="dxa"/>
          </w:tcPr>
          <w:p w:rsidR="003E0434" w:rsidRDefault="003E0434" w:rsidP="00637D3C">
            <w:pPr>
              <w:pStyle w:val="tabletext"/>
            </w:pPr>
            <w:r>
              <w:t>Item 5, subsection 14A(1)</w:t>
            </w:r>
          </w:p>
        </w:tc>
        <w:tc>
          <w:tcPr>
            <w:tcW w:w="1980" w:type="dxa"/>
          </w:tcPr>
          <w:p w:rsidR="003E0434" w:rsidRDefault="003E0434" w:rsidP="00637D3C">
            <w:pPr>
              <w:pStyle w:val="tabletext"/>
            </w:pPr>
            <w:r>
              <w:t>1.9</w:t>
            </w:r>
          </w:p>
        </w:tc>
      </w:tr>
      <w:tr w:rsidR="003E0434" w:rsidRPr="00231CBA" w:rsidTr="00637D3C">
        <w:trPr>
          <w:tblHeader/>
        </w:trPr>
        <w:tc>
          <w:tcPr>
            <w:tcW w:w="5760" w:type="dxa"/>
          </w:tcPr>
          <w:p w:rsidR="003E0434" w:rsidRDefault="003E0434" w:rsidP="00637D3C">
            <w:pPr>
              <w:pStyle w:val="tabletext"/>
            </w:pPr>
            <w:r>
              <w:t>Item 7, Paragraph 9(1)(f)</w:t>
            </w:r>
          </w:p>
        </w:tc>
        <w:tc>
          <w:tcPr>
            <w:tcW w:w="1980" w:type="dxa"/>
          </w:tcPr>
          <w:p w:rsidR="003E0434" w:rsidRDefault="003E0434" w:rsidP="00637D3C">
            <w:pPr>
              <w:pStyle w:val="tabletext"/>
            </w:pPr>
            <w:r>
              <w:t>1.23</w:t>
            </w:r>
          </w:p>
        </w:tc>
      </w:tr>
      <w:tr w:rsidR="003E0434" w:rsidRPr="00231CBA" w:rsidTr="00637D3C">
        <w:trPr>
          <w:tblHeader/>
        </w:trPr>
        <w:tc>
          <w:tcPr>
            <w:tcW w:w="5760" w:type="dxa"/>
          </w:tcPr>
          <w:p w:rsidR="003E0434" w:rsidRDefault="003E0434" w:rsidP="00637D3C">
            <w:pPr>
              <w:pStyle w:val="tabletext"/>
            </w:pPr>
            <w:r>
              <w:t>Item 9, subsections 9(1A), 9(1B) and 9(1C)</w:t>
            </w:r>
          </w:p>
        </w:tc>
        <w:tc>
          <w:tcPr>
            <w:tcW w:w="1980" w:type="dxa"/>
          </w:tcPr>
          <w:p w:rsidR="003E0434" w:rsidRDefault="003E0434" w:rsidP="00637D3C">
            <w:pPr>
              <w:pStyle w:val="tabletext"/>
            </w:pPr>
            <w:r>
              <w:t>1.26</w:t>
            </w:r>
          </w:p>
        </w:tc>
      </w:tr>
    </w:tbl>
    <w:p w:rsidR="003E0434" w:rsidRDefault="003E0434" w:rsidP="00BF7D99">
      <w:pPr>
        <w:pStyle w:val="Heading2with18pointafter"/>
        <w:spacing w:before="400"/>
      </w:pPr>
      <w:r>
        <w:t xml:space="preserve">Schedule 2:  </w:t>
      </w:r>
      <w:r w:rsidRPr="00700B4C">
        <w:t>Electronic communication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3E0434" w:rsidRPr="00442FB9" w:rsidTr="00637D3C">
        <w:trPr>
          <w:tblHeader/>
        </w:trPr>
        <w:tc>
          <w:tcPr>
            <w:tcW w:w="5760" w:type="dxa"/>
          </w:tcPr>
          <w:p w:rsidR="003E0434" w:rsidRPr="00442FB9" w:rsidRDefault="003E0434" w:rsidP="00637D3C">
            <w:pPr>
              <w:pStyle w:val="tableheaderwithintable"/>
              <w:rPr>
                <w:lang w:val="en-US" w:eastAsia="en-US"/>
              </w:rPr>
            </w:pPr>
            <w:r w:rsidRPr="00442FB9">
              <w:rPr>
                <w:lang w:val="en-US" w:eastAsia="en-US"/>
              </w:rPr>
              <w:t>Bill reference</w:t>
            </w:r>
          </w:p>
        </w:tc>
        <w:tc>
          <w:tcPr>
            <w:tcW w:w="1980" w:type="dxa"/>
          </w:tcPr>
          <w:p w:rsidR="003E0434" w:rsidRPr="00442FB9" w:rsidRDefault="003E0434" w:rsidP="00637D3C">
            <w:pPr>
              <w:pStyle w:val="tableheaderwithintable"/>
              <w:rPr>
                <w:lang w:val="en-US" w:eastAsia="en-US"/>
              </w:rPr>
            </w:pPr>
            <w:r w:rsidRPr="00442FB9">
              <w:rPr>
                <w:lang w:val="en-US" w:eastAsia="en-US"/>
              </w:rPr>
              <w:t>Paragraph number</w:t>
            </w:r>
          </w:p>
        </w:tc>
      </w:tr>
      <w:tr w:rsidR="003E0434" w:rsidRPr="00231CBA" w:rsidTr="00637D3C">
        <w:trPr>
          <w:tblHeader/>
        </w:trPr>
        <w:tc>
          <w:tcPr>
            <w:tcW w:w="5760" w:type="dxa"/>
          </w:tcPr>
          <w:p w:rsidR="003E0434" w:rsidRPr="00231CBA" w:rsidRDefault="003E0434" w:rsidP="00637D3C">
            <w:pPr>
              <w:pStyle w:val="tabletext"/>
            </w:pPr>
            <w:r>
              <w:t>Item 1, subsection 62(1)</w:t>
            </w:r>
          </w:p>
        </w:tc>
        <w:tc>
          <w:tcPr>
            <w:tcW w:w="1980" w:type="dxa"/>
          </w:tcPr>
          <w:p w:rsidR="003E0434" w:rsidRPr="00231CBA" w:rsidRDefault="003E0434" w:rsidP="00637D3C">
            <w:pPr>
              <w:pStyle w:val="tabletext"/>
            </w:pPr>
            <w:r>
              <w:t>1.43</w:t>
            </w:r>
          </w:p>
        </w:tc>
      </w:tr>
      <w:tr w:rsidR="003E0434" w:rsidRPr="00231CBA" w:rsidTr="00637D3C">
        <w:trPr>
          <w:tblHeader/>
        </w:trPr>
        <w:tc>
          <w:tcPr>
            <w:tcW w:w="5760" w:type="dxa"/>
          </w:tcPr>
          <w:p w:rsidR="003E0434" w:rsidRDefault="003E0434" w:rsidP="00637D3C">
            <w:pPr>
              <w:pStyle w:val="tabletext"/>
            </w:pPr>
            <w:r>
              <w:t>Items 2 to 6, section 70, subsections 71(1), 71(2) and 71(3) and paragraph 71(2)(b)</w:t>
            </w:r>
          </w:p>
        </w:tc>
        <w:tc>
          <w:tcPr>
            <w:tcW w:w="1980" w:type="dxa"/>
          </w:tcPr>
          <w:p w:rsidR="003E0434" w:rsidRDefault="003E0434" w:rsidP="00637D3C">
            <w:pPr>
              <w:pStyle w:val="tabletext"/>
            </w:pPr>
            <w:r>
              <w:t>1.38</w:t>
            </w:r>
          </w:p>
        </w:tc>
      </w:tr>
      <w:tr w:rsidR="003E0434" w:rsidRPr="00231CBA" w:rsidTr="00637D3C">
        <w:trPr>
          <w:tblHeader/>
        </w:trPr>
        <w:tc>
          <w:tcPr>
            <w:tcW w:w="5760" w:type="dxa"/>
          </w:tcPr>
          <w:p w:rsidR="003E0434" w:rsidRDefault="003E0434" w:rsidP="00637D3C">
            <w:pPr>
              <w:pStyle w:val="tabletext"/>
            </w:pPr>
            <w:r>
              <w:t>Items 7 to 8, section 72A</w:t>
            </w:r>
          </w:p>
        </w:tc>
        <w:tc>
          <w:tcPr>
            <w:tcW w:w="1980" w:type="dxa"/>
          </w:tcPr>
          <w:p w:rsidR="003E0434" w:rsidRDefault="003E0434" w:rsidP="00637D3C">
            <w:pPr>
              <w:pStyle w:val="tabletext"/>
            </w:pPr>
            <w:r>
              <w:t>1.41</w:t>
            </w:r>
          </w:p>
        </w:tc>
      </w:tr>
      <w:tr w:rsidR="003E0434" w:rsidRPr="00231CBA" w:rsidTr="00637D3C">
        <w:trPr>
          <w:tblHeader/>
        </w:trPr>
        <w:tc>
          <w:tcPr>
            <w:tcW w:w="5760" w:type="dxa"/>
          </w:tcPr>
          <w:p w:rsidR="003E0434" w:rsidRDefault="003E0434" w:rsidP="00637D3C">
            <w:pPr>
              <w:pStyle w:val="tabletext"/>
            </w:pPr>
            <w:r>
              <w:t>Item 7, section 72</w:t>
            </w:r>
          </w:p>
        </w:tc>
        <w:tc>
          <w:tcPr>
            <w:tcW w:w="1980" w:type="dxa"/>
          </w:tcPr>
          <w:p w:rsidR="003E0434" w:rsidRDefault="003E0434" w:rsidP="00637D3C">
            <w:pPr>
              <w:pStyle w:val="tabletext"/>
            </w:pPr>
            <w:r>
              <w:t>1.39</w:t>
            </w:r>
          </w:p>
        </w:tc>
      </w:tr>
    </w:tbl>
    <w:p w:rsidR="003E0434" w:rsidRDefault="003E0434" w:rsidP="00BF7D99">
      <w:pPr>
        <w:pStyle w:val="Heading2with18pointafter"/>
        <w:spacing w:before="400"/>
      </w:pPr>
      <w:r>
        <w:t xml:space="preserve">Schedule 3:  </w:t>
      </w:r>
      <w:r w:rsidRPr="00700B4C">
        <w:t>Powers of ASIC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3E0434" w:rsidRPr="00442FB9" w:rsidTr="00637D3C">
        <w:trPr>
          <w:tblHeader/>
        </w:trPr>
        <w:tc>
          <w:tcPr>
            <w:tcW w:w="5760" w:type="dxa"/>
          </w:tcPr>
          <w:p w:rsidR="003E0434" w:rsidRPr="00442FB9" w:rsidRDefault="003E0434" w:rsidP="00637D3C">
            <w:pPr>
              <w:pStyle w:val="tableheaderwithintable"/>
              <w:rPr>
                <w:lang w:val="en-US" w:eastAsia="en-US"/>
              </w:rPr>
            </w:pPr>
            <w:r w:rsidRPr="00442FB9">
              <w:rPr>
                <w:lang w:val="en-US" w:eastAsia="en-US"/>
              </w:rPr>
              <w:t>Bill reference</w:t>
            </w:r>
          </w:p>
        </w:tc>
        <w:tc>
          <w:tcPr>
            <w:tcW w:w="1980" w:type="dxa"/>
          </w:tcPr>
          <w:p w:rsidR="003E0434" w:rsidRPr="00442FB9" w:rsidRDefault="003E0434" w:rsidP="00637D3C">
            <w:pPr>
              <w:pStyle w:val="tableheaderwithintable"/>
              <w:rPr>
                <w:lang w:val="en-US" w:eastAsia="en-US"/>
              </w:rPr>
            </w:pPr>
            <w:r w:rsidRPr="00442FB9">
              <w:rPr>
                <w:lang w:val="en-US" w:eastAsia="en-US"/>
              </w:rPr>
              <w:t>Paragraph number</w:t>
            </w:r>
          </w:p>
        </w:tc>
      </w:tr>
      <w:tr w:rsidR="003E0434" w:rsidRPr="00442FB9" w:rsidTr="00637D3C">
        <w:trPr>
          <w:tblHeader/>
        </w:trPr>
        <w:tc>
          <w:tcPr>
            <w:tcW w:w="5760" w:type="dxa"/>
          </w:tcPr>
          <w:p w:rsidR="003E0434" w:rsidRPr="00442FB9" w:rsidRDefault="003E0434" w:rsidP="00637D3C">
            <w:pPr>
              <w:pStyle w:val="tabletext"/>
              <w:rPr>
                <w:lang w:val="en-US" w:eastAsia="en-US"/>
              </w:rPr>
            </w:pPr>
            <w:r>
              <w:rPr>
                <w:lang w:val="en-US" w:eastAsia="en-US"/>
              </w:rPr>
              <w:t>Item 1, section 11F</w:t>
            </w:r>
          </w:p>
        </w:tc>
        <w:tc>
          <w:tcPr>
            <w:tcW w:w="1980" w:type="dxa"/>
          </w:tcPr>
          <w:p w:rsidR="003E0434" w:rsidRPr="00442FB9" w:rsidRDefault="003E0434" w:rsidP="00637D3C">
            <w:pPr>
              <w:pStyle w:val="tabletext"/>
              <w:rPr>
                <w:lang w:val="en-US" w:eastAsia="en-US"/>
              </w:rPr>
            </w:pPr>
            <w:r>
              <w:rPr>
                <w:lang w:val="en-US" w:eastAsia="en-US"/>
              </w:rPr>
              <w:t>1.47</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 1,paragraph 11F(1)(a) and 11F(1)(b)</w:t>
            </w:r>
          </w:p>
        </w:tc>
        <w:tc>
          <w:tcPr>
            <w:tcW w:w="1980" w:type="dxa"/>
          </w:tcPr>
          <w:p w:rsidR="003E0434" w:rsidRDefault="003E0434" w:rsidP="00637D3C">
            <w:pPr>
              <w:pStyle w:val="tabletext"/>
              <w:rPr>
                <w:lang w:val="en-US" w:eastAsia="en-US"/>
              </w:rPr>
            </w:pPr>
            <w:r>
              <w:rPr>
                <w:lang w:val="en-US" w:eastAsia="en-US"/>
              </w:rPr>
              <w:t>1.48</w:t>
            </w:r>
          </w:p>
        </w:tc>
      </w:tr>
    </w:tbl>
    <w:p w:rsidR="003E0434" w:rsidRDefault="003E0434" w:rsidP="00BF7D99">
      <w:pPr>
        <w:pStyle w:val="Heading2with18pointafter"/>
        <w:spacing w:before="400"/>
      </w:pPr>
      <w:r>
        <w:t>Schedule 4:  Disclosure and misrepresentations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3E0434" w:rsidRPr="00442FB9" w:rsidTr="003E0434">
        <w:trPr>
          <w:tblHeader/>
        </w:trPr>
        <w:tc>
          <w:tcPr>
            <w:tcW w:w="5760" w:type="dxa"/>
          </w:tcPr>
          <w:p w:rsidR="003E0434" w:rsidRPr="00442FB9" w:rsidRDefault="003E0434" w:rsidP="00637D3C">
            <w:pPr>
              <w:pStyle w:val="tableheaderwithintable"/>
              <w:rPr>
                <w:lang w:val="en-US" w:eastAsia="en-US"/>
              </w:rPr>
            </w:pPr>
            <w:r w:rsidRPr="00442FB9">
              <w:rPr>
                <w:lang w:val="en-US" w:eastAsia="en-US"/>
              </w:rPr>
              <w:t>Bill reference</w:t>
            </w:r>
          </w:p>
        </w:tc>
        <w:tc>
          <w:tcPr>
            <w:tcW w:w="1980" w:type="dxa"/>
          </w:tcPr>
          <w:p w:rsidR="003E0434" w:rsidRPr="00442FB9" w:rsidRDefault="003E0434" w:rsidP="00637D3C">
            <w:pPr>
              <w:pStyle w:val="tableheaderwithintable"/>
              <w:rPr>
                <w:lang w:val="en-US" w:eastAsia="en-US"/>
              </w:rPr>
            </w:pPr>
            <w:r w:rsidRPr="00442FB9">
              <w:rPr>
                <w:lang w:val="en-US" w:eastAsia="en-US"/>
              </w:rPr>
              <w:t>Paragraph number</w:t>
            </w:r>
          </w:p>
        </w:tc>
      </w:tr>
      <w:tr w:rsidR="003E0434" w:rsidRPr="00442FB9" w:rsidTr="003E0434">
        <w:tc>
          <w:tcPr>
            <w:tcW w:w="5760" w:type="dxa"/>
          </w:tcPr>
          <w:p w:rsidR="003E0434" w:rsidRPr="00442FB9" w:rsidRDefault="003E0434" w:rsidP="00637D3C">
            <w:pPr>
              <w:pStyle w:val="tabletext"/>
              <w:rPr>
                <w:lang w:val="en-US" w:eastAsia="en-US"/>
              </w:rPr>
            </w:pPr>
            <w:r>
              <w:rPr>
                <w:lang w:val="en-US" w:eastAsia="en-US"/>
              </w:rPr>
              <w:t>Item 1, paragraph 21(1)(b)</w:t>
            </w:r>
          </w:p>
        </w:tc>
        <w:tc>
          <w:tcPr>
            <w:tcW w:w="1980" w:type="dxa"/>
          </w:tcPr>
          <w:p w:rsidR="003E0434" w:rsidRPr="00442FB9" w:rsidRDefault="003E0434" w:rsidP="00637D3C">
            <w:pPr>
              <w:pStyle w:val="tabletext"/>
              <w:rPr>
                <w:lang w:val="en-US" w:eastAsia="en-US"/>
              </w:rPr>
            </w:pPr>
            <w:r>
              <w:rPr>
                <w:lang w:val="en-US" w:eastAsia="en-US"/>
              </w:rPr>
              <w:t>1.53</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3, Subsection 21B(9)</w:t>
            </w:r>
          </w:p>
        </w:tc>
        <w:tc>
          <w:tcPr>
            <w:tcW w:w="1980" w:type="dxa"/>
          </w:tcPr>
          <w:p w:rsidR="003E0434" w:rsidRDefault="003E0434" w:rsidP="00637D3C">
            <w:pPr>
              <w:pStyle w:val="tabletext"/>
              <w:rPr>
                <w:lang w:val="en-US" w:eastAsia="en-US"/>
              </w:rPr>
            </w:pPr>
            <w:r>
              <w:rPr>
                <w:lang w:val="en-US" w:eastAsia="en-US"/>
              </w:rPr>
              <w:t>1.72</w:t>
            </w:r>
          </w:p>
        </w:tc>
      </w:tr>
      <w:tr w:rsidR="003E0434" w:rsidRPr="00442FB9" w:rsidTr="003E0434">
        <w:tc>
          <w:tcPr>
            <w:tcW w:w="5760" w:type="dxa"/>
          </w:tcPr>
          <w:p w:rsidR="003E0434" w:rsidRDefault="003E0434" w:rsidP="00637D3C">
            <w:pPr>
              <w:pStyle w:val="tabletext"/>
              <w:rPr>
                <w:lang w:val="en-US" w:eastAsia="en-US"/>
              </w:rPr>
            </w:pPr>
            <w:r>
              <w:rPr>
                <w:lang w:val="en-US" w:eastAsia="en-US"/>
              </w:rPr>
              <w:lastRenderedPageBreak/>
              <w:t>Item 4, subsection 21B(1), Paragraph 21B(3)(a) and Subparagraphs 21B(3)(b)(i) and 21B(3)(b)(ii)</w:t>
            </w:r>
          </w:p>
        </w:tc>
        <w:tc>
          <w:tcPr>
            <w:tcW w:w="1980" w:type="dxa"/>
          </w:tcPr>
          <w:p w:rsidR="003E0434" w:rsidRDefault="003E0434" w:rsidP="00637D3C">
            <w:pPr>
              <w:pStyle w:val="tabletext"/>
              <w:rPr>
                <w:lang w:val="en-US" w:eastAsia="en-US"/>
              </w:rPr>
            </w:pPr>
            <w:r>
              <w:rPr>
                <w:lang w:val="en-US" w:eastAsia="en-US"/>
              </w:rPr>
              <w:t>1.66</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4, subsection 21B(4)</w:t>
            </w:r>
          </w:p>
        </w:tc>
        <w:tc>
          <w:tcPr>
            <w:tcW w:w="1980" w:type="dxa"/>
          </w:tcPr>
          <w:p w:rsidR="003E0434" w:rsidRDefault="003E0434" w:rsidP="00637D3C">
            <w:pPr>
              <w:pStyle w:val="tabletext"/>
              <w:rPr>
                <w:lang w:val="en-US" w:eastAsia="en-US"/>
              </w:rPr>
            </w:pPr>
            <w:r>
              <w:rPr>
                <w:lang w:val="en-US" w:eastAsia="en-US"/>
              </w:rPr>
              <w:t>1.67</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4, subsections 21B(5) and 21B(6)</w:t>
            </w:r>
          </w:p>
        </w:tc>
        <w:tc>
          <w:tcPr>
            <w:tcW w:w="1980" w:type="dxa"/>
          </w:tcPr>
          <w:p w:rsidR="003E0434" w:rsidRDefault="003E0434" w:rsidP="00637D3C">
            <w:pPr>
              <w:pStyle w:val="tabletext"/>
              <w:rPr>
                <w:lang w:val="en-US" w:eastAsia="en-US"/>
              </w:rPr>
            </w:pPr>
            <w:r>
              <w:rPr>
                <w:lang w:val="en-US" w:eastAsia="en-US"/>
              </w:rPr>
              <w:t>1.68</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4, subsection 21B(7)</w:t>
            </w:r>
          </w:p>
        </w:tc>
        <w:tc>
          <w:tcPr>
            <w:tcW w:w="1980" w:type="dxa"/>
          </w:tcPr>
          <w:p w:rsidR="003E0434" w:rsidRDefault="003E0434" w:rsidP="00637D3C">
            <w:pPr>
              <w:pStyle w:val="tabletext"/>
              <w:rPr>
                <w:lang w:val="en-US" w:eastAsia="en-US"/>
              </w:rPr>
            </w:pPr>
            <w:r>
              <w:rPr>
                <w:lang w:val="en-US" w:eastAsia="en-US"/>
              </w:rPr>
              <w:t>1.70</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4, subsection 21B(8)</w:t>
            </w:r>
          </w:p>
        </w:tc>
        <w:tc>
          <w:tcPr>
            <w:tcW w:w="1980" w:type="dxa"/>
          </w:tcPr>
          <w:p w:rsidR="003E0434" w:rsidRDefault="003E0434" w:rsidP="00637D3C">
            <w:pPr>
              <w:pStyle w:val="tabletext"/>
              <w:rPr>
                <w:lang w:val="en-US" w:eastAsia="en-US"/>
              </w:rPr>
            </w:pPr>
            <w:r>
              <w:rPr>
                <w:lang w:val="en-US" w:eastAsia="en-US"/>
              </w:rPr>
              <w:t>1.71</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4, subsection 21B(1) and 21B(2)</w:t>
            </w:r>
          </w:p>
        </w:tc>
        <w:tc>
          <w:tcPr>
            <w:tcW w:w="1980" w:type="dxa"/>
          </w:tcPr>
          <w:p w:rsidR="003E0434" w:rsidRDefault="003E0434" w:rsidP="00637D3C">
            <w:pPr>
              <w:pStyle w:val="tabletext"/>
              <w:rPr>
                <w:lang w:val="en-US" w:eastAsia="en-US"/>
              </w:rPr>
            </w:pPr>
            <w:r>
              <w:rPr>
                <w:lang w:val="en-US" w:eastAsia="en-US"/>
              </w:rPr>
              <w:t>1.65</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4, subsection 21B(12)</w:t>
            </w:r>
          </w:p>
        </w:tc>
        <w:tc>
          <w:tcPr>
            <w:tcW w:w="1980" w:type="dxa"/>
          </w:tcPr>
          <w:p w:rsidR="003E0434" w:rsidRDefault="003E0434" w:rsidP="00637D3C">
            <w:pPr>
              <w:pStyle w:val="tabletext"/>
              <w:rPr>
                <w:lang w:val="en-US" w:eastAsia="en-US"/>
              </w:rPr>
            </w:pPr>
            <w:r>
              <w:rPr>
                <w:lang w:val="en-US" w:eastAsia="en-US"/>
              </w:rPr>
              <w:t>1.73</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4, subsection 21B(10)</w:t>
            </w:r>
          </w:p>
        </w:tc>
        <w:tc>
          <w:tcPr>
            <w:tcW w:w="1980" w:type="dxa"/>
          </w:tcPr>
          <w:p w:rsidR="003E0434" w:rsidRDefault="003E0434" w:rsidP="00637D3C">
            <w:pPr>
              <w:pStyle w:val="tabletext"/>
              <w:rPr>
                <w:lang w:val="en-US" w:eastAsia="en-US"/>
              </w:rPr>
            </w:pPr>
            <w:r>
              <w:rPr>
                <w:lang w:val="en-US" w:eastAsia="en-US"/>
              </w:rPr>
              <w:t>1.76</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4, subsection 21B(11)</w:t>
            </w:r>
          </w:p>
        </w:tc>
        <w:tc>
          <w:tcPr>
            <w:tcW w:w="1980" w:type="dxa"/>
          </w:tcPr>
          <w:p w:rsidR="003E0434" w:rsidRDefault="003E0434" w:rsidP="00637D3C">
            <w:pPr>
              <w:pStyle w:val="tabletext"/>
              <w:rPr>
                <w:lang w:val="en-US" w:eastAsia="en-US"/>
              </w:rPr>
            </w:pPr>
            <w:r>
              <w:rPr>
                <w:lang w:val="en-US" w:eastAsia="en-US"/>
              </w:rPr>
              <w:t>1.77</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5</w:t>
            </w:r>
          </w:p>
        </w:tc>
        <w:tc>
          <w:tcPr>
            <w:tcW w:w="1980" w:type="dxa"/>
          </w:tcPr>
          <w:p w:rsidR="003E0434" w:rsidRDefault="003E0434" w:rsidP="00637D3C">
            <w:pPr>
              <w:pStyle w:val="tabletext"/>
              <w:rPr>
                <w:lang w:val="en-US" w:eastAsia="en-US"/>
              </w:rPr>
            </w:pPr>
            <w:r>
              <w:rPr>
                <w:lang w:val="en-US" w:eastAsia="en-US"/>
              </w:rPr>
              <w:t>1.79</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6, subsection 21A(5)</w:t>
            </w:r>
          </w:p>
        </w:tc>
        <w:tc>
          <w:tcPr>
            <w:tcW w:w="1980" w:type="dxa"/>
          </w:tcPr>
          <w:p w:rsidR="003E0434" w:rsidRDefault="003E0434" w:rsidP="00637D3C">
            <w:pPr>
              <w:pStyle w:val="tabletext"/>
              <w:rPr>
                <w:lang w:val="en-US" w:eastAsia="en-US"/>
              </w:rPr>
            </w:pPr>
            <w:r>
              <w:rPr>
                <w:lang w:val="en-US" w:eastAsia="en-US"/>
              </w:rPr>
              <w:t>1.61</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6, subsection 21A(1), 21A(2) and 21A(3)</w:t>
            </w:r>
          </w:p>
        </w:tc>
        <w:tc>
          <w:tcPr>
            <w:tcW w:w="1980" w:type="dxa"/>
          </w:tcPr>
          <w:p w:rsidR="003E0434" w:rsidRDefault="003E0434" w:rsidP="00637D3C">
            <w:pPr>
              <w:pStyle w:val="tabletext"/>
              <w:rPr>
                <w:lang w:val="en-US" w:eastAsia="en-US"/>
              </w:rPr>
            </w:pPr>
            <w:r>
              <w:rPr>
                <w:lang w:val="en-US" w:eastAsia="en-US"/>
              </w:rPr>
              <w:t>1.59</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6, subsection 21A(4)</w:t>
            </w:r>
          </w:p>
        </w:tc>
        <w:tc>
          <w:tcPr>
            <w:tcW w:w="1980" w:type="dxa"/>
          </w:tcPr>
          <w:p w:rsidR="003E0434" w:rsidRDefault="003E0434" w:rsidP="00637D3C">
            <w:pPr>
              <w:pStyle w:val="tabletext"/>
              <w:rPr>
                <w:lang w:val="en-US" w:eastAsia="en-US"/>
              </w:rPr>
            </w:pPr>
            <w:r>
              <w:rPr>
                <w:lang w:val="en-US" w:eastAsia="en-US"/>
              </w:rPr>
              <w:t>1.60</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9, subsection 11(1)</w:t>
            </w:r>
          </w:p>
        </w:tc>
        <w:tc>
          <w:tcPr>
            <w:tcW w:w="1980" w:type="dxa"/>
          </w:tcPr>
          <w:p w:rsidR="003E0434" w:rsidRDefault="003E0434" w:rsidP="00637D3C">
            <w:pPr>
              <w:pStyle w:val="tabletext"/>
              <w:rPr>
                <w:lang w:val="en-US" w:eastAsia="en-US"/>
              </w:rPr>
            </w:pPr>
            <w:r>
              <w:rPr>
                <w:lang w:val="en-US" w:eastAsia="en-US"/>
              </w:rPr>
              <w:t>1.87</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11, subsection 11(10)</w:t>
            </w:r>
          </w:p>
        </w:tc>
        <w:tc>
          <w:tcPr>
            <w:tcW w:w="1980" w:type="dxa"/>
          </w:tcPr>
          <w:p w:rsidR="003E0434" w:rsidRDefault="003E0434" w:rsidP="00637D3C">
            <w:pPr>
              <w:pStyle w:val="tabletext"/>
              <w:rPr>
                <w:lang w:val="en-US" w:eastAsia="en-US"/>
              </w:rPr>
            </w:pPr>
            <w:r>
              <w:rPr>
                <w:lang w:val="en-US" w:eastAsia="en-US"/>
              </w:rPr>
              <w:t>1.85</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12, subsection 22(3)</w:t>
            </w:r>
          </w:p>
        </w:tc>
        <w:tc>
          <w:tcPr>
            <w:tcW w:w="1980" w:type="dxa"/>
          </w:tcPr>
          <w:p w:rsidR="003E0434" w:rsidRDefault="003E0434" w:rsidP="00637D3C">
            <w:pPr>
              <w:pStyle w:val="tabletext"/>
              <w:rPr>
                <w:lang w:val="en-US" w:eastAsia="en-US"/>
              </w:rPr>
            </w:pPr>
            <w:r>
              <w:rPr>
                <w:lang w:val="en-US" w:eastAsia="en-US"/>
              </w:rPr>
              <w:t>1.84</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12, subsection 22(4)</w:t>
            </w:r>
          </w:p>
        </w:tc>
        <w:tc>
          <w:tcPr>
            <w:tcW w:w="1980" w:type="dxa"/>
          </w:tcPr>
          <w:p w:rsidR="003E0434" w:rsidRDefault="003E0434" w:rsidP="00637D3C">
            <w:pPr>
              <w:pStyle w:val="tabletext"/>
              <w:rPr>
                <w:lang w:val="en-US" w:eastAsia="en-US"/>
              </w:rPr>
            </w:pPr>
            <w:r>
              <w:rPr>
                <w:lang w:val="en-US" w:eastAsia="en-US"/>
              </w:rPr>
              <w:t>1.84</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12, subsection 22(5)</w:t>
            </w:r>
          </w:p>
        </w:tc>
        <w:tc>
          <w:tcPr>
            <w:tcW w:w="1980" w:type="dxa"/>
          </w:tcPr>
          <w:p w:rsidR="003E0434" w:rsidRDefault="003E0434" w:rsidP="00637D3C">
            <w:pPr>
              <w:pStyle w:val="tabletext"/>
              <w:rPr>
                <w:lang w:val="en-US" w:eastAsia="en-US"/>
              </w:rPr>
            </w:pPr>
            <w:r>
              <w:rPr>
                <w:lang w:val="en-US" w:eastAsia="en-US"/>
              </w:rPr>
              <w:t>1.84</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12, subsections 22(6) and 22(7)</w:t>
            </w:r>
          </w:p>
        </w:tc>
        <w:tc>
          <w:tcPr>
            <w:tcW w:w="1980" w:type="dxa"/>
          </w:tcPr>
          <w:p w:rsidR="003E0434" w:rsidRDefault="003E0434" w:rsidP="00637D3C">
            <w:pPr>
              <w:pStyle w:val="tabletext"/>
              <w:rPr>
                <w:lang w:val="en-US" w:eastAsia="en-US"/>
              </w:rPr>
            </w:pPr>
            <w:r>
              <w:rPr>
                <w:lang w:val="en-US" w:eastAsia="en-US"/>
              </w:rPr>
              <w:t>1.84</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12, subsection 22(1)</w:t>
            </w:r>
          </w:p>
        </w:tc>
        <w:tc>
          <w:tcPr>
            <w:tcW w:w="1980" w:type="dxa"/>
          </w:tcPr>
          <w:p w:rsidR="003E0434" w:rsidRDefault="003E0434" w:rsidP="00637D3C">
            <w:pPr>
              <w:pStyle w:val="tabletext"/>
              <w:rPr>
                <w:lang w:val="en-US" w:eastAsia="en-US"/>
              </w:rPr>
            </w:pPr>
            <w:r>
              <w:rPr>
                <w:lang w:val="en-US" w:eastAsia="en-US"/>
              </w:rPr>
              <w:t>1.84</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12, subsection 22(2)</w:t>
            </w:r>
          </w:p>
        </w:tc>
        <w:tc>
          <w:tcPr>
            <w:tcW w:w="1980" w:type="dxa"/>
          </w:tcPr>
          <w:p w:rsidR="003E0434" w:rsidRDefault="003E0434" w:rsidP="00637D3C">
            <w:pPr>
              <w:pStyle w:val="tabletext"/>
              <w:rPr>
                <w:lang w:val="en-US" w:eastAsia="en-US"/>
              </w:rPr>
            </w:pPr>
            <w:r>
              <w:rPr>
                <w:lang w:val="en-US" w:eastAsia="en-US"/>
              </w:rPr>
              <w:t>1.84</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14, subsection 31A(1)</w:t>
            </w:r>
          </w:p>
        </w:tc>
        <w:tc>
          <w:tcPr>
            <w:tcW w:w="1980" w:type="dxa"/>
          </w:tcPr>
          <w:p w:rsidR="003E0434" w:rsidRDefault="003E0434" w:rsidP="00637D3C">
            <w:pPr>
              <w:pStyle w:val="tabletext"/>
              <w:rPr>
                <w:lang w:val="en-US" w:eastAsia="en-US"/>
              </w:rPr>
            </w:pPr>
            <w:r>
              <w:rPr>
                <w:lang w:val="en-US" w:eastAsia="en-US"/>
              </w:rPr>
              <w:t>1.91</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14, subsection 31A (2)</w:t>
            </w:r>
          </w:p>
        </w:tc>
        <w:tc>
          <w:tcPr>
            <w:tcW w:w="1980" w:type="dxa"/>
          </w:tcPr>
          <w:p w:rsidR="003E0434" w:rsidRDefault="003E0434" w:rsidP="00637D3C">
            <w:pPr>
              <w:pStyle w:val="tabletext"/>
              <w:rPr>
                <w:lang w:val="en-US" w:eastAsia="en-US"/>
              </w:rPr>
            </w:pPr>
            <w:r>
              <w:rPr>
                <w:lang w:val="en-US" w:eastAsia="en-US"/>
              </w:rPr>
              <w:t>1.92</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14, subsection 31A(3)</w:t>
            </w:r>
          </w:p>
        </w:tc>
        <w:tc>
          <w:tcPr>
            <w:tcW w:w="1980" w:type="dxa"/>
          </w:tcPr>
          <w:p w:rsidR="003E0434" w:rsidRDefault="003E0434" w:rsidP="00637D3C">
            <w:pPr>
              <w:pStyle w:val="tabletext"/>
              <w:rPr>
                <w:lang w:val="en-US" w:eastAsia="en-US"/>
              </w:rPr>
            </w:pPr>
            <w:r>
              <w:rPr>
                <w:lang w:val="en-US" w:eastAsia="en-US"/>
              </w:rPr>
              <w:t>1.93</w:t>
            </w:r>
          </w:p>
        </w:tc>
      </w:tr>
    </w:tbl>
    <w:p w:rsidR="003E0434" w:rsidRDefault="003E0434" w:rsidP="00BF7D99">
      <w:pPr>
        <w:pStyle w:val="Heading2with18pointafter"/>
        <w:spacing w:before="400"/>
      </w:pPr>
      <w:r>
        <w:t xml:space="preserve">Schedule 5:  </w:t>
      </w:r>
      <w:r w:rsidRPr="00700B4C">
        <w:t>Remedies of insurers: life insurance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3E0434" w:rsidRPr="00442FB9" w:rsidTr="003E0434">
        <w:trPr>
          <w:tblHeader/>
        </w:trPr>
        <w:tc>
          <w:tcPr>
            <w:tcW w:w="5760" w:type="dxa"/>
          </w:tcPr>
          <w:p w:rsidR="003E0434" w:rsidRPr="00442FB9" w:rsidRDefault="003E0434" w:rsidP="00637D3C">
            <w:pPr>
              <w:pStyle w:val="tableheaderwithintable"/>
              <w:rPr>
                <w:lang w:val="en-US" w:eastAsia="en-US"/>
              </w:rPr>
            </w:pPr>
            <w:r w:rsidRPr="00442FB9">
              <w:rPr>
                <w:lang w:val="en-US" w:eastAsia="en-US"/>
              </w:rPr>
              <w:t>Bill reference</w:t>
            </w:r>
          </w:p>
        </w:tc>
        <w:tc>
          <w:tcPr>
            <w:tcW w:w="1980" w:type="dxa"/>
          </w:tcPr>
          <w:p w:rsidR="003E0434" w:rsidRPr="00442FB9" w:rsidRDefault="003E0434" w:rsidP="00637D3C">
            <w:pPr>
              <w:pStyle w:val="tableheaderwithintable"/>
              <w:rPr>
                <w:lang w:val="en-US" w:eastAsia="en-US"/>
              </w:rPr>
            </w:pPr>
            <w:r w:rsidRPr="00442FB9">
              <w:rPr>
                <w:lang w:val="en-US" w:eastAsia="en-US"/>
              </w:rPr>
              <w:t>Paragraph number</w:t>
            </w:r>
          </w:p>
        </w:tc>
      </w:tr>
      <w:tr w:rsidR="003E0434" w:rsidRPr="00442FB9" w:rsidTr="003E0434">
        <w:tc>
          <w:tcPr>
            <w:tcW w:w="5760" w:type="dxa"/>
          </w:tcPr>
          <w:p w:rsidR="003E0434" w:rsidRPr="00442FB9" w:rsidRDefault="003E0434" w:rsidP="00637D3C">
            <w:pPr>
              <w:pStyle w:val="tabletext"/>
              <w:rPr>
                <w:lang w:val="en-US" w:eastAsia="en-US"/>
              </w:rPr>
            </w:pPr>
            <w:r>
              <w:rPr>
                <w:lang w:val="en-US" w:eastAsia="en-US"/>
              </w:rPr>
              <w:t>Item 1, subsections 27A(1) and 27A(2)</w:t>
            </w:r>
          </w:p>
        </w:tc>
        <w:tc>
          <w:tcPr>
            <w:tcW w:w="1980" w:type="dxa"/>
          </w:tcPr>
          <w:p w:rsidR="003E0434" w:rsidRPr="00442FB9" w:rsidRDefault="003E0434" w:rsidP="00637D3C">
            <w:pPr>
              <w:pStyle w:val="tabletext"/>
              <w:rPr>
                <w:lang w:val="en-US" w:eastAsia="en-US"/>
              </w:rPr>
            </w:pPr>
            <w:r>
              <w:rPr>
                <w:lang w:val="en-US" w:eastAsia="en-US"/>
              </w:rPr>
              <w:t>1.108</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 subsection 27A(3)</w:t>
            </w:r>
          </w:p>
        </w:tc>
        <w:tc>
          <w:tcPr>
            <w:tcW w:w="1980" w:type="dxa"/>
          </w:tcPr>
          <w:p w:rsidR="003E0434" w:rsidRDefault="003E0434" w:rsidP="00637D3C">
            <w:pPr>
              <w:pStyle w:val="tabletext"/>
              <w:rPr>
                <w:lang w:val="en-US" w:eastAsia="en-US"/>
              </w:rPr>
            </w:pPr>
            <w:r>
              <w:rPr>
                <w:lang w:val="en-US" w:eastAsia="en-US"/>
              </w:rPr>
              <w:t>1.110</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 subsection 27A(4)</w:t>
            </w:r>
          </w:p>
        </w:tc>
        <w:tc>
          <w:tcPr>
            <w:tcW w:w="1980" w:type="dxa"/>
          </w:tcPr>
          <w:p w:rsidR="003E0434" w:rsidRDefault="003E0434" w:rsidP="00637D3C">
            <w:pPr>
              <w:pStyle w:val="tabletext"/>
              <w:rPr>
                <w:lang w:val="en-US" w:eastAsia="en-US"/>
              </w:rPr>
            </w:pPr>
            <w:r>
              <w:rPr>
                <w:lang w:val="en-US" w:eastAsia="en-US"/>
              </w:rPr>
              <w:t>1.112</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8, section 29(4)</w:t>
            </w:r>
          </w:p>
        </w:tc>
        <w:tc>
          <w:tcPr>
            <w:tcW w:w="1980" w:type="dxa"/>
          </w:tcPr>
          <w:p w:rsidR="003E0434" w:rsidRDefault="003E0434" w:rsidP="00637D3C">
            <w:pPr>
              <w:pStyle w:val="tabletext"/>
              <w:rPr>
                <w:lang w:val="en-US" w:eastAsia="en-US"/>
              </w:rPr>
            </w:pPr>
            <w:r>
              <w:rPr>
                <w:lang w:val="en-US" w:eastAsia="en-US"/>
              </w:rPr>
              <w:t>1.115</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10, subsections 29(6) and 29(7)</w:t>
            </w:r>
          </w:p>
        </w:tc>
        <w:tc>
          <w:tcPr>
            <w:tcW w:w="1980" w:type="dxa"/>
          </w:tcPr>
          <w:p w:rsidR="003E0434" w:rsidRDefault="003E0434" w:rsidP="00637D3C">
            <w:pPr>
              <w:pStyle w:val="tabletext"/>
              <w:rPr>
                <w:lang w:val="en-US" w:eastAsia="en-US"/>
              </w:rPr>
            </w:pPr>
            <w:r>
              <w:rPr>
                <w:lang w:val="en-US" w:eastAsia="en-US"/>
              </w:rPr>
              <w:t>1.116</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10, subsection 29(8)</w:t>
            </w:r>
          </w:p>
        </w:tc>
        <w:tc>
          <w:tcPr>
            <w:tcW w:w="1980" w:type="dxa"/>
          </w:tcPr>
          <w:p w:rsidR="003E0434" w:rsidRDefault="003E0434" w:rsidP="00637D3C">
            <w:pPr>
              <w:pStyle w:val="tabletext"/>
              <w:rPr>
                <w:lang w:val="en-US" w:eastAsia="en-US"/>
              </w:rPr>
            </w:pPr>
            <w:r>
              <w:rPr>
                <w:lang w:val="en-US" w:eastAsia="en-US"/>
              </w:rPr>
              <w:t>1.117</w:t>
            </w:r>
          </w:p>
        </w:tc>
      </w:tr>
      <w:tr w:rsidR="003E0434" w:rsidRPr="00442FB9" w:rsidTr="003E0434">
        <w:tc>
          <w:tcPr>
            <w:tcW w:w="5760" w:type="dxa"/>
          </w:tcPr>
          <w:p w:rsidR="003E0434" w:rsidRDefault="003E0434" w:rsidP="00637D3C">
            <w:pPr>
              <w:pStyle w:val="tabletext"/>
              <w:rPr>
                <w:lang w:val="en-US" w:eastAsia="en-US"/>
              </w:rPr>
            </w:pPr>
            <w:r>
              <w:rPr>
                <w:lang w:val="en-US" w:eastAsia="en-US"/>
              </w:rPr>
              <w:lastRenderedPageBreak/>
              <w:t>Item 10, subsection 29(10)</w:t>
            </w:r>
          </w:p>
        </w:tc>
        <w:tc>
          <w:tcPr>
            <w:tcW w:w="1980" w:type="dxa"/>
          </w:tcPr>
          <w:p w:rsidR="003E0434" w:rsidRDefault="003E0434" w:rsidP="00637D3C">
            <w:pPr>
              <w:pStyle w:val="tabletext"/>
              <w:rPr>
                <w:lang w:val="en-US" w:eastAsia="en-US"/>
              </w:rPr>
            </w:pPr>
            <w:r>
              <w:rPr>
                <w:lang w:val="en-US" w:eastAsia="en-US"/>
              </w:rPr>
              <w:t>1.119</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12, subsection 30(3A)</w:t>
            </w:r>
          </w:p>
        </w:tc>
        <w:tc>
          <w:tcPr>
            <w:tcW w:w="1980" w:type="dxa"/>
          </w:tcPr>
          <w:p w:rsidR="003E0434" w:rsidRDefault="003E0434" w:rsidP="00637D3C">
            <w:pPr>
              <w:pStyle w:val="tabletext"/>
              <w:rPr>
                <w:lang w:val="en-US" w:eastAsia="en-US"/>
              </w:rPr>
            </w:pPr>
            <w:r>
              <w:rPr>
                <w:lang w:val="en-US" w:eastAsia="en-US"/>
              </w:rPr>
              <w:t>1.121</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13, subsection 30(4)</w:t>
            </w:r>
          </w:p>
        </w:tc>
        <w:tc>
          <w:tcPr>
            <w:tcW w:w="1980" w:type="dxa"/>
          </w:tcPr>
          <w:p w:rsidR="003E0434" w:rsidRDefault="003E0434" w:rsidP="00637D3C">
            <w:pPr>
              <w:pStyle w:val="tabletext"/>
              <w:rPr>
                <w:lang w:val="en-US" w:eastAsia="en-US"/>
              </w:rPr>
            </w:pPr>
            <w:r>
              <w:rPr>
                <w:lang w:val="en-US" w:eastAsia="en-US"/>
              </w:rPr>
              <w:t>1.122</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15, subsection 59A(1)</w:t>
            </w:r>
          </w:p>
        </w:tc>
        <w:tc>
          <w:tcPr>
            <w:tcW w:w="1980" w:type="dxa"/>
          </w:tcPr>
          <w:p w:rsidR="003E0434" w:rsidRDefault="003E0434" w:rsidP="00637D3C">
            <w:pPr>
              <w:pStyle w:val="tabletext"/>
              <w:rPr>
                <w:lang w:val="en-US" w:eastAsia="en-US"/>
              </w:rPr>
            </w:pPr>
            <w:r>
              <w:rPr>
                <w:lang w:val="en-US" w:eastAsia="en-US"/>
              </w:rPr>
              <w:t>1.125</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15, subsection 59A(2)</w:t>
            </w:r>
          </w:p>
        </w:tc>
        <w:tc>
          <w:tcPr>
            <w:tcW w:w="1980" w:type="dxa"/>
          </w:tcPr>
          <w:p w:rsidR="003E0434" w:rsidRDefault="003E0434" w:rsidP="00637D3C">
            <w:pPr>
              <w:pStyle w:val="tabletext"/>
              <w:rPr>
                <w:lang w:val="en-US" w:eastAsia="en-US"/>
              </w:rPr>
            </w:pPr>
            <w:r>
              <w:rPr>
                <w:lang w:val="en-US" w:eastAsia="en-US"/>
              </w:rPr>
              <w:t>1.127</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15, subsection 59A(3)</w:t>
            </w:r>
          </w:p>
        </w:tc>
        <w:tc>
          <w:tcPr>
            <w:tcW w:w="1980" w:type="dxa"/>
          </w:tcPr>
          <w:p w:rsidR="003E0434" w:rsidRDefault="003E0434" w:rsidP="00637D3C">
            <w:pPr>
              <w:pStyle w:val="tabletext"/>
              <w:rPr>
                <w:lang w:val="en-US" w:eastAsia="en-US"/>
              </w:rPr>
            </w:pPr>
            <w:r>
              <w:rPr>
                <w:lang w:val="en-US" w:eastAsia="en-US"/>
              </w:rPr>
              <w:t>1.127</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15, subsection 59A(4)</w:t>
            </w:r>
          </w:p>
        </w:tc>
        <w:tc>
          <w:tcPr>
            <w:tcW w:w="1980" w:type="dxa"/>
          </w:tcPr>
          <w:p w:rsidR="003E0434" w:rsidRDefault="003E0434" w:rsidP="00637D3C">
            <w:pPr>
              <w:pStyle w:val="tabletext"/>
              <w:rPr>
                <w:lang w:val="en-US" w:eastAsia="en-US"/>
              </w:rPr>
            </w:pPr>
            <w:r>
              <w:rPr>
                <w:lang w:val="en-US" w:eastAsia="en-US"/>
              </w:rPr>
              <w:t>1.127</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15, subsection 59A(5)</w:t>
            </w:r>
          </w:p>
        </w:tc>
        <w:tc>
          <w:tcPr>
            <w:tcW w:w="1980" w:type="dxa"/>
          </w:tcPr>
          <w:p w:rsidR="003E0434" w:rsidRDefault="003E0434" w:rsidP="00637D3C">
            <w:pPr>
              <w:pStyle w:val="tabletext"/>
              <w:rPr>
                <w:lang w:val="en-US" w:eastAsia="en-US"/>
              </w:rPr>
            </w:pPr>
            <w:r>
              <w:rPr>
                <w:lang w:val="en-US" w:eastAsia="en-US"/>
              </w:rPr>
              <w:t>1.128</w:t>
            </w:r>
          </w:p>
        </w:tc>
      </w:tr>
      <w:tr w:rsidR="003E0434" w:rsidRPr="00442FB9" w:rsidTr="003E0434">
        <w:tc>
          <w:tcPr>
            <w:tcW w:w="5760" w:type="dxa"/>
          </w:tcPr>
          <w:p w:rsidR="003E0434" w:rsidRDefault="003E0434" w:rsidP="00637D3C">
            <w:pPr>
              <w:pStyle w:val="tabletext"/>
              <w:rPr>
                <w:lang w:val="en-US" w:eastAsia="en-US"/>
              </w:rPr>
            </w:pPr>
            <w:r>
              <w:rPr>
                <w:lang w:val="en-US" w:eastAsia="en-US"/>
              </w:rPr>
              <w:t>Item 16, section 63</w:t>
            </w:r>
          </w:p>
        </w:tc>
        <w:tc>
          <w:tcPr>
            <w:tcW w:w="1980" w:type="dxa"/>
          </w:tcPr>
          <w:p w:rsidR="003E0434" w:rsidRDefault="003E0434" w:rsidP="00637D3C">
            <w:pPr>
              <w:pStyle w:val="tabletext"/>
              <w:rPr>
                <w:lang w:val="en-US" w:eastAsia="en-US"/>
              </w:rPr>
            </w:pPr>
            <w:r>
              <w:rPr>
                <w:lang w:val="en-US" w:eastAsia="en-US"/>
              </w:rPr>
              <w:t>1.130</w:t>
            </w:r>
          </w:p>
        </w:tc>
      </w:tr>
    </w:tbl>
    <w:p w:rsidR="003E0434" w:rsidRDefault="003E0434" w:rsidP="00BF7D99">
      <w:pPr>
        <w:pStyle w:val="Heading2with18pointafter"/>
        <w:spacing w:before="400"/>
      </w:pPr>
      <w:r>
        <w:t>Schedule 6:  Third parties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3E0434" w:rsidRPr="00442FB9" w:rsidTr="00637D3C">
        <w:trPr>
          <w:tblHeader/>
        </w:trPr>
        <w:tc>
          <w:tcPr>
            <w:tcW w:w="5760" w:type="dxa"/>
          </w:tcPr>
          <w:p w:rsidR="003E0434" w:rsidRPr="00442FB9" w:rsidRDefault="003E0434" w:rsidP="00637D3C">
            <w:pPr>
              <w:pStyle w:val="tableheaderwithintable"/>
              <w:rPr>
                <w:lang w:val="en-US" w:eastAsia="en-US"/>
              </w:rPr>
            </w:pPr>
            <w:r w:rsidRPr="00442FB9">
              <w:rPr>
                <w:lang w:val="en-US" w:eastAsia="en-US"/>
              </w:rPr>
              <w:t>Bill reference</w:t>
            </w:r>
          </w:p>
        </w:tc>
        <w:tc>
          <w:tcPr>
            <w:tcW w:w="1980" w:type="dxa"/>
          </w:tcPr>
          <w:p w:rsidR="003E0434" w:rsidRPr="00442FB9" w:rsidRDefault="003E0434" w:rsidP="00637D3C">
            <w:pPr>
              <w:pStyle w:val="tableheaderwithintable"/>
              <w:rPr>
                <w:lang w:val="en-US" w:eastAsia="en-US"/>
              </w:rPr>
            </w:pPr>
            <w:r w:rsidRPr="00442FB9">
              <w:rPr>
                <w:lang w:val="en-US" w:eastAsia="en-US"/>
              </w:rPr>
              <w:t>Paragraph number</w:t>
            </w:r>
          </w:p>
        </w:tc>
      </w:tr>
      <w:tr w:rsidR="003E0434" w:rsidRPr="00442FB9" w:rsidTr="00637D3C">
        <w:trPr>
          <w:tblHeader/>
        </w:trPr>
        <w:tc>
          <w:tcPr>
            <w:tcW w:w="5760" w:type="dxa"/>
          </w:tcPr>
          <w:p w:rsidR="003E0434" w:rsidRPr="00442FB9" w:rsidRDefault="003E0434" w:rsidP="00637D3C">
            <w:pPr>
              <w:pStyle w:val="tabletext"/>
              <w:rPr>
                <w:lang w:val="en-US" w:eastAsia="en-US"/>
              </w:rPr>
            </w:pPr>
            <w:r>
              <w:rPr>
                <w:lang w:val="en-US" w:eastAsia="en-US"/>
              </w:rPr>
              <w:t>Item 1, section 41</w:t>
            </w:r>
          </w:p>
        </w:tc>
        <w:tc>
          <w:tcPr>
            <w:tcW w:w="1980" w:type="dxa"/>
          </w:tcPr>
          <w:p w:rsidR="003E0434" w:rsidRPr="00442FB9" w:rsidRDefault="003E0434" w:rsidP="00637D3C">
            <w:pPr>
              <w:pStyle w:val="tabletext"/>
              <w:rPr>
                <w:lang w:val="en-US" w:eastAsia="en-US"/>
              </w:rPr>
            </w:pPr>
            <w:r>
              <w:rPr>
                <w:lang w:val="en-US" w:eastAsia="en-US"/>
              </w:rPr>
              <w:t>1.141</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Items 4, 5, 9and 10, subsections 48(1), 48(2) 48AA(1) and 48AA(2)</w:t>
            </w:r>
          </w:p>
        </w:tc>
        <w:tc>
          <w:tcPr>
            <w:tcW w:w="1980" w:type="dxa"/>
          </w:tcPr>
          <w:p w:rsidR="003E0434" w:rsidRDefault="003E0434" w:rsidP="00637D3C">
            <w:pPr>
              <w:pStyle w:val="tabletext"/>
              <w:rPr>
                <w:lang w:val="en-US" w:eastAsia="en-US"/>
              </w:rPr>
            </w:pPr>
            <w:r>
              <w:rPr>
                <w:lang w:val="en-US" w:eastAsia="en-US"/>
              </w:rPr>
              <w:t>1.143</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Items 6 and 11, paragraphs  48(2)(a) and 48AA(2)(a)</w:t>
            </w:r>
          </w:p>
        </w:tc>
        <w:tc>
          <w:tcPr>
            <w:tcW w:w="1980" w:type="dxa"/>
          </w:tcPr>
          <w:p w:rsidR="003E0434" w:rsidRDefault="003E0434" w:rsidP="00637D3C">
            <w:pPr>
              <w:pStyle w:val="tabletext"/>
              <w:rPr>
                <w:lang w:val="en-US" w:eastAsia="en-US"/>
              </w:rPr>
            </w:pPr>
            <w:r>
              <w:rPr>
                <w:lang w:val="en-US" w:eastAsia="en-US"/>
              </w:rPr>
              <w:t>1.144</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Items 7, 12and 13, subsections 48(3) and 48AA(3)</w:t>
            </w:r>
          </w:p>
        </w:tc>
        <w:tc>
          <w:tcPr>
            <w:tcW w:w="1980" w:type="dxa"/>
          </w:tcPr>
          <w:p w:rsidR="003E0434" w:rsidRDefault="003E0434" w:rsidP="00637D3C">
            <w:pPr>
              <w:pStyle w:val="tabletext"/>
              <w:rPr>
                <w:lang w:val="en-US" w:eastAsia="en-US"/>
              </w:rPr>
            </w:pPr>
            <w:r>
              <w:rPr>
                <w:lang w:val="en-US" w:eastAsia="en-US"/>
              </w:rPr>
              <w:t>1.147</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 16, subsections 48A(1) and 48A(2)</w:t>
            </w:r>
          </w:p>
        </w:tc>
        <w:tc>
          <w:tcPr>
            <w:tcW w:w="1980" w:type="dxa"/>
          </w:tcPr>
          <w:p w:rsidR="003E0434" w:rsidRDefault="003E0434" w:rsidP="00637D3C">
            <w:pPr>
              <w:pStyle w:val="tabletext"/>
              <w:rPr>
                <w:lang w:val="en-US" w:eastAsia="en-US"/>
              </w:rPr>
            </w:pPr>
            <w:r>
              <w:rPr>
                <w:lang w:val="en-US" w:eastAsia="en-US"/>
              </w:rPr>
              <w:t>1.149</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 16, subsections 48A(1A)</w:t>
            </w:r>
          </w:p>
        </w:tc>
        <w:tc>
          <w:tcPr>
            <w:tcW w:w="1980" w:type="dxa"/>
          </w:tcPr>
          <w:p w:rsidR="003E0434" w:rsidRDefault="003E0434" w:rsidP="00637D3C">
            <w:pPr>
              <w:pStyle w:val="tabletext"/>
              <w:rPr>
                <w:lang w:val="en-US" w:eastAsia="en-US"/>
              </w:rPr>
            </w:pPr>
            <w:r>
              <w:rPr>
                <w:lang w:val="en-US" w:eastAsia="en-US"/>
              </w:rPr>
              <w:t>1.150</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Items 19, 20 and 21, subsection 51(1) and 51(3) and paragraph 51(2)(b)</w:t>
            </w:r>
          </w:p>
        </w:tc>
        <w:tc>
          <w:tcPr>
            <w:tcW w:w="1980" w:type="dxa"/>
          </w:tcPr>
          <w:p w:rsidR="003E0434" w:rsidRDefault="003E0434" w:rsidP="00637D3C">
            <w:pPr>
              <w:pStyle w:val="tabletext"/>
              <w:rPr>
                <w:lang w:val="en-US" w:eastAsia="en-US"/>
              </w:rPr>
            </w:pPr>
            <w:r>
              <w:rPr>
                <w:lang w:val="en-US" w:eastAsia="en-US"/>
              </w:rPr>
              <w:t>1.152</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Items 23 to 28, subsections 55A(2) and 55A(3), paragraphs 55A(1)(b), 55A(1)(c), 55A(1)(d) and 55A(2)(b)</w:t>
            </w:r>
          </w:p>
        </w:tc>
        <w:tc>
          <w:tcPr>
            <w:tcW w:w="1980" w:type="dxa"/>
          </w:tcPr>
          <w:p w:rsidR="003E0434" w:rsidRDefault="003E0434" w:rsidP="00637D3C">
            <w:pPr>
              <w:pStyle w:val="tabletext"/>
              <w:rPr>
                <w:lang w:val="en-US" w:eastAsia="en-US"/>
              </w:rPr>
            </w:pPr>
            <w:r>
              <w:rPr>
                <w:lang w:val="en-US" w:eastAsia="en-US"/>
              </w:rPr>
              <w:t>1.154</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 31, subsection 11(1)</w:t>
            </w:r>
          </w:p>
        </w:tc>
        <w:tc>
          <w:tcPr>
            <w:tcW w:w="1980" w:type="dxa"/>
          </w:tcPr>
          <w:p w:rsidR="003E0434" w:rsidRDefault="003E0434" w:rsidP="00637D3C">
            <w:pPr>
              <w:pStyle w:val="tabletext"/>
              <w:rPr>
                <w:lang w:val="en-US" w:eastAsia="en-US"/>
              </w:rPr>
            </w:pPr>
            <w:r>
              <w:rPr>
                <w:lang w:val="en-US" w:eastAsia="en-US"/>
              </w:rPr>
              <w:t>1.161</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Items 32, 36 and 37, subsection 11(1), paragraphs 23(a)and 26(3)(a)</w:t>
            </w:r>
          </w:p>
        </w:tc>
        <w:tc>
          <w:tcPr>
            <w:tcW w:w="1980" w:type="dxa"/>
          </w:tcPr>
          <w:p w:rsidR="003E0434" w:rsidRDefault="003E0434" w:rsidP="00637D3C">
            <w:pPr>
              <w:pStyle w:val="tabletext"/>
              <w:rPr>
                <w:lang w:val="en-US" w:eastAsia="en-US"/>
              </w:rPr>
            </w:pPr>
            <w:r>
              <w:rPr>
                <w:lang w:val="en-US" w:eastAsia="en-US"/>
              </w:rPr>
              <w:t>1.164</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Items 33 to 35 paragraphs 11(4)(a),11(4)(b) and 11(4)(c)</w:t>
            </w:r>
          </w:p>
        </w:tc>
        <w:tc>
          <w:tcPr>
            <w:tcW w:w="1980" w:type="dxa"/>
          </w:tcPr>
          <w:p w:rsidR="003E0434" w:rsidRDefault="003E0434" w:rsidP="00637D3C">
            <w:pPr>
              <w:pStyle w:val="tabletext"/>
              <w:rPr>
                <w:lang w:val="en-US" w:eastAsia="en-US"/>
              </w:rPr>
            </w:pPr>
            <w:r>
              <w:rPr>
                <w:lang w:val="en-US" w:eastAsia="en-US"/>
              </w:rPr>
              <w:t>1.163</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 38, section 32</w:t>
            </w:r>
          </w:p>
        </w:tc>
        <w:tc>
          <w:tcPr>
            <w:tcW w:w="1980" w:type="dxa"/>
          </w:tcPr>
          <w:p w:rsidR="003E0434" w:rsidRDefault="003E0434" w:rsidP="00637D3C">
            <w:pPr>
              <w:pStyle w:val="tabletext"/>
              <w:rPr>
                <w:lang w:val="en-US" w:eastAsia="en-US"/>
              </w:rPr>
            </w:pPr>
            <w:r>
              <w:rPr>
                <w:lang w:val="en-US" w:eastAsia="en-US"/>
              </w:rPr>
              <w:t>1.159</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 39, section 32A</w:t>
            </w:r>
          </w:p>
        </w:tc>
        <w:tc>
          <w:tcPr>
            <w:tcW w:w="1980" w:type="dxa"/>
          </w:tcPr>
          <w:p w:rsidR="003E0434" w:rsidRDefault="003E0434" w:rsidP="00637D3C">
            <w:pPr>
              <w:pStyle w:val="tabletext"/>
              <w:rPr>
                <w:lang w:val="en-US" w:eastAsia="en-US"/>
              </w:rPr>
            </w:pPr>
            <w:r>
              <w:rPr>
                <w:lang w:val="en-US" w:eastAsia="en-US"/>
              </w:rPr>
              <w:t>1.165</w:t>
            </w:r>
          </w:p>
        </w:tc>
      </w:tr>
    </w:tbl>
    <w:p w:rsidR="003E0434" w:rsidRDefault="003E0434" w:rsidP="00BF7D99">
      <w:pPr>
        <w:pStyle w:val="Heading2with18pointafter"/>
        <w:spacing w:before="400"/>
      </w:pPr>
      <w:r>
        <w:t>Schedule 7:  Subrogation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3E0434" w:rsidRPr="00442FB9" w:rsidTr="00637D3C">
        <w:trPr>
          <w:tblHeader/>
        </w:trPr>
        <w:tc>
          <w:tcPr>
            <w:tcW w:w="5760" w:type="dxa"/>
          </w:tcPr>
          <w:p w:rsidR="003E0434" w:rsidRPr="00442FB9" w:rsidRDefault="003E0434" w:rsidP="00637D3C">
            <w:pPr>
              <w:pStyle w:val="tableheaderwithintable"/>
              <w:rPr>
                <w:lang w:val="en-US" w:eastAsia="en-US"/>
              </w:rPr>
            </w:pPr>
            <w:r w:rsidRPr="00442FB9">
              <w:rPr>
                <w:lang w:val="en-US" w:eastAsia="en-US"/>
              </w:rPr>
              <w:t>Bill reference</w:t>
            </w:r>
          </w:p>
        </w:tc>
        <w:tc>
          <w:tcPr>
            <w:tcW w:w="1980" w:type="dxa"/>
          </w:tcPr>
          <w:p w:rsidR="003E0434" w:rsidRPr="00442FB9" w:rsidRDefault="003E0434" w:rsidP="00637D3C">
            <w:pPr>
              <w:pStyle w:val="tableheaderwithintable"/>
              <w:rPr>
                <w:lang w:val="en-US" w:eastAsia="en-US"/>
              </w:rPr>
            </w:pPr>
            <w:r w:rsidRPr="00442FB9">
              <w:rPr>
                <w:lang w:val="en-US" w:eastAsia="en-US"/>
              </w:rPr>
              <w:t>Paragraph number</w:t>
            </w:r>
          </w:p>
        </w:tc>
      </w:tr>
      <w:tr w:rsidR="003E0434" w:rsidRPr="00442FB9" w:rsidTr="00637D3C">
        <w:trPr>
          <w:tblHeader/>
        </w:trPr>
        <w:tc>
          <w:tcPr>
            <w:tcW w:w="5760" w:type="dxa"/>
          </w:tcPr>
          <w:p w:rsidR="003E0434" w:rsidRPr="00442FB9" w:rsidRDefault="003E0434" w:rsidP="00637D3C">
            <w:pPr>
              <w:pStyle w:val="tabletext"/>
              <w:rPr>
                <w:lang w:val="en-US" w:eastAsia="en-US"/>
              </w:rPr>
            </w:pPr>
            <w:r>
              <w:rPr>
                <w:lang w:val="en-US" w:eastAsia="en-US"/>
              </w:rPr>
              <w:t>Item 1, section 64</w:t>
            </w:r>
          </w:p>
        </w:tc>
        <w:tc>
          <w:tcPr>
            <w:tcW w:w="1980" w:type="dxa"/>
          </w:tcPr>
          <w:p w:rsidR="003E0434" w:rsidRPr="00442FB9" w:rsidRDefault="003E0434" w:rsidP="00637D3C">
            <w:pPr>
              <w:pStyle w:val="tabletext"/>
              <w:rPr>
                <w:lang w:val="en-US" w:eastAsia="en-US"/>
              </w:rPr>
            </w:pPr>
            <w:r>
              <w:rPr>
                <w:lang w:val="en-US" w:eastAsia="en-US"/>
              </w:rPr>
              <w:t>1.186</w:t>
            </w:r>
          </w:p>
        </w:tc>
      </w:tr>
      <w:tr w:rsidR="003E0434" w:rsidRPr="00442FB9" w:rsidTr="00637D3C">
        <w:trPr>
          <w:tblHeader/>
        </w:trPr>
        <w:tc>
          <w:tcPr>
            <w:tcW w:w="5760" w:type="dxa"/>
          </w:tcPr>
          <w:p w:rsidR="003E0434" w:rsidRDefault="003E0434" w:rsidP="00637D3C">
            <w:pPr>
              <w:pStyle w:val="tabletext"/>
              <w:rPr>
                <w:lang w:val="en-US" w:eastAsia="en-US"/>
              </w:rPr>
            </w:pPr>
            <w:r>
              <w:rPr>
                <w:lang w:val="en-US" w:eastAsia="en-US"/>
              </w:rPr>
              <w:t>Item 2, section 67</w:t>
            </w:r>
          </w:p>
        </w:tc>
        <w:tc>
          <w:tcPr>
            <w:tcW w:w="1980" w:type="dxa"/>
          </w:tcPr>
          <w:p w:rsidR="003E0434" w:rsidRDefault="003E0434" w:rsidP="00637D3C">
            <w:pPr>
              <w:pStyle w:val="tabletext"/>
              <w:rPr>
                <w:lang w:val="en-US" w:eastAsia="en-US"/>
              </w:rPr>
            </w:pPr>
            <w:r>
              <w:rPr>
                <w:lang w:val="en-US" w:eastAsia="en-US"/>
              </w:rPr>
              <w:t>1.184</w:t>
            </w:r>
          </w:p>
        </w:tc>
      </w:tr>
    </w:tbl>
    <w:p w:rsidR="00BF7D99" w:rsidRDefault="00BF7D99" w:rsidP="00BF7D99">
      <w:pPr>
        <w:pStyle w:val="Hiddentext"/>
        <w:sectPr w:rsidR="00BF7D99" w:rsidSect="009F4BFE">
          <w:headerReference w:type="even" r:id="rId45"/>
          <w:headerReference w:type="default" r:id="rId46"/>
          <w:footerReference w:type="even" r:id="rId47"/>
          <w:type w:val="oddPage"/>
          <w:pgSz w:w="11906" w:h="16838" w:code="9"/>
          <w:pgMar w:top="2466" w:right="2098" w:bottom="2466" w:left="2098" w:header="1559" w:footer="1899" w:gutter="0"/>
          <w:cols w:space="708"/>
          <w:titlePg/>
          <w:docGrid w:linePitch="360"/>
        </w:sectPr>
      </w:pPr>
    </w:p>
    <w:p w:rsidR="003E0434" w:rsidRPr="00D67ADC" w:rsidRDefault="003E0434" w:rsidP="00BF7D99">
      <w:pPr>
        <w:pStyle w:val="Hiddentext"/>
      </w:pPr>
    </w:p>
    <w:sectPr w:rsidR="003E0434" w:rsidRPr="00D67ADC" w:rsidSect="009F4BFE">
      <w:footerReference w:type="first" r:id="rId48"/>
      <w:type w:val="even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D95" w:rsidRDefault="00214D95">
      <w:r>
        <w:separator/>
      </w:r>
    </w:p>
  </w:endnote>
  <w:endnote w:type="continuationSeparator" w:id="0">
    <w:p w:rsidR="00214D95" w:rsidRDefault="0021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leftfooter"/>
    </w:pPr>
    <w:r>
      <w:fldChar w:fldCharType="begin"/>
    </w:r>
    <w:r>
      <w:instrText xml:space="preserve"> PAGE   \* MERGEFORMAT </w:instrText>
    </w:r>
    <w:r>
      <w:fldChar w:fldCharType="separate"/>
    </w:r>
    <w:r>
      <w:rPr>
        <w:noProof/>
      </w:rPr>
      <w:t>4</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footer"/>
    </w:pPr>
    <w:r>
      <w:fldChar w:fldCharType="begin"/>
    </w:r>
    <w:r>
      <w:instrText xml:space="preserve"> PAGE   \* MERGEFORMAT </w:instrText>
    </w:r>
    <w:r>
      <w:fldChar w:fldCharType="separate"/>
    </w:r>
    <w:r w:rsidR="00530560">
      <w:rPr>
        <w:noProof/>
      </w:rPr>
      <w:t>9</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footer"/>
    </w:pPr>
    <w:r>
      <w:fldChar w:fldCharType="begin"/>
    </w:r>
    <w:r>
      <w:instrText xml:space="preserve"> PAGE  \* Arabic  \* MERGEFORMAT </w:instrText>
    </w:r>
    <w:r>
      <w:fldChar w:fldCharType="separate"/>
    </w:r>
    <w:r w:rsidR="00530560">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leftfooter"/>
    </w:pPr>
    <w:r>
      <w:fldChar w:fldCharType="begin"/>
    </w:r>
    <w:r>
      <w:instrText xml:space="preserve"> PAGE   \* MERGEFORMAT </w:instrText>
    </w:r>
    <w:r>
      <w:fldChar w:fldCharType="separate"/>
    </w:r>
    <w:r w:rsidR="00530560">
      <w:rPr>
        <w:noProof/>
      </w:rPr>
      <w:t>38</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footer"/>
    </w:pPr>
    <w:r>
      <w:fldChar w:fldCharType="begin"/>
    </w:r>
    <w:r>
      <w:instrText xml:space="preserve"> PAGE   \* MERGEFORMAT </w:instrText>
    </w:r>
    <w:r>
      <w:fldChar w:fldCharType="separate"/>
    </w:r>
    <w:r w:rsidR="00530560">
      <w:rPr>
        <w:noProof/>
      </w:rPr>
      <w:t>37</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footer"/>
    </w:pPr>
    <w:r>
      <w:fldChar w:fldCharType="begin"/>
    </w:r>
    <w:r>
      <w:instrText xml:space="preserve"> PAGE  \* Arabic  \* MERGEFORMAT </w:instrText>
    </w:r>
    <w:r>
      <w:fldChar w:fldCharType="separate"/>
    </w:r>
    <w:r w:rsidR="00530560">
      <w:rPr>
        <w:noProof/>
      </w:rPr>
      <w:t>11</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leftfooter"/>
    </w:pPr>
    <w:r>
      <w:fldChar w:fldCharType="begin"/>
    </w:r>
    <w:r>
      <w:instrText xml:space="preserve"> PAGE   \* MERGEFORMAT </w:instrText>
    </w:r>
    <w:r>
      <w:fldChar w:fldCharType="separate"/>
    </w:r>
    <w:r w:rsidR="00530560">
      <w:rPr>
        <w:noProof/>
      </w:rPr>
      <w:t>100</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footer"/>
    </w:pPr>
    <w:r>
      <w:fldChar w:fldCharType="begin"/>
    </w:r>
    <w:r>
      <w:instrText xml:space="preserve"> PAGE   \* MERGEFORMAT </w:instrText>
    </w:r>
    <w:r>
      <w:fldChar w:fldCharType="separate"/>
    </w:r>
    <w:r w:rsidR="00530560">
      <w:rPr>
        <w:noProof/>
      </w:rPr>
      <w:t>107</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footer"/>
    </w:pPr>
    <w:r>
      <w:fldChar w:fldCharType="begin"/>
    </w:r>
    <w:r>
      <w:instrText xml:space="preserve"> PAGE  \* Arabic  \* MERGEFORMAT </w:instrText>
    </w:r>
    <w:r>
      <w:fldChar w:fldCharType="separate"/>
    </w:r>
    <w:r w:rsidR="00530560">
      <w:rPr>
        <w:noProof/>
      </w:rPr>
      <w:t>79</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Pr="00FF56B8" w:rsidRDefault="003E0434" w:rsidP="003E0434">
    <w:pPr>
      <w:pStyle w:val="rightfooter"/>
    </w:pPr>
    <w:r>
      <w:fldChar w:fldCharType="begin"/>
    </w:r>
    <w:r>
      <w:instrText xml:space="preserve"> PAGE   \* MERGEFORMAT </w:instrText>
    </w:r>
    <w:r>
      <w:fldChar w:fldCharType="separate"/>
    </w:r>
    <w:r w:rsidR="00530560">
      <w:rPr>
        <w:noProof/>
      </w:rPr>
      <w:t>104</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434" w:rsidRPr="00BF7D99" w:rsidRDefault="00BF7D99" w:rsidP="00BF7D99">
    <w:pPr>
      <w:pStyle w:val="leftfooter"/>
    </w:pPr>
    <w:r>
      <w:fldChar w:fldCharType="begin"/>
    </w:r>
    <w:r>
      <w:instrText xml:space="preserve"> PAGE   \* MERGEFORMAT </w:instrText>
    </w:r>
    <w:r>
      <w:fldChar w:fldCharType="separate"/>
    </w:r>
    <w:r w:rsidR="00530560">
      <w:rPr>
        <w:noProof/>
      </w:rPr>
      <w:t>106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99" w:rsidRPr="00BF7D99" w:rsidRDefault="00BF7D99" w:rsidP="00BF7D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Pr="00B2068E" w:rsidRDefault="00214D95" w:rsidP="002968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footer"/>
    </w:pPr>
    <w:r>
      <w:fldChar w:fldCharType="begin"/>
    </w:r>
    <w:r>
      <w:instrText xml:space="preserve"> PAGE  \* Arabic  \* MERGEFORMAT </w:instrText>
    </w:r>
    <w:r>
      <w:fldChar w:fldCharType="separate"/>
    </w:r>
    <w:r w:rsidR="00530560">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leftfooter"/>
    </w:pPr>
    <w:r>
      <w:fldChar w:fldCharType="begin"/>
    </w:r>
    <w:r>
      <w:instrText xml:space="preserve"> PAGE   \* MERGEFORMAT </w:instrText>
    </w:r>
    <w:r>
      <w:fldChar w:fldCharType="separate"/>
    </w:r>
    <w:r w:rsidR="00530560">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D95" w:rsidRDefault="00214D95">
      <w:r>
        <w:separator/>
      </w:r>
    </w:p>
  </w:footnote>
  <w:footnote w:type="continuationSeparator" w:id="0">
    <w:p w:rsidR="00214D95" w:rsidRDefault="00214D95">
      <w:r>
        <w:continuationSeparator/>
      </w:r>
    </w:p>
  </w:footnote>
  <w:footnote w:id="1">
    <w:p w:rsidR="00214D95" w:rsidRDefault="00214D95">
      <w:pPr>
        <w:pStyle w:val="FootnoteText"/>
      </w:pPr>
      <w:r>
        <w:rPr>
          <w:rStyle w:val="FootnoteReference"/>
        </w:rPr>
        <w:footnoteRef/>
      </w:r>
      <w:r>
        <w:t xml:space="preserve"> ‘</w:t>
      </w:r>
      <w:r w:rsidRPr="00E8660E">
        <w:t>Eligible contracts of insurance</w:t>
      </w:r>
      <w:r>
        <w:t>’</w:t>
      </w:r>
      <w:r w:rsidRPr="00E8660E">
        <w:t xml:space="preserve"> are defined in regulation 2B of the </w:t>
      </w:r>
      <w:r w:rsidRPr="00E8660E">
        <w:rPr>
          <w:i/>
        </w:rPr>
        <w:t>Insurance Contracts Regulations 1985</w:t>
      </w:r>
      <w:r>
        <w:rPr>
          <w:i/>
        </w:rPr>
        <w:t>.</w:t>
      </w:r>
    </w:p>
  </w:footnote>
  <w:footnote w:id="2">
    <w:p w:rsidR="00214D95" w:rsidRPr="00E45CBB" w:rsidRDefault="00214D95" w:rsidP="0012468C">
      <w:pPr>
        <w:pStyle w:val="FootnoteText"/>
      </w:pPr>
      <w:r w:rsidRPr="00B56A56">
        <w:rPr>
          <w:rStyle w:val="FootnoteReference"/>
          <w:rFonts w:ascii="Palatino" w:hAnsi="Palatino" w:cs="Arial"/>
          <w:sz w:val="18"/>
        </w:rPr>
        <w:footnoteRef/>
      </w:r>
      <w:r>
        <w:tab/>
      </w:r>
      <w:r w:rsidRPr="00E45CBB">
        <w:t>The Consumer Federation of Australia (CFA) in its submissions to the Review Panel</w:t>
      </w:r>
      <w:r>
        <w:t>’</w:t>
      </w:r>
      <w:r w:rsidRPr="00E45CBB">
        <w:t>s March 2004 Issue</w:t>
      </w:r>
      <w:r>
        <w:t>s</w:t>
      </w:r>
      <w:r w:rsidRPr="00E45CBB">
        <w:t xml:space="preserve"> Paper estimated that between January 1999 and April 2004, the external dispute resolution body, the IEC Claims Review Panel, had made 642 determinations on claims that at least, in part, considered disclosure.  These determinations were broken down as follows: Small business (21); Consumer credit (39); Home contents (170); Home building</w:t>
      </w:r>
      <w:r>
        <w:t> </w:t>
      </w:r>
      <w:r w:rsidRPr="00E45CBB">
        <w:t>(71); Marine (7); Motor vehicle (200); Motor vehicle TPPD (1); Personal accident/sickness (102); Travel (27); Other (4).</w:t>
      </w:r>
    </w:p>
    <w:p w:rsidR="00214D95" w:rsidRPr="00FA615A" w:rsidRDefault="00214D95" w:rsidP="00573A06">
      <w:pPr>
        <w:pStyle w:val="FootnoteText"/>
        <w:spacing w:before="40" w:after="40"/>
        <w:ind w:firstLine="0"/>
      </w:pPr>
      <w:r w:rsidRPr="00FA615A">
        <w:t>The IEC Panel determined 936 claims in 2002-2003.  The CFA extrapolated that 642 claims over a five</w:t>
      </w:r>
      <w:r w:rsidR="00062686">
        <w:t>–</w:t>
      </w:r>
      <w:r w:rsidRPr="00FA615A">
        <w:t>year timeframe is about 128 per year. 128/936 (the 2002-2003 figure) being 13.7</w:t>
      </w:r>
      <w:r>
        <w:t> </w:t>
      </w:r>
      <w:r w:rsidRPr="00FA615A">
        <w:t xml:space="preserve">per cent - the figure the CFA noted represented the percentage of claims each year that involved (in part) disclosure issues.  </w:t>
      </w:r>
    </w:p>
    <w:p w:rsidR="00214D95" w:rsidRPr="00FA615A" w:rsidRDefault="00214D95" w:rsidP="00573A06">
      <w:pPr>
        <w:pStyle w:val="FootnoteText"/>
        <w:spacing w:before="40" w:after="40"/>
        <w:ind w:firstLine="0"/>
      </w:pPr>
      <w:r w:rsidRPr="00FA615A">
        <w:t>In its 2006-2007 Annual Review (at page 10), the IEC (by then, the Insurance Ombudsman Service - the IOS) noted that ‘once again, with 35 per cent of the total, motor vehicle disputes were the most highly represented at IOS, followed by home building disputes (21</w:t>
      </w:r>
      <w:r>
        <w:t> </w:t>
      </w:r>
      <w:r w:rsidRPr="00FA615A">
        <w:t>per cent), travel disputes (18 per cent) and home contents disputes (12 per cent).  With respect to motor vehicle disputes, the main reason for the insurer denying liability was related to exclusion or condition (45 per cent), with non-disclosure the next most frequently cited reason for denying liability (15 per cent), followed by fraud (14 per cent).  (On 1</w:t>
      </w:r>
      <w:r>
        <w:t> </w:t>
      </w:r>
      <w:r w:rsidRPr="00FA615A">
        <w:t>July</w:t>
      </w:r>
      <w:r>
        <w:t> </w:t>
      </w:r>
      <w:r w:rsidRPr="00FA615A">
        <w:t>2008, the IOS was folded into the Financial Ombudsman Service.)</w:t>
      </w:r>
    </w:p>
  </w:footnote>
  <w:footnote w:id="3">
    <w:p w:rsidR="00214D95" w:rsidRPr="00052A2F" w:rsidRDefault="00214D95" w:rsidP="0012468C">
      <w:pPr>
        <w:pStyle w:val="FootnoteText"/>
      </w:pPr>
      <w:r w:rsidRPr="00052A2F">
        <w:rPr>
          <w:rStyle w:val="FootnoteReference"/>
          <w:szCs w:val="18"/>
        </w:rPr>
        <w:footnoteRef/>
      </w:r>
      <w:r w:rsidRPr="00052A2F">
        <w:t xml:space="preserve"> </w:t>
      </w:r>
      <w:r w:rsidRPr="00052A2F">
        <w:tab/>
        <w:t>A majority of the High Court has taken the view that to require an insured to disclose to an insurer every matter known to (or reasonably knowable by) the insured that was relevant to the insurer</w:t>
      </w:r>
      <w:r>
        <w:t>’</w:t>
      </w:r>
      <w:r w:rsidRPr="00052A2F">
        <w:t>s decision would impose an extraordinarily high burden on an insured, which few could ever fully discharge. Permanent Trustee Aust Ltd &amp; Anor v FAI General Insurance Co Ltd (in liq) (2003) 12 ANZ Ins Cas 61-565 at page 76, 650.</w:t>
      </w:r>
    </w:p>
  </w:footnote>
  <w:footnote w:id="4">
    <w:p w:rsidR="00214D95" w:rsidRDefault="00214D95" w:rsidP="0012468C">
      <w:pPr>
        <w:pStyle w:val="FootnoteText"/>
      </w:pPr>
      <w:r>
        <w:rPr>
          <w:rStyle w:val="FootnoteReference"/>
        </w:rPr>
        <w:footnoteRef/>
      </w:r>
      <w:r>
        <w:t xml:space="preserve"> </w:t>
      </w:r>
      <w:r>
        <w:tab/>
        <w:t xml:space="preserve">Keall DCJ (Western Australian District Court) in </w:t>
      </w:r>
      <w:r w:rsidRPr="0058641B">
        <w:rPr>
          <w:i/>
        </w:rPr>
        <w:t>Delphin v Lumley General Insurance Ltd</w:t>
      </w:r>
      <w:r>
        <w:rPr>
          <w:i/>
        </w:rPr>
        <w:t> </w:t>
      </w:r>
      <w:r>
        <w:t xml:space="preserve">(1989) 5 ANZ Ins Cas 60-941 concluded that the relevant tests required both extrinsic and intrinsic factors to be taken into account.  On the other hand, Brooking J (Victorian Supreme Court) in </w:t>
      </w:r>
      <w:r w:rsidRPr="001F5627">
        <w:rPr>
          <w:i/>
        </w:rPr>
        <w:t>Twenty-first Maylux Pty Ltd v Mercantile Mutual Insurance (Aust) Ltd</w:t>
      </w:r>
      <w:r>
        <w:rPr>
          <w:i/>
        </w:rPr>
        <w:t> </w:t>
      </w:r>
      <w:r>
        <w:t xml:space="preserve">(1990) VR 919 took the view that ‘intrinsic’ factors (such as imperfect understand of English or unfamiliarity with business or insurance practice) are </w:t>
      </w:r>
      <w:r w:rsidRPr="00B103AD">
        <w:rPr>
          <w:b/>
        </w:rPr>
        <w:t>not</w:t>
      </w:r>
      <w:r>
        <w:t xml:space="preserve"> to be taken into account.  Jones J (Queensland Supreme Court) applied the test applied by Brooking J in </w:t>
      </w:r>
      <w:r w:rsidRPr="001F5627">
        <w:rPr>
          <w:i/>
        </w:rPr>
        <w:t>Twenty-first Maylux Pty Ltd</w:t>
      </w:r>
      <w:r>
        <w:t xml:space="preserve"> and took into account extrinsic factors rather than individual idiosyncrasies: </w:t>
      </w:r>
      <w:r w:rsidRPr="00434929">
        <w:rPr>
          <w:i/>
        </w:rPr>
        <w:t>Dew v. Suncorp Life and Superannuation Ltd</w:t>
      </w:r>
      <w:r>
        <w:t xml:space="preserve"> [2001] QSC 252.</w:t>
      </w:r>
    </w:p>
  </w:footnote>
  <w:footnote w:id="5">
    <w:p w:rsidR="00214D95" w:rsidRDefault="00214D95" w:rsidP="00FD09AB">
      <w:pPr>
        <w:pStyle w:val="FootnoteText"/>
      </w:pPr>
      <w:r w:rsidRPr="00911558">
        <w:rPr>
          <w:rStyle w:val="FootnoteReference"/>
          <w:sz w:val="18"/>
          <w:szCs w:val="18"/>
        </w:rPr>
        <w:footnoteRef/>
      </w:r>
      <w:r>
        <w:t xml:space="preserve"> </w:t>
      </w:r>
      <w:r>
        <w:tab/>
      </w:r>
      <w:r w:rsidRPr="006C57C4">
        <w:t>There were no disputes</w:t>
      </w:r>
      <w:r>
        <w:t xml:space="preserve"> in the</w:t>
      </w:r>
      <w:r w:rsidRPr="006C57C4">
        <w:t xml:space="preserve"> </w:t>
      </w:r>
      <w:r w:rsidRPr="0075380B">
        <w:t xml:space="preserve">2005-2006 reporting period </w:t>
      </w:r>
      <w:r w:rsidRPr="006C57C4">
        <w:t xml:space="preserve">relating to </w:t>
      </w:r>
      <w:r>
        <w:t>the IOS category ‘</w:t>
      </w:r>
      <w:r w:rsidRPr="006C57C4">
        <w:t>Non-disclosure on proposal</w:t>
      </w:r>
      <w:r>
        <w:t>’</w:t>
      </w:r>
      <w:r w:rsidRPr="006C57C4">
        <w:t xml:space="preserve"> for the </w:t>
      </w:r>
      <w:r>
        <w:t xml:space="preserve">general insurance </w:t>
      </w:r>
      <w:r w:rsidRPr="006C57C4">
        <w:t>lines of Caravan/Campervan; Consumer Credit, Marine-Pleasure Craft, Motor Vehicle – Third Party [TPPD], Small Business and Strata Title.  The three disputes in the reporting period involving disclosure issues relating to Travel insurance did not involve renewals (undoubtedly due to the nature of the insurance).  However, for the remaining lines of Motor Vehicle, Home Buildings, Home Contents, Personal Accident/Sickness and Medical Indemnity, more than half of the disputes involving disclosure issues were renewals.</w:t>
      </w:r>
      <w:r>
        <w:t xml:space="preserve">  </w:t>
      </w:r>
      <w:r w:rsidRPr="006C57C4">
        <w:t>Three out of four Home Buildings disputes relating to alleged non-disclosure involved renewals; two out of three Home Contents disputes relating to alleged non-disclosure involved renewals; three out of four Personal Accident/Sickness disputes relating to alleged non-disclosure involved renewals and of four Medical Indemnity disputes, one related to renewal issues.</w:t>
      </w:r>
    </w:p>
    <w:p w:rsidR="00214D95" w:rsidRPr="005B5935" w:rsidRDefault="00214D95" w:rsidP="00FD09AB">
      <w:pPr>
        <w:pStyle w:val="FootnoteText"/>
        <w:spacing w:before="40"/>
        <w:ind w:firstLine="0"/>
      </w:pPr>
      <w:r w:rsidRPr="005B5935">
        <w:t>Most disclosure/renewal issues arose in relation to Motor Vehicle insurance disputes.  The IOS reported that in the financial year 2005-2006, motor vehicle disputes made up 35</w:t>
      </w:r>
      <w:r>
        <w:t> per cent</w:t>
      </w:r>
      <w:r w:rsidRPr="005B5935">
        <w:t xml:space="preserve"> of all referrals to IOS - 654 out of 1870 disputes in total (in all, 13</w:t>
      </w:r>
      <w:r w:rsidRPr="0014053A">
        <w:t xml:space="preserve"> </w:t>
      </w:r>
      <w:r>
        <w:t>per cent</w:t>
      </w:r>
      <w:r w:rsidRPr="005B5935">
        <w:t xml:space="preserve"> of the total of 11,235, 690 motor vehicle policies and renewals issued during 2005-2006 led to claims).  Out of 93 Motor Vehicle disputes involving disclosure issues, 44 complaints resulted where claims had been rejected on renewal for alleged breaches of disclosure (including alleged misrepresentations).</w:t>
      </w:r>
    </w:p>
  </w:footnote>
  <w:footnote w:id="6">
    <w:p w:rsidR="00214D95" w:rsidRDefault="00214D95" w:rsidP="001713EA">
      <w:pPr>
        <w:pStyle w:val="FootnoteText"/>
      </w:pPr>
      <w:r>
        <w:rPr>
          <w:rStyle w:val="FootnoteReference"/>
        </w:rPr>
        <w:footnoteRef/>
      </w:r>
      <w:r>
        <w:tab/>
        <w:t>An insurance company submitted in relation to the 2007 exposure draft Bill that a renewal under the proposed changes would result in an average increased cost per policy of $15, a cost that would ultimately be passed onto customers.</w:t>
      </w:r>
    </w:p>
  </w:footnote>
  <w:footnote w:id="7">
    <w:p w:rsidR="00214D95" w:rsidRDefault="00214D95" w:rsidP="001713EA">
      <w:pPr>
        <w:pStyle w:val="FootnoteText"/>
      </w:pPr>
      <w:r>
        <w:rPr>
          <w:rStyle w:val="FootnoteReference"/>
        </w:rPr>
        <w:footnoteRef/>
      </w:r>
      <w:r>
        <w:t xml:space="preserve"> </w:t>
      </w:r>
      <w:r>
        <w:tab/>
        <w:t>Many, if not most, insureds believe that their duty of disclosure ends when a proposal application has been completed and accepted by the insurer (that is the proposal - not the contract).</w:t>
      </w:r>
      <w:r w:rsidRPr="008828C9">
        <w:t xml:space="preserve"> </w:t>
      </w:r>
      <w:r>
        <w:t xml:space="preserve">See the Annual Report of the General Insurance Enquiries and Complaints Scheme [IEC] Annual Report 1996, page 10-11; IEC Annual Report 1997, page 9; IEC Annual Report, 1998, page 10, cited in </w:t>
      </w:r>
      <w:r w:rsidRPr="003B278B">
        <w:rPr>
          <w:i/>
        </w:rPr>
        <w:t>Disclosure and concealment in consumer insurance contracts</w:t>
      </w:r>
      <w:r>
        <w:t xml:space="preserve"> by Dr Julie-Anne Tarr, Cavendish Publishing Limted, 2002.  [The former General Insurance Enquiries and Complaints Scheme [IEC] is now part of the Financial Ombudsman Service.]</w:t>
      </w:r>
    </w:p>
  </w:footnote>
  <w:footnote w:id="8">
    <w:p w:rsidR="00214D95" w:rsidRDefault="00214D95" w:rsidP="001713EA">
      <w:pPr>
        <w:pStyle w:val="FootnoteText"/>
      </w:pPr>
      <w:r>
        <w:rPr>
          <w:rStyle w:val="FootnoteReference"/>
        </w:rPr>
        <w:footnoteRef/>
      </w:r>
      <w:r>
        <w:t xml:space="preserve"> </w:t>
      </w:r>
      <w:r>
        <w:tab/>
        <w:t xml:space="preserve">The FICS Panel, for example, dealt with approximately 200 cases over a ten year period involving alleged non-disclosure by insureds.  Two out of some 14 disputes specifically involving Insurance Contracts Act section 22 over a period of six years involved extended delays (approximately four months between application and acceptance and issue of the contract of insurance) have been reported.  At least two determinations of the Superannuation Complaints Tribunal (involving delays of two and three month delays respectively) were reported in a period of just over one year.  In the 21 years since the Insurance Contracts Act became law, a number of cases have arisen before the courts involving disclosure issues in the context of extended delays: </w:t>
      </w:r>
      <w:r w:rsidRPr="00DA6371">
        <w:rPr>
          <w:i/>
        </w:rPr>
        <w:t>Goodwin v State Government Insurance Office (QLD)</w:t>
      </w:r>
      <w:r w:rsidRPr="00DA6371">
        <w:t xml:space="preserve"> (1991) 6 ANZ Ins </w:t>
      </w:r>
      <w:r>
        <w:t>C</w:t>
      </w:r>
      <w:r w:rsidRPr="00DA6371">
        <w:t>as 61-064 [Full C</w:t>
      </w:r>
      <w:r>
        <w:t>o</w:t>
      </w:r>
      <w:r w:rsidRPr="00DA6371">
        <w:t xml:space="preserve">urt of the Supreme Court of Queensland]; </w:t>
      </w:r>
      <w:r w:rsidRPr="00DA6371">
        <w:rPr>
          <w:i/>
        </w:rPr>
        <w:t>Summerton v SGIC Life Ltd</w:t>
      </w:r>
      <w:r w:rsidRPr="00DA6371">
        <w:t xml:space="preserve"> (1999) 19 ANZ Ins Cas 90-102; </w:t>
      </w:r>
      <w:r w:rsidRPr="00DA6371">
        <w:rPr>
          <w:i/>
        </w:rPr>
        <w:t>McCabe v Royal &amp; Sun Alliance</w:t>
      </w:r>
      <w:r w:rsidRPr="00DA6371">
        <w:t xml:space="preserve"> (2003) WASCA 162.</w:t>
      </w:r>
    </w:p>
  </w:footnote>
  <w:footnote w:id="9">
    <w:p w:rsidR="00214D95" w:rsidRPr="000579BB" w:rsidRDefault="00214D95" w:rsidP="0012468C">
      <w:pPr>
        <w:pStyle w:val="FootnoteText"/>
      </w:pPr>
      <w:r>
        <w:rPr>
          <w:rStyle w:val="FootnoteReference"/>
        </w:rPr>
        <w:footnoteRef/>
      </w:r>
      <w:r>
        <w:t xml:space="preserve">  </w:t>
      </w:r>
      <w:r>
        <w:tab/>
        <w:t>T</w:t>
      </w:r>
      <w:r w:rsidRPr="000579BB">
        <w:t>he insurer argued that the proposed reminder notice requirement was unnecessary because the duty of disclosure notice has already clearly informed the insured that the duty continues to apply until the contract is entered into.  It would also require an upgrade to the insurer</w:t>
      </w:r>
      <w:r>
        <w:t>’</w:t>
      </w:r>
      <w:r w:rsidRPr="000579BB">
        <w:t xml:space="preserve">s computer systems and increase the administrative burden on the insurer, again at increased cost.  Further the proposed amendment may have an adverse impact on insureds, because insurers may deal with this issue by refusing to issue policies more than </w:t>
      </w:r>
      <w:r>
        <w:t>two</w:t>
      </w:r>
      <w:r w:rsidRPr="000579BB">
        <w:t xml:space="preserve"> months in advance.  The insured may instead be asked to call back and obtain a quote closer to the time of inception of the policy and if they forget to do so, it may result in non-insurance.</w:t>
      </w:r>
    </w:p>
  </w:footnote>
  <w:footnote w:id="10">
    <w:p w:rsidR="00214D95" w:rsidRPr="008C00B4" w:rsidRDefault="00214D95" w:rsidP="0012468C">
      <w:pPr>
        <w:pStyle w:val="FootnoteText"/>
      </w:pPr>
      <w:r w:rsidRPr="008C00B4">
        <w:rPr>
          <w:rStyle w:val="FootnoteReference"/>
        </w:rPr>
        <w:footnoteRef/>
      </w:r>
      <w:r w:rsidRPr="008C00B4">
        <w:tab/>
        <w:t>The courts (</w:t>
      </w:r>
      <w:r w:rsidRPr="008C00B4">
        <w:rPr>
          <w:i/>
        </w:rPr>
        <w:t>Hoare v Mercantile Mutual Life Insurance Co</w:t>
      </w:r>
      <w:r w:rsidRPr="008C00B4">
        <w:t xml:space="preserve"> unreported, Rolfe J, Supreme Court of New South Wales,7 November 2000; </w:t>
      </w:r>
      <w:r w:rsidRPr="008C00B4">
        <w:rPr>
          <w:i/>
        </w:rPr>
        <w:t xml:space="preserve">Herbohn v NZI Life Limited </w:t>
      </w:r>
      <w:r w:rsidRPr="008C00B4">
        <w:t>(1998) 10 ANZ Ins Cas 61-410) and the external resolution bodies (FICS and the Banking and Financial Services Ombudsman Limited – now merged into the FOS) have acknowledged there are limitations placed on insurers by the inflexibility of section 29.</w:t>
      </w:r>
    </w:p>
  </w:footnote>
  <w:footnote w:id="11">
    <w:p w:rsidR="00214D95" w:rsidRPr="008C00B4" w:rsidRDefault="00214D95" w:rsidP="0012468C">
      <w:pPr>
        <w:pStyle w:val="FootnoteText"/>
      </w:pPr>
      <w:r w:rsidRPr="008C00B4">
        <w:rPr>
          <w:rStyle w:val="FootnoteReference"/>
        </w:rPr>
        <w:footnoteRef/>
      </w:r>
      <w:r w:rsidRPr="008C00B4">
        <w:t xml:space="preserve"> </w:t>
      </w:r>
      <w:r w:rsidRPr="008C00B4">
        <w:tab/>
        <w:t xml:space="preserve">Life insurers often offer </w:t>
      </w:r>
      <w:r>
        <w:t>‘</w:t>
      </w:r>
      <w:r w:rsidRPr="008C00B4">
        <w:t>package</w:t>
      </w:r>
      <w:r>
        <w:t>’</w:t>
      </w:r>
      <w:r w:rsidRPr="008C00B4">
        <w:t xml:space="preserve"> policies that have a number of different component covers - such as death, TPD, trauma and IP cover.  The client does not have to buy the whole package; rather, they can select the different options they want.  The combination they choose may or may not include death cover.</w:t>
      </w:r>
    </w:p>
  </w:footnote>
  <w:footnote w:id="12">
    <w:p w:rsidR="00214D95" w:rsidRDefault="00214D95" w:rsidP="0012468C">
      <w:pPr>
        <w:pStyle w:val="FootnoteText"/>
      </w:pPr>
      <w:r w:rsidRPr="008C00B4">
        <w:rPr>
          <w:rStyle w:val="FootnoteReference"/>
        </w:rPr>
        <w:footnoteRef/>
      </w:r>
      <w:r w:rsidRPr="008C00B4">
        <w:tab/>
        <w:t>The discovery</w:t>
      </w:r>
      <w:r w:rsidRPr="0009477A">
        <w:t xml:space="preserve"> of non-disclosure or misrepresentation may impact the sum insured or premium levied on certain products, but not others. </w:t>
      </w:r>
      <w:r>
        <w:t xml:space="preserve"> </w:t>
      </w:r>
      <w:r w:rsidRPr="0009477A">
        <w:t>Similarly, with knowledge of the additional facts, an insurer may want to avoid certain aspects of the policy, but not others (for example, avoid an IP policy but keep the term cover on foot).</w:t>
      </w:r>
      <w:r>
        <w:t xml:space="preserve">  </w:t>
      </w:r>
      <w:r w:rsidRPr="0009477A">
        <w:t>If bundled contracts cannot be severed, an insurer may be forced to cancel all cover from inception, to the detriment of both the insured and the insurer</w:t>
      </w:r>
      <w:r>
        <w:t>.</w:t>
      </w:r>
    </w:p>
  </w:footnote>
  <w:footnote w:id="13">
    <w:p w:rsidR="00214D95" w:rsidRDefault="00214D95" w:rsidP="0012468C">
      <w:pPr>
        <w:pStyle w:val="FootnoteText"/>
      </w:pPr>
      <w:r>
        <w:rPr>
          <w:rStyle w:val="FootnoteReference"/>
        </w:rPr>
        <w:footnoteRef/>
      </w:r>
      <w:r>
        <w:tab/>
        <w:t>In many cases, this allows the insurer to reduce the claim to nil.</w:t>
      </w:r>
    </w:p>
  </w:footnote>
  <w:footnote w:id="14">
    <w:p w:rsidR="00214D95" w:rsidRDefault="00214D95" w:rsidP="0012468C">
      <w:pPr>
        <w:pStyle w:val="FootnoteText"/>
      </w:pPr>
      <w:r>
        <w:rPr>
          <w:rStyle w:val="FootnoteReference"/>
        </w:rPr>
        <w:footnoteRef/>
      </w:r>
      <w:r>
        <w:tab/>
        <w:t xml:space="preserve">Life insurance representatives indicated in a submission to the Review Panel pointed out that in so far as a distinction exists between the remedies available for the life insurer in section 29 and the general insurer under section 28, historically, traditional life insurance policies (whole of life and endowment policies) offered a bundled mix of ‘risk’ insurance and participating or non-participating investment/savings.  However, public policy may be been seen to be served by limiting the insurer’s right to void a long term life insurance bundled policy for innocent misrepresentation to three years.  It may have been determined that it would be inequitable for an insurer to have the right to void a long term bundled investment/risk policy for innocent misrepresentation.  On the other hand, the submission suggested that the three year period is consistent with the period referred to in the ‘non-forfeiture’ provisions of both the </w:t>
      </w:r>
      <w:r w:rsidRPr="00BC1618">
        <w:rPr>
          <w:i/>
        </w:rPr>
        <w:t>Life</w:t>
      </w:r>
      <w:r>
        <w:t xml:space="preserve"> </w:t>
      </w:r>
      <w:r w:rsidRPr="00BC1618">
        <w:rPr>
          <w:i/>
        </w:rPr>
        <w:t>Insurance Act 1945</w:t>
      </w:r>
      <w:r>
        <w:t xml:space="preserve"> (sections 95 to 102) and the </w:t>
      </w:r>
      <w:r w:rsidRPr="00BC1618">
        <w:rPr>
          <w:i/>
        </w:rPr>
        <w:t>Life Insurance Act 1995</w:t>
      </w:r>
      <w:r>
        <w:t xml:space="preserve"> (section 210), restricting the right of the life insure to avoid a policy for non-payment of contract premiums after three years premiums had been paid.  According to the submission, these non-forfeiture provisions did not apply to term life insurance where the policy did not provide for a ‘surrender value’, but represented pure risk. </w:t>
      </w:r>
    </w:p>
  </w:footnote>
  <w:footnote w:id="15">
    <w:p w:rsidR="00214D95" w:rsidRDefault="00214D95" w:rsidP="0012468C">
      <w:pPr>
        <w:pStyle w:val="FootnoteText"/>
      </w:pPr>
      <w:r>
        <w:rPr>
          <w:rStyle w:val="FootnoteReference"/>
        </w:rPr>
        <w:footnoteRef/>
      </w:r>
      <w:r>
        <w:t xml:space="preserve"> </w:t>
      </w:r>
      <w:r>
        <w:tab/>
        <w:t>In a submission to the Review Panel, life insurance representatives indicated</w:t>
      </w:r>
      <w:r w:rsidRPr="00AA3180">
        <w:t xml:space="preserve"> </w:t>
      </w:r>
      <w:r>
        <w:t>that whereas in 1972 whole of life and endowment insurance represented 95.3</w:t>
      </w:r>
      <w:r w:rsidRPr="0014053A">
        <w:rPr>
          <w:sz w:val="18"/>
          <w:szCs w:val="18"/>
        </w:rPr>
        <w:t xml:space="preserve"> </w:t>
      </w:r>
      <w:r>
        <w:rPr>
          <w:sz w:val="18"/>
          <w:szCs w:val="18"/>
        </w:rPr>
        <w:t>per cent</w:t>
      </w:r>
      <w:r>
        <w:t xml:space="preserve"> of sales that year, by 1996, whole of life and endowment products represented 6.1</w:t>
      </w:r>
      <w:r w:rsidRPr="0014053A">
        <w:rPr>
          <w:sz w:val="18"/>
          <w:szCs w:val="18"/>
        </w:rPr>
        <w:t xml:space="preserve"> </w:t>
      </w:r>
      <w:r>
        <w:rPr>
          <w:sz w:val="18"/>
          <w:szCs w:val="18"/>
        </w:rPr>
        <w:t>per cent</w:t>
      </w:r>
      <w:r>
        <w:t xml:space="preserve"> of sales, while investment account and investment-linked products represented 12.6</w:t>
      </w:r>
      <w:r w:rsidRPr="0014053A">
        <w:rPr>
          <w:sz w:val="18"/>
          <w:szCs w:val="18"/>
        </w:rPr>
        <w:t xml:space="preserve"> </w:t>
      </w:r>
      <w:r>
        <w:rPr>
          <w:sz w:val="18"/>
          <w:szCs w:val="18"/>
        </w:rPr>
        <w:t>per cent</w:t>
      </w:r>
      <w:r>
        <w:t xml:space="preserve"> of sales – these types of policies typically have surrender values.  On the other hand, term life insurance provided for an insurance benefit payable only on death without the investment/savings component.  In 1977, the proportion of new business constituted by Term Insurance was less than 15</w:t>
      </w:r>
      <w:r w:rsidRPr="0014053A">
        <w:rPr>
          <w:sz w:val="18"/>
          <w:szCs w:val="18"/>
        </w:rPr>
        <w:t xml:space="preserve"> </w:t>
      </w:r>
      <w:r>
        <w:rPr>
          <w:sz w:val="18"/>
          <w:szCs w:val="18"/>
        </w:rPr>
        <w:t>per cent</w:t>
      </w:r>
      <w:r>
        <w:t>.  By 2004, the proportion of new long term life insurance represented by Term Insurance (including Rider Benefits and Disability Insurance, Crisis, etc) is 94</w:t>
      </w:r>
      <w:r w:rsidRPr="0014053A">
        <w:rPr>
          <w:sz w:val="18"/>
          <w:szCs w:val="18"/>
        </w:rPr>
        <w:t xml:space="preserve"> </w:t>
      </w:r>
      <w:r>
        <w:rPr>
          <w:sz w:val="18"/>
          <w:szCs w:val="18"/>
        </w:rPr>
        <w:t>per cent</w:t>
      </w:r>
      <w:r>
        <w:t>.</w:t>
      </w:r>
    </w:p>
  </w:footnote>
  <w:footnote w:id="16">
    <w:p w:rsidR="00214D95" w:rsidRDefault="00214D95" w:rsidP="007E6E72">
      <w:pPr>
        <w:pStyle w:val="FootnoteText"/>
      </w:pPr>
      <w:r>
        <w:rPr>
          <w:rStyle w:val="FootnoteReference"/>
        </w:rPr>
        <w:footnoteRef/>
      </w:r>
      <w:r>
        <w:tab/>
      </w:r>
      <w:r w:rsidRPr="007D3805">
        <w:t xml:space="preserve">One industry submission to the Review Panel provided an example of the overall impact on the cost of insurance arising from the inflexibility of the remedies available to life insurers under section 29. With income protection insurance, a frequently occurring event is the overstatement of income, resulting in an insured benefit exceeding the level of appropriate cover. </w:t>
      </w:r>
      <w:r>
        <w:t xml:space="preserve"> </w:t>
      </w:r>
      <w:r w:rsidRPr="007D3805">
        <w:t>In the event that no remedy can be applied (</w:t>
      </w:r>
      <w:r w:rsidRPr="0014053A">
        <w:t>that is</w:t>
      </w:r>
      <w:r w:rsidRPr="007D3805">
        <w:t xml:space="preserve"> reduction in insured benefit) when a claim is made, an insured will often receive more income by remaining on claim than if they returned to work. The overall effect is extended claim periods and increased claim costs, which are ultimately passed on to other policyholders in the form of premium increases. As to the availability of insurance, another industry submission pointed out that in some cases, section 29 works to penalise insured</w:t>
      </w:r>
      <w:r>
        <w:t>s by forcing insurers to allege</w:t>
      </w:r>
      <w:r w:rsidRPr="007D3805">
        <w:t xml:space="preserve"> fraud in order to avoid a contract where they may in fact have been prepared to offer alternative terms, if such a remedy w</w:t>
      </w:r>
      <w:r>
        <w:t>ere</w:t>
      </w:r>
      <w:r w:rsidRPr="007D3805">
        <w:t xml:space="preserve"> available. The stigma of a fraud allegation made against an insured by an insurer will result in the insured having difficulties in obtainin</w:t>
      </w:r>
      <w:r w:rsidRPr="000579BB">
        <w:t>g cover in the future.  For insurers, establishing fraud is costly and complex, leading to protracted litigation with legal costs for individual cases often exceeding $100,000.  Ultimately, these legal costs place pressure on premium rates.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leftheader"/>
    </w:pPr>
    <w:r>
      <w:t>Insuranc</w:t>
    </w:r>
    <w:r w:rsidR="00062686">
      <w:t>e Contracts Amendment Bill 2013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header"/>
    </w:pPr>
    <w:r>
      <w:t>Schedules to the Bill</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leftheader"/>
    </w:pPr>
    <w:r>
      <w:t>Insuranc</w:t>
    </w:r>
    <w:r w:rsidR="00062686">
      <w:t>e Contracts Amendment Bill 2013</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062686" w:rsidP="0029684A">
    <w:pPr>
      <w:pStyle w:val="rightheader"/>
    </w:pPr>
    <w:r>
      <w:t>Regulation impact statement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686" w:rsidRDefault="00062686" w:rsidP="00062686">
    <w:pPr>
      <w:pStyle w:val="rightheader"/>
    </w:pPr>
    <w:r>
      <w:t>Regulation impact statement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Pr="00FF56B8" w:rsidRDefault="00214D95" w:rsidP="00FF56B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434" w:rsidRPr="003E0434" w:rsidRDefault="003E0434" w:rsidP="003E0434">
    <w:pPr>
      <w:pStyle w:val="leftheader"/>
    </w:pPr>
    <w:r>
      <w:t>Insurance Contracts Amendment Bill 2013</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FF" w:rsidRDefault="00A55CFF" w:rsidP="00A55CFF">
    <w:pPr>
      <w:pStyle w:val="rightheader"/>
    </w:pPr>
    <w:r>
      <w:t>Index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leftheader"/>
    </w:pPr>
    <w:r>
      <w:fldChar w:fldCharType="begin"/>
    </w:r>
    <w:r>
      <w:instrText xml:space="preserve"> macrobutton nomacro [Click here and insert the name of the Bill] </w:instrTex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header"/>
    </w:pPr>
    <w:r>
      <w:fldChar w:fldCharType="begin"/>
    </w:r>
    <w:r>
      <w:instrText xml:space="preserve"> macrobutton nomacro [Click here and enter the name of the Chapter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leftheader"/>
    </w:pPr>
    <w:r>
      <w:fldChar w:fldCharType="begin"/>
    </w:r>
    <w:r>
      <w:instrText xml:space="preserve"> macrobutton nomacro [Click here and insert the name of the Bill] </w:instrTex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header"/>
    </w:pPr>
    <w:r>
      <w:fldChar w:fldCharType="begin"/>
    </w:r>
    <w:r>
      <w:instrText xml:space="preserve"> macrobutton nomacro [Click here and enter the name of the Chapter </w:instrTex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leftheader"/>
    </w:pPr>
    <w:r>
      <w:t>Insurance Contracts Amendment Bill 2013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95" w:rsidRDefault="00214D95" w:rsidP="0029684A">
    <w:pPr>
      <w:pStyle w:val="rightheader"/>
    </w:pPr>
    <w:r>
      <w:t>General outline and financial impact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RecommendationDash"/>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BoxDash"/>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3701FD5"/>
    <w:multiLevelType w:val="singleLevel"/>
    <w:tmpl w:val="6B1EE1E6"/>
    <w:lvl w:ilvl="0">
      <w:start w:val="1"/>
      <w:numFmt w:val="lowerLetter"/>
      <w:pStyle w:val="OneLevelNumberedParagraph"/>
      <w:lvlText w:val="(%1)"/>
      <w:lvlJc w:val="left"/>
      <w:pPr>
        <w:tabs>
          <w:tab w:val="num" w:pos="1134"/>
        </w:tabs>
        <w:ind w:left="1134" w:hanging="567"/>
      </w:pPr>
      <w:rPr>
        <w:rFonts w:ascii="Book Antiqua" w:hAnsi="Book Antiqua" w:hint="default"/>
        <w:b w:val="0"/>
        <w:i w:val="0"/>
        <w:sz w:val="20"/>
      </w:rPr>
    </w:lvl>
  </w:abstractNum>
  <w:abstractNum w:abstractNumId="12">
    <w:nsid w:val="07B019E2"/>
    <w:multiLevelType w:val="multilevel"/>
    <w:tmpl w:val="A316FE50"/>
    <w:numStyleLink w:val="ChapterList"/>
  </w:abstractNum>
  <w:abstractNum w:abstractNumId="13">
    <w:nsid w:val="0F5B5BBF"/>
    <w:multiLevelType w:val="multilevel"/>
    <w:tmpl w:val="A316FE50"/>
    <w:numStyleLink w:val="ChapterList"/>
  </w:abstractNum>
  <w:abstractNum w:abstractNumId="14">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1BEB4EC5"/>
    <w:multiLevelType w:val="multilevel"/>
    <w:tmpl w:val="6D98FC9A"/>
    <w:numStyleLink w:val="TableDotPointList"/>
  </w:abstractNum>
  <w:abstractNum w:abstractNumId="17">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244237C5"/>
    <w:multiLevelType w:val="multilevel"/>
    <w:tmpl w:val="4CEC86EC"/>
    <w:lvl w:ilvl="0">
      <w:start w:val="1"/>
      <w:numFmt w:val="decimal"/>
      <w:lvlText w:val="%1."/>
      <w:lvlJc w:val="left"/>
      <w:pPr>
        <w:tabs>
          <w:tab w:val="num" w:pos="567"/>
        </w:tabs>
        <w:ind w:left="567" w:hanging="567"/>
      </w:pPr>
      <w:rPr>
        <w:b w:val="0"/>
        <w:i w:val="0"/>
      </w:rPr>
    </w:lvl>
    <w:lvl w:ilvl="1">
      <w:start w:val="1"/>
      <w:numFmt w:val="decimal"/>
      <w:lvlText w:val="%1.%2."/>
      <w:lvlJc w:val="left"/>
      <w:pPr>
        <w:tabs>
          <w:tab w:val="num" w:pos="1134"/>
        </w:tabs>
        <w:ind w:left="1134" w:hanging="567"/>
      </w:pPr>
      <w:rPr>
        <w:b w:val="0"/>
        <w:i w:val="0"/>
      </w:rPr>
    </w:lvl>
    <w:lvl w:ilvl="2">
      <w:start w:val="1"/>
      <w:numFmt w:val="decimal"/>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nsid w:val="37D47477"/>
    <w:multiLevelType w:val="singleLevel"/>
    <w:tmpl w:val="A85AF97A"/>
    <w:name w:val="OneLevelAlphaParagraphList"/>
    <w:lvl w:ilvl="0">
      <w:start w:val="2"/>
      <w:numFmt w:val="none"/>
      <w:pStyle w:val="TOC4"/>
      <w:lvlText w:val="4."/>
      <w:lvlJc w:val="left"/>
      <w:pPr>
        <w:tabs>
          <w:tab w:val="num" w:pos="567"/>
        </w:tabs>
        <w:ind w:left="0" w:firstLine="0"/>
      </w:pPr>
      <w:rPr>
        <w:rFonts w:hint="default"/>
      </w:rPr>
    </w:lvl>
  </w:abstractNum>
  <w:abstractNum w:abstractNumId="21">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43FB3E18"/>
    <w:multiLevelType w:val="multilevel"/>
    <w:tmpl w:val="A316FE50"/>
    <w:numStyleLink w:val="ChapterList"/>
  </w:abstractNum>
  <w:abstractNum w:abstractNumId="25">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CA07B9"/>
    <w:multiLevelType w:val="multilevel"/>
    <w:tmpl w:val="71C4D33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4281CEB"/>
    <w:multiLevelType w:val="multilevel"/>
    <w:tmpl w:val="A316FE50"/>
    <w:numStyleLink w:val="ChapterList"/>
  </w:abstractNum>
  <w:abstractNum w:abstractNumId="29">
    <w:nsid w:val="65DF6494"/>
    <w:multiLevelType w:val="multilevel"/>
    <w:tmpl w:val="A316FE50"/>
    <w:numStyleLink w:val="ChapterList"/>
  </w:abstractNum>
  <w:abstractNum w:abstractNumId="30">
    <w:nsid w:val="6D302C09"/>
    <w:multiLevelType w:val="multilevel"/>
    <w:tmpl w:val="A316FE50"/>
    <w:numStyleLink w:val="ChapterList"/>
  </w:abstractNum>
  <w:abstractNum w:abstractNumId="31">
    <w:nsid w:val="6D6D47DA"/>
    <w:multiLevelType w:val="singleLevel"/>
    <w:tmpl w:val="63F2DA72"/>
    <w:lvl w:ilvl="0">
      <w:start w:val="1"/>
      <w:numFmt w:val="bullet"/>
      <w:pStyle w:val="Paragraph"/>
      <w:lvlText w:val=""/>
      <w:lvlJc w:val="left"/>
      <w:pPr>
        <w:tabs>
          <w:tab w:val="num" w:pos="360"/>
        </w:tabs>
        <w:ind w:left="360" w:hanging="360"/>
      </w:pPr>
      <w:rPr>
        <w:rFonts w:ascii="Symbol" w:hAnsi="Symbol" w:hint="default"/>
      </w:rPr>
    </w:lvl>
  </w:abstractNum>
  <w:abstractNum w:abstractNumId="3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7CAC208D"/>
    <w:multiLevelType w:val="multilevel"/>
    <w:tmpl w:val="A316FE50"/>
    <w:numStyleLink w:val="ChapterList"/>
  </w:abstractNum>
  <w:num w:numId="1">
    <w:abstractNumId w:val="23"/>
  </w:num>
  <w:num w:numId="2">
    <w:abstractNumId w:val="22"/>
  </w:num>
  <w:num w:numId="3">
    <w:abstractNumId w:val="17"/>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32"/>
  </w:num>
  <w:num w:numId="17">
    <w:abstractNumId w:val="33"/>
  </w:num>
  <w:num w:numId="18">
    <w:abstractNumId w:val="10"/>
  </w:num>
  <w:num w:numId="19">
    <w:abstractNumId w:val="21"/>
  </w:num>
  <w:num w:numId="20">
    <w:abstractNumId w:val="25"/>
  </w:num>
  <w:num w:numId="21">
    <w:abstractNumId w:val="27"/>
  </w:num>
  <w:num w:numId="22">
    <w:abstractNumId w:val="14"/>
  </w:num>
  <w:num w:numId="23">
    <w:abstractNumId w:val="16"/>
  </w:num>
  <w:num w:numId="24">
    <w:abstractNumId w:val="30"/>
  </w:num>
  <w:num w:numId="25">
    <w:abstractNumId w:val="34"/>
  </w:num>
  <w:num w:numId="26">
    <w:abstractNumId w:val="28"/>
  </w:num>
  <w:num w:numId="27">
    <w:abstractNumId w:val="12"/>
  </w:num>
  <w:num w:numId="28">
    <w:abstractNumId w:val="24"/>
  </w:num>
  <w:num w:numId="29">
    <w:abstractNumId w:val="13"/>
  </w:num>
  <w:num w:numId="30">
    <w:abstractNumId w:val="2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rPr>
      </w:lvl>
    </w:lvlOverride>
  </w:num>
  <w:num w:numId="31">
    <w:abstractNumId w:val="26"/>
  </w:num>
  <w:num w:numId="32">
    <w:abstractNumId w:val="19"/>
  </w:num>
  <w:num w:numId="33">
    <w:abstractNumId w:val="20"/>
  </w:num>
  <w:num w:numId="34">
    <w:abstractNumId w:val="11"/>
  </w:num>
  <w:num w:numId="35">
    <w:abstractNumId w:val="31"/>
  </w:num>
  <w:num w:numId="36">
    <w:abstractNumId w:val="29"/>
  </w:num>
  <w:num w:numId="37">
    <w:abstractNumId w:val="25"/>
  </w:num>
  <w:num w:numId="38">
    <w:abstractNumId w:val="25"/>
  </w:num>
  <w:num w:numId="39">
    <w:abstractNumId w:val="16"/>
  </w:num>
  <w:num w:numId="40">
    <w:abstractNumId w:val="29"/>
    <w:lvlOverride w:ilvl="1">
      <w:lvl w:ilvl="1">
        <w:start w:val="1"/>
        <w:numFmt w:val="decimal"/>
        <w:pStyle w:val="base-text-paragraph"/>
        <w:lvlText w:val="%1.%2"/>
        <w:lvlJc w:val="left"/>
        <w:pPr>
          <w:tabs>
            <w:tab w:val="num" w:pos="1985"/>
          </w:tabs>
          <w:ind w:left="1134" w:firstLine="0"/>
        </w:pPr>
        <w:rPr>
          <w:rFonts w:hint="default"/>
          <w:b w:val="0"/>
          <w:i w:val="0"/>
          <w:sz w:val="22"/>
        </w:rPr>
      </w:lvl>
    </w:lvlOverride>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2529"/>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89"/>
    <w:rsid w:val="00000789"/>
    <w:rsid w:val="00012F66"/>
    <w:rsid w:val="000213AC"/>
    <w:rsid w:val="000327A2"/>
    <w:rsid w:val="0003305A"/>
    <w:rsid w:val="00033861"/>
    <w:rsid w:val="0003455F"/>
    <w:rsid w:val="00034BE8"/>
    <w:rsid w:val="00035750"/>
    <w:rsid w:val="000432E2"/>
    <w:rsid w:val="00050170"/>
    <w:rsid w:val="00051938"/>
    <w:rsid w:val="00052BF0"/>
    <w:rsid w:val="0005600E"/>
    <w:rsid w:val="00062686"/>
    <w:rsid w:val="00067E1D"/>
    <w:rsid w:val="000705A5"/>
    <w:rsid w:val="000725C0"/>
    <w:rsid w:val="00075250"/>
    <w:rsid w:val="00076543"/>
    <w:rsid w:val="000835C7"/>
    <w:rsid w:val="00085C5D"/>
    <w:rsid w:val="0009055D"/>
    <w:rsid w:val="000960B7"/>
    <w:rsid w:val="000A0AFD"/>
    <w:rsid w:val="000A2094"/>
    <w:rsid w:val="000A5B26"/>
    <w:rsid w:val="000A6DBE"/>
    <w:rsid w:val="000A7C13"/>
    <w:rsid w:val="000B7B65"/>
    <w:rsid w:val="000B7FBA"/>
    <w:rsid w:val="000C06D9"/>
    <w:rsid w:val="000D54A6"/>
    <w:rsid w:val="000E089D"/>
    <w:rsid w:val="000E5B9A"/>
    <w:rsid w:val="000F09AD"/>
    <w:rsid w:val="001114E6"/>
    <w:rsid w:val="00121970"/>
    <w:rsid w:val="00121EB0"/>
    <w:rsid w:val="00123D96"/>
    <w:rsid w:val="0012468C"/>
    <w:rsid w:val="00131E0C"/>
    <w:rsid w:val="0014053A"/>
    <w:rsid w:val="0014197C"/>
    <w:rsid w:val="00147843"/>
    <w:rsid w:val="0015079D"/>
    <w:rsid w:val="001524AE"/>
    <w:rsid w:val="001713EA"/>
    <w:rsid w:val="00174A29"/>
    <w:rsid w:val="001838CD"/>
    <w:rsid w:val="00196927"/>
    <w:rsid w:val="001A4CA1"/>
    <w:rsid w:val="001A677D"/>
    <w:rsid w:val="001E6545"/>
    <w:rsid w:val="00200E96"/>
    <w:rsid w:val="00201B36"/>
    <w:rsid w:val="00202751"/>
    <w:rsid w:val="00214D95"/>
    <w:rsid w:val="00220D6C"/>
    <w:rsid w:val="00222D57"/>
    <w:rsid w:val="00231CBA"/>
    <w:rsid w:val="00232005"/>
    <w:rsid w:val="00236A1C"/>
    <w:rsid w:val="002401F9"/>
    <w:rsid w:val="00242FC3"/>
    <w:rsid w:val="00250154"/>
    <w:rsid w:val="00266048"/>
    <w:rsid w:val="00272FD3"/>
    <w:rsid w:val="00280A6B"/>
    <w:rsid w:val="00280CE3"/>
    <w:rsid w:val="002857E2"/>
    <w:rsid w:val="00295AB7"/>
    <w:rsid w:val="0029684A"/>
    <w:rsid w:val="00297B7C"/>
    <w:rsid w:val="002A4F1C"/>
    <w:rsid w:val="002A64A2"/>
    <w:rsid w:val="002C1581"/>
    <w:rsid w:val="002C2B66"/>
    <w:rsid w:val="002C43E8"/>
    <w:rsid w:val="002D2436"/>
    <w:rsid w:val="002D6088"/>
    <w:rsid w:val="002D6555"/>
    <w:rsid w:val="002D7E0F"/>
    <w:rsid w:val="002E3A4D"/>
    <w:rsid w:val="002E41B9"/>
    <w:rsid w:val="002E5FD3"/>
    <w:rsid w:val="002F21E4"/>
    <w:rsid w:val="002F2244"/>
    <w:rsid w:val="002F3991"/>
    <w:rsid w:val="002F75B0"/>
    <w:rsid w:val="003174CF"/>
    <w:rsid w:val="00320374"/>
    <w:rsid w:val="00337D7D"/>
    <w:rsid w:val="00345CCB"/>
    <w:rsid w:val="00346BEB"/>
    <w:rsid w:val="003505E3"/>
    <w:rsid w:val="00370AE1"/>
    <w:rsid w:val="00370CF4"/>
    <w:rsid w:val="003719A4"/>
    <w:rsid w:val="00371C32"/>
    <w:rsid w:val="00376B6D"/>
    <w:rsid w:val="00376D74"/>
    <w:rsid w:val="00376FAF"/>
    <w:rsid w:val="00377CD4"/>
    <w:rsid w:val="003853E6"/>
    <w:rsid w:val="00387BAB"/>
    <w:rsid w:val="0039400F"/>
    <w:rsid w:val="003A2974"/>
    <w:rsid w:val="003A311E"/>
    <w:rsid w:val="003A5D7E"/>
    <w:rsid w:val="003B2C77"/>
    <w:rsid w:val="003B3C08"/>
    <w:rsid w:val="003B550D"/>
    <w:rsid w:val="003B6529"/>
    <w:rsid w:val="003C1301"/>
    <w:rsid w:val="003C5BA3"/>
    <w:rsid w:val="003D6FD9"/>
    <w:rsid w:val="003D7F02"/>
    <w:rsid w:val="003E0434"/>
    <w:rsid w:val="003E0794"/>
    <w:rsid w:val="003E68F7"/>
    <w:rsid w:val="003F096C"/>
    <w:rsid w:val="003F1256"/>
    <w:rsid w:val="0043366C"/>
    <w:rsid w:val="00433B1D"/>
    <w:rsid w:val="00433FD9"/>
    <w:rsid w:val="00436054"/>
    <w:rsid w:val="00440547"/>
    <w:rsid w:val="00441D38"/>
    <w:rsid w:val="00442FB9"/>
    <w:rsid w:val="0044391B"/>
    <w:rsid w:val="00457BC3"/>
    <w:rsid w:val="00460019"/>
    <w:rsid w:val="004616DF"/>
    <w:rsid w:val="004632D1"/>
    <w:rsid w:val="00465A34"/>
    <w:rsid w:val="00470181"/>
    <w:rsid w:val="004710EB"/>
    <w:rsid w:val="00475D9F"/>
    <w:rsid w:val="00480C91"/>
    <w:rsid w:val="004810B0"/>
    <w:rsid w:val="004836D2"/>
    <w:rsid w:val="0048487F"/>
    <w:rsid w:val="00492D6C"/>
    <w:rsid w:val="004A4948"/>
    <w:rsid w:val="004B5C2A"/>
    <w:rsid w:val="004B755A"/>
    <w:rsid w:val="004C1468"/>
    <w:rsid w:val="004D1963"/>
    <w:rsid w:val="004D6B85"/>
    <w:rsid w:val="004E161F"/>
    <w:rsid w:val="004E3E5B"/>
    <w:rsid w:val="004F2720"/>
    <w:rsid w:val="00502551"/>
    <w:rsid w:val="005052B0"/>
    <w:rsid w:val="0050652E"/>
    <w:rsid w:val="00515E69"/>
    <w:rsid w:val="005177DF"/>
    <w:rsid w:val="00517B68"/>
    <w:rsid w:val="005233A1"/>
    <w:rsid w:val="00523617"/>
    <w:rsid w:val="00524D87"/>
    <w:rsid w:val="00527FD7"/>
    <w:rsid w:val="00530560"/>
    <w:rsid w:val="005408E6"/>
    <w:rsid w:val="0054284D"/>
    <w:rsid w:val="00552465"/>
    <w:rsid w:val="005550F7"/>
    <w:rsid w:val="00555D38"/>
    <w:rsid w:val="00573A06"/>
    <w:rsid w:val="00580C19"/>
    <w:rsid w:val="00585AFF"/>
    <w:rsid w:val="00593CAF"/>
    <w:rsid w:val="005A5BB3"/>
    <w:rsid w:val="005A76CC"/>
    <w:rsid w:val="005B22C7"/>
    <w:rsid w:val="005B546F"/>
    <w:rsid w:val="005C0475"/>
    <w:rsid w:val="005C2B1A"/>
    <w:rsid w:val="005C6FB4"/>
    <w:rsid w:val="005D0F90"/>
    <w:rsid w:val="005D4E10"/>
    <w:rsid w:val="005E51CE"/>
    <w:rsid w:val="005E77E1"/>
    <w:rsid w:val="005F5C06"/>
    <w:rsid w:val="00600AEF"/>
    <w:rsid w:val="0060211C"/>
    <w:rsid w:val="006071CA"/>
    <w:rsid w:val="006071E9"/>
    <w:rsid w:val="00611C92"/>
    <w:rsid w:val="00617616"/>
    <w:rsid w:val="00621923"/>
    <w:rsid w:val="00623D8C"/>
    <w:rsid w:val="00625E87"/>
    <w:rsid w:val="00632026"/>
    <w:rsid w:val="006412C3"/>
    <w:rsid w:val="006503DE"/>
    <w:rsid w:val="00653DA2"/>
    <w:rsid w:val="006655F9"/>
    <w:rsid w:val="006712FD"/>
    <w:rsid w:val="006753AB"/>
    <w:rsid w:val="00676AC8"/>
    <w:rsid w:val="00677846"/>
    <w:rsid w:val="00682A01"/>
    <w:rsid w:val="006857AE"/>
    <w:rsid w:val="006916A8"/>
    <w:rsid w:val="00692C0C"/>
    <w:rsid w:val="0069761B"/>
    <w:rsid w:val="006A159E"/>
    <w:rsid w:val="006A78B6"/>
    <w:rsid w:val="006B00CB"/>
    <w:rsid w:val="006C3CEB"/>
    <w:rsid w:val="006D4184"/>
    <w:rsid w:val="006E01A2"/>
    <w:rsid w:val="006E08FB"/>
    <w:rsid w:val="006E09AC"/>
    <w:rsid w:val="006E30DE"/>
    <w:rsid w:val="006F3B43"/>
    <w:rsid w:val="006F7AFB"/>
    <w:rsid w:val="007001D0"/>
    <w:rsid w:val="00700B4C"/>
    <w:rsid w:val="00703C25"/>
    <w:rsid w:val="007068E5"/>
    <w:rsid w:val="00707D39"/>
    <w:rsid w:val="007155B4"/>
    <w:rsid w:val="00725B4F"/>
    <w:rsid w:val="007329C5"/>
    <w:rsid w:val="00734347"/>
    <w:rsid w:val="00736240"/>
    <w:rsid w:val="007439D0"/>
    <w:rsid w:val="007454F8"/>
    <w:rsid w:val="00753239"/>
    <w:rsid w:val="00757C29"/>
    <w:rsid w:val="007652BC"/>
    <w:rsid w:val="007665D3"/>
    <w:rsid w:val="00774214"/>
    <w:rsid w:val="007871CD"/>
    <w:rsid w:val="00790795"/>
    <w:rsid w:val="00792ECD"/>
    <w:rsid w:val="00793F75"/>
    <w:rsid w:val="007966EF"/>
    <w:rsid w:val="007A0C98"/>
    <w:rsid w:val="007A1BCB"/>
    <w:rsid w:val="007A4C99"/>
    <w:rsid w:val="007B1DF2"/>
    <w:rsid w:val="007B23EE"/>
    <w:rsid w:val="007C385F"/>
    <w:rsid w:val="007D1821"/>
    <w:rsid w:val="007E25E0"/>
    <w:rsid w:val="007E3C31"/>
    <w:rsid w:val="007E5A81"/>
    <w:rsid w:val="007E6E72"/>
    <w:rsid w:val="00805473"/>
    <w:rsid w:val="008062A9"/>
    <w:rsid w:val="00813210"/>
    <w:rsid w:val="008147F1"/>
    <w:rsid w:val="008212B5"/>
    <w:rsid w:val="00821379"/>
    <w:rsid w:val="00826E88"/>
    <w:rsid w:val="00827930"/>
    <w:rsid w:val="00830A28"/>
    <w:rsid w:val="00832743"/>
    <w:rsid w:val="00834101"/>
    <w:rsid w:val="00835001"/>
    <w:rsid w:val="00844687"/>
    <w:rsid w:val="008512BE"/>
    <w:rsid w:val="00855D57"/>
    <w:rsid w:val="00867F0F"/>
    <w:rsid w:val="008752F1"/>
    <w:rsid w:val="00885BE8"/>
    <w:rsid w:val="00886346"/>
    <w:rsid w:val="00890245"/>
    <w:rsid w:val="008923A4"/>
    <w:rsid w:val="008B0747"/>
    <w:rsid w:val="008B095D"/>
    <w:rsid w:val="008B31CE"/>
    <w:rsid w:val="008B56B5"/>
    <w:rsid w:val="008C00B4"/>
    <w:rsid w:val="008C2D12"/>
    <w:rsid w:val="008C359D"/>
    <w:rsid w:val="008C51F4"/>
    <w:rsid w:val="008C68A9"/>
    <w:rsid w:val="008D0AE4"/>
    <w:rsid w:val="008D2B0F"/>
    <w:rsid w:val="008D6498"/>
    <w:rsid w:val="008D75E9"/>
    <w:rsid w:val="008F1A67"/>
    <w:rsid w:val="008F726E"/>
    <w:rsid w:val="00901ED2"/>
    <w:rsid w:val="00917DED"/>
    <w:rsid w:val="00922787"/>
    <w:rsid w:val="00922F75"/>
    <w:rsid w:val="00926E36"/>
    <w:rsid w:val="00935C6B"/>
    <w:rsid w:val="00937B71"/>
    <w:rsid w:val="0095290C"/>
    <w:rsid w:val="009530DE"/>
    <w:rsid w:val="00953F17"/>
    <w:rsid w:val="00954C57"/>
    <w:rsid w:val="009615B2"/>
    <w:rsid w:val="0096411E"/>
    <w:rsid w:val="00973550"/>
    <w:rsid w:val="009759C8"/>
    <w:rsid w:val="0099009D"/>
    <w:rsid w:val="00995678"/>
    <w:rsid w:val="009977B4"/>
    <w:rsid w:val="00997812"/>
    <w:rsid w:val="009A2B11"/>
    <w:rsid w:val="009B2AD6"/>
    <w:rsid w:val="009B3657"/>
    <w:rsid w:val="009B5AFE"/>
    <w:rsid w:val="009C380E"/>
    <w:rsid w:val="009E6C76"/>
    <w:rsid w:val="009F401C"/>
    <w:rsid w:val="009F4BFE"/>
    <w:rsid w:val="00A01492"/>
    <w:rsid w:val="00A04A9F"/>
    <w:rsid w:val="00A07DDF"/>
    <w:rsid w:val="00A21C26"/>
    <w:rsid w:val="00A22C72"/>
    <w:rsid w:val="00A27B13"/>
    <w:rsid w:val="00A27B94"/>
    <w:rsid w:val="00A32143"/>
    <w:rsid w:val="00A332EA"/>
    <w:rsid w:val="00A37D8C"/>
    <w:rsid w:val="00A37F77"/>
    <w:rsid w:val="00A44E9C"/>
    <w:rsid w:val="00A516CB"/>
    <w:rsid w:val="00A53EB2"/>
    <w:rsid w:val="00A54CD3"/>
    <w:rsid w:val="00A55CFF"/>
    <w:rsid w:val="00A575AE"/>
    <w:rsid w:val="00A65D09"/>
    <w:rsid w:val="00A722B0"/>
    <w:rsid w:val="00A834B8"/>
    <w:rsid w:val="00A86F1A"/>
    <w:rsid w:val="00A91227"/>
    <w:rsid w:val="00A9174C"/>
    <w:rsid w:val="00A91E81"/>
    <w:rsid w:val="00A9275F"/>
    <w:rsid w:val="00A93921"/>
    <w:rsid w:val="00A9398E"/>
    <w:rsid w:val="00A96322"/>
    <w:rsid w:val="00A97040"/>
    <w:rsid w:val="00AA20C9"/>
    <w:rsid w:val="00AA2141"/>
    <w:rsid w:val="00AA50D8"/>
    <w:rsid w:val="00AA5524"/>
    <w:rsid w:val="00AB086E"/>
    <w:rsid w:val="00AD1AAD"/>
    <w:rsid w:val="00AD48FF"/>
    <w:rsid w:val="00AD4ABE"/>
    <w:rsid w:val="00AD6DC4"/>
    <w:rsid w:val="00AD6E17"/>
    <w:rsid w:val="00AE1417"/>
    <w:rsid w:val="00AE23F9"/>
    <w:rsid w:val="00AE6CC7"/>
    <w:rsid w:val="00AF0AD3"/>
    <w:rsid w:val="00AF0EB2"/>
    <w:rsid w:val="00AF3340"/>
    <w:rsid w:val="00AF447F"/>
    <w:rsid w:val="00AF4CEE"/>
    <w:rsid w:val="00B00C37"/>
    <w:rsid w:val="00B03BF0"/>
    <w:rsid w:val="00B049D4"/>
    <w:rsid w:val="00B04EB4"/>
    <w:rsid w:val="00B07898"/>
    <w:rsid w:val="00B103AD"/>
    <w:rsid w:val="00B206C1"/>
    <w:rsid w:val="00B218E7"/>
    <w:rsid w:val="00B31641"/>
    <w:rsid w:val="00B45375"/>
    <w:rsid w:val="00B53682"/>
    <w:rsid w:val="00B620DC"/>
    <w:rsid w:val="00B6273D"/>
    <w:rsid w:val="00B64794"/>
    <w:rsid w:val="00B654ED"/>
    <w:rsid w:val="00B67600"/>
    <w:rsid w:val="00B7133E"/>
    <w:rsid w:val="00B725B1"/>
    <w:rsid w:val="00B7388C"/>
    <w:rsid w:val="00B7408F"/>
    <w:rsid w:val="00B75DB6"/>
    <w:rsid w:val="00B81173"/>
    <w:rsid w:val="00B82D18"/>
    <w:rsid w:val="00B93631"/>
    <w:rsid w:val="00B94871"/>
    <w:rsid w:val="00B94FB4"/>
    <w:rsid w:val="00BA2235"/>
    <w:rsid w:val="00BA2903"/>
    <w:rsid w:val="00BA728F"/>
    <w:rsid w:val="00BC1A36"/>
    <w:rsid w:val="00BC3DB1"/>
    <w:rsid w:val="00BC735F"/>
    <w:rsid w:val="00BD2E82"/>
    <w:rsid w:val="00BE681A"/>
    <w:rsid w:val="00BF1C59"/>
    <w:rsid w:val="00BF7D99"/>
    <w:rsid w:val="00BF7EF0"/>
    <w:rsid w:val="00C03AF3"/>
    <w:rsid w:val="00C05595"/>
    <w:rsid w:val="00C1738A"/>
    <w:rsid w:val="00C26CB0"/>
    <w:rsid w:val="00C27414"/>
    <w:rsid w:val="00C30548"/>
    <w:rsid w:val="00C31170"/>
    <w:rsid w:val="00C32115"/>
    <w:rsid w:val="00C32240"/>
    <w:rsid w:val="00C37514"/>
    <w:rsid w:val="00C44D85"/>
    <w:rsid w:val="00C53F6F"/>
    <w:rsid w:val="00C55D39"/>
    <w:rsid w:val="00C643DF"/>
    <w:rsid w:val="00C7300D"/>
    <w:rsid w:val="00C744BC"/>
    <w:rsid w:val="00C842B8"/>
    <w:rsid w:val="00C8648B"/>
    <w:rsid w:val="00C92EE4"/>
    <w:rsid w:val="00C95584"/>
    <w:rsid w:val="00C96263"/>
    <w:rsid w:val="00C978EF"/>
    <w:rsid w:val="00CA40B4"/>
    <w:rsid w:val="00CA5F63"/>
    <w:rsid w:val="00CA7364"/>
    <w:rsid w:val="00CA7CDA"/>
    <w:rsid w:val="00CB007F"/>
    <w:rsid w:val="00CB32F7"/>
    <w:rsid w:val="00CB63C3"/>
    <w:rsid w:val="00CB6473"/>
    <w:rsid w:val="00CC09C5"/>
    <w:rsid w:val="00CC5A10"/>
    <w:rsid w:val="00CD1FA8"/>
    <w:rsid w:val="00CE1CB4"/>
    <w:rsid w:val="00CE4136"/>
    <w:rsid w:val="00CE5590"/>
    <w:rsid w:val="00CF3913"/>
    <w:rsid w:val="00CF5226"/>
    <w:rsid w:val="00CF5EE9"/>
    <w:rsid w:val="00CF670E"/>
    <w:rsid w:val="00D01826"/>
    <w:rsid w:val="00D01E95"/>
    <w:rsid w:val="00D0451E"/>
    <w:rsid w:val="00D07312"/>
    <w:rsid w:val="00D15430"/>
    <w:rsid w:val="00D22699"/>
    <w:rsid w:val="00D26934"/>
    <w:rsid w:val="00D363E1"/>
    <w:rsid w:val="00D36F16"/>
    <w:rsid w:val="00D372B4"/>
    <w:rsid w:val="00D4029F"/>
    <w:rsid w:val="00D442DF"/>
    <w:rsid w:val="00D522E9"/>
    <w:rsid w:val="00D56F38"/>
    <w:rsid w:val="00D66F0C"/>
    <w:rsid w:val="00D67ADC"/>
    <w:rsid w:val="00D75FB3"/>
    <w:rsid w:val="00D85B38"/>
    <w:rsid w:val="00D90D9C"/>
    <w:rsid w:val="00D93657"/>
    <w:rsid w:val="00D963F2"/>
    <w:rsid w:val="00DA72C6"/>
    <w:rsid w:val="00DB1F26"/>
    <w:rsid w:val="00DB36FF"/>
    <w:rsid w:val="00DD2EC4"/>
    <w:rsid w:val="00DD6306"/>
    <w:rsid w:val="00DE2E40"/>
    <w:rsid w:val="00DE4564"/>
    <w:rsid w:val="00DE7498"/>
    <w:rsid w:val="00E011DF"/>
    <w:rsid w:val="00E01A29"/>
    <w:rsid w:val="00E06323"/>
    <w:rsid w:val="00E10149"/>
    <w:rsid w:val="00E10296"/>
    <w:rsid w:val="00E110EE"/>
    <w:rsid w:val="00E2061C"/>
    <w:rsid w:val="00E31B34"/>
    <w:rsid w:val="00E47DF5"/>
    <w:rsid w:val="00E509B6"/>
    <w:rsid w:val="00E54185"/>
    <w:rsid w:val="00E7365D"/>
    <w:rsid w:val="00E74BDE"/>
    <w:rsid w:val="00E80C57"/>
    <w:rsid w:val="00E84A25"/>
    <w:rsid w:val="00E85785"/>
    <w:rsid w:val="00E87729"/>
    <w:rsid w:val="00E91A7C"/>
    <w:rsid w:val="00EB7FC9"/>
    <w:rsid w:val="00EC0103"/>
    <w:rsid w:val="00EC10E2"/>
    <w:rsid w:val="00ED3584"/>
    <w:rsid w:val="00ED50A3"/>
    <w:rsid w:val="00ED5837"/>
    <w:rsid w:val="00EE7884"/>
    <w:rsid w:val="00EF521D"/>
    <w:rsid w:val="00EF789C"/>
    <w:rsid w:val="00F01256"/>
    <w:rsid w:val="00F01AFB"/>
    <w:rsid w:val="00F05754"/>
    <w:rsid w:val="00F1601D"/>
    <w:rsid w:val="00F20BEF"/>
    <w:rsid w:val="00F368C0"/>
    <w:rsid w:val="00F51A71"/>
    <w:rsid w:val="00F557C9"/>
    <w:rsid w:val="00F605D2"/>
    <w:rsid w:val="00F73120"/>
    <w:rsid w:val="00F80332"/>
    <w:rsid w:val="00F853D1"/>
    <w:rsid w:val="00F87253"/>
    <w:rsid w:val="00F9130A"/>
    <w:rsid w:val="00F918CE"/>
    <w:rsid w:val="00F92931"/>
    <w:rsid w:val="00F92FE2"/>
    <w:rsid w:val="00F95B90"/>
    <w:rsid w:val="00FA129E"/>
    <w:rsid w:val="00FA3792"/>
    <w:rsid w:val="00FA615A"/>
    <w:rsid w:val="00FB4CE3"/>
    <w:rsid w:val="00FB53AE"/>
    <w:rsid w:val="00FC604E"/>
    <w:rsid w:val="00FC6D64"/>
    <w:rsid w:val="00FC7135"/>
    <w:rsid w:val="00FD09AB"/>
    <w:rsid w:val="00FD4B5C"/>
    <w:rsid w:val="00FE2ED4"/>
    <w:rsid w:val="00FE33C6"/>
    <w:rsid w:val="00FE4340"/>
    <w:rsid w:val="00FF0747"/>
    <w:rsid w:val="00FF56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FA615A"/>
    <w:pPr>
      <w:spacing w:before="120" w:after="120"/>
    </w:pPr>
    <w:rPr>
      <w:sz w:val="22"/>
    </w:rPr>
  </w:style>
  <w:style w:type="paragraph" w:styleId="Heading1">
    <w:name w:val="heading 1"/>
    <w:basedOn w:val="Normal"/>
    <w:next w:val="base-text-paragraph"/>
    <w:link w:val="Heading1Char"/>
    <w:qFormat/>
    <w:rsid w:val="00FA615A"/>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FA615A"/>
    <w:pPr>
      <w:spacing w:before="480"/>
      <w:outlineLvl w:val="1"/>
    </w:pPr>
    <w:rPr>
      <w:caps w:val="0"/>
      <w:sz w:val="26"/>
    </w:rPr>
  </w:style>
  <w:style w:type="paragraph" w:styleId="Heading3">
    <w:name w:val="heading 3"/>
    <w:basedOn w:val="Heading2"/>
    <w:next w:val="base-text-paragraph"/>
    <w:link w:val="Heading3Char"/>
    <w:qFormat/>
    <w:rsid w:val="00FA615A"/>
    <w:pPr>
      <w:spacing w:before="240"/>
      <w:outlineLvl w:val="2"/>
    </w:pPr>
    <w:rPr>
      <w:sz w:val="22"/>
    </w:rPr>
  </w:style>
  <w:style w:type="paragraph" w:styleId="Heading4">
    <w:name w:val="heading 4"/>
    <w:basedOn w:val="Heading3"/>
    <w:next w:val="base-text-paragraph"/>
    <w:link w:val="Heading4Char"/>
    <w:qFormat/>
    <w:rsid w:val="00FA615A"/>
    <w:pPr>
      <w:spacing w:before="120"/>
      <w:ind w:left="1134"/>
      <w:outlineLvl w:val="3"/>
    </w:pPr>
    <w:rPr>
      <w:rFonts w:ascii="Times New Roman" w:hAnsi="Times New Roman"/>
      <w:i/>
    </w:rPr>
  </w:style>
  <w:style w:type="paragraph" w:styleId="Heading5">
    <w:name w:val="heading 5"/>
    <w:basedOn w:val="Heading4"/>
    <w:next w:val="Normal"/>
    <w:link w:val="Heading5Char"/>
    <w:qFormat/>
    <w:rsid w:val="00FA615A"/>
    <w:pPr>
      <w:spacing w:after="60"/>
      <w:outlineLvl w:val="4"/>
    </w:pPr>
    <w:rPr>
      <w:b w:val="0"/>
      <w:bCs/>
      <w:iCs/>
      <w:szCs w:val="26"/>
    </w:rPr>
  </w:style>
  <w:style w:type="paragraph" w:styleId="Heading6">
    <w:name w:val="heading 6"/>
    <w:basedOn w:val="Heading5"/>
    <w:next w:val="Normal"/>
    <w:link w:val="Heading6Char"/>
    <w:qFormat/>
    <w:rsid w:val="00FA615A"/>
    <w:pPr>
      <w:outlineLvl w:val="5"/>
    </w:pPr>
    <w:rPr>
      <w:bCs w:val="0"/>
      <w:i w:val="0"/>
      <w:szCs w:val="22"/>
      <w:u w:val="single"/>
    </w:rPr>
  </w:style>
  <w:style w:type="paragraph" w:styleId="Heading7">
    <w:name w:val="heading 7"/>
    <w:basedOn w:val="Normal"/>
    <w:next w:val="Normal"/>
    <w:link w:val="Heading7Char"/>
    <w:qFormat/>
    <w:rsid w:val="00FA615A"/>
    <w:pPr>
      <w:spacing w:before="240" w:after="60"/>
      <w:outlineLvl w:val="6"/>
    </w:pPr>
    <w:rPr>
      <w:sz w:val="24"/>
      <w:szCs w:val="24"/>
    </w:rPr>
  </w:style>
  <w:style w:type="paragraph" w:styleId="Heading8">
    <w:name w:val="heading 8"/>
    <w:basedOn w:val="Normal"/>
    <w:next w:val="Normal"/>
    <w:link w:val="Heading8Char"/>
    <w:qFormat/>
    <w:rsid w:val="00FA615A"/>
    <w:pPr>
      <w:spacing w:before="240" w:after="60"/>
      <w:outlineLvl w:val="7"/>
    </w:pPr>
    <w:rPr>
      <w:i/>
      <w:iCs/>
      <w:sz w:val="24"/>
      <w:szCs w:val="24"/>
    </w:rPr>
  </w:style>
  <w:style w:type="paragraph" w:styleId="Heading9">
    <w:name w:val="heading 9"/>
    <w:basedOn w:val="Normal"/>
    <w:next w:val="Normal"/>
    <w:link w:val="Heading9Char"/>
    <w:qFormat/>
    <w:rsid w:val="00FA615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FA615A"/>
    <w:pPr>
      <w:spacing w:after="0"/>
    </w:pPr>
  </w:style>
  <w:style w:type="paragraph" w:customStyle="1" w:styleId="ChapterHeading">
    <w:name w:val="Chapter Heading"/>
    <w:next w:val="Heading2"/>
    <w:rsid w:val="00FA615A"/>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FA615A"/>
    <w:pPr>
      <w:spacing w:after="360"/>
    </w:pPr>
  </w:style>
  <w:style w:type="paragraph" w:customStyle="1" w:styleId="TableHeadingoutsidetable">
    <w:name w:val="Table Heading (outside table)"/>
    <w:basedOn w:val="Heading4"/>
    <w:rsid w:val="00FA615A"/>
    <w:pPr>
      <w:numPr>
        <w:ilvl w:val="4"/>
        <w:numId w:val="30"/>
      </w:numPr>
      <w:tabs>
        <w:tab w:val="num" w:pos="360"/>
      </w:tabs>
    </w:pPr>
    <w:rPr>
      <w:i w:val="0"/>
    </w:rPr>
  </w:style>
  <w:style w:type="paragraph" w:customStyle="1" w:styleId="base-text-paragraph">
    <w:name w:val="base-text-paragraph"/>
    <w:basedOn w:val="Normal"/>
    <w:link w:val="base-text-paragraphChar"/>
    <w:rsid w:val="00FA615A"/>
    <w:pPr>
      <w:numPr>
        <w:ilvl w:val="1"/>
        <w:numId w:val="30"/>
      </w:numPr>
    </w:pPr>
  </w:style>
  <w:style w:type="paragraph" w:customStyle="1" w:styleId="base-text-paragraphnonumbers">
    <w:name w:val="base-text-paragraph no numbers"/>
    <w:basedOn w:val="Normal"/>
    <w:rsid w:val="00FA615A"/>
    <w:pPr>
      <w:ind w:left="1134"/>
    </w:pPr>
  </w:style>
  <w:style w:type="paragraph" w:customStyle="1" w:styleId="exampletext">
    <w:name w:val="example text"/>
    <w:basedOn w:val="Normal"/>
    <w:rsid w:val="00FA615A"/>
    <w:pPr>
      <w:ind w:left="1985"/>
    </w:pPr>
    <w:rPr>
      <w:sz w:val="20"/>
    </w:rPr>
  </w:style>
  <w:style w:type="paragraph" w:customStyle="1" w:styleId="ExampleHeading">
    <w:name w:val="Example Heading"/>
    <w:basedOn w:val="Normal"/>
    <w:next w:val="exampletext"/>
    <w:rsid w:val="00FA615A"/>
    <w:pPr>
      <w:keepNext/>
      <w:numPr>
        <w:ilvl w:val="3"/>
        <w:numId w:val="30"/>
      </w:numPr>
      <w:tabs>
        <w:tab w:val="num" w:pos="360"/>
      </w:tabs>
    </w:pPr>
    <w:rPr>
      <w:b/>
    </w:rPr>
  </w:style>
  <w:style w:type="paragraph" w:customStyle="1" w:styleId="Diagram">
    <w:name w:val="Diagram"/>
    <w:basedOn w:val="Normal"/>
    <w:next w:val="base-text-paragraphnonumbers"/>
    <w:rsid w:val="00FA615A"/>
    <w:pPr>
      <w:keepNext/>
      <w:numPr>
        <w:ilvl w:val="2"/>
        <w:numId w:val="30"/>
      </w:numPr>
      <w:spacing w:before="0" w:after="0"/>
    </w:pPr>
    <w:rPr>
      <w:b/>
    </w:rPr>
  </w:style>
  <w:style w:type="paragraph" w:customStyle="1" w:styleId="dotpoint">
    <w:name w:val="dot point"/>
    <w:basedOn w:val="Normal"/>
    <w:rsid w:val="00FA615A"/>
    <w:pPr>
      <w:numPr>
        <w:numId w:val="20"/>
      </w:numPr>
    </w:pPr>
  </w:style>
  <w:style w:type="paragraph" w:customStyle="1" w:styleId="dotpoint2">
    <w:name w:val="dot point 2"/>
    <w:basedOn w:val="Normal"/>
    <w:rsid w:val="00FA615A"/>
    <w:pPr>
      <w:numPr>
        <w:ilvl w:val="1"/>
        <w:numId w:val="20"/>
      </w:numPr>
    </w:pPr>
  </w:style>
  <w:style w:type="paragraph" w:customStyle="1" w:styleId="exampledotpoint1">
    <w:name w:val="example dot point 1"/>
    <w:basedOn w:val="exampletext"/>
    <w:rsid w:val="00FA615A"/>
    <w:pPr>
      <w:numPr>
        <w:numId w:val="21"/>
      </w:numPr>
    </w:pPr>
  </w:style>
  <w:style w:type="paragraph" w:customStyle="1" w:styleId="exampledotpoint2">
    <w:name w:val="example dot point 2"/>
    <w:basedOn w:val="exampletext"/>
    <w:rsid w:val="00FA615A"/>
    <w:pPr>
      <w:numPr>
        <w:ilvl w:val="1"/>
        <w:numId w:val="21"/>
      </w:numPr>
    </w:pPr>
  </w:style>
  <w:style w:type="paragraph" w:customStyle="1" w:styleId="tabletext">
    <w:name w:val="table text"/>
    <w:basedOn w:val="Normal"/>
    <w:rsid w:val="00FA615A"/>
    <w:pPr>
      <w:spacing w:before="40" w:after="40"/>
    </w:pPr>
    <w:rPr>
      <w:sz w:val="20"/>
    </w:rPr>
  </w:style>
  <w:style w:type="paragraph" w:customStyle="1" w:styleId="tabledotpoint">
    <w:name w:val="table dot point"/>
    <w:basedOn w:val="tabletext"/>
    <w:rsid w:val="00FA615A"/>
    <w:pPr>
      <w:numPr>
        <w:numId w:val="23"/>
      </w:numPr>
    </w:pPr>
  </w:style>
  <w:style w:type="paragraph" w:customStyle="1" w:styleId="tabledotpoint2">
    <w:name w:val="table dot point 2"/>
    <w:basedOn w:val="tabletext"/>
    <w:rsid w:val="00FA615A"/>
    <w:pPr>
      <w:numPr>
        <w:ilvl w:val="1"/>
        <w:numId w:val="23"/>
      </w:numPr>
    </w:pPr>
  </w:style>
  <w:style w:type="paragraph" w:customStyle="1" w:styleId="Baseparagraphcentred">
    <w:name w:val="Base paragraph centred"/>
    <w:basedOn w:val="Normal"/>
    <w:rsid w:val="00FA615A"/>
    <w:pPr>
      <w:jc w:val="center"/>
    </w:pPr>
  </w:style>
  <w:style w:type="paragraph" w:customStyle="1" w:styleId="BillName">
    <w:name w:val="Bill Name"/>
    <w:basedOn w:val="Normal"/>
    <w:next w:val="Baseparagraphcentred"/>
    <w:rsid w:val="00FA615A"/>
    <w:pPr>
      <w:pBdr>
        <w:top w:val="single" w:sz="4" w:space="12" w:color="auto"/>
        <w:bottom w:val="single" w:sz="4" w:space="12" w:color="auto"/>
      </w:pBdr>
      <w:jc w:val="center"/>
    </w:pPr>
    <w:rPr>
      <w:caps/>
    </w:rPr>
  </w:style>
  <w:style w:type="paragraph" w:customStyle="1" w:styleId="BTPwithextraspacing">
    <w:name w:val="BTP with extra spacing"/>
    <w:basedOn w:val="Normal"/>
    <w:rsid w:val="00FA615A"/>
    <w:pPr>
      <w:spacing w:before="360" w:after="360"/>
      <w:ind w:left="1134"/>
    </w:pPr>
  </w:style>
  <w:style w:type="paragraph" w:customStyle="1" w:styleId="Chapterheadingsubdocument">
    <w:name w:val="Chapter heading subdocument"/>
    <w:basedOn w:val="Normal"/>
    <w:next w:val="base-text-paragraphnonumbers"/>
    <w:rsid w:val="00FA615A"/>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FA615A"/>
    <w:pPr>
      <w:ind w:left="2268"/>
    </w:pPr>
  </w:style>
  <w:style w:type="paragraph" w:customStyle="1" w:styleId="leftfooter">
    <w:name w:val="left footer"/>
    <w:basedOn w:val="Normal"/>
    <w:rsid w:val="00FA615A"/>
    <w:pPr>
      <w:pBdr>
        <w:top w:val="single" w:sz="4" w:space="1" w:color="auto"/>
      </w:pBdr>
      <w:spacing w:before="240" w:after="0"/>
    </w:pPr>
    <w:rPr>
      <w:i/>
      <w:sz w:val="20"/>
    </w:rPr>
  </w:style>
  <w:style w:type="paragraph" w:customStyle="1" w:styleId="Hiddentext">
    <w:name w:val="Hiddentext"/>
    <w:basedOn w:val="Normal"/>
    <w:rsid w:val="00FA615A"/>
    <w:rPr>
      <w:vanish/>
    </w:rPr>
  </w:style>
  <w:style w:type="paragraph" w:customStyle="1" w:styleId="leftheader">
    <w:name w:val="left header"/>
    <w:basedOn w:val="Normal"/>
    <w:rsid w:val="00FA615A"/>
    <w:pPr>
      <w:pBdr>
        <w:bottom w:val="single" w:sz="4" w:space="1" w:color="auto"/>
      </w:pBdr>
    </w:pPr>
    <w:rPr>
      <w:i/>
      <w:sz w:val="20"/>
    </w:rPr>
  </w:style>
  <w:style w:type="character" w:customStyle="1" w:styleId="Referencingstyle">
    <w:name w:val="Referencing style"/>
    <w:basedOn w:val="DefaultParagraphFont"/>
    <w:rsid w:val="00FA615A"/>
    <w:rPr>
      <w:b/>
      <w:i/>
      <w:sz w:val="18"/>
    </w:rPr>
  </w:style>
  <w:style w:type="paragraph" w:customStyle="1" w:styleId="rightfooter">
    <w:name w:val="right footer"/>
    <w:basedOn w:val="Normal"/>
    <w:rsid w:val="00FA615A"/>
    <w:pPr>
      <w:pBdr>
        <w:top w:val="single" w:sz="4" w:space="1" w:color="auto"/>
      </w:pBdr>
      <w:spacing w:before="240" w:after="0"/>
      <w:jc w:val="right"/>
    </w:pPr>
    <w:rPr>
      <w:i/>
      <w:sz w:val="20"/>
    </w:rPr>
  </w:style>
  <w:style w:type="paragraph" w:customStyle="1" w:styleId="rightheader">
    <w:name w:val="right header"/>
    <w:basedOn w:val="Normal"/>
    <w:rsid w:val="00FA615A"/>
    <w:pPr>
      <w:pBdr>
        <w:bottom w:val="single" w:sz="4" w:space="1" w:color="auto"/>
      </w:pBdr>
      <w:jc w:val="right"/>
    </w:pPr>
    <w:rPr>
      <w:i/>
      <w:sz w:val="20"/>
    </w:rPr>
  </w:style>
  <w:style w:type="paragraph" w:customStyle="1" w:styleId="tableheaderwithintable">
    <w:name w:val="table header (within table)"/>
    <w:basedOn w:val="Heading4"/>
    <w:rsid w:val="00FA615A"/>
    <w:pPr>
      <w:spacing w:before="60" w:after="60"/>
      <w:ind w:left="0"/>
      <w:jc w:val="center"/>
    </w:pPr>
    <w:rPr>
      <w:sz w:val="20"/>
    </w:rPr>
  </w:style>
  <w:style w:type="paragraph" w:styleId="TOC1">
    <w:name w:val="toc 1"/>
    <w:basedOn w:val="Heading2"/>
    <w:next w:val="TOC2"/>
    <w:uiPriority w:val="39"/>
    <w:rsid w:val="00FA615A"/>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FA615A"/>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FA615A"/>
    <w:pPr>
      <w:tabs>
        <w:tab w:val="clear" w:pos="1701"/>
      </w:tabs>
      <w:ind w:left="0" w:firstLine="0"/>
    </w:pPr>
    <w:rPr>
      <w:noProof/>
    </w:rPr>
  </w:style>
  <w:style w:type="numbering" w:styleId="111111">
    <w:name w:val="Outline List 2"/>
    <w:basedOn w:val="NoList"/>
    <w:semiHidden/>
    <w:rsid w:val="00FA615A"/>
    <w:pPr>
      <w:numPr>
        <w:numId w:val="15"/>
      </w:numPr>
    </w:pPr>
  </w:style>
  <w:style w:type="numbering" w:styleId="1ai">
    <w:name w:val="Outline List 1"/>
    <w:basedOn w:val="NoList"/>
    <w:semiHidden/>
    <w:rsid w:val="00FA615A"/>
    <w:pPr>
      <w:numPr>
        <w:numId w:val="16"/>
      </w:numPr>
    </w:pPr>
  </w:style>
  <w:style w:type="numbering" w:styleId="ArticleSection">
    <w:name w:val="Outline List 3"/>
    <w:basedOn w:val="NoList"/>
    <w:semiHidden/>
    <w:rsid w:val="00FA615A"/>
    <w:pPr>
      <w:numPr>
        <w:numId w:val="17"/>
      </w:numPr>
    </w:pPr>
  </w:style>
  <w:style w:type="paragraph" w:styleId="BlockText">
    <w:name w:val="Block Text"/>
    <w:basedOn w:val="Normal"/>
    <w:semiHidden/>
    <w:rsid w:val="00FA615A"/>
    <w:pPr>
      <w:ind w:left="1440" w:right="1440"/>
    </w:pPr>
  </w:style>
  <w:style w:type="paragraph" w:styleId="BodyText">
    <w:name w:val="Body Text"/>
    <w:basedOn w:val="Normal"/>
    <w:semiHidden/>
    <w:rsid w:val="00FA615A"/>
  </w:style>
  <w:style w:type="paragraph" w:styleId="BodyText2">
    <w:name w:val="Body Text 2"/>
    <w:basedOn w:val="Normal"/>
    <w:semiHidden/>
    <w:rsid w:val="00FA615A"/>
    <w:pPr>
      <w:spacing w:line="480" w:lineRule="auto"/>
    </w:pPr>
  </w:style>
  <w:style w:type="paragraph" w:styleId="BodyText3">
    <w:name w:val="Body Text 3"/>
    <w:basedOn w:val="Normal"/>
    <w:semiHidden/>
    <w:rsid w:val="00FA615A"/>
    <w:rPr>
      <w:sz w:val="16"/>
      <w:szCs w:val="16"/>
    </w:rPr>
  </w:style>
  <w:style w:type="paragraph" w:styleId="BodyTextFirstIndent">
    <w:name w:val="Body Text First Indent"/>
    <w:basedOn w:val="BodyText"/>
    <w:semiHidden/>
    <w:rsid w:val="00FA615A"/>
    <w:pPr>
      <w:ind w:firstLine="210"/>
    </w:pPr>
  </w:style>
  <w:style w:type="paragraph" w:styleId="BodyTextIndent">
    <w:name w:val="Body Text Indent"/>
    <w:basedOn w:val="Normal"/>
    <w:semiHidden/>
    <w:rsid w:val="00FA615A"/>
    <w:pPr>
      <w:ind w:left="283"/>
    </w:pPr>
  </w:style>
  <w:style w:type="paragraph" w:styleId="BodyTextFirstIndent2">
    <w:name w:val="Body Text First Indent 2"/>
    <w:basedOn w:val="BodyTextIndent"/>
    <w:semiHidden/>
    <w:rsid w:val="00FA615A"/>
    <w:pPr>
      <w:ind w:firstLine="210"/>
    </w:pPr>
  </w:style>
  <w:style w:type="paragraph" w:styleId="BodyTextIndent2">
    <w:name w:val="Body Text Indent 2"/>
    <w:basedOn w:val="Normal"/>
    <w:semiHidden/>
    <w:rsid w:val="00FA615A"/>
    <w:pPr>
      <w:spacing w:line="480" w:lineRule="auto"/>
      <w:ind w:left="283"/>
    </w:pPr>
  </w:style>
  <w:style w:type="paragraph" w:styleId="BodyTextIndent3">
    <w:name w:val="Body Text Indent 3"/>
    <w:basedOn w:val="Normal"/>
    <w:semiHidden/>
    <w:rsid w:val="00FA615A"/>
    <w:pPr>
      <w:ind w:left="283"/>
    </w:pPr>
    <w:rPr>
      <w:sz w:val="16"/>
      <w:szCs w:val="16"/>
    </w:rPr>
  </w:style>
  <w:style w:type="paragraph" w:styleId="Closing">
    <w:name w:val="Closing"/>
    <w:basedOn w:val="Normal"/>
    <w:semiHidden/>
    <w:rsid w:val="00FA615A"/>
    <w:pPr>
      <w:ind w:left="4252"/>
    </w:pPr>
  </w:style>
  <w:style w:type="paragraph" w:styleId="Date">
    <w:name w:val="Date"/>
    <w:basedOn w:val="Normal"/>
    <w:next w:val="Normal"/>
    <w:semiHidden/>
    <w:rsid w:val="00FA615A"/>
  </w:style>
  <w:style w:type="paragraph" w:styleId="E-mailSignature">
    <w:name w:val="E-mail Signature"/>
    <w:basedOn w:val="Normal"/>
    <w:semiHidden/>
    <w:rsid w:val="00FA615A"/>
  </w:style>
  <w:style w:type="character" w:styleId="Emphasis">
    <w:name w:val="Emphasis"/>
    <w:basedOn w:val="DefaultParagraphFont"/>
    <w:qFormat/>
    <w:rsid w:val="00FA615A"/>
    <w:rPr>
      <w:i/>
      <w:iCs/>
    </w:rPr>
  </w:style>
  <w:style w:type="paragraph" w:styleId="EnvelopeAddress">
    <w:name w:val="envelope address"/>
    <w:basedOn w:val="Normal"/>
    <w:semiHidden/>
    <w:rsid w:val="00FA615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FA615A"/>
    <w:rPr>
      <w:rFonts w:ascii="Arial" w:hAnsi="Arial" w:cs="Arial"/>
      <w:sz w:val="20"/>
    </w:rPr>
  </w:style>
  <w:style w:type="paragraph" w:styleId="Footer">
    <w:name w:val="footer"/>
    <w:basedOn w:val="Normal"/>
    <w:link w:val="FooterChar"/>
    <w:rsid w:val="00FA615A"/>
    <w:pPr>
      <w:tabs>
        <w:tab w:val="center" w:pos="4153"/>
        <w:tab w:val="right" w:pos="8306"/>
      </w:tabs>
    </w:pPr>
  </w:style>
  <w:style w:type="paragraph" w:styleId="Header">
    <w:name w:val="header"/>
    <w:basedOn w:val="Normal"/>
    <w:link w:val="HeaderChar"/>
    <w:rsid w:val="00FA615A"/>
    <w:pPr>
      <w:tabs>
        <w:tab w:val="center" w:pos="4153"/>
        <w:tab w:val="right" w:pos="8306"/>
      </w:tabs>
    </w:pPr>
  </w:style>
  <w:style w:type="character" w:styleId="HTMLAcronym">
    <w:name w:val="HTML Acronym"/>
    <w:basedOn w:val="DefaultParagraphFont"/>
    <w:semiHidden/>
    <w:rsid w:val="00FA615A"/>
  </w:style>
  <w:style w:type="paragraph" w:styleId="HTMLAddress">
    <w:name w:val="HTML Address"/>
    <w:basedOn w:val="Normal"/>
    <w:semiHidden/>
    <w:rsid w:val="00FA615A"/>
    <w:rPr>
      <w:i/>
      <w:iCs/>
    </w:rPr>
  </w:style>
  <w:style w:type="character" w:styleId="HTMLCite">
    <w:name w:val="HTML Cite"/>
    <w:basedOn w:val="DefaultParagraphFont"/>
    <w:semiHidden/>
    <w:rsid w:val="00FA615A"/>
    <w:rPr>
      <w:i/>
      <w:iCs/>
    </w:rPr>
  </w:style>
  <w:style w:type="character" w:styleId="HTMLCode">
    <w:name w:val="HTML Code"/>
    <w:basedOn w:val="DefaultParagraphFont"/>
    <w:semiHidden/>
    <w:rsid w:val="00FA615A"/>
    <w:rPr>
      <w:rFonts w:ascii="Courier New" w:hAnsi="Courier New" w:cs="Courier New"/>
      <w:sz w:val="20"/>
      <w:szCs w:val="20"/>
    </w:rPr>
  </w:style>
  <w:style w:type="character" w:styleId="HTMLDefinition">
    <w:name w:val="HTML Definition"/>
    <w:basedOn w:val="DefaultParagraphFont"/>
    <w:semiHidden/>
    <w:rsid w:val="00FA615A"/>
    <w:rPr>
      <w:i/>
      <w:iCs/>
    </w:rPr>
  </w:style>
  <w:style w:type="character" w:styleId="HTMLKeyboard">
    <w:name w:val="HTML Keyboard"/>
    <w:basedOn w:val="DefaultParagraphFont"/>
    <w:semiHidden/>
    <w:rsid w:val="00FA615A"/>
    <w:rPr>
      <w:rFonts w:ascii="Courier New" w:hAnsi="Courier New" w:cs="Courier New"/>
      <w:sz w:val="20"/>
      <w:szCs w:val="20"/>
    </w:rPr>
  </w:style>
  <w:style w:type="paragraph" w:styleId="HTMLPreformatted">
    <w:name w:val="HTML Preformatted"/>
    <w:basedOn w:val="Normal"/>
    <w:semiHidden/>
    <w:rsid w:val="00FA615A"/>
    <w:rPr>
      <w:rFonts w:ascii="Courier New" w:hAnsi="Courier New" w:cs="Courier New"/>
      <w:sz w:val="20"/>
    </w:rPr>
  </w:style>
  <w:style w:type="character" w:styleId="HTMLSample">
    <w:name w:val="HTML Sample"/>
    <w:basedOn w:val="DefaultParagraphFont"/>
    <w:semiHidden/>
    <w:rsid w:val="00FA615A"/>
    <w:rPr>
      <w:rFonts w:ascii="Courier New" w:hAnsi="Courier New" w:cs="Courier New"/>
    </w:rPr>
  </w:style>
  <w:style w:type="character" w:styleId="HTMLTypewriter">
    <w:name w:val="HTML Typewriter"/>
    <w:basedOn w:val="DefaultParagraphFont"/>
    <w:semiHidden/>
    <w:rsid w:val="00FA615A"/>
    <w:rPr>
      <w:rFonts w:ascii="Courier New" w:hAnsi="Courier New" w:cs="Courier New"/>
      <w:sz w:val="20"/>
      <w:szCs w:val="20"/>
    </w:rPr>
  </w:style>
  <w:style w:type="character" w:styleId="HTMLVariable">
    <w:name w:val="HTML Variable"/>
    <w:basedOn w:val="DefaultParagraphFont"/>
    <w:semiHidden/>
    <w:rsid w:val="00FA615A"/>
    <w:rPr>
      <w:i/>
      <w:iCs/>
    </w:rPr>
  </w:style>
  <w:style w:type="character" w:styleId="LineNumber">
    <w:name w:val="line number"/>
    <w:basedOn w:val="DefaultParagraphFont"/>
    <w:semiHidden/>
    <w:rsid w:val="00FA615A"/>
  </w:style>
  <w:style w:type="paragraph" w:styleId="List">
    <w:name w:val="List"/>
    <w:basedOn w:val="Normal"/>
    <w:semiHidden/>
    <w:rsid w:val="00FA615A"/>
    <w:pPr>
      <w:ind w:left="283" w:hanging="283"/>
    </w:pPr>
  </w:style>
  <w:style w:type="paragraph" w:styleId="List2">
    <w:name w:val="List 2"/>
    <w:basedOn w:val="Normal"/>
    <w:semiHidden/>
    <w:rsid w:val="00FA615A"/>
    <w:pPr>
      <w:ind w:left="566" w:hanging="283"/>
    </w:pPr>
  </w:style>
  <w:style w:type="paragraph" w:styleId="List3">
    <w:name w:val="List 3"/>
    <w:basedOn w:val="Normal"/>
    <w:semiHidden/>
    <w:rsid w:val="00FA615A"/>
    <w:pPr>
      <w:ind w:left="849" w:hanging="283"/>
    </w:pPr>
  </w:style>
  <w:style w:type="paragraph" w:styleId="List4">
    <w:name w:val="List 4"/>
    <w:basedOn w:val="Normal"/>
    <w:semiHidden/>
    <w:rsid w:val="00FA615A"/>
    <w:pPr>
      <w:ind w:left="1132" w:hanging="283"/>
    </w:pPr>
  </w:style>
  <w:style w:type="paragraph" w:styleId="List5">
    <w:name w:val="List 5"/>
    <w:basedOn w:val="Normal"/>
    <w:semiHidden/>
    <w:rsid w:val="00FA615A"/>
    <w:pPr>
      <w:ind w:left="1415" w:hanging="283"/>
    </w:pPr>
  </w:style>
  <w:style w:type="paragraph" w:styleId="ListBullet">
    <w:name w:val="List Bullet"/>
    <w:basedOn w:val="Normal"/>
    <w:semiHidden/>
    <w:rsid w:val="00FA615A"/>
    <w:pPr>
      <w:numPr>
        <w:numId w:val="5"/>
      </w:numPr>
    </w:pPr>
  </w:style>
  <w:style w:type="paragraph" w:styleId="ListBullet2">
    <w:name w:val="List Bullet 2"/>
    <w:basedOn w:val="Normal"/>
    <w:semiHidden/>
    <w:rsid w:val="00FA615A"/>
    <w:pPr>
      <w:tabs>
        <w:tab w:val="num" w:pos="643"/>
      </w:tabs>
      <w:ind w:left="643" w:hanging="360"/>
    </w:pPr>
  </w:style>
  <w:style w:type="paragraph" w:styleId="ListBullet3">
    <w:name w:val="List Bullet 3"/>
    <w:basedOn w:val="Normal"/>
    <w:semiHidden/>
    <w:rsid w:val="00FA615A"/>
    <w:pPr>
      <w:tabs>
        <w:tab w:val="num" w:pos="926"/>
      </w:tabs>
      <w:ind w:left="926" w:hanging="360"/>
    </w:pPr>
  </w:style>
  <w:style w:type="paragraph" w:styleId="ListBullet4">
    <w:name w:val="List Bullet 4"/>
    <w:basedOn w:val="Normal"/>
    <w:semiHidden/>
    <w:rsid w:val="00FA615A"/>
    <w:pPr>
      <w:numPr>
        <w:numId w:val="8"/>
      </w:numPr>
    </w:pPr>
  </w:style>
  <w:style w:type="paragraph" w:styleId="ListBullet5">
    <w:name w:val="List Bullet 5"/>
    <w:basedOn w:val="Normal"/>
    <w:semiHidden/>
    <w:rsid w:val="00FA615A"/>
    <w:pPr>
      <w:numPr>
        <w:numId w:val="9"/>
      </w:numPr>
    </w:pPr>
  </w:style>
  <w:style w:type="paragraph" w:styleId="ListContinue">
    <w:name w:val="List Continue"/>
    <w:basedOn w:val="Normal"/>
    <w:semiHidden/>
    <w:rsid w:val="00FA615A"/>
    <w:pPr>
      <w:ind w:left="283"/>
    </w:pPr>
  </w:style>
  <w:style w:type="paragraph" w:styleId="ListContinue2">
    <w:name w:val="List Continue 2"/>
    <w:basedOn w:val="Normal"/>
    <w:semiHidden/>
    <w:rsid w:val="00FA615A"/>
    <w:pPr>
      <w:ind w:left="566"/>
    </w:pPr>
  </w:style>
  <w:style w:type="paragraph" w:styleId="ListContinue3">
    <w:name w:val="List Continue 3"/>
    <w:basedOn w:val="Normal"/>
    <w:semiHidden/>
    <w:rsid w:val="00FA615A"/>
    <w:pPr>
      <w:ind w:left="849"/>
    </w:pPr>
  </w:style>
  <w:style w:type="paragraph" w:styleId="ListContinue4">
    <w:name w:val="List Continue 4"/>
    <w:basedOn w:val="Normal"/>
    <w:semiHidden/>
    <w:rsid w:val="00FA615A"/>
    <w:pPr>
      <w:ind w:left="1132"/>
    </w:pPr>
  </w:style>
  <w:style w:type="paragraph" w:styleId="ListContinue5">
    <w:name w:val="List Continue 5"/>
    <w:basedOn w:val="Normal"/>
    <w:semiHidden/>
    <w:rsid w:val="00FA615A"/>
    <w:pPr>
      <w:ind w:left="1415"/>
    </w:pPr>
  </w:style>
  <w:style w:type="paragraph" w:styleId="ListNumber">
    <w:name w:val="List Number"/>
    <w:basedOn w:val="Normal"/>
    <w:semiHidden/>
    <w:rsid w:val="00FA615A"/>
    <w:pPr>
      <w:numPr>
        <w:numId w:val="10"/>
      </w:numPr>
    </w:pPr>
  </w:style>
  <w:style w:type="paragraph" w:styleId="ListNumber2">
    <w:name w:val="List Number 2"/>
    <w:basedOn w:val="Normal"/>
    <w:semiHidden/>
    <w:rsid w:val="00FA615A"/>
    <w:pPr>
      <w:numPr>
        <w:numId w:val="11"/>
      </w:numPr>
    </w:pPr>
  </w:style>
  <w:style w:type="paragraph" w:styleId="ListNumber3">
    <w:name w:val="List Number 3"/>
    <w:basedOn w:val="Normal"/>
    <w:semiHidden/>
    <w:rsid w:val="00FA615A"/>
    <w:pPr>
      <w:numPr>
        <w:numId w:val="12"/>
      </w:numPr>
    </w:pPr>
  </w:style>
  <w:style w:type="paragraph" w:styleId="ListNumber4">
    <w:name w:val="List Number 4"/>
    <w:basedOn w:val="Normal"/>
    <w:semiHidden/>
    <w:rsid w:val="00FA615A"/>
    <w:pPr>
      <w:numPr>
        <w:numId w:val="13"/>
      </w:numPr>
    </w:pPr>
  </w:style>
  <w:style w:type="paragraph" w:styleId="ListNumber5">
    <w:name w:val="List Number 5"/>
    <w:basedOn w:val="Normal"/>
    <w:semiHidden/>
    <w:rsid w:val="00FA615A"/>
    <w:pPr>
      <w:numPr>
        <w:numId w:val="14"/>
      </w:numPr>
    </w:pPr>
  </w:style>
  <w:style w:type="paragraph" w:styleId="MessageHeader">
    <w:name w:val="Message Header"/>
    <w:basedOn w:val="Normal"/>
    <w:semiHidden/>
    <w:rsid w:val="00FA615A"/>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rsid w:val="00FA615A"/>
    <w:rPr>
      <w:sz w:val="24"/>
      <w:szCs w:val="24"/>
    </w:rPr>
  </w:style>
  <w:style w:type="paragraph" w:styleId="NormalIndent">
    <w:name w:val="Normal Indent"/>
    <w:basedOn w:val="Normal"/>
    <w:rsid w:val="00FA615A"/>
    <w:pPr>
      <w:ind w:left="720"/>
    </w:pPr>
  </w:style>
  <w:style w:type="paragraph" w:styleId="NoteHeading">
    <w:name w:val="Note Heading"/>
    <w:basedOn w:val="Normal"/>
    <w:next w:val="Normal"/>
    <w:semiHidden/>
    <w:rsid w:val="00FA615A"/>
  </w:style>
  <w:style w:type="character" w:styleId="PageNumber">
    <w:name w:val="page number"/>
    <w:basedOn w:val="DefaultParagraphFont"/>
    <w:rsid w:val="00FA615A"/>
  </w:style>
  <w:style w:type="paragraph" w:styleId="PlainText">
    <w:name w:val="Plain Text"/>
    <w:basedOn w:val="Normal"/>
    <w:semiHidden/>
    <w:rsid w:val="00FA615A"/>
    <w:rPr>
      <w:rFonts w:ascii="Courier New" w:hAnsi="Courier New" w:cs="Courier New"/>
      <w:sz w:val="20"/>
    </w:rPr>
  </w:style>
  <w:style w:type="paragraph" w:styleId="Salutation">
    <w:name w:val="Salutation"/>
    <w:basedOn w:val="Normal"/>
    <w:next w:val="Normal"/>
    <w:semiHidden/>
    <w:rsid w:val="00FA615A"/>
  </w:style>
  <w:style w:type="paragraph" w:styleId="Signature">
    <w:name w:val="Signature"/>
    <w:basedOn w:val="Normal"/>
    <w:semiHidden/>
    <w:rsid w:val="00FA615A"/>
    <w:pPr>
      <w:ind w:left="4252"/>
    </w:pPr>
  </w:style>
  <w:style w:type="character" w:styleId="Strong">
    <w:name w:val="Strong"/>
    <w:basedOn w:val="DefaultParagraphFont"/>
    <w:qFormat/>
    <w:rsid w:val="00FA615A"/>
    <w:rPr>
      <w:b/>
      <w:bCs/>
    </w:rPr>
  </w:style>
  <w:style w:type="paragraph" w:styleId="Subtitle">
    <w:name w:val="Subtitle"/>
    <w:basedOn w:val="Normal"/>
    <w:qFormat/>
    <w:rsid w:val="00FA615A"/>
    <w:pPr>
      <w:spacing w:after="60"/>
      <w:jc w:val="center"/>
      <w:outlineLvl w:val="1"/>
    </w:pPr>
    <w:rPr>
      <w:rFonts w:ascii="Arial" w:hAnsi="Arial" w:cs="Arial"/>
      <w:sz w:val="24"/>
      <w:szCs w:val="24"/>
    </w:rPr>
  </w:style>
  <w:style w:type="table" w:styleId="Table3Deffects1">
    <w:name w:val="Table 3D effects 1"/>
    <w:basedOn w:val="TableNormal"/>
    <w:semiHidden/>
    <w:rsid w:val="00FA615A"/>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A615A"/>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A615A"/>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A615A"/>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A615A"/>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A615A"/>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A615A"/>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A615A"/>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A615A"/>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A615A"/>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A615A"/>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A615A"/>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A615A"/>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A615A"/>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A615A"/>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A615A"/>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A615A"/>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A615A"/>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FA615A"/>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A615A"/>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A615A"/>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A615A"/>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A615A"/>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A615A"/>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A615A"/>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A615A"/>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A615A"/>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A615A"/>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A615A"/>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A615A"/>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A615A"/>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A615A"/>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A615A"/>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A615A"/>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A615A"/>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A615A"/>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A615A"/>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A615A"/>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A615A"/>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A615A"/>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A615A"/>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A615A"/>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A615A"/>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A615A"/>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A615A"/>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FA615A"/>
    <w:rPr>
      <w:b/>
    </w:rPr>
  </w:style>
  <w:style w:type="character" w:customStyle="1" w:styleId="Italic">
    <w:name w:val="Italic"/>
    <w:basedOn w:val="DefaultParagraphFont"/>
    <w:rsid w:val="00FA615A"/>
    <w:rPr>
      <w:i/>
    </w:rPr>
  </w:style>
  <w:style w:type="character" w:customStyle="1" w:styleId="BoldItalic">
    <w:name w:val="BoldItalic"/>
    <w:basedOn w:val="DefaultParagraphFont"/>
    <w:rsid w:val="00FA615A"/>
    <w:rPr>
      <w:b/>
      <w:i/>
    </w:rPr>
  </w:style>
  <w:style w:type="paragraph" w:customStyle="1" w:styleId="Glossarytabletext">
    <w:name w:val="Glossary table text"/>
    <w:basedOn w:val="Normal"/>
    <w:rsid w:val="00FA615A"/>
    <w:pPr>
      <w:spacing w:before="60" w:after="60"/>
    </w:pPr>
    <w:rPr>
      <w:sz w:val="20"/>
    </w:rPr>
  </w:style>
  <w:style w:type="character" w:customStyle="1" w:styleId="base-text-paragraphChar">
    <w:name w:val="base-text-paragraph Char"/>
    <w:basedOn w:val="DefaultParagraphFont"/>
    <w:link w:val="base-text-paragraph"/>
    <w:rsid w:val="00FA615A"/>
    <w:rPr>
      <w:sz w:val="22"/>
    </w:rPr>
  </w:style>
  <w:style w:type="paragraph" w:styleId="FootnoteText">
    <w:name w:val="footnote text"/>
    <w:basedOn w:val="Normal"/>
    <w:link w:val="FootnoteTextChar"/>
    <w:rsid w:val="0012468C"/>
    <w:pPr>
      <w:tabs>
        <w:tab w:val="left" w:pos="284"/>
      </w:tabs>
      <w:spacing w:before="0" w:after="0"/>
      <w:ind w:left="284" w:hanging="284"/>
    </w:pPr>
    <w:rPr>
      <w:sz w:val="20"/>
    </w:rPr>
  </w:style>
  <w:style w:type="numbering" w:customStyle="1" w:styleId="ChapterList">
    <w:name w:val="ChapterList"/>
    <w:uiPriority w:val="99"/>
    <w:rsid w:val="00FA615A"/>
    <w:pPr>
      <w:numPr>
        <w:numId w:val="19"/>
      </w:numPr>
    </w:pPr>
  </w:style>
  <w:style w:type="paragraph" w:styleId="ListParagraph">
    <w:name w:val="List Paragraph"/>
    <w:basedOn w:val="Normal"/>
    <w:uiPriority w:val="34"/>
    <w:qFormat/>
    <w:rsid w:val="00FA615A"/>
    <w:pPr>
      <w:ind w:left="720"/>
      <w:contextualSpacing/>
    </w:pPr>
  </w:style>
  <w:style w:type="numbering" w:customStyle="1" w:styleId="DotPointList">
    <w:name w:val="Dot Point List"/>
    <w:uiPriority w:val="99"/>
    <w:rsid w:val="00FA615A"/>
    <w:pPr>
      <w:numPr>
        <w:numId w:val="20"/>
      </w:numPr>
    </w:pPr>
  </w:style>
  <w:style w:type="numbering" w:customStyle="1" w:styleId="ExampleDotPointList">
    <w:name w:val="Example Dot Point List"/>
    <w:uiPriority w:val="99"/>
    <w:rsid w:val="00FA615A"/>
    <w:pPr>
      <w:numPr>
        <w:numId w:val="21"/>
      </w:numPr>
    </w:pPr>
  </w:style>
  <w:style w:type="numbering" w:customStyle="1" w:styleId="TableDotPointList">
    <w:name w:val="Table Dot Point List"/>
    <w:uiPriority w:val="99"/>
    <w:rsid w:val="00FA615A"/>
    <w:pPr>
      <w:numPr>
        <w:numId w:val="22"/>
      </w:numPr>
    </w:pPr>
  </w:style>
  <w:style w:type="character" w:customStyle="1" w:styleId="Font30point">
    <w:name w:val="Font 30 point"/>
    <w:basedOn w:val="DefaultParagraphFont"/>
    <w:rsid w:val="00FA615A"/>
    <w:rPr>
      <w:sz w:val="60"/>
    </w:rPr>
  </w:style>
  <w:style w:type="character" w:customStyle="1" w:styleId="Font15point">
    <w:name w:val="Font 15 point"/>
    <w:basedOn w:val="DefaultParagraphFont"/>
    <w:rsid w:val="00FA615A"/>
    <w:rPr>
      <w:sz w:val="30"/>
    </w:rPr>
  </w:style>
  <w:style w:type="character" w:customStyle="1" w:styleId="Font19point">
    <w:name w:val="Font 19 point"/>
    <w:basedOn w:val="DefaultParagraphFont"/>
    <w:rsid w:val="00FA615A"/>
    <w:rPr>
      <w:sz w:val="38"/>
    </w:rPr>
  </w:style>
  <w:style w:type="paragraph" w:customStyle="1" w:styleId="NumberedParagraphs">
    <w:name w:val="NumberedParagraphs"/>
    <w:basedOn w:val="Normal"/>
    <w:link w:val="NumberedParagraphsCharChar"/>
    <w:rsid w:val="006A159E"/>
    <w:pPr>
      <w:tabs>
        <w:tab w:val="num" w:pos="709"/>
      </w:tabs>
      <w:spacing w:before="0" w:after="240" w:line="260" w:lineRule="exact"/>
    </w:pPr>
    <w:rPr>
      <w:color w:val="000000"/>
      <w:sz w:val="24"/>
      <w:szCs w:val="24"/>
    </w:rPr>
  </w:style>
  <w:style w:type="character" w:customStyle="1" w:styleId="NumberedParagraphsCharChar">
    <w:name w:val="NumberedParagraphs Char Char"/>
    <w:basedOn w:val="DefaultParagraphFont"/>
    <w:link w:val="NumberedParagraphs"/>
    <w:rsid w:val="006A159E"/>
    <w:rPr>
      <w:color w:val="000000"/>
      <w:sz w:val="24"/>
      <w:szCs w:val="24"/>
    </w:rPr>
  </w:style>
  <w:style w:type="paragraph" w:customStyle="1" w:styleId="Bullet">
    <w:name w:val="Bullet"/>
    <w:basedOn w:val="Normal"/>
    <w:rsid w:val="006A159E"/>
    <w:pPr>
      <w:numPr>
        <w:numId w:val="31"/>
      </w:numPr>
      <w:spacing w:before="0" w:after="240" w:line="260" w:lineRule="exact"/>
      <w:jc w:val="both"/>
    </w:pPr>
    <w:rPr>
      <w:color w:val="000000"/>
      <w:sz w:val="24"/>
      <w:szCs w:val="24"/>
    </w:rPr>
  </w:style>
  <w:style w:type="paragraph" w:customStyle="1" w:styleId="DoubleDot">
    <w:name w:val="Double Dot"/>
    <w:basedOn w:val="Normal"/>
    <w:rsid w:val="006A159E"/>
    <w:pPr>
      <w:numPr>
        <w:ilvl w:val="2"/>
        <w:numId w:val="31"/>
      </w:numPr>
      <w:spacing w:before="0" w:after="240" w:line="260" w:lineRule="exact"/>
      <w:jc w:val="both"/>
    </w:pPr>
    <w:rPr>
      <w:color w:val="000000"/>
      <w:sz w:val="24"/>
      <w:szCs w:val="24"/>
    </w:rPr>
  </w:style>
  <w:style w:type="paragraph" w:customStyle="1" w:styleId="Dash">
    <w:name w:val="Dash"/>
    <w:basedOn w:val="Normal"/>
    <w:rsid w:val="006A159E"/>
    <w:pPr>
      <w:widowControl w:val="0"/>
      <w:numPr>
        <w:ilvl w:val="1"/>
        <w:numId w:val="31"/>
      </w:numPr>
      <w:autoSpaceDE w:val="0"/>
      <w:autoSpaceDN w:val="0"/>
      <w:spacing w:before="0" w:after="0"/>
    </w:pPr>
    <w:rPr>
      <w:rFonts w:ascii="Univers" w:hAnsi="Univers" w:cs="Univers"/>
      <w:sz w:val="24"/>
      <w:szCs w:val="24"/>
    </w:rPr>
  </w:style>
  <w:style w:type="character" w:customStyle="1" w:styleId="Heading3Char">
    <w:name w:val="Heading 3 Char"/>
    <w:basedOn w:val="DefaultParagraphFont"/>
    <w:link w:val="Heading3"/>
    <w:rsid w:val="006A159E"/>
    <w:rPr>
      <w:rFonts w:ascii="Helvetica" w:hAnsi="Helvetica"/>
      <w:b/>
      <w:sz w:val="22"/>
    </w:rPr>
  </w:style>
  <w:style w:type="character" w:customStyle="1" w:styleId="Heading1Char">
    <w:name w:val="Heading 1 Char"/>
    <w:basedOn w:val="DefaultParagraphFont"/>
    <w:link w:val="Heading1"/>
    <w:rsid w:val="006A159E"/>
    <w:rPr>
      <w:rFonts w:ascii="Helvetica" w:hAnsi="Helvetica"/>
      <w:b/>
      <w:caps/>
      <w:sz w:val="28"/>
    </w:rPr>
  </w:style>
  <w:style w:type="character" w:customStyle="1" w:styleId="Heading2Char">
    <w:name w:val="Heading 2 Char"/>
    <w:basedOn w:val="DefaultParagraphFont"/>
    <w:link w:val="Heading2"/>
    <w:rsid w:val="006A159E"/>
    <w:rPr>
      <w:rFonts w:ascii="Helvetica" w:hAnsi="Helvetica"/>
      <w:b/>
      <w:sz w:val="26"/>
    </w:rPr>
  </w:style>
  <w:style w:type="character" w:customStyle="1" w:styleId="Heading4Char">
    <w:name w:val="Heading 4 Char"/>
    <w:basedOn w:val="DefaultParagraphFont"/>
    <w:link w:val="Heading4"/>
    <w:rsid w:val="006A159E"/>
    <w:rPr>
      <w:b/>
      <w:i/>
      <w:sz w:val="22"/>
    </w:rPr>
  </w:style>
  <w:style w:type="character" w:customStyle="1" w:styleId="Heading5Char">
    <w:name w:val="Heading 5 Char"/>
    <w:basedOn w:val="DefaultParagraphFont"/>
    <w:link w:val="Heading5"/>
    <w:rsid w:val="006A159E"/>
    <w:rPr>
      <w:bCs/>
      <w:i/>
      <w:iCs/>
      <w:sz w:val="22"/>
      <w:szCs w:val="26"/>
    </w:rPr>
  </w:style>
  <w:style w:type="character" w:customStyle="1" w:styleId="Heading6Char">
    <w:name w:val="Heading 6 Char"/>
    <w:basedOn w:val="DefaultParagraphFont"/>
    <w:link w:val="Heading6"/>
    <w:rsid w:val="006A159E"/>
    <w:rPr>
      <w:iCs/>
      <w:sz w:val="22"/>
      <w:szCs w:val="22"/>
      <w:u w:val="single"/>
    </w:rPr>
  </w:style>
  <w:style w:type="character" w:customStyle="1" w:styleId="Heading7Char">
    <w:name w:val="Heading 7 Char"/>
    <w:basedOn w:val="DefaultParagraphFont"/>
    <w:link w:val="Heading7"/>
    <w:rsid w:val="006A159E"/>
    <w:rPr>
      <w:sz w:val="24"/>
      <w:szCs w:val="24"/>
    </w:rPr>
  </w:style>
  <w:style w:type="character" w:customStyle="1" w:styleId="Heading8Char">
    <w:name w:val="Heading 8 Char"/>
    <w:basedOn w:val="DefaultParagraphFont"/>
    <w:link w:val="Heading8"/>
    <w:rsid w:val="006A159E"/>
    <w:rPr>
      <w:i/>
      <w:iCs/>
      <w:sz w:val="24"/>
      <w:szCs w:val="24"/>
    </w:rPr>
  </w:style>
  <w:style w:type="character" w:customStyle="1" w:styleId="Heading9Char">
    <w:name w:val="Heading 9 Char"/>
    <w:basedOn w:val="DefaultParagraphFont"/>
    <w:link w:val="Heading9"/>
    <w:rsid w:val="006A159E"/>
    <w:rPr>
      <w:rFonts w:ascii="Arial" w:hAnsi="Arial" w:cs="Arial"/>
      <w:sz w:val="22"/>
      <w:szCs w:val="22"/>
    </w:rPr>
  </w:style>
  <w:style w:type="paragraph" w:customStyle="1" w:styleId="HeadingBase">
    <w:name w:val="Heading Base"/>
    <w:next w:val="Normal"/>
    <w:link w:val="HeadingBaseChar"/>
    <w:rsid w:val="006A159E"/>
    <w:pPr>
      <w:keepNext/>
    </w:pPr>
    <w:rPr>
      <w:rFonts w:ascii="Arial" w:hAnsi="Arial"/>
      <w:color w:val="000000"/>
    </w:rPr>
  </w:style>
  <w:style w:type="character" w:customStyle="1" w:styleId="HeadingBaseChar">
    <w:name w:val="Heading Base Char"/>
    <w:basedOn w:val="DefaultParagraphFont"/>
    <w:link w:val="HeadingBase"/>
    <w:rsid w:val="006A159E"/>
    <w:rPr>
      <w:rFonts w:ascii="Arial" w:hAnsi="Arial"/>
      <w:color w:val="000000"/>
    </w:rPr>
  </w:style>
  <w:style w:type="character" w:styleId="Hyperlink">
    <w:name w:val="Hyperlink"/>
    <w:basedOn w:val="DefaultParagraphFont"/>
    <w:uiPriority w:val="99"/>
    <w:rsid w:val="006A159E"/>
    <w:rPr>
      <w:color w:val="auto"/>
      <w:u w:val="none"/>
    </w:rPr>
  </w:style>
  <w:style w:type="character" w:customStyle="1" w:styleId="BoldandItalic">
    <w:name w:val="Bold and Italic"/>
    <w:basedOn w:val="DefaultParagraphFont"/>
    <w:rsid w:val="006A159E"/>
    <w:rPr>
      <w:rFonts w:ascii="Arial" w:hAnsi="Arial"/>
      <w:b/>
      <w:i/>
    </w:rPr>
  </w:style>
  <w:style w:type="paragraph" w:customStyle="1" w:styleId="Heading1NoTOC">
    <w:name w:val="Heading 1 No TOC"/>
    <w:basedOn w:val="Heading1"/>
    <w:next w:val="NumberedParagraphs"/>
    <w:rsid w:val="006A159E"/>
    <w:pPr>
      <w:spacing w:before="360" w:after="240"/>
    </w:pPr>
    <w:rPr>
      <w:rFonts w:ascii="Arial Bold" w:hAnsi="Arial Bold" w:cs="Arial"/>
      <w:bCs/>
      <w:caps w:val="0"/>
      <w:color w:val="000000"/>
      <w:kern w:val="32"/>
      <w:sz w:val="32"/>
      <w:szCs w:val="32"/>
    </w:rPr>
  </w:style>
  <w:style w:type="character" w:customStyle="1" w:styleId="FootnoteTextChar">
    <w:name w:val="Footnote Text Char"/>
    <w:basedOn w:val="DefaultParagraphFont"/>
    <w:link w:val="FootnoteText"/>
    <w:rsid w:val="0012468C"/>
  </w:style>
  <w:style w:type="paragraph" w:customStyle="1" w:styleId="DashChar">
    <w:name w:val="Dash Char"/>
    <w:basedOn w:val="Normal"/>
    <w:link w:val="DashCharChar"/>
    <w:rsid w:val="006A159E"/>
    <w:pPr>
      <w:tabs>
        <w:tab w:val="num" w:pos="2551"/>
      </w:tabs>
      <w:spacing w:before="0" w:after="240" w:line="260" w:lineRule="exact"/>
      <w:ind w:left="2551" w:hanging="283"/>
      <w:jc w:val="both"/>
    </w:pPr>
    <w:rPr>
      <w:color w:val="000000"/>
      <w:sz w:val="24"/>
      <w:szCs w:val="24"/>
    </w:rPr>
  </w:style>
  <w:style w:type="character" w:customStyle="1" w:styleId="DashCharChar">
    <w:name w:val="Dash Char Char"/>
    <w:basedOn w:val="DefaultParagraphFont"/>
    <w:link w:val="DashChar"/>
    <w:rsid w:val="006A159E"/>
    <w:rPr>
      <w:color w:val="000000"/>
      <w:sz w:val="24"/>
      <w:szCs w:val="24"/>
    </w:rPr>
  </w:style>
  <w:style w:type="paragraph" w:customStyle="1" w:styleId="OutlineNumbered1">
    <w:name w:val="Outline Numbered 1"/>
    <w:basedOn w:val="Normal"/>
    <w:rsid w:val="006A159E"/>
    <w:pPr>
      <w:spacing w:before="0" w:after="240" w:line="260" w:lineRule="exact"/>
      <w:jc w:val="both"/>
    </w:pPr>
    <w:rPr>
      <w:color w:val="000000"/>
      <w:sz w:val="24"/>
      <w:szCs w:val="24"/>
    </w:rPr>
  </w:style>
  <w:style w:type="paragraph" w:customStyle="1" w:styleId="OutlineNumbered2">
    <w:name w:val="Outline Numbered 2"/>
    <w:basedOn w:val="Normal"/>
    <w:rsid w:val="006A159E"/>
    <w:pPr>
      <w:spacing w:before="0" w:after="240" w:line="260" w:lineRule="exact"/>
      <w:jc w:val="both"/>
    </w:pPr>
    <w:rPr>
      <w:color w:val="000000"/>
      <w:sz w:val="24"/>
      <w:szCs w:val="24"/>
    </w:rPr>
  </w:style>
  <w:style w:type="paragraph" w:customStyle="1" w:styleId="OutlineNumbered3">
    <w:name w:val="Outline Numbered 3"/>
    <w:basedOn w:val="Normal"/>
    <w:rsid w:val="006A159E"/>
    <w:pPr>
      <w:tabs>
        <w:tab w:val="num" w:pos="360"/>
      </w:tabs>
      <w:spacing w:before="0" w:after="240" w:line="260" w:lineRule="exact"/>
      <w:ind w:left="360" w:hanging="360"/>
      <w:jc w:val="both"/>
    </w:pPr>
    <w:rPr>
      <w:color w:val="000000"/>
      <w:sz w:val="24"/>
      <w:szCs w:val="24"/>
    </w:rPr>
  </w:style>
  <w:style w:type="paragraph" w:customStyle="1" w:styleId="AlphaParagraph">
    <w:name w:val="Alpha Paragraph"/>
    <w:basedOn w:val="Normal"/>
    <w:link w:val="AlphaParagraphChar"/>
    <w:rsid w:val="006A159E"/>
    <w:pPr>
      <w:tabs>
        <w:tab w:val="num" w:pos="283"/>
      </w:tabs>
      <w:spacing w:before="0" w:after="240" w:line="260" w:lineRule="exact"/>
      <w:ind w:left="283" w:hanging="283"/>
      <w:jc w:val="both"/>
    </w:pPr>
    <w:rPr>
      <w:color w:val="000000"/>
      <w:sz w:val="24"/>
      <w:szCs w:val="24"/>
    </w:rPr>
  </w:style>
  <w:style w:type="character" w:customStyle="1" w:styleId="AlphaParagraphChar">
    <w:name w:val="Alpha Paragraph Char"/>
    <w:basedOn w:val="DefaultParagraphFont"/>
    <w:link w:val="AlphaParagraph"/>
    <w:rsid w:val="006A159E"/>
    <w:rPr>
      <w:color w:val="000000"/>
      <w:sz w:val="24"/>
      <w:szCs w:val="24"/>
    </w:rPr>
  </w:style>
  <w:style w:type="paragraph" w:customStyle="1" w:styleId="ChapterNo">
    <w:name w:val="Chapter No"/>
    <w:basedOn w:val="HeadingBase"/>
    <w:rsid w:val="006A159E"/>
    <w:pPr>
      <w:spacing w:before="120" w:after="240"/>
      <w:jc w:val="center"/>
    </w:pPr>
    <w:rPr>
      <w:rFonts w:ascii="Arial Bold" w:hAnsi="Arial Bold"/>
      <w:b/>
      <w:color w:val="FFFFFF"/>
      <w:sz w:val="48"/>
      <w:szCs w:val="48"/>
    </w:rPr>
  </w:style>
  <w:style w:type="paragraph" w:customStyle="1" w:styleId="Classification">
    <w:name w:val="Classification"/>
    <w:basedOn w:val="HeadingBase"/>
    <w:next w:val="Footer"/>
    <w:rsid w:val="006A159E"/>
    <w:pPr>
      <w:spacing w:after="120"/>
      <w:jc w:val="center"/>
    </w:pPr>
    <w:rPr>
      <w:b/>
      <w:smallCaps/>
    </w:rPr>
  </w:style>
  <w:style w:type="character" w:customStyle="1" w:styleId="FooterChar">
    <w:name w:val="Footer Char"/>
    <w:basedOn w:val="DefaultParagraphFont"/>
    <w:link w:val="Footer"/>
    <w:rsid w:val="006A159E"/>
    <w:rPr>
      <w:sz w:val="22"/>
    </w:rPr>
  </w:style>
  <w:style w:type="paragraph" w:customStyle="1" w:styleId="ContentsHeading">
    <w:name w:val="Contents Heading"/>
    <w:basedOn w:val="HeadingBase"/>
    <w:next w:val="Normal"/>
    <w:rsid w:val="006A159E"/>
    <w:pPr>
      <w:jc w:val="center"/>
    </w:pPr>
    <w:rPr>
      <w:b/>
      <w:sz w:val="28"/>
      <w:szCs w:val="28"/>
    </w:rPr>
  </w:style>
  <w:style w:type="paragraph" w:customStyle="1" w:styleId="TitleText">
    <w:name w:val="Title Text"/>
    <w:basedOn w:val="Normal"/>
    <w:rsid w:val="006A159E"/>
    <w:pPr>
      <w:spacing w:before="0" w:after="0"/>
      <w:jc w:val="center"/>
    </w:pPr>
    <w:rPr>
      <w:caps/>
      <w:color w:val="000000"/>
      <w:sz w:val="24"/>
      <w:szCs w:val="24"/>
    </w:rPr>
  </w:style>
  <w:style w:type="paragraph" w:customStyle="1" w:styleId="HeaderNone">
    <w:name w:val="HeaderNone"/>
    <w:basedOn w:val="Header"/>
    <w:rsid w:val="006A159E"/>
    <w:pPr>
      <w:tabs>
        <w:tab w:val="clear" w:pos="4153"/>
        <w:tab w:val="clear" w:pos="8306"/>
      </w:tabs>
      <w:spacing w:before="0" w:after="240" w:line="260" w:lineRule="exact"/>
      <w:jc w:val="both"/>
    </w:pPr>
    <w:rPr>
      <w:b/>
      <w:color w:val="000000"/>
      <w:szCs w:val="22"/>
    </w:rPr>
  </w:style>
  <w:style w:type="character" w:customStyle="1" w:styleId="HeaderChar">
    <w:name w:val="Header Char"/>
    <w:basedOn w:val="DefaultParagraphFont"/>
    <w:link w:val="Header"/>
    <w:rsid w:val="006A159E"/>
    <w:rPr>
      <w:sz w:val="22"/>
    </w:rPr>
  </w:style>
  <w:style w:type="paragraph" w:customStyle="1" w:styleId="FooterEven">
    <w:name w:val="Footer Even"/>
    <w:basedOn w:val="Footer"/>
    <w:rsid w:val="006A159E"/>
    <w:pPr>
      <w:pBdr>
        <w:top w:val="single" w:sz="4" w:space="1" w:color="auto"/>
      </w:pBdr>
      <w:tabs>
        <w:tab w:val="clear" w:pos="4153"/>
        <w:tab w:val="clear" w:pos="8306"/>
        <w:tab w:val="left" w:pos="709"/>
      </w:tabs>
      <w:spacing w:before="0" w:after="240" w:line="260" w:lineRule="exact"/>
      <w:jc w:val="both"/>
    </w:pPr>
    <w:rPr>
      <w:i/>
      <w:color w:val="000000"/>
      <w:szCs w:val="22"/>
    </w:rPr>
  </w:style>
  <w:style w:type="paragraph" w:customStyle="1" w:styleId="FooterOdd">
    <w:name w:val="Footer Odd"/>
    <w:basedOn w:val="Footer"/>
    <w:rsid w:val="006A159E"/>
    <w:pPr>
      <w:pBdr>
        <w:top w:val="single" w:sz="4" w:space="1" w:color="auto"/>
      </w:pBdr>
      <w:tabs>
        <w:tab w:val="clear" w:pos="4153"/>
        <w:tab w:val="clear" w:pos="8306"/>
        <w:tab w:val="right" w:pos="6946"/>
        <w:tab w:val="right" w:pos="7655"/>
      </w:tabs>
      <w:spacing w:before="0" w:after="240" w:line="260" w:lineRule="exact"/>
      <w:jc w:val="right"/>
    </w:pPr>
    <w:rPr>
      <w:i/>
      <w:color w:val="000000"/>
      <w:szCs w:val="22"/>
    </w:rPr>
  </w:style>
  <w:style w:type="character" w:customStyle="1" w:styleId="FramedFooter">
    <w:name w:val="Framed Footer"/>
    <w:rsid w:val="006A159E"/>
    <w:rPr>
      <w:rFonts w:ascii="Arial" w:hAnsi="Arial"/>
      <w:sz w:val="18"/>
    </w:rPr>
  </w:style>
  <w:style w:type="character" w:customStyle="1" w:styleId="FramedHeader">
    <w:name w:val="Framed Header"/>
    <w:basedOn w:val="DefaultParagraphFont"/>
    <w:rsid w:val="006A159E"/>
    <w:rPr>
      <w:rFonts w:ascii="Arial" w:hAnsi="Arial"/>
      <w:dstrike w:val="0"/>
      <w:color w:val="auto"/>
      <w:sz w:val="18"/>
      <w:vertAlign w:val="baseline"/>
    </w:rPr>
  </w:style>
  <w:style w:type="paragraph" w:customStyle="1" w:styleId="HeaderEven">
    <w:name w:val="Header Even"/>
    <w:basedOn w:val="Header"/>
    <w:rsid w:val="006A159E"/>
    <w:pPr>
      <w:pBdr>
        <w:bottom w:val="single" w:sz="4" w:space="1" w:color="auto"/>
      </w:pBdr>
      <w:tabs>
        <w:tab w:val="clear" w:pos="4153"/>
        <w:tab w:val="clear" w:pos="8306"/>
      </w:tabs>
      <w:spacing w:before="0" w:after="240" w:line="260" w:lineRule="exact"/>
      <w:jc w:val="both"/>
    </w:pPr>
    <w:rPr>
      <w:b/>
      <w:color w:val="000000"/>
      <w:szCs w:val="22"/>
    </w:rPr>
  </w:style>
  <w:style w:type="paragraph" w:customStyle="1" w:styleId="HeaderOdd">
    <w:name w:val="Header Odd"/>
    <w:basedOn w:val="Header"/>
    <w:rsid w:val="006A159E"/>
    <w:pPr>
      <w:pBdr>
        <w:bottom w:val="single" w:sz="4" w:space="1" w:color="auto"/>
      </w:pBdr>
      <w:tabs>
        <w:tab w:val="clear" w:pos="4153"/>
        <w:tab w:val="clear" w:pos="8306"/>
      </w:tabs>
      <w:spacing w:before="0" w:after="240" w:line="260" w:lineRule="exact"/>
      <w:jc w:val="right"/>
    </w:pPr>
    <w:rPr>
      <w:b/>
      <w:color w:val="000000"/>
      <w:szCs w:val="22"/>
    </w:rPr>
  </w:style>
  <w:style w:type="paragraph" w:styleId="TOC3">
    <w:name w:val="toc 3"/>
    <w:basedOn w:val="Normal"/>
    <w:next w:val="Normal"/>
    <w:uiPriority w:val="39"/>
    <w:qFormat/>
    <w:rsid w:val="006A159E"/>
    <w:pPr>
      <w:tabs>
        <w:tab w:val="right" w:pos="7700"/>
      </w:tabs>
      <w:spacing w:before="20" w:after="0"/>
      <w:ind w:left="284" w:right="851"/>
      <w:jc w:val="both"/>
    </w:pPr>
    <w:rPr>
      <w:rFonts w:ascii="Arial" w:hAnsi="Arial"/>
      <w:color w:val="000000"/>
      <w:sz w:val="20"/>
      <w:szCs w:val="24"/>
    </w:rPr>
  </w:style>
  <w:style w:type="paragraph" w:styleId="TOC4">
    <w:name w:val="toc 4"/>
    <w:basedOn w:val="Normal"/>
    <w:next w:val="Normal"/>
    <w:uiPriority w:val="39"/>
    <w:rsid w:val="006A159E"/>
    <w:pPr>
      <w:numPr>
        <w:numId w:val="33"/>
      </w:numPr>
      <w:tabs>
        <w:tab w:val="clear" w:pos="567"/>
        <w:tab w:val="right" w:pos="7700"/>
      </w:tabs>
      <w:spacing w:before="0" w:after="0"/>
      <w:ind w:left="284" w:right="851"/>
      <w:jc w:val="both"/>
    </w:pPr>
    <w:rPr>
      <w:color w:val="000000"/>
      <w:sz w:val="24"/>
      <w:szCs w:val="24"/>
    </w:rPr>
  </w:style>
  <w:style w:type="character" w:customStyle="1" w:styleId="italic0">
    <w:name w:val="italic"/>
    <w:basedOn w:val="DefaultParagraphFont"/>
    <w:rsid w:val="006A159E"/>
    <w:rPr>
      <w:i/>
    </w:rPr>
  </w:style>
  <w:style w:type="paragraph" w:customStyle="1" w:styleId="OneLevelNumberedParagraph">
    <w:name w:val="One Level Numbered Paragraph"/>
    <w:basedOn w:val="Normal"/>
    <w:rsid w:val="006A159E"/>
    <w:pPr>
      <w:numPr>
        <w:numId w:val="34"/>
      </w:numPr>
      <w:tabs>
        <w:tab w:val="clear" w:pos="1134"/>
        <w:tab w:val="num" w:pos="360"/>
      </w:tabs>
      <w:spacing w:before="0" w:after="240" w:line="260" w:lineRule="exact"/>
      <w:ind w:left="0" w:firstLine="0"/>
      <w:jc w:val="both"/>
    </w:pPr>
    <w:rPr>
      <w:color w:val="000000"/>
      <w:sz w:val="24"/>
      <w:szCs w:val="24"/>
    </w:rPr>
  </w:style>
  <w:style w:type="character" w:styleId="FollowedHyperlink">
    <w:name w:val="FollowedHyperlink"/>
    <w:basedOn w:val="DefaultParagraphFont"/>
    <w:rsid w:val="006A159E"/>
    <w:rPr>
      <w:color w:val="auto"/>
      <w:u w:val="none"/>
    </w:rPr>
  </w:style>
  <w:style w:type="paragraph" w:customStyle="1" w:styleId="BeforeChapterNumber">
    <w:name w:val="Before Chapter Number"/>
    <w:basedOn w:val="Normal"/>
    <w:rsid w:val="006A159E"/>
    <w:pPr>
      <w:spacing w:before="1100" w:after="240"/>
      <w:jc w:val="both"/>
    </w:pPr>
    <w:rPr>
      <w:color w:val="000000"/>
      <w:sz w:val="24"/>
      <w:szCs w:val="24"/>
    </w:rPr>
  </w:style>
  <w:style w:type="paragraph" w:customStyle="1" w:styleId="FooterNone">
    <w:name w:val="FooterNone"/>
    <w:basedOn w:val="Footer"/>
    <w:rsid w:val="006A159E"/>
    <w:pPr>
      <w:tabs>
        <w:tab w:val="clear" w:pos="4153"/>
        <w:tab w:val="clear" w:pos="8306"/>
      </w:tabs>
      <w:spacing w:before="0" w:after="240" w:line="260" w:lineRule="exact"/>
      <w:jc w:val="both"/>
    </w:pPr>
    <w:rPr>
      <w:i/>
      <w:color w:val="000000"/>
      <w:szCs w:val="22"/>
    </w:rPr>
  </w:style>
  <w:style w:type="character" w:customStyle="1" w:styleId="CharAmSchText">
    <w:name w:val="CharAmSchText"/>
    <w:basedOn w:val="DefaultParagraphFont"/>
    <w:rsid w:val="006A159E"/>
  </w:style>
  <w:style w:type="paragraph" w:customStyle="1" w:styleId="NumberedParagraph">
    <w:name w:val="Numbered Paragraph"/>
    <w:basedOn w:val="Normal"/>
    <w:rsid w:val="006A159E"/>
    <w:pPr>
      <w:tabs>
        <w:tab w:val="num" w:pos="643"/>
      </w:tabs>
      <w:spacing w:before="0" w:after="240" w:line="260" w:lineRule="exact"/>
      <w:ind w:left="643" w:hanging="360"/>
      <w:jc w:val="both"/>
    </w:pPr>
    <w:rPr>
      <w:color w:val="000000"/>
      <w:sz w:val="24"/>
      <w:szCs w:val="24"/>
    </w:rPr>
  </w:style>
  <w:style w:type="paragraph" w:customStyle="1" w:styleId="AlphaPara">
    <w:name w:val="AlphaPara"/>
    <w:basedOn w:val="Normal"/>
    <w:rsid w:val="006A159E"/>
    <w:pPr>
      <w:tabs>
        <w:tab w:val="left" w:pos="567"/>
        <w:tab w:val="num" w:pos="926"/>
      </w:tabs>
      <w:spacing w:before="0" w:after="240" w:line="260" w:lineRule="exact"/>
      <w:ind w:left="926" w:hanging="360"/>
      <w:jc w:val="both"/>
    </w:pPr>
    <w:rPr>
      <w:rFonts w:ascii="Book Antiqua" w:hAnsi="Book Antiqua" w:cs="Book Antiqua"/>
      <w:szCs w:val="22"/>
    </w:rPr>
  </w:style>
  <w:style w:type="paragraph" w:styleId="BalloonText">
    <w:name w:val="Balloon Text"/>
    <w:basedOn w:val="Normal"/>
    <w:link w:val="BalloonTextChar"/>
    <w:rsid w:val="006A159E"/>
    <w:pPr>
      <w:spacing w:before="0" w:after="240" w:line="260" w:lineRule="exact"/>
      <w:jc w:val="both"/>
    </w:pPr>
    <w:rPr>
      <w:rFonts w:ascii="Tahoma" w:hAnsi="Tahoma" w:cs="Tahoma"/>
      <w:color w:val="000000"/>
      <w:sz w:val="16"/>
      <w:szCs w:val="16"/>
    </w:rPr>
  </w:style>
  <w:style w:type="character" w:customStyle="1" w:styleId="BalloonTextChar">
    <w:name w:val="Balloon Text Char"/>
    <w:basedOn w:val="DefaultParagraphFont"/>
    <w:link w:val="BalloonText"/>
    <w:rsid w:val="006A159E"/>
    <w:rPr>
      <w:rFonts w:ascii="Tahoma" w:hAnsi="Tahoma" w:cs="Tahoma"/>
      <w:color w:val="000000"/>
      <w:sz w:val="16"/>
      <w:szCs w:val="16"/>
    </w:rPr>
  </w:style>
  <w:style w:type="paragraph" w:styleId="DocumentMap">
    <w:name w:val="Document Map"/>
    <w:basedOn w:val="Normal"/>
    <w:link w:val="DocumentMapChar"/>
    <w:rsid w:val="006A159E"/>
    <w:pPr>
      <w:shd w:val="clear" w:color="auto" w:fill="000080"/>
      <w:spacing w:before="0" w:after="240" w:line="260" w:lineRule="exact"/>
      <w:jc w:val="both"/>
    </w:pPr>
    <w:rPr>
      <w:rFonts w:ascii="Tahoma" w:hAnsi="Tahoma" w:cs="Tahoma"/>
      <w:color w:val="000000"/>
      <w:sz w:val="20"/>
    </w:rPr>
  </w:style>
  <w:style w:type="character" w:customStyle="1" w:styleId="DocumentMapChar">
    <w:name w:val="Document Map Char"/>
    <w:basedOn w:val="DefaultParagraphFont"/>
    <w:link w:val="DocumentMap"/>
    <w:rsid w:val="006A159E"/>
    <w:rPr>
      <w:rFonts w:ascii="Tahoma" w:hAnsi="Tahoma" w:cs="Tahoma"/>
      <w:color w:val="000000"/>
      <w:shd w:val="clear" w:color="auto" w:fill="000080"/>
    </w:rPr>
  </w:style>
  <w:style w:type="paragraph" w:customStyle="1" w:styleId="paragraph0">
    <w:name w:val="paragraph"/>
    <w:aliases w:val="a"/>
    <w:rsid w:val="006A159E"/>
    <w:pPr>
      <w:tabs>
        <w:tab w:val="right" w:pos="1531"/>
      </w:tabs>
      <w:spacing w:before="40"/>
      <w:ind w:left="1644" w:hanging="1644"/>
    </w:pPr>
    <w:rPr>
      <w:sz w:val="22"/>
      <w:szCs w:val="24"/>
    </w:rPr>
  </w:style>
  <w:style w:type="paragraph" w:customStyle="1" w:styleId="notedraft">
    <w:name w:val="note(draft)"/>
    <w:aliases w:val="nd"/>
    <w:rsid w:val="006A159E"/>
    <w:pPr>
      <w:spacing w:before="240"/>
      <w:ind w:left="284" w:hanging="284"/>
    </w:pPr>
    <w:rPr>
      <w:i/>
      <w:sz w:val="24"/>
      <w:szCs w:val="24"/>
    </w:rPr>
  </w:style>
  <w:style w:type="paragraph" w:customStyle="1" w:styleId="Subitem">
    <w:name w:val="Subitem"/>
    <w:aliases w:val="iss"/>
    <w:rsid w:val="006A159E"/>
    <w:pPr>
      <w:spacing w:before="180"/>
      <w:ind w:left="709" w:hanging="709"/>
    </w:pPr>
    <w:rPr>
      <w:sz w:val="22"/>
      <w:szCs w:val="24"/>
    </w:rPr>
  </w:style>
  <w:style w:type="paragraph" w:customStyle="1" w:styleId="SubitemHead">
    <w:name w:val="SubitemHead"/>
    <w:aliases w:val="issh"/>
    <w:next w:val="Subitem"/>
    <w:rsid w:val="006A159E"/>
    <w:pPr>
      <w:keepNext/>
      <w:keepLines/>
      <w:spacing w:before="220"/>
      <w:ind w:left="709"/>
    </w:pPr>
    <w:rPr>
      <w:rFonts w:ascii="Arial" w:hAnsi="Arial" w:cs="Arial"/>
      <w:i/>
      <w:kern w:val="28"/>
      <w:sz w:val="22"/>
      <w:szCs w:val="24"/>
    </w:rPr>
  </w:style>
  <w:style w:type="paragraph" w:customStyle="1" w:styleId="ChartMainHeading">
    <w:name w:val="Chart Main Heading"/>
    <w:basedOn w:val="HeadingBase"/>
    <w:next w:val="ChartGraphic"/>
    <w:rsid w:val="006A159E"/>
    <w:pPr>
      <w:spacing w:after="20"/>
      <w:jc w:val="center"/>
    </w:pPr>
    <w:rPr>
      <w:b/>
      <w:sz w:val="22"/>
    </w:rPr>
  </w:style>
  <w:style w:type="paragraph" w:customStyle="1" w:styleId="ChartGraphic">
    <w:name w:val="Chart Graphic"/>
    <w:basedOn w:val="HeadingBase"/>
    <w:next w:val="Normal"/>
    <w:rsid w:val="006A159E"/>
    <w:pPr>
      <w:jc w:val="center"/>
    </w:pPr>
  </w:style>
  <w:style w:type="paragraph" w:customStyle="1" w:styleId="ChartSecondHeading">
    <w:name w:val="Chart Second Heading"/>
    <w:basedOn w:val="HeadingBase"/>
    <w:next w:val="ChartGraphic"/>
    <w:rsid w:val="006A159E"/>
    <w:pPr>
      <w:spacing w:after="20"/>
      <w:jc w:val="center"/>
    </w:pPr>
  </w:style>
  <w:style w:type="paragraph" w:customStyle="1" w:styleId="TableMainHeading">
    <w:name w:val="Table Main Heading"/>
    <w:basedOn w:val="HeadingBase"/>
    <w:next w:val="TableGraphic"/>
    <w:rsid w:val="006A159E"/>
    <w:pPr>
      <w:spacing w:after="20"/>
    </w:pPr>
    <w:rPr>
      <w:b/>
      <w:sz w:val="22"/>
    </w:rPr>
  </w:style>
  <w:style w:type="paragraph" w:customStyle="1" w:styleId="TableGraphic">
    <w:name w:val="Table Graphic"/>
    <w:basedOn w:val="HeadingBase"/>
    <w:next w:val="Normal"/>
    <w:rsid w:val="006A159E"/>
  </w:style>
  <w:style w:type="paragraph" w:customStyle="1" w:styleId="Paragraph">
    <w:name w:val="Paragraph"/>
    <w:basedOn w:val="Normal"/>
    <w:rsid w:val="006A159E"/>
    <w:pPr>
      <w:numPr>
        <w:numId w:val="35"/>
      </w:numPr>
      <w:tabs>
        <w:tab w:val="clear" w:pos="360"/>
      </w:tabs>
      <w:spacing w:before="240" w:after="240" w:line="260" w:lineRule="exact"/>
      <w:ind w:left="0" w:firstLine="0"/>
      <w:jc w:val="both"/>
    </w:pPr>
    <w:rPr>
      <w:rFonts w:ascii="Times" w:hAnsi="Times" w:cs="Times"/>
      <w:color w:val="000000"/>
      <w:sz w:val="26"/>
      <w:szCs w:val="26"/>
    </w:rPr>
  </w:style>
  <w:style w:type="paragraph" w:customStyle="1" w:styleId="OptionsTable">
    <w:name w:val="Options Table"/>
    <w:basedOn w:val="Option"/>
    <w:link w:val="OptionsTableChar"/>
    <w:rsid w:val="006A159E"/>
    <w:pPr>
      <w:tabs>
        <w:tab w:val="left" w:pos="1134"/>
      </w:tabs>
      <w:ind w:left="0" w:firstLine="0"/>
    </w:pPr>
    <w:rPr>
      <w:bCs w:val="0"/>
      <w:iCs/>
    </w:rPr>
  </w:style>
  <w:style w:type="paragraph" w:customStyle="1" w:styleId="Option">
    <w:name w:val="Option"/>
    <w:basedOn w:val="Heading4"/>
    <w:link w:val="OptionChar"/>
    <w:rsid w:val="006A159E"/>
    <w:pPr>
      <w:spacing w:before="0"/>
      <w:ind w:hanging="1134"/>
    </w:pPr>
    <w:rPr>
      <w:rFonts w:ascii="Arial" w:hAnsi="Arial"/>
      <w:bCs/>
      <w:color w:val="000000"/>
      <w:szCs w:val="22"/>
    </w:rPr>
  </w:style>
  <w:style w:type="character" w:customStyle="1" w:styleId="OptionChar">
    <w:name w:val="Option Char"/>
    <w:basedOn w:val="Heading4Char"/>
    <w:link w:val="Option"/>
    <w:rsid w:val="006A159E"/>
    <w:rPr>
      <w:rFonts w:ascii="Arial" w:hAnsi="Arial"/>
      <w:b/>
      <w:bCs/>
      <w:i/>
      <w:color w:val="000000"/>
      <w:sz w:val="22"/>
      <w:szCs w:val="22"/>
    </w:rPr>
  </w:style>
  <w:style w:type="character" w:customStyle="1" w:styleId="OptionsTableChar">
    <w:name w:val="Options Table Char"/>
    <w:basedOn w:val="OptionChar"/>
    <w:link w:val="OptionsTable"/>
    <w:rsid w:val="006A159E"/>
    <w:rPr>
      <w:rFonts w:ascii="Arial" w:hAnsi="Arial"/>
      <w:b/>
      <w:bCs w:val="0"/>
      <w:i/>
      <w:iCs/>
      <w:color w:val="000000"/>
      <w:sz w:val="22"/>
      <w:szCs w:val="22"/>
    </w:rPr>
  </w:style>
  <w:style w:type="character" w:styleId="FootnoteReference">
    <w:name w:val="footnote reference"/>
    <w:basedOn w:val="DefaultParagraphFont"/>
    <w:rsid w:val="006A159E"/>
    <w:rPr>
      <w:vertAlign w:val="superscript"/>
    </w:rPr>
  </w:style>
  <w:style w:type="paragraph" w:customStyle="1" w:styleId="AppendixHeading">
    <w:name w:val="Appendix Heading"/>
    <w:basedOn w:val="HeadingBase"/>
    <w:next w:val="Normal"/>
    <w:rsid w:val="006A159E"/>
    <w:pPr>
      <w:spacing w:before="720" w:after="360"/>
    </w:pPr>
    <w:rPr>
      <w:rFonts w:ascii="Arial Bold" w:hAnsi="Arial Bold"/>
      <w:b/>
      <w:smallCaps/>
      <w:sz w:val="36"/>
      <w:szCs w:val="36"/>
    </w:rPr>
  </w:style>
  <w:style w:type="paragraph" w:customStyle="1" w:styleId="BoxHeading">
    <w:name w:val="Box Heading"/>
    <w:basedOn w:val="HeadingBase"/>
    <w:next w:val="BoxText"/>
    <w:rsid w:val="006A159E"/>
    <w:pPr>
      <w:spacing w:before="240" w:after="120"/>
    </w:pPr>
    <w:rPr>
      <w:b/>
      <w:sz w:val="22"/>
    </w:rPr>
  </w:style>
  <w:style w:type="paragraph" w:customStyle="1" w:styleId="BoxText">
    <w:name w:val="Box Text"/>
    <w:basedOn w:val="BoxTextBase"/>
    <w:rsid w:val="006A159E"/>
  </w:style>
  <w:style w:type="paragraph" w:customStyle="1" w:styleId="BoxTextBase">
    <w:name w:val="Box Text Base"/>
    <w:basedOn w:val="Normal"/>
    <w:rsid w:val="006A159E"/>
    <w:pPr>
      <w:spacing w:before="0" w:after="240"/>
      <w:jc w:val="both"/>
    </w:pPr>
    <w:rPr>
      <w:color w:val="000000"/>
      <w:sz w:val="24"/>
      <w:szCs w:val="24"/>
    </w:rPr>
  </w:style>
  <w:style w:type="paragraph" w:customStyle="1" w:styleId="ChartandTableFootnoteAlpha">
    <w:name w:val="Chart and Table Footnote Alpha"/>
    <w:rsid w:val="006A159E"/>
    <w:pPr>
      <w:tabs>
        <w:tab w:val="num" w:pos="1209"/>
      </w:tabs>
      <w:ind w:left="1209" w:hanging="360"/>
      <w:jc w:val="both"/>
    </w:pPr>
    <w:rPr>
      <w:rFonts w:ascii="Arial" w:hAnsi="Arial"/>
      <w:color w:val="000000"/>
      <w:sz w:val="16"/>
      <w:szCs w:val="16"/>
    </w:rPr>
  </w:style>
  <w:style w:type="paragraph" w:customStyle="1" w:styleId="ChartorTableNote">
    <w:name w:val="Chart or Table Note"/>
    <w:next w:val="Normal"/>
    <w:rsid w:val="006A159E"/>
    <w:pPr>
      <w:jc w:val="both"/>
    </w:pPr>
    <w:rPr>
      <w:rFonts w:ascii="Arial" w:hAnsi="Arial"/>
      <w:color w:val="000000"/>
      <w:sz w:val="16"/>
    </w:rPr>
  </w:style>
  <w:style w:type="paragraph" w:customStyle="1" w:styleId="CoverTitleMain">
    <w:name w:val="Cover Title Main"/>
    <w:basedOn w:val="HeadingBase"/>
    <w:next w:val="Normal"/>
    <w:rsid w:val="006A159E"/>
    <w:pPr>
      <w:spacing w:after="480"/>
      <w:jc w:val="center"/>
    </w:pPr>
    <w:rPr>
      <w:b/>
      <w:sz w:val="48"/>
    </w:rPr>
  </w:style>
  <w:style w:type="paragraph" w:customStyle="1" w:styleId="CoverTitleSub">
    <w:name w:val="Cover Title Sub"/>
    <w:basedOn w:val="HeadingBase"/>
    <w:rsid w:val="006A159E"/>
    <w:pPr>
      <w:spacing w:after="360"/>
      <w:jc w:val="center"/>
    </w:pPr>
    <w:rPr>
      <w:sz w:val="36"/>
    </w:rPr>
  </w:style>
  <w:style w:type="paragraph" w:customStyle="1" w:styleId="FooterCentered">
    <w:name w:val="Footer Centered"/>
    <w:basedOn w:val="Footer"/>
    <w:rsid w:val="006A159E"/>
    <w:pPr>
      <w:pBdr>
        <w:top w:val="single" w:sz="4" w:space="1" w:color="auto"/>
      </w:pBdr>
      <w:tabs>
        <w:tab w:val="clear" w:pos="4153"/>
        <w:tab w:val="clear" w:pos="8306"/>
      </w:tabs>
      <w:spacing w:before="0" w:after="240" w:line="260" w:lineRule="exact"/>
      <w:jc w:val="center"/>
    </w:pPr>
    <w:rPr>
      <w:i/>
      <w:color w:val="000000"/>
      <w:szCs w:val="22"/>
    </w:rPr>
  </w:style>
  <w:style w:type="paragraph" w:customStyle="1" w:styleId="RecommendationHeading">
    <w:name w:val="Recommendation Heading"/>
    <w:basedOn w:val="HeadingBase"/>
    <w:next w:val="RecommendationText"/>
    <w:rsid w:val="006A159E"/>
    <w:pPr>
      <w:spacing w:before="120" w:after="240"/>
    </w:pPr>
    <w:rPr>
      <w:b/>
      <w:sz w:val="22"/>
    </w:rPr>
  </w:style>
  <w:style w:type="paragraph" w:customStyle="1" w:styleId="RecommendationText">
    <w:name w:val="Recommendation Text"/>
    <w:basedOn w:val="RecommendationTextBase"/>
    <w:rsid w:val="006A159E"/>
  </w:style>
  <w:style w:type="paragraph" w:customStyle="1" w:styleId="RecommendationTextBase">
    <w:name w:val="Recommendation Text Base"/>
    <w:basedOn w:val="Normal"/>
    <w:rsid w:val="006A159E"/>
    <w:pPr>
      <w:spacing w:before="0" w:after="240" w:line="260" w:lineRule="exact"/>
      <w:jc w:val="both"/>
    </w:pPr>
    <w:rPr>
      <w:color w:val="000000"/>
      <w:sz w:val="24"/>
      <w:szCs w:val="24"/>
    </w:rPr>
  </w:style>
  <w:style w:type="paragraph" w:customStyle="1" w:styleId="TableTextBase">
    <w:name w:val="Table Text Base"/>
    <w:rsid w:val="006A159E"/>
    <w:pPr>
      <w:spacing w:before="60" w:after="60"/>
    </w:pPr>
    <w:rPr>
      <w:rFonts w:ascii="Arial" w:hAnsi="Arial"/>
      <w:color w:val="000000"/>
      <w:sz w:val="16"/>
    </w:rPr>
  </w:style>
  <w:style w:type="paragraph" w:customStyle="1" w:styleId="TableColumnHeadingCentred">
    <w:name w:val="Table Column Heading Centred"/>
    <w:basedOn w:val="TableTextBase"/>
    <w:rsid w:val="006A159E"/>
    <w:pPr>
      <w:jc w:val="center"/>
    </w:pPr>
    <w:rPr>
      <w:b/>
      <w:sz w:val="18"/>
    </w:rPr>
  </w:style>
  <w:style w:type="paragraph" w:customStyle="1" w:styleId="TableColumnHeadingLeft">
    <w:name w:val="Table Column Heading Left"/>
    <w:basedOn w:val="TableTextBase"/>
    <w:rsid w:val="006A159E"/>
    <w:rPr>
      <w:b/>
    </w:rPr>
  </w:style>
  <w:style w:type="paragraph" w:customStyle="1" w:styleId="TableColumnHeadingRight">
    <w:name w:val="Table Column Heading Right"/>
    <w:basedOn w:val="TableTextBase"/>
    <w:rsid w:val="006A159E"/>
    <w:pPr>
      <w:jc w:val="right"/>
    </w:pPr>
    <w:rPr>
      <w:b/>
    </w:rPr>
  </w:style>
  <w:style w:type="paragraph" w:customStyle="1" w:styleId="TableMainHeadingContd">
    <w:name w:val="Table Main Heading Contd"/>
    <w:basedOn w:val="HeadingBase"/>
    <w:next w:val="TableGraphic"/>
    <w:rsid w:val="006A159E"/>
    <w:pPr>
      <w:pageBreakBefore/>
      <w:spacing w:after="20"/>
    </w:pPr>
    <w:rPr>
      <w:b/>
      <w:sz w:val="22"/>
    </w:rPr>
  </w:style>
  <w:style w:type="paragraph" w:customStyle="1" w:styleId="TableSecondHeading">
    <w:name w:val="Table Second Heading"/>
    <w:basedOn w:val="HeadingBase"/>
    <w:next w:val="TableGraphic"/>
    <w:rsid w:val="006A159E"/>
    <w:pPr>
      <w:spacing w:after="20"/>
    </w:pPr>
  </w:style>
  <w:style w:type="paragraph" w:customStyle="1" w:styleId="TableTextCentered">
    <w:name w:val="Table Text Centered"/>
    <w:basedOn w:val="TableTextBase"/>
    <w:rsid w:val="006A159E"/>
    <w:pPr>
      <w:jc w:val="center"/>
    </w:pPr>
  </w:style>
  <w:style w:type="paragraph" w:customStyle="1" w:styleId="TableTextIndented">
    <w:name w:val="Table Text Indented"/>
    <w:basedOn w:val="TableTextBase"/>
    <w:rsid w:val="006A159E"/>
    <w:pPr>
      <w:ind w:left="284"/>
    </w:pPr>
  </w:style>
  <w:style w:type="paragraph" w:customStyle="1" w:styleId="TableTextLeft">
    <w:name w:val="Table Text Left"/>
    <w:basedOn w:val="TableTextBase"/>
    <w:rsid w:val="006A159E"/>
  </w:style>
  <w:style w:type="paragraph" w:customStyle="1" w:styleId="TableTextRight">
    <w:name w:val="Table Text Right"/>
    <w:basedOn w:val="TableTextBase"/>
    <w:rsid w:val="006A159E"/>
    <w:pPr>
      <w:jc w:val="right"/>
    </w:pPr>
  </w:style>
  <w:style w:type="paragraph" w:customStyle="1" w:styleId="BoxBullet">
    <w:name w:val="Box Bullet"/>
    <w:basedOn w:val="BoxTextBase"/>
    <w:rsid w:val="006A159E"/>
    <w:pPr>
      <w:tabs>
        <w:tab w:val="num" w:pos="1492"/>
      </w:tabs>
      <w:ind w:left="1492" w:hanging="360"/>
    </w:pPr>
  </w:style>
  <w:style w:type="paragraph" w:customStyle="1" w:styleId="BoxDash">
    <w:name w:val="Box Dash"/>
    <w:basedOn w:val="Normal"/>
    <w:rsid w:val="006A159E"/>
    <w:pPr>
      <w:numPr>
        <w:ilvl w:val="1"/>
        <w:numId w:val="6"/>
      </w:numPr>
      <w:spacing w:before="0" w:after="240" w:line="260" w:lineRule="exact"/>
      <w:jc w:val="both"/>
    </w:pPr>
    <w:rPr>
      <w:color w:val="000000"/>
      <w:sz w:val="24"/>
      <w:szCs w:val="24"/>
    </w:rPr>
  </w:style>
  <w:style w:type="paragraph" w:customStyle="1" w:styleId="BoxDoubleDot">
    <w:name w:val="Box Double Dot"/>
    <w:basedOn w:val="BoxTextBase"/>
    <w:rsid w:val="006A159E"/>
    <w:pPr>
      <w:tabs>
        <w:tab w:val="num" w:pos="1492"/>
      </w:tabs>
      <w:ind w:left="1492" w:hanging="360"/>
    </w:pPr>
  </w:style>
  <w:style w:type="paragraph" w:customStyle="1" w:styleId="RecommendationBullet">
    <w:name w:val="Recommendation Bullet"/>
    <w:basedOn w:val="RecommendationTextBase"/>
    <w:rsid w:val="006A159E"/>
    <w:pPr>
      <w:tabs>
        <w:tab w:val="num" w:pos="360"/>
      </w:tabs>
      <w:ind w:left="360" w:hanging="360"/>
    </w:pPr>
  </w:style>
  <w:style w:type="paragraph" w:customStyle="1" w:styleId="RecommendationDash">
    <w:name w:val="Recommendation Dash"/>
    <w:basedOn w:val="RecommendationTextBase"/>
    <w:rsid w:val="006A159E"/>
    <w:pPr>
      <w:numPr>
        <w:ilvl w:val="1"/>
        <w:numId w:val="7"/>
      </w:numPr>
    </w:pPr>
  </w:style>
  <w:style w:type="paragraph" w:customStyle="1" w:styleId="RecommendationDoubleDot">
    <w:name w:val="Recommendation Double Dot"/>
    <w:basedOn w:val="RecommendationTextBase"/>
    <w:rsid w:val="006A159E"/>
    <w:pPr>
      <w:tabs>
        <w:tab w:val="num" w:pos="360"/>
      </w:tabs>
      <w:ind w:left="360" w:hanging="360"/>
    </w:pPr>
  </w:style>
  <w:style w:type="paragraph" w:customStyle="1" w:styleId="Heading1notnumbered">
    <w:name w:val="Heading 1 not numbered"/>
    <w:basedOn w:val="HeadingBase"/>
    <w:next w:val="Normal"/>
    <w:rsid w:val="006A159E"/>
    <w:pPr>
      <w:spacing w:before="720" w:after="360"/>
    </w:pPr>
    <w:rPr>
      <w:rFonts w:ascii="Arial Bold" w:hAnsi="Arial Bold"/>
      <w:b/>
      <w:smallCaps/>
      <w:sz w:val="36"/>
      <w:szCs w:val="36"/>
    </w:rPr>
  </w:style>
  <w:style w:type="paragraph" w:customStyle="1" w:styleId="Heading2notnumbered">
    <w:name w:val="Heading 2 not numbered"/>
    <w:basedOn w:val="HeadingBase"/>
    <w:next w:val="Normal"/>
    <w:rsid w:val="006A159E"/>
    <w:pPr>
      <w:spacing w:before="360" w:after="240"/>
    </w:pPr>
    <w:rPr>
      <w:rFonts w:ascii="Arial Bold" w:hAnsi="Arial Bold"/>
      <w:b/>
      <w:smallCaps/>
      <w:sz w:val="28"/>
      <w:szCs w:val="28"/>
    </w:rPr>
  </w:style>
  <w:style w:type="paragraph" w:customStyle="1" w:styleId="Heading3notnumbered">
    <w:name w:val="Heading 3 not numbered"/>
    <w:basedOn w:val="HeadingBase"/>
    <w:next w:val="Normal"/>
    <w:rsid w:val="006A159E"/>
    <w:pPr>
      <w:spacing w:before="240" w:after="240"/>
    </w:pPr>
    <w:rPr>
      <w:rFonts w:ascii="Arial Bold" w:hAnsi="Arial Bold"/>
      <w:b/>
      <w:sz w:val="26"/>
      <w:szCs w:val="26"/>
    </w:rPr>
  </w:style>
  <w:style w:type="paragraph" w:customStyle="1" w:styleId="Style1">
    <w:name w:val="Style1"/>
    <w:basedOn w:val="Heading4"/>
    <w:rsid w:val="006A159E"/>
    <w:pPr>
      <w:widowControl w:val="0"/>
      <w:autoSpaceDE w:val="0"/>
      <w:autoSpaceDN w:val="0"/>
      <w:spacing w:before="240" w:after="0"/>
      <w:ind w:left="0"/>
    </w:pPr>
    <w:rPr>
      <w:rFonts w:ascii="Univers" w:hAnsi="Univers" w:cs="Univers"/>
      <w:sz w:val="20"/>
      <w:szCs w:val="24"/>
    </w:rPr>
  </w:style>
  <w:style w:type="paragraph" w:customStyle="1" w:styleId="TableChar">
    <w:name w:val="Table Char"/>
    <w:basedOn w:val="Normal"/>
    <w:rsid w:val="006A159E"/>
    <w:rPr>
      <w:rFonts w:ascii="Arial" w:hAnsi="Arial"/>
      <w:sz w:val="20"/>
      <w:szCs w:val="24"/>
      <w:lang w:val="en-US" w:eastAsia="en-US"/>
    </w:rPr>
  </w:style>
  <w:style w:type="paragraph" w:styleId="TOC5">
    <w:name w:val="toc 5"/>
    <w:basedOn w:val="Normal"/>
    <w:next w:val="Normal"/>
    <w:autoRedefine/>
    <w:uiPriority w:val="39"/>
    <w:unhideWhenUsed/>
    <w:rsid w:val="006A159E"/>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6A159E"/>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6A159E"/>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6A159E"/>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6A159E"/>
    <w:pPr>
      <w:spacing w:before="0" w:after="100" w:line="276" w:lineRule="auto"/>
      <w:ind w:left="176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FA615A"/>
    <w:pPr>
      <w:spacing w:before="120" w:after="120"/>
    </w:pPr>
    <w:rPr>
      <w:sz w:val="22"/>
    </w:rPr>
  </w:style>
  <w:style w:type="paragraph" w:styleId="Heading1">
    <w:name w:val="heading 1"/>
    <w:basedOn w:val="Normal"/>
    <w:next w:val="base-text-paragraph"/>
    <w:link w:val="Heading1Char"/>
    <w:qFormat/>
    <w:rsid w:val="00FA615A"/>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FA615A"/>
    <w:pPr>
      <w:spacing w:before="480"/>
      <w:outlineLvl w:val="1"/>
    </w:pPr>
    <w:rPr>
      <w:caps w:val="0"/>
      <w:sz w:val="26"/>
    </w:rPr>
  </w:style>
  <w:style w:type="paragraph" w:styleId="Heading3">
    <w:name w:val="heading 3"/>
    <w:basedOn w:val="Heading2"/>
    <w:next w:val="base-text-paragraph"/>
    <w:link w:val="Heading3Char"/>
    <w:qFormat/>
    <w:rsid w:val="00FA615A"/>
    <w:pPr>
      <w:spacing w:before="240"/>
      <w:outlineLvl w:val="2"/>
    </w:pPr>
    <w:rPr>
      <w:sz w:val="22"/>
    </w:rPr>
  </w:style>
  <w:style w:type="paragraph" w:styleId="Heading4">
    <w:name w:val="heading 4"/>
    <w:basedOn w:val="Heading3"/>
    <w:next w:val="base-text-paragraph"/>
    <w:link w:val="Heading4Char"/>
    <w:qFormat/>
    <w:rsid w:val="00FA615A"/>
    <w:pPr>
      <w:spacing w:before="120"/>
      <w:ind w:left="1134"/>
      <w:outlineLvl w:val="3"/>
    </w:pPr>
    <w:rPr>
      <w:rFonts w:ascii="Times New Roman" w:hAnsi="Times New Roman"/>
      <w:i/>
    </w:rPr>
  </w:style>
  <w:style w:type="paragraph" w:styleId="Heading5">
    <w:name w:val="heading 5"/>
    <w:basedOn w:val="Heading4"/>
    <w:next w:val="Normal"/>
    <w:link w:val="Heading5Char"/>
    <w:qFormat/>
    <w:rsid w:val="00FA615A"/>
    <w:pPr>
      <w:spacing w:after="60"/>
      <w:outlineLvl w:val="4"/>
    </w:pPr>
    <w:rPr>
      <w:b w:val="0"/>
      <w:bCs/>
      <w:iCs/>
      <w:szCs w:val="26"/>
    </w:rPr>
  </w:style>
  <w:style w:type="paragraph" w:styleId="Heading6">
    <w:name w:val="heading 6"/>
    <w:basedOn w:val="Heading5"/>
    <w:next w:val="Normal"/>
    <w:link w:val="Heading6Char"/>
    <w:qFormat/>
    <w:rsid w:val="00FA615A"/>
    <w:pPr>
      <w:outlineLvl w:val="5"/>
    </w:pPr>
    <w:rPr>
      <w:bCs w:val="0"/>
      <w:i w:val="0"/>
      <w:szCs w:val="22"/>
      <w:u w:val="single"/>
    </w:rPr>
  </w:style>
  <w:style w:type="paragraph" w:styleId="Heading7">
    <w:name w:val="heading 7"/>
    <w:basedOn w:val="Normal"/>
    <w:next w:val="Normal"/>
    <w:link w:val="Heading7Char"/>
    <w:qFormat/>
    <w:rsid w:val="00FA615A"/>
    <w:pPr>
      <w:spacing w:before="240" w:after="60"/>
      <w:outlineLvl w:val="6"/>
    </w:pPr>
    <w:rPr>
      <w:sz w:val="24"/>
      <w:szCs w:val="24"/>
    </w:rPr>
  </w:style>
  <w:style w:type="paragraph" w:styleId="Heading8">
    <w:name w:val="heading 8"/>
    <w:basedOn w:val="Normal"/>
    <w:next w:val="Normal"/>
    <w:link w:val="Heading8Char"/>
    <w:qFormat/>
    <w:rsid w:val="00FA615A"/>
    <w:pPr>
      <w:spacing w:before="240" w:after="60"/>
      <w:outlineLvl w:val="7"/>
    </w:pPr>
    <w:rPr>
      <w:i/>
      <w:iCs/>
      <w:sz w:val="24"/>
      <w:szCs w:val="24"/>
    </w:rPr>
  </w:style>
  <w:style w:type="paragraph" w:styleId="Heading9">
    <w:name w:val="heading 9"/>
    <w:basedOn w:val="Normal"/>
    <w:next w:val="Normal"/>
    <w:link w:val="Heading9Char"/>
    <w:qFormat/>
    <w:rsid w:val="00FA615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FA615A"/>
    <w:pPr>
      <w:spacing w:after="0"/>
    </w:pPr>
  </w:style>
  <w:style w:type="paragraph" w:customStyle="1" w:styleId="ChapterHeading">
    <w:name w:val="Chapter Heading"/>
    <w:next w:val="Heading2"/>
    <w:rsid w:val="00FA615A"/>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FA615A"/>
    <w:pPr>
      <w:spacing w:after="360"/>
    </w:pPr>
  </w:style>
  <w:style w:type="paragraph" w:customStyle="1" w:styleId="TableHeadingoutsidetable">
    <w:name w:val="Table Heading (outside table)"/>
    <w:basedOn w:val="Heading4"/>
    <w:rsid w:val="00FA615A"/>
    <w:pPr>
      <w:numPr>
        <w:ilvl w:val="4"/>
        <w:numId w:val="30"/>
      </w:numPr>
      <w:tabs>
        <w:tab w:val="num" w:pos="360"/>
      </w:tabs>
    </w:pPr>
    <w:rPr>
      <w:i w:val="0"/>
    </w:rPr>
  </w:style>
  <w:style w:type="paragraph" w:customStyle="1" w:styleId="base-text-paragraph">
    <w:name w:val="base-text-paragraph"/>
    <w:basedOn w:val="Normal"/>
    <w:link w:val="base-text-paragraphChar"/>
    <w:rsid w:val="00FA615A"/>
    <w:pPr>
      <w:numPr>
        <w:ilvl w:val="1"/>
        <w:numId w:val="30"/>
      </w:numPr>
    </w:pPr>
  </w:style>
  <w:style w:type="paragraph" w:customStyle="1" w:styleId="base-text-paragraphnonumbers">
    <w:name w:val="base-text-paragraph no numbers"/>
    <w:basedOn w:val="Normal"/>
    <w:rsid w:val="00FA615A"/>
    <w:pPr>
      <w:ind w:left="1134"/>
    </w:pPr>
  </w:style>
  <w:style w:type="paragraph" w:customStyle="1" w:styleId="exampletext">
    <w:name w:val="example text"/>
    <w:basedOn w:val="Normal"/>
    <w:rsid w:val="00FA615A"/>
    <w:pPr>
      <w:ind w:left="1985"/>
    </w:pPr>
    <w:rPr>
      <w:sz w:val="20"/>
    </w:rPr>
  </w:style>
  <w:style w:type="paragraph" w:customStyle="1" w:styleId="ExampleHeading">
    <w:name w:val="Example Heading"/>
    <w:basedOn w:val="Normal"/>
    <w:next w:val="exampletext"/>
    <w:rsid w:val="00FA615A"/>
    <w:pPr>
      <w:keepNext/>
      <w:numPr>
        <w:ilvl w:val="3"/>
        <w:numId w:val="30"/>
      </w:numPr>
      <w:tabs>
        <w:tab w:val="num" w:pos="360"/>
      </w:tabs>
    </w:pPr>
    <w:rPr>
      <w:b/>
    </w:rPr>
  </w:style>
  <w:style w:type="paragraph" w:customStyle="1" w:styleId="Diagram">
    <w:name w:val="Diagram"/>
    <w:basedOn w:val="Normal"/>
    <w:next w:val="base-text-paragraphnonumbers"/>
    <w:rsid w:val="00FA615A"/>
    <w:pPr>
      <w:keepNext/>
      <w:numPr>
        <w:ilvl w:val="2"/>
        <w:numId w:val="30"/>
      </w:numPr>
      <w:spacing w:before="0" w:after="0"/>
    </w:pPr>
    <w:rPr>
      <w:b/>
    </w:rPr>
  </w:style>
  <w:style w:type="paragraph" w:customStyle="1" w:styleId="dotpoint">
    <w:name w:val="dot point"/>
    <w:basedOn w:val="Normal"/>
    <w:rsid w:val="00FA615A"/>
    <w:pPr>
      <w:numPr>
        <w:numId w:val="20"/>
      </w:numPr>
    </w:pPr>
  </w:style>
  <w:style w:type="paragraph" w:customStyle="1" w:styleId="dotpoint2">
    <w:name w:val="dot point 2"/>
    <w:basedOn w:val="Normal"/>
    <w:rsid w:val="00FA615A"/>
    <w:pPr>
      <w:numPr>
        <w:ilvl w:val="1"/>
        <w:numId w:val="20"/>
      </w:numPr>
    </w:pPr>
  </w:style>
  <w:style w:type="paragraph" w:customStyle="1" w:styleId="exampledotpoint1">
    <w:name w:val="example dot point 1"/>
    <w:basedOn w:val="exampletext"/>
    <w:rsid w:val="00FA615A"/>
    <w:pPr>
      <w:numPr>
        <w:numId w:val="21"/>
      </w:numPr>
    </w:pPr>
  </w:style>
  <w:style w:type="paragraph" w:customStyle="1" w:styleId="exampledotpoint2">
    <w:name w:val="example dot point 2"/>
    <w:basedOn w:val="exampletext"/>
    <w:rsid w:val="00FA615A"/>
    <w:pPr>
      <w:numPr>
        <w:ilvl w:val="1"/>
        <w:numId w:val="21"/>
      </w:numPr>
    </w:pPr>
  </w:style>
  <w:style w:type="paragraph" w:customStyle="1" w:styleId="tabletext">
    <w:name w:val="table text"/>
    <w:basedOn w:val="Normal"/>
    <w:rsid w:val="00FA615A"/>
    <w:pPr>
      <w:spacing w:before="40" w:after="40"/>
    </w:pPr>
    <w:rPr>
      <w:sz w:val="20"/>
    </w:rPr>
  </w:style>
  <w:style w:type="paragraph" w:customStyle="1" w:styleId="tabledotpoint">
    <w:name w:val="table dot point"/>
    <w:basedOn w:val="tabletext"/>
    <w:rsid w:val="00FA615A"/>
    <w:pPr>
      <w:numPr>
        <w:numId w:val="23"/>
      </w:numPr>
    </w:pPr>
  </w:style>
  <w:style w:type="paragraph" w:customStyle="1" w:styleId="tabledotpoint2">
    <w:name w:val="table dot point 2"/>
    <w:basedOn w:val="tabletext"/>
    <w:rsid w:val="00FA615A"/>
    <w:pPr>
      <w:numPr>
        <w:ilvl w:val="1"/>
        <w:numId w:val="23"/>
      </w:numPr>
    </w:pPr>
  </w:style>
  <w:style w:type="paragraph" w:customStyle="1" w:styleId="Baseparagraphcentred">
    <w:name w:val="Base paragraph centred"/>
    <w:basedOn w:val="Normal"/>
    <w:rsid w:val="00FA615A"/>
    <w:pPr>
      <w:jc w:val="center"/>
    </w:pPr>
  </w:style>
  <w:style w:type="paragraph" w:customStyle="1" w:styleId="BillName">
    <w:name w:val="Bill Name"/>
    <w:basedOn w:val="Normal"/>
    <w:next w:val="Baseparagraphcentred"/>
    <w:rsid w:val="00FA615A"/>
    <w:pPr>
      <w:pBdr>
        <w:top w:val="single" w:sz="4" w:space="12" w:color="auto"/>
        <w:bottom w:val="single" w:sz="4" w:space="12" w:color="auto"/>
      </w:pBdr>
      <w:jc w:val="center"/>
    </w:pPr>
    <w:rPr>
      <w:caps/>
    </w:rPr>
  </w:style>
  <w:style w:type="paragraph" w:customStyle="1" w:styleId="BTPwithextraspacing">
    <w:name w:val="BTP with extra spacing"/>
    <w:basedOn w:val="Normal"/>
    <w:rsid w:val="00FA615A"/>
    <w:pPr>
      <w:spacing w:before="360" w:after="360"/>
      <w:ind w:left="1134"/>
    </w:pPr>
  </w:style>
  <w:style w:type="paragraph" w:customStyle="1" w:styleId="Chapterheadingsubdocument">
    <w:name w:val="Chapter heading subdocument"/>
    <w:basedOn w:val="Normal"/>
    <w:next w:val="base-text-paragraphnonumbers"/>
    <w:rsid w:val="00FA615A"/>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FA615A"/>
    <w:pPr>
      <w:ind w:left="2268"/>
    </w:pPr>
  </w:style>
  <w:style w:type="paragraph" w:customStyle="1" w:styleId="leftfooter">
    <w:name w:val="left footer"/>
    <w:basedOn w:val="Normal"/>
    <w:rsid w:val="00FA615A"/>
    <w:pPr>
      <w:pBdr>
        <w:top w:val="single" w:sz="4" w:space="1" w:color="auto"/>
      </w:pBdr>
      <w:spacing w:before="240" w:after="0"/>
    </w:pPr>
    <w:rPr>
      <w:i/>
      <w:sz w:val="20"/>
    </w:rPr>
  </w:style>
  <w:style w:type="paragraph" w:customStyle="1" w:styleId="Hiddentext">
    <w:name w:val="Hiddentext"/>
    <w:basedOn w:val="Normal"/>
    <w:rsid w:val="00FA615A"/>
    <w:rPr>
      <w:vanish/>
    </w:rPr>
  </w:style>
  <w:style w:type="paragraph" w:customStyle="1" w:styleId="leftheader">
    <w:name w:val="left header"/>
    <w:basedOn w:val="Normal"/>
    <w:rsid w:val="00FA615A"/>
    <w:pPr>
      <w:pBdr>
        <w:bottom w:val="single" w:sz="4" w:space="1" w:color="auto"/>
      </w:pBdr>
    </w:pPr>
    <w:rPr>
      <w:i/>
      <w:sz w:val="20"/>
    </w:rPr>
  </w:style>
  <w:style w:type="character" w:customStyle="1" w:styleId="Referencingstyle">
    <w:name w:val="Referencing style"/>
    <w:basedOn w:val="DefaultParagraphFont"/>
    <w:rsid w:val="00FA615A"/>
    <w:rPr>
      <w:b/>
      <w:i/>
      <w:sz w:val="18"/>
    </w:rPr>
  </w:style>
  <w:style w:type="paragraph" w:customStyle="1" w:styleId="rightfooter">
    <w:name w:val="right footer"/>
    <w:basedOn w:val="Normal"/>
    <w:rsid w:val="00FA615A"/>
    <w:pPr>
      <w:pBdr>
        <w:top w:val="single" w:sz="4" w:space="1" w:color="auto"/>
      </w:pBdr>
      <w:spacing w:before="240" w:after="0"/>
      <w:jc w:val="right"/>
    </w:pPr>
    <w:rPr>
      <w:i/>
      <w:sz w:val="20"/>
    </w:rPr>
  </w:style>
  <w:style w:type="paragraph" w:customStyle="1" w:styleId="rightheader">
    <w:name w:val="right header"/>
    <w:basedOn w:val="Normal"/>
    <w:rsid w:val="00FA615A"/>
    <w:pPr>
      <w:pBdr>
        <w:bottom w:val="single" w:sz="4" w:space="1" w:color="auto"/>
      </w:pBdr>
      <w:jc w:val="right"/>
    </w:pPr>
    <w:rPr>
      <w:i/>
      <w:sz w:val="20"/>
    </w:rPr>
  </w:style>
  <w:style w:type="paragraph" w:customStyle="1" w:styleId="tableheaderwithintable">
    <w:name w:val="table header (within table)"/>
    <w:basedOn w:val="Heading4"/>
    <w:rsid w:val="00FA615A"/>
    <w:pPr>
      <w:spacing w:before="60" w:after="60"/>
      <w:ind w:left="0"/>
      <w:jc w:val="center"/>
    </w:pPr>
    <w:rPr>
      <w:sz w:val="20"/>
    </w:rPr>
  </w:style>
  <w:style w:type="paragraph" w:styleId="TOC1">
    <w:name w:val="toc 1"/>
    <w:basedOn w:val="Heading2"/>
    <w:next w:val="TOC2"/>
    <w:uiPriority w:val="39"/>
    <w:rsid w:val="00FA615A"/>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FA615A"/>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FA615A"/>
    <w:pPr>
      <w:tabs>
        <w:tab w:val="clear" w:pos="1701"/>
      </w:tabs>
      <w:ind w:left="0" w:firstLine="0"/>
    </w:pPr>
    <w:rPr>
      <w:noProof/>
    </w:rPr>
  </w:style>
  <w:style w:type="numbering" w:styleId="111111">
    <w:name w:val="Outline List 2"/>
    <w:basedOn w:val="NoList"/>
    <w:semiHidden/>
    <w:rsid w:val="00FA615A"/>
    <w:pPr>
      <w:numPr>
        <w:numId w:val="15"/>
      </w:numPr>
    </w:pPr>
  </w:style>
  <w:style w:type="numbering" w:styleId="1ai">
    <w:name w:val="Outline List 1"/>
    <w:basedOn w:val="NoList"/>
    <w:semiHidden/>
    <w:rsid w:val="00FA615A"/>
    <w:pPr>
      <w:numPr>
        <w:numId w:val="16"/>
      </w:numPr>
    </w:pPr>
  </w:style>
  <w:style w:type="numbering" w:styleId="ArticleSection">
    <w:name w:val="Outline List 3"/>
    <w:basedOn w:val="NoList"/>
    <w:semiHidden/>
    <w:rsid w:val="00FA615A"/>
    <w:pPr>
      <w:numPr>
        <w:numId w:val="17"/>
      </w:numPr>
    </w:pPr>
  </w:style>
  <w:style w:type="paragraph" w:styleId="BlockText">
    <w:name w:val="Block Text"/>
    <w:basedOn w:val="Normal"/>
    <w:semiHidden/>
    <w:rsid w:val="00FA615A"/>
    <w:pPr>
      <w:ind w:left="1440" w:right="1440"/>
    </w:pPr>
  </w:style>
  <w:style w:type="paragraph" w:styleId="BodyText">
    <w:name w:val="Body Text"/>
    <w:basedOn w:val="Normal"/>
    <w:semiHidden/>
    <w:rsid w:val="00FA615A"/>
  </w:style>
  <w:style w:type="paragraph" w:styleId="BodyText2">
    <w:name w:val="Body Text 2"/>
    <w:basedOn w:val="Normal"/>
    <w:semiHidden/>
    <w:rsid w:val="00FA615A"/>
    <w:pPr>
      <w:spacing w:line="480" w:lineRule="auto"/>
    </w:pPr>
  </w:style>
  <w:style w:type="paragraph" w:styleId="BodyText3">
    <w:name w:val="Body Text 3"/>
    <w:basedOn w:val="Normal"/>
    <w:semiHidden/>
    <w:rsid w:val="00FA615A"/>
    <w:rPr>
      <w:sz w:val="16"/>
      <w:szCs w:val="16"/>
    </w:rPr>
  </w:style>
  <w:style w:type="paragraph" w:styleId="BodyTextFirstIndent">
    <w:name w:val="Body Text First Indent"/>
    <w:basedOn w:val="BodyText"/>
    <w:semiHidden/>
    <w:rsid w:val="00FA615A"/>
    <w:pPr>
      <w:ind w:firstLine="210"/>
    </w:pPr>
  </w:style>
  <w:style w:type="paragraph" w:styleId="BodyTextIndent">
    <w:name w:val="Body Text Indent"/>
    <w:basedOn w:val="Normal"/>
    <w:semiHidden/>
    <w:rsid w:val="00FA615A"/>
    <w:pPr>
      <w:ind w:left="283"/>
    </w:pPr>
  </w:style>
  <w:style w:type="paragraph" w:styleId="BodyTextFirstIndent2">
    <w:name w:val="Body Text First Indent 2"/>
    <w:basedOn w:val="BodyTextIndent"/>
    <w:semiHidden/>
    <w:rsid w:val="00FA615A"/>
    <w:pPr>
      <w:ind w:firstLine="210"/>
    </w:pPr>
  </w:style>
  <w:style w:type="paragraph" w:styleId="BodyTextIndent2">
    <w:name w:val="Body Text Indent 2"/>
    <w:basedOn w:val="Normal"/>
    <w:semiHidden/>
    <w:rsid w:val="00FA615A"/>
    <w:pPr>
      <w:spacing w:line="480" w:lineRule="auto"/>
      <w:ind w:left="283"/>
    </w:pPr>
  </w:style>
  <w:style w:type="paragraph" w:styleId="BodyTextIndent3">
    <w:name w:val="Body Text Indent 3"/>
    <w:basedOn w:val="Normal"/>
    <w:semiHidden/>
    <w:rsid w:val="00FA615A"/>
    <w:pPr>
      <w:ind w:left="283"/>
    </w:pPr>
    <w:rPr>
      <w:sz w:val="16"/>
      <w:szCs w:val="16"/>
    </w:rPr>
  </w:style>
  <w:style w:type="paragraph" w:styleId="Closing">
    <w:name w:val="Closing"/>
    <w:basedOn w:val="Normal"/>
    <w:semiHidden/>
    <w:rsid w:val="00FA615A"/>
    <w:pPr>
      <w:ind w:left="4252"/>
    </w:pPr>
  </w:style>
  <w:style w:type="paragraph" w:styleId="Date">
    <w:name w:val="Date"/>
    <w:basedOn w:val="Normal"/>
    <w:next w:val="Normal"/>
    <w:semiHidden/>
    <w:rsid w:val="00FA615A"/>
  </w:style>
  <w:style w:type="paragraph" w:styleId="E-mailSignature">
    <w:name w:val="E-mail Signature"/>
    <w:basedOn w:val="Normal"/>
    <w:semiHidden/>
    <w:rsid w:val="00FA615A"/>
  </w:style>
  <w:style w:type="character" w:styleId="Emphasis">
    <w:name w:val="Emphasis"/>
    <w:basedOn w:val="DefaultParagraphFont"/>
    <w:qFormat/>
    <w:rsid w:val="00FA615A"/>
    <w:rPr>
      <w:i/>
      <w:iCs/>
    </w:rPr>
  </w:style>
  <w:style w:type="paragraph" w:styleId="EnvelopeAddress">
    <w:name w:val="envelope address"/>
    <w:basedOn w:val="Normal"/>
    <w:semiHidden/>
    <w:rsid w:val="00FA615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FA615A"/>
    <w:rPr>
      <w:rFonts w:ascii="Arial" w:hAnsi="Arial" w:cs="Arial"/>
      <w:sz w:val="20"/>
    </w:rPr>
  </w:style>
  <w:style w:type="paragraph" w:styleId="Footer">
    <w:name w:val="footer"/>
    <w:basedOn w:val="Normal"/>
    <w:link w:val="FooterChar"/>
    <w:rsid w:val="00FA615A"/>
    <w:pPr>
      <w:tabs>
        <w:tab w:val="center" w:pos="4153"/>
        <w:tab w:val="right" w:pos="8306"/>
      </w:tabs>
    </w:pPr>
  </w:style>
  <w:style w:type="paragraph" w:styleId="Header">
    <w:name w:val="header"/>
    <w:basedOn w:val="Normal"/>
    <w:link w:val="HeaderChar"/>
    <w:rsid w:val="00FA615A"/>
    <w:pPr>
      <w:tabs>
        <w:tab w:val="center" w:pos="4153"/>
        <w:tab w:val="right" w:pos="8306"/>
      </w:tabs>
    </w:pPr>
  </w:style>
  <w:style w:type="character" w:styleId="HTMLAcronym">
    <w:name w:val="HTML Acronym"/>
    <w:basedOn w:val="DefaultParagraphFont"/>
    <w:semiHidden/>
    <w:rsid w:val="00FA615A"/>
  </w:style>
  <w:style w:type="paragraph" w:styleId="HTMLAddress">
    <w:name w:val="HTML Address"/>
    <w:basedOn w:val="Normal"/>
    <w:semiHidden/>
    <w:rsid w:val="00FA615A"/>
    <w:rPr>
      <w:i/>
      <w:iCs/>
    </w:rPr>
  </w:style>
  <w:style w:type="character" w:styleId="HTMLCite">
    <w:name w:val="HTML Cite"/>
    <w:basedOn w:val="DefaultParagraphFont"/>
    <w:semiHidden/>
    <w:rsid w:val="00FA615A"/>
    <w:rPr>
      <w:i/>
      <w:iCs/>
    </w:rPr>
  </w:style>
  <w:style w:type="character" w:styleId="HTMLCode">
    <w:name w:val="HTML Code"/>
    <w:basedOn w:val="DefaultParagraphFont"/>
    <w:semiHidden/>
    <w:rsid w:val="00FA615A"/>
    <w:rPr>
      <w:rFonts w:ascii="Courier New" w:hAnsi="Courier New" w:cs="Courier New"/>
      <w:sz w:val="20"/>
      <w:szCs w:val="20"/>
    </w:rPr>
  </w:style>
  <w:style w:type="character" w:styleId="HTMLDefinition">
    <w:name w:val="HTML Definition"/>
    <w:basedOn w:val="DefaultParagraphFont"/>
    <w:semiHidden/>
    <w:rsid w:val="00FA615A"/>
    <w:rPr>
      <w:i/>
      <w:iCs/>
    </w:rPr>
  </w:style>
  <w:style w:type="character" w:styleId="HTMLKeyboard">
    <w:name w:val="HTML Keyboard"/>
    <w:basedOn w:val="DefaultParagraphFont"/>
    <w:semiHidden/>
    <w:rsid w:val="00FA615A"/>
    <w:rPr>
      <w:rFonts w:ascii="Courier New" w:hAnsi="Courier New" w:cs="Courier New"/>
      <w:sz w:val="20"/>
      <w:szCs w:val="20"/>
    </w:rPr>
  </w:style>
  <w:style w:type="paragraph" w:styleId="HTMLPreformatted">
    <w:name w:val="HTML Preformatted"/>
    <w:basedOn w:val="Normal"/>
    <w:semiHidden/>
    <w:rsid w:val="00FA615A"/>
    <w:rPr>
      <w:rFonts w:ascii="Courier New" w:hAnsi="Courier New" w:cs="Courier New"/>
      <w:sz w:val="20"/>
    </w:rPr>
  </w:style>
  <w:style w:type="character" w:styleId="HTMLSample">
    <w:name w:val="HTML Sample"/>
    <w:basedOn w:val="DefaultParagraphFont"/>
    <w:semiHidden/>
    <w:rsid w:val="00FA615A"/>
    <w:rPr>
      <w:rFonts w:ascii="Courier New" w:hAnsi="Courier New" w:cs="Courier New"/>
    </w:rPr>
  </w:style>
  <w:style w:type="character" w:styleId="HTMLTypewriter">
    <w:name w:val="HTML Typewriter"/>
    <w:basedOn w:val="DefaultParagraphFont"/>
    <w:semiHidden/>
    <w:rsid w:val="00FA615A"/>
    <w:rPr>
      <w:rFonts w:ascii="Courier New" w:hAnsi="Courier New" w:cs="Courier New"/>
      <w:sz w:val="20"/>
      <w:szCs w:val="20"/>
    </w:rPr>
  </w:style>
  <w:style w:type="character" w:styleId="HTMLVariable">
    <w:name w:val="HTML Variable"/>
    <w:basedOn w:val="DefaultParagraphFont"/>
    <w:semiHidden/>
    <w:rsid w:val="00FA615A"/>
    <w:rPr>
      <w:i/>
      <w:iCs/>
    </w:rPr>
  </w:style>
  <w:style w:type="character" w:styleId="LineNumber">
    <w:name w:val="line number"/>
    <w:basedOn w:val="DefaultParagraphFont"/>
    <w:semiHidden/>
    <w:rsid w:val="00FA615A"/>
  </w:style>
  <w:style w:type="paragraph" w:styleId="List">
    <w:name w:val="List"/>
    <w:basedOn w:val="Normal"/>
    <w:semiHidden/>
    <w:rsid w:val="00FA615A"/>
    <w:pPr>
      <w:ind w:left="283" w:hanging="283"/>
    </w:pPr>
  </w:style>
  <w:style w:type="paragraph" w:styleId="List2">
    <w:name w:val="List 2"/>
    <w:basedOn w:val="Normal"/>
    <w:semiHidden/>
    <w:rsid w:val="00FA615A"/>
    <w:pPr>
      <w:ind w:left="566" w:hanging="283"/>
    </w:pPr>
  </w:style>
  <w:style w:type="paragraph" w:styleId="List3">
    <w:name w:val="List 3"/>
    <w:basedOn w:val="Normal"/>
    <w:semiHidden/>
    <w:rsid w:val="00FA615A"/>
    <w:pPr>
      <w:ind w:left="849" w:hanging="283"/>
    </w:pPr>
  </w:style>
  <w:style w:type="paragraph" w:styleId="List4">
    <w:name w:val="List 4"/>
    <w:basedOn w:val="Normal"/>
    <w:semiHidden/>
    <w:rsid w:val="00FA615A"/>
    <w:pPr>
      <w:ind w:left="1132" w:hanging="283"/>
    </w:pPr>
  </w:style>
  <w:style w:type="paragraph" w:styleId="List5">
    <w:name w:val="List 5"/>
    <w:basedOn w:val="Normal"/>
    <w:semiHidden/>
    <w:rsid w:val="00FA615A"/>
    <w:pPr>
      <w:ind w:left="1415" w:hanging="283"/>
    </w:pPr>
  </w:style>
  <w:style w:type="paragraph" w:styleId="ListBullet">
    <w:name w:val="List Bullet"/>
    <w:basedOn w:val="Normal"/>
    <w:semiHidden/>
    <w:rsid w:val="00FA615A"/>
    <w:pPr>
      <w:numPr>
        <w:numId w:val="5"/>
      </w:numPr>
    </w:pPr>
  </w:style>
  <w:style w:type="paragraph" w:styleId="ListBullet2">
    <w:name w:val="List Bullet 2"/>
    <w:basedOn w:val="Normal"/>
    <w:semiHidden/>
    <w:rsid w:val="00FA615A"/>
    <w:pPr>
      <w:tabs>
        <w:tab w:val="num" w:pos="643"/>
      </w:tabs>
      <w:ind w:left="643" w:hanging="360"/>
    </w:pPr>
  </w:style>
  <w:style w:type="paragraph" w:styleId="ListBullet3">
    <w:name w:val="List Bullet 3"/>
    <w:basedOn w:val="Normal"/>
    <w:semiHidden/>
    <w:rsid w:val="00FA615A"/>
    <w:pPr>
      <w:tabs>
        <w:tab w:val="num" w:pos="926"/>
      </w:tabs>
      <w:ind w:left="926" w:hanging="360"/>
    </w:pPr>
  </w:style>
  <w:style w:type="paragraph" w:styleId="ListBullet4">
    <w:name w:val="List Bullet 4"/>
    <w:basedOn w:val="Normal"/>
    <w:semiHidden/>
    <w:rsid w:val="00FA615A"/>
    <w:pPr>
      <w:numPr>
        <w:numId w:val="8"/>
      </w:numPr>
    </w:pPr>
  </w:style>
  <w:style w:type="paragraph" w:styleId="ListBullet5">
    <w:name w:val="List Bullet 5"/>
    <w:basedOn w:val="Normal"/>
    <w:semiHidden/>
    <w:rsid w:val="00FA615A"/>
    <w:pPr>
      <w:numPr>
        <w:numId w:val="9"/>
      </w:numPr>
    </w:pPr>
  </w:style>
  <w:style w:type="paragraph" w:styleId="ListContinue">
    <w:name w:val="List Continue"/>
    <w:basedOn w:val="Normal"/>
    <w:semiHidden/>
    <w:rsid w:val="00FA615A"/>
    <w:pPr>
      <w:ind w:left="283"/>
    </w:pPr>
  </w:style>
  <w:style w:type="paragraph" w:styleId="ListContinue2">
    <w:name w:val="List Continue 2"/>
    <w:basedOn w:val="Normal"/>
    <w:semiHidden/>
    <w:rsid w:val="00FA615A"/>
    <w:pPr>
      <w:ind w:left="566"/>
    </w:pPr>
  </w:style>
  <w:style w:type="paragraph" w:styleId="ListContinue3">
    <w:name w:val="List Continue 3"/>
    <w:basedOn w:val="Normal"/>
    <w:semiHidden/>
    <w:rsid w:val="00FA615A"/>
    <w:pPr>
      <w:ind w:left="849"/>
    </w:pPr>
  </w:style>
  <w:style w:type="paragraph" w:styleId="ListContinue4">
    <w:name w:val="List Continue 4"/>
    <w:basedOn w:val="Normal"/>
    <w:semiHidden/>
    <w:rsid w:val="00FA615A"/>
    <w:pPr>
      <w:ind w:left="1132"/>
    </w:pPr>
  </w:style>
  <w:style w:type="paragraph" w:styleId="ListContinue5">
    <w:name w:val="List Continue 5"/>
    <w:basedOn w:val="Normal"/>
    <w:semiHidden/>
    <w:rsid w:val="00FA615A"/>
    <w:pPr>
      <w:ind w:left="1415"/>
    </w:pPr>
  </w:style>
  <w:style w:type="paragraph" w:styleId="ListNumber">
    <w:name w:val="List Number"/>
    <w:basedOn w:val="Normal"/>
    <w:semiHidden/>
    <w:rsid w:val="00FA615A"/>
    <w:pPr>
      <w:numPr>
        <w:numId w:val="10"/>
      </w:numPr>
    </w:pPr>
  </w:style>
  <w:style w:type="paragraph" w:styleId="ListNumber2">
    <w:name w:val="List Number 2"/>
    <w:basedOn w:val="Normal"/>
    <w:semiHidden/>
    <w:rsid w:val="00FA615A"/>
    <w:pPr>
      <w:numPr>
        <w:numId w:val="11"/>
      </w:numPr>
    </w:pPr>
  </w:style>
  <w:style w:type="paragraph" w:styleId="ListNumber3">
    <w:name w:val="List Number 3"/>
    <w:basedOn w:val="Normal"/>
    <w:semiHidden/>
    <w:rsid w:val="00FA615A"/>
    <w:pPr>
      <w:numPr>
        <w:numId w:val="12"/>
      </w:numPr>
    </w:pPr>
  </w:style>
  <w:style w:type="paragraph" w:styleId="ListNumber4">
    <w:name w:val="List Number 4"/>
    <w:basedOn w:val="Normal"/>
    <w:semiHidden/>
    <w:rsid w:val="00FA615A"/>
    <w:pPr>
      <w:numPr>
        <w:numId w:val="13"/>
      </w:numPr>
    </w:pPr>
  </w:style>
  <w:style w:type="paragraph" w:styleId="ListNumber5">
    <w:name w:val="List Number 5"/>
    <w:basedOn w:val="Normal"/>
    <w:semiHidden/>
    <w:rsid w:val="00FA615A"/>
    <w:pPr>
      <w:numPr>
        <w:numId w:val="14"/>
      </w:numPr>
    </w:pPr>
  </w:style>
  <w:style w:type="paragraph" w:styleId="MessageHeader">
    <w:name w:val="Message Header"/>
    <w:basedOn w:val="Normal"/>
    <w:semiHidden/>
    <w:rsid w:val="00FA615A"/>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rsid w:val="00FA615A"/>
    <w:rPr>
      <w:sz w:val="24"/>
      <w:szCs w:val="24"/>
    </w:rPr>
  </w:style>
  <w:style w:type="paragraph" w:styleId="NormalIndent">
    <w:name w:val="Normal Indent"/>
    <w:basedOn w:val="Normal"/>
    <w:rsid w:val="00FA615A"/>
    <w:pPr>
      <w:ind w:left="720"/>
    </w:pPr>
  </w:style>
  <w:style w:type="paragraph" w:styleId="NoteHeading">
    <w:name w:val="Note Heading"/>
    <w:basedOn w:val="Normal"/>
    <w:next w:val="Normal"/>
    <w:semiHidden/>
    <w:rsid w:val="00FA615A"/>
  </w:style>
  <w:style w:type="character" w:styleId="PageNumber">
    <w:name w:val="page number"/>
    <w:basedOn w:val="DefaultParagraphFont"/>
    <w:rsid w:val="00FA615A"/>
  </w:style>
  <w:style w:type="paragraph" w:styleId="PlainText">
    <w:name w:val="Plain Text"/>
    <w:basedOn w:val="Normal"/>
    <w:semiHidden/>
    <w:rsid w:val="00FA615A"/>
    <w:rPr>
      <w:rFonts w:ascii="Courier New" w:hAnsi="Courier New" w:cs="Courier New"/>
      <w:sz w:val="20"/>
    </w:rPr>
  </w:style>
  <w:style w:type="paragraph" w:styleId="Salutation">
    <w:name w:val="Salutation"/>
    <w:basedOn w:val="Normal"/>
    <w:next w:val="Normal"/>
    <w:semiHidden/>
    <w:rsid w:val="00FA615A"/>
  </w:style>
  <w:style w:type="paragraph" w:styleId="Signature">
    <w:name w:val="Signature"/>
    <w:basedOn w:val="Normal"/>
    <w:semiHidden/>
    <w:rsid w:val="00FA615A"/>
    <w:pPr>
      <w:ind w:left="4252"/>
    </w:pPr>
  </w:style>
  <w:style w:type="character" w:styleId="Strong">
    <w:name w:val="Strong"/>
    <w:basedOn w:val="DefaultParagraphFont"/>
    <w:qFormat/>
    <w:rsid w:val="00FA615A"/>
    <w:rPr>
      <w:b/>
      <w:bCs/>
    </w:rPr>
  </w:style>
  <w:style w:type="paragraph" w:styleId="Subtitle">
    <w:name w:val="Subtitle"/>
    <w:basedOn w:val="Normal"/>
    <w:qFormat/>
    <w:rsid w:val="00FA615A"/>
    <w:pPr>
      <w:spacing w:after="60"/>
      <w:jc w:val="center"/>
      <w:outlineLvl w:val="1"/>
    </w:pPr>
    <w:rPr>
      <w:rFonts w:ascii="Arial" w:hAnsi="Arial" w:cs="Arial"/>
      <w:sz w:val="24"/>
      <w:szCs w:val="24"/>
    </w:rPr>
  </w:style>
  <w:style w:type="table" w:styleId="Table3Deffects1">
    <w:name w:val="Table 3D effects 1"/>
    <w:basedOn w:val="TableNormal"/>
    <w:semiHidden/>
    <w:rsid w:val="00FA615A"/>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A615A"/>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A615A"/>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A615A"/>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A615A"/>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A615A"/>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A615A"/>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A615A"/>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A615A"/>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A615A"/>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A615A"/>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A615A"/>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A615A"/>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A615A"/>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A615A"/>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A615A"/>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A615A"/>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A615A"/>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FA615A"/>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A615A"/>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A615A"/>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A615A"/>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A615A"/>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A615A"/>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A615A"/>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A615A"/>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A615A"/>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A615A"/>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A615A"/>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A615A"/>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A615A"/>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A615A"/>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A615A"/>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A615A"/>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A615A"/>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A615A"/>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A615A"/>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A615A"/>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A615A"/>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A615A"/>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A615A"/>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A615A"/>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A615A"/>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A615A"/>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A615A"/>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FA615A"/>
    <w:rPr>
      <w:b/>
    </w:rPr>
  </w:style>
  <w:style w:type="character" w:customStyle="1" w:styleId="Italic">
    <w:name w:val="Italic"/>
    <w:basedOn w:val="DefaultParagraphFont"/>
    <w:rsid w:val="00FA615A"/>
    <w:rPr>
      <w:i/>
    </w:rPr>
  </w:style>
  <w:style w:type="character" w:customStyle="1" w:styleId="BoldItalic">
    <w:name w:val="BoldItalic"/>
    <w:basedOn w:val="DefaultParagraphFont"/>
    <w:rsid w:val="00FA615A"/>
    <w:rPr>
      <w:b/>
      <w:i/>
    </w:rPr>
  </w:style>
  <w:style w:type="paragraph" w:customStyle="1" w:styleId="Glossarytabletext">
    <w:name w:val="Glossary table text"/>
    <w:basedOn w:val="Normal"/>
    <w:rsid w:val="00FA615A"/>
    <w:pPr>
      <w:spacing w:before="60" w:after="60"/>
    </w:pPr>
    <w:rPr>
      <w:sz w:val="20"/>
    </w:rPr>
  </w:style>
  <w:style w:type="character" w:customStyle="1" w:styleId="base-text-paragraphChar">
    <w:name w:val="base-text-paragraph Char"/>
    <w:basedOn w:val="DefaultParagraphFont"/>
    <w:link w:val="base-text-paragraph"/>
    <w:rsid w:val="00FA615A"/>
    <w:rPr>
      <w:sz w:val="22"/>
    </w:rPr>
  </w:style>
  <w:style w:type="paragraph" w:styleId="FootnoteText">
    <w:name w:val="footnote text"/>
    <w:basedOn w:val="Normal"/>
    <w:link w:val="FootnoteTextChar"/>
    <w:rsid w:val="0012468C"/>
    <w:pPr>
      <w:tabs>
        <w:tab w:val="left" w:pos="284"/>
      </w:tabs>
      <w:spacing w:before="0" w:after="0"/>
      <w:ind w:left="284" w:hanging="284"/>
    </w:pPr>
    <w:rPr>
      <w:sz w:val="20"/>
    </w:rPr>
  </w:style>
  <w:style w:type="numbering" w:customStyle="1" w:styleId="ChapterList">
    <w:name w:val="ChapterList"/>
    <w:uiPriority w:val="99"/>
    <w:rsid w:val="00FA615A"/>
    <w:pPr>
      <w:numPr>
        <w:numId w:val="19"/>
      </w:numPr>
    </w:pPr>
  </w:style>
  <w:style w:type="paragraph" w:styleId="ListParagraph">
    <w:name w:val="List Paragraph"/>
    <w:basedOn w:val="Normal"/>
    <w:uiPriority w:val="34"/>
    <w:qFormat/>
    <w:rsid w:val="00FA615A"/>
    <w:pPr>
      <w:ind w:left="720"/>
      <w:contextualSpacing/>
    </w:pPr>
  </w:style>
  <w:style w:type="numbering" w:customStyle="1" w:styleId="DotPointList">
    <w:name w:val="Dot Point List"/>
    <w:uiPriority w:val="99"/>
    <w:rsid w:val="00FA615A"/>
    <w:pPr>
      <w:numPr>
        <w:numId w:val="20"/>
      </w:numPr>
    </w:pPr>
  </w:style>
  <w:style w:type="numbering" w:customStyle="1" w:styleId="ExampleDotPointList">
    <w:name w:val="Example Dot Point List"/>
    <w:uiPriority w:val="99"/>
    <w:rsid w:val="00FA615A"/>
    <w:pPr>
      <w:numPr>
        <w:numId w:val="21"/>
      </w:numPr>
    </w:pPr>
  </w:style>
  <w:style w:type="numbering" w:customStyle="1" w:styleId="TableDotPointList">
    <w:name w:val="Table Dot Point List"/>
    <w:uiPriority w:val="99"/>
    <w:rsid w:val="00FA615A"/>
    <w:pPr>
      <w:numPr>
        <w:numId w:val="22"/>
      </w:numPr>
    </w:pPr>
  </w:style>
  <w:style w:type="character" w:customStyle="1" w:styleId="Font30point">
    <w:name w:val="Font 30 point"/>
    <w:basedOn w:val="DefaultParagraphFont"/>
    <w:rsid w:val="00FA615A"/>
    <w:rPr>
      <w:sz w:val="60"/>
    </w:rPr>
  </w:style>
  <w:style w:type="character" w:customStyle="1" w:styleId="Font15point">
    <w:name w:val="Font 15 point"/>
    <w:basedOn w:val="DefaultParagraphFont"/>
    <w:rsid w:val="00FA615A"/>
    <w:rPr>
      <w:sz w:val="30"/>
    </w:rPr>
  </w:style>
  <w:style w:type="character" w:customStyle="1" w:styleId="Font19point">
    <w:name w:val="Font 19 point"/>
    <w:basedOn w:val="DefaultParagraphFont"/>
    <w:rsid w:val="00FA615A"/>
    <w:rPr>
      <w:sz w:val="38"/>
    </w:rPr>
  </w:style>
  <w:style w:type="paragraph" w:customStyle="1" w:styleId="NumberedParagraphs">
    <w:name w:val="NumberedParagraphs"/>
    <w:basedOn w:val="Normal"/>
    <w:link w:val="NumberedParagraphsCharChar"/>
    <w:rsid w:val="006A159E"/>
    <w:pPr>
      <w:tabs>
        <w:tab w:val="num" w:pos="709"/>
      </w:tabs>
      <w:spacing w:before="0" w:after="240" w:line="260" w:lineRule="exact"/>
    </w:pPr>
    <w:rPr>
      <w:color w:val="000000"/>
      <w:sz w:val="24"/>
      <w:szCs w:val="24"/>
    </w:rPr>
  </w:style>
  <w:style w:type="character" w:customStyle="1" w:styleId="NumberedParagraphsCharChar">
    <w:name w:val="NumberedParagraphs Char Char"/>
    <w:basedOn w:val="DefaultParagraphFont"/>
    <w:link w:val="NumberedParagraphs"/>
    <w:rsid w:val="006A159E"/>
    <w:rPr>
      <w:color w:val="000000"/>
      <w:sz w:val="24"/>
      <w:szCs w:val="24"/>
    </w:rPr>
  </w:style>
  <w:style w:type="paragraph" w:customStyle="1" w:styleId="Bullet">
    <w:name w:val="Bullet"/>
    <w:basedOn w:val="Normal"/>
    <w:rsid w:val="006A159E"/>
    <w:pPr>
      <w:numPr>
        <w:numId w:val="31"/>
      </w:numPr>
      <w:spacing w:before="0" w:after="240" w:line="260" w:lineRule="exact"/>
      <w:jc w:val="both"/>
    </w:pPr>
    <w:rPr>
      <w:color w:val="000000"/>
      <w:sz w:val="24"/>
      <w:szCs w:val="24"/>
    </w:rPr>
  </w:style>
  <w:style w:type="paragraph" w:customStyle="1" w:styleId="DoubleDot">
    <w:name w:val="Double Dot"/>
    <w:basedOn w:val="Normal"/>
    <w:rsid w:val="006A159E"/>
    <w:pPr>
      <w:numPr>
        <w:ilvl w:val="2"/>
        <w:numId w:val="31"/>
      </w:numPr>
      <w:spacing w:before="0" w:after="240" w:line="260" w:lineRule="exact"/>
      <w:jc w:val="both"/>
    </w:pPr>
    <w:rPr>
      <w:color w:val="000000"/>
      <w:sz w:val="24"/>
      <w:szCs w:val="24"/>
    </w:rPr>
  </w:style>
  <w:style w:type="paragraph" w:customStyle="1" w:styleId="Dash">
    <w:name w:val="Dash"/>
    <w:basedOn w:val="Normal"/>
    <w:rsid w:val="006A159E"/>
    <w:pPr>
      <w:widowControl w:val="0"/>
      <w:numPr>
        <w:ilvl w:val="1"/>
        <w:numId w:val="31"/>
      </w:numPr>
      <w:autoSpaceDE w:val="0"/>
      <w:autoSpaceDN w:val="0"/>
      <w:spacing w:before="0" w:after="0"/>
    </w:pPr>
    <w:rPr>
      <w:rFonts w:ascii="Univers" w:hAnsi="Univers" w:cs="Univers"/>
      <w:sz w:val="24"/>
      <w:szCs w:val="24"/>
    </w:rPr>
  </w:style>
  <w:style w:type="character" w:customStyle="1" w:styleId="Heading3Char">
    <w:name w:val="Heading 3 Char"/>
    <w:basedOn w:val="DefaultParagraphFont"/>
    <w:link w:val="Heading3"/>
    <w:rsid w:val="006A159E"/>
    <w:rPr>
      <w:rFonts w:ascii="Helvetica" w:hAnsi="Helvetica"/>
      <w:b/>
      <w:sz w:val="22"/>
    </w:rPr>
  </w:style>
  <w:style w:type="character" w:customStyle="1" w:styleId="Heading1Char">
    <w:name w:val="Heading 1 Char"/>
    <w:basedOn w:val="DefaultParagraphFont"/>
    <w:link w:val="Heading1"/>
    <w:rsid w:val="006A159E"/>
    <w:rPr>
      <w:rFonts w:ascii="Helvetica" w:hAnsi="Helvetica"/>
      <w:b/>
      <w:caps/>
      <w:sz w:val="28"/>
    </w:rPr>
  </w:style>
  <w:style w:type="character" w:customStyle="1" w:styleId="Heading2Char">
    <w:name w:val="Heading 2 Char"/>
    <w:basedOn w:val="DefaultParagraphFont"/>
    <w:link w:val="Heading2"/>
    <w:rsid w:val="006A159E"/>
    <w:rPr>
      <w:rFonts w:ascii="Helvetica" w:hAnsi="Helvetica"/>
      <w:b/>
      <w:sz w:val="26"/>
    </w:rPr>
  </w:style>
  <w:style w:type="character" w:customStyle="1" w:styleId="Heading4Char">
    <w:name w:val="Heading 4 Char"/>
    <w:basedOn w:val="DefaultParagraphFont"/>
    <w:link w:val="Heading4"/>
    <w:rsid w:val="006A159E"/>
    <w:rPr>
      <w:b/>
      <w:i/>
      <w:sz w:val="22"/>
    </w:rPr>
  </w:style>
  <w:style w:type="character" w:customStyle="1" w:styleId="Heading5Char">
    <w:name w:val="Heading 5 Char"/>
    <w:basedOn w:val="DefaultParagraphFont"/>
    <w:link w:val="Heading5"/>
    <w:rsid w:val="006A159E"/>
    <w:rPr>
      <w:bCs/>
      <w:i/>
      <w:iCs/>
      <w:sz w:val="22"/>
      <w:szCs w:val="26"/>
    </w:rPr>
  </w:style>
  <w:style w:type="character" w:customStyle="1" w:styleId="Heading6Char">
    <w:name w:val="Heading 6 Char"/>
    <w:basedOn w:val="DefaultParagraphFont"/>
    <w:link w:val="Heading6"/>
    <w:rsid w:val="006A159E"/>
    <w:rPr>
      <w:iCs/>
      <w:sz w:val="22"/>
      <w:szCs w:val="22"/>
      <w:u w:val="single"/>
    </w:rPr>
  </w:style>
  <w:style w:type="character" w:customStyle="1" w:styleId="Heading7Char">
    <w:name w:val="Heading 7 Char"/>
    <w:basedOn w:val="DefaultParagraphFont"/>
    <w:link w:val="Heading7"/>
    <w:rsid w:val="006A159E"/>
    <w:rPr>
      <w:sz w:val="24"/>
      <w:szCs w:val="24"/>
    </w:rPr>
  </w:style>
  <w:style w:type="character" w:customStyle="1" w:styleId="Heading8Char">
    <w:name w:val="Heading 8 Char"/>
    <w:basedOn w:val="DefaultParagraphFont"/>
    <w:link w:val="Heading8"/>
    <w:rsid w:val="006A159E"/>
    <w:rPr>
      <w:i/>
      <w:iCs/>
      <w:sz w:val="24"/>
      <w:szCs w:val="24"/>
    </w:rPr>
  </w:style>
  <w:style w:type="character" w:customStyle="1" w:styleId="Heading9Char">
    <w:name w:val="Heading 9 Char"/>
    <w:basedOn w:val="DefaultParagraphFont"/>
    <w:link w:val="Heading9"/>
    <w:rsid w:val="006A159E"/>
    <w:rPr>
      <w:rFonts w:ascii="Arial" w:hAnsi="Arial" w:cs="Arial"/>
      <w:sz w:val="22"/>
      <w:szCs w:val="22"/>
    </w:rPr>
  </w:style>
  <w:style w:type="paragraph" w:customStyle="1" w:styleId="HeadingBase">
    <w:name w:val="Heading Base"/>
    <w:next w:val="Normal"/>
    <w:link w:val="HeadingBaseChar"/>
    <w:rsid w:val="006A159E"/>
    <w:pPr>
      <w:keepNext/>
    </w:pPr>
    <w:rPr>
      <w:rFonts w:ascii="Arial" w:hAnsi="Arial"/>
      <w:color w:val="000000"/>
    </w:rPr>
  </w:style>
  <w:style w:type="character" w:customStyle="1" w:styleId="HeadingBaseChar">
    <w:name w:val="Heading Base Char"/>
    <w:basedOn w:val="DefaultParagraphFont"/>
    <w:link w:val="HeadingBase"/>
    <w:rsid w:val="006A159E"/>
    <w:rPr>
      <w:rFonts w:ascii="Arial" w:hAnsi="Arial"/>
      <w:color w:val="000000"/>
    </w:rPr>
  </w:style>
  <w:style w:type="character" w:styleId="Hyperlink">
    <w:name w:val="Hyperlink"/>
    <w:basedOn w:val="DefaultParagraphFont"/>
    <w:uiPriority w:val="99"/>
    <w:rsid w:val="006A159E"/>
    <w:rPr>
      <w:color w:val="auto"/>
      <w:u w:val="none"/>
    </w:rPr>
  </w:style>
  <w:style w:type="character" w:customStyle="1" w:styleId="BoldandItalic">
    <w:name w:val="Bold and Italic"/>
    <w:basedOn w:val="DefaultParagraphFont"/>
    <w:rsid w:val="006A159E"/>
    <w:rPr>
      <w:rFonts w:ascii="Arial" w:hAnsi="Arial"/>
      <w:b/>
      <w:i/>
    </w:rPr>
  </w:style>
  <w:style w:type="paragraph" w:customStyle="1" w:styleId="Heading1NoTOC">
    <w:name w:val="Heading 1 No TOC"/>
    <w:basedOn w:val="Heading1"/>
    <w:next w:val="NumberedParagraphs"/>
    <w:rsid w:val="006A159E"/>
    <w:pPr>
      <w:spacing w:before="360" w:after="240"/>
    </w:pPr>
    <w:rPr>
      <w:rFonts w:ascii="Arial Bold" w:hAnsi="Arial Bold" w:cs="Arial"/>
      <w:bCs/>
      <w:caps w:val="0"/>
      <w:color w:val="000000"/>
      <w:kern w:val="32"/>
      <w:sz w:val="32"/>
      <w:szCs w:val="32"/>
    </w:rPr>
  </w:style>
  <w:style w:type="character" w:customStyle="1" w:styleId="FootnoteTextChar">
    <w:name w:val="Footnote Text Char"/>
    <w:basedOn w:val="DefaultParagraphFont"/>
    <w:link w:val="FootnoteText"/>
    <w:rsid w:val="0012468C"/>
  </w:style>
  <w:style w:type="paragraph" w:customStyle="1" w:styleId="DashChar">
    <w:name w:val="Dash Char"/>
    <w:basedOn w:val="Normal"/>
    <w:link w:val="DashCharChar"/>
    <w:rsid w:val="006A159E"/>
    <w:pPr>
      <w:tabs>
        <w:tab w:val="num" w:pos="2551"/>
      </w:tabs>
      <w:spacing w:before="0" w:after="240" w:line="260" w:lineRule="exact"/>
      <w:ind w:left="2551" w:hanging="283"/>
      <w:jc w:val="both"/>
    </w:pPr>
    <w:rPr>
      <w:color w:val="000000"/>
      <w:sz w:val="24"/>
      <w:szCs w:val="24"/>
    </w:rPr>
  </w:style>
  <w:style w:type="character" w:customStyle="1" w:styleId="DashCharChar">
    <w:name w:val="Dash Char Char"/>
    <w:basedOn w:val="DefaultParagraphFont"/>
    <w:link w:val="DashChar"/>
    <w:rsid w:val="006A159E"/>
    <w:rPr>
      <w:color w:val="000000"/>
      <w:sz w:val="24"/>
      <w:szCs w:val="24"/>
    </w:rPr>
  </w:style>
  <w:style w:type="paragraph" w:customStyle="1" w:styleId="OutlineNumbered1">
    <w:name w:val="Outline Numbered 1"/>
    <w:basedOn w:val="Normal"/>
    <w:rsid w:val="006A159E"/>
    <w:pPr>
      <w:spacing w:before="0" w:after="240" w:line="260" w:lineRule="exact"/>
      <w:jc w:val="both"/>
    </w:pPr>
    <w:rPr>
      <w:color w:val="000000"/>
      <w:sz w:val="24"/>
      <w:szCs w:val="24"/>
    </w:rPr>
  </w:style>
  <w:style w:type="paragraph" w:customStyle="1" w:styleId="OutlineNumbered2">
    <w:name w:val="Outline Numbered 2"/>
    <w:basedOn w:val="Normal"/>
    <w:rsid w:val="006A159E"/>
    <w:pPr>
      <w:spacing w:before="0" w:after="240" w:line="260" w:lineRule="exact"/>
      <w:jc w:val="both"/>
    </w:pPr>
    <w:rPr>
      <w:color w:val="000000"/>
      <w:sz w:val="24"/>
      <w:szCs w:val="24"/>
    </w:rPr>
  </w:style>
  <w:style w:type="paragraph" w:customStyle="1" w:styleId="OutlineNumbered3">
    <w:name w:val="Outline Numbered 3"/>
    <w:basedOn w:val="Normal"/>
    <w:rsid w:val="006A159E"/>
    <w:pPr>
      <w:tabs>
        <w:tab w:val="num" w:pos="360"/>
      </w:tabs>
      <w:spacing w:before="0" w:after="240" w:line="260" w:lineRule="exact"/>
      <w:ind w:left="360" w:hanging="360"/>
      <w:jc w:val="both"/>
    </w:pPr>
    <w:rPr>
      <w:color w:val="000000"/>
      <w:sz w:val="24"/>
      <w:szCs w:val="24"/>
    </w:rPr>
  </w:style>
  <w:style w:type="paragraph" w:customStyle="1" w:styleId="AlphaParagraph">
    <w:name w:val="Alpha Paragraph"/>
    <w:basedOn w:val="Normal"/>
    <w:link w:val="AlphaParagraphChar"/>
    <w:rsid w:val="006A159E"/>
    <w:pPr>
      <w:tabs>
        <w:tab w:val="num" w:pos="283"/>
      </w:tabs>
      <w:spacing w:before="0" w:after="240" w:line="260" w:lineRule="exact"/>
      <w:ind w:left="283" w:hanging="283"/>
      <w:jc w:val="both"/>
    </w:pPr>
    <w:rPr>
      <w:color w:val="000000"/>
      <w:sz w:val="24"/>
      <w:szCs w:val="24"/>
    </w:rPr>
  </w:style>
  <w:style w:type="character" w:customStyle="1" w:styleId="AlphaParagraphChar">
    <w:name w:val="Alpha Paragraph Char"/>
    <w:basedOn w:val="DefaultParagraphFont"/>
    <w:link w:val="AlphaParagraph"/>
    <w:rsid w:val="006A159E"/>
    <w:rPr>
      <w:color w:val="000000"/>
      <w:sz w:val="24"/>
      <w:szCs w:val="24"/>
    </w:rPr>
  </w:style>
  <w:style w:type="paragraph" w:customStyle="1" w:styleId="ChapterNo">
    <w:name w:val="Chapter No"/>
    <w:basedOn w:val="HeadingBase"/>
    <w:rsid w:val="006A159E"/>
    <w:pPr>
      <w:spacing w:before="120" w:after="240"/>
      <w:jc w:val="center"/>
    </w:pPr>
    <w:rPr>
      <w:rFonts w:ascii="Arial Bold" w:hAnsi="Arial Bold"/>
      <w:b/>
      <w:color w:val="FFFFFF"/>
      <w:sz w:val="48"/>
      <w:szCs w:val="48"/>
    </w:rPr>
  </w:style>
  <w:style w:type="paragraph" w:customStyle="1" w:styleId="Classification">
    <w:name w:val="Classification"/>
    <w:basedOn w:val="HeadingBase"/>
    <w:next w:val="Footer"/>
    <w:rsid w:val="006A159E"/>
    <w:pPr>
      <w:spacing w:after="120"/>
      <w:jc w:val="center"/>
    </w:pPr>
    <w:rPr>
      <w:b/>
      <w:smallCaps/>
    </w:rPr>
  </w:style>
  <w:style w:type="character" w:customStyle="1" w:styleId="FooterChar">
    <w:name w:val="Footer Char"/>
    <w:basedOn w:val="DefaultParagraphFont"/>
    <w:link w:val="Footer"/>
    <w:rsid w:val="006A159E"/>
    <w:rPr>
      <w:sz w:val="22"/>
    </w:rPr>
  </w:style>
  <w:style w:type="paragraph" w:customStyle="1" w:styleId="ContentsHeading">
    <w:name w:val="Contents Heading"/>
    <w:basedOn w:val="HeadingBase"/>
    <w:next w:val="Normal"/>
    <w:rsid w:val="006A159E"/>
    <w:pPr>
      <w:jc w:val="center"/>
    </w:pPr>
    <w:rPr>
      <w:b/>
      <w:sz w:val="28"/>
      <w:szCs w:val="28"/>
    </w:rPr>
  </w:style>
  <w:style w:type="paragraph" w:customStyle="1" w:styleId="TitleText">
    <w:name w:val="Title Text"/>
    <w:basedOn w:val="Normal"/>
    <w:rsid w:val="006A159E"/>
    <w:pPr>
      <w:spacing w:before="0" w:after="0"/>
      <w:jc w:val="center"/>
    </w:pPr>
    <w:rPr>
      <w:caps/>
      <w:color w:val="000000"/>
      <w:sz w:val="24"/>
      <w:szCs w:val="24"/>
    </w:rPr>
  </w:style>
  <w:style w:type="paragraph" w:customStyle="1" w:styleId="HeaderNone">
    <w:name w:val="HeaderNone"/>
    <w:basedOn w:val="Header"/>
    <w:rsid w:val="006A159E"/>
    <w:pPr>
      <w:tabs>
        <w:tab w:val="clear" w:pos="4153"/>
        <w:tab w:val="clear" w:pos="8306"/>
      </w:tabs>
      <w:spacing w:before="0" w:after="240" w:line="260" w:lineRule="exact"/>
      <w:jc w:val="both"/>
    </w:pPr>
    <w:rPr>
      <w:b/>
      <w:color w:val="000000"/>
      <w:szCs w:val="22"/>
    </w:rPr>
  </w:style>
  <w:style w:type="character" w:customStyle="1" w:styleId="HeaderChar">
    <w:name w:val="Header Char"/>
    <w:basedOn w:val="DefaultParagraphFont"/>
    <w:link w:val="Header"/>
    <w:rsid w:val="006A159E"/>
    <w:rPr>
      <w:sz w:val="22"/>
    </w:rPr>
  </w:style>
  <w:style w:type="paragraph" w:customStyle="1" w:styleId="FooterEven">
    <w:name w:val="Footer Even"/>
    <w:basedOn w:val="Footer"/>
    <w:rsid w:val="006A159E"/>
    <w:pPr>
      <w:pBdr>
        <w:top w:val="single" w:sz="4" w:space="1" w:color="auto"/>
      </w:pBdr>
      <w:tabs>
        <w:tab w:val="clear" w:pos="4153"/>
        <w:tab w:val="clear" w:pos="8306"/>
        <w:tab w:val="left" w:pos="709"/>
      </w:tabs>
      <w:spacing w:before="0" w:after="240" w:line="260" w:lineRule="exact"/>
      <w:jc w:val="both"/>
    </w:pPr>
    <w:rPr>
      <w:i/>
      <w:color w:val="000000"/>
      <w:szCs w:val="22"/>
    </w:rPr>
  </w:style>
  <w:style w:type="paragraph" w:customStyle="1" w:styleId="FooterOdd">
    <w:name w:val="Footer Odd"/>
    <w:basedOn w:val="Footer"/>
    <w:rsid w:val="006A159E"/>
    <w:pPr>
      <w:pBdr>
        <w:top w:val="single" w:sz="4" w:space="1" w:color="auto"/>
      </w:pBdr>
      <w:tabs>
        <w:tab w:val="clear" w:pos="4153"/>
        <w:tab w:val="clear" w:pos="8306"/>
        <w:tab w:val="right" w:pos="6946"/>
        <w:tab w:val="right" w:pos="7655"/>
      </w:tabs>
      <w:spacing w:before="0" w:after="240" w:line="260" w:lineRule="exact"/>
      <w:jc w:val="right"/>
    </w:pPr>
    <w:rPr>
      <w:i/>
      <w:color w:val="000000"/>
      <w:szCs w:val="22"/>
    </w:rPr>
  </w:style>
  <w:style w:type="character" w:customStyle="1" w:styleId="FramedFooter">
    <w:name w:val="Framed Footer"/>
    <w:rsid w:val="006A159E"/>
    <w:rPr>
      <w:rFonts w:ascii="Arial" w:hAnsi="Arial"/>
      <w:sz w:val="18"/>
    </w:rPr>
  </w:style>
  <w:style w:type="character" w:customStyle="1" w:styleId="FramedHeader">
    <w:name w:val="Framed Header"/>
    <w:basedOn w:val="DefaultParagraphFont"/>
    <w:rsid w:val="006A159E"/>
    <w:rPr>
      <w:rFonts w:ascii="Arial" w:hAnsi="Arial"/>
      <w:dstrike w:val="0"/>
      <w:color w:val="auto"/>
      <w:sz w:val="18"/>
      <w:vertAlign w:val="baseline"/>
    </w:rPr>
  </w:style>
  <w:style w:type="paragraph" w:customStyle="1" w:styleId="HeaderEven">
    <w:name w:val="Header Even"/>
    <w:basedOn w:val="Header"/>
    <w:rsid w:val="006A159E"/>
    <w:pPr>
      <w:pBdr>
        <w:bottom w:val="single" w:sz="4" w:space="1" w:color="auto"/>
      </w:pBdr>
      <w:tabs>
        <w:tab w:val="clear" w:pos="4153"/>
        <w:tab w:val="clear" w:pos="8306"/>
      </w:tabs>
      <w:spacing w:before="0" w:after="240" w:line="260" w:lineRule="exact"/>
      <w:jc w:val="both"/>
    </w:pPr>
    <w:rPr>
      <w:b/>
      <w:color w:val="000000"/>
      <w:szCs w:val="22"/>
    </w:rPr>
  </w:style>
  <w:style w:type="paragraph" w:customStyle="1" w:styleId="HeaderOdd">
    <w:name w:val="Header Odd"/>
    <w:basedOn w:val="Header"/>
    <w:rsid w:val="006A159E"/>
    <w:pPr>
      <w:pBdr>
        <w:bottom w:val="single" w:sz="4" w:space="1" w:color="auto"/>
      </w:pBdr>
      <w:tabs>
        <w:tab w:val="clear" w:pos="4153"/>
        <w:tab w:val="clear" w:pos="8306"/>
      </w:tabs>
      <w:spacing w:before="0" w:after="240" w:line="260" w:lineRule="exact"/>
      <w:jc w:val="right"/>
    </w:pPr>
    <w:rPr>
      <w:b/>
      <w:color w:val="000000"/>
      <w:szCs w:val="22"/>
    </w:rPr>
  </w:style>
  <w:style w:type="paragraph" w:styleId="TOC3">
    <w:name w:val="toc 3"/>
    <w:basedOn w:val="Normal"/>
    <w:next w:val="Normal"/>
    <w:uiPriority w:val="39"/>
    <w:qFormat/>
    <w:rsid w:val="006A159E"/>
    <w:pPr>
      <w:tabs>
        <w:tab w:val="right" w:pos="7700"/>
      </w:tabs>
      <w:spacing w:before="20" w:after="0"/>
      <w:ind w:left="284" w:right="851"/>
      <w:jc w:val="both"/>
    </w:pPr>
    <w:rPr>
      <w:rFonts w:ascii="Arial" w:hAnsi="Arial"/>
      <w:color w:val="000000"/>
      <w:sz w:val="20"/>
      <w:szCs w:val="24"/>
    </w:rPr>
  </w:style>
  <w:style w:type="paragraph" w:styleId="TOC4">
    <w:name w:val="toc 4"/>
    <w:basedOn w:val="Normal"/>
    <w:next w:val="Normal"/>
    <w:uiPriority w:val="39"/>
    <w:rsid w:val="006A159E"/>
    <w:pPr>
      <w:numPr>
        <w:numId w:val="33"/>
      </w:numPr>
      <w:tabs>
        <w:tab w:val="clear" w:pos="567"/>
        <w:tab w:val="right" w:pos="7700"/>
      </w:tabs>
      <w:spacing w:before="0" w:after="0"/>
      <w:ind w:left="284" w:right="851"/>
      <w:jc w:val="both"/>
    </w:pPr>
    <w:rPr>
      <w:color w:val="000000"/>
      <w:sz w:val="24"/>
      <w:szCs w:val="24"/>
    </w:rPr>
  </w:style>
  <w:style w:type="character" w:customStyle="1" w:styleId="italic0">
    <w:name w:val="italic"/>
    <w:basedOn w:val="DefaultParagraphFont"/>
    <w:rsid w:val="006A159E"/>
    <w:rPr>
      <w:i/>
    </w:rPr>
  </w:style>
  <w:style w:type="paragraph" w:customStyle="1" w:styleId="OneLevelNumberedParagraph">
    <w:name w:val="One Level Numbered Paragraph"/>
    <w:basedOn w:val="Normal"/>
    <w:rsid w:val="006A159E"/>
    <w:pPr>
      <w:numPr>
        <w:numId w:val="34"/>
      </w:numPr>
      <w:tabs>
        <w:tab w:val="clear" w:pos="1134"/>
        <w:tab w:val="num" w:pos="360"/>
      </w:tabs>
      <w:spacing w:before="0" w:after="240" w:line="260" w:lineRule="exact"/>
      <w:ind w:left="0" w:firstLine="0"/>
      <w:jc w:val="both"/>
    </w:pPr>
    <w:rPr>
      <w:color w:val="000000"/>
      <w:sz w:val="24"/>
      <w:szCs w:val="24"/>
    </w:rPr>
  </w:style>
  <w:style w:type="character" w:styleId="FollowedHyperlink">
    <w:name w:val="FollowedHyperlink"/>
    <w:basedOn w:val="DefaultParagraphFont"/>
    <w:rsid w:val="006A159E"/>
    <w:rPr>
      <w:color w:val="auto"/>
      <w:u w:val="none"/>
    </w:rPr>
  </w:style>
  <w:style w:type="paragraph" w:customStyle="1" w:styleId="BeforeChapterNumber">
    <w:name w:val="Before Chapter Number"/>
    <w:basedOn w:val="Normal"/>
    <w:rsid w:val="006A159E"/>
    <w:pPr>
      <w:spacing w:before="1100" w:after="240"/>
      <w:jc w:val="both"/>
    </w:pPr>
    <w:rPr>
      <w:color w:val="000000"/>
      <w:sz w:val="24"/>
      <w:szCs w:val="24"/>
    </w:rPr>
  </w:style>
  <w:style w:type="paragraph" w:customStyle="1" w:styleId="FooterNone">
    <w:name w:val="FooterNone"/>
    <w:basedOn w:val="Footer"/>
    <w:rsid w:val="006A159E"/>
    <w:pPr>
      <w:tabs>
        <w:tab w:val="clear" w:pos="4153"/>
        <w:tab w:val="clear" w:pos="8306"/>
      </w:tabs>
      <w:spacing w:before="0" w:after="240" w:line="260" w:lineRule="exact"/>
      <w:jc w:val="both"/>
    </w:pPr>
    <w:rPr>
      <w:i/>
      <w:color w:val="000000"/>
      <w:szCs w:val="22"/>
    </w:rPr>
  </w:style>
  <w:style w:type="character" w:customStyle="1" w:styleId="CharAmSchText">
    <w:name w:val="CharAmSchText"/>
    <w:basedOn w:val="DefaultParagraphFont"/>
    <w:rsid w:val="006A159E"/>
  </w:style>
  <w:style w:type="paragraph" w:customStyle="1" w:styleId="NumberedParagraph">
    <w:name w:val="Numbered Paragraph"/>
    <w:basedOn w:val="Normal"/>
    <w:rsid w:val="006A159E"/>
    <w:pPr>
      <w:tabs>
        <w:tab w:val="num" w:pos="643"/>
      </w:tabs>
      <w:spacing w:before="0" w:after="240" w:line="260" w:lineRule="exact"/>
      <w:ind w:left="643" w:hanging="360"/>
      <w:jc w:val="both"/>
    </w:pPr>
    <w:rPr>
      <w:color w:val="000000"/>
      <w:sz w:val="24"/>
      <w:szCs w:val="24"/>
    </w:rPr>
  </w:style>
  <w:style w:type="paragraph" w:customStyle="1" w:styleId="AlphaPara">
    <w:name w:val="AlphaPara"/>
    <w:basedOn w:val="Normal"/>
    <w:rsid w:val="006A159E"/>
    <w:pPr>
      <w:tabs>
        <w:tab w:val="left" w:pos="567"/>
        <w:tab w:val="num" w:pos="926"/>
      </w:tabs>
      <w:spacing w:before="0" w:after="240" w:line="260" w:lineRule="exact"/>
      <w:ind w:left="926" w:hanging="360"/>
      <w:jc w:val="both"/>
    </w:pPr>
    <w:rPr>
      <w:rFonts w:ascii="Book Antiqua" w:hAnsi="Book Antiqua" w:cs="Book Antiqua"/>
      <w:szCs w:val="22"/>
    </w:rPr>
  </w:style>
  <w:style w:type="paragraph" w:styleId="BalloonText">
    <w:name w:val="Balloon Text"/>
    <w:basedOn w:val="Normal"/>
    <w:link w:val="BalloonTextChar"/>
    <w:rsid w:val="006A159E"/>
    <w:pPr>
      <w:spacing w:before="0" w:after="240" w:line="260" w:lineRule="exact"/>
      <w:jc w:val="both"/>
    </w:pPr>
    <w:rPr>
      <w:rFonts w:ascii="Tahoma" w:hAnsi="Tahoma" w:cs="Tahoma"/>
      <w:color w:val="000000"/>
      <w:sz w:val="16"/>
      <w:szCs w:val="16"/>
    </w:rPr>
  </w:style>
  <w:style w:type="character" w:customStyle="1" w:styleId="BalloonTextChar">
    <w:name w:val="Balloon Text Char"/>
    <w:basedOn w:val="DefaultParagraphFont"/>
    <w:link w:val="BalloonText"/>
    <w:rsid w:val="006A159E"/>
    <w:rPr>
      <w:rFonts w:ascii="Tahoma" w:hAnsi="Tahoma" w:cs="Tahoma"/>
      <w:color w:val="000000"/>
      <w:sz w:val="16"/>
      <w:szCs w:val="16"/>
    </w:rPr>
  </w:style>
  <w:style w:type="paragraph" w:styleId="DocumentMap">
    <w:name w:val="Document Map"/>
    <w:basedOn w:val="Normal"/>
    <w:link w:val="DocumentMapChar"/>
    <w:rsid w:val="006A159E"/>
    <w:pPr>
      <w:shd w:val="clear" w:color="auto" w:fill="000080"/>
      <w:spacing w:before="0" w:after="240" w:line="260" w:lineRule="exact"/>
      <w:jc w:val="both"/>
    </w:pPr>
    <w:rPr>
      <w:rFonts w:ascii="Tahoma" w:hAnsi="Tahoma" w:cs="Tahoma"/>
      <w:color w:val="000000"/>
      <w:sz w:val="20"/>
    </w:rPr>
  </w:style>
  <w:style w:type="character" w:customStyle="1" w:styleId="DocumentMapChar">
    <w:name w:val="Document Map Char"/>
    <w:basedOn w:val="DefaultParagraphFont"/>
    <w:link w:val="DocumentMap"/>
    <w:rsid w:val="006A159E"/>
    <w:rPr>
      <w:rFonts w:ascii="Tahoma" w:hAnsi="Tahoma" w:cs="Tahoma"/>
      <w:color w:val="000000"/>
      <w:shd w:val="clear" w:color="auto" w:fill="000080"/>
    </w:rPr>
  </w:style>
  <w:style w:type="paragraph" w:customStyle="1" w:styleId="paragraph0">
    <w:name w:val="paragraph"/>
    <w:aliases w:val="a"/>
    <w:rsid w:val="006A159E"/>
    <w:pPr>
      <w:tabs>
        <w:tab w:val="right" w:pos="1531"/>
      </w:tabs>
      <w:spacing w:before="40"/>
      <w:ind w:left="1644" w:hanging="1644"/>
    </w:pPr>
    <w:rPr>
      <w:sz w:val="22"/>
      <w:szCs w:val="24"/>
    </w:rPr>
  </w:style>
  <w:style w:type="paragraph" w:customStyle="1" w:styleId="notedraft">
    <w:name w:val="note(draft)"/>
    <w:aliases w:val="nd"/>
    <w:rsid w:val="006A159E"/>
    <w:pPr>
      <w:spacing w:before="240"/>
      <w:ind w:left="284" w:hanging="284"/>
    </w:pPr>
    <w:rPr>
      <w:i/>
      <w:sz w:val="24"/>
      <w:szCs w:val="24"/>
    </w:rPr>
  </w:style>
  <w:style w:type="paragraph" w:customStyle="1" w:styleId="Subitem">
    <w:name w:val="Subitem"/>
    <w:aliases w:val="iss"/>
    <w:rsid w:val="006A159E"/>
    <w:pPr>
      <w:spacing w:before="180"/>
      <w:ind w:left="709" w:hanging="709"/>
    </w:pPr>
    <w:rPr>
      <w:sz w:val="22"/>
      <w:szCs w:val="24"/>
    </w:rPr>
  </w:style>
  <w:style w:type="paragraph" w:customStyle="1" w:styleId="SubitemHead">
    <w:name w:val="SubitemHead"/>
    <w:aliases w:val="issh"/>
    <w:next w:val="Subitem"/>
    <w:rsid w:val="006A159E"/>
    <w:pPr>
      <w:keepNext/>
      <w:keepLines/>
      <w:spacing w:before="220"/>
      <w:ind w:left="709"/>
    </w:pPr>
    <w:rPr>
      <w:rFonts w:ascii="Arial" w:hAnsi="Arial" w:cs="Arial"/>
      <w:i/>
      <w:kern w:val="28"/>
      <w:sz w:val="22"/>
      <w:szCs w:val="24"/>
    </w:rPr>
  </w:style>
  <w:style w:type="paragraph" w:customStyle="1" w:styleId="ChartMainHeading">
    <w:name w:val="Chart Main Heading"/>
    <w:basedOn w:val="HeadingBase"/>
    <w:next w:val="ChartGraphic"/>
    <w:rsid w:val="006A159E"/>
    <w:pPr>
      <w:spacing w:after="20"/>
      <w:jc w:val="center"/>
    </w:pPr>
    <w:rPr>
      <w:b/>
      <w:sz w:val="22"/>
    </w:rPr>
  </w:style>
  <w:style w:type="paragraph" w:customStyle="1" w:styleId="ChartGraphic">
    <w:name w:val="Chart Graphic"/>
    <w:basedOn w:val="HeadingBase"/>
    <w:next w:val="Normal"/>
    <w:rsid w:val="006A159E"/>
    <w:pPr>
      <w:jc w:val="center"/>
    </w:pPr>
  </w:style>
  <w:style w:type="paragraph" w:customStyle="1" w:styleId="ChartSecondHeading">
    <w:name w:val="Chart Second Heading"/>
    <w:basedOn w:val="HeadingBase"/>
    <w:next w:val="ChartGraphic"/>
    <w:rsid w:val="006A159E"/>
    <w:pPr>
      <w:spacing w:after="20"/>
      <w:jc w:val="center"/>
    </w:pPr>
  </w:style>
  <w:style w:type="paragraph" w:customStyle="1" w:styleId="TableMainHeading">
    <w:name w:val="Table Main Heading"/>
    <w:basedOn w:val="HeadingBase"/>
    <w:next w:val="TableGraphic"/>
    <w:rsid w:val="006A159E"/>
    <w:pPr>
      <w:spacing w:after="20"/>
    </w:pPr>
    <w:rPr>
      <w:b/>
      <w:sz w:val="22"/>
    </w:rPr>
  </w:style>
  <w:style w:type="paragraph" w:customStyle="1" w:styleId="TableGraphic">
    <w:name w:val="Table Graphic"/>
    <w:basedOn w:val="HeadingBase"/>
    <w:next w:val="Normal"/>
    <w:rsid w:val="006A159E"/>
  </w:style>
  <w:style w:type="paragraph" w:customStyle="1" w:styleId="Paragraph">
    <w:name w:val="Paragraph"/>
    <w:basedOn w:val="Normal"/>
    <w:rsid w:val="006A159E"/>
    <w:pPr>
      <w:numPr>
        <w:numId w:val="35"/>
      </w:numPr>
      <w:tabs>
        <w:tab w:val="clear" w:pos="360"/>
      </w:tabs>
      <w:spacing w:before="240" w:after="240" w:line="260" w:lineRule="exact"/>
      <w:ind w:left="0" w:firstLine="0"/>
      <w:jc w:val="both"/>
    </w:pPr>
    <w:rPr>
      <w:rFonts w:ascii="Times" w:hAnsi="Times" w:cs="Times"/>
      <w:color w:val="000000"/>
      <w:sz w:val="26"/>
      <w:szCs w:val="26"/>
    </w:rPr>
  </w:style>
  <w:style w:type="paragraph" w:customStyle="1" w:styleId="OptionsTable">
    <w:name w:val="Options Table"/>
    <w:basedOn w:val="Option"/>
    <w:link w:val="OptionsTableChar"/>
    <w:rsid w:val="006A159E"/>
    <w:pPr>
      <w:tabs>
        <w:tab w:val="left" w:pos="1134"/>
      </w:tabs>
      <w:ind w:left="0" w:firstLine="0"/>
    </w:pPr>
    <w:rPr>
      <w:bCs w:val="0"/>
      <w:iCs/>
    </w:rPr>
  </w:style>
  <w:style w:type="paragraph" w:customStyle="1" w:styleId="Option">
    <w:name w:val="Option"/>
    <w:basedOn w:val="Heading4"/>
    <w:link w:val="OptionChar"/>
    <w:rsid w:val="006A159E"/>
    <w:pPr>
      <w:spacing w:before="0"/>
      <w:ind w:hanging="1134"/>
    </w:pPr>
    <w:rPr>
      <w:rFonts w:ascii="Arial" w:hAnsi="Arial"/>
      <w:bCs/>
      <w:color w:val="000000"/>
      <w:szCs w:val="22"/>
    </w:rPr>
  </w:style>
  <w:style w:type="character" w:customStyle="1" w:styleId="OptionChar">
    <w:name w:val="Option Char"/>
    <w:basedOn w:val="Heading4Char"/>
    <w:link w:val="Option"/>
    <w:rsid w:val="006A159E"/>
    <w:rPr>
      <w:rFonts w:ascii="Arial" w:hAnsi="Arial"/>
      <w:b/>
      <w:bCs/>
      <w:i/>
      <w:color w:val="000000"/>
      <w:sz w:val="22"/>
      <w:szCs w:val="22"/>
    </w:rPr>
  </w:style>
  <w:style w:type="character" w:customStyle="1" w:styleId="OptionsTableChar">
    <w:name w:val="Options Table Char"/>
    <w:basedOn w:val="OptionChar"/>
    <w:link w:val="OptionsTable"/>
    <w:rsid w:val="006A159E"/>
    <w:rPr>
      <w:rFonts w:ascii="Arial" w:hAnsi="Arial"/>
      <w:b/>
      <w:bCs w:val="0"/>
      <w:i/>
      <w:iCs/>
      <w:color w:val="000000"/>
      <w:sz w:val="22"/>
      <w:szCs w:val="22"/>
    </w:rPr>
  </w:style>
  <w:style w:type="character" w:styleId="FootnoteReference">
    <w:name w:val="footnote reference"/>
    <w:basedOn w:val="DefaultParagraphFont"/>
    <w:rsid w:val="006A159E"/>
    <w:rPr>
      <w:vertAlign w:val="superscript"/>
    </w:rPr>
  </w:style>
  <w:style w:type="paragraph" w:customStyle="1" w:styleId="AppendixHeading">
    <w:name w:val="Appendix Heading"/>
    <w:basedOn w:val="HeadingBase"/>
    <w:next w:val="Normal"/>
    <w:rsid w:val="006A159E"/>
    <w:pPr>
      <w:spacing w:before="720" w:after="360"/>
    </w:pPr>
    <w:rPr>
      <w:rFonts w:ascii="Arial Bold" w:hAnsi="Arial Bold"/>
      <w:b/>
      <w:smallCaps/>
      <w:sz w:val="36"/>
      <w:szCs w:val="36"/>
    </w:rPr>
  </w:style>
  <w:style w:type="paragraph" w:customStyle="1" w:styleId="BoxHeading">
    <w:name w:val="Box Heading"/>
    <w:basedOn w:val="HeadingBase"/>
    <w:next w:val="BoxText"/>
    <w:rsid w:val="006A159E"/>
    <w:pPr>
      <w:spacing w:before="240" w:after="120"/>
    </w:pPr>
    <w:rPr>
      <w:b/>
      <w:sz w:val="22"/>
    </w:rPr>
  </w:style>
  <w:style w:type="paragraph" w:customStyle="1" w:styleId="BoxText">
    <w:name w:val="Box Text"/>
    <w:basedOn w:val="BoxTextBase"/>
    <w:rsid w:val="006A159E"/>
  </w:style>
  <w:style w:type="paragraph" w:customStyle="1" w:styleId="BoxTextBase">
    <w:name w:val="Box Text Base"/>
    <w:basedOn w:val="Normal"/>
    <w:rsid w:val="006A159E"/>
    <w:pPr>
      <w:spacing w:before="0" w:after="240"/>
      <w:jc w:val="both"/>
    </w:pPr>
    <w:rPr>
      <w:color w:val="000000"/>
      <w:sz w:val="24"/>
      <w:szCs w:val="24"/>
    </w:rPr>
  </w:style>
  <w:style w:type="paragraph" w:customStyle="1" w:styleId="ChartandTableFootnoteAlpha">
    <w:name w:val="Chart and Table Footnote Alpha"/>
    <w:rsid w:val="006A159E"/>
    <w:pPr>
      <w:tabs>
        <w:tab w:val="num" w:pos="1209"/>
      </w:tabs>
      <w:ind w:left="1209" w:hanging="360"/>
      <w:jc w:val="both"/>
    </w:pPr>
    <w:rPr>
      <w:rFonts w:ascii="Arial" w:hAnsi="Arial"/>
      <w:color w:val="000000"/>
      <w:sz w:val="16"/>
      <w:szCs w:val="16"/>
    </w:rPr>
  </w:style>
  <w:style w:type="paragraph" w:customStyle="1" w:styleId="ChartorTableNote">
    <w:name w:val="Chart or Table Note"/>
    <w:next w:val="Normal"/>
    <w:rsid w:val="006A159E"/>
    <w:pPr>
      <w:jc w:val="both"/>
    </w:pPr>
    <w:rPr>
      <w:rFonts w:ascii="Arial" w:hAnsi="Arial"/>
      <w:color w:val="000000"/>
      <w:sz w:val="16"/>
    </w:rPr>
  </w:style>
  <w:style w:type="paragraph" w:customStyle="1" w:styleId="CoverTitleMain">
    <w:name w:val="Cover Title Main"/>
    <w:basedOn w:val="HeadingBase"/>
    <w:next w:val="Normal"/>
    <w:rsid w:val="006A159E"/>
    <w:pPr>
      <w:spacing w:after="480"/>
      <w:jc w:val="center"/>
    </w:pPr>
    <w:rPr>
      <w:b/>
      <w:sz w:val="48"/>
    </w:rPr>
  </w:style>
  <w:style w:type="paragraph" w:customStyle="1" w:styleId="CoverTitleSub">
    <w:name w:val="Cover Title Sub"/>
    <w:basedOn w:val="HeadingBase"/>
    <w:rsid w:val="006A159E"/>
    <w:pPr>
      <w:spacing w:after="360"/>
      <w:jc w:val="center"/>
    </w:pPr>
    <w:rPr>
      <w:sz w:val="36"/>
    </w:rPr>
  </w:style>
  <w:style w:type="paragraph" w:customStyle="1" w:styleId="FooterCentered">
    <w:name w:val="Footer Centered"/>
    <w:basedOn w:val="Footer"/>
    <w:rsid w:val="006A159E"/>
    <w:pPr>
      <w:pBdr>
        <w:top w:val="single" w:sz="4" w:space="1" w:color="auto"/>
      </w:pBdr>
      <w:tabs>
        <w:tab w:val="clear" w:pos="4153"/>
        <w:tab w:val="clear" w:pos="8306"/>
      </w:tabs>
      <w:spacing w:before="0" w:after="240" w:line="260" w:lineRule="exact"/>
      <w:jc w:val="center"/>
    </w:pPr>
    <w:rPr>
      <w:i/>
      <w:color w:val="000000"/>
      <w:szCs w:val="22"/>
    </w:rPr>
  </w:style>
  <w:style w:type="paragraph" w:customStyle="1" w:styleId="RecommendationHeading">
    <w:name w:val="Recommendation Heading"/>
    <w:basedOn w:val="HeadingBase"/>
    <w:next w:val="RecommendationText"/>
    <w:rsid w:val="006A159E"/>
    <w:pPr>
      <w:spacing w:before="120" w:after="240"/>
    </w:pPr>
    <w:rPr>
      <w:b/>
      <w:sz w:val="22"/>
    </w:rPr>
  </w:style>
  <w:style w:type="paragraph" w:customStyle="1" w:styleId="RecommendationText">
    <w:name w:val="Recommendation Text"/>
    <w:basedOn w:val="RecommendationTextBase"/>
    <w:rsid w:val="006A159E"/>
  </w:style>
  <w:style w:type="paragraph" w:customStyle="1" w:styleId="RecommendationTextBase">
    <w:name w:val="Recommendation Text Base"/>
    <w:basedOn w:val="Normal"/>
    <w:rsid w:val="006A159E"/>
    <w:pPr>
      <w:spacing w:before="0" w:after="240" w:line="260" w:lineRule="exact"/>
      <w:jc w:val="both"/>
    </w:pPr>
    <w:rPr>
      <w:color w:val="000000"/>
      <w:sz w:val="24"/>
      <w:szCs w:val="24"/>
    </w:rPr>
  </w:style>
  <w:style w:type="paragraph" w:customStyle="1" w:styleId="TableTextBase">
    <w:name w:val="Table Text Base"/>
    <w:rsid w:val="006A159E"/>
    <w:pPr>
      <w:spacing w:before="60" w:after="60"/>
    </w:pPr>
    <w:rPr>
      <w:rFonts w:ascii="Arial" w:hAnsi="Arial"/>
      <w:color w:val="000000"/>
      <w:sz w:val="16"/>
    </w:rPr>
  </w:style>
  <w:style w:type="paragraph" w:customStyle="1" w:styleId="TableColumnHeadingCentred">
    <w:name w:val="Table Column Heading Centred"/>
    <w:basedOn w:val="TableTextBase"/>
    <w:rsid w:val="006A159E"/>
    <w:pPr>
      <w:jc w:val="center"/>
    </w:pPr>
    <w:rPr>
      <w:b/>
      <w:sz w:val="18"/>
    </w:rPr>
  </w:style>
  <w:style w:type="paragraph" w:customStyle="1" w:styleId="TableColumnHeadingLeft">
    <w:name w:val="Table Column Heading Left"/>
    <w:basedOn w:val="TableTextBase"/>
    <w:rsid w:val="006A159E"/>
    <w:rPr>
      <w:b/>
    </w:rPr>
  </w:style>
  <w:style w:type="paragraph" w:customStyle="1" w:styleId="TableColumnHeadingRight">
    <w:name w:val="Table Column Heading Right"/>
    <w:basedOn w:val="TableTextBase"/>
    <w:rsid w:val="006A159E"/>
    <w:pPr>
      <w:jc w:val="right"/>
    </w:pPr>
    <w:rPr>
      <w:b/>
    </w:rPr>
  </w:style>
  <w:style w:type="paragraph" w:customStyle="1" w:styleId="TableMainHeadingContd">
    <w:name w:val="Table Main Heading Contd"/>
    <w:basedOn w:val="HeadingBase"/>
    <w:next w:val="TableGraphic"/>
    <w:rsid w:val="006A159E"/>
    <w:pPr>
      <w:pageBreakBefore/>
      <w:spacing w:after="20"/>
    </w:pPr>
    <w:rPr>
      <w:b/>
      <w:sz w:val="22"/>
    </w:rPr>
  </w:style>
  <w:style w:type="paragraph" w:customStyle="1" w:styleId="TableSecondHeading">
    <w:name w:val="Table Second Heading"/>
    <w:basedOn w:val="HeadingBase"/>
    <w:next w:val="TableGraphic"/>
    <w:rsid w:val="006A159E"/>
    <w:pPr>
      <w:spacing w:after="20"/>
    </w:pPr>
  </w:style>
  <w:style w:type="paragraph" w:customStyle="1" w:styleId="TableTextCentered">
    <w:name w:val="Table Text Centered"/>
    <w:basedOn w:val="TableTextBase"/>
    <w:rsid w:val="006A159E"/>
    <w:pPr>
      <w:jc w:val="center"/>
    </w:pPr>
  </w:style>
  <w:style w:type="paragraph" w:customStyle="1" w:styleId="TableTextIndented">
    <w:name w:val="Table Text Indented"/>
    <w:basedOn w:val="TableTextBase"/>
    <w:rsid w:val="006A159E"/>
    <w:pPr>
      <w:ind w:left="284"/>
    </w:pPr>
  </w:style>
  <w:style w:type="paragraph" w:customStyle="1" w:styleId="TableTextLeft">
    <w:name w:val="Table Text Left"/>
    <w:basedOn w:val="TableTextBase"/>
    <w:rsid w:val="006A159E"/>
  </w:style>
  <w:style w:type="paragraph" w:customStyle="1" w:styleId="TableTextRight">
    <w:name w:val="Table Text Right"/>
    <w:basedOn w:val="TableTextBase"/>
    <w:rsid w:val="006A159E"/>
    <w:pPr>
      <w:jc w:val="right"/>
    </w:pPr>
  </w:style>
  <w:style w:type="paragraph" w:customStyle="1" w:styleId="BoxBullet">
    <w:name w:val="Box Bullet"/>
    <w:basedOn w:val="BoxTextBase"/>
    <w:rsid w:val="006A159E"/>
    <w:pPr>
      <w:tabs>
        <w:tab w:val="num" w:pos="1492"/>
      </w:tabs>
      <w:ind w:left="1492" w:hanging="360"/>
    </w:pPr>
  </w:style>
  <w:style w:type="paragraph" w:customStyle="1" w:styleId="BoxDash">
    <w:name w:val="Box Dash"/>
    <w:basedOn w:val="Normal"/>
    <w:rsid w:val="006A159E"/>
    <w:pPr>
      <w:numPr>
        <w:ilvl w:val="1"/>
        <w:numId w:val="6"/>
      </w:numPr>
      <w:spacing w:before="0" w:after="240" w:line="260" w:lineRule="exact"/>
      <w:jc w:val="both"/>
    </w:pPr>
    <w:rPr>
      <w:color w:val="000000"/>
      <w:sz w:val="24"/>
      <w:szCs w:val="24"/>
    </w:rPr>
  </w:style>
  <w:style w:type="paragraph" w:customStyle="1" w:styleId="BoxDoubleDot">
    <w:name w:val="Box Double Dot"/>
    <w:basedOn w:val="BoxTextBase"/>
    <w:rsid w:val="006A159E"/>
    <w:pPr>
      <w:tabs>
        <w:tab w:val="num" w:pos="1492"/>
      </w:tabs>
      <w:ind w:left="1492" w:hanging="360"/>
    </w:pPr>
  </w:style>
  <w:style w:type="paragraph" w:customStyle="1" w:styleId="RecommendationBullet">
    <w:name w:val="Recommendation Bullet"/>
    <w:basedOn w:val="RecommendationTextBase"/>
    <w:rsid w:val="006A159E"/>
    <w:pPr>
      <w:tabs>
        <w:tab w:val="num" w:pos="360"/>
      </w:tabs>
      <w:ind w:left="360" w:hanging="360"/>
    </w:pPr>
  </w:style>
  <w:style w:type="paragraph" w:customStyle="1" w:styleId="RecommendationDash">
    <w:name w:val="Recommendation Dash"/>
    <w:basedOn w:val="RecommendationTextBase"/>
    <w:rsid w:val="006A159E"/>
    <w:pPr>
      <w:numPr>
        <w:ilvl w:val="1"/>
        <w:numId w:val="7"/>
      </w:numPr>
    </w:pPr>
  </w:style>
  <w:style w:type="paragraph" w:customStyle="1" w:styleId="RecommendationDoubleDot">
    <w:name w:val="Recommendation Double Dot"/>
    <w:basedOn w:val="RecommendationTextBase"/>
    <w:rsid w:val="006A159E"/>
    <w:pPr>
      <w:tabs>
        <w:tab w:val="num" w:pos="360"/>
      </w:tabs>
      <w:ind w:left="360" w:hanging="360"/>
    </w:pPr>
  </w:style>
  <w:style w:type="paragraph" w:customStyle="1" w:styleId="Heading1notnumbered">
    <w:name w:val="Heading 1 not numbered"/>
    <w:basedOn w:val="HeadingBase"/>
    <w:next w:val="Normal"/>
    <w:rsid w:val="006A159E"/>
    <w:pPr>
      <w:spacing w:before="720" w:after="360"/>
    </w:pPr>
    <w:rPr>
      <w:rFonts w:ascii="Arial Bold" w:hAnsi="Arial Bold"/>
      <w:b/>
      <w:smallCaps/>
      <w:sz w:val="36"/>
      <w:szCs w:val="36"/>
    </w:rPr>
  </w:style>
  <w:style w:type="paragraph" w:customStyle="1" w:styleId="Heading2notnumbered">
    <w:name w:val="Heading 2 not numbered"/>
    <w:basedOn w:val="HeadingBase"/>
    <w:next w:val="Normal"/>
    <w:rsid w:val="006A159E"/>
    <w:pPr>
      <w:spacing w:before="360" w:after="240"/>
    </w:pPr>
    <w:rPr>
      <w:rFonts w:ascii="Arial Bold" w:hAnsi="Arial Bold"/>
      <w:b/>
      <w:smallCaps/>
      <w:sz w:val="28"/>
      <w:szCs w:val="28"/>
    </w:rPr>
  </w:style>
  <w:style w:type="paragraph" w:customStyle="1" w:styleId="Heading3notnumbered">
    <w:name w:val="Heading 3 not numbered"/>
    <w:basedOn w:val="HeadingBase"/>
    <w:next w:val="Normal"/>
    <w:rsid w:val="006A159E"/>
    <w:pPr>
      <w:spacing w:before="240" w:after="240"/>
    </w:pPr>
    <w:rPr>
      <w:rFonts w:ascii="Arial Bold" w:hAnsi="Arial Bold"/>
      <w:b/>
      <w:sz w:val="26"/>
      <w:szCs w:val="26"/>
    </w:rPr>
  </w:style>
  <w:style w:type="paragraph" w:customStyle="1" w:styleId="Style1">
    <w:name w:val="Style1"/>
    <w:basedOn w:val="Heading4"/>
    <w:rsid w:val="006A159E"/>
    <w:pPr>
      <w:widowControl w:val="0"/>
      <w:autoSpaceDE w:val="0"/>
      <w:autoSpaceDN w:val="0"/>
      <w:spacing w:before="240" w:after="0"/>
      <w:ind w:left="0"/>
    </w:pPr>
    <w:rPr>
      <w:rFonts w:ascii="Univers" w:hAnsi="Univers" w:cs="Univers"/>
      <w:sz w:val="20"/>
      <w:szCs w:val="24"/>
    </w:rPr>
  </w:style>
  <w:style w:type="paragraph" w:customStyle="1" w:styleId="TableChar">
    <w:name w:val="Table Char"/>
    <w:basedOn w:val="Normal"/>
    <w:rsid w:val="006A159E"/>
    <w:rPr>
      <w:rFonts w:ascii="Arial" w:hAnsi="Arial"/>
      <w:sz w:val="20"/>
      <w:szCs w:val="24"/>
      <w:lang w:val="en-US" w:eastAsia="en-US"/>
    </w:rPr>
  </w:style>
  <w:style w:type="paragraph" w:styleId="TOC5">
    <w:name w:val="toc 5"/>
    <w:basedOn w:val="Normal"/>
    <w:next w:val="Normal"/>
    <w:autoRedefine/>
    <w:uiPriority w:val="39"/>
    <w:unhideWhenUsed/>
    <w:rsid w:val="006A159E"/>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6A159E"/>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6A159E"/>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6A159E"/>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6A159E"/>
    <w:pPr>
      <w:spacing w:before="0" w:after="100" w:line="276"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046">
      <w:bodyDiv w:val="1"/>
      <w:marLeft w:val="0"/>
      <w:marRight w:val="0"/>
      <w:marTop w:val="0"/>
      <w:marBottom w:val="0"/>
      <w:divBdr>
        <w:top w:val="none" w:sz="0" w:space="0" w:color="auto"/>
        <w:left w:val="none" w:sz="0" w:space="0" w:color="auto"/>
        <w:bottom w:val="none" w:sz="0" w:space="0" w:color="auto"/>
        <w:right w:val="none" w:sz="0" w:space="0" w:color="auto"/>
      </w:divBdr>
    </w:div>
    <w:div w:id="187330342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header" Target="header14.xml"/><Relationship Id="rId47" Type="http://schemas.openxmlformats.org/officeDocument/2006/relationships/footer" Target="footer19.xm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6.xml"/><Relationship Id="rId45"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4.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1.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header" Target="header15.xml"/><Relationship Id="rId48" Type="http://schemas.openxmlformats.org/officeDocument/2006/relationships/footer" Target="footer20.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373BF-94D4-4D00-A046-B48DB961BF79}">
  <ds:schemaRefs>
    <ds:schemaRef ds:uri="http://schemas.microsoft.com/sharepoint/v3/contenttype/forms"/>
  </ds:schemaRefs>
</ds:datastoreItem>
</file>

<file path=customXml/itemProps2.xml><?xml version="1.0" encoding="utf-8"?>
<ds:datastoreItem xmlns:ds="http://schemas.openxmlformats.org/officeDocument/2006/customXml" ds:itemID="{763719DF-6868-4667-AD5B-A2101A9710AD}">
  <ds:schemaRef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0BAF2B0-FBD5-48BD-947D-08C6D03C0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AA3FF4-720F-4EDB-ABED-5C16D05B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Memorandum.dotm</Template>
  <TotalTime>1</TotalTime>
  <Pages>112</Pages>
  <Words>31299</Words>
  <Characters>163227</Characters>
  <Application>Microsoft Office Word</Application>
  <DocSecurity>4</DocSecurity>
  <Lines>14838</Lines>
  <Paragraphs>13894</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180632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Fogarty, Wayne</dc:creator>
  <cp:lastModifiedBy>Fogarty, Wayne</cp:lastModifiedBy>
  <cp:revision>2</cp:revision>
  <cp:lastPrinted>2013-03-12T02:01:00Z</cp:lastPrinted>
  <dcterms:created xsi:type="dcterms:W3CDTF">2013-03-12T05:21:00Z</dcterms:created>
  <dcterms:modified xsi:type="dcterms:W3CDTF">2013-03-12T05:21:00Z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-262176612</vt:i4>
  </property>
  <property fmtid="{D5CDD505-2E9C-101B-9397-08002B2CF9AE}" pid="3" name="_NewReviewCycle">
    <vt:lpwstr/>
  </property>
  <property fmtid="{D5CDD505-2E9C-101B-9397-08002B2CF9AE}" pid="4" name="_EmailSubject">
    <vt:lpwstr>Insurance Contracts Amendment Bill 2013 [SEC=UNCLASSIFIED]</vt:lpwstr>
  </property>
  <property fmtid="{D5CDD505-2E9C-101B-9397-08002B2CF9AE}" pid="5" name="_AuthorEmail">
    <vt:lpwstr>Wayne.Fogarty@TREASURY.GOV.AU</vt:lpwstr>
  </property>
  <property fmtid="{D5CDD505-2E9C-101B-9397-08002B2CF9AE}" pid="6" name="_AuthorEmailDisplayName">
    <vt:lpwstr>Fogarty, Wayne</vt:lpwstr>
  </property>
  <property fmtid="{D5CDD505-2E9C-101B-9397-08002B2CF9AE}" pid="7" name="_PreviousAdHocReviewCycleID">
    <vt:i4>821505863</vt:i4>
  </property>
  <property fmtid="{D5CDD505-2E9C-101B-9397-08002B2CF9AE}" pid="8" name="ContentTypeId">
    <vt:lpwstr>0x010100E726210826AA43828690450C811EB923009CA11FFD1E014DF4B1FA162D0F61129800080350834F0B46469CE5D2ECAC346F75</vt:lpwstr>
  </property>
</Properties>
</file>