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60" w:rsidRDefault="00193CD4" w:rsidP="009677A8">
      <w:pPr>
        <w:pStyle w:val="Cover"/>
      </w:pPr>
      <w:bookmarkStart w:id="0" w:name="OLE_LINK5"/>
      <w:r>
        <w:t>20</w:t>
      </w:r>
      <w:r w:rsidR="00A61AF8">
        <w:t>10</w:t>
      </w:r>
      <w:r>
        <w:t>-</w:t>
      </w:r>
      <w:r w:rsidR="00526F18">
        <w:t>2011-2012</w:t>
      </w:r>
      <w:r w:rsidR="00C63193">
        <w:t>-2013</w:t>
      </w:r>
    </w:p>
    <w:p w:rsidR="00104960" w:rsidRDefault="00104960">
      <w:pPr>
        <w:pStyle w:val="Cover"/>
      </w:pPr>
    </w:p>
    <w:p w:rsidR="00104960" w:rsidRDefault="00104960">
      <w:pPr>
        <w:pStyle w:val="Cover"/>
      </w:pPr>
    </w:p>
    <w:p w:rsidR="00104960" w:rsidRDefault="00104960">
      <w:pPr>
        <w:pStyle w:val="Cover"/>
      </w:pPr>
    </w:p>
    <w:p w:rsidR="00104960" w:rsidRDefault="00660C1E">
      <w:pPr>
        <w:pStyle w:val="Cover"/>
      </w:pPr>
      <w:r w:rsidRPr="009A09BA">
        <w:t>THE PARLIAMENT OF THE COMMONWEALTH OF AUSTRALIA</w:t>
      </w:r>
    </w:p>
    <w:p w:rsidR="00104960" w:rsidRDefault="00104960">
      <w:pPr>
        <w:pStyle w:val="Cover"/>
      </w:pPr>
    </w:p>
    <w:p w:rsidR="00104960" w:rsidRDefault="00104960">
      <w:pPr>
        <w:pStyle w:val="Cover"/>
      </w:pPr>
    </w:p>
    <w:p w:rsidR="00104960" w:rsidRDefault="00104960">
      <w:pPr>
        <w:pStyle w:val="Cover"/>
      </w:pPr>
    </w:p>
    <w:p w:rsidR="00104960" w:rsidRDefault="00104960">
      <w:pPr>
        <w:pStyle w:val="Cover"/>
      </w:pPr>
    </w:p>
    <w:p w:rsidR="00104960" w:rsidRDefault="00F60C73">
      <w:pPr>
        <w:pStyle w:val="Cover"/>
      </w:pPr>
      <w:r w:rsidRPr="00F60C73">
        <w:t>HOUSE OF REPRESENTATIVES</w:t>
      </w:r>
    </w:p>
    <w:p w:rsidR="00104960" w:rsidRDefault="00104960">
      <w:pPr>
        <w:pStyle w:val="Cover"/>
      </w:pPr>
    </w:p>
    <w:p w:rsidR="00104960" w:rsidRDefault="00104960">
      <w:pPr>
        <w:pStyle w:val="Cover"/>
      </w:pPr>
    </w:p>
    <w:p w:rsidR="00104960" w:rsidRDefault="00104960">
      <w:pPr>
        <w:pStyle w:val="Cover"/>
      </w:pPr>
    </w:p>
    <w:p w:rsidR="00104960" w:rsidRDefault="00104960">
      <w:pPr>
        <w:pStyle w:val="Cover"/>
      </w:pPr>
    </w:p>
    <w:p w:rsidR="00104960" w:rsidRDefault="00104960">
      <w:pPr>
        <w:pStyle w:val="Cover"/>
      </w:pPr>
    </w:p>
    <w:p w:rsidR="00104960" w:rsidRDefault="00104960">
      <w:pPr>
        <w:pStyle w:val="Cover"/>
      </w:pPr>
    </w:p>
    <w:p w:rsidR="00104960" w:rsidRDefault="00104960">
      <w:pPr>
        <w:pStyle w:val="Cover"/>
      </w:pPr>
    </w:p>
    <w:p w:rsidR="00104960" w:rsidRDefault="00104960">
      <w:pPr>
        <w:pStyle w:val="Cover"/>
      </w:pPr>
    </w:p>
    <w:p w:rsidR="001D107F" w:rsidRDefault="001D107F">
      <w:pPr>
        <w:pStyle w:val="Cover"/>
      </w:pPr>
    </w:p>
    <w:p w:rsidR="00104960" w:rsidRDefault="00104960">
      <w:pPr>
        <w:pStyle w:val="Cover"/>
      </w:pPr>
    </w:p>
    <w:p w:rsidR="00104960" w:rsidRDefault="00104960">
      <w:pPr>
        <w:pStyle w:val="Cover"/>
      </w:pPr>
    </w:p>
    <w:p w:rsidR="00104960" w:rsidRDefault="00104960">
      <w:pPr>
        <w:pStyle w:val="Cover"/>
      </w:pPr>
    </w:p>
    <w:p w:rsidR="00104960" w:rsidRDefault="00F60C73">
      <w:pPr>
        <w:pStyle w:val="Cover"/>
        <w:rPr>
          <w:b/>
          <w:caps/>
        </w:rPr>
      </w:pPr>
      <w:r w:rsidRPr="00F60C73">
        <w:rPr>
          <w:b/>
          <w:caps/>
        </w:rPr>
        <w:t xml:space="preserve">Appropriation Bill (No. </w:t>
      </w:r>
      <w:r w:rsidR="00B660FE">
        <w:rPr>
          <w:b/>
          <w:caps/>
        </w:rPr>
        <w:t>1</w:t>
      </w:r>
      <w:r w:rsidR="00641860">
        <w:rPr>
          <w:b/>
          <w:caps/>
        </w:rPr>
        <w:t xml:space="preserve">) </w:t>
      </w:r>
      <w:r w:rsidR="00C63193" w:rsidRPr="009A09BA">
        <w:rPr>
          <w:b/>
          <w:caps/>
        </w:rPr>
        <w:t>20</w:t>
      </w:r>
      <w:r w:rsidR="00C63193">
        <w:rPr>
          <w:b/>
          <w:caps/>
        </w:rPr>
        <w:t>13</w:t>
      </w:r>
      <w:r w:rsidR="00DA149F" w:rsidRPr="00F64CC7">
        <w:rPr>
          <w:b/>
          <w:caps/>
        </w:rPr>
        <w:t>-</w:t>
      </w:r>
      <w:r w:rsidR="00516C2F">
        <w:rPr>
          <w:b/>
          <w:caps/>
        </w:rPr>
        <w:t>201</w:t>
      </w:r>
      <w:r w:rsidR="00C63193">
        <w:rPr>
          <w:b/>
          <w:caps/>
        </w:rPr>
        <w:t>4</w:t>
      </w:r>
    </w:p>
    <w:p w:rsidR="00104960" w:rsidRDefault="00104960">
      <w:pPr>
        <w:pStyle w:val="Cover"/>
      </w:pPr>
    </w:p>
    <w:p w:rsidR="00104960" w:rsidRDefault="00104960">
      <w:pPr>
        <w:pStyle w:val="Cover"/>
      </w:pPr>
    </w:p>
    <w:p w:rsidR="00104960" w:rsidRDefault="00660C1E">
      <w:pPr>
        <w:pStyle w:val="Cover"/>
      </w:pPr>
      <w:r w:rsidRPr="009A09BA">
        <w:t>EXPLANATORY MEMORANDUM</w:t>
      </w: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457673" w:rsidRDefault="00457673" w:rsidP="00457673">
      <w:pPr>
        <w:pStyle w:val="Cover"/>
      </w:pPr>
    </w:p>
    <w:p w:rsidR="00104960" w:rsidRDefault="00660C1E" w:rsidP="00457673">
      <w:pPr>
        <w:pStyle w:val="Cover"/>
      </w:pPr>
      <w:r w:rsidRPr="009A09BA">
        <w:t>(Circulated by the authority of the Minister for Finance and Deregulation,</w:t>
      </w:r>
      <w:bookmarkStart w:id="1" w:name="BK_S1P1L23C1"/>
      <w:bookmarkEnd w:id="1"/>
    </w:p>
    <w:p w:rsidR="00104960" w:rsidRDefault="00550242">
      <w:pPr>
        <w:pStyle w:val="Cover"/>
        <w:rPr>
          <w:sz w:val="28"/>
        </w:rPr>
      </w:pPr>
      <w:r>
        <w:t xml:space="preserve">Senator </w:t>
      </w:r>
      <w:r w:rsidR="00FB1BC0" w:rsidRPr="009A09BA">
        <w:t xml:space="preserve">the </w:t>
      </w:r>
      <w:r w:rsidR="00660C1E" w:rsidRPr="00A3291A">
        <w:t>Hon</w:t>
      </w:r>
      <w:r w:rsidR="001C442A">
        <w:t>ourable</w:t>
      </w:r>
      <w:r w:rsidR="00660C1E" w:rsidRPr="009A09BA">
        <w:t xml:space="preserve"> </w:t>
      </w:r>
      <w:r>
        <w:t>Penny Wong</w:t>
      </w:r>
      <w:r w:rsidR="00660C1E" w:rsidRPr="009A09BA">
        <w:t>)</w:t>
      </w:r>
    </w:p>
    <w:p w:rsidR="00B86D99" w:rsidRPr="009A09BA" w:rsidRDefault="00B86D99" w:rsidP="00660C1E">
      <w:pPr>
        <w:tabs>
          <w:tab w:val="left" w:leader="dot" w:pos="8998"/>
        </w:tabs>
        <w:rPr>
          <w:color w:val="000000"/>
          <w:sz w:val="32"/>
        </w:rPr>
        <w:sectPr w:rsidR="00B86D99" w:rsidRPr="009A09BA" w:rsidSect="00D470F7">
          <w:headerReference w:type="default" r:id="rId9"/>
          <w:footerReference w:type="even" r:id="rId10"/>
          <w:footerReference w:type="default" r:id="rId11"/>
          <w:headerReference w:type="first" r:id="rId12"/>
          <w:footerReference w:type="first" r:id="rId13"/>
          <w:pgSz w:w="11907" w:h="16840" w:code="9"/>
          <w:pgMar w:top="1701" w:right="1985" w:bottom="1701" w:left="1985" w:header="1418" w:footer="1418" w:gutter="0"/>
          <w:cols w:space="708"/>
          <w:titlePg/>
          <w:docGrid w:linePitch="360"/>
        </w:sectPr>
      </w:pPr>
      <w:bookmarkStart w:id="2" w:name="BK_S1P1L24C1"/>
      <w:bookmarkEnd w:id="2"/>
    </w:p>
    <w:p w:rsidR="00D41E4F" w:rsidRDefault="00D41E4F" w:rsidP="00131913">
      <w:pPr>
        <w:pStyle w:val="Heading1"/>
      </w:pPr>
      <w:bookmarkStart w:id="3" w:name="BK_S1P2L8C1"/>
      <w:bookmarkEnd w:id="3"/>
    </w:p>
    <w:p w:rsidR="00D41E4F" w:rsidRDefault="00D41E4F" w:rsidP="00131913">
      <w:pPr>
        <w:pStyle w:val="Heading1"/>
      </w:pPr>
    </w:p>
    <w:p w:rsidR="00F43F42" w:rsidRPr="00F43F42" w:rsidRDefault="00F43F42" w:rsidP="00131913">
      <w:pPr>
        <w:pStyle w:val="Heading1"/>
      </w:pPr>
      <w:r w:rsidRPr="00F43F42">
        <w:t>Table of Acronyms and Defined Terms</w:t>
      </w:r>
    </w:p>
    <w:p w:rsidR="00F43F42" w:rsidRDefault="00F43F42" w:rsidP="00A76924">
      <w:pPr>
        <w:pStyle w:val="Cover"/>
      </w:pPr>
    </w:p>
    <w:p w:rsidR="00F43F42" w:rsidRDefault="00F43F42" w:rsidP="00A76924">
      <w:pPr>
        <w:pStyle w:val="Cov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5302"/>
      </w:tblGrid>
      <w:tr w:rsidR="00F43F42" w:rsidRPr="00D93436" w:rsidTr="00527609">
        <w:trPr>
          <w:trHeight w:val="255"/>
          <w:jc w:val="center"/>
        </w:trPr>
        <w:tc>
          <w:tcPr>
            <w:tcW w:w="1977" w:type="dxa"/>
          </w:tcPr>
          <w:p w:rsidR="00F43F42" w:rsidRPr="00527609" w:rsidRDefault="00F43F42" w:rsidP="00527609">
            <w:pPr>
              <w:spacing w:before="120" w:after="120"/>
              <w:rPr>
                <w:szCs w:val="24"/>
              </w:rPr>
            </w:pPr>
            <w:r w:rsidRPr="00527609">
              <w:rPr>
                <w:szCs w:val="24"/>
              </w:rPr>
              <w:t>AFM</w:t>
            </w:r>
          </w:p>
        </w:tc>
        <w:tc>
          <w:tcPr>
            <w:tcW w:w="5302" w:type="dxa"/>
          </w:tcPr>
          <w:p w:rsidR="00F43F42" w:rsidRPr="00527609" w:rsidRDefault="00F43F42" w:rsidP="00527609">
            <w:pPr>
              <w:spacing w:before="120" w:after="120"/>
              <w:rPr>
                <w:iCs/>
                <w:szCs w:val="24"/>
              </w:rPr>
            </w:pPr>
            <w:r w:rsidRPr="00527609">
              <w:rPr>
                <w:iCs/>
                <w:szCs w:val="24"/>
              </w:rPr>
              <w:t>Advance to the Finance Minister</w:t>
            </w:r>
          </w:p>
        </w:tc>
      </w:tr>
      <w:tr w:rsidR="00F43F42" w:rsidRPr="00D93436" w:rsidTr="00527609">
        <w:trPr>
          <w:trHeight w:val="255"/>
          <w:jc w:val="center"/>
        </w:trPr>
        <w:tc>
          <w:tcPr>
            <w:tcW w:w="1977" w:type="dxa"/>
          </w:tcPr>
          <w:p w:rsidR="00F43F42" w:rsidRPr="00527609" w:rsidRDefault="00F43F42" w:rsidP="00527609">
            <w:pPr>
              <w:spacing w:before="120" w:after="120"/>
              <w:rPr>
                <w:szCs w:val="24"/>
              </w:rPr>
            </w:pPr>
            <w:r w:rsidRPr="00527609">
              <w:rPr>
                <w:szCs w:val="24"/>
              </w:rPr>
              <w:t>AI Act</w:t>
            </w:r>
          </w:p>
        </w:tc>
        <w:tc>
          <w:tcPr>
            <w:tcW w:w="5302" w:type="dxa"/>
          </w:tcPr>
          <w:p w:rsidR="00F43F42" w:rsidRPr="00527609" w:rsidRDefault="00F43F42" w:rsidP="00527609">
            <w:pPr>
              <w:spacing w:before="120" w:after="120"/>
              <w:rPr>
                <w:i/>
                <w:iCs/>
                <w:szCs w:val="24"/>
              </w:rPr>
            </w:pPr>
            <w:r w:rsidRPr="00527609">
              <w:rPr>
                <w:i/>
                <w:color w:val="000000"/>
                <w:szCs w:val="24"/>
              </w:rPr>
              <w:t>Acts Interpretation Act 1901</w:t>
            </w:r>
          </w:p>
        </w:tc>
      </w:tr>
      <w:tr w:rsidR="00F43F42" w:rsidRPr="00D93436" w:rsidTr="00527609">
        <w:trPr>
          <w:jc w:val="center"/>
        </w:trPr>
        <w:tc>
          <w:tcPr>
            <w:tcW w:w="1977" w:type="dxa"/>
          </w:tcPr>
          <w:p w:rsidR="00F43F42" w:rsidRPr="00527609" w:rsidRDefault="00F43F42" w:rsidP="00527609">
            <w:pPr>
              <w:spacing w:before="120" w:after="120"/>
              <w:rPr>
                <w:szCs w:val="24"/>
              </w:rPr>
            </w:pPr>
            <w:r w:rsidRPr="00527609">
              <w:rPr>
                <w:szCs w:val="24"/>
              </w:rPr>
              <w:t>CAC Act</w:t>
            </w:r>
          </w:p>
        </w:tc>
        <w:tc>
          <w:tcPr>
            <w:tcW w:w="5302" w:type="dxa"/>
          </w:tcPr>
          <w:p w:rsidR="00F43F42" w:rsidRPr="00953024" w:rsidRDefault="00FA2B58" w:rsidP="00527609">
            <w:pPr>
              <w:spacing w:before="120" w:after="120"/>
              <w:rPr>
                <w:sz w:val="23"/>
                <w:szCs w:val="23"/>
              </w:rPr>
            </w:pPr>
            <w:r w:rsidRPr="00FA2B58">
              <w:rPr>
                <w:i/>
                <w:sz w:val="23"/>
                <w:szCs w:val="23"/>
              </w:rPr>
              <w:t>Commonwealth Authorities and Companies Act 1997</w:t>
            </w:r>
          </w:p>
        </w:tc>
      </w:tr>
      <w:tr w:rsidR="00F43F42" w:rsidRPr="00D93436" w:rsidTr="00527609">
        <w:trPr>
          <w:jc w:val="center"/>
        </w:trPr>
        <w:tc>
          <w:tcPr>
            <w:tcW w:w="1977" w:type="dxa"/>
          </w:tcPr>
          <w:p w:rsidR="00F43F42" w:rsidRPr="00527609" w:rsidRDefault="00F43F42" w:rsidP="00527609">
            <w:pPr>
              <w:spacing w:before="120" w:after="120"/>
              <w:rPr>
                <w:szCs w:val="24"/>
              </w:rPr>
            </w:pPr>
            <w:r w:rsidRPr="00527609">
              <w:rPr>
                <w:szCs w:val="24"/>
              </w:rPr>
              <w:t xml:space="preserve">CRF </w:t>
            </w:r>
          </w:p>
        </w:tc>
        <w:tc>
          <w:tcPr>
            <w:tcW w:w="5302" w:type="dxa"/>
          </w:tcPr>
          <w:p w:rsidR="00F43F42" w:rsidRPr="00527609" w:rsidRDefault="00F43F42" w:rsidP="00527609">
            <w:pPr>
              <w:spacing w:before="120" w:after="120"/>
              <w:rPr>
                <w:szCs w:val="24"/>
              </w:rPr>
            </w:pPr>
            <w:r w:rsidRPr="00527609">
              <w:rPr>
                <w:iCs/>
                <w:szCs w:val="24"/>
              </w:rPr>
              <w:t>Consolidated Revenue Fund</w:t>
            </w:r>
            <w:r w:rsidRPr="00527609">
              <w:rPr>
                <w:szCs w:val="24"/>
              </w:rPr>
              <w:t xml:space="preserve"> </w:t>
            </w:r>
          </w:p>
        </w:tc>
      </w:tr>
      <w:tr w:rsidR="00F47D8F" w:rsidRPr="00AE56C6" w:rsidTr="00F47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77" w:type="dxa"/>
            <w:tcBorders>
              <w:top w:val="single" w:sz="4" w:space="0" w:color="auto"/>
              <w:left w:val="single" w:sz="4" w:space="0" w:color="auto"/>
              <w:bottom w:val="single" w:sz="4" w:space="0" w:color="auto"/>
              <w:right w:val="single" w:sz="4" w:space="0" w:color="auto"/>
            </w:tcBorders>
          </w:tcPr>
          <w:p w:rsidR="00F47D8F" w:rsidRDefault="00F47D8F" w:rsidP="00F47D8F">
            <w:pPr>
              <w:spacing w:before="120" w:after="120"/>
              <w:rPr>
                <w:szCs w:val="24"/>
              </w:rPr>
            </w:pPr>
            <w:r>
              <w:rPr>
                <w:szCs w:val="24"/>
              </w:rPr>
              <w:t>Finance Minister</w:t>
            </w:r>
          </w:p>
        </w:tc>
        <w:tc>
          <w:tcPr>
            <w:tcW w:w="5302" w:type="dxa"/>
            <w:tcBorders>
              <w:top w:val="single" w:sz="4" w:space="0" w:color="auto"/>
              <w:left w:val="single" w:sz="4" w:space="0" w:color="auto"/>
              <w:bottom w:val="single" w:sz="4" w:space="0" w:color="auto"/>
              <w:right w:val="single" w:sz="4" w:space="0" w:color="auto"/>
            </w:tcBorders>
          </w:tcPr>
          <w:p w:rsidR="00F47D8F" w:rsidRDefault="00F47D8F" w:rsidP="00F47D8F">
            <w:pPr>
              <w:tabs>
                <w:tab w:val="left" w:pos="1150"/>
              </w:tabs>
              <w:spacing w:before="120" w:after="120"/>
              <w:rPr>
                <w:iCs/>
                <w:szCs w:val="24"/>
              </w:rPr>
            </w:pPr>
            <w:r>
              <w:rPr>
                <w:iCs/>
                <w:szCs w:val="24"/>
              </w:rPr>
              <w:t>Minister for Finance and Deregulation</w:t>
            </w:r>
          </w:p>
        </w:tc>
      </w:tr>
      <w:tr w:rsidR="00F43F42" w:rsidRPr="00D93436" w:rsidTr="00527609">
        <w:trPr>
          <w:trHeight w:val="255"/>
          <w:jc w:val="center"/>
        </w:trPr>
        <w:tc>
          <w:tcPr>
            <w:tcW w:w="1977" w:type="dxa"/>
          </w:tcPr>
          <w:p w:rsidR="00F43F42" w:rsidRPr="00527609" w:rsidRDefault="00F43F42" w:rsidP="00527609">
            <w:pPr>
              <w:spacing w:before="120" w:after="120"/>
              <w:rPr>
                <w:szCs w:val="24"/>
              </w:rPr>
            </w:pPr>
            <w:r w:rsidRPr="00527609">
              <w:rPr>
                <w:szCs w:val="24"/>
              </w:rPr>
              <w:t>FMA Act</w:t>
            </w:r>
          </w:p>
        </w:tc>
        <w:tc>
          <w:tcPr>
            <w:tcW w:w="5302" w:type="dxa"/>
          </w:tcPr>
          <w:p w:rsidR="00F43F42" w:rsidRPr="00527609" w:rsidRDefault="00F43F42" w:rsidP="00527609">
            <w:pPr>
              <w:spacing w:before="120" w:after="120"/>
              <w:rPr>
                <w:szCs w:val="24"/>
              </w:rPr>
            </w:pPr>
            <w:r w:rsidRPr="00527609">
              <w:rPr>
                <w:i/>
                <w:iCs/>
                <w:szCs w:val="24"/>
              </w:rPr>
              <w:t>Financial Management and Accountability Act 1997</w:t>
            </w:r>
          </w:p>
        </w:tc>
      </w:tr>
      <w:tr w:rsidR="00F43F42" w:rsidRPr="00D93436" w:rsidTr="00527609">
        <w:trPr>
          <w:trHeight w:val="255"/>
          <w:jc w:val="center"/>
        </w:trPr>
        <w:tc>
          <w:tcPr>
            <w:tcW w:w="1977" w:type="dxa"/>
          </w:tcPr>
          <w:p w:rsidR="00F43F42" w:rsidRPr="00527609" w:rsidRDefault="00781E74" w:rsidP="00527609">
            <w:pPr>
              <w:spacing w:before="120" w:after="120"/>
              <w:rPr>
                <w:szCs w:val="24"/>
              </w:rPr>
            </w:pPr>
            <w:r>
              <w:rPr>
                <w:szCs w:val="24"/>
              </w:rPr>
              <w:t>FMA R</w:t>
            </w:r>
            <w:r w:rsidR="00F43F42" w:rsidRPr="00527609">
              <w:rPr>
                <w:szCs w:val="24"/>
              </w:rPr>
              <w:t>egulations</w:t>
            </w:r>
          </w:p>
        </w:tc>
        <w:tc>
          <w:tcPr>
            <w:tcW w:w="5302" w:type="dxa"/>
          </w:tcPr>
          <w:p w:rsidR="00F43F42" w:rsidRPr="00527609" w:rsidRDefault="00F43F42" w:rsidP="00527609">
            <w:pPr>
              <w:spacing w:before="120" w:after="120"/>
              <w:rPr>
                <w:i/>
                <w:iCs/>
                <w:szCs w:val="24"/>
              </w:rPr>
            </w:pPr>
            <w:r w:rsidRPr="00527609">
              <w:rPr>
                <w:i/>
                <w:iCs/>
                <w:szCs w:val="24"/>
              </w:rPr>
              <w:t>Financial Management and Accountability Regulations 1997</w:t>
            </w:r>
          </w:p>
        </w:tc>
      </w:tr>
      <w:tr w:rsidR="00DC6634" w:rsidRPr="00D93436" w:rsidTr="00527609">
        <w:trPr>
          <w:trHeight w:val="255"/>
          <w:jc w:val="center"/>
        </w:trPr>
        <w:tc>
          <w:tcPr>
            <w:tcW w:w="1977" w:type="dxa"/>
          </w:tcPr>
          <w:p w:rsidR="00DC6634" w:rsidRPr="00527609" w:rsidRDefault="00DC6634" w:rsidP="00527609">
            <w:pPr>
              <w:spacing w:before="120" w:after="120"/>
              <w:rPr>
                <w:szCs w:val="24"/>
              </w:rPr>
            </w:pPr>
            <w:r w:rsidRPr="00527609">
              <w:rPr>
                <w:szCs w:val="24"/>
              </w:rPr>
              <w:t xml:space="preserve">GST </w:t>
            </w:r>
          </w:p>
        </w:tc>
        <w:tc>
          <w:tcPr>
            <w:tcW w:w="5302" w:type="dxa"/>
          </w:tcPr>
          <w:p w:rsidR="00DC6634" w:rsidRPr="00527609" w:rsidRDefault="00DC6634" w:rsidP="00527609">
            <w:pPr>
              <w:spacing w:before="120" w:after="120"/>
              <w:rPr>
                <w:szCs w:val="24"/>
              </w:rPr>
            </w:pPr>
            <w:r w:rsidRPr="00527609">
              <w:rPr>
                <w:iCs/>
                <w:szCs w:val="24"/>
              </w:rPr>
              <w:t>Goods and Services Tax</w:t>
            </w:r>
          </w:p>
        </w:tc>
      </w:tr>
      <w:tr w:rsidR="00DC6634" w:rsidRPr="00D93436" w:rsidTr="00527609">
        <w:trPr>
          <w:trHeight w:val="255"/>
          <w:jc w:val="center"/>
        </w:trPr>
        <w:tc>
          <w:tcPr>
            <w:tcW w:w="1977" w:type="dxa"/>
          </w:tcPr>
          <w:p w:rsidR="00DC6634" w:rsidRPr="00527609" w:rsidRDefault="00DC6634" w:rsidP="00527609">
            <w:pPr>
              <w:spacing w:before="120" w:after="120"/>
              <w:rPr>
                <w:szCs w:val="24"/>
              </w:rPr>
            </w:pPr>
            <w:r w:rsidRPr="00527609">
              <w:rPr>
                <w:szCs w:val="24"/>
              </w:rPr>
              <w:t>LI Act</w:t>
            </w:r>
          </w:p>
        </w:tc>
        <w:tc>
          <w:tcPr>
            <w:tcW w:w="5302" w:type="dxa"/>
          </w:tcPr>
          <w:p w:rsidR="00DC6634" w:rsidRPr="00527609" w:rsidRDefault="00DC6634" w:rsidP="00527609">
            <w:pPr>
              <w:spacing w:before="120" w:after="120"/>
              <w:rPr>
                <w:i/>
                <w:iCs/>
                <w:szCs w:val="24"/>
              </w:rPr>
            </w:pPr>
            <w:r w:rsidRPr="00527609">
              <w:rPr>
                <w:i/>
                <w:iCs/>
                <w:szCs w:val="24"/>
              </w:rPr>
              <w:t>Legislative Instruments Act 2003</w:t>
            </w:r>
          </w:p>
        </w:tc>
      </w:tr>
      <w:tr w:rsidR="00F43F42" w:rsidRPr="00D93436" w:rsidTr="00527609">
        <w:trPr>
          <w:jc w:val="center"/>
        </w:trPr>
        <w:tc>
          <w:tcPr>
            <w:tcW w:w="1977" w:type="dxa"/>
          </w:tcPr>
          <w:p w:rsidR="00F43F42" w:rsidRPr="00527609" w:rsidRDefault="007A737E" w:rsidP="00527609">
            <w:pPr>
              <w:spacing w:before="120" w:after="120"/>
              <w:rPr>
                <w:szCs w:val="24"/>
              </w:rPr>
            </w:pPr>
            <w:r>
              <w:rPr>
                <w:szCs w:val="24"/>
              </w:rPr>
              <w:t>PB</w:t>
            </w:r>
            <w:r w:rsidR="00121A17">
              <w:rPr>
                <w:szCs w:val="24"/>
              </w:rPr>
              <w:t xml:space="preserve"> </w:t>
            </w:r>
            <w:r>
              <w:rPr>
                <w:szCs w:val="24"/>
              </w:rPr>
              <w:t>S</w:t>
            </w:r>
            <w:r w:rsidR="00121A17">
              <w:rPr>
                <w:szCs w:val="24"/>
              </w:rPr>
              <w:t>tatements</w:t>
            </w:r>
          </w:p>
        </w:tc>
        <w:tc>
          <w:tcPr>
            <w:tcW w:w="5302" w:type="dxa"/>
          </w:tcPr>
          <w:p w:rsidR="00F43F42" w:rsidRPr="00527609" w:rsidRDefault="00F43F42" w:rsidP="00527609">
            <w:pPr>
              <w:tabs>
                <w:tab w:val="left" w:pos="1150"/>
              </w:tabs>
              <w:spacing w:before="120" w:after="120"/>
              <w:rPr>
                <w:szCs w:val="24"/>
              </w:rPr>
            </w:pPr>
            <w:r w:rsidRPr="00527609">
              <w:rPr>
                <w:szCs w:val="24"/>
              </w:rPr>
              <w:t>Portfolio Budget Statements</w:t>
            </w:r>
          </w:p>
        </w:tc>
      </w:tr>
    </w:tbl>
    <w:p w:rsidR="00F43F42" w:rsidRDefault="00F43F42" w:rsidP="00F43F42"/>
    <w:p w:rsidR="008165B9" w:rsidRDefault="008165B9">
      <w:pPr>
        <w:pStyle w:val="Heading1"/>
        <w:sectPr w:rsidR="008165B9" w:rsidSect="00D470F7">
          <w:headerReference w:type="default" r:id="rId14"/>
          <w:footerReference w:type="default" r:id="rId15"/>
          <w:pgSz w:w="11907" w:h="16840" w:code="9"/>
          <w:pgMar w:top="1701" w:right="1985" w:bottom="1701" w:left="1985" w:header="1418" w:footer="1418" w:gutter="0"/>
          <w:pgNumType w:start="1"/>
          <w:cols w:space="708"/>
          <w:docGrid w:linePitch="360"/>
        </w:sectPr>
      </w:pPr>
    </w:p>
    <w:p w:rsidR="00104960" w:rsidRDefault="00F43F42">
      <w:pPr>
        <w:pStyle w:val="Heading1"/>
      </w:pPr>
      <w:r>
        <w:br w:type="page"/>
      </w:r>
      <w:r w:rsidR="0007420E" w:rsidRPr="009A09BA">
        <w:t>Appropriation</w:t>
      </w:r>
      <w:r w:rsidR="00D773EE">
        <w:t xml:space="preserve"> </w:t>
      </w:r>
      <w:r w:rsidR="0007420E" w:rsidRPr="00D773EE">
        <w:t xml:space="preserve">Bill </w:t>
      </w:r>
      <w:r w:rsidR="00D773EE" w:rsidRPr="00D773EE">
        <w:t xml:space="preserve">(No. </w:t>
      </w:r>
      <w:r w:rsidR="00B660FE">
        <w:t>1</w:t>
      </w:r>
      <w:r w:rsidR="00D773EE" w:rsidRPr="00D773EE">
        <w:t>)</w:t>
      </w:r>
      <w:r w:rsidR="00D773EE">
        <w:t xml:space="preserve"> </w:t>
      </w:r>
      <w:r w:rsidR="00C63193">
        <w:t>2013-2014</w:t>
      </w:r>
    </w:p>
    <w:p w:rsidR="00104960" w:rsidRDefault="00660C1E">
      <w:pPr>
        <w:pStyle w:val="Heading2"/>
      </w:pPr>
      <w:bookmarkStart w:id="4" w:name="_Toc97017889"/>
      <w:r w:rsidRPr="009A09BA">
        <w:t xml:space="preserve">General </w:t>
      </w:r>
      <w:r w:rsidRPr="00105704">
        <w:t>Outline</w:t>
      </w:r>
      <w:bookmarkEnd w:id="4"/>
    </w:p>
    <w:p w:rsidR="00104960" w:rsidRDefault="00554153" w:rsidP="0075741D">
      <w:pPr>
        <w:pStyle w:val="NumberList"/>
      </w:pPr>
      <w:r w:rsidRPr="009A09BA">
        <w:t xml:space="preserve">This </w:t>
      </w:r>
      <w:r w:rsidR="00F064B5" w:rsidRPr="009A09BA">
        <w:t xml:space="preserve">Explanatory Memorandum </w:t>
      </w:r>
      <w:r w:rsidRPr="009A09BA">
        <w:t xml:space="preserve">accompanies </w:t>
      </w:r>
      <w:r w:rsidR="009C7B7E" w:rsidRPr="009A09BA">
        <w:rPr>
          <w:i/>
        </w:rPr>
        <w:t xml:space="preserve">Appropriation Bill </w:t>
      </w:r>
      <w:r w:rsidR="00D773EE">
        <w:rPr>
          <w:i/>
        </w:rPr>
        <w:t>(No.</w:t>
      </w:r>
      <w:r w:rsidR="000405B8">
        <w:rPr>
          <w:i/>
        </w:rPr>
        <w:t> </w:t>
      </w:r>
      <w:r w:rsidR="00B660FE">
        <w:rPr>
          <w:i/>
        </w:rPr>
        <w:t>1</w:t>
      </w:r>
      <w:r w:rsidR="00D773EE">
        <w:rPr>
          <w:i/>
        </w:rPr>
        <w:t xml:space="preserve">) </w:t>
      </w:r>
      <w:r w:rsidR="00C63193">
        <w:rPr>
          <w:i/>
        </w:rPr>
        <w:t xml:space="preserve">2013-2014 </w:t>
      </w:r>
      <w:r w:rsidRPr="009A09BA">
        <w:t>(the Bill).</w:t>
      </w:r>
    </w:p>
    <w:p w:rsidR="00441D5D" w:rsidRDefault="00660C1E" w:rsidP="0075741D">
      <w:pPr>
        <w:pStyle w:val="NumberList"/>
      </w:pPr>
      <w:r w:rsidRPr="009A09BA">
        <w:t xml:space="preserve">The main purpose of </w:t>
      </w:r>
      <w:r w:rsidR="00B24838" w:rsidRPr="009A09BA">
        <w:t xml:space="preserve">the Bill </w:t>
      </w:r>
      <w:r w:rsidR="00B936FC" w:rsidRPr="009A09BA">
        <w:t xml:space="preserve">is to </w:t>
      </w:r>
      <w:r w:rsidR="004C476E">
        <w:t>propose</w:t>
      </w:r>
      <w:r w:rsidR="00B24838" w:rsidRPr="009A09BA">
        <w:t xml:space="preserve"> appropriation</w:t>
      </w:r>
      <w:r w:rsidR="00B936FC" w:rsidRPr="009A09BA">
        <w:t xml:space="preserve">s from the Consolidated Revenue Fund (CRF) for </w:t>
      </w:r>
      <w:r w:rsidR="00B24838" w:rsidRPr="009A09BA">
        <w:t>the ordinary annual services of the Government</w:t>
      </w:r>
      <w:r w:rsidR="00B660FE">
        <w:t>.</w:t>
      </w:r>
    </w:p>
    <w:p w:rsidR="00441D5D" w:rsidRDefault="00401333" w:rsidP="0075741D">
      <w:pPr>
        <w:pStyle w:val="NumberList"/>
      </w:pPr>
      <w:r w:rsidRPr="009A09BA">
        <w:t xml:space="preserve">Appropriations for the ordinary annual services of the Government must be contained in a separate bill </w:t>
      </w:r>
      <w:r w:rsidR="000C5B01">
        <w:t xml:space="preserve">from </w:t>
      </w:r>
      <w:r w:rsidRPr="009A09BA">
        <w:t>other appropriations i</w:t>
      </w:r>
      <w:r w:rsidR="006136CC" w:rsidRPr="009A09BA">
        <w:t>n accordance with sections</w:t>
      </w:r>
      <w:r w:rsidR="00D21A8A" w:rsidRPr="009A09BA">
        <w:t> 53</w:t>
      </w:r>
      <w:r w:rsidR="00AE6BAC" w:rsidRPr="009A09BA">
        <w:t xml:space="preserve"> and </w:t>
      </w:r>
      <w:r w:rsidR="006136CC" w:rsidRPr="009A09BA">
        <w:t>54</w:t>
      </w:r>
      <w:r w:rsidR="00AE6BAC" w:rsidRPr="009A09BA">
        <w:t xml:space="preserve"> </w:t>
      </w:r>
      <w:r w:rsidR="006136CC" w:rsidRPr="009A09BA">
        <w:t xml:space="preserve">of the </w:t>
      </w:r>
      <w:r w:rsidR="006136CC" w:rsidRPr="009A09BA">
        <w:rPr>
          <w:i/>
        </w:rPr>
        <w:t>Australia</w:t>
      </w:r>
      <w:r w:rsidR="00AE6BAC" w:rsidRPr="009A09BA">
        <w:rPr>
          <w:i/>
        </w:rPr>
        <w:t>n</w:t>
      </w:r>
      <w:r w:rsidR="006136CC" w:rsidRPr="009A09BA">
        <w:rPr>
          <w:i/>
        </w:rPr>
        <w:t xml:space="preserve"> Constitution</w:t>
      </w:r>
      <w:r w:rsidRPr="009A09BA">
        <w:t>.</w:t>
      </w:r>
      <w:r w:rsidR="00441D5D">
        <w:t xml:space="preserve"> </w:t>
      </w:r>
      <w:r w:rsidR="00FE5171">
        <w:t xml:space="preserve">Other annual appropriations that are not for the ordinary annual services of the Government are proposed in </w:t>
      </w:r>
      <w:r w:rsidR="00FE5171" w:rsidRPr="00FE5171">
        <w:rPr>
          <w:i/>
        </w:rPr>
        <w:t>Appropriation Bill (No.</w:t>
      </w:r>
      <w:r w:rsidR="000405B8">
        <w:rPr>
          <w:i/>
        </w:rPr>
        <w:t> </w:t>
      </w:r>
      <w:r w:rsidR="00B660FE">
        <w:rPr>
          <w:i/>
        </w:rPr>
        <w:t>2</w:t>
      </w:r>
      <w:r w:rsidR="00FE5171" w:rsidRPr="00FE5171">
        <w:rPr>
          <w:i/>
        </w:rPr>
        <w:t xml:space="preserve">) </w:t>
      </w:r>
      <w:r w:rsidR="00C63193">
        <w:rPr>
          <w:i/>
        </w:rPr>
        <w:t>2013-2014</w:t>
      </w:r>
      <w:r w:rsidR="00B660FE">
        <w:rPr>
          <w:i/>
        </w:rPr>
        <w:t xml:space="preserve"> </w:t>
      </w:r>
      <w:r w:rsidR="00B660FE">
        <w:t xml:space="preserve">and </w:t>
      </w:r>
      <w:r w:rsidR="00B660FE" w:rsidRPr="00B660FE">
        <w:rPr>
          <w:i/>
        </w:rPr>
        <w:t>Appropriation (Parliamentary Departments) Bill (No.</w:t>
      </w:r>
      <w:r w:rsidR="000405B8">
        <w:rPr>
          <w:i/>
        </w:rPr>
        <w:t> </w:t>
      </w:r>
      <w:r w:rsidR="00B660FE" w:rsidRPr="00B660FE">
        <w:rPr>
          <w:i/>
        </w:rPr>
        <w:t>1)</w:t>
      </w:r>
      <w:r w:rsidR="00B660FE">
        <w:rPr>
          <w:i/>
        </w:rPr>
        <w:t xml:space="preserve"> </w:t>
      </w:r>
      <w:r w:rsidR="00C63193">
        <w:rPr>
          <w:i/>
        </w:rPr>
        <w:t>2013-2014</w:t>
      </w:r>
      <w:r w:rsidR="00FE5171">
        <w:t>.</w:t>
      </w:r>
    </w:p>
    <w:p w:rsidR="00104960" w:rsidRDefault="00020FC0" w:rsidP="0075741D">
      <w:pPr>
        <w:pStyle w:val="NumberList"/>
      </w:pPr>
      <w:r w:rsidRPr="009A09BA">
        <w:t xml:space="preserve">This Explanatory Memorandum should be read in conjunction with the </w:t>
      </w:r>
      <w:r w:rsidR="00C63193">
        <w:t>2013-2014</w:t>
      </w:r>
      <w:r w:rsidR="00A03BEE">
        <w:t xml:space="preserve"> Portfolio Budget Statements (</w:t>
      </w:r>
      <w:r w:rsidR="00121A17">
        <w:t>PB Statements</w:t>
      </w:r>
      <w:r w:rsidR="00A03BEE">
        <w:t>) which contain detail</w:t>
      </w:r>
      <w:r w:rsidR="00F47D8F">
        <w:t xml:space="preserve"> on</w:t>
      </w:r>
      <w:r w:rsidR="00A03BEE">
        <w:t xml:space="preserve"> the appropriations set out in Schedule 1 of the Bill</w:t>
      </w:r>
      <w:r w:rsidR="00F60C73" w:rsidRPr="00F800DF">
        <w:t>.</w:t>
      </w:r>
      <w:r w:rsidR="00F800DF">
        <w:t xml:space="preserve"> </w:t>
      </w:r>
      <w:r w:rsidR="00193CD4" w:rsidRPr="00F800DF">
        <w:t>T</w:t>
      </w:r>
      <w:r w:rsidR="00193CD4">
        <w:t xml:space="preserve">he </w:t>
      </w:r>
      <w:r w:rsidR="00121A17">
        <w:t>PB Statements</w:t>
      </w:r>
      <w:r w:rsidR="00193CD4">
        <w:t xml:space="preserve"> are published and tabled in the Parliament in relation to the Bill.</w:t>
      </w:r>
    </w:p>
    <w:p w:rsidR="00104960" w:rsidRDefault="00F60C73">
      <w:pPr>
        <w:pStyle w:val="Heading2"/>
        <w:rPr>
          <w:b w:val="0"/>
        </w:rPr>
      </w:pPr>
      <w:r w:rsidRPr="00F60C73">
        <w:t>Structure of appropriations in the Bill</w:t>
      </w:r>
    </w:p>
    <w:p w:rsidR="00104960" w:rsidRDefault="00F60C73" w:rsidP="0075741D">
      <w:pPr>
        <w:pStyle w:val="NumberList"/>
      </w:pPr>
      <w:r w:rsidRPr="00F60C73">
        <w:t>The Bill provides for the appropriation of specified amounts for expenditure by Australian Government agencies</w:t>
      </w:r>
      <w:r w:rsidR="00D02EB6">
        <w:t xml:space="preserve">, </w:t>
      </w:r>
      <w:r w:rsidR="00125CB9">
        <w:t xml:space="preserve">primarily </w:t>
      </w:r>
      <w:r w:rsidRPr="00F60C73">
        <w:t xml:space="preserve">being </w:t>
      </w:r>
      <w:r w:rsidR="007410C7">
        <w:t>agencies</w:t>
      </w:r>
      <w:r w:rsidRPr="00F60C73">
        <w:t xml:space="preserve"> under the </w:t>
      </w:r>
      <w:r w:rsidRPr="00B47095">
        <w:rPr>
          <w:i/>
        </w:rPr>
        <w:t>Financial Management and Accountability Act 1997</w:t>
      </w:r>
      <w:r w:rsidRPr="00F60C73">
        <w:t xml:space="preserve"> (FMA Act</w:t>
      </w:r>
      <w:r w:rsidR="00A9635B" w:rsidRPr="001D2F06">
        <w:t xml:space="preserve">) </w:t>
      </w:r>
      <w:r w:rsidRPr="00F60C73">
        <w:t>plus</w:t>
      </w:r>
      <w:r w:rsidR="00F440B8">
        <w:t> </w:t>
      </w:r>
      <w:r w:rsidR="007024ED">
        <w:t>payments to</w:t>
      </w:r>
      <w:r w:rsidRPr="00F60C73">
        <w:t xml:space="preserve"> bodies under the </w:t>
      </w:r>
      <w:r w:rsidR="007024ED" w:rsidRPr="00B47095">
        <w:rPr>
          <w:i/>
        </w:rPr>
        <w:t>Commonwealth Authorities and Companies Act 1997</w:t>
      </w:r>
      <w:r w:rsidRPr="001D2F06">
        <w:t xml:space="preserve"> </w:t>
      </w:r>
      <w:r w:rsidR="007024ED">
        <w:t>(</w:t>
      </w:r>
      <w:r w:rsidRPr="00F60C73">
        <w:t>CAC Act</w:t>
      </w:r>
      <w:r w:rsidR="00B5258B">
        <w:t>)</w:t>
      </w:r>
      <w:r w:rsidRPr="00F60C73">
        <w:t>.</w:t>
      </w:r>
    </w:p>
    <w:p w:rsidR="009741C9" w:rsidRDefault="004A7388" w:rsidP="0075741D">
      <w:pPr>
        <w:pStyle w:val="NumberList"/>
      </w:pPr>
      <w:r w:rsidRPr="004C476E">
        <w:t xml:space="preserve">Part 1 of the Bill deals with definitions, </w:t>
      </w:r>
      <w:r w:rsidR="004C476E">
        <w:t xml:space="preserve">the interpretative role of </w:t>
      </w:r>
      <w:r w:rsidR="00F440B8">
        <w:t xml:space="preserve">the </w:t>
      </w:r>
      <w:r w:rsidR="00121A17">
        <w:t>PB Statements</w:t>
      </w:r>
      <w:r w:rsidR="004C476E" w:rsidRPr="009A09BA">
        <w:t xml:space="preserve"> and the concept of notional payments.</w:t>
      </w:r>
      <w:r w:rsidR="00D470F7">
        <w:t xml:space="preserve"> </w:t>
      </w:r>
      <w:r w:rsidR="008608D2">
        <w:t xml:space="preserve">Part 2 of the Bill </w:t>
      </w:r>
      <w:r w:rsidR="008608D2" w:rsidRPr="009A09BA">
        <w:t xml:space="preserve">proposes appropriations to make payments of the amounts in </w:t>
      </w:r>
      <w:r w:rsidR="00C83DF0">
        <w:t>Schedule 1</w:t>
      </w:r>
      <w:r w:rsidR="008608D2" w:rsidRPr="009A09BA">
        <w:t xml:space="preserve"> for departmental items (clause 7)</w:t>
      </w:r>
      <w:r w:rsidR="003D0F1A">
        <w:t>,</w:t>
      </w:r>
      <w:r w:rsidR="00480A13">
        <w:t xml:space="preserve"> </w:t>
      </w:r>
      <w:r w:rsidR="008608D2" w:rsidRPr="009A09BA">
        <w:t>administered items (clause 8)</w:t>
      </w:r>
      <w:r w:rsidR="00FD7B45">
        <w:t xml:space="preserve"> and CAC Act body payment items (clause</w:t>
      </w:r>
      <w:r w:rsidR="00457673">
        <w:t> </w:t>
      </w:r>
      <w:r w:rsidR="00FD7B45">
        <w:t>9)</w:t>
      </w:r>
      <w:r w:rsidR="008608D2">
        <w:t>.</w:t>
      </w:r>
      <w:r w:rsidR="00D470F7">
        <w:t xml:space="preserve"> </w:t>
      </w:r>
      <w:r w:rsidR="00F60C73" w:rsidRPr="00F60C73">
        <w:t>Part 3 of the Bill</w:t>
      </w:r>
      <w:r w:rsidR="00725BE7" w:rsidRPr="009A09BA">
        <w:t xml:space="preserve"> </w:t>
      </w:r>
      <w:r w:rsidR="00680B3C" w:rsidRPr="009A09BA">
        <w:t xml:space="preserve">specifies the </w:t>
      </w:r>
      <w:r w:rsidR="00725BE7" w:rsidRPr="009A09BA">
        <w:t xml:space="preserve">ways in which the amounts in </w:t>
      </w:r>
      <w:r w:rsidR="00C83DF0">
        <w:t xml:space="preserve">Schedule 1 </w:t>
      </w:r>
      <w:r w:rsidR="00680B3C" w:rsidRPr="009A09BA">
        <w:t xml:space="preserve">may </w:t>
      </w:r>
      <w:r w:rsidR="00725BE7" w:rsidRPr="009A09BA">
        <w:t>be adjusted.</w:t>
      </w:r>
    </w:p>
    <w:p w:rsidR="00104960" w:rsidRPr="009C6F6F" w:rsidRDefault="004A7388" w:rsidP="000C15D8">
      <w:pPr>
        <w:pStyle w:val="NumberList"/>
        <w:keepLines/>
      </w:pPr>
      <w:r w:rsidRPr="009C6F6F">
        <w:t xml:space="preserve">Part </w:t>
      </w:r>
      <w:r w:rsidR="001341EB" w:rsidRPr="009C6F6F">
        <w:t>4</w:t>
      </w:r>
      <w:r w:rsidRPr="009C6F6F">
        <w:t xml:space="preserve"> </w:t>
      </w:r>
      <w:r w:rsidR="00B86D99" w:rsidRPr="009C6F6F">
        <w:t xml:space="preserve">deals with </w:t>
      </w:r>
      <w:r w:rsidR="00C8656C" w:rsidRPr="009C6F6F">
        <w:t xml:space="preserve">credits to </w:t>
      </w:r>
      <w:r w:rsidR="00470649" w:rsidRPr="009C6F6F">
        <w:t>S</w:t>
      </w:r>
      <w:r w:rsidR="00B86D99" w:rsidRPr="009C6F6F">
        <w:t xml:space="preserve">pecial </w:t>
      </w:r>
      <w:r w:rsidR="00470649" w:rsidRPr="009C6F6F">
        <w:t>A</w:t>
      </w:r>
      <w:r w:rsidR="00B86D99" w:rsidRPr="009C6F6F">
        <w:t xml:space="preserve">ccounts </w:t>
      </w:r>
      <w:r w:rsidR="003E410C" w:rsidRPr="009C6F6F">
        <w:t>(clause</w:t>
      </w:r>
      <w:r w:rsidR="00863A9F" w:rsidRPr="009C6F6F">
        <w:t> </w:t>
      </w:r>
      <w:r w:rsidR="00953024" w:rsidRPr="009C6F6F">
        <w:t>14</w:t>
      </w:r>
      <w:r w:rsidR="003E410C" w:rsidRPr="009C6F6F">
        <w:t xml:space="preserve">) </w:t>
      </w:r>
      <w:r w:rsidR="004C0CEC" w:rsidRPr="009C6F6F">
        <w:t>and provides for amounts to be appropriated as necessary</w:t>
      </w:r>
      <w:r w:rsidR="00863A9F" w:rsidRPr="009C6F6F">
        <w:t xml:space="preserve"> (clause </w:t>
      </w:r>
      <w:r w:rsidR="00953024" w:rsidRPr="009C6F6F">
        <w:t>15</w:t>
      </w:r>
      <w:r w:rsidR="003E410C" w:rsidRPr="009C6F6F">
        <w:t>)</w:t>
      </w:r>
      <w:r w:rsidR="00B86D99" w:rsidRPr="009C6F6F">
        <w:t>.</w:t>
      </w:r>
      <w:r w:rsidR="00441D5D" w:rsidRPr="009C6F6F">
        <w:t xml:space="preserve"> </w:t>
      </w:r>
      <w:bookmarkStart w:id="5" w:name="OLE_LINK3"/>
      <w:bookmarkStart w:id="6" w:name="OLE_LINK4"/>
      <w:r w:rsidR="00FA2B58" w:rsidRPr="009C6F6F">
        <w:t>In addition to the adjustment provisions in Part 3, clause </w:t>
      </w:r>
      <w:r w:rsidR="002B6E82">
        <w:t>15</w:t>
      </w:r>
      <w:r w:rsidR="002B6E82" w:rsidRPr="009C6F6F">
        <w:t xml:space="preserve"> </w:t>
      </w:r>
      <w:r w:rsidR="00FA2B58" w:rsidRPr="009C6F6F">
        <w:t>of the Bill recognises that the appropriations in the Bill may also be varied by the FMA Act.</w:t>
      </w:r>
      <w:bookmarkEnd w:id="5"/>
      <w:bookmarkEnd w:id="6"/>
    </w:p>
    <w:p w:rsidR="00104960" w:rsidRDefault="00660C1E">
      <w:pPr>
        <w:pStyle w:val="Heading2"/>
      </w:pPr>
      <w:bookmarkStart w:id="7" w:name="_Toc97017890"/>
      <w:r w:rsidRPr="009C6F6F">
        <w:t>Financial Impact</w:t>
      </w:r>
      <w:bookmarkEnd w:id="7"/>
    </w:p>
    <w:p w:rsidR="00FA2B58" w:rsidRDefault="00F47D8F" w:rsidP="002B6E82">
      <w:pPr>
        <w:pStyle w:val="NumberList"/>
        <w:tabs>
          <w:tab w:val="clear" w:pos="720"/>
          <w:tab w:val="num" w:pos="567"/>
        </w:tabs>
      </w:pPr>
      <w:r w:rsidRPr="00AE56C6">
        <w:t>The Bill</w:t>
      </w:r>
      <w:r>
        <w:t>, if enacted,</w:t>
      </w:r>
      <w:r w:rsidRPr="00AE56C6">
        <w:t xml:space="preserve"> w</w:t>
      </w:r>
      <w:r>
        <w:t>ould</w:t>
      </w:r>
      <w:r w:rsidRPr="00AE56C6">
        <w:t xml:space="preserve"> </w:t>
      </w:r>
      <w:r w:rsidR="00D03D4F" w:rsidRPr="009A09BA">
        <w:t>appropriate</w:t>
      </w:r>
      <w:r w:rsidR="003E6EE0" w:rsidRPr="009A09BA">
        <w:t xml:space="preserve"> the </w:t>
      </w:r>
      <w:r w:rsidR="00E579BF" w:rsidRPr="009A09BA">
        <w:t>amounts</w:t>
      </w:r>
      <w:r w:rsidR="003E6EE0" w:rsidRPr="009A09BA">
        <w:t xml:space="preserve"> specified in Schedule 1</w:t>
      </w:r>
      <w:r w:rsidR="00660C1E" w:rsidRPr="009A09BA">
        <w:t>.</w:t>
      </w:r>
      <w:bookmarkStart w:id="8" w:name="_Toc97017891"/>
      <w:r w:rsidR="001B304D" w:rsidRPr="001B304D">
        <w:rPr>
          <w:color w:val="000000"/>
        </w:rPr>
        <w:t xml:space="preserve"> </w:t>
      </w:r>
    </w:p>
    <w:p w:rsidR="00610AB5" w:rsidRDefault="00610AB5" w:rsidP="00083FBF">
      <w:pPr>
        <w:pStyle w:val="Heading2"/>
        <w:sectPr w:rsidR="00610AB5" w:rsidSect="00D470F7">
          <w:headerReference w:type="default" r:id="rId16"/>
          <w:type w:val="continuous"/>
          <w:pgSz w:w="11907" w:h="16840" w:code="9"/>
          <w:pgMar w:top="1701" w:right="1985" w:bottom="1701" w:left="1985" w:header="1418" w:footer="1418" w:gutter="0"/>
          <w:pgNumType w:start="1"/>
          <w:cols w:space="708"/>
          <w:docGrid w:linePitch="360"/>
        </w:sectPr>
      </w:pPr>
    </w:p>
    <w:p w:rsidR="00083FBF" w:rsidRDefault="00083FBF" w:rsidP="00083FBF">
      <w:pPr>
        <w:pStyle w:val="Heading2"/>
      </w:pPr>
      <w:r>
        <w:t xml:space="preserve">Statement of </w:t>
      </w:r>
      <w:r w:rsidR="001238C1">
        <w:t>c</w:t>
      </w:r>
      <w:r w:rsidR="00902E06">
        <w:t>ompati</w:t>
      </w:r>
      <w:r w:rsidR="001238C1">
        <w:t>bility with h</w:t>
      </w:r>
      <w:r w:rsidR="00C12DEB">
        <w:t>uman r</w:t>
      </w:r>
      <w:r w:rsidR="00F064B5">
        <w:t>ights</w:t>
      </w:r>
    </w:p>
    <w:p w:rsidR="00FC7D42" w:rsidRDefault="0000727C">
      <w:pPr>
        <w:pStyle w:val="NumberList"/>
        <w:numPr>
          <w:ilvl w:val="0"/>
          <w:numId w:val="16"/>
        </w:numPr>
      </w:pPr>
      <w:r w:rsidRPr="00C248BC">
        <w:t>The Bill seeks to appropriate money for the ordinary annual services of the Government.</w:t>
      </w:r>
    </w:p>
    <w:p w:rsidR="00083FBF" w:rsidRPr="00C248BC" w:rsidRDefault="00EA6CEC" w:rsidP="00083FBF">
      <w:pPr>
        <w:pStyle w:val="NumberList"/>
        <w:numPr>
          <w:ilvl w:val="0"/>
          <w:numId w:val="3"/>
        </w:numPr>
      </w:pPr>
      <w:r>
        <w:t>Accordingly</w:t>
      </w:r>
      <w:r>
        <w:rPr>
          <w:i/>
        </w:rPr>
        <w:t>,</w:t>
      </w:r>
      <w:r w:rsidR="000A6CD5" w:rsidRPr="000A6CD5">
        <w:t xml:space="preserve"> th</w:t>
      </w:r>
      <w:r>
        <w:t>is Appropriation Bill performs an important constitutional function, by authorising the withdrawal of money from the Consolidated Revenue Fund for the broad purposes identified in the Bill</w:t>
      </w:r>
      <w:r w:rsidR="0000727C" w:rsidRPr="00C248BC">
        <w:rPr>
          <w:i/>
        </w:rPr>
        <w:t>.</w:t>
      </w:r>
      <w:r w:rsidR="0000727C" w:rsidRPr="00C248BC">
        <w:t xml:space="preserve"> </w:t>
      </w:r>
    </w:p>
    <w:p w:rsidR="00083FBF" w:rsidRDefault="00EA6CEC" w:rsidP="00083FBF">
      <w:pPr>
        <w:pStyle w:val="NumberList"/>
        <w:numPr>
          <w:ilvl w:val="0"/>
          <w:numId w:val="3"/>
        </w:numPr>
      </w:pPr>
      <w:r>
        <w:t>However, as the High Court has emphasised, beyond this, the Appropriation Acts do not create rights and nor do they, importantly, impose any duties</w:t>
      </w:r>
      <w:r w:rsidR="0000727C" w:rsidRPr="00C248BC">
        <w:rPr>
          <w:i/>
        </w:rPr>
        <w:t>.</w:t>
      </w:r>
    </w:p>
    <w:p w:rsidR="00EA6CEC" w:rsidRDefault="00EA6CEC" w:rsidP="00083FBF">
      <w:pPr>
        <w:pStyle w:val="NumberList"/>
        <w:numPr>
          <w:ilvl w:val="0"/>
          <w:numId w:val="3"/>
        </w:numPr>
      </w:pPr>
      <w:r>
        <w:t xml:space="preserve">Given </w:t>
      </w:r>
      <w:r w:rsidR="00D86458">
        <w:t xml:space="preserve">that the legal effect of </w:t>
      </w:r>
      <w:r>
        <w:t xml:space="preserve">Appropriation Bills is limited in this way, the Appropriation Bill is not seen as engaging, or otherwise affecting, the rights or freedoms relevant to the </w:t>
      </w:r>
      <w:r w:rsidR="000A6CD5" w:rsidRPr="000A6CD5">
        <w:rPr>
          <w:i/>
        </w:rPr>
        <w:t>Human Rights (Parliamentary Scrutiny) Act 2011</w:t>
      </w:r>
      <w:r>
        <w:t>.</w:t>
      </w:r>
    </w:p>
    <w:p w:rsidR="00A54989" w:rsidRDefault="00EA6CEC" w:rsidP="00F47666">
      <w:pPr>
        <w:pStyle w:val="NumberList"/>
        <w:numPr>
          <w:ilvl w:val="0"/>
          <w:numId w:val="3"/>
        </w:numPr>
        <w:sectPr w:rsidR="00A54989" w:rsidSect="009A07BB">
          <w:headerReference w:type="default" r:id="rId17"/>
          <w:footerReference w:type="default" r:id="rId18"/>
          <w:pgSz w:w="11907" w:h="16840" w:code="9"/>
          <w:pgMar w:top="1701" w:right="1985" w:bottom="1701" w:left="1985" w:header="1418" w:footer="1418" w:gutter="0"/>
          <w:pgNumType w:start="3"/>
          <w:cols w:space="708"/>
          <w:docGrid w:linePitch="360"/>
        </w:sectPr>
      </w:pPr>
      <w:r>
        <w:t>Detailed information on the relev</w:t>
      </w:r>
      <w:r w:rsidR="00D86458">
        <w:t xml:space="preserve">ant appropriations, however, is </w:t>
      </w:r>
      <w:r>
        <w:t>contained in the Budget Papers and t</w:t>
      </w:r>
      <w:r w:rsidR="00D86458">
        <w:t>he Portfolio Budget Statements</w:t>
      </w:r>
      <w:r>
        <w:t>.</w:t>
      </w:r>
    </w:p>
    <w:p w:rsidR="00083FBF" w:rsidRDefault="00083FBF" w:rsidP="00083FBF">
      <w:pPr>
        <w:pStyle w:val="NumberList"/>
        <w:numPr>
          <w:ilvl w:val="0"/>
          <w:numId w:val="0"/>
        </w:numPr>
        <w:sectPr w:rsidR="00083FBF" w:rsidSect="00D470F7">
          <w:type w:val="continuous"/>
          <w:pgSz w:w="11907" w:h="16840" w:code="9"/>
          <w:pgMar w:top="1701" w:right="1985" w:bottom="1701" w:left="1985" w:header="1418" w:footer="1418" w:gutter="0"/>
          <w:pgNumType w:start="1"/>
          <w:cols w:space="708"/>
          <w:docGrid w:linePitch="360"/>
        </w:sectPr>
      </w:pPr>
    </w:p>
    <w:p w:rsidR="00104960" w:rsidRDefault="00660C1E">
      <w:pPr>
        <w:pStyle w:val="Heading2"/>
      </w:pPr>
      <w:r w:rsidRPr="009A09BA">
        <w:t>Notes on clauses</w:t>
      </w:r>
      <w:bookmarkEnd w:id="8"/>
    </w:p>
    <w:p w:rsidR="00104960" w:rsidRDefault="00AA127E">
      <w:pPr>
        <w:pStyle w:val="Heading2"/>
      </w:pPr>
      <w:bookmarkStart w:id="9" w:name="_Toc97017892"/>
      <w:r w:rsidRPr="009A09BA">
        <w:t>Part 1—</w:t>
      </w:r>
      <w:r w:rsidRPr="00AF6868">
        <w:t>Preliminary</w:t>
      </w:r>
    </w:p>
    <w:p w:rsidR="00104960" w:rsidRDefault="00660C1E">
      <w:pPr>
        <w:pStyle w:val="Heading3"/>
      </w:pPr>
      <w:r w:rsidRPr="009A09BA">
        <w:t>Clause 1—Short title</w:t>
      </w:r>
      <w:bookmarkEnd w:id="9"/>
    </w:p>
    <w:p w:rsidR="00104960" w:rsidRDefault="00E858BE" w:rsidP="0075741D">
      <w:pPr>
        <w:pStyle w:val="NumberList"/>
        <w:numPr>
          <w:ilvl w:val="0"/>
          <w:numId w:val="11"/>
        </w:numPr>
        <w:tabs>
          <w:tab w:val="clear" w:pos="720"/>
          <w:tab w:val="num" w:pos="567"/>
        </w:tabs>
      </w:pPr>
      <w:r w:rsidRPr="009A09BA">
        <w:t>This clause specif</w:t>
      </w:r>
      <w:r w:rsidR="0057661F" w:rsidRPr="009A09BA">
        <w:t>ies</w:t>
      </w:r>
      <w:r w:rsidRPr="009A09BA">
        <w:t xml:space="preserve"> </w:t>
      </w:r>
      <w:r w:rsidR="00CB72EF">
        <w:t xml:space="preserve">that </w:t>
      </w:r>
      <w:r w:rsidRPr="009A09BA">
        <w:t xml:space="preserve">the </w:t>
      </w:r>
      <w:r w:rsidR="00CD1495" w:rsidRPr="009A09BA">
        <w:t xml:space="preserve">short </w:t>
      </w:r>
      <w:r w:rsidR="00CD1495" w:rsidRPr="0075741D">
        <w:t>title</w:t>
      </w:r>
      <w:r w:rsidR="00CD1495" w:rsidRPr="009A09BA">
        <w:t xml:space="preserve"> of the Bill, once enacted, will be </w:t>
      </w:r>
      <w:r w:rsidR="009C7B7E" w:rsidRPr="0075741D">
        <w:rPr>
          <w:i/>
        </w:rPr>
        <w:t xml:space="preserve">Appropriation </w:t>
      </w:r>
      <w:r w:rsidR="00660C1E" w:rsidRPr="0075741D">
        <w:rPr>
          <w:i/>
        </w:rPr>
        <w:t xml:space="preserve">Act </w:t>
      </w:r>
      <w:r w:rsidR="00462EF6" w:rsidRPr="0075741D">
        <w:rPr>
          <w:i/>
        </w:rPr>
        <w:t xml:space="preserve">(No. </w:t>
      </w:r>
      <w:r w:rsidR="001341EB" w:rsidRPr="0075741D">
        <w:rPr>
          <w:i/>
        </w:rPr>
        <w:t>1</w:t>
      </w:r>
      <w:r w:rsidR="00462EF6" w:rsidRPr="0075741D">
        <w:rPr>
          <w:i/>
        </w:rPr>
        <w:t>)</w:t>
      </w:r>
      <w:r w:rsidR="00D02EB6">
        <w:rPr>
          <w:i/>
        </w:rPr>
        <w:t xml:space="preserve"> </w:t>
      </w:r>
      <w:r w:rsidR="00C63193">
        <w:rPr>
          <w:i/>
        </w:rPr>
        <w:t>2013-2014</w:t>
      </w:r>
      <w:r w:rsidR="00660C1E" w:rsidRPr="009A09BA">
        <w:t>.</w:t>
      </w:r>
    </w:p>
    <w:p w:rsidR="00104960" w:rsidRDefault="00660C1E">
      <w:pPr>
        <w:pStyle w:val="Heading3"/>
      </w:pPr>
      <w:bookmarkStart w:id="10" w:name="_Toc97017893"/>
      <w:r w:rsidRPr="009A09BA">
        <w:t>Clause 2—</w:t>
      </w:r>
      <w:r w:rsidRPr="005A36F4">
        <w:t>Commencement</w:t>
      </w:r>
      <w:bookmarkEnd w:id="10"/>
    </w:p>
    <w:p w:rsidR="00104960" w:rsidRDefault="00660C1E" w:rsidP="0075741D">
      <w:pPr>
        <w:pStyle w:val="NumberList"/>
      </w:pPr>
      <w:r w:rsidRPr="009A09BA">
        <w:t xml:space="preserve">Clause 2 provides for </w:t>
      </w:r>
      <w:r w:rsidRPr="005807C0">
        <w:t>the</w:t>
      </w:r>
      <w:r w:rsidRPr="009A09BA">
        <w:t xml:space="preserve"> </w:t>
      </w:r>
      <w:r w:rsidR="00000D57" w:rsidRPr="009A09BA">
        <w:t xml:space="preserve">Bill </w:t>
      </w:r>
      <w:r w:rsidRPr="009A09BA">
        <w:t xml:space="preserve">to commence </w:t>
      </w:r>
      <w:r w:rsidR="00000D57" w:rsidRPr="009A09BA">
        <w:t xml:space="preserve">as an Act </w:t>
      </w:r>
      <w:r w:rsidRPr="009A09BA">
        <w:t xml:space="preserve">on the day </w:t>
      </w:r>
      <w:r w:rsidR="007A5CA5" w:rsidRPr="009A09BA">
        <w:t>of</w:t>
      </w:r>
      <w:r w:rsidR="001341EB">
        <w:t xml:space="preserve"> </w:t>
      </w:r>
      <w:r w:rsidR="00EA3AF6">
        <w:t xml:space="preserve">the </w:t>
      </w:r>
      <w:r w:rsidR="001341EB">
        <w:t>Royal </w:t>
      </w:r>
      <w:r w:rsidR="00470649">
        <w:t>A</w:t>
      </w:r>
      <w:r w:rsidR="00470649" w:rsidRPr="009A09BA">
        <w:t>ssent</w:t>
      </w:r>
      <w:r w:rsidRPr="009A09BA">
        <w:t>.</w:t>
      </w:r>
    </w:p>
    <w:p w:rsidR="00104960" w:rsidRDefault="00660C1E">
      <w:pPr>
        <w:pStyle w:val="Heading3"/>
      </w:pPr>
      <w:bookmarkStart w:id="11" w:name="_Toc97017894"/>
      <w:r w:rsidRPr="009A09BA">
        <w:t>Clause 3—</w:t>
      </w:r>
      <w:bookmarkEnd w:id="11"/>
      <w:r w:rsidRPr="009A09BA">
        <w:t>Definitions</w:t>
      </w:r>
    </w:p>
    <w:p w:rsidR="00104960" w:rsidRDefault="00660C1E" w:rsidP="0075741D">
      <w:pPr>
        <w:pStyle w:val="NumberList"/>
      </w:pPr>
      <w:r w:rsidRPr="00A3291A">
        <w:t xml:space="preserve">Clause 3 defines the key terms used in the </w:t>
      </w:r>
      <w:r w:rsidR="00000D57" w:rsidRPr="00A3291A">
        <w:t>Bill</w:t>
      </w:r>
      <w:r w:rsidR="00066014" w:rsidRPr="00A3291A">
        <w:t xml:space="preserve">, such as </w:t>
      </w:r>
      <w:r w:rsidR="009741C9">
        <w:t>“</w:t>
      </w:r>
      <w:r w:rsidR="00066014" w:rsidRPr="00A3291A">
        <w:t>administered item</w:t>
      </w:r>
      <w:r w:rsidR="009741C9">
        <w:t>”</w:t>
      </w:r>
      <w:r w:rsidR="00066014" w:rsidRPr="00A3291A">
        <w:t xml:space="preserve">, </w:t>
      </w:r>
      <w:r w:rsidR="009741C9">
        <w:t>“</w:t>
      </w:r>
      <w:r w:rsidR="007E2046">
        <w:t>A</w:t>
      </w:r>
      <w:r w:rsidR="0016046A" w:rsidRPr="00A3291A">
        <w:t>gency</w:t>
      </w:r>
      <w:r w:rsidR="009741C9">
        <w:t>”</w:t>
      </w:r>
      <w:r w:rsidR="0016046A" w:rsidRPr="00A3291A">
        <w:t xml:space="preserve">, </w:t>
      </w:r>
      <w:r w:rsidR="009741C9">
        <w:t>“</w:t>
      </w:r>
      <w:r w:rsidR="002C3BDF" w:rsidRPr="00A3291A">
        <w:t>CAC Act body payment item</w:t>
      </w:r>
      <w:r w:rsidR="009741C9">
        <w:t>”</w:t>
      </w:r>
      <w:r w:rsidR="002C3BDF" w:rsidRPr="00A3291A">
        <w:t xml:space="preserve">, </w:t>
      </w:r>
      <w:r w:rsidR="009741C9">
        <w:t>“</w:t>
      </w:r>
      <w:r w:rsidR="00F43F42" w:rsidRPr="00A3291A">
        <w:t>current year</w:t>
      </w:r>
      <w:r w:rsidR="009741C9">
        <w:t>”</w:t>
      </w:r>
      <w:r w:rsidR="001341EB">
        <w:t xml:space="preserve"> and</w:t>
      </w:r>
      <w:r w:rsidR="00F43F42" w:rsidRPr="00A3291A">
        <w:t xml:space="preserve"> </w:t>
      </w:r>
      <w:r w:rsidR="009741C9">
        <w:t>“</w:t>
      </w:r>
      <w:r w:rsidR="00066014" w:rsidRPr="00A3291A">
        <w:t>departmental item</w:t>
      </w:r>
      <w:r w:rsidR="009741C9">
        <w:t>”</w:t>
      </w:r>
      <w:r w:rsidR="007155FF" w:rsidRPr="00A3291A">
        <w:t>.</w:t>
      </w:r>
      <w:r w:rsidR="00953024" w:rsidRPr="00953024">
        <w:t xml:space="preserve"> </w:t>
      </w:r>
    </w:p>
    <w:p w:rsidR="00104960" w:rsidRDefault="00660C1E">
      <w:pPr>
        <w:pStyle w:val="Heading3"/>
      </w:pPr>
      <w:bookmarkStart w:id="12" w:name="_Toc97017895"/>
      <w:r w:rsidRPr="009A09BA">
        <w:t xml:space="preserve">Clause 4—Portfolio </w:t>
      </w:r>
      <w:r w:rsidR="005279F1" w:rsidRPr="009A09BA">
        <w:t>Statements</w:t>
      </w:r>
    </w:p>
    <w:p w:rsidR="00104960" w:rsidRDefault="00F60C73" w:rsidP="0075741D">
      <w:pPr>
        <w:pStyle w:val="NumberList"/>
      </w:pPr>
      <w:r w:rsidRPr="00F60C73">
        <w:t xml:space="preserve">Clause 4 declares that </w:t>
      </w:r>
      <w:r w:rsidR="007155FF">
        <w:t xml:space="preserve">the </w:t>
      </w:r>
      <w:r w:rsidR="00121A17">
        <w:t>PB Statements</w:t>
      </w:r>
      <w:r w:rsidR="00574724">
        <w:t xml:space="preserve"> </w:t>
      </w:r>
      <w:r w:rsidRPr="00F60C73">
        <w:t>are extrinsic material under paragraph </w:t>
      </w:r>
      <w:proofErr w:type="gramStart"/>
      <w:r w:rsidRPr="00F60C73">
        <w:t>15AB(</w:t>
      </w:r>
      <w:proofErr w:type="gramEnd"/>
      <w:r w:rsidRPr="00F60C73">
        <w:t xml:space="preserve">2)(g) of the </w:t>
      </w:r>
      <w:r w:rsidRPr="00B47095">
        <w:rPr>
          <w:i/>
        </w:rPr>
        <w:t>Acts Interpretation Act 1901</w:t>
      </w:r>
      <w:r w:rsidRPr="00F60C73">
        <w:t xml:space="preserve"> (AI Act) that may be used to ascertain the meaning of certain provisions in accordance with subsection 15AB(1) of the AI Act.</w:t>
      </w:r>
      <w:r w:rsidR="00441D5D">
        <w:t xml:space="preserve"> </w:t>
      </w:r>
      <w:r w:rsidRPr="00F60C73">
        <w:t xml:space="preserve">The purpose of the </w:t>
      </w:r>
      <w:r w:rsidR="00121A17">
        <w:t>PB Statements</w:t>
      </w:r>
      <w:r w:rsidR="00CE786E" w:rsidRPr="00A222CF">
        <w:t xml:space="preserve"> </w:t>
      </w:r>
      <w:r w:rsidRPr="00F60C73">
        <w:t xml:space="preserve">is to provide information on the proposed allocation of resources to Government outcomes by agencies within </w:t>
      </w:r>
      <w:r w:rsidR="00847CB9">
        <w:t>each</w:t>
      </w:r>
      <w:r w:rsidR="00CE786E">
        <w:t xml:space="preserve"> </w:t>
      </w:r>
      <w:r w:rsidRPr="00F60C73">
        <w:t>portfolio.</w:t>
      </w:r>
      <w:r w:rsidR="00441D5D">
        <w:t xml:space="preserve"> </w:t>
      </w:r>
      <w:r w:rsidRPr="00F60C73">
        <w:t xml:space="preserve">The </w:t>
      </w:r>
      <w:r w:rsidR="00121A17">
        <w:t>PB Statements</w:t>
      </w:r>
      <w:r w:rsidR="00CE786E" w:rsidRPr="00A222CF">
        <w:t xml:space="preserve"> </w:t>
      </w:r>
      <w:r w:rsidRPr="00F60C73">
        <w:t xml:space="preserve">provide information to enable Parliament to understand the purpose of </w:t>
      </w:r>
      <w:r w:rsidR="003F0C00" w:rsidRPr="009A09BA">
        <w:t>appropriation</w:t>
      </w:r>
      <w:r w:rsidR="003155E8">
        <w:t>s</w:t>
      </w:r>
      <w:r w:rsidRPr="00F60C73">
        <w:t xml:space="preserve"> proposed in the Bill.</w:t>
      </w:r>
      <w:r w:rsidR="00441D5D">
        <w:t xml:space="preserve"> </w:t>
      </w:r>
      <w:r w:rsidR="007A353F">
        <w:t>The term “Port</w:t>
      </w:r>
      <w:r w:rsidR="00480731">
        <w:t>f</w:t>
      </w:r>
      <w:r w:rsidR="007A353F">
        <w:t>olio Statements”</w:t>
      </w:r>
      <w:r w:rsidR="007A353F" w:rsidRPr="00F60C73">
        <w:t xml:space="preserve"> </w:t>
      </w:r>
      <w:r w:rsidR="007A353F">
        <w:t xml:space="preserve">is </w:t>
      </w:r>
      <w:r w:rsidR="007A353F" w:rsidRPr="00F60C73">
        <w:t>defined in the Bill</w:t>
      </w:r>
      <w:r w:rsidR="007A353F">
        <w:t>, at clause 3,</w:t>
      </w:r>
      <w:r w:rsidR="007A353F" w:rsidRPr="00F60C73">
        <w:t xml:space="preserve"> to mean the </w:t>
      </w:r>
      <w:r w:rsidR="007A353F">
        <w:t>Portfolio Budget Statements</w:t>
      </w:r>
      <w:r w:rsidR="007A353F" w:rsidRPr="00F60C73">
        <w:t>.</w:t>
      </w:r>
    </w:p>
    <w:p w:rsidR="00104960" w:rsidRDefault="00660C1E">
      <w:pPr>
        <w:pStyle w:val="Heading3"/>
      </w:pPr>
      <w:proofErr w:type="gramStart"/>
      <w:r w:rsidRPr="009A09BA">
        <w:t>Claus</w:t>
      </w:r>
      <w:r w:rsidRPr="007F62F6">
        <w:t>e 5—Notional payments, receipts etc</w:t>
      </w:r>
      <w:r w:rsidR="00AD262B">
        <w:t>.</w:t>
      </w:r>
      <w:proofErr w:type="gramEnd"/>
    </w:p>
    <w:p w:rsidR="00A54989" w:rsidRDefault="007F62F6" w:rsidP="0075741D">
      <w:pPr>
        <w:pStyle w:val="NumberList"/>
        <w:sectPr w:rsidR="00A54989" w:rsidSect="0056349F">
          <w:headerReference w:type="default" r:id="rId19"/>
          <w:footerReference w:type="default" r:id="rId20"/>
          <w:pgSz w:w="11907" w:h="16840" w:code="9"/>
          <w:pgMar w:top="1701" w:right="1985" w:bottom="1701" w:left="1985" w:header="1418" w:footer="1418" w:gutter="0"/>
          <w:pgNumType w:start="4"/>
          <w:cols w:space="708"/>
          <w:docGrid w:linePitch="360"/>
        </w:sectPr>
      </w:pPr>
      <w:r w:rsidRPr="007F62F6">
        <w:t xml:space="preserve">Clause 5 ensures that payments between agencies result in a debit </w:t>
      </w:r>
      <w:r w:rsidR="00725F73">
        <w:t xml:space="preserve">from </w:t>
      </w:r>
      <w:r w:rsidRPr="007F62F6">
        <w:t>the appropr</w:t>
      </w:r>
      <w:r w:rsidRPr="009A09BA">
        <w:t xml:space="preserve">iation </w:t>
      </w:r>
      <w:r w:rsidR="00606D98" w:rsidRPr="00AE1244">
        <w:t>for</w:t>
      </w:r>
      <w:r w:rsidR="00606D98">
        <w:t xml:space="preserve"> </w:t>
      </w:r>
      <w:r w:rsidRPr="009A09BA">
        <w:t>the paying agency.</w:t>
      </w:r>
      <w:r w:rsidR="00441D5D">
        <w:t xml:space="preserve"> </w:t>
      </w:r>
      <w:r w:rsidRPr="009A09BA">
        <w:t>For example</w:t>
      </w:r>
      <w:r w:rsidR="002930DD">
        <w:t>,</w:t>
      </w:r>
      <w:r w:rsidRPr="009A09BA">
        <w:t xml:space="preserve"> the payments of the amounts in Schedule 1 from one FMA Act a</w:t>
      </w:r>
      <w:r w:rsidR="00725F73">
        <w:t>gency to another do not</w:t>
      </w:r>
      <w:r w:rsidR="005B6D6A">
        <w:t xml:space="preserve"> require</w:t>
      </w:r>
      <w:r w:rsidR="00725F73">
        <w:t xml:space="preserve">, </w:t>
      </w:r>
      <w:r w:rsidR="00725F73" w:rsidRPr="00606D98">
        <w:t>in</w:t>
      </w:r>
      <w:r w:rsidR="00457673">
        <w:t xml:space="preserve"> </w:t>
      </w:r>
      <w:r w:rsidR="00725F73" w:rsidRPr="00606D98">
        <w:t>a constitutional sense</w:t>
      </w:r>
      <w:r w:rsidR="00725F73">
        <w:t xml:space="preserve">, </w:t>
      </w:r>
      <w:r w:rsidR="00253090">
        <w:t>an appropriation,</w:t>
      </w:r>
      <w:r w:rsidR="00725F73">
        <w:t xml:space="preserve"> because both agencies operate within the CRF</w:t>
      </w:r>
      <w:r w:rsidRPr="009A09BA">
        <w:t>.</w:t>
      </w:r>
      <w:r w:rsidR="00441D5D">
        <w:t xml:space="preserve"> </w:t>
      </w:r>
      <w:r w:rsidRPr="009A09BA">
        <w:t>However, for reasons of financial d</w:t>
      </w:r>
      <w:r w:rsidR="00253090">
        <w:t>iscipline and transparency, the</w:t>
      </w:r>
      <w:r w:rsidR="004C1AB5">
        <w:t xml:space="preserve"> practice has arisen </w:t>
      </w:r>
      <w:r w:rsidR="004C1AB5" w:rsidRPr="009A09BA">
        <w:t xml:space="preserve">for these payments between agencies to be treated as though they required an appropriation, and to debit an appropriation when such </w:t>
      </w:r>
      <w:r w:rsidR="004C1AB5">
        <w:t xml:space="preserve">notional </w:t>
      </w:r>
      <w:r w:rsidR="004C1AB5" w:rsidRPr="009A09BA">
        <w:t>payments are made</w:t>
      </w:r>
      <w:r w:rsidR="004C1AB5">
        <w:t>.</w:t>
      </w:r>
    </w:p>
    <w:p w:rsidR="00D147B6" w:rsidRDefault="00660C1E" w:rsidP="0075741D">
      <w:pPr>
        <w:pStyle w:val="NumberList"/>
      </w:pPr>
      <w:r w:rsidRPr="00D90BE6">
        <w:t xml:space="preserve">Clause 5 provides that </w:t>
      </w:r>
      <w:r w:rsidR="000141AA" w:rsidRPr="00D90BE6">
        <w:t>notional transactions between agencies are to be treated as if they were real transactions</w:t>
      </w:r>
      <w:r w:rsidR="00A14152">
        <w:t>. N</w:t>
      </w:r>
      <w:r w:rsidR="00A14152" w:rsidRPr="00D90BE6">
        <w:t>otional transactions</w:t>
      </w:r>
      <w:r w:rsidR="00457673">
        <w:t>,</w:t>
      </w:r>
      <w:r w:rsidR="00F43A02" w:rsidRPr="00D90BE6">
        <w:t xml:space="preserve"> </w:t>
      </w:r>
      <w:r w:rsidR="006D48E8" w:rsidRPr="00D90BE6">
        <w:t>therefore</w:t>
      </w:r>
      <w:r w:rsidR="00503CA8" w:rsidRPr="00D90BE6">
        <w:t>,</w:t>
      </w:r>
      <w:r w:rsidR="006D48E8" w:rsidRPr="00D90BE6">
        <w:t xml:space="preserve"> require the use of a drawing right and the debiting of an appropriation made by Parliament</w:t>
      </w:r>
      <w:r w:rsidR="007A6695" w:rsidRPr="00D90BE6">
        <w:t>.</w:t>
      </w:r>
      <w:r w:rsidR="00441D5D">
        <w:t xml:space="preserve"> </w:t>
      </w:r>
      <w:r w:rsidR="000B48AB" w:rsidRPr="00D90BE6">
        <w:t>Whe</w:t>
      </w:r>
      <w:r w:rsidR="000B48AB">
        <w:t>n</w:t>
      </w:r>
      <w:r w:rsidR="000B48AB" w:rsidRPr="00D90BE6">
        <w:t xml:space="preserve"> </w:t>
      </w:r>
      <w:r w:rsidR="006D48E8" w:rsidRPr="00D90BE6">
        <w:t xml:space="preserve">an FMA Act agency makes a payment, whether to another FMA Act agency or another part of the same agency (such as a different </w:t>
      </w:r>
      <w:r w:rsidR="009741C9">
        <w:t>“</w:t>
      </w:r>
      <w:r w:rsidR="006D48E8" w:rsidRPr="00D90BE6">
        <w:t>business unit</w:t>
      </w:r>
      <w:r w:rsidR="009741C9">
        <w:t>”</w:t>
      </w:r>
      <w:r w:rsidR="006D48E8" w:rsidRPr="00D90BE6">
        <w:t xml:space="preserve"> within the agency)</w:t>
      </w:r>
      <w:r w:rsidR="002930DD" w:rsidRPr="00D90BE6">
        <w:t>,</w:t>
      </w:r>
      <w:r w:rsidR="006D48E8" w:rsidRPr="00D90BE6">
        <w:t xml:space="preserve"> </w:t>
      </w:r>
      <w:r w:rsidR="0081539A" w:rsidRPr="00D90BE6">
        <w:t xml:space="preserve">it </w:t>
      </w:r>
      <w:r w:rsidR="006D48E8" w:rsidRPr="00D90BE6">
        <w:t xml:space="preserve">is to be treated as a </w:t>
      </w:r>
      <w:r w:rsidR="009741C9">
        <w:t>“</w:t>
      </w:r>
      <w:r w:rsidR="006D48E8" w:rsidRPr="00D90BE6">
        <w:t>real</w:t>
      </w:r>
      <w:r w:rsidR="009741C9">
        <w:t>”</w:t>
      </w:r>
      <w:r w:rsidR="006D48E8" w:rsidRPr="00D90BE6">
        <w:t xml:space="preserve"> payment.</w:t>
      </w:r>
      <w:r w:rsidR="00441D5D">
        <w:t xml:space="preserve"> </w:t>
      </w:r>
    </w:p>
    <w:p w:rsidR="00104960" w:rsidRPr="00D90BE6" w:rsidRDefault="00E1107B" w:rsidP="0075741D">
      <w:pPr>
        <w:pStyle w:val="NumberList"/>
      </w:pPr>
      <w:r w:rsidRPr="00D90BE6">
        <w:t>T</w:t>
      </w:r>
      <w:r w:rsidR="006D48E8" w:rsidRPr="00D90BE6">
        <w:t>his means that the appropriation made by Parliament is extinguished by the amount of the notional payment, even though no payment is actually made from the CRF.</w:t>
      </w:r>
      <w:r w:rsidR="00441D5D">
        <w:t xml:space="preserve"> </w:t>
      </w:r>
      <w:r w:rsidR="006D48E8" w:rsidRPr="00D90BE6">
        <w:t>Similarly</w:t>
      </w:r>
      <w:r w:rsidR="00503CA8" w:rsidRPr="00D90BE6">
        <w:t xml:space="preserve">, </w:t>
      </w:r>
      <w:r w:rsidR="006D48E8" w:rsidRPr="00D90BE6">
        <w:t>a</w:t>
      </w:r>
      <w:r w:rsidR="00503CA8" w:rsidRPr="00D90BE6">
        <w:t> </w:t>
      </w:r>
      <w:r w:rsidR="006D48E8" w:rsidRPr="00D90BE6">
        <w:t xml:space="preserve">notional receipt in such a situation is to be treated </w:t>
      </w:r>
      <w:r w:rsidRPr="00D90BE6">
        <w:t xml:space="preserve">by the receiving agency (where relevant) </w:t>
      </w:r>
      <w:r w:rsidR="006D48E8" w:rsidRPr="00D90BE6">
        <w:t>as if it were a real receipt.</w:t>
      </w:r>
      <w:r w:rsidR="00441D5D">
        <w:t xml:space="preserve"> </w:t>
      </w:r>
      <w:r w:rsidR="00725F73" w:rsidRPr="00D90BE6">
        <w:t>This does not mean every internal transfer of public money involves a notional payment and receipt.</w:t>
      </w:r>
      <w:r w:rsidR="00441D5D">
        <w:t xml:space="preserve"> </w:t>
      </w:r>
      <w:r w:rsidR="00725F73" w:rsidRPr="00D90BE6">
        <w:t xml:space="preserve">As explained in </w:t>
      </w:r>
      <w:r w:rsidR="000C1381">
        <w:t>r</w:t>
      </w:r>
      <w:r w:rsidR="005C0F4F" w:rsidRPr="00D90BE6">
        <w:t xml:space="preserve">egulation 19 of the </w:t>
      </w:r>
      <w:r w:rsidR="00F43F42" w:rsidRPr="00D90BE6">
        <w:rPr>
          <w:i/>
        </w:rPr>
        <w:t>Financial Manag</w:t>
      </w:r>
      <w:r w:rsidR="00DC6634" w:rsidRPr="00D90BE6">
        <w:rPr>
          <w:i/>
        </w:rPr>
        <w:t>e</w:t>
      </w:r>
      <w:r w:rsidR="00F43F42" w:rsidRPr="00D90BE6">
        <w:rPr>
          <w:i/>
        </w:rPr>
        <w:t xml:space="preserve">ment and Accountability Regulations 1997 </w:t>
      </w:r>
      <w:r w:rsidR="00F43F42" w:rsidRPr="00D90BE6">
        <w:t>(FMA</w:t>
      </w:r>
      <w:r w:rsidR="00503CA8" w:rsidRPr="00D90BE6">
        <w:t> </w:t>
      </w:r>
      <w:r w:rsidR="00F867B7">
        <w:t>R</w:t>
      </w:r>
      <w:r w:rsidR="00F43F42" w:rsidRPr="00D90BE6">
        <w:t>egulations)</w:t>
      </w:r>
      <w:r w:rsidR="00725F73" w:rsidRPr="00D90BE6">
        <w:t>, some transfers of public money from one official account to another do not involve a notional payment or debiting an appropriation.</w:t>
      </w:r>
    </w:p>
    <w:p w:rsidR="00104960" w:rsidRDefault="00AA127E">
      <w:pPr>
        <w:pStyle w:val="Heading2"/>
      </w:pPr>
      <w:bookmarkStart w:id="13" w:name="param8"/>
      <w:bookmarkEnd w:id="13"/>
      <w:r w:rsidRPr="009A09BA">
        <w:t>Part 2—</w:t>
      </w:r>
      <w:r w:rsidR="00E80FD6" w:rsidRPr="009A09BA">
        <w:t>Appropriation items</w:t>
      </w:r>
    </w:p>
    <w:p w:rsidR="00104960" w:rsidRDefault="00AA127E">
      <w:pPr>
        <w:pStyle w:val="Heading3"/>
      </w:pPr>
      <w:r w:rsidRPr="009A09BA">
        <w:t xml:space="preserve">Clause 6—Summary of </w:t>
      </w:r>
      <w:r w:rsidRPr="00634E73">
        <w:t>appropriations</w:t>
      </w:r>
    </w:p>
    <w:p w:rsidR="00104960" w:rsidRDefault="002F5AB0" w:rsidP="0075741D">
      <w:pPr>
        <w:pStyle w:val="NumberList"/>
      </w:pPr>
      <w:r w:rsidRPr="009A09BA">
        <w:t>Clause</w:t>
      </w:r>
      <w:r w:rsidR="001F6065">
        <w:t> </w:t>
      </w:r>
      <w:r w:rsidRPr="009A09BA">
        <w:t>6 sets out t</w:t>
      </w:r>
      <w:r w:rsidR="00CC5852" w:rsidRPr="009A09BA">
        <w:t xml:space="preserve">he total of the </w:t>
      </w:r>
      <w:r w:rsidR="003E6EE0" w:rsidRPr="009A09BA">
        <w:t>appropriation</w:t>
      </w:r>
      <w:r w:rsidR="00AA08A1" w:rsidRPr="009A09BA">
        <w:t>s</w:t>
      </w:r>
      <w:r w:rsidR="00CC5852" w:rsidRPr="009A09BA">
        <w:t xml:space="preserve"> in </w:t>
      </w:r>
      <w:r w:rsidR="00B62B1B">
        <w:t>Schedule 1 of</w:t>
      </w:r>
      <w:r w:rsidR="00B62B1B" w:rsidRPr="009A09BA">
        <w:t xml:space="preserve"> </w:t>
      </w:r>
      <w:r w:rsidR="00CC5852" w:rsidRPr="009A09BA">
        <w:t>th</w:t>
      </w:r>
      <w:r w:rsidR="00D1777C" w:rsidRPr="009A09BA">
        <w:t>e</w:t>
      </w:r>
      <w:r w:rsidR="00CC5852" w:rsidRPr="009A09BA">
        <w:t xml:space="preserve"> Bill</w:t>
      </w:r>
      <w:r w:rsidR="003D566E" w:rsidRPr="009A09BA">
        <w:t>.</w:t>
      </w:r>
      <w:r w:rsidR="00F43A02" w:rsidRPr="009A09BA">
        <w:t xml:space="preserve"> </w:t>
      </w:r>
      <w:r w:rsidR="00C5228A" w:rsidRPr="009A09BA">
        <w:t>Importantly</w:t>
      </w:r>
      <w:r w:rsidR="00702E26" w:rsidRPr="009A09BA">
        <w:t>, t</w:t>
      </w:r>
      <w:r w:rsidR="00D95996" w:rsidRPr="009A09BA">
        <w:t xml:space="preserve">he </w:t>
      </w:r>
      <w:r w:rsidR="00BD003E" w:rsidRPr="009A09BA">
        <w:t>amounts</w:t>
      </w:r>
      <w:r w:rsidR="00D95996" w:rsidRPr="009A09BA">
        <w:t xml:space="preserve"> in </w:t>
      </w:r>
      <w:r w:rsidR="00BD003E" w:rsidRPr="009A09BA">
        <w:t>Schedule 1</w:t>
      </w:r>
      <w:r w:rsidR="00F64E1D">
        <w:t xml:space="preserve"> </w:t>
      </w:r>
      <w:r w:rsidR="00D95996" w:rsidRPr="009A09BA">
        <w:t xml:space="preserve">may be </w:t>
      </w:r>
      <w:r w:rsidR="00AA08A1" w:rsidRPr="009A09BA">
        <w:t xml:space="preserve">adjusted </w:t>
      </w:r>
      <w:r w:rsidR="00556B82" w:rsidRPr="009A09BA">
        <w:t xml:space="preserve">under </w:t>
      </w:r>
      <w:r w:rsidR="00242EC2" w:rsidRPr="009A09BA">
        <w:t xml:space="preserve">the provisions in </w:t>
      </w:r>
      <w:r w:rsidR="00AA08A1" w:rsidRPr="009A09BA">
        <w:t>Part</w:t>
      </w:r>
      <w:r w:rsidR="00BD003E" w:rsidRPr="009A09BA">
        <w:t> </w:t>
      </w:r>
      <w:r w:rsidR="00AA08A1" w:rsidRPr="009A09BA">
        <w:t>3 of the Bill</w:t>
      </w:r>
      <w:r w:rsidR="00556B82" w:rsidRPr="009A09BA">
        <w:t>.</w:t>
      </w:r>
      <w:r w:rsidR="00F43A02" w:rsidRPr="009A09BA">
        <w:t xml:space="preserve"> </w:t>
      </w:r>
      <w:r w:rsidR="00B62B1B">
        <w:t>In particular</w:t>
      </w:r>
      <w:r w:rsidR="00D95996" w:rsidRPr="009A09BA">
        <w:t>:</w:t>
      </w:r>
    </w:p>
    <w:p w:rsidR="00104960" w:rsidRDefault="00EC7382" w:rsidP="00043D93">
      <w:pPr>
        <w:pStyle w:val="Bullet"/>
        <w:spacing w:before="120"/>
      </w:pPr>
      <w:r w:rsidRPr="009A09BA">
        <w:t>D</w:t>
      </w:r>
      <w:r w:rsidR="00D1777C" w:rsidRPr="009A09BA">
        <w:t xml:space="preserve">epartmental items </w:t>
      </w:r>
      <w:r w:rsidR="008C708A" w:rsidRPr="009A09BA">
        <w:t xml:space="preserve">may be reduced </w:t>
      </w:r>
      <w:r w:rsidR="00D1777C" w:rsidRPr="009A09BA">
        <w:t>in accordance with clause 10</w:t>
      </w:r>
      <w:r w:rsidR="0008021E">
        <w:t>;</w:t>
      </w:r>
    </w:p>
    <w:p w:rsidR="00104960" w:rsidRDefault="00EC7382" w:rsidP="00043D93">
      <w:pPr>
        <w:pStyle w:val="Bullet"/>
        <w:spacing w:before="120"/>
      </w:pPr>
      <w:r w:rsidRPr="009A09BA">
        <w:t>A</w:t>
      </w:r>
      <w:r w:rsidR="00D1777C" w:rsidRPr="009A09BA">
        <w:t xml:space="preserve">dministered items </w:t>
      </w:r>
      <w:r w:rsidR="008C708A" w:rsidRPr="009A09BA">
        <w:t xml:space="preserve">may be reduced </w:t>
      </w:r>
      <w:r w:rsidR="0008021E">
        <w:t>in accordance with clause 11;</w:t>
      </w:r>
    </w:p>
    <w:p w:rsidR="00104960" w:rsidRDefault="00D1777C" w:rsidP="00043D93">
      <w:pPr>
        <w:pStyle w:val="Bullet"/>
        <w:spacing w:before="120"/>
      </w:pPr>
      <w:r w:rsidRPr="009A09BA">
        <w:t xml:space="preserve">CAC Act body payment items </w:t>
      </w:r>
      <w:r w:rsidR="008C708A" w:rsidRPr="009A09BA">
        <w:t xml:space="preserve">may be reduced </w:t>
      </w:r>
      <w:r w:rsidR="00EC7382" w:rsidRPr="009A09BA">
        <w:t>in accordance with clause</w:t>
      </w:r>
      <w:r w:rsidR="00000441" w:rsidRPr="009A09BA">
        <w:t> </w:t>
      </w:r>
      <w:r w:rsidR="00574B60">
        <w:t>12;</w:t>
      </w:r>
      <w:r w:rsidR="00461CB5" w:rsidRPr="00461CB5">
        <w:rPr>
          <w:szCs w:val="24"/>
        </w:rPr>
        <w:t xml:space="preserve"> </w:t>
      </w:r>
      <w:r w:rsidR="00461CB5">
        <w:rPr>
          <w:szCs w:val="24"/>
        </w:rPr>
        <w:t>and</w:t>
      </w:r>
    </w:p>
    <w:p w:rsidR="00104960" w:rsidRPr="00043D93" w:rsidRDefault="0008021E" w:rsidP="00043D93">
      <w:pPr>
        <w:pStyle w:val="Bullet"/>
        <w:spacing w:before="120"/>
      </w:pPr>
      <w:proofErr w:type="gramStart"/>
      <w:r>
        <w:rPr>
          <w:szCs w:val="24"/>
        </w:rPr>
        <w:t>i</w:t>
      </w:r>
      <w:r w:rsidR="00727E7F" w:rsidRPr="002803D3">
        <w:rPr>
          <w:szCs w:val="24"/>
        </w:rPr>
        <w:t>tems</w:t>
      </w:r>
      <w:proofErr w:type="gramEnd"/>
      <w:r w:rsidR="00727E7F" w:rsidRPr="002803D3">
        <w:rPr>
          <w:szCs w:val="24"/>
        </w:rPr>
        <w:t xml:space="preserve"> may be increased by a determination under clause 13 </w:t>
      </w:r>
      <w:r w:rsidR="000C15D8">
        <w:rPr>
          <w:szCs w:val="24"/>
        </w:rPr>
        <w:br/>
      </w:r>
      <w:r w:rsidR="00727E7F" w:rsidRPr="002803D3">
        <w:rPr>
          <w:szCs w:val="24"/>
        </w:rPr>
        <w:t>(Advance to the Finan</w:t>
      </w:r>
      <w:r w:rsidR="00574B60">
        <w:rPr>
          <w:szCs w:val="24"/>
        </w:rPr>
        <w:t>ce Minister)</w:t>
      </w:r>
      <w:r w:rsidR="00461CB5">
        <w:rPr>
          <w:szCs w:val="24"/>
        </w:rPr>
        <w:t>.</w:t>
      </w:r>
    </w:p>
    <w:p w:rsidR="00A54989" w:rsidRDefault="00556B82" w:rsidP="00043D93">
      <w:pPr>
        <w:pStyle w:val="NumberList"/>
        <w:keepNext/>
        <w:widowControl w:val="0"/>
        <w:sectPr w:rsidR="00A54989" w:rsidSect="00D470F7">
          <w:footerReference w:type="default" r:id="rId21"/>
          <w:type w:val="continuous"/>
          <w:pgSz w:w="11907" w:h="16840" w:code="9"/>
          <w:pgMar w:top="1701" w:right="1985" w:bottom="1701" w:left="1985" w:header="1418" w:footer="1418" w:gutter="0"/>
          <w:cols w:space="708"/>
          <w:docGrid w:linePitch="360"/>
        </w:sectPr>
      </w:pPr>
      <w:r w:rsidRPr="009A09BA">
        <w:t xml:space="preserve">The amounts in Schedule 1of the Bill may </w:t>
      </w:r>
      <w:r w:rsidR="0081539A" w:rsidRPr="009A09BA">
        <w:t xml:space="preserve">be </w:t>
      </w:r>
      <w:r w:rsidR="00727E7F" w:rsidRPr="002803D3">
        <w:t>adjusted further</w:t>
      </w:r>
      <w:r w:rsidR="005C268F" w:rsidRPr="009A09BA">
        <w:t xml:space="preserve"> </w:t>
      </w:r>
      <w:r w:rsidR="00702E26" w:rsidRPr="009A09BA">
        <w:t xml:space="preserve">in accordance with </w:t>
      </w:r>
      <w:r w:rsidRPr="009A09BA">
        <w:t>sections</w:t>
      </w:r>
      <w:r w:rsidR="001F6065">
        <w:t> </w:t>
      </w:r>
      <w:r w:rsidR="00C9132B">
        <w:t>30</w:t>
      </w:r>
      <w:r w:rsidR="00C9132B" w:rsidRPr="00C9132B">
        <w:t xml:space="preserve">, 30A, 31 and </w:t>
      </w:r>
      <w:r w:rsidRPr="009A09BA">
        <w:t>32 of the FMA Act.</w:t>
      </w:r>
      <w:r w:rsidR="00B62B1B">
        <w:t xml:space="preserve"> </w:t>
      </w:r>
      <w:r w:rsidRPr="009A09BA">
        <w:t>Specifically:</w:t>
      </w:r>
    </w:p>
    <w:p w:rsidR="00104960" w:rsidRDefault="00A34E3B" w:rsidP="00782FA4">
      <w:pPr>
        <w:pStyle w:val="Bullet"/>
        <w:spacing w:before="120"/>
      </w:pPr>
      <w:r>
        <w:t>Section</w:t>
      </w:r>
      <w:r w:rsidR="001F6065">
        <w:t> </w:t>
      </w:r>
      <w:r>
        <w:t>30 allows an agency to re-credit</w:t>
      </w:r>
      <w:r w:rsidR="00102D30">
        <w:t>,</w:t>
      </w:r>
      <w:r>
        <w:t xml:space="preserve"> to an </w:t>
      </w:r>
      <w:r w:rsidR="00BD291C">
        <w:t>appropriation</w:t>
      </w:r>
      <w:r>
        <w:t xml:space="preserve"> that had been relied </w:t>
      </w:r>
      <w:r w:rsidRPr="00F440B8">
        <w:t>upon for an initial payment by the agency</w:t>
      </w:r>
      <w:r w:rsidR="00102D30">
        <w:t>,</w:t>
      </w:r>
      <w:r w:rsidR="00095F69">
        <w:t xml:space="preserve"> </w:t>
      </w:r>
      <w:r>
        <w:t>an amount equivalent to the repayment</w:t>
      </w:r>
      <w:r w:rsidR="00185298" w:rsidRPr="009A09BA">
        <w:t>.</w:t>
      </w:r>
      <w:r w:rsidR="00441D5D">
        <w:t xml:space="preserve"> </w:t>
      </w:r>
      <w:r w:rsidR="00185298" w:rsidRPr="009A09BA">
        <w:t>The re-crediting</w:t>
      </w:r>
      <w:r w:rsidR="0081539A">
        <w:t>,</w:t>
      </w:r>
      <w:r w:rsidR="00185298" w:rsidRPr="009A09BA">
        <w:t xml:space="preserve"> or reinstatement</w:t>
      </w:r>
      <w:r w:rsidR="0081539A">
        <w:t>,</w:t>
      </w:r>
      <w:r w:rsidR="00185298" w:rsidRPr="009A09BA">
        <w:t xml:space="preserve"> authorised by </w:t>
      </w:r>
      <w:r w:rsidR="00BE1629" w:rsidRPr="009A09BA">
        <w:t>section</w:t>
      </w:r>
      <w:r w:rsidR="00BE1629">
        <w:t> </w:t>
      </w:r>
      <w:r w:rsidR="00185298" w:rsidRPr="009A09BA">
        <w:t>30</w:t>
      </w:r>
      <w:r w:rsidR="00F440B8">
        <w:t>,</w:t>
      </w:r>
      <w:r w:rsidR="00185298" w:rsidRPr="009A09BA">
        <w:t xml:space="preserve"> can result in the total amount paid from the CRF </w:t>
      </w:r>
      <w:r w:rsidR="008E257A" w:rsidRPr="009A09BA">
        <w:t>in gross terms</w:t>
      </w:r>
      <w:r w:rsidR="00F867B7">
        <w:t>,</w:t>
      </w:r>
      <w:r w:rsidR="008E257A" w:rsidRPr="009A09BA">
        <w:t xml:space="preserve"> </w:t>
      </w:r>
      <w:r w:rsidR="00185298" w:rsidRPr="009A09BA">
        <w:t>exceeding the amount specified in an item.</w:t>
      </w:r>
      <w:r w:rsidR="00441D5D">
        <w:t xml:space="preserve"> </w:t>
      </w:r>
      <w:r w:rsidR="00EA5522">
        <w:t>Section 30 also applies to notional transactions between and within agencies.</w:t>
      </w:r>
    </w:p>
    <w:p w:rsidR="00104960" w:rsidRDefault="00A34E3B" w:rsidP="00782FA4">
      <w:pPr>
        <w:pStyle w:val="Bullet"/>
        <w:spacing w:before="120"/>
      </w:pPr>
      <w:r>
        <w:t xml:space="preserve">Appropriations </w:t>
      </w:r>
      <w:r w:rsidR="00185298" w:rsidRPr="009A09BA">
        <w:t xml:space="preserve">may be </w:t>
      </w:r>
      <w:r w:rsidR="00EC7382" w:rsidRPr="009A09BA">
        <w:t>adjusted</w:t>
      </w:r>
      <w:r w:rsidR="00185298" w:rsidRPr="009A09BA">
        <w:t xml:space="preserve"> by amounts recover</w:t>
      </w:r>
      <w:r w:rsidR="000C15D8">
        <w:t>able</w:t>
      </w:r>
      <w:r w:rsidR="00185298" w:rsidRPr="009A09BA">
        <w:t xml:space="preserve"> by an agency from the Australian Taxation Office for G</w:t>
      </w:r>
      <w:r w:rsidR="00D82EE0">
        <w:t>oods and Services Tax (GST), in</w:t>
      </w:r>
      <w:r w:rsidR="00A04140">
        <w:t> </w:t>
      </w:r>
      <w:r w:rsidR="00185298" w:rsidRPr="009A09BA">
        <w:t>accordance with section 30A of the FMA Act</w:t>
      </w:r>
      <w:r w:rsidR="00185298" w:rsidRPr="009A09BA">
        <w:rPr>
          <w:i/>
        </w:rPr>
        <w:t>.</w:t>
      </w:r>
      <w:r w:rsidR="00441D5D">
        <w:t xml:space="preserve"> </w:t>
      </w:r>
      <w:r w:rsidR="00185298" w:rsidRPr="009A09BA">
        <w:t>The amounts specified in Schedule</w:t>
      </w:r>
      <w:r w:rsidR="00EC7382" w:rsidRPr="009A09BA">
        <w:t> </w:t>
      </w:r>
      <w:r w:rsidR="00185298" w:rsidRPr="009A09BA">
        <w:t>1</w:t>
      </w:r>
      <w:r w:rsidR="00B5258B">
        <w:t xml:space="preserve"> </w:t>
      </w:r>
      <w:r w:rsidR="008E257A" w:rsidRPr="009A09BA">
        <w:t>exclude</w:t>
      </w:r>
      <w:r w:rsidR="00185298" w:rsidRPr="009A09BA">
        <w:t xml:space="preserve"> recoverable GST.</w:t>
      </w:r>
      <w:r w:rsidR="00441D5D">
        <w:t xml:space="preserve"> </w:t>
      </w:r>
      <w:r w:rsidR="00185298" w:rsidRPr="009A09BA">
        <w:t>The appropriations shown represent the net amount that Parliament is asked to allocate to particular purposes.</w:t>
      </w:r>
      <w:r w:rsidR="00441D5D">
        <w:t xml:space="preserve"> </w:t>
      </w:r>
      <w:r w:rsidR="00185298" w:rsidRPr="009A09BA">
        <w:t>Section</w:t>
      </w:r>
      <w:r w:rsidR="00EC7382" w:rsidRPr="009A09BA">
        <w:t> </w:t>
      </w:r>
      <w:r w:rsidR="00185298" w:rsidRPr="009A09BA">
        <w:t>30A has the effect of increasing an appropriation by the</w:t>
      </w:r>
      <w:r w:rsidR="003815A9">
        <w:t xml:space="preserve"> </w:t>
      </w:r>
      <w:r w:rsidR="00185298" w:rsidRPr="009A09BA">
        <w:t xml:space="preserve">amount of the GST qualifying amount arising from </w:t>
      </w:r>
      <w:r w:rsidR="008E257A" w:rsidRPr="009A09BA">
        <w:t>payments</w:t>
      </w:r>
      <w:r w:rsidR="00185298" w:rsidRPr="009A09BA">
        <w:t xml:space="preserve"> in respect of the appropriation.</w:t>
      </w:r>
      <w:r w:rsidR="00441D5D">
        <w:t xml:space="preserve"> </w:t>
      </w:r>
      <w:r w:rsidR="00185298" w:rsidRPr="009A09BA">
        <w:t>As a result, there is sufficient appropriation for payments under an appropriation item</w:t>
      </w:r>
      <w:r w:rsidR="001A5CA9">
        <w:t>,</w:t>
      </w:r>
      <w:r w:rsidR="00185298" w:rsidRPr="009A09BA">
        <w:t xml:space="preserve"> provided that the amount of those payments, less the amount of recoverable GST, can be met from the initial amount shown against the item in Schedule 1.</w:t>
      </w:r>
      <w:r w:rsidR="00441D5D">
        <w:t xml:space="preserve"> </w:t>
      </w:r>
      <w:r w:rsidR="00EA5522" w:rsidRPr="00BD291C">
        <w:t>Section</w:t>
      </w:r>
      <w:r w:rsidR="00095F69">
        <w:t> </w:t>
      </w:r>
      <w:r w:rsidR="00EA5522" w:rsidRPr="00BD291C">
        <w:t>30A also applies to notional transactions between and within agencies.</w:t>
      </w:r>
    </w:p>
    <w:p w:rsidR="00104960" w:rsidRDefault="00185298" w:rsidP="00782FA4">
      <w:pPr>
        <w:pStyle w:val="Bullet"/>
        <w:widowControl w:val="0"/>
        <w:spacing w:before="120"/>
      </w:pPr>
      <w:r w:rsidRPr="009A09BA">
        <w:t xml:space="preserve">Departmental items may be increased to take into account certain other amounts received by an agency, if those receipts are prescribed by </w:t>
      </w:r>
      <w:r w:rsidR="00257A59">
        <w:t>the FMA Regulations</w:t>
      </w:r>
      <w:r w:rsidRPr="009A09BA">
        <w:t>, in accordance with section 31 of the FMA Act.</w:t>
      </w:r>
      <w:r w:rsidR="00B209B1">
        <w:t xml:space="preserve"> For example, FMA Regulation 15 prescribes amounts that offset costs in relation to the activities of an agency and amounts that relate to an employee’s leave (including amounts received under the paid parental leave scheme that was established on </w:t>
      </w:r>
      <w:r w:rsidR="00A61AF8">
        <w:t>1 January 2011). FMA Regulation </w:t>
      </w:r>
      <w:r w:rsidR="00B209B1">
        <w:t>15 also establishes a mechanism for agencies to hold money in a trust or similar arrangement as departmental.</w:t>
      </w:r>
    </w:p>
    <w:p w:rsidR="006454CA" w:rsidRDefault="00EC7382" w:rsidP="00782FA4">
      <w:pPr>
        <w:pStyle w:val="Bullet"/>
        <w:widowControl w:val="0"/>
        <w:spacing w:before="120"/>
        <w:sectPr w:rsidR="006454CA" w:rsidSect="00D470F7">
          <w:footerReference w:type="default" r:id="rId22"/>
          <w:type w:val="continuous"/>
          <w:pgSz w:w="11907" w:h="16840" w:code="9"/>
          <w:pgMar w:top="1701" w:right="1985" w:bottom="1701" w:left="1985" w:header="1418" w:footer="1418" w:gutter="0"/>
          <w:cols w:space="708"/>
          <w:docGrid w:linePitch="360"/>
        </w:sectPr>
      </w:pPr>
      <w:r w:rsidRPr="009A09BA">
        <w:t>Items</w:t>
      </w:r>
      <w:r w:rsidR="00185298" w:rsidRPr="009A09BA">
        <w:t xml:space="preserve"> may be </w:t>
      </w:r>
      <w:r w:rsidRPr="009A09BA">
        <w:t>adjusted</w:t>
      </w:r>
      <w:r w:rsidR="00185298" w:rsidRPr="009A09BA">
        <w:t xml:space="preserve"> to take into account the transfer of functions between agencies, in accordance with section 32 of the FMA Act.</w:t>
      </w:r>
      <w:r w:rsidR="00441D5D">
        <w:t xml:space="preserve"> </w:t>
      </w:r>
      <w:r w:rsidR="00185298" w:rsidRPr="009A09BA">
        <w:t xml:space="preserve">It is possible that adjustments under section 32 may result in new items and/or outcomes being created in an </w:t>
      </w:r>
      <w:r w:rsidR="0044710C" w:rsidRPr="009A09BA">
        <w:t>A</w:t>
      </w:r>
      <w:r w:rsidR="000767DF" w:rsidRPr="009A09BA">
        <w:t xml:space="preserve">ppropriation </w:t>
      </w:r>
      <w:r w:rsidR="0044710C" w:rsidRPr="009A09BA">
        <w:t>A</w:t>
      </w:r>
      <w:r w:rsidR="000767DF" w:rsidRPr="009A09BA">
        <w:t>ct</w:t>
      </w:r>
      <w:r w:rsidR="00185298" w:rsidRPr="009A09BA">
        <w:t>.</w:t>
      </w:r>
      <w:r w:rsidR="00441D5D">
        <w:t xml:space="preserve"> </w:t>
      </w:r>
      <w:r w:rsidR="00185298" w:rsidRPr="009A09BA">
        <w:t xml:space="preserve">It might also result in amounts being </w:t>
      </w:r>
      <w:r w:rsidR="0081539A">
        <w:t>transferred</w:t>
      </w:r>
      <w:r w:rsidR="00185298" w:rsidRPr="009A09BA">
        <w:t xml:space="preserve"> between </w:t>
      </w:r>
      <w:r w:rsidR="0044710C" w:rsidRPr="009A09BA">
        <w:t>A</w:t>
      </w:r>
      <w:r w:rsidR="000767DF" w:rsidRPr="009A09BA">
        <w:t xml:space="preserve">ppropriation </w:t>
      </w:r>
      <w:r w:rsidR="0044710C" w:rsidRPr="009A09BA">
        <w:t>A</w:t>
      </w:r>
      <w:r w:rsidR="000767DF" w:rsidRPr="009A09BA">
        <w:t>ct</w:t>
      </w:r>
      <w:r w:rsidR="00185298" w:rsidRPr="009A09BA">
        <w:t>s.</w:t>
      </w:r>
    </w:p>
    <w:p w:rsidR="00104960" w:rsidRDefault="003D566E">
      <w:pPr>
        <w:pStyle w:val="Heading3"/>
      </w:pPr>
      <w:r w:rsidRPr="009A09BA">
        <w:t>Clause 7—Departmental items</w:t>
      </w:r>
    </w:p>
    <w:p w:rsidR="00C00A11" w:rsidRDefault="004D6F0A" w:rsidP="0075741D">
      <w:pPr>
        <w:pStyle w:val="NumberList"/>
        <w:sectPr w:rsidR="00C00A11" w:rsidSect="00D470F7">
          <w:footerReference w:type="default" r:id="rId23"/>
          <w:type w:val="continuous"/>
          <w:pgSz w:w="11907" w:h="16840" w:code="9"/>
          <w:pgMar w:top="1701" w:right="1985" w:bottom="1701" w:left="1985" w:header="1418" w:footer="1418" w:gutter="0"/>
          <w:cols w:space="708"/>
          <w:docGrid w:linePitch="360"/>
        </w:sectPr>
      </w:pPr>
      <w:r w:rsidRPr="009A09BA">
        <w:t xml:space="preserve">Clause 7 provides </w:t>
      </w:r>
      <w:r w:rsidR="00AA08A1" w:rsidRPr="009A09BA">
        <w:t xml:space="preserve">that the amount specified in a departmental item for an </w:t>
      </w:r>
      <w:r w:rsidR="00944796" w:rsidRPr="009A09BA">
        <w:t>agency</w:t>
      </w:r>
      <w:r w:rsidR="00AA08A1" w:rsidRPr="009A09BA">
        <w:t xml:space="preserve"> may be applied for the departmental expenditure of the </w:t>
      </w:r>
      <w:r w:rsidR="00944796" w:rsidRPr="009A09BA">
        <w:t>agency</w:t>
      </w:r>
      <w:r w:rsidR="004207B2" w:rsidRPr="009A09BA">
        <w:t>.</w:t>
      </w:r>
      <w:r w:rsidR="00F43A02" w:rsidRPr="009A09BA">
        <w:t xml:space="preserve"> </w:t>
      </w:r>
      <w:r w:rsidR="004207B2" w:rsidRPr="009A09BA">
        <w:t>Clause 3 defines:</w:t>
      </w:r>
    </w:p>
    <w:p w:rsidR="00104960" w:rsidRDefault="009741C9" w:rsidP="00782FA4">
      <w:pPr>
        <w:pStyle w:val="Bullet"/>
        <w:spacing w:before="120"/>
      </w:pPr>
      <w:r>
        <w:t>“</w:t>
      </w:r>
      <w:r w:rsidR="009C560F" w:rsidRPr="009A09BA">
        <w:t>departmental item</w:t>
      </w:r>
      <w:r>
        <w:t>”</w:t>
      </w:r>
      <w:r w:rsidR="009C560F" w:rsidRPr="009A09BA">
        <w:t xml:space="preserve"> to </w:t>
      </w:r>
      <w:r w:rsidR="0011418A" w:rsidRPr="009A09BA">
        <w:t xml:space="preserve">be </w:t>
      </w:r>
      <w:r w:rsidR="009C560F" w:rsidRPr="009A09BA">
        <w:t>the total amount set out in Schedule</w:t>
      </w:r>
      <w:r w:rsidR="001035D0" w:rsidRPr="009A09BA">
        <w:t> </w:t>
      </w:r>
      <w:r w:rsidR="009C560F" w:rsidRPr="009A09BA">
        <w:t>1 in relation to an agency under the</w:t>
      </w:r>
      <w:r w:rsidR="004207B2" w:rsidRPr="009A09BA">
        <w:t xml:space="preserve"> heading </w:t>
      </w:r>
      <w:r>
        <w:t>“</w:t>
      </w:r>
      <w:r w:rsidR="00BC52F2">
        <w:t>Departmental</w:t>
      </w:r>
      <w:r>
        <w:t>”</w:t>
      </w:r>
      <w:r w:rsidR="004207B2" w:rsidRPr="009A09BA">
        <w:t>; and</w:t>
      </w:r>
    </w:p>
    <w:p w:rsidR="00104960" w:rsidRDefault="009741C9" w:rsidP="00782FA4">
      <w:pPr>
        <w:pStyle w:val="Bullet"/>
        <w:spacing w:before="120"/>
      </w:pPr>
      <w:r>
        <w:t>“</w:t>
      </w:r>
      <w:proofErr w:type="gramStart"/>
      <w:r w:rsidR="004207B2" w:rsidRPr="009A09BA">
        <w:t>expenditure</w:t>
      </w:r>
      <w:proofErr w:type="gramEnd"/>
      <w:r>
        <w:t>”</w:t>
      </w:r>
      <w:r w:rsidR="004207B2" w:rsidRPr="009A09BA">
        <w:t xml:space="preserve"> to be payments for expenses, acquiring assets, making loans or paying liabilities.</w:t>
      </w:r>
    </w:p>
    <w:p w:rsidR="00104960" w:rsidRDefault="0011418A" w:rsidP="00195724">
      <w:pPr>
        <w:pStyle w:val="NumberList"/>
      </w:pPr>
      <w:r w:rsidRPr="009A09BA">
        <w:t>While t</w:t>
      </w:r>
      <w:r w:rsidR="00506BA0" w:rsidRPr="009A09BA">
        <w:t xml:space="preserve">he </w:t>
      </w:r>
      <w:r w:rsidRPr="009A09BA">
        <w:t>d</w:t>
      </w:r>
      <w:r w:rsidR="00506BA0" w:rsidRPr="009A09BA">
        <w:t xml:space="preserve">epartmental </w:t>
      </w:r>
      <w:r w:rsidR="00763109">
        <w:t>items</w:t>
      </w:r>
      <w:r w:rsidR="00763109" w:rsidRPr="009A09BA">
        <w:t xml:space="preserve"> </w:t>
      </w:r>
      <w:r w:rsidR="00506BA0" w:rsidRPr="009A09BA">
        <w:t>in Schedule 1</w:t>
      </w:r>
      <w:r w:rsidR="00C83DF0">
        <w:t xml:space="preserve"> </w:t>
      </w:r>
      <w:r w:rsidR="00456952" w:rsidRPr="009A09BA">
        <w:t xml:space="preserve">may be </w:t>
      </w:r>
      <w:r w:rsidR="00506BA0" w:rsidRPr="009A09BA">
        <w:t xml:space="preserve">divided </w:t>
      </w:r>
      <w:r w:rsidRPr="009A09BA">
        <w:t>between outcomes, the different amounts against outcome</w:t>
      </w:r>
      <w:r w:rsidR="001035D0" w:rsidRPr="009A09BA">
        <w:t>s</w:t>
      </w:r>
      <w:r w:rsidRPr="009A09BA">
        <w:t xml:space="preserve"> </w:t>
      </w:r>
      <w:r w:rsidR="001035D0" w:rsidRPr="009A09BA">
        <w:t>are notional</w:t>
      </w:r>
      <w:r w:rsidR="00506BA0" w:rsidRPr="009A09BA">
        <w:t>.</w:t>
      </w:r>
      <w:r w:rsidR="00441D5D">
        <w:t xml:space="preserve"> </w:t>
      </w:r>
      <w:r w:rsidR="00506BA0" w:rsidRPr="009A09BA">
        <w:t xml:space="preserve">The </w:t>
      </w:r>
      <w:r w:rsidR="0017489B" w:rsidRPr="009A09BA">
        <w:t>total</w:t>
      </w:r>
      <w:r w:rsidR="00506BA0" w:rsidRPr="009A09BA">
        <w:t xml:space="preserve"> appropriation for departmental </w:t>
      </w:r>
      <w:r w:rsidR="0017489B" w:rsidRPr="009A09BA">
        <w:t>expenses</w:t>
      </w:r>
      <w:r w:rsidR="00506BA0" w:rsidRPr="009A09BA">
        <w:t xml:space="preserve"> represents </w:t>
      </w:r>
      <w:r w:rsidR="0017489B" w:rsidRPr="009A09BA">
        <w:t>the departmental item</w:t>
      </w:r>
      <w:r w:rsidR="00D578F2" w:rsidRPr="009A09BA">
        <w:t>.</w:t>
      </w:r>
    </w:p>
    <w:p w:rsidR="00104960" w:rsidRDefault="00444B6C" w:rsidP="00195724">
      <w:pPr>
        <w:pStyle w:val="NumberList"/>
      </w:pPr>
      <w:r w:rsidRPr="009A09BA">
        <w:t>Departmental items involve costs over which an agency has control.</w:t>
      </w:r>
      <w:r w:rsidR="00F43A02" w:rsidRPr="009A09BA">
        <w:t xml:space="preserve"> </w:t>
      </w:r>
      <w:r w:rsidR="00D578F2" w:rsidRPr="009A09BA">
        <w:t>D</w:t>
      </w:r>
      <w:r w:rsidR="00422CFC" w:rsidRPr="009A09BA">
        <w:t>epartmental appropriation</w:t>
      </w:r>
      <w:r w:rsidR="00D578F2" w:rsidRPr="009A09BA">
        <w:t>s</w:t>
      </w:r>
      <w:r w:rsidR="00422CFC" w:rsidRPr="009A09BA">
        <w:t xml:space="preserve"> can be used to make any payment related to the functions of the agency</w:t>
      </w:r>
      <w:r w:rsidR="007B0A71">
        <w:t xml:space="preserve"> including on purposes covered by other items whether or not they are in the Act for an agency</w:t>
      </w:r>
      <w:r w:rsidR="00422CFC" w:rsidRPr="009A09BA">
        <w:t>.</w:t>
      </w:r>
      <w:r w:rsidR="00441D5D">
        <w:t xml:space="preserve"> </w:t>
      </w:r>
      <w:r w:rsidR="002B3818" w:rsidRPr="009A09BA">
        <w:t xml:space="preserve">Expenditure typically covered by </w:t>
      </w:r>
      <w:r w:rsidR="00BD5ECE" w:rsidRPr="009A09BA">
        <w:t>d</w:t>
      </w:r>
      <w:r w:rsidR="002B3818" w:rsidRPr="009A09BA">
        <w:t xml:space="preserve">epartmental </w:t>
      </w:r>
      <w:r w:rsidR="001035D0" w:rsidRPr="009A09BA">
        <w:t>items</w:t>
      </w:r>
      <w:r w:rsidRPr="009A09BA">
        <w:t xml:space="preserve"> </w:t>
      </w:r>
      <w:r w:rsidR="00B7531B" w:rsidRPr="009A09BA">
        <w:t>includes</w:t>
      </w:r>
      <w:r w:rsidRPr="009A09BA">
        <w:t xml:space="preserve"> employee expenses</w:t>
      </w:r>
      <w:r w:rsidR="00456952" w:rsidRPr="009A09BA">
        <w:t>,</w:t>
      </w:r>
      <w:r w:rsidRPr="009A09BA">
        <w:t xml:space="preserve"> suppliers and other operational expenses (</w:t>
      </w:r>
      <w:r w:rsidR="00026FD2" w:rsidRPr="009A09BA">
        <w:t>e.g.</w:t>
      </w:r>
      <w:r w:rsidR="00257A59">
        <w:t> </w:t>
      </w:r>
      <w:r w:rsidR="00974E86" w:rsidRPr="00974E86">
        <w:t>interest and finance expenses</w:t>
      </w:r>
      <w:r w:rsidRPr="009A09BA">
        <w:t>).</w:t>
      </w:r>
      <w:r w:rsidR="00441D5D">
        <w:t xml:space="preserve"> </w:t>
      </w:r>
      <w:r w:rsidRPr="00F867B7">
        <w:t xml:space="preserve">There can also be occasions when an agency, such as a </w:t>
      </w:r>
      <w:r w:rsidR="00863A9F">
        <w:t>p</w:t>
      </w:r>
      <w:r w:rsidRPr="00F867B7">
        <w:t xml:space="preserve">ortfolio </w:t>
      </w:r>
      <w:r w:rsidR="00863A9F">
        <w:t>d</w:t>
      </w:r>
      <w:r w:rsidRPr="00F867B7">
        <w:t>epartment, needs to cover matters in relation to other areas of the Government.</w:t>
      </w:r>
      <w:r w:rsidR="00441D5D">
        <w:t xml:space="preserve"> </w:t>
      </w:r>
      <w:r w:rsidRPr="00F867B7">
        <w:t>Examples</w:t>
      </w:r>
      <w:r w:rsidRPr="00257A59">
        <w:t xml:space="preserve"> can</w:t>
      </w:r>
      <w:r w:rsidRPr="009A09BA">
        <w:t xml:space="preserve"> include whole-of-Government activities or a portfolio department assisting with the formation and initial costs of a new portfolio body (for which the department might later be reimbursed).</w:t>
      </w:r>
      <w:r w:rsidR="00961E74">
        <w:t xml:space="preserve"> Another example would be where government has decided to implement shared services arrangements, and one agency is providing corporate services assistance to another agency</w:t>
      </w:r>
      <w:r w:rsidR="00ED4A98">
        <w:t>.</w:t>
      </w:r>
    </w:p>
    <w:p w:rsidR="00ED4A98" w:rsidRDefault="00BE1629" w:rsidP="00195724">
      <w:pPr>
        <w:pStyle w:val="NumberList"/>
      </w:pPr>
      <w:r>
        <w:t xml:space="preserve">Since </w:t>
      </w:r>
      <w:r w:rsidR="00ED4A98">
        <w:t>2010-11, departmental items</w:t>
      </w:r>
      <w:r>
        <w:t xml:space="preserve"> have</w:t>
      </w:r>
      <w:r w:rsidR="00ED4A98">
        <w:t xml:space="preserve"> include</w:t>
      </w:r>
      <w:r>
        <w:t>d</w:t>
      </w:r>
      <w:r w:rsidR="00ED4A98">
        <w:t xml:space="preserve"> amounts specifically to meet costs associated with </w:t>
      </w:r>
      <w:r w:rsidR="00B209B1">
        <w:t>the acquisition and</w:t>
      </w:r>
      <w:r w:rsidR="00ED4A98">
        <w:t xml:space="preserve"> capitalised maintenance of departmental assets valued at $10 million or less. Departmental items also include supplementation in circumstances when agencies were directed by </w:t>
      </w:r>
      <w:r w:rsidR="00314F68" w:rsidRPr="00314F68">
        <w:rPr>
          <w:color w:val="000000" w:themeColor="text1"/>
        </w:rPr>
        <w:t xml:space="preserve">government to undertake additional responsibilities in the previous financial year. This applies when the direction was given, or a decision to propose further </w:t>
      </w:r>
      <w:r w:rsidR="005E4080">
        <w:rPr>
          <w:color w:val="000000" w:themeColor="text1"/>
        </w:rPr>
        <w:t>A</w:t>
      </w:r>
      <w:r w:rsidR="00314F68" w:rsidRPr="00314F68">
        <w:rPr>
          <w:color w:val="000000" w:themeColor="text1"/>
        </w:rPr>
        <w:t xml:space="preserve">ppropriation Bills is made, in a timeframe within which it is not practicable to include the expected expenses in a further </w:t>
      </w:r>
      <w:r w:rsidR="005E4080">
        <w:rPr>
          <w:color w:val="000000" w:themeColor="text1"/>
        </w:rPr>
        <w:t>A</w:t>
      </w:r>
      <w:r w:rsidR="00314F68" w:rsidRPr="00314F68">
        <w:rPr>
          <w:color w:val="000000" w:themeColor="text1"/>
        </w:rPr>
        <w:t>ppropriation Bill for that financial year</w:t>
      </w:r>
      <w:r w:rsidR="00B209B1">
        <w:rPr>
          <w:color w:val="000000" w:themeColor="text1"/>
        </w:rPr>
        <w:t>.</w:t>
      </w:r>
    </w:p>
    <w:p w:rsidR="006454CA" w:rsidRDefault="00102D30" w:rsidP="00195724">
      <w:pPr>
        <w:pStyle w:val="NumberList"/>
        <w:sectPr w:rsidR="006454CA" w:rsidSect="00D470F7">
          <w:footerReference w:type="default" r:id="rId24"/>
          <w:type w:val="continuous"/>
          <w:pgSz w:w="11907" w:h="16840" w:code="9"/>
          <w:pgMar w:top="1701" w:right="1985" w:bottom="1701" w:left="1985" w:header="1418" w:footer="1418" w:gutter="0"/>
          <w:cols w:space="708"/>
          <w:docGrid w:linePitch="360"/>
        </w:sectPr>
      </w:pPr>
      <w:r>
        <w:t>Generally, a</w:t>
      </w:r>
      <w:r w:rsidR="00C86A3A" w:rsidRPr="00C86A3A">
        <w:t xml:space="preserve">gencies are expected to meet the cost of </w:t>
      </w:r>
      <w:r w:rsidR="009A26A1">
        <w:t xml:space="preserve">additionally directed </w:t>
      </w:r>
      <w:r w:rsidR="00C86A3A" w:rsidRPr="00C86A3A">
        <w:t>activities from their existing appropriations</w:t>
      </w:r>
      <w:r w:rsidR="006D5AB5">
        <w:t>,</w:t>
      </w:r>
      <w:r w:rsidR="00C86A3A" w:rsidRPr="00C86A3A">
        <w:t xml:space="preserve"> which may then be replenished by a departmental appropriation in the following financial year.</w:t>
      </w:r>
    </w:p>
    <w:p w:rsidR="00C00A11" w:rsidRDefault="001765DB" w:rsidP="00195724">
      <w:pPr>
        <w:pStyle w:val="NumberList"/>
        <w:sectPr w:rsidR="00C00A11" w:rsidSect="00D470F7">
          <w:footerReference w:type="default" r:id="rId25"/>
          <w:type w:val="continuous"/>
          <w:pgSz w:w="11907" w:h="16840" w:code="9"/>
          <w:pgMar w:top="1701" w:right="1985" w:bottom="1701" w:left="1985" w:header="1418" w:footer="1418" w:gutter="0"/>
          <w:cols w:space="708"/>
          <w:docGrid w:linePitch="360"/>
        </w:sectPr>
      </w:pPr>
      <w:r w:rsidRPr="009A09BA">
        <w:t>Departmental items are not expressed in terms of a particular financial year and do not automatically lapse.</w:t>
      </w:r>
      <w:r w:rsidR="00441D5D">
        <w:t xml:space="preserve"> </w:t>
      </w:r>
      <w:r w:rsidR="00D52BEE" w:rsidRPr="009A09BA">
        <w:t xml:space="preserve">Because the cash to meet expenses </w:t>
      </w:r>
      <w:r w:rsidR="00727E7F" w:rsidRPr="002803D3">
        <w:t>can</w:t>
      </w:r>
      <w:r w:rsidR="0098293F">
        <w:t xml:space="preserve"> </w:t>
      </w:r>
      <w:r w:rsidR="00D52BEE" w:rsidRPr="009A09BA">
        <w:t>be required at times other than when the expenses are incurred, the departmental appropriations remain available until required</w:t>
      </w:r>
      <w:r w:rsidR="000139CC">
        <w:t xml:space="preserve">. </w:t>
      </w:r>
      <w:r w:rsidR="003F0001">
        <w:t>Departmental items are available until they are spent or reduced in accordance with clause 10.</w:t>
      </w:r>
    </w:p>
    <w:p w:rsidR="00104960" w:rsidRDefault="0011418A" w:rsidP="00195724">
      <w:pPr>
        <w:pStyle w:val="NumberList"/>
      </w:pPr>
      <w:bookmarkStart w:id="14" w:name="_Ref197400073"/>
      <w:r w:rsidRPr="009A09BA">
        <w:t xml:space="preserve">The Finance Minister </w:t>
      </w:r>
      <w:r w:rsidR="00456952" w:rsidRPr="009A09BA">
        <w:t xml:space="preserve">manages </w:t>
      </w:r>
      <w:r w:rsidRPr="009A09BA">
        <w:t xml:space="preserve">the payment </w:t>
      </w:r>
      <w:r w:rsidR="00E422CE" w:rsidRPr="009A09BA">
        <w:t xml:space="preserve">from </w:t>
      </w:r>
      <w:r w:rsidRPr="009A09BA">
        <w:t>department</w:t>
      </w:r>
      <w:r w:rsidR="00275B16" w:rsidRPr="009A09BA">
        <w:t>al</w:t>
      </w:r>
      <w:r w:rsidRPr="009A09BA">
        <w:t xml:space="preserve"> items </w:t>
      </w:r>
      <w:r w:rsidR="00A3344A" w:rsidRPr="009A09BA">
        <w:t xml:space="preserve">by </w:t>
      </w:r>
      <w:r w:rsidRPr="009A09BA">
        <w:t xml:space="preserve">agencies through the issuing of drawing rights </w:t>
      </w:r>
      <w:r w:rsidR="005F5D8D" w:rsidRPr="009A09BA">
        <w:t xml:space="preserve">in accordance with </w:t>
      </w:r>
      <w:r w:rsidRPr="009A09BA">
        <w:t>sections</w:t>
      </w:r>
      <w:r w:rsidR="0017489B" w:rsidRPr="009A09BA">
        <w:t> </w:t>
      </w:r>
      <w:r w:rsidRPr="009A09BA">
        <w:t xml:space="preserve">26 and 27 of the </w:t>
      </w:r>
      <w:r w:rsidR="00E7462A" w:rsidRPr="009A09BA">
        <w:t>FMA Act</w:t>
      </w:r>
      <w:r w:rsidRPr="009A09BA">
        <w:t>.</w:t>
      </w:r>
      <w:r w:rsidR="00441D5D">
        <w:t xml:space="preserve"> </w:t>
      </w:r>
      <w:r w:rsidR="00987F6B" w:rsidRPr="009A09BA">
        <w:t xml:space="preserve">Drawing rights control who may </w:t>
      </w:r>
      <w:r w:rsidR="00A3344A" w:rsidRPr="009A09BA">
        <w:t xml:space="preserve">spend </w:t>
      </w:r>
      <w:r w:rsidR="004A0425">
        <w:t xml:space="preserve">money </w:t>
      </w:r>
      <w:r w:rsidR="00A3344A" w:rsidRPr="009A09BA">
        <w:t xml:space="preserve">from </w:t>
      </w:r>
      <w:r w:rsidR="00B5729B" w:rsidRPr="009A09BA">
        <w:t>appropriations</w:t>
      </w:r>
      <w:r w:rsidR="00987F6B" w:rsidRPr="009A09BA">
        <w:t xml:space="preserve">, and allow for conditions and limits to be set by the Finance Minister (or </w:t>
      </w:r>
      <w:r w:rsidR="005A1F5C" w:rsidRPr="009A09BA">
        <w:t>the Finance Minister</w:t>
      </w:r>
      <w:r w:rsidR="009741C9">
        <w:t>’</w:t>
      </w:r>
      <w:r w:rsidR="005A1F5C" w:rsidRPr="009A09BA">
        <w:t xml:space="preserve">s </w:t>
      </w:r>
      <w:r w:rsidR="00987F6B" w:rsidRPr="009A09BA">
        <w:t>delegate) in relation to those activities.</w:t>
      </w:r>
      <w:bookmarkEnd w:id="14"/>
    </w:p>
    <w:p w:rsidR="009741C9" w:rsidRDefault="00314F68" w:rsidP="0075741D">
      <w:pPr>
        <w:pStyle w:val="NumberList"/>
      </w:pPr>
      <w:bookmarkStart w:id="15" w:name="_Ref197834644"/>
      <w:r w:rsidRPr="00314F68">
        <w:t xml:space="preserve">Amounts appropriated for departmental items can be subject to a reduction process in accordance with clause 10 of the Bill. </w:t>
      </w:r>
      <w:r w:rsidR="00F064B5">
        <w:t>C</w:t>
      </w:r>
      <w:r w:rsidR="00F064B5" w:rsidRPr="00314F68">
        <w:t>lause 10</w:t>
      </w:r>
      <w:r w:rsidR="00F064B5">
        <w:t xml:space="preserve"> enables the following people to </w:t>
      </w:r>
      <w:r w:rsidR="00F064B5" w:rsidRPr="00E36202">
        <w:t xml:space="preserve">make a written request </w:t>
      </w:r>
      <w:r w:rsidR="00F064B5">
        <w:t>to ask</w:t>
      </w:r>
      <w:r w:rsidR="00F064B5" w:rsidRPr="00E36202">
        <w:t xml:space="preserve"> the Finance Minister to make a determination to reduce </w:t>
      </w:r>
      <w:r w:rsidR="00F064B5">
        <w:t>an</w:t>
      </w:r>
      <w:r w:rsidR="00F064B5" w:rsidRPr="00E36202">
        <w:t xml:space="preserve"> agency</w:t>
      </w:r>
      <w:r w:rsidR="00F064B5">
        <w:t>’</w:t>
      </w:r>
      <w:r w:rsidR="00F064B5" w:rsidRPr="00E36202">
        <w:t>s departmental appropriation</w:t>
      </w:r>
      <w:r w:rsidR="00F064B5">
        <w:t xml:space="preserve">: </w:t>
      </w:r>
      <w:r w:rsidR="00F064B5" w:rsidRPr="00314F68">
        <w:t xml:space="preserve"> the</w:t>
      </w:r>
      <w:r w:rsidR="00F064B5">
        <w:t> </w:t>
      </w:r>
      <w:r w:rsidR="00F064B5" w:rsidRPr="00E36202">
        <w:t>Prime Minister</w:t>
      </w:r>
      <w:r w:rsidR="00F064B5">
        <w:t xml:space="preserve"> or a Minister acting on behalf of the Prime Minister;</w:t>
      </w:r>
      <w:r w:rsidR="00F064B5" w:rsidRPr="00E36202">
        <w:t xml:space="preserve"> the Minister responsible for an agency</w:t>
      </w:r>
      <w:r w:rsidR="00F064B5">
        <w:t>;</w:t>
      </w:r>
      <w:r w:rsidR="00F064B5" w:rsidRPr="00E36202">
        <w:t xml:space="preserve"> or the Chief Executive of an agency for which the Finance Minister is responsible.</w:t>
      </w:r>
      <w:bookmarkEnd w:id="15"/>
    </w:p>
    <w:p w:rsidR="00104960" w:rsidRDefault="003D566E">
      <w:pPr>
        <w:pStyle w:val="Heading3"/>
      </w:pPr>
      <w:r w:rsidRPr="009A09BA">
        <w:t>Clause 8—Administered items</w:t>
      </w:r>
    </w:p>
    <w:p w:rsidR="00104960" w:rsidRDefault="00B52D32" w:rsidP="00195724">
      <w:pPr>
        <w:pStyle w:val="NumberList"/>
      </w:pPr>
      <w:r w:rsidRPr="009A09BA">
        <w:t>Subc</w:t>
      </w:r>
      <w:r w:rsidR="00B9720D" w:rsidRPr="009A09BA">
        <w:t>lause 8</w:t>
      </w:r>
      <w:r w:rsidR="00CC5899" w:rsidRPr="009A09BA">
        <w:t>(1)</w:t>
      </w:r>
      <w:r w:rsidR="00B9720D" w:rsidRPr="009A09BA">
        <w:t xml:space="preserve"> provides for </w:t>
      </w:r>
      <w:r w:rsidRPr="009A09BA">
        <w:t xml:space="preserve">the appropriation of administered </w:t>
      </w:r>
      <w:r w:rsidR="00CC5899" w:rsidRPr="009A09BA">
        <w:t xml:space="preserve">amounts </w:t>
      </w:r>
      <w:r w:rsidR="00B9720D" w:rsidRPr="009A09BA">
        <w:t xml:space="preserve">to be applied by </w:t>
      </w:r>
      <w:r w:rsidR="00DC07A0" w:rsidRPr="009A09BA">
        <w:t xml:space="preserve">an </w:t>
      </w:r>
      <w:r w:rsidR="00AD0D3D" w:rsidRPr="009A09BA">
        <w:t xml:space="preserve">agency </w:t>
      </w:r>
      <w:r w:rsidR="00B9720D" w:rsidRPr="009A09BA">
        <w:t>for the purpose of contributing to the outcome</w:t>
      </w:r>
      <w:r w:rsidR="00DC07A0" w:rsidRPr="009A09BA">
        <w:t xml:space="preserve"> for an </w:t>
      </w:r>
      <w:r w:rsidR="002C2BF8">
        <w:t>agency</w:t>
      </w:r>
      <w:r w:rsidR="00B9720D" w:rsidRPr="009A09BA">
        <w:t>.</w:t>
      </w:r>
      <w:r w:rsidR="00441D5D">
        <w:t xml:space="preserve"> </w:t>
      </w:r>
      <w:r w:rsidR="00DC07A0" w:rsidRPr="009A09BA">
        <w:t xml:space="preserve">An </w:t>
      </w:r>
      <w:r w:rsidR="00953024">
        <w:t>“</w:t>
      </w:r>
      <w:r w:rsidR="00DC07A0" w:rsidRPr="009A09BA">
        <w:t>administered item</w:t>
      </w:r>
      <w:r w:rsidR="00953024">
        <w:t>”</w:t>
      </w:r>
      <w:r w:rsidR="00DC07A0" w:rsidRPr="009A09BA">
        <w:t xml:space="preserve"> i</w:t>
      </w:r>
      <w:r w:rsidR="00E7259B" w:rsidRPr="009A09BA">
        <w:t>s</w:t>
      </w:r>
      <w:r w:rsidR="00DC07A0" w:rsidRPr="009A09BA">
        <w:t xml:space="preserve"> defined in clause</w:t>
      </w:r>
      <w:r w:rsidR="00237D5C" w:rsidRPr="009A09BA">
        <w:t> </w:t>
      </w:r>
      <w:r w:rsidR="00DC07A0" w:rsidRPr="009A09BA">
        <w:t>3 to be the amounts set out in Schedule</w:t>
      </w:r>
      <w:r w:rsidRPr="009A09BA">
        <w:t> </w:t>
      </w:r>
      <w:r w:rsidR="00DC07A0" w:rsidRPr="009A09BA">
        <w:t xml:space="preserve">1 opposite an outcome for an </w:t>
      </w:r>
      <w:r w:rsidR="00427391">
        <w:t>A</w:t>
      </w:r>
      <w:r w:rsidR="00427391" w:rsidRPr="009A09BA">
        <w:t xml:space="preserve">gency </w:t>
      </w:r>
      <w:r w:rsidR="00DC07A0" w:rsidRPr="009A09BA">
        <w:t xml:space="preserve">under the heading </w:t>
      </w:r>
      <w:r w:rsidR="009741C9">
        <w:t>“</w:t>
      </w:r>
      <w:r w:rsidR="001A0478">
        <w:t>Administered</w:t>
      </w:r>
      <w:r w:rsidR="009741C9">
        <w:t>”</w:t>
      </w:r>
      <w:r w:rsidR="00E7259B" w:rsidRPr="009A09BA">
        <w:t>.</w:t>
      </w:r>
      <w:r w:rsidR="00441D5D">
        <w:t xml:space="preserve"> </w:t>
      </w:r>
      <w:r w:rsidR="001765DB" w:rsidRPr="009A09BA">
        <w:t xml:space="preserve">Administered </w:t>
      </w:r>
      <w:r w:rsidR="001A0478">
        <w:t>amounts</w:t>
      </w:r>
      <w:r w:rsidR="001765DB" w:rsidRPr="009A09BA">
        <w:t xml:space="preserve"> are appropriated separately for </w:t>
      </w:r>
      <w:r w:rsidR="001765DB" w:rsidRPr="00F867B7">
        <w:t>outcomes (</w:t>
      </w:r>
      <w:r w:rsidR="0098293F" w:rsidRPr="00F867B7">
        <w:t>i.e.</w:t>
      </w:r>
      <w:r w:rsidR="001765DB" w:rsidRPr="00F867B7">
        <w:t xml:space="preserve"> unlike departmental items, the split across outcomes is not notional)</w:t>
      </w:r>
      <w:proofErr w:type="gramStart"/>
      <w:r w:rsidR="001765DB" w:rsidRPr="00F867B7">
        <w:t>,</w:t>
      </w:r>
      <w:proofErr w:type="gramEnd"/>
      <w:r w:rsidR="001765DB" w:rsidRPr="00F867B7">
        <w:t xml:space="preserve"> making it clear what the funding is intended to achieve.</w:t>
      </w:r>
      <w:r w:rsidR="00441D5D">
        <w:t xml:space="preserve"> </w:t>
      </w:r>
      <w:r w:rsidR="001765DB" w:rsidRPr="00F867B7">
        <w:t>Schedule 1 specifies how much can be expended on each</w:t>
      </w:r>
      <w:r w:rsidR="001765DB" w:rsidRPr="009A09BA">
        <w:t xml:space="preserve"> outcome.</w:t>
      </w:r>
    </w:p>
    <w:p w:rsidR="00104960" w:rsidRDefault="00BD5ECE" w:rsidP="00195724">
      <w:pPr>
        <w:pStyle w:val="NumberList"/>
      </w:pPr>
      <w:r w:rsidRPr="009A09BA">
        <w:t>The appropriations for administered items in Schedule 1 represent the amounts required to meet the total estimated</w:t>
      </w:r>
      <w:r w:rsidR="006F0BA6">
        <w:t xml:space="preserve"> </w:t>
      </w:r>
      <w:r w:rsidRPr="009A09BA">
        <w:t xml:space="preserve">expenses for the administered outcomes for </w:t>
      </w:r>
      <w:r w:rsidR="000B3A53">
        <w:t>2013-2014</w:t>
      </w:r>
      <w:r w:rsidR="006F0BA6">
        <w:t>.</w:t>
      </w:r>
    </w:p>
    <w:p w:rsidR="006454CA" w:rsidRDefault="002C7FD1" w:rsidP="00195724">
      <w:pPr>
        <w:pStyle w:val="NumberList"/>
        <w:sectPr w:rsidR="006454CA" w:rsidSect="00D470F7">
          <w:type w:val="continuous"/>
          <w:pgSz w:w="11907" w:h="16840" w:code="9"/>
          <w:pgMar w:top="1701" w:right="1985" w:bottom="1701" w:left="1985" w:header="1418" w:footer="1418" w:gutter="0"/>
          <w:cols w:space="708"/>
          <w:docGrid w:linePitch="360"/>
        </w:sectPr>
      </w:pPr>
      <w:r w:rsidRPr="009A09BA">
        <w:t xml:space="preserve">The purposes for which each administered item can be spent are </w:t>
      </w:r>
      <w:r w:rsidR="000C15D8">
        <w:t xml:space="preserve">further </w:t>
      </w:r>
      <w:r w:rsidRPr="009A09BA">
        <w:t>set out in subclause 8(2).</w:t>
      </w:r>
      <w:r w:rsidR="00441D5D">
        <w:t xml:space="preserve"> </w:t>
      </w:r>
      <w:r w:rsidR="00B52D32" w:rsidRPr="009A09BA">
        <w:t>Subclause 8(2) provides that where the</w:t>
      </w:r>
      <w:r w:rsidR="002E4094">
        <w:t xml:space="preserve"> </w:t>
      </w:r>
      <w:r w:rsidR="00121A17">
        <w:t>PB Statements</w:t>
      </w:r>
      <w:r w:rsidR="00B52D32" w:rsidRPr="009A09BA">
        <w:t xml:space="preserve"> indicate a particular activity </w:t>
      </w:r>
      <w:r w:rsidR="002C2BF8">
        <w:t xml:space="preserve">is </w:t>
      </w:r>
      <w:r w:rsidR="00B52D32" w:rsidRPr="009A09BA">
        <w:t xml:space="preserve">in respect of a particular outcome, </w:t>
      </w:r>
      <w:r w:rsidR="00B72EBA" w:rsidRPr="00B72EBA">
        <w:t>then expenditure on that activity is taken to be expenditure for the purpose of contributing to achieving that outcome</w:t>
      </w:r>
      <w:r w:rsidR="00B52D32" w:rsidRPr="009A09BA">
        <w:t>.</w:t>
      </w:r>
      <w:r w:rsidR="00441D5D">
        <w:t xml:space="preserve"> </w:t>
      </w:r>
      <w:r w:rsidR="0022566D" w:rsidRPr="009A09BA">
        <w:t>T</w:t>
      </w:r>
      <w:r w:rsidR="004242B9" w:rsidRPr="009A09BA">
        <w:t>he outcomes are not</w:t>
      </w:r>
      <w:r w:rsidR="000139CC">
        <w:t xml:space="preserve">, however, </w:t>
      </w:r>
      <w:r w:rsidR="000139CC" w:rsidRPr="009A09BA">
        <w:t>necessarily tied to the existence of a particular agency (</w:t>
      </w:r>
      <w:r w:rsidR="000139CC">
        <w:t>e.g.</w:t>
      </w:r>
      <w:r w:rsidR="000139CC" w:rsidRPr="009A09BA">
        <w:t xml:space="preserve"> abolishing a department will not affect the valid operation of an appropriation for an administered item for an outcome of that department, because the purpose of the appropriation does not depend on the existence of the department)</w:t>
      </w:r>
      <w:r w:rsidR="000139CC">
        <w:t>.</w:t>
      </w:r>
    </w:p>
    <w:p w:rsidR="00104960" w:rsidRDefault="003314C2" w:rsidP="00195724">
      <w:pPr>
        <w:pStyle w:val="NumberList"/>
      </w:pPr>
      <w:r w:rsidRPr="009A09BA">
        <w:t xml:space="preserve">Administered </w:t>
      </w:r>
      <w:r w:rsidR="008F7207">
        <w:t>items</w:t>
      </w:r>
      <w:r w:rsidRPr="009A09BA">
        <w:t xml:space="preserve"> are those administered by an agency on behalf of the Government (</w:t>
      </w:r>
      <w:r w:rsidR="0098293F">
        <w:t>e.g.</w:t>
      </w:r>
      <w:r w:rsidRPr="009A09BA">
        <w:t> </w:t>
      </w:r>
      <w:r w:rsidR="00804B1F" w:rsidRPr="009A09BA">
        <w:t xml:space="preserve">certain </w:t>
      </w:r>
      <w:r w:rsidRPr="009A09BA">
        <w:t>grants</w:t>
      </w:r>
      <w:r w:rsidR="00804B1F" w:rsidRPr="009A09BA">
        <w:t xml:space="preserve">, </w:t>
      </w:r>
      <w:r w:rsidRPr="009A09BA">
        <w:t>benefits</w:t>
      </w:r>
      <w:r w:rsidR="00804B1F" w:rsidRPr="009A09BA">
        <w:t xml:space="preserve"> and </w:t>
      </w:r>
      <w:r w:rsidRPr="009A09BA">
        <w:t>transfer payments).</w:t>
      </w:r>
      <w:r w:rsidR="00441D5D">
        <w:t xml:space="preserve"> </w:t>
      </w:r>
      <w:r w:rsidR="007D5C08" w:rsidRPr="009A09BA">
        <w:t>T</w:t>
      </w:r>
      <w:r w:rsidR="00BD1A06" w:rsidRPr="009A09BA">
        <w:t xml:space="preserve">hese </w:t>
      </w:r>
      <w:r w:rsidR="00FF0A0D" w:rsidRPr="009A09BA">
        <w:t xml:space="preserve">payments </w:t>
      </w:r>
      <w:r w:rsidR="00DC07A0" w:rsidRPr="009A09BA">
        <w:t xml:space="preserve">are </w:t>
      </w:r>
      <w:r w:rsidR="005A5072" w:rsidRPr="009A09BA">
        <w:t>usually</w:t>
      </w:r>
      <w:r w:rsidR="00DC07A0" w:rsidRPr="009A09BA">
        <w:t xml:space="preserve"> made pursuant to eligibility rules and conditions established by the Government</w:t>
      </w:r>
      <w:r w:rsidR="00234FE3" w:rsidRPr="009A09BA">
        <w:t xml:space="preserve"> or </w:t>
      </w:r>
      <w:r w:rsidR="003E304A">
        <w:t xml:space="preserve">the </w:t>
      </w:r>
      <w:r w:rsidR="00234FE3" w:rsidRPr="009A09BA">
        <w:t>Parliament</w:t>
      </w:r>
      <w:r w:rsidR="00DC07A0" w:rsidRPr="009A09BA">
        <w:t>.</w:t>
      </w:r>
      <w:r w:rsidR="00441D5D">
        <w:t xml:space="preserve"> </w:t>
      </w:r>
      <w:r w:rsidR="00CF6474" w:rsidRPr="009A09BA">
        <w:t>S</w:t>
      </w:r>
      <w:r w:rsidR="00BD5ECE" w:rsidRPr="009A09BA">
        <w:t>pecifically:</w:t>
      </w:r>
    </w:p>
    <w:p w:rsidR="00104960" w:rsidRDefault="00BD5ECE" w:rsidP="00782FA4">
      <w:pPr>
        <w:pStyle w:val="Bullet"/>
        <w:spacing w:before="120"/>
      </w:pPr>
      <w:r w:rsidRPr="009A09BA">
        <w:t>administered</w:t>
      </w:r>
      <w:r w:rsidR="00F64E1D">
        <w:t xml:space="preserve"> items are tied to outcomes</w:t>
      </w:r>
      <w:r w:rsidRPr="009A09BA">
        <w:t xml:space="preserve"> </w:t>
      </w:r>
      <w:r w:rsidR="00F64E1D">
        <w:t>(</w:t>
      </w:r>
      <w:r w:rsidRPr="009A09BA">
        <w:t>departmental items are not</w:t>
      </w:r>
      <w:r w:rsidR="00F64E1D">
        <w:t>)</w:t>
      </w:r>
      <w:r w:rsidRPr="009A09BA">
        <w:t>;</w:t>
      </w:r>
    </w:p>
    <w:p w:rsidR="00104960" w:rsidRDefault="00BD5ECE" w:rsidP="00782FA4">
      <w:pPr>
        <w:pStyle w:val="Bullet"/>
        <w:spacing w:before="120"/>
      </w:pPr>
      <w:r w:rsidRPr="009A09BA">
        <w:t xml:space="preserve">administered items must </w:t>
      </w:r>
      <w:r w:rsidR="00C43B55" w:rsidRPr="009A09BA">
        <w:t xml:space="preserve">be </w:t>
      </w:r>
      <w:r w:rsidRPr="009A09BA">
        <w:t xml:space="preserve">spent in accordance with rules and conditions established by </w:t>
      </w:r>
      <w:r w:rsidR="00781CDC" w:rsidRPr="00AE56C6">
        <w:t xml:space="preserve">the </w:t>
      </w:r>
      <w:r w:rsidRPr="009A09BA">
        <w:t>Government or Parliament; and</w:t>
      </w:r>
    </w:p>
    <w:p w:rsidR="00104960" w:rsidRDefault="00080B7A" w:rsidP="00782FA4">
      <w:pPr>
        <w:pStyle w:val="Bullet"/>
        <w:spacing w:before="120"/>
      </w:pPr>
      <w:proofErr w:type="gramStart"/>
      <w:r w:rsidRPr="009A09BA">
        <w:t>there</w:t>
      </w:r>
      <w:proofErr w:type="gramEnd"/>
      <w:r w:rsidRPr="009A09BA">
        <w:t xml:space="preserve"> </w:t>
      </w:r>
      <w:r w:rsidR="00922C98" w:rsidRPr="009A09BA">
        <w:t xml:space="preserve">is a process </w:t>
      </w:r>
      <w:r w:rsidRPr="009A09BA">
        <w:t xml:space="preserve">in clause 11 for dealing with </w:t>
      </w:r>
      <w:r w:rsidR="00BD5ECE" w:rsidRPr="009A09BA">
        <w:t xml:space="preserve">administered items that are not </w:t>
      </w:r>
      <w:r w:rsidR="00EA3A80" w:rsidRPr="009A09BA">
        <w:t xml:space="preserve">fully </w:t>
      </w:r>
      <w:r w:rsidR="005A5072" w:rsidRPr="009A09BA">
        <w:t xml:space="preserve">expensed or </w:t>
      </w:r>
      <w:r w:rsidR="00BD5ECE" w:rsidRPr="009A09BA">
        <w:t xml:space="preserve">spent </w:t>
      </w:r>
      <w:r w:rsidRPr="009A09BA">
        <w:t>during</w:t>
      </w:r>
      <w:r w:rsidR="00BD5ECE" w:rsidRPr="009A09BA">
        <w:t xml:space="preserve"> the financial year</w:t>
      </w:r>
      <w:r w:rsidRPr="009A09BA">
        <w:t>.</w:t>
      </w:r>
    </w:p>
    <w:p w:rsidR="00104960" w:rsidRDefault="00234FE3" w:rsidP="0075741D">
      <w:pPr>
        <w:pStyle w:val="NumberList"/>
      </w:pPr>
      <w:r w:rsidRPr="009A09BA">
        <w:t xml:space="preserve">The Finance Minister </w:t>
      </w:r>
      <w:r w:rsidR="00456952" w:rsidRPr="009A09BA">
        <w:t xml:space="preserve">manages </w:t>
      </w:r>
      <w:r w:rsidRPr="009A09BA">
        <w:t>payment</w:t>
      </w:r>
      <w:r w:rsidR="006276F9" w:rsidRPr="009A09BA">
        <w:t>s</w:t>
      </w:r>
      <w:r w:rsidRPr="009A09BA">
        <w:t xml:space="preserve"> </w:t>
      </w:r>
      <w:r w:rsidR="006276F9" w:rsidRPr="009A09BA">
        <w:t xml:space="preserve">from </w:t>
      </w:r>
      <w:r w:rsidRPr="009A09BA">
        <w:t xml:space="preserve">administered items </w:t>
      </w:r>
      <w:r w:rsidR="006276F9" w:rsidRPr="009A09BA">
        <w:t xml:space="preserve">by </w:t>
      </w:r>
      <w:r w:rsidRPr="009A09BA">
        <w:t xml:space="preserve">agencies through the issuing of drawing rights </w:t>
      </w:r>
      <w:r w:rsidR="005F5D8D" w:rsidRPr="009A09BA">
        <w:t xml:space="preserve">in accordance with </w:t>
      </w:r>
      <w:r w:rsidRPr="009A09BA">
        <w:t xml:space="preserve">sections 26 and 27 of the </w:t>
      </w:r>
      <w:r w:rsidR="00987F6B" w:rsidRPr="009A09BA">
        <w:t>FMA Act</w:t>
      </w:r>
      <w:r w:rsidRPr="009A09BA">
        <w:t>.</w:t>
      </w:r>
      <w:r w:rsidR="00441D5D">
        <w:t xml:space="preserve"> </w:t>
      </w:r>
      <w:r w:rsidR="00944796" w:rsidRPr="009A09BA">
        <w:t>Drawing rights control who may spend money from appropriations, and allow for conditions and limits to be set by the Finance</w:t>
      </w:r>
      <w:r w:rsidR="00781CDC">
        <w:t> </w:t>
      </w:r>
      <w:r w:rsidR="00944796" w:rsidRPr="009A09BA">
        <w:t xml:space="preserve">Minister (or </w:t>
      </w:r>
      <w:r w:rsidR="005A1F5C" w:rsidRPr="009A09BA">
        <w:t>the Finance Minister</w:t>
      </w:r>
      <w:r w:rsidR="009741C9">
        <w:t>’</w:t>
      </w:r>
      <w:r w:rsidR="005A1F5C" w:rsidRPr="009A09BA">
        <w:t xml:space="preserve">s </w:t>
      </w:r>
      <w:r w:rsidR="00944796" w:rsidRPr="009A09BA">
        <w:t xml:space="preserve">delegate) in relation to those </w:t>
      </w:r>
      <w:r w:rsidR="00063DE5" w:rsidRPr="009A09BA">
        <w:t>activities</w:t>
      </w:r>
      <w:r w:rsidR="00BE2C6E" w:rsidRPr="009A09BA">
        <w:t>.</w:t>
      </w:r>
    </w:p>
    <w:p w:rsidR="00104960" w:rsidRDefault="003D566E">
      <w:pPr>
        <w:pStyle w:val="Heading3"/>
      </w:pPr>
      <w:r w:rsidRPr="009A09BA">
        <w:t>Clause 9—</w:t>
      </w:r>
      <w:r w:rsidR="007F5B73" w:rsidRPr="009A09BA">
        <w:t>CAC Act body</w:t>
      </w:r>
      <w:r w:rsidRPr="009A09BA">
        <w:t xml:space="preserve"> payment items</w:t>
      </w:r>
    </w:p>
    <w:p w:rsidR="00104960" w:rsidRDefault="008A0A4B" w:rsidP="0075741D">
      <w:pPr>
        <w:pStyle w:val="NumberList"/>
      </w:pPr>
      <w:r w:rsidRPr="009A09BA">
        <w:t xml:space="preserve">Clause 9 </w:t>
      </w:r>
      <w:r w:rsidR="00DF676C" w:rsidRPr="009A09BA">
        <w:t xml:space="preserve">provides </w:t>
      </w:r>
      <w:r w:rsidR="001473C2" w:rsidRPr="009A09BA">
        <w:t xml:space="preserve">for direct appropriations </w:t>
      </w:r>
      <w:r w:rsidR="00FE122F" w:rsidRPr="009A09BA">
        <w:t xml:space="preserve">of money </w:t>
      </w:r>
      <w:r w:rsidR="001473C2" w:rsidRPr="009A09BA">
        <w:t xml:space="preserve">for CAC Act bodies to be </w:t>
      </w:r>
      <w:r w:rsidR="00FB6E49" w:rsidRPr="009A09BA">
        <w:t xml:space="preserve">paid from the </w:t>
      </w:r>
      <w:r w:rsidR="00FE122F" w:rsidRPr="009A09BA">
        <w:t>CRF</w:t>
      </w:r>
      <w:r w:rsidR="00FB6E49" w:rsidRPr="009A09BA">
        <w:t xml:space="preserve"> </w:t>
      </w:r>
      <w:r w:rsidR="001473C2" w:rsidRPr="009A09BA">
        <w:t>by the relevant department.</w:t>
      </w:r>
      <w:r w:rsidR="00441D5D">
        <w:t xml:space="preserve"> </w:t>
      </w:r>
      <w:r w:rsidR="001473C2" w:rsidRPr="009A09BA">
        <w:t>Clause</w:t>
      </w:r>
      <w:r w:rsidR="00000441" w:rsidRPr="009A09BA">
        <w:t> </w:t>
      </w:r>
      <w:r w:rsidR="001473C2" w:rsidRPr="009A09BA">
        <w:t xml:space="preserve">9 provides that </w:t>
      </w:r>
      <w:r w:rsidRPr="009A09BA">
        <w:t xml:space="preserve">payments </w:t>
      </w:r>
      <w:r w:rsidR="001473C2" w:rsidRPr="009A09BA">
        <w:t>for</w:t>
      </w:r>
      <w:r w:rsidRPr="009A09BA">
        <w:t xml:space="preserve"> CAC Act bod</w:t>
      </w:r>
      <w:r w:rsidR="00F67334" w:rsidRPr="009A09BA">
        <w:t>ies</w:t>
      </w:r>
      <w:r w:rsidR="00B52D32" w:rsidRPr="009A09BA">
        <w:t xml:space="preserve"> </w:t>
      </w:r>
      <w:r w:rsidR="001473C2" w:rsidRPr="009A09BA">
        <w:t xml:space="preserve">must be used </w:t>
      </w:r>
      <w:r w:rsidR="00B52D32" w:rsidRPr="009A09BA">
        <w:t>for the purposes of those bodies</w:t>
      </w:r>
      <w:r w:rsidRPr="009A09BA">
        <w:t>.</w:t>
      </w:r>
    </w:p>
    <w:p w:rsidR="00104960" w:rsidRDefault="00B52D32" w:rsidP="0075741D">
      <w:pPr>
        <w:pStyle w:val="NumberList"/>
      </w:pPr>
      <w:r w:rsidRPr="009A09BA">
        <w:t xml:space="preserve">A </w:t>
      </w:r>
      <w:r w:rsidR="00953024">
        <w:t>“</w:t>
      </w:r>
      <w:r w:rsidRPr="009A09BA">
        <w:t>CAC Act body</w:t>
      </w:r>
      <w:r w:rsidR="00953024">
        <w:t>”</w:t>
      </w:r>
      <w:r w:rsidRPr="009A09BA">
        <w:t xml:space="preserve"> is defined in clause</w:t>
      </w:r>
      <w:r w:rsidR="0084599F" w:rsidRPr="009A09BA">
        <w:t> </w:t>
      </w:r>
      <w:r w:rsidRPr="009A09BA">
        <w:t xml:space="preserve">3 to be a Commonwealth authority or </w:t>
      </w:r>
      <w:r w:rsidR="00BA1296">
        <w:t xml:space="preserve">a </w:t>
      </w:r>
      <w:r w:rsidRPr="009A09BA">
        <w:t xml:space="preserve">Commonwealth company within the meaning of the </w:t>
      </w:r>
      <w:r w:rsidR="001363D0" w:rsidRPr="009A09BA">
        <w:t>CAC Act</w:t>
      </w:r>
      <w:r w:rsidRPr="009A09BA">
        <w:t>.</w:t>
      </w:r>
      <w:r w:rsidR="00441D5D">
        <w:t xml:space="preserve"> </w:t>
      </w:r>
      <w:r w:rsidR="003E304A">
        <w:t>Many CAC </w:t>
      </w:r>
      <w:r w:rsidR="00C8359C" w:rsidRPr="009A09BA">
        <w:t xml:space="preserve">Act bodies receive funding </w:t>
      </w:r>
      <w:r w:rsidR="00F67334" w:rsidRPr="009A09BA">
        <w:t xml:space="preserve">directly </w:t>
      </w:r>
      <w:r w:rsidR="00C8359C" w:rsidRPr="009A09BA">
        <w:t>from appropriations.</w:t>
      </w:r>
      <w:r w:rsidR="00441D5D">
        <w:t xml:space="preserve"> </w:t>
      </w:r>
      <w:r w:rsidR="00C8359C" w:rsidRPr="009A09BA">
        <w:t>However, these bodies are legally separate from the Commonwealth</w:t>
      </w:r>
      <w:r w:rsidR="00385A83">
        <w:t>,</w:t>
      </w:r>
      <w:r w:rsidR="00C8359C" w:rsidRPr="009A09BA">
        <w:t xml:space="preserve"> and as a result, do not debit appropriations or make payments from the CRF.</w:t>
      </w:r>
    </w:p>
    <w:p w:rsidR="00104960" w:rsidRDefault="00E10DB5" w:rsidP="0075741D">
      <w:pPr>
        <w:pStyle w:val="NumberList"/>
      </w:pPr>
      <w:r w:rsidRPr="009A09BA">
        <w:t xml:space="preserve">CAC Act body </w:t>
      </w:r>
      <w:r w:rsidR="00EB62BF" w:rsidRPr="009A09BA">
        <w:t xml:space="preserve">payments </w:t>
      </w:r>
      <w:r w:rsidR="00415199">
        <w:t xml:space="preserve">are </w:t>
      </w:r>
      <w:r w:rsidR="00EB62BF" w:rsidRPr="009A09BA">
        <w:t xml:space="preserve">initiated by requests to </w:t>
      </w:r>
      <w:r w:rsidR="00CD352F" w:rsidRPr="009A09BA">
        <w:t xml:space="preserve">the relevant portfolio </w:t>
      </w:r>
      <w:r w:rsidR="000C15D8">
        <w:t>departments</w:t>
      </w:r>
      <w:r w:rsidR="00CD352F" w:rsidRPr="009A09BA">
        <w:t xml:space="preserve"> from</w:t>
      </w:r>
      <w:r w:rsidR="00C14D5F" w:rsidRPr="009A09BA">
        <w:t xml:space="preserve"> the CAC Act bodies</w:t>
      </w:r>
      <w:r w:rsidR="00EB62BF" w:rsidRPr="009A09BA">
        <w:t>.</w:t>
      </w:r>
      <w:r w:rsidR="00441D5D">
        <w:t xml:space="preserve"> </w:t>
      </w:r>
      <w:r w:rsidR="00987F6B" w:rsidRPr="009A09BA">
        <w:t xml:space="preserve">The Finance Minister </w:t>
      </w:r>
      <w:r w:rsidR="00456952" w:rsidRPr="009A09BA">
        <w:t xml:space="preserve">manages </w:t>
      </w:r>
      <w:r w:rsidR="00CD352F" w:rsidRPr="009A09BA">
        <w:t xml:space="preserve">appropriations for </w:t>
      </w:r>
      <w:r w:rsidR="00987F6B" w:rsidRPr="009A09BA">
        <w:t>CAC Act bod</w:t>
      </w:r>
      <w:r w:rsidR="00CD352F" w:rsidRPr="009A09BA">
        <w:t>ies</w:t>
      </w:r>
      <w:r w:rsidR="00987F6B" w:rsidRPr="009A09BA">
        <w:t xml:space="preserve"> through the issuing of drawing rights </w:t>
      </w:r>
      <w:r w:rsidR="005F5D8D" w:rsidRPr="009A09BA">
        <w:t xml:space="preserve">in accordance with </w:t>
      </w:r>
      <w:r w:rsidR="00987F6B" w:rsidRPr="009A09BA">
        <w:t>sections 26 and 27 of the FMA Act.</w:t>
      </w:r>
      <w:r w:rsidR="00441D5D">
        <w:t xml:space="preserve"> </w:t>
      </w:r>
      <w:r w:rsidR="00987F6B" w:rsidRPr="009A09BA">
        <w:t xml:space="preserve">Drawing rights control who may </w:t>
      </w:r>
      <w:r w:rsidR="006276F9" w:rsidRPr="009A09BA">
        <w:t>spend money from</w:t>
      </w:r>
      <w:r w:rsidR="00944796" w:rsidRPr="009A09BA">
        <w:t xml:space="preserve"> appropriations</w:t>
      </w:r>
      <w:r w:rsidR="00987F6B" w:rsidRPr="009A09BA">
        <w:t xml:space="preserve"> and allow for conditions and limits to be set by the Finance Minister (or </w:t>
      </w:r>
      <w:r w:rsidR="006A6B0B" w:rsidRPr="009A09BA">
        <w:t>the Finance Minister</w:t>
      </w:r>
      <w:r w:rsidR="009741C9">
        <w:t>’</w:t>
      </w:r>
      <w:r w:rsidR="006A6B0B" w:rsidRPr="009A09BA">
        <w:t xml:space="preserve">s </w:t>
      </w:r>
      <w:r w:rsidR="00987F6B" w:rsidRPr="009A09BA">
        <w:t xml:space="preserve">delegate) in relation to those </w:t>
      </w:r>
      <w:r w:rsidR="001473C2" w:rsidRPr="009A09BA">
        <w:t>payments</w:t>
      </w:r>
      <w:r w:rsidR="00987F6B" w:rsidRPr="009A09BA">
        <w:t>.</w:t>
      </w:r>
      <w:r w:rsidR="00441D5D">
        <w:t xml:space="preserve"> </w:t>
      </w:r>
      <w:r w:rsidR="00301F33" w:rsidRPr="009A09BA">
        <w:t>CAC Act bodies hold the amounts p</w:t>
      </w:r>
      <w:r w:rsidR="006A6B0B" w:rsidRPr="009A09BA">
        <w:t>aid to them on their own account</w:t>
      </w:r>
      <w:r w:rsidR="00301F33" w:rsidRPr="009A09BA">
        <w:t>.</w:t>
      </w:r>
    </w:p>
    <w:p w:rsidR="006454CA" w:rsidRDefault="00972288" w:rsidP="0075741D">
      <w:pPr>
        <w:pStyle w:val="NumberList"/>
        <w:sectPr w:rsidR="006454CA" w:rsidSect="00D470F7">
          <w:footerReference w:type="default" r:id="rId26"/>
          <w:type w:val="continuous"/>
          <w:pgSz w:w="11907" w:h="16840" w:code="9"/>
          <w:pgMar w:top="1701" w:right="1985" w:bottom="1701" w:left="1985" w:header="1418" w:footer="1418" w:gutter="0"/>
          <w:cols w:space="708"/>
          <w:docGrid w:linePitch="360"/>
        </w:sectPr>
      </w:pPr>
      <w:r w:rsidRPr="003E304A">
        <w:t>Subclause</w:t>
      </w:r>
      <w:r w:rsidR="00473980" w:rsidRPr="003E304A">
        <w:t> </w:t>
      </w:r>
      <w:r w:rsidRPr="003E304A">
        <w:t>9(2) provides that if a CAC Act body is subject to another Act that requires amount</w:t>
      </w:r>
      <w:r w:rsidR="00D976E9" w:rsidRPr="003E304A">
        <w:t xml:space="preserve">s appropriated by Parliament </w:t>
      </w:r>
      <w:r w:rsidR="000558E1" w:rsidRPr="003E304A">
        <w:t xml:space="preserve">for the </w:t>
      </w:r>
      <w:r w:rsidRPr="003E304A">
        <w:t>purpose</w:t>
      </w:r>
      <w:r w:rsidR="000558E1" w:rsidRPr="003E304A">
        <w:t xml:space="preserve">s </w:t>
      </w:r>
      <w:r w:rsidR="002D29BA" w:rsidRPr="003E304A">
        <w:t>of that</w:t>
      </w:r>
      <w:r w:rsidR="00F328CF">
        <w:t xml:space="preserve"> body </w:t>
      </w:r>
      <w:r w:rsidR="00F328CF" w:rsidRPr="003E304A">
        <w:t>to be paid to the body, then the full amount of the CAC Act body payment must be paid to the body.</w:t>
      </w:r>
      <w:r w:rsidR="00F328CF">
        <w:t xml:space="preserve"> </w:t>
      </w:r>
      <w:r w:rsidR="00F328CF" w:rsidRPr="009A09BA">
        <w:t xml:space="preserve">The purpose of subclause 9(2) is to clarify that subclause 9(1) is not intended to qualify any obligations in other legislation regulating a CAC Act body, where that </w:t>
      </w:r>
      <w:r w:rsidR="00F328CF">
        <w:t xml:space="preserve">other </w:t>
      </w:r>
      <w:r w:rsidR="00F328CF" w:rsidRPr="009A09BA">
        <w:t>legislation requires the Commonwealth to pay the full amount appropriated for the purposes of the body</w:t>
      </w:r>
      <w:r w:rsidR="00F328CF">
        <w:t xml:space="preserve">. </w:t>
      </w:r>
    </w:p>
    <w:p w:rsidR="00104960" w:rsidRDefault="00273A78" w:rsidP="000C15D8">
      <w:pPr>
        <w:pStyle w:val="NumberList"/>
        <w:keepLines/>
      </w:pPr>
      <w:r w:rsidRPr="009A09BA">
        <w:t xml:space="preserve">The </w:t>
      </w:r>
      <w:r w:rsidR="00942003" w:rsidRPr="009A09BA">
        <w:t xml:space="preserve">full amount of the </w:t>
      </w:r>
      <w:r w:rsidRPr="009A09BA">
        <w:t xml:space="preserve">CAC Act body payments </w:t>
      </w:r>
      <w:r w:rsidR="00942003" w:rsidRPr="009A09BA">
        <w:t>specified in Schedule 1 may be reduced in accordance with clause 12.</w:t>
      </w:r>
      <w:r w:rsidR="00441D5D">
        <w:t xml:space="preserve"> </w:t>
      </w:r>
      <w:r w:rsidRPr="009A09BA">
        <w:t>Subclause 12(</w:t>
      </w:r>
      <w:r w:rsidR="000C1381">
        <w:t>6</w:t>
      </w:r>
      <w:r w:rsidRPr="009A09BA">
        <w:t xml:space="preserve">) </w:t>
      </w:r>
      <w:r w:rsidR="00942003" w:rsidRPr="009A09BA">
        <w:t>provides</w:t>
      </w:r>
      <w:r w:rsidRPr="009A09BA">
        <w:t xml:space="preserve"> that </w:t>
      </w:r>
      <w:r w:rsidR="00942003" w:rsidRPr="009A09BA">
        <w:t xml:space="preserve">subclause 9(2) does not prevent </w:t>
      </w:r>
      <w:r w:rsidRPr="009A09BA">
        <w:t xml:space="preserve">the </w:t>
      </w:r>
      <w:r w:rsidR="00942003" w:rsidRPr="009A09BA">
        <w:t xml:space="preserve">CAC Act body payments in </w:t>
      </w:r>
      <w:r w:rsidRPr="009A09BA">
        <w:t xml:space="preserve">Schedule 1 </w:t>
      </w:r>
      <w:r w:rsidR="00942003" w:rsidRPr="009A09BA">
        <w:t>being reduced.</w:t>
      </w:r>
    </w:p>
    <w:p w:rsidR="00007BB3" w:rsidRDefault="00C00D81" w:rsidP="00007BB3">
      <w:pPr>
        <w:pStyle w:val="NumberList"/>
      </w:pPr>
      <w:r w:rsidRPr="00AE56C6">
        <w:t>In addition to the annual appropriations, some CAC Act bodies may also receive public money from related entities such as a portfolio department</w:t>
      </w:r>
      <w:r>
        <w:t xml:space="preserve"> and</w:t>
      </w:r>
      <w:r w:rsidRPr="002F3E8E">
        <w:t xml:space="preserve"> </w:t>
      </w:r>
      <w:r>
        <w:t xml:space="preserve">from </w:t>
      </w:r>
      <w:r w:rsidRPr="00AE56C6">
        <w:t>special appropriations</w:t>
      </w:r>
      <w:r>
        <w:t xml:space="preserve"> managed by those departments</w:t>
      </w:r>
      <w:r w:rsidRPr="00AE56C6">
        <w:t xml:space="preserve">. </w:t>
      </w:r>
      <w:r w:rsidR="00007BB3" w:rsidRPr="00AE56C6">
        <w:t>Many CAC Act bodies also receive funds from external sources.</w:t>
      </w:r>
    </w:p>
    <w:p w:rsidR="00104960" w:rsidRDefault="00AA127E">
      <w:pPr>
        <w:pStyle w:val="Heading2"/>
      </w:pPr>
      <w:r w:rsidRPr="009A09BA">
        <w:t>Part 3—</w:t>
      </w:r>
      <w:proofErr w:type="gramStart"/>
      <w:r w:rsidR="0040733E" w:rsidRPr="009A09BA">
        <w:t>Adjusting</w:t>
      </w:r>
      <w:proofErr w:type="gramEnd"/>
      <w:r w:rsidRPr="009A09BA">
        <w:t xml:space="preserve"> </w:t>
      </w:r>
      <w:r w:rsidR="0040733E" w:rsidRPr="009A09BA">
        <w:t>appropriation</w:t>
      </w:r>
      <w:r w:rsidR="00544BF9" w:rsidRPr="009A09BA">
        <w:t xml:space="preserve"> item</w:t>
      </w:r>
      <w:r w:rsidR="0040733E" w:rsidRPr="009A09BA">
        <w:t>s</w:t>
      </w:r>
    </w:p>
    <w:p w:rsidR="009741C9" w:rsidRDefault="00146DD4" w:rsidP="002634D5">
      <w:pPr>
        <w:pStyle w:val="NumberList"/>
      </w:pPr>
      <w:r w:rsidRPr="002803D3">
        <w:t xml:space="preserve">Part 3 of the Bill </w:t>
      </w:r>
      <w:r w:rsidR="00911754" w:rsidRPr="002803D3">
        <w:t>provides for reductions or increases to</w:t>
      </w:r>
      <w:r w:rsidR="00CB3FB6" w:rsidRPr="002803D3">
        <w:t xml:space="preserve"> </w:t>
      </w:r>
      <w:r w:rsidRPr="002803D3">
        <w:t xml:space="preserve">the amounts </w:t>
      </w:r>
      <w:r w:rsidR="00350633" w:rsidRPr="002803D3">
        <w:t xml:space="preserve">specified </w:t>
      </w:r>
      <w:r w:rsidRPr="002803D3">
        <w:t>in Schedule 1.</w:t>
      </w:r>
      <w:r w:rsidR="00441D5D">
        <w:t xml:space="preserve"> </w:t>
      </w:r>
      <w:r w:rsidR="00A70D58" w:rsidRPr="002803D3">
        <w:t>The reduction provisions are contained in clauses</w:t>
      </w:r>
      <w:r w:rsidR="002534F7">
        <w:t> </w:t>
      </w:r>
      <w:r w:rsidR="00A70D58" w:rsidRPr="002803D3">
        <w:t>10</w:t>
      </w:r>
      <w:r w:rsidR="00A70D58">
        <w:t xml:space="preserve"> through 12 inclusive</w:t>
      </w:r>
      <w:r w:rsidR="00F6176E">
        <w:t xml:space="preserve">. </w:t>
      </w:r>
      <w:r w:rsidR="00CB3FB6">
        <w:t xml:space="preserve">The provision that </w:t>
      </w:r>
      <w:r w:rsidR="00957866">
        <w:t>can</w:t>
      </w:r>
      <w:r w:rsidR="00CB3FB6">
        <w:t xml:space="preserve"> increase the amounts specified in Schedule 1 </w:t>
      </w:r>
      <w:r w:rsidR="00B5258B">
        <w:t>is</w:t>
      </w:r>
      <w:r w:rsidR="00CB3FB6">
        <w:t xml:space="preserve"> contained in clause</w:t>
      </w:r>
      <w:r w:rsidR="002534F7">
        <w:t> </w:t>
      </w:r>
      <w:r w:rsidR="00CB3FB6">
        <w:t>13.</w:t>
      </w:r>
    </w:p>
    <w:p w:rsidR="002634D5" w:rsidRPr="003F11DE" w:rsidRDefault="00BE1629" w:rsidP="002634D5">
      <w:pPr>
        <w:pStyle w:val="NumberList"/>
      </w:pPr>
      <w:r>
        <w:t>The reduction provisions were</w:t>
      </w:r>
      <w:r w:rsidR="00E36202" w:rsidRPr="00E36202">
        <w:t xml:space="preserve"> amended </w:t>
      </w:r>
      <w:r>
        <w:t xml:space="preserve">in the 2010-11 Budget Bills to </w:t>
      </w:r>
      <w:r w:rsidR="00E36202" w:rsidRPr="00E36202">
        <w:t>introduc</w:t>
      </w:r>
      <w:r>
        <w:t>e</w:t>
      </w:r>
      <w:r w:rsidR="00E36202" w:rsidRPr="00E36202">
        <w:t xml:space="preserve"> additional mechanisms for initiating the reduction of unspent items. </w:t>
      </w:r>
      <w:r>
        <w:t>T</w:t>
      </w:r>
      <w:r w:rsidR="00E36202" w:rsidRPr="00E36202">
        <w:t xml:space="preserve">he purpose of </w:t>
      </w:r>
      <w:r>
        <w:t xml:space="preserve">those changes was to </w:t>
      </w:r>
      <w:r w:rsidR="00E36202" w:rsidRPr="00E36202">
        <w:t>increas</w:t>
      </w:r>
      <w:r>
        <w:t>e</w:t>
      </w:r>
      <w:r w:rsidR="00E36202" w:rsidRPr="00E36202">
        <w:t xml:space="preserve"> the efficiency of the reduction process particularly when surplus appropriations result from </w:t>
      </w:r>
      <w:r w:rsidR="00CC2B7A">
        <w:t>g</w:t>
      </w:r>
      <w:r w:rsidR="00E36202" w:rsidRPr="00E36202">
        <w:t>overnment decisions.</w:t>
      </w:r>
    </w:p>
    <w:p w:rsidR="00104960" w:rsidRDefault="00AA127E">
      <w:pPr>
        <w:pStyle w:val="Heading3"/>
      </w:pPr>
      <w:r w:rsidRPr="009A09BA">
        <w:t xml:space="preserve">Clause </w:t>
      </w:r>
      <w:r w:rsidR="0040733E" w:rsidRPr="009A09BA">
        <w:t>10</w:t>
      </w:r>
      <w:r w:rsidRPr="009A09BA">
        <w:t>—Reduc</w:t>
      </w:r>
      <w:r w:rsidR="0040733E" w:rsidRPr="009A09BA">
        <w:t>ing departmental items</w:t>
      </w:r>
    </w:p>
    <w:p w:rsidR="006454CA" w:rsidRDefault="003A7AC3" w:rsidP="0075741D">
      <w:pPr>
        <w:pStyle w:val="NumberList"/>
        <w:sectPr w:rsidR="006454CA" w:rsidSect="00D470F7">
          <w:footerReference w:type="default" r:id="rId27"/>
          <w:type w:val="continuous"/>
          <w:pgSz w:w="11907" w:h="16840" w:code="9"/>
          <w:pgMar w:top="1701" w:right="1985" w:bottom="1701" w:left="1985" w:header="1418" w:footer="1418" w:gutter="0"/>
          <w:cols w:space="708"/>
          <w:docGrid w:linePitch="360"/>
        </w:sectPr>
      </w:pPr>
      <w:r w:rsidRPr="009A09BA">
        <w:t>Departmental items remain available until the appropriation is spent or reduced in accordance with clause 10.</w:t>
      </w:r>
      <w:r w:rsidR="00441D5D">
        <w:t xml:space="preserve"> </w:t>
      </w:r>
      <w:r w:rsidR="001E1B37">
        <w:t xml:space="preserve">This </w:t>
      </w:r>
      <w:r w:rsidRPr="009A09BA">
        <w:t xml:space="preserve">clause </w:t>
      </w:r>
      <w:r w:rsidR="00F6176E">
        <w:t>enables surplus departmental item appropriation amounts to be reduced to promote</w:t>
      </w:r>
      <w:r w:rsidR="001E1B37">
        <w:t xml:space="preserve"> </w:t>
      </w:r>
      <w:r w:rsidR="00301CF6" w:rsidRPr="009A09BA">
        <w:t xml:space="preserve">the </w:t>
      </w:r>
      <w:r w:rsidRPr="009A09BA">
        <w:t>efficient, effective</w:t>
      </w:r>
      <w:r w:rsidR="00560257">
        <w:t>, economical</w:t>
      </w:r>
      <w:r w:rsidRPr="009A09BA">
        <w:t xml:space="preserve"> and ethical</w:t>
      </w:r>
      <w:r w:rsidR="00301CF6" w:rsidRPr="009A09BA">
        <w:t xml:space="preserve"> </w:t>
      </w:r>
      <w:r w:rsidR="00F6176E">
        <w:t>management</w:t>
      </w:r>
      <w:r w:rsidR="00F6176E" w:rsidRPr="009A09BA">
        <w:t xml:space="preserve"> </w:t>
      </w:r>
      <w:r w:rsidR="00301CF6" w:rsidRPr="009A09BA">
        <w:t xml:space="preserve">of </w:t>
      </w:r>
      <w:r w:rsidRPr="009A09BA">
        <w:t>any surplus</w:t>
      </w:r>
      <w:r w:rsidR="006A7B56" w:rsidRPr="009A09BA">
        <w:t xml:space="preserve"> appropriation</w:t>
      </w:r>
      <w:r w:rsidRPr="009A09BA">
        <w:t>s</w:t>
      </w:r>
      <w:r w:rsidR="00301CF6" w:rsidRPr="009A09BA">
        <w:t>.</w:t>
      </w:r>
      <w:r w:rsidR="00441D5D">
        <w:t xml:space="preserve"> </w:t>
      </w:r>
      <w:r w:rsidR="00301CF6" w:rsidRPr="009A09BA">
        <w:t>Agencies</w:t>
      </w:r>
      <w:r w:rsidR="0078693A">
        <w:t xml:space="preserve"> should only </w:t>
      </w:r>
      <w:r w:rsidR="0078693A" w:rsidRPr="009A09BA">
        <w:t xml:space="preserve">spend all of a departmental item if there are </w:t>
      </w:r>
      <w:r w:rsidR="0078693A">
        <w:t>g</w:t>
      </w:r>
      <w:r w:rsidR="0078693A" w:rsidRPr="009A09BA">
        <w:t>overnment decisions to support that expenditure.</w:t>
      </w:r>
      <w:r w:rsidR="0078693A">
        <w:t xml:space="preserve"> </w:t>
      </w:r>
      <w:r w:rsidR="0078693A" w:rsidRPr="009A09BA">
        <w:t>Examples of where clause 10 may be appropriate to reduce a departmental item include</w:t>
      </w:r>
      <w:r w:rsidR="0078693A">
        <w:t>:</w:t>
      </w:r>
    </w:p>
    <w:p w:rsidR="00104960" w:rsidRDefault="00C46731" w:rsidP="00782FA4">
      <w:pPr>
        <w:pStyle w:val="Bullet"/>
        <w:spacing w:before="120"/>
      </w:pPr>
      <w:r w:rsidRPr="009A09BA">
        <w:t xml:space="preserve">an excessive amount was </w:t>
      </w:r>
      <w:r w:rsidR="00102D30">
        <w:t xml:space="preserve">originally appropriated </w:t>
      </w:r>
      <w:r w:rsidRPr="009A09BA">
        <w:t>in error;</w:t>
      </w:r>
    </w:p>
    <w:p w:rsidR="00104960" w:rsidRDefault="00C46731" w:rsidP="00782FA4">
      <w:pPr>
        <w:pStyle w:val="Bullet"/>
        <w:spacing w:before="120"/>
      </w:pPr>
      <w:r w:rsidRPr="009A09BA">
        <w:t>an amount is reclassified and appropriated again under another kind of appropriation (</w:t>
      </w:r>
      <w:r w:rsidR="0098293F">
        <w:t>e.g.</w:t>
      </w:r>
      <w:r w:rsidR="002553A8" w:rsidRPr="009A09BA">
        <w:t> </w:t>
      </w:r>
      <w:r w:rsidRPr="009A09BA">
        <w:t>where an amount appropriated as department</w:t>
      </w:r>
      <w:r w:rsidR="00523196" w:rsidRPr="009A09BA">
        <w:t>al</w:t>
      </w:r>
      <w:r w:rsidRPr="009A09BA">
        <w:t xml:space="preserve"> is to be reclassified as administered and a new administered appropriation is provided).</w:t>
      </w:r>
      <w:r w:rsidR="00441D5D">
        <w:t xml:space="preserve"> </w:t>
      </w:r>
      <w:r w:rsidRPr="009A09BA">
        <w:t>The existing departmental appropriation remains legally available even though t</w:t>
      </w:r>
      <w:r w:rsidR="00290D62">
        <w:t>here is no g</w:t>
      </w:r>
      <w:r w:rsidRPr="009A09BA">
        <w:t>overnment authority to spend the funds;</w:t>
      </w:r>
    </w:p>
    <w:p w:rsidR="00104960" w:rsidRDefault="00C46731" w:rsidP="00782FA4">
      <w:pPr>
        <w:pStyle w:val="Bullet"/>
        <w:spacing w:before="120"/>
      </w:pPr>
      <w:r w:rsidRPr="009A09BA">
        <w:t xml:space="preserve">efficiency savings result in a </w:t>
      </w:r>
      <w:r w:rsidR="00E66386" w:rsidRPr="009A09BA">
        <w:t>program</w:t>
      </w:r>
      <w:r w:rsidRPr="009A09BA">
        <w:t xml:space="preserve"> costing less than expected; </w:t>
      </w:r>
      <w:r w:rsidR="003A7AC3" w:rsidRPr="009A09BA">
        <w:t>or</w:t>
      </w:r>
    </w:p>
    <w:p w:rsidR="00104960" w:rsidRPr="00290D62" w:rsidRDefault="00C46731" w:rsidP="00782FA4">
      <w:pPr>
        <w:pStyle w:val="Bullet"/>
        <w:spacing w:before="120"/>
      </w:pPr>
      <w:proofErr w:type="gramStart"/>
      <w:r w:rsidRPr="00290D62">
        <w:t>a</w:t>
      </w:r>
      <w:proofErr w:type="gramEnd"/>
      <w:r w:rsidRPr="00290D62">
        <w:t xml:space="preserve"> </w:t>
      </w:r>
      <w:r w:rsidR="00E66386" w:rsidRPr="00290D62">
        <w:t>program</w:t>
      </w:r>
      <w:r w:rsidRPr="00290D62">
        <w:t xml:space="preserve"> is abolished under </w:t>
      </w:r>
      <w:r w:rsidR="00290D62" w:rsidRPr="00290D62">
        <w:t>g</w:t>
      </w:r>
      <w:r w:rsidRPr="00290D62">
        <w:t>overnment policy before the appropriation is expen</w:t>
      </w:r>
      <w:r w:rsidR="00712009" w:rsidRPr="00290D62">
        <w:t>d</w:t>
      </w:r>
      <w:r w:rsidRPr="00290D62">
        <w:t>ed.</w:t>
      </w:r>
    </w:p>
    <w:p w:rsidR="00104960" w:rsidRPr="00290D62" w:rsidRDefault="00E36202" w:rsidP="00D470F7">
      <w:pPr>
        <w:pStyle w:val="NumberList"/>
        <w:spacing w:before="120"/>
      </w:pPr>
      <w:r w:rsidRPr="00E36202">
        <w:t>Paragraph 10(1</w:t>
      </w:r>
      <w:proofErr w:type="gramStart"/>
      <w:r w:rsidRPr="00E36202">
        <w:t>)(</w:t>
      </w:r>
      <w:proofErr w:type="gramEnd"/>
      <w:r w:rsidRPr="00E36202">
        <w:t>a) enables the Prime Minister</w:t>
      </w:r>
      <w:r w:rsidR="008113F3">
        <w:t>, or a Minister acting on behalf of the Prime Minister,</w:t>
      </w:r>
      <w:r w:rsidRPr="00E36202">
        <w:t xml:space="preserve"> to request that the Finance Minister reduce a departmental item for an agency. Paragraph 10(1</w:t>
      </w:r>
      <w:proofErr w:type="gramStart"/>
      <w:r w:rsidRPr="00E36202">
        <w:t>)(</w:t>
      </w:r>
      <w:proofErr w:type="gramEnd"/>
      <w:r w:rsidRPr="00E36202">
        <w:t xml:space="preserve">b) enables the </w:t>
      </w:r>
      <w:r w:rsidR="008113F3">
        <w:t xml:space="preserve">Minister who is responsible for the agency </w:t>
      </w:r>
      <w:r w:rsidRPr="00E36202">
        <w:t>to request the Finance Minister to reduce a departmental item for an agency. Paragraph 10(1</w:t>
      </w:r>
      <w:proofErr w:type="gramStart"/>
      <w:r w:rsidRPr="00E36202">
        <w:t>)(</w:t>
      </w:r>
      <w:proofErr w:type="gramEnd"/>
      <w:r w:rsidR="008113F3">
        <w:t>c</w:t>
      </w:r>
      <w:r w:rsidRPr="00E36202">
        <w:t>) enables the Chief Executive of an agency for which the Finance Minister is responsible to request the Finance Minister to reduce a departmental item for that agency. Subclause 10(6) assists readers by noting</w:t>
      </w:r>
      <w:r w:rsidR="00BF0C91" w:rsidRPr="00290D62">
        <w:t xml:space="preserve"> that </w:t>
      </w:r>
      <w:r w:rsidR="00BB70D2" w:rsidRPr="00290D62">
        <w:t xml:space="preserve">a request under subclause 10(1) </w:t>
      </w:r>
      <w:r w:rsidR="00BF0C91" w:rsidRPr="00290D62">
        <w:t xml:space="preserve">is not a legislative instrument within the meaning of section 5 of the </w:t>
      </w:r>
      <w:r w:rsidR="00BF0C91" w:rsidRPr="00290D62">
        <w:rPr>
          <w:i/>
        </w:rPr>
        <w:t>Legislative Instruments Act 2003</w:t>
      </w:r>
      <w:r w:rsidR="00AC6E63" w:rsidRPr="00290D62">
        <w:t xml:space="preserve"> (LI Act), on the basis that it is requesting a determination to be made</w:t>
      </w:r>
      <w:r w:rsidR="00290D62" w:rsidRPr="00290D62">
        <w:t>,</w:t>
      </w:r>
      <w:r w:rsidR="00AC6E63" w:rsidRPr="00290D62">
        <w:t xml:space="preserve"> and it is the determination </w:t>
      </w:r>
      <w:r w:rsidR="008162D2">
        <w:t xml:space="preserve">under subclause 10(2) </w:t>
      </w:r>
      <w:r w:rsidR="00AC6E63" w:rsidRPr="00290D62">
        <w:t>that has substantive effect.</w:t>
      </w:r>
    </w:p>
    <w:p w:rsidR="00104960" w:rsidRDefault="00BB70D2" w:rsidP="00D470F7">
      <w:pPr>
        <w:pStyle w:val="NumberList"/>
        <w:spacing w:before="120"/>
      </w:pPr>
      <w:r w:rsidRPr="009A09BA">
        <w:t>Subc</w:t>
      </w:r>
      <w:r w:rsidR="00C3553C" w:rsidRPr="009A09BA">
        <w:t xml:space="preserve">lause </w:t>
      </w:r>
      <w:r w:rsidRPr="009A09BA">
        <w:t>10</w:t>
      </w:r>
      <w:r w:rsidR="00C3553C" w:rsidRPr="009A09BA">
        <w:t>(</w:t>
      </w:r>
      <w:r w:rsidRPr="009A09BA">
        <w:t>2</w:t>
      </w:r>
      <w:r w:rsidR="00C3553C" w:rsidRPr="009A09BA">
        <w:t xml:space="preserve">) </w:t>
      </w:r>
      <w:r w:rsidRPr="009A09BA">
        <w:t xml:space="preserve">enables </w:t>
      </w:r>
      <w:r w:rsidR="00C3553C" w:rsidRPr="009A09BA">
        <w:t xml:space="preserve">the Finance Minister </w:t>
      </w:r>
      <w:r w:rsidR="00EA5C86" w:rsidRPr="009A09BA">
        <w:t xml:space="preserve">to </w:t>
      </w:r>
      <w:r w:rsidR="00C3553C" w:rsidRPr="009A09BA">
        <w:t xml:space="preserve">make a </w:t>
      </w:r>
      <w:r w:rsidRPr="009A09BA">
        <w:t xml:space="preserve">written </w:t>
      </w:r>
      <w:r w:rsidR="00C3553C" w:rsidRPr="009A09BA">
        <w:t xml:space="preserve">determination </w:t>
      </w:r>
      <w:r w:rsidRPr="009A09BA">
        <w:t xml:space="preserve">to </w:t>
      </w:r>
      <w:r w:rsidR="005D2995" w:rsidRPr="009A09BA">
        <w:t>reduce a</w:t>
      </w:r>
      <w:r w:rsidRPr="009A09BA">
        <w:t xml:space="preserve"> departmental item.</w:t>
      </w:r>
      <w:r w:rsidR="00441D5D">
        <w:t xml:space="preserve"> </w:t>
      </w:r>
      <w:r w:rsidR="00ED6380" w:rsidRPr="009A09BA">
        <w:t xml:space="preserve">The Finance Minister is not obliged to act on a request to reduce excess departmental </w:t>
      </w:r>
      <w:r w:rsidR="00811E55">
        <w:t>item</w:t>
      </w:r>
      <w:r w:rsidR="009741C9">
        <w:t xml:space="preserve"> </w:t>
      </w:r>
      <w:r w:rsidR="00523196" w:rsidRPr="009A09BA">
        <w:t>appropriations</w:t>
      </w:r>
      <w:r w:rsidR="00ED6380" w:rsidRPr="009A09BA">
        <w:t>.</w:t>
      </w:r>
      <w:r w:rsidR="00F43A02" w:rsidRPr="009A09BA">
        <w:t xml:space="preserve"> </w:t>
      </w:r>
      <w:r w:rsidR="00ED6380" w:rsidRPr="009A09BA">
        <w:t>Howeve</w:t>
      </w:r>
      <w:r w:rsidR="00EE6CFE" w:rsidRPr="009A09BA">
        <w:t>r, if the Finance Minister does:</w:t>
      </w:r>
    </w:p>
    <w:p w:rsidR="00104960" w:rsidRDefault="00ED6380" w:rsidP="00782FA4">
      <w:pPr>
        <w:pStyle w:val="Bullet"/>
        <w:spacing w:before="120"/>
      </w:pPr>
      <w:r w:rsidRPr="009A09BA">
        <w:t xml:space="preserve">the determination </w:t>
      </w:r>
      <w:r w:rsidR="00350633" w:rsidRPr="009A09BA">
        <w:t>must</w:t>
      </w:r>
      <w:r w:rsidRPr="009A09BA">
        <w:t xml:space="preserve"> be </w:t>
      </w:r>
      <w:r w:rsidR="007272EB">
        <w:t xml:space="preserve">for </w:t>
      </w:r>
      <w:r w:rsidRPr="009A09BA">
        <w:t>the amount specified in the request: subclause</w:t>
      </w:r>
      <w:r w:rsidR="00350633" w:rsidRPr="009A09BA">
        <w:t> </w:t>
      </w:r>
      <w:r w:rsidRPr="009A09BA">
        <w:t>10(2);</w:t>
      </w:r>
    </w:p>
    <w:p w:rsidR="006454CA" w:rsidRDefault="00000441" w:rsidP="00782FA4">
      <w:pPr>
        <w:pStyle w:val="Bullet"/>
        <w:spacing w:before="120"/>
        <w:sectPr w:rsidR="006454CA" w:rsidSect="00D470F7">
          <w:footerReference w:type="default" r:id="rId28"/>
          <w:type w:val="continuous"/>
          <w:pgSz w:w="11907" w:h="16840" w:code="9"/>
          <w:pgMar w:top="1701" w:right="1985" w:bottom="1701" w:left="1985" w:header="1418" w:footer="1418" w:gutter="0"/>
          <w:cols w:space="708"/>
          <w:docGrid w:linePitch="360"/>
        </w:sectPr>
      </w:pPr>
      <w:r w:rsidRPr="009A09BA">
        <w:t>the determination may not reduce the department</w:t>
      </w:r>
      <w:r w:rsidR="007E0B4A" w:rsidRPr="009A09BA">
        <w:t>al</w:t>
      </w:r>
      <w:r w:rsidRPr="009A09BA">
        <w:t xml:space="preserve"> item below nil: subclause 10(3); and</w:t>
      </w:r>
    </w:p>
    <w:p w:rsidR="00811E55" w:rsidRDefault="00ED6380" w:rsidP="00782FA4">
      <w:pPr>
        <w:pStyle w:val="Bullet"/>
        <w:spacing w:before="120"/>
      </w:pPr>
      <w:proofErr w:type="gramStart"/>
      <w:r w:rsidRPr="009A09BA">
        <w:t>the</w:t>
      </w:r>
      <w:proofErr w:type="gramEnd"/>
      <w:r w:rsidRPr="009A09BA">
        <w:t xml:space="preserve"> departmental item in Schedule 1</w:t>
      </w:r>
      <w:r w:rsidR="00B5258B">
        <w:t xml:space="preserve"> </w:t>
      </w:r>
      <w:r w:rsidRPr="009A09BA">
        <w:t>will be taken to be reduced in accordance with the determination of the Fi</w:t>
      </w:r>
      <w:r w:rsidR="00000441" w:rsidRPr="009A09BA">
        <w:t>nance Minister: subclause 10(4)</w:t>
      </w:r>
      <w:r w:rsidR="00BB70D2" w:rsidRPr="009A09BA">
        <w:t>.</w:t>
      </w:r>
    </w:p>
    <w:p w:rsidR="00811E55" w:rsidRDefault="00811E55" w:rsidP="000405B8">
      <w:pPr>
        <w:pStyle w:val="NumberList"/>
      </w:pPr>
      <w:r>
        <w:t xml:space="preserve">Subclause 10(5) provides that </w:t>
      </w:r>
      <w:r w:rsidR="008162D2">
        <w:t xml:space="preserve">once </w:t>
      </w:r>
      <w:r>
        <w:t xml:space="preserve">a determination </w:t>
      </w:r>
      <w:r w:rsidR="008162D2">
        <w:t xml:space="preserve">is </w:t>
      </w:r>
      <w:r>
        <w:t xml:space="preserve">made under subclause 10(2), </w:t>
      </w:r>
      <w:r w:rsidR="008162D2">
        <w:t xml:space="preserve">it </w:t>
      </w:r>
      <w:r>
        <w:t>must not be rescinded, revoked, amended or varied</w:t>
      </w:r>
      <w:r w:rsidR="00230124">
        <w:t xml:space="preserve">, </w:t>
      </w:r>
      <w:r w:rsidR="009F7502">
        <w:t>other than</w:t>
      </w:r>
      <w:r w:rsidR="00230124">
        <w:t xml:space="preserve"> to correct an error</w:t>
      </w:r>
      <w:r>
        <w:t>. Subclause 10(</w:t>
      </w:r>
      <w:r w:rsidR="000E0C17">
        <w:t>7</w:t>
      </w:r>
      <w:r>
        <w:t>) applies despite subsection 33(3) of the AI Act. This subclause intends to exclude the operation of subsection 33(3) of the AI Act from deter</w:t>
      </w:r>
      <w:r w:rsidR="00246D5B">
        <w:t>minations</w:t>
      </w:r>
      <w:r>
        <w:t xml:space="preserve"> made under </w:t>
      </w:r>
      <w:r w:rsidR="00246D5B">
        <w:t>subclause 10(2). The purpose of subclause 10(5) is</w:t>
      </w:r>
      <w:r w:rsidR="00A04140">
        <w:t> </w:t>
      </w:r>
      <w:r w:rsidR="00246D5B">
        <w:t>to ensure that the departmental item appropriation, when reduced under subclause</w:t>
      </w:r>
      <w:r w:rsidR="002534F7">
        <w:t> </w:t>
      </w:r>
      <w:r w:rsidR="00246D5B">
        <w:t>10(2), cannot be restored by means of a later determination.</w:t>
      </w:r>
    </w:p>
    <w:p w:rsidR="00104960" w:rsidRDefault="00BB70D2" w:rsidP="0075741D">
      <w:pPr>
        <w:pStyle w:val="NumberList"/>
      </w:pPr>
      <w:r w:rsidRPr="009A09BA">
        <w:t>Subclause 10(</w:t>
      </w:r>
      <w:r w:rsidR="00811E55">
        <w:t>7</w:t>
      </w:r>
      <w:r w:rsidRPr="009A09BA">
        <w:t>) provides that a determination made under subclause</w:t>
      </w:r>
      <w:r w:rsidR="00000441" w:rsidRPr="009A09BA">
        <w:t> </w:t>
      </w:r>
      <w:r w:rsidRPr="009A09BA">
        <w:t xml:space="preserve">10(2) is a legislative </w:t>
      </w:r>
      <w:r w:rsidR="005D2995" w:rsidRPr="009A09BA">
        <w:t>instrument</w:t>
      </w:r>
      <w:r w:rsidR="00840E65" w:rsidRPr="009A09BA">
        <w:t>.</w:t>
      </w:r>
    </w:p>
    <w:p w:rsidR="00104960" w:rsidRDefault="00840E65" w:rsidP="003641D0">
      <w:pPr>
        <w:pStyle w:val="NumberList"/>
      </w:pPr>
      <w:r w:rsidRPr="00290D62">
        <w:t xml:space="preserve">Despite subsection 44(2) of the </w:t>
      </w:r>
      <w:r w:rsidR="00000441" w:rsidRPr="00290D62">
        <w:t>LI Act</w:t>
      </w:r>
      <w:r w:rsidRPr="00290D62">
        <w:rPr>
          <w:i/>
        </w:rPr>
        <w:t>,</w:t>
      </w:r>
      <w:r w:rsidRPr="00290D62">
        <w:t xml:space="preserve"> which provides that instrument</w:t>
      </w:r>
      <w:r w:rsidR="00EE4598" w:rsidRPr="00290D62">
        <w:t>s</w:t>
      </w:r>
      <w:r w:rsidRPr="00290D62">
        <w:t xml:space="preserve"> made under annual Appropriation Acts are not subject to disallowance, subclause 10(</w:t>
      </w:r>
      <w:r w:rsidR="00F6176E">
        <w:t>7</w:t>
      </w:r>
      <w:r w:rsidRPr="00290D62">
        <w:t xml:space="preserve">) provides that a determination reducing a departmental item is subject to disallowance in accordance with section 42 of the </w:t>
      </w:r>
      <w:r w:rsidR="00000441" w:rsidRPr="00290D62">
        <w:t>LI Act</w:t>
      </w:r>
      <w:r w:rsidRPr="00290D62">
        <w:t>.</w:t>
      </w:r>
      <w:r w:rsidR="00441D5D">
        <w:t xml:space="preserve"> </w:t>
      </w:r>
      <w:r w:rsidRPr="00290D62">
        <w:t>Parliament retains the power to disallow a determination to reduce a departmental item</w:t>
      </w:r>
      <w:r w:rsidR="00290D62">
        <w:t>,</w:t>
      </w:r>
      <w:r w:rsidRPr="00290D62">
        <w:t xml:space="preserve"> because any such determination will reduce </w:t>
      </w:r>
      <w:r w:rsidR="00BE3C48" w:rsidRPr="00290D62">
        <w:t xml:space="preserve">the amount of an appropriation authorised </w:t>
      </w:r>
      <w:r w:rsidRPr="00290D62">
        <w:t>by Parliament.</w:t>
      </w:r>
      <w:r w:rsidR="00441D5D">
        <w:t xml:space="preserve"> </w:t>
      </w:r>
      <w:r w:rsidRPr="00290D62">
        <w:t>Subclause</w:t>
      </w:r>
      <w:r w:rsidR="00000441" w:rsidRPr="00290D62">
        <w:t> </w:t>
      </w:r>
      <w:r w:rsidRPr="00290D62">
        <w:t>10(</w:t>
      </w:r>
      <w:r w:rsidR="00F6176E">
        <w:t>7</w:t>
      </w:r>
      <w:r w:rsidRPr="00290D62">
        <w:t>) also confirms subsection</w:t>
      </w:r>
      <w:r w:rsidR="00BF642D" w:rsidRPr="00290D62">
        <w:t> </w:t>
      </w:r>
      <w:r w:rsidRPr="00290D62">
        <w:t xml:space="preserve">54(2) of the </w:t>
      </w:r>
      <w:r w:rsidR="00000441" w:rsidRPr="00290D62">
        <w:t>LI Act</w:t>
      </w:r>
      <w:r w:rsidRPr="00290D62">
        <w:rPr>
          <w:i/>
        </w:rPr>
        <w:t>,</w:t>
      </w:r>
      <w:r w:rsidRPr="00290D62">
        <w:t xml:space="preserve"> which provides that instrument</w:t>
      </w:r>
      <w:r w:rsidR="009C6825" w:rsidRPr="00290D62">
        <w:t>s</w:t>
      </w:r>
      <w:r w:rsidRPr="00290D62">
        <w:t xml:space="preserve"> made under annual Appropriation Acts are not subject to </w:t>
      </w:r>
      <w:proofErr w:type="spellStart"/>
      <w:r w:rsidRPr="00290D62">
        <w:t>sunsetting</w:t>
      </w:r>
      <w:proofErr w:type="spellEnd"/>
      <w:r w:rsidRPr="00290D62">
        <w:t>.</w:t>
      </w:r>
    </w:p>
    <w:p w:rsidR="00104960" w:rsidRDefault="0040733E">
      <w:pPr>
        <w:pStyle w:val="Heading3"/>
      </w:pPr>
      <w:r w:rsidRPr="009A09BA">
        <w:t>Clause 11—Reducing administered items</w:t>
      </w:r>
    </w:p>
    <w:p w:rsidR="00104960" w:rsidRDefault="00D52BEE" w:rsidP="003641D0">
      <w:pPr>
        <w:pStyle w:val="NumberList"/>
      </w:pPr>
      <w:r w:rsidRPr="00130083">
        <w:t xml:space="preserve">Clause 11 </w:t>
      </w:r>
      <w:r w:rsidR="00523196" w:rsidRPr="00130083">
        <w:t xml:space="preserve">provides for amounts </w:t>
      </w:r>
      <w:r w:rsidRPr="00130083">
        <w:t xml:space="preserve">of administered items not required </w:t>
      </w:r>
      <w:r w:rsidR="00AE1244" w:rsidRPr="00130083">
        <w:t xml:space="preserve">after </w:t>
      </w:r>
      <w:r w:rsidR="006613F2" w:rsidRPr="00130083">
        <w:t xml:space="preserve">the end of the current year </w:t>
      </w:r>
      <w:r w:rsidR="00523196" w:rsidRPr="00130083">
        <w:t xml:space="preserve">to </w:t>
      </w:r>
      <w:r w:rsidRPr="00130083">
        <w:t>be extinguished.</w:t>
      </w:r>
      <w:r w:rsidR="00441D5D">
        <w:t xml:space="preserve"> </w:t>
      </w:r>
      <w:r w:rsidR="00523196" w:rsidRPr="009A09BA">
        <w:t xml:space="preserve">If the </w:t>
      </w:r>
      <w:r w:rsidR="00B73FC0">
        <w:t>g</w:t>
      </w:r>
      <w:r w:rsidR="00B73FC0" w:rsidRPr="009A09BA">
        <w:t xml:space="preserve">overnment </w:t>
      </w:r>
      <w:r w:rsidR="00523196" w:rsidRPr="009A09BA">
        <w:t>then decide</w:t>
      </w:r>
      <w:r w:rsidR="00294E31" w:rsidRPr="009A09BA">
        <w:t>s</w:t>
      </w:r>
      <w:r w:rsidR="00523196" w:rsidRPr="009A09BA">
        <w:t xml:space="preserve"> that amounts should be spent in a later financial year</w:t>
      </w:r>
      <w:r w:rsidRPr="009A09BA">
        <w:t xml:space="preserve">, the </w:t>
      </w:r>
      <w:r w:rsidR="00B73FC0">
        <w:t>g</w:t>
      </w:r>
      <w:r w:rsidR="00B73FC0" w:rsidRPr="009A09BA">
        <w:t xml:space="preserve">overnment </w:t>
      </w:r>
      <w:r w:rsidR="00523196" w:rsidRPr="009A09BA">
        <w:t xml:space="preserve">must </w:t>
      </w:r>
      <w:r w:rsidRPr="009A09BA">
        <w:t xml:space="preserve">request Parliament to appropriate these amounts in future </w:t>
      </w:r>
      <w:r w:rsidR="005E4080">
        <w:t>A</w:t>
      </w:r>
      <w:r w:rsidR="00523196" w:rsidRPr="009A09BA">
        <w:t xml:space="preserve">ppropriation </w:t>
      </w:r>
      <w:r w:rsidR="00D51B6F">
        <w:t>B</w:t>
      </w:r>
      <w:r w:rsidR="00523196" w:rsidRPr="009A09BA">
        <w:t>ills</w:t>
      </w:r>
      <w:r w:rsidRPr="009A09BA">
        <w:t>.</w:t>
      </w:r>
    </w:p>
    <w:p w:rsidR="006454CA" w:rsidRDefault="006A6B0B" w:rsidP="0075741D">
      <w:pPr>
        <w:pStyle w:val="NumberList"/>
        <w:sectPr w:rsidR="006454CA" w:rsidSect="00D470F7">
          <w:footerReference w:type="default" r:id="rId29"/>
          <w:type w:val="continuous"/>
          <w:pgSz w:w="11907" w:h="16840" w:code="9"/>
          <w:pgMar w:top="1701" w:right="1985" w:bottom="1701" w:left="1985" w:header="1418" w:footer="1418" w:gutter="0"/>
          <w:cols w:space="708"/>
          <w:docGrid w:linePitch="360"/>
        </w:sectPr>
      </w:pPr>
      <w:r w:rsidRPr="009A09BA">
        <w:t>Clause 11 limit</w:t>
      </w:r>
      <w:r w:rsidR="00DF676C" w:rsidRPr="009A09BA">
        <w:t>s</w:t>
      </w:r>
      <w:r w:rsidRPr="009A09BA">
        <w:t xml:space="preserve"> </w:t>
      </w:r>
      <w:r w:rsidR="00A41745" w:rsidRPr="009A09BA">
        <w:t xml:space="preserve">the amount </w:t>
      </w:r>
      <w:r w:rsidR="00F7123F" w:rsidRPr="009A09BA">
        <w:t>that may be applied for an administered item to the amount reported</w:t>
      </w:r>
      <w:r w:rsidR="00A41745" w:rsidRPr="009A09BA">
        <w:t xml:space="preserve"> </w:t>
      </w:r>
      <w:r w:rsidR="00F7123F" w:rsidRPr="009A09BA">
        <w:t xml:space="preserve">for that item </w:t>
      </w:r>
      <w:r w:rsidR="00A41745" w:rsidRPr="009A09BA">
        <w:t xml:space="preserve">in </w:t>
      </w:r>
      <w:r w:rsidR="00F7123F" w:rsidRPr="009A09BA">
        <w:t xml:space="preserve">an </w:t>
      </w:r>
      <w:r w:rsidR="00A41745" w:rsidRPr="009A09BA">
        <w:t>agenc</w:t>
      </w:r>
      <w:r w:rsidR="00F7123F" w:rsidRPr="009A09BA">
        <w:t>y</w:t>
      </w:r>
      <w:r w:rsidR="009741C9">
        <w:t>’</w:t>
      </w:r>
      <w:r w:rsidR="00F7123F" w:rsidRPr="009A09BA">
        <w:t>s</w:t>
      </w:r>
      <w:r w:rsidR="00A41745" w:rsidRPr="009A09BA">
        <w:t xml:space="preserve"> </w:t>
      </w:r>
      <w:r w:rsidR="00F77647" w:rsidRPr="009A09BA">
        <w:t>a</w:t>
      </w:r>
      <w:r w:rsidR="00A41745" w:rsidRPr="009A09BA">
        <w:t xml:space="preserve">nnual </w:t>
      </w:r>
      <w:r w:rsidR="00F77647" w:rsidRPr="009A09BA">
        <w:t>r</w:t>
      </w:r>
      <w:r w:rsidR="00A41745" w:rsidRPr="009A09BA">
        <w:t>eport.</w:t>
      </w:r>
      <w:r w:rsidR="00441D5D">
        <w:t xml:space="preserve"> </w:t>
      </w:r>
      <w:r w:rsidR="00DB179C" w:rsidRPr="009A09BA">
        <w:t>Subclause</w:t>
      </w:r>
      <w:r w:rsidR="00ED6380" w:rsidRPr="009A09BA">
        <w:t> </w:t>
      </w:r>
      <w:r w:rsidR="00134560" w:rsidRPr="009A09BA">
        <w:t xml:space="preserve">11(1) provides that if the amount published in the annual report is less than the amount of the item, then the administered item is </w:t>
      </w:r>
      <w:r w:rsidR="00F77647" w:rsidRPr="009A09BA">
        <w:t xml:space="preserve">taken to be </w:t>
      </w:r>
      <w:r w:rsidR="00BC4BB4" w:rsidRPr="009A09BA">
        <w:t>reduced to the amount specified in the annual report.</w:t>
      </w:r>
      <w:r w:rsidR="00441D5D">
        <w:t xml:space="preserve"> </w:t>
      </w:r>
      <w:r w:rsidR="00BC4BB4" w:rsidRPr="009A09BA">
        <w:t xml:space="preserve">The amount of the item specified in Schedule 1 of the Bill may be increased or reduced by </w:t>
      </w:r>
      <w:r w:rsidR="00350633" w:rsidRPr="009A09BA">
        <w:t xml:space="preserve">the </w:t>
      </w:r>
      <w:r w:rsidR="00BC4BB4" w:rsidRPr="009A09BA">
        <w:t>other clauses of Part 3 of the Bill</w:t>
      </w:r>
      <w:r w:rsidR="00290D62">
        <w:t>,</w:t>
      </w:r>
      <w:r w:rsidR="00BC4BB4" w:rsidRPr="009A09BA">
        <w:t xml:space="preserve"> or in accordance with sections 30</w:t>
      </w:r>
      <w:r w:rsidR="00A8685E">
        <w:t xml:space="preserve">, </w:t>
      </w:r>
      <w:r w:rsidR="00077B0D" w:rsidRPr="00AE1081">
        <w:t>30A</w:t>
      </w:r>
      <w:r w:rsidR="00BC4BB4" w:rsidRPr="009A09BA">
        <w:t xml:space="preserve"> </w:t>
      </w:r>
      <w:r w:rsidR="00A8685E">
        <w:t>and</w:t>
      </w:r>
      <w:r w:rsidR="00A8685E" w:rsidRPr="009A09BA">
        <w:t> </w:t>
      </w:r>
      <w:r w:rsidR="00BC4BB4" w:rsidRPr="009A09BA">
        <w:t>32 of the FMA</w:t>
      </w:r>
      <w:r w:rsidR="00415199">
        <w:t> </w:t>
      </w:r>
      <w:r w:rsidR="00BC4BB4" w:rsidRPr="009A09BA">
        <w:t>Act.</w:t>
      </w:r>
      <w:r w:rsidR="00441D5D">
        <w:t xml:space="preserve"> </w:t>
      </w:r>
      <w:r w:rsidR="00BC4BB4" w:rsidRPr="009A09BA">
        <w:t xml:space="preserve">The amount in the annual report must therefore be compared with the amount </w:t>
      </w:r>
      <w:r w:rsidR="00F77647" w:rsidRPr="009A09BA">
        <w:t>for</w:t>
      </w:r>
      <w:r w:rsidR="00BC4BB4" w:rsidRPr="009A09BA">
        <w:t xml:space="preserve"> the item </w:t>
      </w:r>
      <w:r w:rsidR="00F77647" w:rsidRPr="009A09BA">
        <w:t>in Schedule 1</w:t>
      </w:r>
      <w:r w:rsidR="003F7D22">
        <w:t>,</w:t>
      </w:r>
      <w:r w:rsidR="00F77647" w:rsidRPr="009A09BA">
        <w:t xml:space="preserve"> together with </w:t>
      </w:r>
      <w:r w:rsidR="00BC4BB4" w:rsidRPr="009A09BA">
        <w:t xml:space="preserve">any </w:t>
      </w:r>
      <w:r w:rsidR="00456952" w:rsidRPr="009A09BA">
        <w:t xml:space="preserve">other </w:t>
      </w:r>
      <w:r w:rsidR="00BC4BB4" w:rsidRPr="009A09BA">
        <w:t>adjustments</w:t>
      </w:r>
      <w:r w:rsidR="00F77647" w:rsidRPr="009A09BA">
        <w:t xml:space="preserve"> t</w:t>
      </w:r>
      <w:r w:rsidR="00A30B4B" w:rsidRPr="009A09BA">
        <w:t>hat have been made t</w:t>
      </w:r>
      <w:r w:rsidR="00F77647" w:rsidRPr="009A09BA">
        <w:t>o that amount</w:t>
      </w:r>
      <w:r w:rsidR="00A30B4B" w:rsidRPr="009A09BA">
        <w:t>.</w:t>
      </w:r>
    </w:p>
    <w:p w:rsidR="00104960" w:rsidRDefault="00F7123F" w:rsidP="004D1404">
      <w:pPr>
        <w:pStyle w:val="NumberList"/>
      </w:pPr>
      <w:r w:rsidRPr="009A09BA">
        <w:t>Sub</w:t>
      </w:r>
      <w:r w:rsidR="00102D30">
        <w:t>paragraph</w:t>
      </w:r>
      <w:r w:rsidRPr="009A09BA">
        <w:t xml:space="preserve"> </w:t>
      </w:r>
      <w:r w:rsidR="00A41745" w:rsidRPr="009A09BA">
        <w:t>11(2)</w:t>
      </w:r>
      <w:r w:rsidR="00CA1347">
        <w:t>(a)(</w:t>
      </w:r>
      <w:proofErr w:type="spellStart"/>
      <w:r w:rsidR="00CA1347">
        <w:t>i</w:t>
      </w:r>
      <w:proofErr w:type="spellEnd"/>
      <w:r w:rsidR="00CA1347">
        <w:t>)</w:t>
      </w:r>
      <w:r w:rsidR="00A41745" w:rsidRPr="009A09BA">
        <w:t xml:space="preserve"> retains a power for the Finance Minister to </w:t>
      </w:r>
      <w:r w:rsidR="00A8685E">
        <w:t>make a written determination</w:t>
      </w:r>
      <w:r w:rsidR="00CA1347">
        <w:t xml:space="preserve"> specifying that subclause 11(1) does not apply in relation to the item</w:t>
      </w:r>
      <w:r w:rsidR="00802E13">
        <w:t>.</w:t>
      </w:r>
      <w:r w:rsidR="00CA1347">
        <w:t xml:space="preserve"> </w:t>
      </w:r>
      <w:r w:rsidR="00802E13">
        <w:t>S</w:t>
      </w:r>
      <w:r w:rsidR="00CA1347">
        <w:t>ub</w:t>
      </w:r>
      <w:r w:rsidR="00D51B6F">
        <w:t>paragraph</w:t>
      </w:r>
      <w:r w:rsidR="00CA1347">
        <w:t xml:space="preserve"> 11(2</w:t>
      </w:r>
      <w:proofErr w:type="gramStart"/>
      <w:r w:rsidR="00CA1347">
        <w:t>)(</w:t>
      </w:r>
      <w:proofErr w:type="gramEnd"/>
      <w:r w:rsidR="00CA1347">
        <w:t xml:space="preserve">a)(ii) </w:t>
      </w:r>
      <w:r w:rsidR="00802E13">
        <w:t xml:space="preserve">enables the Finance Minister </w:t>
      </w:r>
      <w:r w:rsidR="00CA1347">
        <w:t xml:space="preserve">to </w:t>
      </w:r>
      <w:r w:rsidRPr="009A09BA">
        <w:t xml:space="preserve">determine that an </w:t>
      </w:r>
      <w:r w:rsidR="00F80D19" w:rsidRPr="009A09BA">
        <w:t xml:space="preserve">amount published in </w:t>
      </w:r>
      <w:r w:rsidR="000732FF" w:rsidRPr="009A09BA">
        <w:t xml:space="preserve">the </w:t>
      </w:r>
      <w:r w:rsidR="00F80D19" w:rsidRPr="009A09BA">
        <w:t xml:space="preserve">financial statements </w:t>
      </w:r>
      <w:r w:rsidR="000732FF" w:rsidRPr="009A09BA">
        <w:t>of an agency</w:t>
      </w:r>
      <w:r w:rsidR="00290D62">
        <w:t>,</w:t>
      </w:r>
      <w:r w:rsidR="000732FF" w:rsidRPr="009A09BA">
        <w:t xml:space="preserve"> </w:t>
      </w:r>
      <w:r w:rsidRPr="009A09BA">
        <w:t>is</w:t>
      </w:r>
      <w:r w:rsidR="00A04140">
        <w:t> </w:t>
      </w:r>
      <w:r w:rsidR="00F77647" w:rsidRPr="009A09BA">
        <w:t xml:space="preserve">taken to be </w:t>
      </w:r>
      <w:r w:rsidR="00F80D19" w:rsidRPr="009A09BA">
        <w:t>the amount specified in his</w:t>
      </w:r>
      <w:r w:rsidR="005A1F5C" w:rsidRPr="009A09BA">
        <w:t xml:space="preserve"> or her</w:t>
      </w:r>
      <w:r w:rsidR="00F80D19" w:rsidRPr="009A09BA">
        <w:t xml:space="preserve"> determination</w:t>
      </w:r>
      <w:r w:rsidR="00134560" w:rsidRPr="009A09BA">
        <w:t>.</w:t>
      </w:r>
      <w:r w:rsidR="00441D5D">
        <w:t xml:space="preserve"> </w:t>
      </w:r>
      <w:r w:rsidR="00134560" w:rsidRPr="009A09BA">
        <w:t xml:space="preserve">The power in </w:t>
      </w:r>
      <w:r w:rsidR="00D51B6F">
        <w:t>sub</w:t>
      </w:r>
      <w:r w:rsidR="00134560" w:rsidRPr="009A09BA">
        <w:t>paragraph</w:t>
      </w:r>
      <w:r w:rsidR="00F77647" w:rsidRPr="009A09BA">
        <w:t> </w:t>
      </w:r>
      <w:r w:rsidR="00134560" w:rsidRPr="009A09BA">
        <w:t>11(2)(</w:t>
      </w:r>
      <w:r w:rsidR="00802E13">
        <w:t>a</w:t>
      </w:r>
      <w:r w:rsidR="00134560" w:rsidRPr="009A09BA">
        <w:t>)</w:t>
      </w:r>
      <w:r w:rsidR="00802E13">
        <w:t>(ii)</w:t>
      </w:r>
      <w:r w:rsidR="00134560" w:rsidRPr="009A09BA">
        <w:t xml:space="preserve"> is </w:t>
      </w:r>
      <w:r w:rsidR="00F77647" w:rsidRPr="009A09BA">
        <w:t xml:space="preserve">to </w:t>
      </w:r>
      <w:r w:rsidR="00134560" w:rsidRPr="009A09BA">
        <w:t xml:space="preserve">ensure that </w:t>
      </w:r>
      <w:r w:rsidR="00F77647" w:rsidRPr="009A09BA">
        <w:t xml:space="preserve">the amount published for the administered item </w:t>
      </w:r>
      <w:r w:rsidR="00802E13">
        <w:t>in an agency annual report</w:t>
      </w:r>
      <w:r w:rsidR="00802E13" w:rsidRPr="009A09BA">
        <w:t xml:space="preserve"> </w:t>
      </w:r>
      <w:r w:rsidR="00F77647" w:rsidRPr="009A09BA">
        <w:t>can be</w:t>
      </w:r>
      <w:r w:rsidR="00134560" w:rsidRPr="009A09BA">
        <w:t xml:space="preserve"> corrected</w:t>
      </w:r>
      <w:r w:rsidR="00802E13">
        <w:t xml:space="preserve"> through the determination </w:t>
      </w:r>
      <w:r w:rsidR="00F80D19" w:rsidRPr="009A09BA">
        <w:t>if</w:t>
      </w:r>
      <w:r w:rsidR="006A6B0B" w:rsidRPr="009A09BA">
        <w:t xml:space="preserve">, for example, </w:t>
      </w:r>
      <w:r w:rsidR="00456952" w:rsidRPr="009A09BA">
        <w:t xml:space="preserve">the amount </w:t>
      </w:r>
      <w:r w:rsidR="00C332E1">
        <w:t xml:space="preserve">published </w:t>
      </w:r>
      <w:r w:rsidR="00456952" w:rsidRPr="009A09BA">
        <w:t xml:space="preserve">is </w:t>
      </w:r>
      <w:r w:rsidR="00314F68">
        <w:t>erroneous. Additionally, the p</w:t>
      </w:r>
      <w:r w:rsidR="00802E13">
        <w:t xml:space="preserve">ower in </w:t>
      </w:r>
      <w:r w:rsidR="00D51B6F">
        <w:t xml:space="preserve">paragraph </w:t>
      </w:r>
      <w:r w:rsidR="00802E13">
        <w:t>11(2</w:t>
      </w:r>
      <w:proofErr w:type="gramStart"/>
      <w:r w:rsidR="00802E13">
        <w:t>)(</w:t>
      </w:r>
      <w:proofErr w:type="gramEnd"/>
      <w:r w:rsidR="00802E13">
        <w:t>b) is to provide the Finance Minister with the capacity to make</w:t>
      </w:r>
      <w:r w:rsidR="00441D5D">
        <w:t xml:space="preserve"> </w:t>
      </w:r>
      <w:r w:rsidR="00802E13">
        <w:t>a written determination in those cases where an agency has failed to specify a required amount</w:t>
      </w:r>
      <w:r w:rsidR="00EC4C6B">
        <w:t xml:space="preserve"> in its annual report. </w:t>
      </w:r>
      <w:r w:rsidR="00C332E1">
        <w:t>In those cases t</w:t>
      </w:r>
      <w:r w:rsidR="00EC4C6B">
        <w:t>he amount specified in the determination as the required amount will be taken to be the required amount for the purposes of subclause 11(1).</w:t>
      </w:r>
    </w:p>
    <w:p w:rsidR="00104960" w:rsidRDefault="00134560" w:rsidP="0075741D">
      <w:pPr>
        <w:pStyle w:val="NumberList"/>
      </w:pPr>
      <w:r w:rsidRPr="009A09BA">
        <w:t xml:space="preserve">Subclause 11(3) provides that a determination made </w:t>
      </w:r>
      <w:r w:rsidR="00F64E1D">
        <w:t xml:space="preserve">under </w:t>
      </w:r>
      <w:r w:rsidR="00F64E1D" w:rsidRPr="009A09BA">
        <w:t>subclause</w:t>
      </w:r>
      <w:r w:rsidRPr="009A09BA">
        <w:t> 11</w:t>
      </w:r>
      <w:r w:rsidR="00CF6474" w:rsidRPr="009A09BA">
        <w:t>(2) is a legislative instrument.</w:t>
      </w:r>
    </w:p>
    <w:p w:rsidR="00104960" w:rsidRDefault="00134560" w:rsidP="0075741D">
      <w:pPr>
        <w:pStyle w:val="NumberList"/>
      </w:pPr>
      <w:r w:rsidRPr="009A09BA">
        <w:t xml:space="preserve">Despite subsection 44(2) of the </w:t>
      </w:r>
      <w:r w:rsidR="00000441" w:rsidRPr="009A09BA">
        <w:t>LI Act</w:t>
      </w:r>
      <w:r w:rsidRPr="00760D52">
        <w:rPr>
          <w:i/>
        </w:rPr>
        <w:t>,</w:t>
      </w:r>
      <w:r w:rsidRPr="009A09BA">
        <w:t xml:space="preserve"> which provides that instrument</w:t>
      </w:r>
      <w:r w:rsidR="00EE4598" w:rsidRPr="009A09BA">
        <w:t>s</w:t>
      </w:r>
      <w:r w:rsidRPr="009A09BA">
        <w:t xml:space="preserve"> made under </w:t>
      </w:r>
      <w:r w:rsidR="000767DF" w:rsidRPr="009A09BA">
        <w:t>a</w:t>
      </w:r>
      <w:r w:rsidRPr="009A09BA">
        <w:t xml:space="preserve">nnual </w:t>
      </w:r>
      <w:r w:rsidR="0044710C" w:rsidRPr="009A09BA">
        <w:t>A</w:t>
      </w:r>
      <w:r w:rsidR="000767DF" w:rsidRPr="009A09BA">
        <w:t xml:space="preserve">ppropriation </w:t>
      </w:r>
      <w:r w:rsidR="0044710C" w:rsidRPr="009A09BA">
        <w:t>A</w:t>
      </w:r>
      <w:r w:rsidR="000767DF" w:rsidRPr="009A09BA">
        <w:t>ct</w:t>
      </w:r>
      <w:r w:rsidRPr="009A09BA">
        <w:t xml:space="preserve">s are not subject to disallowance, subclause 11(3) provides that a determination regarding an administered item is subject to disallowance in accordance with section 42 of the </w:t>
      </w:r>
      <w:r w:rsidR="00000441" w:rsidRPr="009A09BA">
        <w:t>LI Act</w:t>
      </w:r>
      <w:r w:rsidRPr="009A09BA">
        <w:t>.</w:t>
      </w:r>
      <w:r w:rsidR="00441D5D">
        <w:t xml:space="preserve"> </w:t>
      </w:r>
      <w:r w:rsidR="00BE3C48" w:rsidRPr="009A09BA">
        <w:t>Parliament retains the power to disallow a determination to reduce a</w:t>
      </w:r>
      <w:r w:rsidR="00A2570F">
        <w:t>n administered</w:t>
      </w:r>
      <w:r w:rsidR="00BE3C48" w:rsidRPr="009A09BA">
        <w:t xml:space="preserve"> item because any such determination will reduce the amount of an appropriation authorised by Parliament.</w:t>
      </w:r>
      <w:r w:rsidR="00441D5D">
        <w:t xml:space="preserve"> </w:t>
      </w:r>
      <w:r w:rsidRPr="009A09BA">
        <w:t>Subclause 1</w:t>
      </w:r>
      <w:r w:rsidR="002C2A4B" w:rsidRPr="009A09BA">
        <w:t>1</w:t>
      </w:r>
      <w:r w:rsidRPr="009A09BA">
        <w:t>(</w:t>
      </w:r>
      <w:r w:rsidR="002C2A4B" w:rsidRPr="009A09BA">
        <w:t>3</w:t>
      </w:r>
      <w:r w:rsidRPr="009A09BA">
        <w:t xml:space="preserve">) also confirms subsection 54(2) of the </w:t>
      </w:r>
      <w:r w:rsidR="00000441" w:rsidRPr="009A09BA">
        <w:t>LI Act</w:t>
      </w:r>
      <w:r w:rsidRPr="00760D52">
        <w:rPr>
          <w:i/>
        </w:rPr>
        <w:t>,</w:t>
      </w:r>
      <w:r w:rsidRPr="009A09BA">
        <w:t xml:space="preserve"> which provides that instrument</w:t>
      </w:r>
      <w:r w:rsidR="009C6825" w:rsidRPr="009A09BA">
        <w:t>s</w:t>
      </w:r>
      <w:r w:rsidRPr="009A09BA">
        <w:t xml:space="preserve"> made under </w:t>
      </w:r>
      <w:r w:rsidR="000767DF" w:rsidRPr="009A09BA">
        <w:t>a</w:t>
      </w:r>
      <w:r w:rsidRPr="009A09BA">
        <w:t xml:space="preserve">nnual </w:t>
      </w:r>
      <w:r w:rsidR="0044710C" w:rsidRPr="009A09BA">
        <w:t>A</w:t>
      </w:r>
      <w:r w:rsidR="000767DF" w:rsidRPr="009A09BA">
        <w:t xml:space="preserve">ppropriation </w:t>
      </w:r>
      <w:r w:rsidR="0044710C" w:rsidRPr="009A09BA">
        <w:t>A</w:t>
      </w:r>
      <w:r w:rsidR="000767DF" w:rsidRPr="009A09BA">
        <w:t>ct</w:t>
      </w:r>
      <w:r w:rsidRPr="009A09BA">
        <w:t xml:space="preserve">s </w:t>
      </w:r>
      <w:r w:rsidRPr="00290D62">
        <w:t xml:space="preserve">are not subject to </w:t>
      </w:r>
      <w:proofErr w:type="spellStart"/>
      <w:r w:rsidR="00F807C3" w:rsidRPr="00290D62">
        <w:t>sunsetting</w:t>
      </w:r>
      <w:proofErr w:type="spellEnd"/>
      <w:r w:rsidR="00F807C3" w:rsidRPr="00290D62">
        <w:t>.</w:t>
      </w:r>
    </w:p>
    <w:p w:rsidR="00104960" w:rsidRDefault="0040733E">
      <w:pPr>
        <w:pStyle w:val="Heading3"/>
      </w:pPr>
      <w:r w:rsidRPr="009A09BA">
        <w:t xml:space="preserve">Clause 12—Reducing </w:t>
      </w:r>
      <w:r w:rsidR="002C2A4B" w:rsidRPr="009A09BA">
        <w:t xml:space="preserve">CAC Act body </w:t>
      </w:r>
      <w:r w:rsidRPr="009A09BA">
        <w:t>payment items</w:t>
      </w:r>
    </w:p>
    <w:p w:rsidR="006454CA" w:rsidRDefault="00EB6199" w:rsidP="003641D0">
      <w:pPr>
        <w:pStyle w:val="NumberList"/>
        <w:sectPr w:rsidR="006454CA" w:rsidSect="00D470F7">
          <w:footerReference w:type="default" r:id="rId30"/>
          <w:type w:val="continuous"/>
          <w:pgSz w:w="11907" w:h="16840" w:code="9"/>
          <w:pgMar w:top="1701" w:right="1985" w:bottom="1701" w:left="1985" w:header="1418" w:footer="1418" w:gutter="0"/>
          <w:cols w:space="708"/>
          <w:docGrid w:linePitch="360"/>
        </w:sectPr>
      </w:pPr>
      <w:r w:rsidRPr="009A09BA">
        <w:t xml:space="preserve">Clause 12 </w:t>
      </w:r>
      <w:r w:rsidR="00DF676C" w:rsidRPr="009A09BA">
        <w:t>provides</w:t>
      </w:r>
      <w:r w:rsidRPr="009A09BA">
        <w:t xml:space="preserve"> a process for reducing CAC Act body payment items</w:t>
      </w:r>
      <w:r w:rsidR="00290D62">
        <w:t xml:space="preserve">, which is similar </w:t>
      </w:r>
      <w:r w:rsidR="003F7D22">
        <w:t xml:space="preserve">to that </w:t>
      </w:r>
      <w:r w:rsidRPr="009A09BA">
        <w:t>for reducing departmental items.</w:t>
      </w:r>
      <w:r w:rsidR="00441D5D">
        <w:t xml:space="preserve"> </w:t>
      </w:r>
      <w:r w:rsidR="00C332E1">
        <w:t>Paragraph 12(1</w:t>
      </w:r>
      <w:proofErr w:type="gramStart"/>
      <w:r w:rsidR="00C332E1">
        <w:t>)(</w:t>
      </w:r>
      <w:proofErr w:type="gramEnd"/>
      <w:r w:rsidR="00C332E1">
        <w:t>a) enables the Prime Minister</w:t>
      </w:r>
      <w:r w:rsidR="00807EB1">
        <w:t>, or a Minister acting on behalf of the Prime Minister,</w:t>
      </w:r>
      <w:r w:rsidR="00C332E1">
        <w:t xml:space="preserve"> to request that the Finance Minister reduce a CAC</w:t>
      </w:r>
      <w:r w:rsidR="00102D30">
        <w:t> </w:t>
      </w:r>
      <w:r w:rsidR="00C332E1">
        <w:t xml:space="preserve">Act body payment item. </w:t>
      </w:r>
      <w:r w:rsidR="009B5EE2">
        <w:t>Paragraph</w:t>
      </w:r>
      <w:r w:rsidR="00C332E1">
        <w:t xml:space="preserve"> 12(1</w:t>
      </w:r>
      <w:proofErr w:type="gramStart"/>
      <w:r w:rsidR="00C332E1">
        <w:t>)(</w:t>
      </w:r>
      <w:proofErr w:type="gramEnd"/>
      <w:r w:rsidR="00807EB1">
        <w:t>b</w:t>
      </w:r>
      <w:r w:rsidR="00C332E1">
        <w:t>)</w:t>
      </w:r>
      <w:r w:rsidR="00F77647" w:rsidRPr="009A09BA">
        <w:t xml:space="preserve"> </w:t>
      </w:r>
      <w:r w:rsidRPr="009A09BA">
        <w:t>enables</w:t>
      </w:r>
      <w:r w:rsidR="00F77647" w:rsidRPr="009A09BA">
        <w:t xml:space="preserve"> </w:t>
      </w:r>
      <w:r w:rsidR="00EA5C86" w:rsidRPr="009A09BA">
        <w:t xml:space="preserve">a </w:t>
      </w:r>
      <w:r w:rsidR="00467930" w:rsidRPr="009A09BA">
        <w:t xml:space="preserve">Minister responsible for a </w:t>
      </w:r>
      <w:r w:rsidR="00EA5C86" w:rsidRPr="009A09BA">
        <w:t>CAC Act body</w:t>
      </w:r>
      <w:r w:rsidR="00EA5589" w:rsidRPr="009A09BA">
        <w:t>,</w:t>
      </w:r>
      <w:r w:rsidR="009B5EE2">
        <w:t xml:space="preserve"> to request that the Finance Minister reduce a CAC Act body payment item. Paragraph 12(1</w:t>
      </w:r>
      <w:proofErr w:type="gramStart"/>
      <w:r w:rsidR="009B5EE2">
        <w:t>)(</w:t>
      </w:r>
      <w:proofErr w:type="gramEnd"/>
      <w:r w:rsidR="00807EB1">
        <w:t>c</w:t>
      </w:r>
      <w:r w:rsidR="009B5EE2">
        <w:t>)</w:t>
      </w:r>
      <w:r w:rsidR="00EA5589" w:rsidRPr="009A09BA">
        <w:t xml:space="preserve"> </w:t>
      </w:r>
      <w:r w:rsidR="009B5EE2">
        <w:t xml:space="preserve">enables the Secretary of the Department </w:t>
      </w:r>
      <w:r w:rsidR="00DA1657">
        <w:t xml:space="preserve">of Finance and Deregulation </w:t>
      </w:r>
      <w:r w:rsidR="009B5EE2">
        <w:t>to request a reduction for a CAC Act body payment item for a body which the Finance Minister is responsible.</w:t>
      </w:r>
      <w:r w:rsidR="00441D5D">
        <w:t xml:space="preserve"> </w:t>
      </w:r>
      <w:r w:rsidR="0057729E" w:rsidRPr="009A09BA">
        <w:t>Subclause 1</w:t>
      </w:r>
      <w:r w:rsidR="0057729E">
        <w:t>2</w:t>
      </w:r>
      <w:r w:rsidR="0057729E" w:rsidRPr="009A09BA">
        <w:t>(</w:t>
      </w:r>
      <w:r w:rsidR="009B5EE2">
        <w:t>7</w:t>
      </w:r>
      <w:r w:rsidR="0057729E" w:rsidRPr="009A09BA">
        <w:t>) assists readers by noting that a request under subclause 1</w:t>
      </w:r>
      <w:r w:rsidR="0057729E">
        <w:t>2</w:t>
      </w:r>
      <w:r w:rsidR="0057729E" w:rsidRPr="009A09BA">
        <w:t xml:space="preserve">(1) is not a legislative instrument within the meaning of section 5 of the </w:t>
      </w:r>
      <w:r w:rsidR="0057729E">
        <w:t xml:space="preserve">LI </w:t>
      </w:r>
      <w:r w:rsidR="0057729E" w:rsidRPr="00290D62">
        <w:t>Act</w:t>
      </w:r>
      <w:r w:rsidR="00AC6E63" w:rsidRPr="00290D62">
        <w:t xml:space="preserve">, on the basis that it is requesting a determination </w:t>
      </w:r>
      <w:r w:rsidR="00622C2B">
        <w:t xml:space="preserve">under subclause 12(2) </w:t>
      </w:r>
      <w:r w:rsidR="00AC6E63" w:rsidRPr="00290D62">
        <w:t>to be made and it is the determination that has substantive effect.</w:t>
      </w:r>
    </w:p>
    <w:p w:rsidR="00104960" w:rsidRDefault="00F77647" w:rsidP="0075741D">
      <w:pPr>
        <w:pStyle w:val="NumberList"/>
      </w:pPr>
      <w:r w:rsidRPr="009A09BA">
        <w:t>Subclause 1</w:t>
      </w:r>
      <w:r w:rsidR="00EA5C86" w:rsidRPr="009A09BA">
        <w:t>2</w:t>
      </w:r>
      <w:r w:rsidRPr="009A09BA">
        <w:t xml:space="preserve">(2) enables the Finance Minister </w:t>
      </w:r>
      <w:r w:rsidR="00EA5C86" w:rsidRPr="009A09BA">
        <w:t xml:space="preserve">to </w:t>
      </w:r>
      <w:r w:rsidRPr="009A09BA">
        <w:t xml:space="preserve">make a written determination to reduce a </w:t>
      </w:r>
      <w:r w:rsidR="00EA5C86" w:rsidRPr="009A09BA">
        <w:t xml:space="preserve">CAC Act body payment </w:t>
      </w:r>
      <w:r w:rsidR="00EB6199" w:rsidRPr="009A09BA">
        <w:t>item.</w:t>
      </w:r>
      <w:r w:rsidR="00441D5D">
        <w:t xml:space="preserve"> </w:t>
      </w:r>
      <w:r w:rsidR="00EB6199" w:rsidRPr="009A09BA">
        <w:t xml:space="preserve">The Finance Minister is not obliged to act on a request to reduce </w:t>
      </w:r>
      <w:r w:rsidR="00F73009">
        <w:t>a</w:t>
      </w:r>
      <w:r w:rsidR="00EB6199" w:rsidRPr="009A09BA">
        <w:t xml:space="preserve"> CAC Act body payment</w:t>
      </w:r>
      <w:r w:rsidR="00F73009">
        <w:t xml:space="preserve"> item</w:t>
      </w:r>
      <w:r w:rsidR="00EB6199" w:rsidRPr="009A09BA">
        <w:t>.</w:t>
      </w:r>
      <w:r w:rsidR="00F43A02" w:rsidRPr="009A09BA">
        <w:t xml:space="preserve"> </w:t>
      </w:r>
      <w:r w:rsidR="00EB6199" w:rsidRPr="009A09BA">
        <w:t>However, if the Finance Minister does:</w:t>
      </w:r>
    </w:p>
    <w:p w:rsidR="00104960" w:rsidRDefault="00EB6199" w:rsidP="00782FA4">
      <w:pPr>
        <w:pStyle w:val="Bullet"/>
        <w:spacing w:before="120"/>
      </w:pPr>
      <w:r w:rsidRPr="009A09BA">
        <w:t xml:space="preserve">the determination </w:t>
      </w:r>
      <w:r w:rsidR="007272EB">
        <w:t xml:space="preserve">must be for the </w:t>
      </w:r>
      <w:r w:rsidRPr="009A09BA">
        <w:t>amount specified in the request</w:t>
      </w:r>
      <w:r w:rsidR="00C053F9" w:rsidRPr="009A09BA">
        <w:t>:</w:t>
      </w:r>
      <w:r w:rsidRPr="009A09BA">
        <w:t xml:space="preserve"> subclause</w:t>
      </w:r>
      <w:r w:rsidR="00C053F9" w:rsidRPr="009A09BA">
        <w:t> </w:t>
      </w:r>
      <w:r w:rsidRPr="009A09BA">
        <w:t>12(2);</w:t>
      </w:r>
    </w:p>
    <w:p w:rsidR="00104960" w:rsidRDefault="00000441" w:rsidP="00782FA4">
      <w:pPr>
        <w:pStyle w:val="Bullet"/>
        <w:spacing w:before="120"/>
      </w:pPr>
      <w:r w:rsidRPr="009A09BA">
        <w:t>the determination may not reduce the CAC Act body payment item below nil: subclause 12(3); and</w:t>
      </w:r>
    </w:p>
    <w:p w:rsidR="00104960" w:rsidRDefault="00EB6199" w:rsidP="00782FA4">
      <w:pPr>
        <w:pStyle w:val="Bullet"/>
        <w:spacing w:before="120"/>
      </w:pPr>
      <w:proofErr w:type="gramStart"/>
      <w:r w:rsidRPr="009A09BA">
        <w:t>the</w:t>
      </w:r>
      <w:proofErr w:type="gramEnd"/>
      <w:r w:rsidRPr="009A09BA">
        <w:t xml:space="preserve"> </w:t>
      </w:r>
      <w:r w:rsidR="00E73EE0" w:rsidRPr="009A09BA">
        <w:t xml:space="preserve">CAC Act body payment </w:t>
      </w:r>
      <w:r w:rsidRPr="009A09BA">
        <w:t xml:space="preserve">item in Schedule 1 will be taken to be reduced in accordance with the determination of the </w:t>
      </w:r>
      <w:r w:rsidR="00000441" w:rsidRPr="009A09BA">
        <w:t>Finance Minister: subclause 12(4).</w:t>
      </w:r>
    </w:p>
    <w:p w:rsidR="009B5EE2" w:rsidRDefault="009B5EE2" w:rsidP="009B5EE2">
      <w:pPr>
        <w:pStyle w:val="NumberList"/>
      </w:pPr>
      <w:r>
        <w:t>Subclause 12(5) provides</w:t>
      </w:r>
      <w:r w:rsidRPr="009B5EE2">
        <w:t xml:space="preserve"> </w:t>
      </w:r>
      <w:r>
        <w:t>that a determination made under subclause</w:t>
      </w:r>
      <w:r w:rsidR="001442D9">
        <w:t> </w:t>
      </w:r>
      <w:r>
        <w:t>12(2) once made, must not be rescinded, revoked, amended or varied</w:t>
      </w:r>
      <w:r w:rsidR="00230124">
        <w:t xml:space="preserve">, </w:t>
      </w:r>
      <w:r w:rsidR="009F7502">
        <w:t>other than to correct an error</w:t>
      </w:r>
      <w:r>
        <w:t>. Subclause</w:t>
      </w:r>
      <w:r w:rsidR="001442D9">
        <w:t> </w:t>
      </w:r>
      <w:r>
        <w:t>12(5) applies despite subsection 33(3) of the AI Act. This subclause intends to exclude the operation of subsection 33(3) of the AI Act from determinations made under subclause 12(2). The purpose of subclause</w:t>
      </w:r>
      <w:r w:rsidR="001442D9">
        <w:t> </w:t>
      </w:r>
      <w:r>
        <w:t>12(5) is to ensure that the CAC Act body payment item appropriation, when reduced under subclause 12(2), cannot be restored by means of a later determination.</w:t>
      </w:r>
    </w:p>
    <w:p w:rsidR="00104960" w:rsidRDefault="00EA5C86" w:rsidP="001F6065">
      <w:pPr>
        <w:pStyle w:val="NumberList"/>
      </w:pPr>
      <w:r w:rsidRPr="009A09BA">
        <w:t>Subclause 12(</w:t>
      </w:r>
      <w:r w:rsidR="009B5EE2">
        <w:t>6</w:t>
      </w:r>
      <w:r w:rsidRPr="009A09BA">
        <w:t xml:space="preserve">) </w:t>
      </w:r>
      <w:r w:rsidR="00BF7F63">
        <w:t>provides</w:t>
      </w:r>
      <w:r w:rsidRPr="009A09BA">
        <w:t xml:space="preserve"> that the full amount that is required to be paid to a CAC Act body by subclause 9(2) of the </w:t>
      </w:r>
      <w:proofErr w:type="gramStart"/>
      <w:r w:rsidRPr="009A09BA">
        <w:t>Bill</w:t>
      </w:r>
      <w:r w:rsidR="00290D62">
        <w:t>,</w:t>
      </w:r>
      <w:proofErr w:type="gramEnd"/>
      <w:r w:rsidRPr="009A09BA">
        <w:t xml:space="preserve"> may be reduced in accordance with this clause 12.</w:t>
      </w:r>
    </w:p>
    <w:p w:rsidR="00104960" w:rsidRDefault="00F77647" w:rsidP="0075741D">
      <w:pPr>
        <w:pStyle w:val="NumberList"/>
      </w:pPr>
      <w:r w:rsidRPr="009A09BA">
        <w:t>Subclause 1</w:t>
      </w:r>
      <w:r w:rsidR="00EA5C86" w:rsidRPr="009A09BA">
        <w:t>2</w:t>
      </w:r>
      <w:r w:rsidRPr="009A09BA">
        <w:t>(</w:t>
      </w:r>
      <w:r w:rsidR="009B5EE2">
        <w:t>8</w:t>
      </w:r>
      <w:r w:rsidRPr="009A09BA">
        <w:t xml:space="preserve">) </w:t>
      </w:r>
      <w:r w:rsidR="00BF7F63">
        <w:t>provides</w:t>
      </w:r>
      <w:r w:rsidRPr="009A09BA">
        <w:t xml:space="preserve"> that a determination made under subclause</w:t>
      </w:r>
      <w:r w:rsidR="00EA5C86" w:rsidRPr="009A09BA">
        <w:t> </w:t>
      </w:r>
      <w:r w:rsidRPr="009A09BA">
        <w:t>1</w:t>
      </w:r>
      <w:r w:rsidR="00EA5C86" w:rsidRPr="009A09BA">
        <w:t>2</w:t>
      </w:r>
      <w:r w:rsidR="00840E65" w:rsidRPr="009A09BA">
        <w:t>(2) is a legislative instrument.</w:t>
      </w:r>
    </w:p>
    <w:p w:rsidR="006454CA" w:rsidRDefault="00F77647" w:rsidP="0075741D">
      <w:pPr>
        <w:pStyle w:val="NumberList"/>
        <w:sectPr w:rsidR="006454CA" w:rsidSect="00D470F7">
          <w:footerReference w:type="default" r:id="rId31"/>
          <w:type w:val="continuous"/>
          <w:pgSz w:w="11907" w:h="16840" w:code="9"/>
          <w:pgMar w:top="1701" w:right="1985" w:bottom="1701" w:left="1985" w:header="1418" w:footer="1418" w:gutter="0"/>
          <w:cols w:space="708"/>
          <w:docGrid w:linePitch="360"/>
        </w:sectPr>
      </w:pPr>
      <w:r w:rsidRPr="009A09BA">
        <w:t xml:space="preserve">Despite subsection 44(2) of the </w:t>
      </w:r>
      <w:r w:rsidR="00000441" w:rsidRPr="009A09BA">
        <w:t>LI Act</w:t>
      </w:r>
      <w:r w:rsidRPr="004B32D3">
        <w:t>,</w:t>
      </w:r>
      <w:r w:rsidRPr="009A09BA">
        <w:t xml:space="preserve"> which provides that instrument</w:t>
      </w:r>
      <w:r w:rsidR="00EE4598" w:rsidRPr="009A09BA">
        <w:t>s</w:t>
      </w:r>
      <w:r w:rsidRPr="009A09BA">
        <w:t xml:space="preserve"> made under </w:t>
      </w:r>
      <w:r w:rsidR="000767DF" w:rsidRPr="009A09BA">
        <w:t>a</w:t>
      </w:r>
      <w:r w:rsidRPr="009A09BA">
        <w:t xml:space="preserve">nnual </w:t>
      </w:r>
      <w:r w:rsidR="0044710C" w:rsidRPr="009A09BA">
        <w:t>A</w:t>
      </w:r>
      <w:r w:rsidR="000767DF" w:rsidRPr="009A09BA">
        <w:t xml:space="preserve">ppropriation </w:t>
      </w:r>
      <w:r w:rsidR="0044710C" w:rsidRPr="009A09BA">
        <w:t>A</w:t>
      </w:r>
      <w:r w:rsidR="000767DF" w:rsidRPr="009A09BA">
        <w:t>ct</w:t>
      </w:r>
      <w:r w:rsidRPr="009A09BA">
        <w:t>s are not subject to disallowance, subclause</w:t>
      </w:r>
      <w:r w:rsidR="00840E65" w:rsidRPr="009A09BA">
        <w:t> </w:t>
      </w:r>
      <w:r w:rsidRPr="009A09BA">
        <w:t>1</w:t>
      </w:r>
      <w:r w:rsidR="002C2A4B" w:rsidRPr="009A09BA">
        <w:t>2</w:t>
      </w:r>
      <w:r w:rsidRPr="009A09BA">
        <w:t>(</w:t>
      </w:r>
      <w:r w:rsidR="009B5EE2">
        <w:t>8</w:t>
      </w:r>
      <w:r w:rsidRPr="009A09BA">
        <w:t xml:space="preserve">) provides that a determination reducing a </w:t>
      </w:r>
      <w:bookmarkStart w:id="16" w:name="OLE_LINK6"/>
      <w:bookmarkStart w:id="17" w:name="OLE_LINK7"/>
      <w:r w:rsidR="002C2A4B" w:rsidRPr="009A09BA">
        <w:t xml:space="preserve">CAC Act body payment </w:t>
      </w:r>
      <w:bookmarkEnd w:id="16"/>
      <w:bookmarkEnd w:id="17"/>
      <w:r w:rsidR="00063F91" w:rsidRPr="009A09BA">
        <w:t xml:space="preserve">item </w:t>
      </w:r>
      <w:r w:rsidRPr="009A09BA">
        <w:t xml:space="preserve">is subject to disallowance in accordance with section 42 of the </w:t>
      </w:r>
      <w:r w:rsidR="00000441" w:rsidRPr="009A09BA">
        <w:t>LI Act</w:t>
      </w:r>
      <w:r w:rsidRPr="009A09BA">
        <w:t>.</w:t>
      </w:r>
      <w:r w:rsidR="00F43A02" w:rsidRPr="009A09BA">
        <w:t xml:space="preserve"> </w:t>
      </w:r>
      <w:r w:rsidR="00BE3C48" w:rsidRPr="009A09BA">
        <w:t xml:space="preserve">Parliament retains the power to disallow a determination to reduce a </w:t>
      </w:r>
      <w:r w:rsidR="001F655F">
        <w:t>CAC Act body payment</w:t>
      </w:r>
      <w:r w:rsidR="00BE3C48" w:rsidRPr="009A09BA">
        <w:t xml:space="preserve"> item because any such determination will reduce the amount of an appropriation authorised by Parliament.</w:t>
      </w:r>
      <w:r w:rsidR="00441D5D">
        <w:t xml:space="preserve"> </w:t>
      </w:r>
      <w:r w:rsidR="00840E65" w:rsidRPr="009A09BA">
        <w:t>Subclause</w:t>
      </w:r>
      <w:r w:rsidR="00BE3C48" w:rsidRPr="009A09BA">
        <w:t> </w:t>
      </w:r>
      <w:r w:rsidR="00840E65" w:rsidRPr="009A09BA">
        <w:t>12(</w:t>
      </w:r>
      <w:r w:rsidR="009B5EE2">
        <w:t>8</w:t>
      </w:r>
      <w:r w:rsidR="00840E65" w:rsidRPr="009A09BA">
        <w:t>) also confirms subsection</w:t>
      </w:r>
      <w:r w:rsidR="00BE3C48" w:rsidRPr="009A09BA">
        <w:t> </w:t>
      </w:r>
      <w:r w:rsidR="00840E65" w:rsidRPr="009A09BA">
        <w:t xml:space="preserve">54(2) of the </w:t>
      </w:r>
      <w:r w:rsidR="00000441" w:rsidRPr="009A09BA">
        <w:t>LI Act</w:t>
      </w:r>
      <w:r w:rsidR="00840E65" w:rsidRPr="004B32D3">
        <w:t>,</w:t>
      </w:r>
      <w:r w:rsidR="00840E65" w:rsidRPr="009A09BA">
        <w:t xml:space="preserve"> which provides that instrument</w:t>
      </w:r>
      <w:r w:rsidR="009C6825" w:rsidRPr="009A09BA">
        <w:t>s</w:t>
      </w:r>
      <w:r w:rsidR="00840E65" w:rsidRPr="009A09BA">
        <w:t xml:space="preserve"> made under annual Appropriation Acts are not subject to </w:t>
      </w:r>
      <w:proofErr w:type="spellStart"/>
      <w:r w:rsidR="00840E65" w:rsidRPr="009A09BA">
        <w:t>sunsetting</w:t>
      </w:r>
      <w:proofErr w:type="spellEnd"/>
      <w:r w:rsidR="00840E65" w:rsidRPr="009A09BA">
        <w:t>.</w:t>
      </w:r>
    </w:p>
    <w:p w:rsidR="00104960" w:rsidRDefault="00D14362">
      <w:pPr>
        <w:pStyle w:val="Heading3"/>
      </w:pPr>
      <w:r>
        <w:t>Clause 13</w:t>
      </w:r>
      <w:r w:rsidRPr="00D14362">
        <w:t>—</w:t>
      </w:r>
      <w:r>
        <w:t>Advance to the Finance Minister</w:t>
      </w:r>
    </w:p>
    <w:p w:rsidR="00D14362" w:rsidRDefault="00741545" w:rsidP="0075741D">
      <w:pPr>
        <w:pStyle w:val="NumberList"/>
      </w:pPr>
      <w:r w:rsidRPr="00290D62">
        <w:t xml:space="preserve">Clause </w:t>
      </w:r>
      <w:r w:rsidR="00D14362" w:rsidRPr="00290D62">
        <w:t xml:space="preserve">13 enables the Finance Minister to provide additional appropriations for items when satisfied </w:t>
      </w:r>
      <w:r w:rsidRPr="00290D62">
        <w:t xml:space="preserve">that </w:t>
      </w:r>
      <w:r w:rsidR="00D14362" w:rsidRPr="00290D62">
        <w:t>there is an urgent need for expenditure and the existing appropriation is inadequate.</w:t>
      </w:r>
      <w:r w:rsidR="00441D5D">
        <w:t xml:space="preserve"> </w:t>
      </w:r>
      <w:r w:rsidR="00D14362" w:rsidRPr="00290D62">
        <w:t>This</w:t>
      </w:r>
      <w:r w:rsidR="00D14362">
        <w:t xml:space="preserve"> additional appropriation is referred to as the Advance to the Finance Minister (AFM).</w:t>
      </w:r>
      <w:r w:rsidR="00441D5D">
        <w:t xml:space="preserve"> </w:t>
      </w:r>
      <w:r w:rsidR="00E745FD">
        <w:t>Clause 13</w:t>
      </w:r>
      <w:r w:rsidR="00D14362">
        <w:t xml:space="preserve"> provides that the total amount that can be determined under the AFM provision is $</w:t>
      </w:r>
      <w:r w:rsidR="003D7502" w:rsidRPr="004B32D3">
        <w:t>295</w:t>
      </w:r>
      <w:r w:rsidR="00D14362">
        <w:t xml:space="preserve"> million.</w:t>
      </w:r>
    </w:p>
    <w:p w:rsidR="00441D5D" w:rsidRDefault="00E745FD" w:rsidP="0075741D">
      <w:pPr>
        <w:pStyle w:val="NumberList"/>
      </w:pPr>
      <w:r w:rsidRPr="00E60BC5">
        <w:t>Subclause 1</w:t>
      </w:r>
      <w:r>
        <w:t>3</w:t>
      </w:r>
      <w:r w:rsidRPr="00E60BC5">
        <w:t xml:space="preserve">(1) establishes the criteria </w:t>
      </w:r>
      <w:r>
        <w:t>about which</w:t>
      </w:r>
      <w:r w:rsidRPr="00E60BC5">
        <w:t xml:space="preserve"> the Finance Minister must be satisfied before determin</w:t>
      </w:r>
      <w:r w:rsidR="003F7D22">
        <w:t>ing</w:t>
      </w:r>
      <w:r w:rsidRPr="00E60BC5">
        <w:t xml:space="preserve"> to add an amount to an item of an agency.</w:t>
      </w:r>
      <w:r w:rsidR="00441D5D">
        <w:t xml:space="preserve"> </w:t>
      </w:r>
      <w:r w:rsidRPr="00E60BC5">
        <w:t xml:space="preserve">The Finance Minister will only consider issuing an amount under </w:t>
      </w:r>
      <w:r w:rsidR="001442D9" w:rsidRPr="00E60BC5">
        <w:t>subclause</w:t>
      </w:r>
      <w:r w:rsidR="001442D9">
        <w:t> </w:t>
      </w:r>
      <w:r w:rsidRPr="00E60BC5">
        <w:t>1</w:t>
      </w:r>
      <w:r>
        <w:t>3</w:t>
      </w:r>
      <w:r w:rsidRPr="00E60BC5">
        <w:t xml:space="preserve">(1) if satisfied there is an urgent need for expenditure that is not provided for, or is </w:t>
      </w:r>
      <w:r w:rsidR="009E3FE2">
        <w:t>insufficiently provided for</w:t>
      </w:r>
      <w:r w:rsidR="00290D62">
        <w:t xml:space="preserve"> </w:t>
      </w:r>
      <w:r w:rsidR="009E3FE2">
        <w:t>in </w:t>
      </w:r>
      <w:r w:rsidRPr="00E60BC5">
        <w:t>Schedule</w:t>
      </w:r>
      <w:r>
        <w:t> 1</w:t>
      </w:r>
      <w:r w:rsidR="00290D62">
        <w:t>,</w:t>
      </w:r>
      <w:r w:rsidRPr="00E60BC5">
        <w:t xml:space="preserve"> because of an omission or understatement or because of unforeseen circumstances.</w:t>
      </w:r>
      <w:r w:rsidR="00DA5CAF">
        <w:rPr>
          <w:rStyle w:val="FootnoteReference"/>
        </w:rPr>
        <w:footnoteReference w:id="1"/>
      </w:r>
      <w:r w:rsidR="00441D5D">
        <w:t xml:space="preserve"> </w:t>
      </w:r>
      <w:r w:rsidRPr="00E60BC5">
        <w:t>Generally</w:t>
      </w:r>
      <w:r w:rsidR="009E3FE2">
        <w:t>,</w:t>
      </w:r>
      <w:r w:rsidRPr="00E60BC5">
        <w:t xml:space="preserve"> the other appropriation adjustment options in Part</w:t>
      </w:r>
      <w:r>
        <w:t> </w:t>
      </w:r>
      <w:r w:rsidRPr="00E60BC5">
        <w:t>3 of the Bill</w:t>
      </w:r>
      <w:r w:rsidR="009E3FE2">
        <w:t>,</w:t>
      </w:r>
      <w:r w:rsidRPr="00E60BC5">
        <w:t xml:space="preserve"> or under sections</w:t>
      </w:r>
      <w:r>
        <w:t> </w:t>
      </w:r>
      <w:r w:rsidRPr="00E60BC5">
        <w:t>30</w:t>
      </w:r>
      <w:r w:rsidR="000D0921">
        <w:t xml:space="preserve">, </w:t>
      </w:r>
      <w:r w:rsidR="00077B0D" w:rsidRPr="00AE1081">
        <w:t>30A</w:t>
      </w:r>
      <w:r w:rsidR="000D0921">
        <w:t xml:space="preserve"> and</w:t>
      </w:r>
      <w:r w:rsidRPr="00E60BC5">
        <w:t xml:space="preserve"> 32 of the FMA Act</w:t>
      </w:r>
      <w:r w:rsidR="009E3FE2">
        <w:t>,</w:t>
      </w:r>
      <w:r w:rsidRPr="00E60BC5">
        <w:t xml:space="preserve"> must have been exhausted before the Finance Minister will make a determination under subclause 1</w:t>
      </w:r>
      <w:r>
        <w:t>3</w:t>
      </w:r>
      <w:r w:rsidRPr="00E60BC5">
        <w:t>(2).</w:t>
      </w:r>
    </w:p>
    <w:p w:rsidR="00E745FD" w:rsidRPr="00456307" w:rsidRDefault="00E745FD" w:rsidP="0075741D">
      <w:pPr>
        <w:pStyle w:val="NumberList"/>
      </w:pPr>
      <w:r w:rsidRPr="00495B13">
        <w:t>Subclause 1</w:t>
      </w:r>
      <w:r>
        <w:t>3</w:t>
      </w:r>
      <w:r w:rsidRPr="00495B13">
        <w:t xml:space="preserve">(2) </w:t>
      </w:r>
      <w:r>
        <w:t>enables</w:t>
      </w:r>
      <w:r w:rsidRPr="00495B13">
        <w:t xml:space="preserve"> the Finance Minister to make a determination to </w:t>
      </w:r>
      <w:r>
        <w:t>add</w:t>
      </w:r>
      <w:r w:rsidRPr="00495B13">
        <w:t xml:space="preserve"> an amount </w:t>
      </w:r>
      <w:r>
        <w:t xml:space="preserve">from the AFM </w:t>
      </w:r>
      <w:r w:rsidRPr="00495B13">
        <w:t>to an item in Schedule </w:t>
      </w:r>
      <w:r w:rsidRPr="00456307">
        <w:t>1, to a new item not already in Schedule 1, or to a new outcome.</w:t>
      </w:r>
    </w:p>
    <w:p w:rsidR="00E745FD" w:rsidRDefault="00E745FD" w:rsidP="0075741D">
      <w:pPr>
        <w:pStyle w:val="NumberList"/>
      </w:pPr>
      <w:r>
        <w:t>A further AFM prov</w:t>
      </w:r>
      <w:r w:rsidR="00F64E1D">
        <w:t>ision will be requested in the Additional E</w:t>
      </w:r>
      <w:r>
        <w:t xml:space="preserve">stimates </w:t>
      </w:r>
      <w:r w:rsidR="00F64E1D">
        <w:t xml:space="preserve">Appropriation </w:t>
      </w:r>
      <w:r w:rsidR="00D51B6F">
        <w:t>B</w:t>
      </w:r>
      <w:r>
        <w:t xml:space="preserve">ills for the current year if </w:t>
      </w:r>
      <w:r w:rsidR="003E325D">
        <w:t xml:space="preserve">pressures at that time suggest </w:t>
      </w:r>
      <w:r>
        <w:t xml:space="preserve">the AFM in this Bill </w:t>
      </w:r>
      <w:r w:rsidR="003E325D">
        <w:t xml:space="preserve">will be </w:t>
      </w:r>
      <w:r>
        <w:t>close to being exhausted</w:t>
      </w:r>
      <w:r w:rsidR="003E325D">
        <w:t xml:space="preserve"> before the end of the financial year</w:t>
      </w:r>
      <w:r>
        <w:t>.</w:t>
      </w:r>
    </w:p>
    <w:p w:rsidR="00E745FD" w:rsidRDefault="00E745FD" w:rsidP="0075741D">
      <w:pPr>
        <w:pStyle w:val="NumberList"/>
      </w:pPr>
      <w:r w:rsidRPr="00554153">
        <w:t>Subclause 1</w:t>
      </w:r>
      <w:r>
        <w:t>3</w:t>
      </w:r>
      <w:r w:rsidRPr="00554153">
        <w:t>(4) provides that a determination under subclause 1</w:t>
      </w:r>
      <w:r>
        <w:t>3</w:t>
      </w:r>
      <w:r w:rsidRPr="00554153">
        <w:t xml:space="preserve">(2) is a legislative instrument, which must be tabled in Parliament but is not subject to disallowance or </w:t>
      </w:r>
      <w:proofErr w:type="spellStart"/>
      <w:r w:rsidRPr="00554153">
        <w:t>sunsetting</w:t>
      </w:r>
      <w:proofErr w:type="spellEnd"/>
      <w:r w:rsidRPr="00554153">
        <w:t>.</w:t>
      </w:r>
    </w:p>
    <w:p w:rsidR="006454CA" w:rsidRDefault="00E745FD" w:rsidP="000835C0">
      <w:pPr>
        <w:pStyle w:val="NumberList"/>
      </w:pPr>
      <w:r w:rsidRPr="00554153">
        <w:t>A subclause 1</w:t>
      </w:r>
      <w:r>
        <w:t>3</w:t>
      </w:r>
      <w:r w:rsidRPr="00554153">
        <w:t xml:space="preserve">(2) </w:t>
      </w:r>
      <w:proofErr w:type="gramStart"/>
      <w:r w:rsidRPr="00554153">
        <w:t>determination</w:t>
      </w:r>
      <w:proofErr w:type="gramEnd"/>
      <w:r w:rsidRPr="00554153">
        <w:t xml:space="preserve"> is not subject to </w:t>
      </w:r>
      <w:r>
        <w:t>disallowance as this would frustrate the purpose of the provision, which is to provide additional appropriation for urgent expenditure.</w:t>
      </w:r>
      <w:r w:rsidR="00441D5D">
        <w:t xml:space="preserve"> </w:t>
      </w:r>
      <w:r w:rsidR="00290D62">
        <w:t xml:space="preserve">Further, </w:t>
      </w:r>
      <w:r>
        <w:t xml:space="preserve">an AFM </w:t>
      </w:r>
      <w:r w:rsidR="00290D62">
        <w:t xml:space="preserve">is not </w:t>
      </w:r>
      <w:r>
        <w:t xml:space="preserve">subject to the </w:t>
      </w:r>
      <w:proofErr w:type="spellStart"/>
      <w:r w:rsidRPr="00554153">
        <w:t>sunsetting</w:t>
      </w:r>
      <w:proofErr w:type="spellEnd"/>
      <w:r w:rsidRPr="00554153">
        <w:t xml:space="preserve"> provisions </w:t>
      </w:r>
      <w:r>
        <w:t>of the LI Act</w:t>
      </w:r>
      <w:r w:rsidR="00290D62">
        <w:t>,</w:t>
      </w:r>
      <w:r>
        <w:t xml:space="preserve"> </w:t>
      </w:r>
      <w:r w:rsidRPr="00554153">
        <w:t xml:space="preserve">because the amount allocated from the AFM </w:t>
      </w:r>
      <w:r w:rsidR="00290D62">
        <w:t xml:space="preserve">would </w:t>
      </w:r>
      <w:r w:rsidRPr="00554153">
        <w:t xml:space="preserve">be </w:t>
      </w:r>
      <w:r>
        <w:t>extinguished when it is spent.</w:t>
      </w:r>
      <w:r w:rsidR="00441D5D">
        <w:t xml:space="preserve"> </w:t>
      </w:r>
    </w:p>
    <w:p w:rsidR="006710D1" w:rsidRDefault="006710D1" w:rsidP="006710D1">
      <w:pPr>
        <w:pStyle w:val="Heading2"/>
      </w:pPr>
      <w:r w:rsidRPr="009A09BA">
        <w:t xml:space="preserve">Part </w:t>
      </w:r>
      <w:r>
        <w:t>4</w:t>
      </w:r>
      <w:r w:rsidRPr="009A09BA">
        <w:t>—Miscellaneous</w:t>
      </w:r>
    </w:p>
    <w:p w:rsidR="006710D1" w:rsidRDefault="006710D1" w:rsidP="006710D1">
      <w:pPr>
        <w:pStyle w:val="Heading3"/>
      </w:pPr>
      <w:r>
        <w:t>Clause 14</w:t>
      </w:r>
      <w:r w:rsidRPr="00D14362">
        <w:t>—</w:t>
      </w:r>
      <w:r w:rsidRPr="009A09BA">
        <w:t>Crediting amounts to Special Accounts</w:t>
      </w:r>
    </w:p>
    <w:p w:rsidR="006710D1" w:rsidRDefault="006710D1" w:rsidP="006710D1">
      <w:pPr>
        <w:pStyle w:val="NumberList"/>
        <w:sectPr w:rsidR="006710D1" w:rsidSect="00D470F7">
          <w:footerReference w:type="default" r:id="rId32"/>
          <w:type w:val="continuous"/>
          <w:pgSz w:w="11907" w:h="16840" w:code="9"/>
          <w:pgMar w:top="1701" w:right="1985" w:bottom="1701" w:left="1985" w:header="1418" w:footer="1418" w:gutter="0"/>
          <w:cols w:space="708"/>
          <w:docGrid w:linePitch="360"/>
        </w:sectPr>
      </w:pPr>
      <w:r w:rsidRPr="009A09BA">
        <w:t>Clause 1</w:t>
      </w:r>
      <w:r>
        <w:t>4</w:t>
      </w:r>
      <w:r w:rsidRPr="009A09BA">
        <w:t xml:space="preserve"> provides that if the purpose of an item in Schedule 1 is also the purpose of a </w:t>
      </w:r>
      <w:r>
        <w:t>S</w:t>
      </w:r>
      <w:r w:rsidRPr="009A09BA">
        <w:t xml:space="preserve">pecial </w:t>
      </w:r>
      <w:r>
        <w:t>A</w:t>
      </w:r>
      <w:r w:rsidRPr="009A09BA">
        <w:t xml:space="preserve">ccount (regardless of whether the item expressly refers to the </w:t>
      </w:r>
      <w:r>
        <w:t>S</w:t>
      </w:r>
      <w:r w:rsidRPr="009A09BA">
        <w:t xml:space="preserve">pecial </w:t>
      </w:r>
      <w:r>
        <w:t>A</w:t>
      </w:r>
      <w:r w:rsidRPr="009A09BA">
        <w:t xml:space="preserve">ccount), then amounts may be debited against the appropriation for that item and credited to the </w:t>
      </w:r>
      <w:r>
        <w:t>S</w:t>
      </w:r>
      <w:r w:rsidRPr="009A09BA">
        <w:t xml:space="preserve">pecial </w:t>
      </w:r>
      <w:r>
        <w:t>A</w:t>
      </w:r>
      <w:r w:rsidRPr="009A09BA">
        <w:t>ccount.</w:t>
      </w:r>
      <w:r>
        <w:t xml:space="preserve"> </w:t>
      </w:r>
      <w:r w:rsidRPr="009A09BA">
        <w:t xml:space="preserve">Special </w:t>
      </w:r>
      <w:r>
        <w:t>A</w:t>
      </w:r>
      <w:r w:rsidRPr="009A09BA">
        <w:t xml:space="preserve">ccounts may be established under the FMA Act by a determination of the Finance Minister (section 20) or </w:t>
      </w:r>
      <w:r>
        <w:t xml:space="preserve">by </w:t>
      </w:r>
      <w:r w:rsidRPr="009A09BA">
        <w:t>another Act (section 21).</w:t>
      </w:r>
      <w:r>
        <w:t xml:space="preserve"> The </w:t>
      </w:r>
      <w:r w:rsidRPr="009A09BA">
        <w:t xml:space="preserve">determination or Act that establishes the </w:t>
      </w:r>
      <w:r>
        <w:t>S</w:t>
      </w:r>
      <w:r w:rsidRPr="009A09BA">
        <w:t xml:space="preserve">pecial </w:t>
      </w:r>
      <w:r>
        <w:t>A</w:t>
      </w:r>
      <w:r w:rsidRPr="009A09BA">
        <w:t xml:space="preserve">ccount will specify the purposes of the </w:t>
      </w:r>
      <w:r>
        <w:t>S</w:t>
      </w:r>
      <w:r w:rsidRPr="009A09BA">
        <w:t xml:space="preserve">pecial </w:t>
      </w:r>
      <w:r>
        <w:t>A</w:t>
      </w:r>
      <w:r w:rsidRPr="009A09BA">
        <w:t>ccount.</w:t>
      </w:r>
    </w:p>
    <w:p w:rsidR="006710D1" w:rsidRDefault="006710D1" w:rsidP="006710D1">
      <w:pPr>
        <w:pStyle w:val="Heading3"/>
      </w:pPr>
      <w:r w:rsidRPr="009A09BA">
        <w:t>Clause 1</w:t>
      </w:r>
      <w:r>
        <w:t>5—Appropriation</w:t>
      </w:r>
      <w:r w:rsidRPr="009A09BA">
        <w:t xml:space="preserve"> of the Consolidated Revenue Fund</w:t>
      </w:r>
    </w:p>
    <w:p w:rsidR="006710D1" w:rsidRDefault="006710D1" w:rsidP="006710D1">
      <w:pPr>
        <w:pStyle w:val="NumberList"/>
      </w:pPr>
      <w:r w:rsidRPr="009A09BA">
        <w:t>Clause 1</w:t>
      </w:r>
      <w:r>
        <w:t>5</w:t>
      </w:r>
      <w:r w:rsidRPr="009A09BA">
        <w:t xml:space="preserve"> provides that the CRF is appropriated as necessary for the purposes of the Bill.</w:t>
      </w:r>
      <w:r>
        <w:t xml:space="preserve"> </w:t>
      </w:r>
      <w:r w:rsidRPr="009A09BA">
        <w:t>Significantly</w:t>
      </w:r>
      <w:r>
        <w:t>,</w:t>
      </w:r>
      <w:r w:rsidRPr="009A09BA">
        <w:t xml:space="preserve"> </w:t>
      </w:r>
      <w:r>
        <w:t>this clause means that there is an appropriation in law when the Act commence</w:t>
      </w:r>
      <w:r w:rsidR="0099785E">
        <w:t>s</w:t>
      </w:r>
      <w:r>
        <w:t>. That is, the appropriations are not made or brought into existence just before they are paid but when the Royal Assent is given. This clause indicates that the amounts appropriated</w:t>
      </w:r>
      <w:r w:rsidRPr="00112590">
        <w:t xml:space="preserve"> </w:t>
      </w:r>
      <w:r w:rsidRPr="009A09BA">
        <w:t>may be affected by the FMA Act, in particular sections 30</w:t>
      </w:r>
      <w:r w:rsidRPr="00AE1081">
        <w:t>, 30A a</w:t>
      </w:r>
      <w:r>
        <w:t>nd</w:t>
      </w:r>
      <w:r w:rsidRPr="009A09BA">
        <w:t xml:space="preserve"> 32 (see </w:t>
      </w:r>
      <w:r>
        <w:t>c</w:t>
      </w:r>
      <w:r w:rsidRPr="009A09BA">
        <w:t>lause 6)</w:t>
      </w:r>
      <w:r>
        <w:t>, after the Bill receives the Royal Assent</w:t>
      </w:r>
      <w:r w:rsidRPr="009A09BA">
        <w:t>.</w:t>
      </w:r>
    </w:p>
    <w:p w:rsidR="006710D1" w:rsidRDefault="006710D1" w:rsidP="006710D1">
      <w:pPr>
        <w:pStyle w:val="Heading2"/>
      </w:pPr>
      <w:r w:rsidRPr="009A09BA">
        <w:t>Schedule 1—Services for which money is appropriated</w:t>
      </w:r>
    </w:p>
    <w:p w:rsidR="006710D1" w:rsidRDefault="006710D1" w:rsidP="006710D1">
      <w:pPr>
        <w:pStyle w:val="NumberList"/>
      </w:pPr>
      <w:r w:rsidRPr="009A09BA">
        <w:t xml:space="preserve">Schedule 1 specifies the </w:t>
      </w:r>
      <w:r>
        <w:t xml:space="preserve">appropriations proposed for the </w:t>
      </w:r>
      <w:r w:rsidRPr="009A09BA">
        <w:t>ordinary annual services of the Government</w:t>
      </w:r>
      <w:r>
        <w:t>. Schedule 1</w:t>
      </w:r>
      <w:r w:rsidRPr="009A09BA">
        <w:t xml:space="preserve"> contains a summary table </w:t>
      </w:r>
      <w:r>
        <w:t xml:space="preserve">which lists </w:t>
      </w:r>
      <w:r w:rsidRPr="009A09BA">
        <w:t xml:space="preserve">the total </w:t>
      </w:r>
      <w:r>
        <w:t xml:space="preserve">amounts </w:t>
      </w:r>
      <w:r w:rsidRPr="009A09BA">
        <w:t>for each portfolio.</w:t>
      </w:r>
      <w:r>
        <w:t xml:space="preserve"> </w:t>
      </w:r>
      <w:r w:rsidRPr="009A09BA">
        <w:t xml:space="preserve">A separate summary table is included </w:t>
      </w:r>
      <w:r>
        <w:t xml:space="preserve">with further detail </w:t>
      </w:r>
      <w:r w:rsidRPr="009A09BA">
        <w:t xml:space="preserve">for </w:t>
      </w:r>
      <w:r>
        <w:t>each</w:t>
      </w:r>
      <w:r w:rsidRPr="009A09BA">
        <w:t xml:space="preserve"> portfolio</w:t>
      </w:r>
      <w:r>
        <w:t>, with other tables</w:t>
      </w:r>
      <w:r w:rsidRPr="009A09BA">
        <w:t xml:space="preserve"> detailing the appropriations </w:t>
      </w:r>
      <w:r>
        <w:t>for each agency</w:t>
      </w:r>
      <w:r w:rsidRPr="009A09BA">
        <w:t>.</w:t>
      </w:r>
    </w:p>
    <w:p w:rsidR="006710D1" w:rsidRDefault="006710D1" w:rsidP="006710D1">
      <w:pPr>
        <w:pStyle w:val="NumberList"/>
      </w:pPr>
      <w:r w:rsidRPr="00290D62">
        <w:t xml:space="preserve">Schedule 1 includes for information purposes a figure for the previous financial year printed in </w:t>
      </w:r>
      <w:r>
        <w:t>italics</w:t>
      </w:r>
      <w:r w:rsidRPr="00290D62">
        <w:t xml:space="preserve"> under each appropriation amount, labelled the </w:t>
      </w:r>
      <w:r>
        <w:t>“</w:t>
      </w:r>
      <w:r w:rsidRPr="00290D62">
        <w:t>Actual Available Appropriation</w:t>
      </w:r>
      <w:r>
        <w:t>”</w:t>
      </w:r>
      <w:r w:rsidRPr="00290D62">
        <w:t>.</w:t>
      </w:r>
      <w:r>
        <w:t xml:space="preserve"> </w:t>
      </w:r>
      <w:r w:rsidRPr="00290D62">
        <w:t>That figure provides a comparison with the proposed appropriations. The Actual Available Appropriation does not</w:t>
      </w:r>
      <w:r w:rsidRPr="009A09BA">
        <w:t xml:space="preserve"> affect the amounts available at law.</w:t>
      </w:r>
      <w:r w:rsidR="00D470F7">
        <w:t xml:space="preserve"> </w:t>
      </w:r>
      <w:r w:rsidRPr="00F60C73">
        <w:t xml:space="preserve">More </w:t>
      </w:r>
      <w:r w:rsidRPr="009A09BA">
        <w:t xml:space="preserve">details about the appropriations in </w:t>
      </w:r>
      <w:r w:rsidRPr="00F60C73">
        <w:t xml:space="preserve">Schedule 1 are contained in the </w:t>
      </w:r>
      <w:r w:rsidR="00121A17" w:rsidRPr="00D470F7">
        <w:rPr>
          <w:color w:val="000000"/>
        </w:rPr>
        <w:t>PB Statements</w:t>
      </w:r>
      <w:r w:rsidRPr="00D470F7">
        <w:rPr>
          <w:color w:val="000000"/>
        </w:rPr>
        <w:t xml:space="preserve"> </w:t>
      </w:r>
      <w:r w:rsidRPr="00F60C73">
        <w:t>and the second reading speech.</w:t>
      </w:r>
    </w:p>
    <w:bookmarkEnd w:id="0"/>
    <w:bookmarkEnd w:id="12"/>
    <w:p w:rsidR="00077B0D" w:rsidRDefault="00077B0D" w:rsidP="00D470F7">
      <w:pPr>
        <w:pStyle w:val="Heading2"/>
      </w:pPr>
    </w:p>
    <w:sectPr w:rsidR="00077B0D" w:rsidSect="00D470F7">
      <w:footerReference w:type="default" r:id="rId33"/>
      <w:type w:val="continuous"/>
      <w:pgSz w:w="11907" w:h="16840" w:code="9"/>
      <w:pgMar w:top="1701" w:right="1985" w:bottom="1701" w:left="1985" w:header="1418" w:footer="141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5"/>
    </wne:keymap>
    <wne:keymap wne:kcmPrimary="0073">
      <wne:acd wne:acdName="acd0"/>
    </wne:keymap>
    <wne:keymap wne:kcmPrimary="0075">
      <wne:acd wne:acdName="acd2"/>
    </wne:keymap>
    <wne:keymap wne:kcmPrimary="0077">
      <wne:acd wne:acdName="acd3"/>
    </wne:keymap>
    <wne:keymap wne:kcmPrimary="0078">
      <wne:acd wne:acdName="acd4"/>
    </wne:keymap>
    <wne:keymap wne:kcmPrimary="007A">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CAHUAbABsAGUAdAA=" wne:acdName="acd0" wne:fciIndexBasedOn="0065"/>
    <wne:acd wne:argValue="AgBOAHUAbQBiAGUAcgAgAEwAaQBzAHQA" wne:acdName="acd1" wne:fciIndexBasedOn="0065"/>
    <wne:acd wne:argValue="AQAAAAEA" wne:acdName="acd2" wne:fciIndexBasedOn="0065"/>
    <wne:acd wne:argValue="AQAAAAIA" wne:acdName="acd3" wne:fciIndexBasedOn="0065"/>
    <wne:acd wne:argValue="AQAAAAMA" wne:acdName="acd4" wne:fciIndexBasedOn="0065"/>
    <wne:acd wne:argValue="AQAAAAA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BC3" w:rsidRDefault="00274BC3">
      <w:r>
        <w:separator/>
      </w:r>
    </w:p>
  </w:endnote>
  <w:endnote w:type="continuationSeparator" w:id="0">
    <w:p w:rsidR="00274BC3" w:rsidRDefault="00274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Default="00720842">
    <w:pPr>
      <w:pStyle w:val="Footer"/>
      <w:framePr w:wrap="around" w:vAnchor="text" w:hAnchor="margin" w:xAlign="right" w:y="1"/>
      <w:rPr>
        <w:rStyle w:val="PageNumber"/>
      </w:rPr>
    </w:pPr>
    <w:r>
      <w:rPr>
        <w:rStyle w:val="PageNumber"/>
      </w:rPr>
      <w:fldChar w:fldCharType="begin"/>
    </w:r>
    <w:r w:rsidR="00F47D8F">
      <w:rPr>
        <w:rStyle w:val="PageNumber"/>
      </w:rPr>
      <w:instrText xml:space="preserve">PAGE  </w:instrText>
    </w:r>
    <w:r>
      <w:rPr>
        <w:rStyle w:val="PageNumber"/>
      </w:rPr>
      <w:fldChar w:fldCharType="separate"/>
    </w:r>
    <w:r w:rsidR="00F47D8F">
      <w:rPr>
        <w:rStyle w:val="PageNumber"/>
        <w:noProof/>
      </w:rPr>
      <w:t>0</w:t>
    </w:r>
    <w:r>
      <w:rPr>
        <w:rStyle w:val="PageNumber"/>
      </w:rPr>
      <w:fldChar w:fldCharType="end"/>
    </w:r>
  </w:p>
  <w:p w:rsidR="00F47D8F" w:rsidRDefault="00F47D8F">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7</w:t>
    </w:r>
    <w:r w:rsidR="00720842" w:rsidRPr="008A4D3E">
      <w:rPr>
        <w:rStyle w:val="PageNumber"/>
        <w:i w:val="0"/>
        <w:szCs w:val="20"/>
      </w:rPr>
      <w:fldChar w:fldCharType="end"/>
    </w:r>
    <w:r>
      <w:br/>
    </w:r>
    <w:r w:rsidRPr="008A4D3E">
      <w:rPr>
        <w:iCs/>
      </w:rPr>
      <w:t>House of Representatives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8</w:t>
    </w:r>
    <w:r w:rsidR="00720842" w:rsidRPr="008A4D3E">
      <w:rPr>
        <w:rStyle w:val="PageNumber"/>
        <w:i w:val="0"/>
        <w:szCs w:val="20"/>
      </w:rPr>
      <w:fldChar w:fldCharType="end"/>
    </w:r>
    <w:r>
      <w:br/>
    </w:r>
    <w:r w:rsidRPr="008A4D3E">
      <w:rPr>
        <w:iCs/>
      </w:rPr>
      <w:t>House of Representatives</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9</w:t>
    </w:r>
    <w:r w:rsidR="00720842" w:rsidRPr="008A4D3E">
      <w:rPr>
        <w:rStyle w:val="PageNumber"/>
        <w:i w:val="0"/>
        <w:szCs w:val="20"/>
      </w:rPr>
      <w:fldChar w:fldCharType="end"/>
    </w:r>
    <w:r>
      <w:br/>
    </w:r>
    <w:r w:rsidRPr="008A4D3E">
      <w:rPr>
        <w:iCs/>
      </w:rPr>
      <w:t>House of Representatives</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D470F7">
    <w:pPr>
      <w:pStyle w:val="Foote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Pr>
        <w:rStyle w:val="PageNumber"/>
        <w:noProof/>
        <w:szCs w:val="20"/>
      </w:rPr>
      <w:t>11</w:t>
    </w:r>
    <w:r w:rsidR="00720842" w:rsidRPr="008A4D3E">
      <w:rPr>
        <w:rStyle w:val="PageNumber"/>
        <w:i w:val="0"/>
        <w:szCs w:val="20"/>
      </w:rPr>
      <w:fldChar w:fldCharType="end"/>
    </w:r>
    <w:r>
      <w:br/>
    </w:r>
    <w:r w:rsidRPr="008A4D3E">
      <w:rPr>
        <w:iCs/>
      </w:rPr>
      <w:t>House of Representatives</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10</w:t>
    </w:r>
    <w:r w:rsidR="00720842" w:rsidRPr="008A4D3E">
      <w:rPr>
        <w:rStyle w:val="PageNumber"/>
        <w:i w:val="0"/>
        <w:szCs w:val="20"/>
      </w:rPr>
      <w:fldChar w:fldCharType="end"/>
    </w:r>
    <w:r>
      <w:br/>
    </w:r>
    <w:r w:rsidRPr="008A4D3E">
      <w:rPr>
        <w:iCs/>
      </w:rPr>
      <w:t>House of Representatives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11</w:t>
    </w:r>
    <w:r w:rsidR="00720842" w:rsidRPr="008A4D3E">
      <w:rPr>
        <w:rStyle w:val="PageNumber"/>
        <w:i w:val="0"/>
        <w:szCs w:val="20"/>
      </w:rPr>
      <w:fldChar w:fldCharType="end"/>
    </w:r>
    <w:r>
      <w:br/>
    </w:r>
    <w:r w:rsidRPr="008A4D3E">
      <w:rPr>
        <w:iCs/>
      </w:rPr>
      <w:t>House of Representatives</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12</w:t>
    </w:r>
    <w:r w:rsidR="00720842" w:rsidRPr="008A4D3E">
      <w:rPr>
        <w:rStyle w:val="PageNumber"/>
        <w:i w:val="0"/>
        <w:szCs w:val="20"/>
      </w:rPr>
      <w:fldChar w:fldCharType="end"/>
    </w:r>
    <w:r>
      <w:br/>
    </w:r>
    <w:r w:rsidRPr="008A4D3E">
      <w:rPr>
        <w:iCs/>
      </w:rPr>
      <w:t>House of Representatives</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13</w:t>
    </w:r>
    <w:r w:rsidR="00720842" w:rsidRPr="008A4D3E">
      <w:rPr>
        <w:rStyle w:val="PageNumber"/>
        <w:i w:val="0"/>
        <w:szCs w:val="20"/>
      </w:rPr>
      <w:fldChar w:fldCharType="end"/>
    </w:r>
    <w:r>
      <w:br/>
    </w:r>
    <w:r w:rsidRPr="008A4D3E">
      <w:rPr>
        <w:iCs/>
      </w:rPr>
      <w:t>House of Representatives</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9C7B7E"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14</w:t>
    </w:r>
    <w:r w:rsidR="00720842" w:rsidRPr="008A4D3E">
      <w:rPr>
        <w:rStyle w:val="PageNumber"/>
        <w:i w:val="0"/>
        <w:szCs w:val="20"/>
      </w:rPr>
      <w:fldChar w:fldCharType="end"/>
    </w:r>
    <w:r>
      <w:br/>
    </w:r>
    <w:r w:rsidRPr="008A4D3E">
      <w:rPr>
        <w:iCs/>
      </w:rPr>
      <w:t>House of Representatives</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E858BE" w:rsidRDefault="00F47D8F" w:rsidP="008560FD"/>
  <w:p w:rsidR="00F47D8F" w:rsidRPr="009C7B7E" w:rsidRDefault="00F47D8F" w:rsidP="00E76BDF">
    <w:pPr>
      <w:pStyle w:val="Footer"/>
      <w:rPr>
        <w:i w:val="0"/>
      </w:rPr>
    </w:pPr>
    <w:r w:rsidRPr="008A4D3E">
      <w:rPr>
        <w:iCs/>
      </w:rPr>
      <w:t xml:space="preserve">House of Representatives </w:t>
    </w:r>
    <w:r w:rsidRPr="008A4D3E">
      <w:rPr>
        <w:iCs/>
      </w:rPr>
      <w:tab/>
      <w:t xml:space="preserve">page </w:t>
    </w:r>
    <w:r>
      <w:rPr>
        <w:iCs/>
      </w:rPr>
      <w:t>17</w:t>
    </w:r>
    <w:r w:rsidRPr="008A4D3E">
      <w:tab/>
    </w:r>
    <w:r w:rsidRPr="00E76BDF">
      <w:t>Appropriation</w:t>
    </w:r>
    <w:r w:rsidRPr="009C7B7E">
      <w:t xml:space="preserve"> Bill </w:t>
    </w:r>
    <w:r>
      <w:t>(No. 1) 2013-2014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E858BE" w:rsidRDefault="00F47D8F" w:rsidP="00AD7DF1">
    <w:pPr>
      <w:pStyle w:val="Footer"/>
      <w:pBdr>
        <w:bottom w:val="single" w:sz="4" w:space="1" w:color="auto"/>
      </w:pBdr>
      <w:tabs>
        <w:tab w:val="left" w:pos="4140"/>
        <w:tab w:val="left" w:pos="7020"/>
      </w:tabs>
      <w:ind w:left="7020" w:right="27" w:hanging="7020"/>
      <w:rPr>
        <w:i w:val="0"/>
        <w:iCs/>
        <w:sz w:val="16"/>
        <w:szCs w:val="16"/>
      </w:rPr>
    </w:pPr>
  </w:p>
  <w:p w:rsidR="00F47D8F" w:rsidRPr="008A4D3E" w:rsidRDefault="00F47D8F" w:rsidP="00AD7DF1">
    <w:pPr>
      <w:pStyle w:val="Footer"/>
      <w:tabs>
        <w:tab w:val="left" w:pos="3119"/>
        <w:tab w:val="left" w:pos="4500"/>
      </w:tabs>
      <w:ind w:left="7020" w:right="-30" w:hanging="7020"/>
      <w:rPr>
        <w:i w:val="0"/>
        <w:szCs w:val="20"/>
      </w:rPr>
    </w:pPr>
    <w:r w:rsidRPr="008A4D3E">
      <w:rPr>
        <w:iCs/>
        <w:szCs w:val="20"/>
      </w:rPr>
      <w:t xml:space="preserve">House of Representatives </w:t>
    </w:r>
    <w:r w:rsidRPr="008A4D3E">
      <w:rPr>
        <w:iCs/>
        <w:szCs w:val="20"/>
      </w:rPr>
      <w:tab/>
      <w:t xml:space="preserve">page </w:t>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Pr>
        <w:rStyle w:val="PageNumber"/>
        <w:noProof/>
        <w:szCs w:val="20"/>
      </w:rPr>
      <w:t>2</w:t>
    </w:r>
    <w:r w:rsidR="00720842" w:rsidRPr="008A4D3E">
      <w:rPr>
        <w:rStyle w:val="PageNumber"/>
        <w:i w:val="0"/>
        <w:szCs w:val="20"/>
      </w:rPr>
      <w:fldChar w:fldCharType="end"/>
    </w:r>
    <w:r w:rsidRPr="008A4D3E">
      <w:rPr>
        <w:szCs w:val="20"/>
      </w:rPr>
      <w:tab/>
      <w:t>Appropriation Act (No. 1) 2008</w:t>
    </w:r>
    <w:r w:rsidRPr="008A4D3E">
      <w:rPr>
        <w:szCs w:val="20"/>
      </w:rPr>
      <w:noBreakHyphen/>
      <w:t>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E858BE" w:rsidRDefault="00F47D8F" w:rsidP="0072536D">
    <w:pPr>
      <w:pStyle w:val="Footer"/>
      <w:tabs>
        <w:tab w:val="left" w:pos="4140"/>
        <w:tab w:val="left" w:pos="7020"/>
      </w:tabs>
      <w:ind w:left="7020" w:right="27" w:hanging="7020"/>
      <w:rPr>
        <w:i w:val="0"/>
        <w:iCs/>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9C7B7E"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00F47D8F"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2</w:t>
    </w:r>
    <w:r w:rsidR="00720842" w:rsidRPr="008A4D3E">
      <w:rPr>
        <w:rStyle w:val="PageNumber"/>
        <w:i w:val="0"/>
        <w:szCs w:val="20"/>
      </w:rPr>
      <w:fldChar w:fldCharType="end"/>
    </w:r>
    <w:r>
      <w:br/>
    </w:r>
    <w:r w:rsidRPr="008A4D3E">
      <w:rPr>
        <w:iCs/>
      </w:rPr>
      <w:t>House of Representatives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3</w:t>
    </w:r>
    <w:r w:rsidR="00720842" w:rsidRPr="008A4D3E">
      <w:rPr>
        <w:rStyle w:val="PageNumber"/>
        <w:i w:val="0"/>
        <w:szCs w:val="20"/>
      </w:rPr>
      <w:fldChar w:fldCharType="end"/>
    </w:r>
    <w:r>
      <w:br/>
    </w:r>
    <w:r w:rsidRPr="008A4D3E">
      <w:rPr>
        <w:iCs/>
      </w:rPr>
      <w:t>House of Representatives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0F7" w:rsidRPr="00D470F7" w:rsidRDefault="00D470F7" w:rsidP="00D470F7">
    <w:pPr>
      <w:pStyle w:val="Foote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4</w:t>
    </w:r>
    <w:r w:rsidR="00720842" w:rsidRPr="008A4D3E">
      <w:rPr>
        <w:rStyle w:val="PageNumber"/>
        <w:i w:val="0"/>
        <w:szCs w:val="20"/>
      </w:rPr>
      <w:fldChar w:fldCharType="end"/>
    </w:r>
    <w:r>
      <w:br/>
    </w:r>
    <w:r w:rsidRPr="008A4D3E">
      <w:rPr>
        <w:iCs/>
      </w:rPr>
      <w:t>House of Representatives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5</w:t>
    </w:r>
    <w:r w:rsidR="00720842" w:rsidRPr="008A4D3E">
      <w:rPr>
        <w:rStyle w:val="PageNumber"/>
        <w:i w:val="0"/>
        <w:szCs w:val="20"/>
      </w:rPr>
      <w:fldChar w:fldCharType="end"/>
    </w:r>
    <w:r>
      <w:br/>
    </w:r>
    <w:r w:rsidRPr="008A4D3E">
      <w:rPr>
        <w:iCs/>
      </w:rPr>
      <w:t>House of Representatives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D470F7" w:rsidRDefault="00D470F7" w:rsidP="009A07BB">
    <w:pPr>
      <w:pStyle w:val="Footer"/>
      <w:pBdr>
        <w:top w:val="single" w:sz="4" w:space="1" w:color="auto"/>
      </w:pBdr>
      <w:rPr>
        <w:i w:val="0"/>
      </w:rPr>
    </w:pPr>
    <w:r>
      <w:t xml:space="preserve">Explanatory Memorandum to </w:t>
    </w:r>
    <w:r w:rsidRPr="00E76BDF">
      <w:t>Appropriation</w:t>
    </w:r>
    <w:r w:rsidRPr="009C7B7E">
      <w:t xml:space="preserve"> Bill </w:t>
    </w:r>
    <w:r>
      <w:t>(No. 1) 2013-2014</w:t>
    </w:r>
    <w:r>
      <w:rPr>
        <w:iCs/>
      </w:rPr>
      <w:tab/>
    </w:r>
    <w:r w:rsidR="00720842" w:rsidRPr="008A4D3E">
      <w:rPr>
        <w:rStyle w:val="PageNumber"/>
        <w:i w:val="0"/>
        <w:szCs w:val="20"/>
      </w:rPr>
      <w:fldChar w:fldCharType="begin"/>
    </w:r>
    <w:r w:rsidRPr="008A4D3E">
      <w:rPr>
        <w:rStyle w:val="PageNumber"/>
        <w:szCs w:val="20"/>
      </w:rPr>
      <w:instrText xml:space="preserve"> PAGE </w:instrText>
    </w:r>
    <w:r w:rsidR="00720842" w:rsidRPr="008A4D3E">
      <w:rPr>
        <w:rStyle w:val="PageNumber"/>
        <w:i w:val="0"/>
        <w:szCs w:val="20"/>
      </w:rPr>
      <w:fldChar w:fldCharType="separate"/>
    </w:r>
    <w:r w:rsidR="0056349F">
      <w:rPr>
        <w:rStyle w:val="PageNumber"/>
        <w:noProof/>
        <w:szCs w:val="20"/>
      </w:rPr>
      <w:t>6</w:t>
    </w:r>
    <w:r w:rsidR="00720842" w:rsidRPr="008A4D3E">
      <w:rPr>
        <w:rStyle w:val="PageNumber"/>
        <w:i w:val="0"/>
        <w:szCs w:val="20"/>
      </w:rPr>
      <w:fldChar w:fldCharType="end"/>
    </w:r>
    <w:r>
      <w:br/>
    </w:r>
    <w:r w:rsidRPr="008A4D3E">
      <w:rPr>
        <w:iCs/>
      </w:rPr>
      <w:t>House of Representatives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E858BE" w:rsidRDefault="00F47D8F" w:rsidP="008560FD"/>
  <w:p w:rsidR="00F47D8F" w:rsidRPr="009C7B7E" w:rsidRDefault="00F47D8F" w:rsidP="00E76BDF">
    <w:pPr>
      <w:pStyle w:val="Footer"/>
      <w:rPr>
        <w:i w:val="0"/>
      </w:rPr>
    </w:pPr>
    <w:r w:rsidRPr="008A4D3E">
      <w:rPr>
        <w:iCs/>
      </w:rPr>
      <w:t xml:space="preserve">House of Representatives </w:t>
    </w:r>
    <w:r w:rsidRPr="008A4D3E">
      <w:rPr>
        <w:iCs/>
      </w:rPr>
      <w:tab/>
      <w:t xml:space="preserve">page </w:t>
    </w:r>
    <w:r>
      <w:rPr>
        <w:iCs/>
      </w:rPr>
      <w:t>8</w:t>
    </w:r>
    <w:r w:rsidRPr="008A4D3E">
      <w:tab/>
    </w:r>
    <w:r w:rsidRPr="00E76BDF">
      <w:t>Appropriation</w:t>
    </w:r>
    <w:r w:rsidRPr="009C7B7E">
      <w:t xml:space="preserve"> Bill </w:t>
    </w:r>
    <w:r>
      <w:t>(No. 1) 2013-2014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BC3" w:rsidRDefault="00274BC3">
      <w:r>
        <w:separator/>
      </w:r>
    </w:p>
  </w:footnote>
  <w:footnote w:type="continuationSeparator" w:id="0">
    <w:p w:rsidR="00274BC3" w:rsidRDefault="00274BC3">
      <w:r>
        <w:continuationSeparator/>
      </w:r>
    </w:p>
  </w:footnote>
  <w:footnote w:id="1">
    <w:p w:rsidR="00F47D8F" w:rsidRDefault="00F47D8F">
      <w:pPr>
        <w:pStyle w:val="FootnoteText"/>
      </w:pPr>
      <w:r>
        <w:rPr>
          <w:rStyle w:val="FootnoteReference"/>
        </w:rPr>
        <w:footnoteRef/>
      </w:r>
      <w:r>
        <w:t xml:space="preserve"> Under </w:t>
      </w:r>
      <w:r w:rsidRPr="00DA5CAF">
        <w:t xml:space="preserve">the AFM guidelines, expenditure is urgent </w:t>
      </w:r>
      <w:r>
        <w:t>if</w:t>
      </w:r>
      <w:r w:rsidRPr="00DA5CAF">
        <w:t xml:space="preserve"> required within two weeks</w:t>
      </w:r>
      <w:r>
        <w:t xml:space="preserve">. The guidelines are available at </w:t>
      </w:r>
      <w:r>
        <w:br/>
      </w:r>
      <w:hyperlink r:id="rId1" w:history="1">
        <w:r>
          <w:rPr>
            <w:rStyle w:val="Hyperlink"/>
          </w:rPr>
          <w:t>http://www.finance.gov.au/budget/budget-process/advance-to-finance-minister.html</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Pr="00E858BE" w:rsidRDefault="00F47D8F" w:rsidP="00D652E4">
    <w:pPr>
      <w:pStyle w:val="Header"/>
    </w:pPr>
    <w:r w:rsidRPr="00E858BE">
      <w:t>Outline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7BB" w:rsidRDefault="009A07BB" w:rsidP="00155A7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Default="00F47D8F" w:rsidP="00D652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Default="00F47D8F" w:rsidP="00D652E4">
    <w:pPr>
      <w:pStyle w:val="Header"/>
    </w:pPr>
    <w:r>
      <w:t>Outline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Default="00F47D8F" w:rsidP="00D652E4">
    <w:pPr>
      <w:pStyle w:val="Header"/>
    </w:pPr>
    <w:r>
      <w:t>Statement of compatibility with human rights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D8F" w:rsidRDefault="00F47D8F" w:rsidP="00D652E4">
    <w:pPr>
      <w:pStyle w:val="Header"/>
    </w:pPr>
    <w:r>
      <w:t>Notes on clauses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abstractNum w:abstractNumId="0">
    <w:nsid w:val="117D11F2"/>
    <w:multiLevelType w:val="multilevel"/>
    <w:tmpl w:val="2B4C5A32"/>
    <w:lvl w:ilvl="0">
      <w:start w:val="1"/>
      <w:numFmt w:val="bullet"/>
      <w:lvlText w:val=""/>
      <w:lvlJc w:val="left"/>
      <w:pPr>
        <w:tabs>
          <w:tab w:val="num" w:pos="360"/>
        </w:tabs>
        <w:ind w:left="360" w:hanging="360"/>
      </w:pPr>
      <w:rPr>
        <w:rFonts w:ascii="Symbol" w:hAnsi="Symbol"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2">
    <w:nsid w:val="1ACB1AC3"/>
    <w:multiLevelType w:val="multilevel"/>
    <w:tmpl w:val="E11A2846"/>
    <w:lvl w:ilvl="0">
      <w:start w:val="1"/>
      <w:numFmt w:val="decimal"/>
      <w:lvlText w:val="%1"/>
      <w:lvlJc w:val="left"/>
      <w:pPr>
        <w:tabs>
          <w:tab w:val="num" w:pos="720"/>
        </w:tabs>
        <w:ind w:left="0" w:firstLine="0"/>
      </w:pPr>
      <w:rPr>
        <w:rFonts w:hint="default"/>
        <w:i w:val="0"/>
      </w:rPr>
    </w:lvl>
    <w:lvl w:ilvl="1">
      <w:start w:val="1"/>
      <w:numFmt w:val="bullet"/>
      <w:lvlText w:val=""/>
      <w:lvlJc w:val="left"/>
      <w:pPr>
        <w:tabs>
          <w:tab w:val="num" w:pos="1080"/>
        </w:tabs>
        <w:ind w:left="1080" w:hanging="360"/>
      </w:pPr>
      <w:rPr>
        <w:rFonts w:ascii="Symbol" w:hAnsi="Symbol" w:hint="default"/>
        <w:i w:val="0"/>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2013F9D"/>
    <w:multiLevelType w:val="hybridMultilevel"/>
    <w:tmpl w:val="581EF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5436F6E"/>
    <w:multiLevelType w:val="multilevel"/>
    <w:tmpl w:val="7E6EC124"/>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52DE61B5"/>
    <w:multiLevelType w:val="multilevel"/>
    <w:tmpl w:val="D88C020C"/>
    <w:lvl w:ilvl="0">
      <w:start w:val="1"/>
      <w:numFmt w:val="decimal"/>
      <w:pStyle w:val="NumberList"/>
      <w:lvlText w:val="%1"/>
      <w:lvlJc w:val="left"/>
      <w:pPr>
        <w:tabs>
          <w:tab w:val="num" w:pos="720"/>
        </w:tabs>
        <w:ind w:left="0" w:firstLine="0"/>
      </w:pPr>
      <w:rPr>
        <w:rFonts w:hint="default"/>
        <w:i w:val="0"/>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4370B3A"/>
    <w:multiLevelType w:val="multilevel"/>
    <w:tmpl w:val="A3D809CE"/>
    <w:lvl w:ilvl="0">
      <w:start w:val="1"/>
      <w:numFmt w:val="bullet"/>
      <w:lvlText w:val=""/>
      <w:lvlJc w:val="left"/>
      <w:pPr>
        <w:tabs>
          <w:tab w:val="num" w:pos="720"/>
        </w:tabs>
        <w:ind w:left="720" w:hanging="360"/>
      </w:pPr>
      <w:rPr>
        <w:rFonts w:ascii="Symbol" w:hAnsi="Symbol" w:hint="default"/>
        <w:i w:val="0"/>
      </w:rPr>
    </w:lvl>
    <w:lvl w:ilvl="1">
      <w:start w:val="1"/>
      <w:numFmt w:val="lowerLetter"/>
      <w:lvlText w:val="(%2)"/>
      <w:lvlJc w:val="left"/>
      <w:pPr>
        <w:tabs>
          <w:tab w:val="num" w:pos="1800"/>
        </w:tabs>
        <w:ind w:left="1800" w:hanging="720"/>
      </w:pPr>
      <w:rPr>
        <w:rFonts w:hint="default"/>
      </w:rPr>
    </w:lvl>
    <w:lvl w:ilvl="2">
      <w:start w:val="1"/>
      <w:numFmt w:val="bullet"/>
      <w:lvlText w:val=""/>
      <w:lvlJc w:val="left"/>
      <w:pPr>
        <w:tabs>
          <w:tab w:val="num" w:pos="1800"/>
        </w:tabs>
        <w:ind w:left="1800" w:hanging="720"/>
      </w:pPr>
      <w:rPr>
        <w:rFonts w:ascii="Symbol" w:hAnsi="Symbol" w:hint="default"/>
      </w:rPr>
    </w:lvl>
    <w:lvl w:ilvl="3">
      <w:start w:val="1"/>
      <w:numFmt w:val="lowerRoman"/>
      <w:lvlText w:val="(%4)"/>
      <w:lvlJc w:val="left"/>
      <w:pPr>
        <w:tabs>
          <w:tab w:val="num" w:pos="2520"/>
        </w:tabs>
        <w:ind w:left="252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5EEB15EC"/>
    <w:multiLevelType w:val="hybridMultilevel"/>
    <w:tmpl w:val="5BBCB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6A049A4"/>
    <w:multiLevelType w:val="multilevel"/>
    <w:tmpl w:val="B5783DB0"/>
    <w:lvl w:ilvl="0">
      <w:start w:val="1"/>
      <w:numFmt w:val="bullet"/>
      <w:lvlText w:val=""/>
      <w:lvlJc w:val="left"/>
      <w:pPr>
        <w:tabs>
          <w:tab w:val="num" w:pos="1080"/>
        </w:tabs>
        <w:ind w:left="1080" w:hanging="360"/>
      </w:pPr>
      <w:rPr>
        <w:rFonts w:ascii="Symbol" w:hAnsi="Symbol" w:hint="default"/>
        <w:i w:val="0"/>
      </w:rPr>
    </w:lvl>
    <w:lvl w:ilvl="1">
      <w:start w:val="1"/>
      <w:numFmt w:val="lowerLetter"/>
      <w:lvlText w:val="(%2)"/>
      <w:lvlJc w:val="left"/>
      <w:pPr>
        <w:tabs>
          <w:tab w:val="num" w:pos="2160"/>
        </w:tabs>
        <w:ind w:left="216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
  </w:num>
  <w:num w:numId="2">
    <w:abstractNumId w:val="4"/>
  </w:num>
  <w:num w:numId="3">
    <w:abstractNumId w:val="5"/>
  </w:num>
  <w:num w:numId="4">
    <w:abstractNumId w:val="5"/>
  </w:num>
  <w:num w:numId="5">
    <w:abstractNumId w:val="5"/>
    <w:lvlOverride w:ilvl="0">
      <w:startOverride w:val="6"/>
    </w:lvlOverride>
  </w:num>
  <w:num w:numId="6">
    <w:abstractNumId w:val="5"/>
    <w:lvlOverride w:ilvl="0">
      <w:startOverride w:val="1"/>
    </w:lvlOverride>
  </w:num>
  <w:num w:numId="7">
    <w:abstractNumId w:val="6"/>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8"/>
  </w:num>
  <w:num w:numId="15">
    <w:abstractNumId w:val="5"/>
    <w:lvlOverride w:ilvl="0">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5"/>
    <w:lvlOverride w:ilvl="0">
      <w:startOverride w:val="1"/>
    </w:lvlOverride>
  </w:num>
  <w:num w:numId="19">
    <w:abstractNumId w:val="1"/>
  </w:num>
  <w:num w:numId="20">
    <w:abstractNumId w:val="1"/>
  </w:num>
  <w:num w:numId="21">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8"/>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60C1E"/>
    <w:rsid w:val="00000441"/>
    <w:rsid w:val="00000D57"/>
    <w:rsid w:val="00000DCA"/>
    <w:rsid w:val="0000140F"/>
    <w:rsid w:val="00003B6D"/>
    <w:rsid w:val="00003F7F"/>
    <w:rsid w:val="000046EB"/>
    <w:rsid w:val="00006B9A"/>
    <w:rsid w:val="00006FB0"/>
    <w:rsid w:val="00007279"/>
    <w:rsid w:val="0000727C"/>
    <w:rsid w:val="00007BB3"/>
    <w:rsid w:val="00007FBF"/>
    <w:rsid w:val="0001243B"/>
    <w:rsid w:val="000139CC"/>
    <w:rsid w:val="000141AA"/>
    <w:rsid w:val="000152D6"/>
    <w:rsid w:val="000176E1"/>
    <w:rsid w:val="00017B22"/>
    <w:rsid w:val="00020FC0"/>
    <w:rsid w:val="000216B4"/>
    <w:rsid w:val="00021F3B"/>
    <w:rsid w:val="000231E7"/>
    <w:rsid w:val="00023DFB"/>
    <w:rsid w:val="00026FD2"/>
    <w:rsid w:val="00030296"/>
    <w:rsid w:val="00033D2F"/>
    <w:rsid w:val="00036550"/>
    <w:rsid w:val="00036877"/>
    <w:rsid w:val="00036D83"/>
    <w:rsid w:val="000375BB"/>
    <w:rsid w:val="00040447"/>
    <w:rsid w:val="000405B8"/>
    <w:rsid w:val="000412E6"/>
    <w:rsid w:val="00043D93"/>
    <w:rsid w:val="000507AF"/>
    <w:rsid w:val="0005163F"/>
    <w:rsid w:val="00051B02"/>
    <w:rsid w:val="00054767"/>
    <w:rsid w:val="000558E1"/>
    <w:rsid w:val="000566A7"/>
    <w:rsid w:val="000572A4"/>
    <w:rsid w:val="000633F1"/>
    <w:rsid w:val="00063DE5"/>
    <w:rsid w:val="00063F91"/>
    <w:rsid w:val="0006451C"/>
    <w:rsid w:val="00064A98"/>
    <w:rsid w:val="00066014"/>
    <w:rsid w:val="00066C83"/>
    <w:rsid w:val="000732FF"/>
    <w:rsid w:val="0007420E"/>
    <w:rsid w:val="000744BC"/>
    <w:rsid w:val="00074C59"/>
    <w:rsid w:val="000764FA"/>
    <w:rsid w:val="000767DF"/>
    <w:rsid w:val="00077A26"/>
    <w:rsid w:val="00077B0D"/>
    <w:rsid w:val="0008021E"/>
    <w:rsid w:val="00080B7A"/>
    <w:rsid w:val="00082AA4"/>
    <w:rsid w:val="000835C0"/>
    <w:rsid w:val="00083A2A"/>
    <w:rsid w:val="00083FBF"/>
    <w:rsid w:val="00084792"/>
    <w:rsid w:val="00086744"/>
    <w:rsid w:val="00086FDD"/>
    <w:rsid w:val="000923E4"/>
    <w:rsid w:val="00094EA7"/>
    <w:rsid w:val="00095F69"/>
    <w:rsid w:val="000A268A"/>
    <w:rsid w:val="000A3C7B"/>
    <w:rsid w:val="000A4C4B"/>
    <w:rsid w:val="000A6CD5"/>
    <w:rsid w:val="000A783C"/>
    <w:rsid w:val="000A7A73"/>
    <w:rsid w:val="000B0C83"/>
    <w:rsid w:val="000B36FF"/>
    <w:rsid w:val="000B3A53"/>
    <w:rsid w:val="000B48AB"/>
    <w:rsid w:val="000B501E"/>
    <w:rsid w:val="000C1381"/>
    <w:rsid w:val="000C15D8"/>
    <w:rsid w:val="000C198F"/>
    <w:rsid w:val="000C20F5"/>
    <w:rsid w:val="000C211C"/>
    <w:rsid w:val="000C5604"/>
    <w:rsid w:val="000C5A3E"/>
    <w:rsid w:val="000C5B01"/>
    <w:rsid w:val="000C5D86"/>
    <w:rsid w:val="000D0921"/>
    <w:rsid w:val="000D0BC5"/>
    <w:rsid w:val="000E0C17"/>
    <w:rsid w:val="000E2D8F"/>
    <w:rsid w:val="000E3D9C"/>
    <w:rsid w:val="000F1B74"/>
    <w:rsid w:val="000F1C19"/>
    <w:rsid w:val="000F23EE"/>
    <w:rsid w:val="001023C8"/>
    <w:rsid w:val="00102610"/>
    <w:rsid w:val="00102D30"/>
    <w:rsid w:val="001035D0"/>
    <w:rsid w:val="00104960"/>
    <w:rsid w:val="00104EF2"/>
    <w:rsid w:val="00105704"/>
    <w:rsid w:val="00106BB6"/>
    <w:rsid w:val="00110276"/>
    <w:rsid w:val="001105D7"/>
    <w:rsid w:val="0011118D"/>
    <w:rsid w:val="00111248"/>
    <w:rsid w:val="00112590"/>
    <w:rsid w:val="00112B0D"/>
    <w:rsid w:val="00113632"/>
    <w:rsid w:val="00113E37"/>
    <w:rsid w:val="0011418A"/>
    <w:rsid w:val="00114546"/>
    <w:rsid w:val="001147AF"/>
    <w:rsid w:val="00116E33"/>
    <w:rsid w:val="00117968"/>
    <w:rsid w:val="00117A4C"/>
    <w:rsid w:val="00120BB8"/>
    <w:rsid w:val="00121A17"/>
    <w:rsid w:val="0012268A"/>
    <w:rsid w:val="001236A7"/>
    <w:rsid w:val="001238C1"/>
    <w:rsid w:val="00124648"/>
    <w:rsid w:val="00125174"/>
    <w:rsid w:val="00125CB9"/>
    <w:rsid w:val="00126AF5"/>
    <w:rsid w:val="00127147"/>
    <w:rsid w:val="0012725A"/>
    <w:rsid w:val="00130083"/>
    <w:rsid w:val="00131913"/>
    <w:rsid w:val="001341EB"/>
    <w:rsid w:val="00134560"/>
    <w:rsid w:val="00134850"/>
    <w:rsid w:val="001363D0"/>
    <w:rsid w:val="00136643"/>
    <w:rsid w:val="0013720E"/>
    <w:rsid w:val="00137737"/>
    <w:rsid w:val="001415C0"/>
    <w:rsid w:val="00141845"/>
    <w:rsid w:val="00141C5D"/>
    <w:rsid w:val="00141D3E"/>
    <w:rsid w:val="00143FF1"/>
    <w:rsid w:val="001442D9"/>
    <w:rsid w:val="001467FA"/>
    <w:rsid w:val="00146868"/>
    <w:rsid w:val="00146DD4"/>
    <w:rsid w:val="00146E65"/>
    <w:rsid w:val="001473C2"/>
    <w:rsid w:val="00152631"/>
    <w:rsid w:val="00152ED0"/>
    <w:rsid w:val="00153932"/>
    <w:rsid w:val="00154222"/>
    <w:rsid w:val="001548A3"/>
    <w:rsid w:val="00155317"/>
    <w:rsid w:val="00155A75"/>
    <w:rsid w:val="00155CF9"/>
    <w:rsid w:val="001577D5"/>
    <w:rsid w:val="0016046A"/>
    <w:rsid w:val="001644CA"/>
    <w:rsid w:val="00165280"/>
    <w:rsid w:val="00172EAE"/>
    <w:rsid w:val="0017489B"/>
    <w:rsid w:val="001765DB"/>
    <w:rsid w:val="00176B66"/>
    <w:rsid w:val="001806A8"/>
    <w:rsid w:val="00183B75"/>
    <w:rsid w:val="00185298"/>
    <w:rsid w:val="001877B1"/>
    <w:rsid w:val="001918E3"/>
    <w:rsid w:val="00193CD4"/>
    <w:rsid w:val="00195724"/>
    <w:rsid w:val="00197264"/>
    <w:rsid w:val="001A0478"/>
    <w:rsid w:val="001A06FF"/>
    <w:rsid w:val="001A35DA"/>
    <w:rsid w:val="001A3F28"/>
    <w:rsid w:val="001A585A"/>
    <w:rsid w:val="001A5CA9"/>
    <w:rsid w:val="001A6B4E"/>
    <w:rsid w:val="001B1295"/>
    <w:rsid w:val="001B1559"/>
    <w:rsid w:val="001B304D"/>
    <w:rsid w:val="001B3B2C"/>
    <w:rsid w:val="001B6ED6"/>
    <w:rsid w:val="001C0894"/>
    <w:rsid w:val="001C1945"/>
    <w:rsid w:val="001C1F04"/>
    <w:rsid w:val="001C2BC0"/>
    <w:rsid w:val="001C2BC6"/>
    <w:rsid w:val="001C315A"/>
    <w:rsid w:val="001C43DC"/>
    <w:rsid w:val="001C442A"/>
    <w:rsid w:val="001C6052"/>
    <w:rsid w:val="001C7747"/>
    <w:rsid w:val="001D0328"/>
    <w:rsid w:val="001D107F"/>
    <w:rsid w:val="001D1727"/>
    <w:rsid w:val="001D2F06"/>
    <w:rsid w:val="001D35FF"/>
    <w:rsid w:val="001D3619"/>
    <w:rsid w:val="001D4B84"/>
    <w:rsid w:val="001D5EAD"/>
    <w:rsid w:val="001D5F1A"/>
    <w:rsid w:val="001E002A"/>
    <w:rsid w:val="001E076B"/>
    <w:rsid w:val="001E0C20"/>
    <w:rsid w:val="001E1B37"/>
    <w:rsid w:val="001E1FC9"/>
    <w:rsid w:val="001E2025"/>
    <w:rsid w:val="001E2507"/>
    <w:rsid w:val="001E27C2"/>
    <w:rsid w:val="001E3CF0"/>
    <w:rsid w:val="001E4086"/>
    <w:rsid w:val="001E51EB"/>
    <w:rsid w:val="001F115E"/>
    <w:rsid w:val="001F17D4"/>
    <w:rsid w:val="001F3A13"/>
    <w:rsid w:val="001F5A6C"/>
    <w:rsid w:val="001F6065"/>
    <w:rsid w:val="001F655F"/>
    <w:rsid w:val="001F6E23"/>
    <w:rsid w:val="001F7155"/>
    <w:rsid w:val="001F7EB0"/>
    <w:rsid w:val="00200A87"/>
    <w:rsid w:val="00201523"/>
    <w:rsid w:val="00202DBF"/>
    <w:rsid w:val="00203D01"/>
    <w:rsid w:val="00207237"/>
    <w:rsid w:val="002074B9"/>
    <w:rsid w:val="00207785"/>
    <w:rsid w:val="00211D3E"/>
    <w:rsid w:val="00213388"/>
    <w:rsid w:val="00215B57"/>
    <w:rsid w:val="0021788B"/>
    <w:rsid w:val="00221719"/>
    <w:rsid w:val="00221789"/>
    <w:rsid w:val="002246EC"/>
    <w:rsid w:val="00225004"/>
    <w:rsid w:val="0022566D"/>
    <w:rsid w:val="002279E3"/>
    <w:rsid w:val="00227F1E"/>
    <w:rsid w:val="00230124"/>
    <w:rsid w:val="002307F5"/>
    <w:rsid w:val="0023387D"/>
    <w:rsid w:val="00234FE3"/>
    <w:rsid w:val="0023605F"/>
    <w:rsid w:val="00237D5C"/>
    <w:rsid w:val="00241B88"/>
    <w:rsid w:val="002423E6"/>
    <w:rsid w:val="00242EC2"/>
    <w:rsid w:val="00246D5B"/>
    <w:rsid w:val="00246F90"/>
    <w:rsid w:val="00253090"/>
    <w:rsid w:val="002534F7"/>
    <w:rsid w:val="00254495"/>
    <w:rsid w:val="00254BDC"/>
    <w:rsid w:val="002553A8"/>
    <w:rsid w:val="00256BF4"/>
    <w:rsid w:val="00257A59"/>
    <w:rsid w:val="00257DD6"/>
    <w:rsid w:val="0026104D"/>
    <w:rsid w:val="0026110D"/>
    <w:rsid w:val="002634D5"/>
    <w:rsid w:val="00264587"/>
    <w:rsid w:val="00267B01"/>
    <w:rsid w:val="00270790"/>
    <w:rsid w:val="002707BF"/>
    <w:rsid w:val="002720E8"/>
    <w:rsid w:val="00272532"/>
    <w:rsid w:val="00273A78"/>
    <w:rsid w:val="002742B6"/>
    <w:rsid w:val="00274BC3"/>
    <w:rsid w:val="00275B16"/>
    <w:rsid w:val="00277786"/>
    <w:rsid w:val="00280154"/>
    <w:rsid w:val="002803D3"/>
    <w:rsid w:val="00282357"/>
    <w:rsid w:val="002866D3"/>
    <w:rsid w:val="00290D62"/>
    <w:rsid w:val="002930DD"/>
    <w:rsid w:val="0029498B"/>
    <w:rsid w:val="00294E31"/>
    <w:rsid w:val="00296C5C"/>
    <w:rsid w:val="002A0A55"/>
    <w:rsid w:val="002A1E4F"/>
    <w:rsid w:val="002A3194"/>
    <w:rsid w:val="002A4293"/>
    <w:rsid w:val="002A45D1"/>
    <w:rsid w:val="002A51EF"/>
    <w:rsid w:val="002B3818"/>
    <w:rsid w:val="002B3DB1"/>
    <w:rsid w:val="002B4ED9"/>
    <w:rsid w:val="002B4FD6"/>
    <w:rsid w:val="002B6E82"/>
    <w:rsid w:val="002C2A4B"/>
    <w:rsid w:val="002C2BF8"/>
    <w:rsid w:val="002C2C8C"/>
    <w:rsid w:val="002C3BDF"/>
    <w:rsid w:val="002C3E2B"/>
    <w:rsid w:val="002C5428"/>
    <w:rsid w:val="002C687D"/>
    <w:rsid w:val="002C7FD1"/>
    <w:rsid w:val="002D29BA"/>
    <w:rsid w:val="002D3D12"/>
    <w:rsid w:val="002D4E3F"/>
    <w:rsid w:val="002D6403"/>
    <w:rsid w:val="002D79ED"/>
    <w:rsid w:val="002E033C"/>
    <w:rsid w:val="002E4094"/>
    <w:rsid w:val="002E46C0"/>
    <w:rsid w:val="002F08F0"/>
    <w:rsid w:val="002F1AC4"/>
    <w:rsid w:val="002F3A9B"/>
    <w:rsid w:val="002F547B"/>
    <w:rsid w:val="002F553A"/>
    <w:rsid w:val="002F5AB0"/>
    <w:rsid w:val="002F5C40"/>
    <w:rsid w:val="00301CF6"/>
    <w:rsid w:val="00301F33"/>
    <w:rsid w:val="00302EF1"/>
    <w:rsid w:val="003047EB"/>
    <w:rsid w:val="0031343E"/>
    <w:rsid w:val="003134E7"/>
    <w:rsid w:val="003142B9"/>
    <w:rsid w:val="0031498D"/>
    <w:rsid w:val="00314DC3"/>
    <w:rsid w:val="00314F68"/>
    <w:rsid w:val="003155E8"/>
    <w:rsid w:val="00315BCB"/>
    <w:rsid w:val="00316C66"/>
    <w:rsid w:val="0032014E"/>
    <w:rsid w:val="0032101B"/>
    <w:rsid w:val="00323DF3"/>
    <w:rsid w:val="00324526"/>
    <w:rsid w:val="003314C2"/>
    <w:rsid w:val="003326E4"/>
    <w:rsid w:val="0033493A"/>
    <w:rsid w:val="00334D6F"/>
    <w:rsid w:val="00336B65"/>
    <w:rsid w:val="00342E34"/>
    <w:rsid w:val="0034399F"/>
    <w:rsid w:val="00343F5E"/>
    <w:rsid w:val="00344C89"/>
    <w:rsid w:val="00346318"/>
    <w:rsid w:val="00350633"/>
    <w:rsid w:val="00351E0A"/>
    <w:rsid w:val="003526B8"/>
    <w:rsid w:val="00354450"/>
    <w:rsid w:val="00355299"/>
    <w:rsid w:val="003566FC"/>
    <w:rsid w:val="00356833"/>
    <w:rsid w:val="003613AF"/>
    <w:rsid w:val="00361EDE"/>
    <w:rsid w:val="003641D0"/>
    <w:rsid w:val="00366666"/>
    <w:rsid w:val="00370ACF"/>
    <w:rsid w:val="00370CFD"/>
    <w:rsid w:val="00375CB4"/>
    <w:rsid w:val="003761C7"/>
    <w:rsid w:val="00376686"/>
    <w:rsid w:val="003810F4"/>
    <w:rsid w:val="003815A9"/>
    <w:rsid w:val="00385A83"/>
    <w:rsid w:val="00386784"/>
    <w:rsid w:val="00386BD1"/>
    <w:rsid w:val="003870D8"/>
    <w:rsid w:val="00393D20"/>
    <w:rsid w:val="00395E96"/>
    <w:rsid w:val="003A0801"/>
    <w:rsid w:val="003A0BDF"/>
    <w:rsid w:val="003A5375"/>
    <w:rsid w:val="003A6BF6"/>
    <w:rsid w:val="003A768A"/>
    <w:rsid w:val="003A79CD"/>
    <w:rsid w:val="003A7AC3"/>
    <w:rsid w:val="003B2A24"/>
    <w:rsid w:val="003B32C0"/>
    <w:rsid w:val="003B7D84"/>
    <w:rsid w:val="003C02C4"/>
    <w:rsid w:val="003C3957"/>
    <w:rsid w:val="003C56FF"/>
    <w:rsid w:val="003C6F10"/>
    <w:rsid w:val="003C72E2"/>
    <w:rsid w:val="003C7AEB"/>
    <w:rsid w:val="003D0575"/>
    <w:rsid w:val="003D0B7E"/>
    <w:rsid w:val="003D0F1A"/>
    <w:rsid w:val="003D1197"/>
    <w:rsid w:val="003D2BF2"/>
    <w:rsid w:val="003D3526"/>
    <w:rsid w:val="003D3F7E"/>
    <w:rsid w:val="003D43EF"/>
    <w:rsid w:val="003D4AFA"/>
    <w:rsid w:val="003D566E"/>
    <w:rsid w:val="003D7502"/>
    <w:rsid w:val="003E0967"/>
    <w:rsid w:val="003E2A2A"/>
    <w:rsid w:val="003E304A"/>
    <w:rsid w:val="003E325D"/>
    <w:rsid w:val="003E410C"/>
    <w:rsid w:val="003E68F3"/>
    <w:rsid w:val="003E6EE0"/>
    <w:rsid w:val="003F0001"/>
    <w:rsid w:val="003F045C"/>
    <w:rsid w:val="003F0B37"/>
    <w:rsid w:val="003F0C00"/>
    <w:rsid w:val="003F11DE"/>
    <w:rsid w:val="003F1F6A"/>
    <w:rsid w:val="003F7D22"/>
    <w:rsid w:val="00401333"/>
    <w:rsid w:val="00406F1E"/>
    <w:rsid w:val="0040733E"/>
    <w:rsid w:val="004077BF"/>
    <w:rsid w:val="00411663"/>
    <w:rsid w:val="00412162"/>
    <w:rsid w:val="004134A6"/>
    <w:rsid w:val="004148A5"/>
    <w:rsid w:val="00414C79"/>
    <w:rsid w:val="00415199"/>
    <w:rsid w:val="0041632F"/>
    <w:rsid w:val="00416B33"/>
    <w:rsid w:val="004207B2"/>
    <w:rsid w:val="0042150B"/>
    <w:rsid w:val="00422CFC"/>
    <w:rsid w:val="00423CE4"/>
    <w:rsid w:val="004242B9"/>
    <w:rsid w:val="004253F9"/>
    <w:rsid w:val="00427391"/>
    <w:rsid w:val="00430806"/>
    <w:rsid w:val="00431735"/>
    <w:rsid w:val="00431EBF"/>
    <w:rsid w:val="00433ACB"/>
    <w:rsid w:val="00435B88"/>
    <w:rsid w:val="004400DB"/>
    <w:rsid w:val="0044021E"/>
    <w:rsid w:val="00440809"/>
    <w:rsid w:val="00441D5D"/>
    <w:rsid w:val="00442214"/>
    <w:rsid w:val="00444B6C"/>
    <w:rsid w:val="00446984"/>
    <w:rsid w:val="00446CB5"/>
    <w:rsid w:val="0044710C"/>
    <w:rsid w:val="00451C68"/>
    <w:rsid w:val="00452E7D"/>
    <w:rsid w:val="0045362F"/>
    <w:rsid w:val="00456307"/>
    <w:rsid w:val="00456952"/>
    <w:rsid w:val="00457673"/>
    <w:rsid w:val="00461CB5"/>
    <w:rsid w:val="00462EF6"/>
    <w:rsid w:val="00462F9E"/>
    <w:rsid w:val="004649D4"/>
    <w:rsid w:val="00464B6F"/>
    <w:rsid w:val="00467930"/>
    <w:rsid w:val="0047002C"/>
    <w:rsid w:val="00470649"/>
    <w:rsid w:val="0047068E"/>
    <w:rsid w:val="004717C1"/>
    <w:rsid w:val="00473980"/>
    <w:rsid w:val="00480448"/>
    <w:rsid w:val="00480597"/>
    <w:rsid w:val="00480731"/>
    <w:rsid w:val="00480A13"/>
    <w:rsid w:val="00480A2E"/>
    <w:rsid w:val="00480B40"/>
    <w:rsid w:val="00481A45"/>
    <w:rsid w:val="004828D3"/>
    <w:rsid w:val="004914E7"/>
    <w:rsid w:val="00493171"/>
    <w:rsid w:val="00494894"/>
    <w:rsid w:val="00494A29"/>
    <w:rsid w:val="00494C47"/>
    <w:rsid w:val="00494D9D"/>
    <w:rsid w:val="00495B13"/>
    <w:rsid w:val="004A0425"/>
    <w:rsid w:val="004A063A"/>
    <w:rsid w:val="004A24B7"/>
    <w:rsid w:val="004A2B18"/>
    <w:rsid w:val="004A2D05"/>
    <w:rsid w:val="004A30FE"/>
    <w:rsid w:val="004A3CBF"/>
    <w:rsid w:val="004A6641"/>
    <w:rsid w:val="004A6694"/>
    <w:rsid w:val="004A7388"/>
    <w:rsid w:val="004B131C"/>
    <w:rsid w:val="004B1A03"/>
    <w:rsid w:val="004B2EBB"/>
    <w:rsid w:val="004B32D3"/>
    <w:rsid w:val="004B44ED"/>
    <w:rsid w:val="004B46B3"/>
    <w:rsid w:val="004B75BC"/>
    <w:rsid w:val="004B7F60"/>
    <w:rsid w:val="004C0CEC"/>
    <w:rsid w:val="004C15B2"/>
    <w:rsid w:val="004C1AB5"/>
    <w:rsid w:val="004C3D46"/>
    <w:rsid w:val="004C476E"/>
    <w:rsid w:val="004C54C7"/>
    <w:rsid w:val="004D0129"/>
    <w:rsid w:val="004D0B70"/>
    <w:rsid w:val="004D1404"/>
    <w:rsid w:val="004D47BF"/>
    <w:rsid w:val="004D6F0A"/>
    <w:rsid w:val="004D723B"/>
    <w:rsid w:val="004E2B6A"/>
    <w:rsid w:val="004E40E3"/>
    <w:rsid w:val="004E4952"/>
    <w:rsid w:val="004E6276"/>
    <w:rsid w:val="004E7443"/>
    <w:rsid w:val="004F069D"/>
    <w:rsid w:val="004F27CB"/>
    <w:rsid w:val="004F30A7"/>
    <w:rsid w:val="004F47FD"/>
    <w:rsid w:val="00503CA8"/>
    <w:rsid w:val="00504AEA"/>
    <w:rsid w:val="00505B91"/>
    <w:rsid w:val="00505C60"/>
    <w:rsid w:val="0050691C"/>
    <w:rsid w:val="00506BA0"/>
    <w:rsid w:val="00506C45"/>
    <w:rsid w:val="00513674"/>
    <w:rsid w:val="005138C4"/>
    <w:rsid w:val="005149CB"/>
    <w:rsid w:val="00516C2F"/>
    <w:rsid w:val="005175F1"/>
    <w:rsid w:val="0052298A"/>
    <w:rsid w:val="00523196"/>
    <w:rsid w:val="005231EF"/>
    <w:rsid w:val="0052492A"/>
    <w:rsid w:val="00525031"/>
    <w:rsid w:val="00526F18"/>
    <w:rsid w:val="00527609"/>
    <w:rsid w:val="005279F1"/>
    <w:rsid w:val="00531CC7"/>
    <w:rsid w:val="005339EE"/>
    <w:rsid w:val="00533C49"/>
    <w:rsid w:val="00533F72"/>
    <w:rsid w:val="00535579"/>
    <w:rsid w:val="00537A48"/>
    <w:rsid w:val="00543252"/>
    <w:rsid w:val="00543598"/>
    <w:rsid w:val="0054456B"/>
    <w:rsid w:val="00544BF9"/>
    <w:rsid w:val="00546BCF"/>
    <w:rsid w:val="00546C23"/>
    <w:rsid w:val="00547CD4"/>
    <w:rsid w:val="00550242"/>
    <w:rsid w:val="0055386D"/>
    <w:rsid w:val="00554153"/>
    <w:rsid w:val="005547FD"/>
    <w:rsid w:val="00556B82"/>
    <w:rsid w:val="00560257"/>
    <w:rsid w:val="005615A9"/>
    <w:rsid w:val="00561D10"/>
    <w:rsid w:val="0056349F"/>
    <w:rsid w:val="0056537D"/>
    <w:rsid w:val="00566A72"/>
    <w:rsid w:val="00573145"/>
    <w:rsid w:val="00574724"/>
    <w:rsid w:val="00574B60"/>
    <w:rsid w:val="005764C6"/>
    <w:rsid w:val="00576566"/>
    <w:rsid w:val="0057661F"/>
    <w:rsid w:val="0057729E"/>
    <w:rsid w:val="00577729"/>
    <w:rsid w:val="005807C0"/>
    <w:rsid w:val="005825EB"/>
    <w:rsid w:val="005827E0"/>
    <w:rsid w:val="0058353B"/>
    <w:rsid w:val="0058435F"/>
    <w:rsid w:val="00585A10"/>
    <w:rsid w:val="00590F54"/>
    <w:rsid w:val="00592CBE"/>
    <w:rsid w:val="00593478"/>
    <w:rsid w:val="00597946"/>
    <w:rsid w:val="00597B9A"/>
    <w:rsid w:val="005A03E4"/>
    <w:rsid w:val="005A1444"/>
    <w:rsid w:val="005A1F5C"/>
    <w:rsid w:val="005A36F4"/>
    <w:rsid w:val="005A45AA"/>
    <w:rsid w:val="005A5072"/>
    <w:rsid w:val="005B0C65"/>
    <w:rsid w:val="005B0CAD"/>
    <w:rsid w:val="005B1D70"/>
    <w:rsid w:val="005B6D6A"/>
    <w:rsid w:val="005C0047"/>
    <w:rsid w:val="005C08EA"/>
    <w:rsid w:val="005C0AAF"/>
    <w:rsid w:val="005C0F4F"/>
    <w:rsid w:val="005C268F"/>
    <w:rsid w:val="005C6960"/>
    <w:rsid w:val="005D081A"/>
    <w:rsid w:val="005D2995"/>
    <w:rsid w:val="005D5BE7"/>
    <w:rsid w:val="005D6383"/>
    <w:rsid w:val="005D7CCF"/>
    <w:rsid w:val="005E10C1"/>
    <w:rsid w:val="005E3FA2"/>
    <w:rsid w:val="005E4080"/>
    <w:rsid w:val="005E6282"/>
    <w:rsid w:val="005F12B3"/>
    <w:rsid w:val="005F5D8D"/>
    <w:rsid w:val="00602C94"/>
    <w:rsid w:val="00603C0D"/>
    <w:rsid w:val="006052A5"/>
    <w:rsid w:val="0060616F"/>
    <w:rsid w:val="00606D98"/>
    <w:rsid w:val="006074EC"/>
    <w:rsid w:val="00610033"/>
    <w:rsid w:val="00610AB5"/>
    <w:rsid w:val="006111BE"/>
    <w:rsid w:val="0061127F"/>
    <w:rsid w:val="006136CC"/>
    <w:rsid w:val="00616BDB"/>
    <w:rsid w:val="0061719A"/>
    <w:rsid w:val="00617521"/>
    <w:rsid w:val="006176C1"/>
    <w:rsid w:val="00617E76"/>
    <w:rsid w:val="00621FFF"/>
    <w:rsid w:val="00622C2B"/>
    <w:rsid w:val="00622E9E"/>
    <w:rsid w:val="006257D4"/>
    <w:rsid w:val="00625ED6"/>
    <w:rsid w:val="006276F9"/>
    <w:rsid w:val="00627FEA"/>
    <w:rsid w:val="00632311"/>
    <w:rsid w:val="00632D70"/>
    <w:rsid w:val="00633BEB"/>
    <w:rsid w:val="006348EF"/>
    <w:rsid w:val="00634E73"/>
    <w:rsid w:val="00641811"/>
    <w:rsid w:val="00641860"/>
    <w:rsid w:val="0064389D"/>
    <w:rsid w:val="0064394B"/>
    <w:rsid w:val="00643F85"/>
    <w:rsid w:val="00644921"/>
    <w:rsid w:val="006454CA"/>
    <w:rsid w:val="00645540"/>
    <w:rsid w:val="0065114C"/>
    <w:rsid w:val="00652A5A"/>
    <w:rsid w:val="006537FE"/>
    <w:rsid w:val="00660C1E"/>
    <w:rsid w:val="00660DAC"/>
    <w:rsid w:val="006613F2"/>
    <w:rsid w:val="00661BF1"/>
    <w:rsid w:val="006648B9"/>
    <w:rsid w:val="006710D1"/>
    <w:rsid w:val="0067195E"/>
    <w:rsid w:val="0067656A"/>
    <w:rsid w:val="00676DDA"/>
    <w:rsid w:val="006803D4"/>
    <w:rsid w:val="00680B3C"/>
    <w:rsid w:val="00681D1F"/>
    <w:rsid w:val="00683B3A"/>
    <w:rsid w:val="00684B42"/>
    <w:rsid w:val="00686770"/>
    <w:rsid w:val="00686E23"/>
    <w:rsid w:val="0069283D"/>
    <w:rsid w:val="006A67C1"/>
    <w:rsid w:val="006A6B0B"/>
    <w:rsid w:val="006A73A3"/>
    <w:rsid w:val="006A7B56"/>
    <w:rsid w:val="006B2DAA"/>
    <w:rsid w:val="006B49C0"/>
    <w:rsid w:val="006B5DA3"/>
    <w:rsid w:val="006C16A1"/>
    <w:rsid w:val="006C4A7D"/>
    <w:rsid w:val="006C7545"/>
    <w:rsid w:val="006C758E"/>
    <w:rsid w:val="006D0B33"/>
    <w:rsid w:val="006D1FB3"/>
    <w:rsid w:val="006D2719"/>
    <w:rsid w:val="006D2D37"/>
    <w:rsid w:val="006D3BD7"/>
    <w:rsid w:val="006D48E8"/>
    <w:rsid w:val="006D5AB5"/>
    <w:rsid w:val="006E0666"/>
    <w:rsid w:val="006E1E9E"/>
    <w:rsid w:val="006E369B"/>
    <w:rsid w:val="006E36F8"/>
    <w:rsid w:val="006E5E2B"/>
    <w:rsid w:val="006F0BA6"/>
    <w:rsid w:val="006F3F47"/>
    <w:rsid w:val="006F41C3"/>
    <w:rsid w:val="006F7B25"/>
    <w:rsid w:val="007024ED"/>
    <w:rsid w:val="00702E26"/>
    <w:rsid w:val="0070420D"/>
    <w:rsid w:val="007117B6"/>
    <w:rsid w:val="00711ED9"/>
    <w:rsid w:val="00712009"/>
    <w:rsid w:val="0071278A"/>
    <w:rsid w:val="0071323F"/>
    <w:rsid w:val="00713691"/>
    <w:rsid w:val="007137EB"/>
    <w:rsid w:val="007155FF"/>
    <w:rsid w:val="00720842"/>
    <w:rsid w:val="00724A74"/>
    <w:rsid w:val="00724FD3"/>
    <w:rsid w:val="007250F0"/>
    <w:rsid w:val="0072536D"/>
    <w:rsid w:val="00725BE7"/>
    <w:rsid w:val="00725D87"/>
    <w:rsid w:val="00725F73"/>
    <w:rsid w:val="007272EB"/>
    <w:rsid w:val="00727E7F"/>
    <w:rsid w:val="00734A43"/>
    <w:rsid w:val="007410C7"/>
    <w:rsid w:val="00741545"/>
    <w:rsid w:val="00743EAD"/>
    <w:rsid w:val="0074637B"/>
    <w:rsid w:val="00752713"/>
    <w:rsid w:val="00755076"/>
    <w:rsid w:val="00755C35"/>
    <w:rsid w:val="0075741D"/>
    <w:rsid w:val="007578C1"/>
    <w:rsid w:val="00757E1C"/>
    <w:rsid w:val="00760D52"/>
    <w:rsid w:val="007619FA"/>
    <w:rsid w:val="00762E8E"/>
    <w:rsid w:val="00763109"/>
    <w:rsid w:val="0076596F"/>
    <w:rsid w:val="00767B50"/>
    <w:rsid w:val="00772DA9"/>
    <w:rsid w:val="00772F0D"/>
    <w:rsid w:val="007738AC"/>
    <w:rsid w:val="007740B7"/>
    <w:rsid w:val="007741AF"/>
    <w:rsid w:val="00776F7C"/>
    <w:rsid w:val="00781CDC"/>
    <w:rsid w:val="00781E74"/>
    <w:rsid w:val="0078282F"/>
    <w:rsid w:val="00782FA4"/>
    <w:rsid w:val="00785E68"/>
    <w:rsid w:val="0078693A"/>
    <w:rsid w:val="007911DA"/>
    <w:rsid w:val="007925B6"/>
    <w:rsid w:val="00793D54"/>
    <w:rsid w:val="00793F36"/>
    <w:rsid w:val="00793FEC"/>
    <w:rsid w:val="00795D6D"/>
    <w:rsid w:val="007977BF"/>
    <w:rsid w:val="007A353F"/>
    <w:rsid w:val="007A3721"/>
    <w:rsid w:val="007A41FC"/>
    <w:rsid w:val="007A5CA5"/>
    <w:rsid w:val="007A6695"/>
    <w:rsid w:val="007A737E"/>
    <w:rsid w:val="007B0A71"/>
    <w:rsid w:val="007B1E1C"/>
    <w:rsid w:val="007B37F1"/>
    <w:rsid w:val="007C0309"/>
    <w:rsid w:val="007C3D58"/>
    <w:rsid w:val="007C4439"/>
    <w:rsid w:val="007C48B1"/>
    <w:rsid w:val="007C4AFE"/>
    <w:rsid w:val="007C5A39"/>
    <w:rsid w:val="007D01C0"/>
    <w:rsid w:val="007D3FA4"/>
    <w:rsid w:val="007D4917"/>
    <w:rsid w:val="007D4BD4"/>
    <w:rsid w:val="007D5AEC"/>
    <w:rsid w:val="007D5C08"/>
    <w:rsid w:val="007D5E58"/>
    <w:rsid w:val="007D7B05"/>
    <w:rsid w:val="007E014A"/>
    <w:rsid w:val="007E0B4A"/>
    <w:rsid w:val="007E1CEC"/>
    <w:rsid w:val="007E2046"/>
    <w:rsid w:val="007E2779"/>
    <w:rsid w:val="007E5F54"/>
    <w:rsid w:val="007F0580"/>
    <w:rsid w:val="007F5B73"/>
    <w:rsid w:val="007F62F6"/>
    <w:rsid w:val="007F7460"/>
    <w:rsid w:val="007F79E8"/>
    <w:rsid w:val="00800479"/>
    <w:rsid w:val="00801566"/>
    <w:rsid w:val="00801626"/>
    <w:rsid w:val="00802E13"/>
    <w:rsid w:val="0080431D"/>
    <w:rsid w:val="00804B1F"/>
    <w:rsid w:val="00807EB1"/>
    <w:rsid w:val="008113F3"/>
    <w:rsid w:val="00811BE2"/>
    <w:rsid w:val="00811E55"/>
    <w:rsid w:val="00813F15"/>
    <w:rsid w:val="00814B4E"/>
    <w:rsid w:val="0081539A"/>
    <w:rsid w:val="008154C2"/>
    <w:rsid w:val="008162D2"/>
    <w:rsid w:val="008165B9"/>
    <w:rsid w:val="008170E4"/>
    <w:rsid w:val="0082126F"/>
    <w:rsid w:val="00824FF2"/>
    <w:rsid w:val="0082617C"/>
    <w:rsid w:val="008272D4"/>
    <w:rsid w:val="008355D4"/>
    <w:rsid w:val="00840344"/>
    <w:rsid w:val="00840E65"/>
    <w:rsid w:val="00841236"/>
    <w:rsid w:val="00843872"/>
    <w:rsid w:val="0084599F"/>
    <w:rsid w:val="00846551"/>
    <w:rsid w:val="00846603"/>
    <w:rsid w:val="008469E3"/>
    <w:rsid w:val="008470DD"/>
    <w:rsid w:val="00847CB9"/>
    <w:rsid w:val="008531E8"/>
    <w:rsid w:val="008541C2"/>
    <w:rsid w:val="00855105"/>
    <w:rsid w:val="008560FD"/>
    <w:rsid w:val="0085799F"/>
    <w:rsid w:val="008608D2"/>
    <w:rsid w:val="00861FEE"/>
    <w:rsid w:val="0086223F"/>
    <w:rsid w:val="008639ED"/>
    <w:rsid w:val="00863A9F"/>
    <w:rsid w:val="008668D0"/>
    <w:rsid w:val="008711BE"/>
    <w:rsid w:val="008730B1"/>
    <w:rsid w:val="0087339E"/>
    <w:rsid w:val="00873E47"/>
    <w:rsid w:val="00874902"/>
    <w:rsid w:val="00874E20"/>
    <w:rsid w:val="00881700"/>
    <w:rsid w:val="0088306B"/>
    <w:rsid w:val="0088356D"/>
    <w:rsid w:val="00883B1C"/>
    <w:rsid w:val="008856BA"/>
    <w:rsid w:val="0089154F"/>
    <w:rsid w:val="008971AA"/>
    <w:rsid w:val="008A0A4B"/>
    <w:rsid w:val="008A4D3E"/>
    <w:rsid w:val="008A56D5"/>
    <w:rsid w:val="008A7DC5"/>
    <w:rsid w:val="008B5285"/>
    <w:rsid w:val="008B5AEB"/>
    <w:rsid w:val="008B6717"/>
    <w:rsid w:val="008B70D9"/>
    <w:rsid w:val="008B7ED8"/>
    <w:rsid w:val="008C6052"/>
    <w:rsid w:val="008C6602"/>
    <w:rsid w:val="008C708A"/>
    <w:rsid w:val="008D1DDB"/>
    <w:rsid w:val="008D25E7"/>
    <w:rsid w:val="008D5D7D"/>
    <w:rsid w:val="008E0066"/>
    <w:rsid w:val="008E089F"/>
    <w:rsid w:val="008E257A"/>
    <w:rsid w:val="008E3755"/>
    <w:rsid w:val="008E4C9C"/>
    <w:rsid w:val="008E66EE"/>
    <w:rsid w:val="008E6C1A"/>
    <w:rsid w:val="008F7207"/>
    <w:rsid w:val="008F7EE3"/>
    <w:rsid w:val="008F7EFF"/>
    <w:rsid w:val="00902E06"/>
    <w:rsid w:val="00903EFE"/>
    <w:rsid w:val="00904BFD"/>
    <w:rsid w:val="0090705A"/>
    <w:rsid w:val="00911754"/>
    <w:rsid w:val="00912266"/>
    <w:rsid w:val="009138E9"/>
    <w:rsid w:val="00913D30"/>
    <w:rsid w:val="00915666"/>
    <w:rsid w:val="00916E29"/>
    <w:rsid w:val="00917344"/>
    <w:rsid w:val="00920493"/>
    <w:rsid w:val="00921FDE"/>
    <w:rsid w:val="00922C98"/>
    <w:rsid w:val="00923AB9"/>
    <w:rsid w:val="00926E9C"/>
    <w:rsid w:val="00931828"/>
    <w:rsid w:val="00931D27"/>
    <w:rsid w:val="00932FD9"/>
    <w:rsid w:val="00933E76"/>
    <w:rsid w:val="00934907"/>
    <w:rsid w:val="00936930"/>
    <w:rsid w:val="00937BB2"/>
    <w:rsid w:val="00942003"/>
    <w:rsid w:val="009429F7"/>
    <w:rsid w:val="0094391B"/>
    <w:rsid w:val="00944796"/>
    <w:rsid w:val="00945A3F"/>
    <w:rsid w:val="00947D8D"/>
    <w:rsid w:val="00951370"/>
    <w:rsid w:val="0095249A"/>
    <w:rsid w:val="00953024"/>
    <w:rsid w:val="00953BBE"/>
    <w:rsid w:val="009546B9"/>
    <w:rsid w:val="009548FC"/>
    <w:rsid w:val="00955207"/>
    <w:rsid w:val="0095634C"/>
    <w:rsid w:val="00957866"/>
    <w:rsid w:val="0095790D"/>
    <w:rsid w:val="00961E74"/>
    <w:rsid w:val="00963FC9"/>
    <w:rsid w:val="009677A8"/>
    <w:rsid w:val="0096787B"/>
    <w:rsid w:val="00972288"/>
    <w:rsid w:val="00972A2A"/>
    <w:rsid w:val="00973042"/>
    <w:rsid w:val="009741C9"/>
    <w:rsid w:val="0097469D"/>
    <w:rsid w:val="00974D42"/>
    <w:rsid w:val="00974E86"/>
    <w:rsid w:val="00975BA3"/>
    <w:rsid w:val="009818C5"/>
    <w:rsid w:val="0098293F"/>
    <w:rsid w:val="00982D06"/>
    <w:rsid w:val="00983AAE"/>
    <w:rsid w:val="009854B6"/>
    <w:rsid w:val="0098550A"/>
    <w:rsid w:val="009871C9"/>
    <w:rsid w:val="00987F6B"/>
    <w:rsid w:val="00991133"/>
    <w:rsid w:val="009920DE"/>
    <w:rsid w:val="00995114"/>
    <w:rsid w:val="0099785E"/>
    <w:rsid w:val="009A07BB"/>
    <w:rsid w:val="009A09BA"/>
    <w:rsid w:val="009A1954"/>
    <w:rsid w:val="009A1DA3"/>
    <w:rsid w:val="009A26A1"/>
    <w:rsid w:val="009A44EA"/>
    <w:rsid w:val="009A71B1"/>
    <w:rsid w:val="009A7831"/>
    <w:rsid w:val="009B0AF8"/>
    <w:rsid w:val="009B2AED"/>
    <w:rsid w:val="009B34E5"/>
    <w:rsid w:val="009B5BD5"/>
    <w:rsid w:val="009B5DC3"/>
    <w:rsid w:val="009B5EE2"/>
    <w:rsid w:val="009B6FC5"/>
    <w:rsid w:val="009C04A5"/>
    <w:rsid w:val="009C0FE7"/>
    <w:rsid w:val="009C1067"/>
    <w:rsid w:val="009C2ADC"/>
    <w:rsid w:val="009C4BCF"/>
    <w:rsid w:val="009C560F"/>
    <w:rsid w:val="009C65BB"/>
    <w:rsid w:val="009C6825"/>
    <w:rsid w:val="009C6F6F"/>
    <w:rsid w:val="009C7B7E"/>
    <w:rsid w:val="009C7F4B"/>
    <w:rsid w:val="009D0327"/>
    <w:rsid w:val="009D2E56"/>
    <w:rsid w:val="009D6029"/>
    <w:rsid w:val="009D62D9"/>
    <w:rsid w:val="009D7BD7"/>
    <w:rsid w:val="009E2689"/>
    <w:rsid w:val="009E3FE2"/>
    <w:rsid w:val="009E5E5A"/>
    <w:rsid w:val="009F7502"/>
    <w:rsid w:val="009F7F20"/>
    <w:rsid w:val="00A00B06"/>
    <w:rsid w:val="00A00B0B"/>
    <w:rsid w:val="00A02B0B"/>
    <w:rsid w:val="00A03BEE"/>
    <w:rsid w:val="00A04140"/>
    <w:rsid w:val="00A1076A"/>
    <w:rsid w:val="00A111D5"/>
    <w:rsid w:val="00A13FE3"/>
    <w:rsid w:val="00A14152"/>
    <w:rsid w:val="00A178FB"/>
    <w:rsid w:val="00A222CF"/>
    <w:rsid w:val="00A23050"/>
    <w:rsid w:val="00A23CE2"/>
    <w:rsid w:val="00A24457"/>
    <w:rsid w:val="00A2570F"/>
    <w:rsid w:val="00A30B4B"/>
    <w:rsid w:val="00A3162D"/>
    <w:rsid w:val="00A3239A"/>
    <w:rsid w:val="00A3291A"/>
    <w:rsid w:val="00A3344A"/>
    <w:rsid w:val="00A34AE2"/>
    <w:rsid w:val="00A34E3B"/>
    <w:rsid w:val="00A41745"/>
    <w:rsid w:val="00A443FF"/>
    <w:rsid w:val="00A4500A"/>
    <w:rsid w:val="00A46891"/>
    <w:rsid w:val="00A53E25"/>
    <w:rsid w:val="00A54989"/>
    <w:rsid w:val="00A552CE"/>
    <w:rsid w:val="00A565FA"/>
    <w:rsid w:val="00A579D0"/>
    <w:rsid w:val="00A6194C"/>
    <w:rsid w:val="00A61AF8"/>
    <w:rsid w:val="00A61E48"/>
    <w:rsid w:val="00A6751F"/>
    <w:rsid w:val="00A67944"/>
    <w:rsid w:val="00A70D58"/>
    <w:rsid w:val="00A71162"/>
    <w:rsid w:val="00A729FE"/>
    <w:rsid w:val="00A7363C"/>
    <w:rsid w:val="00A74A81"/>
    <w:rsid w:val="00A74AF8"/>
    <w:rsid w:val="00A75404"/>
    <w:rsid w:val="00A75478"/>
    <w:rsid w:val="00A76924"/>
    <w:rsid w:val="00A77312"/>
    <w:rsid w:val="00A77C58"/>
    <w:rsid w:val="00A82BA5"/>
    <w:rsid w:val="00A836DC"/>
    <w:rsid w:val="00A8685E"/>
    <w:rsid w:val="00A90221"/>
    <w:rsid w:val="00A907E3"/>
    <w:rsid w:val="00A93CEB"/>
    <w:rsid w:val="00A94E9D"/>
    <w:rsid w:val="00A957AB"/>
    <w:rsid w:val="00A95FC8"/>
    <w:rsid w:val="00A9635B"/>
    <w:rsid w:val="00A975A5"/>
    <w:rsid w:val="00AA08A1"/>
    <w:rsid w:val="00AA127E"/>
    <w:rsid w:val="00AA197A"/>
    <w:rsid w:val="00AA2FCF"/>
    <w:rsid w:val="00AA432A"/>
    <w:rsid w:val="00AA4A40"/>
    <w:rsid w:val="00AA520B"/>
    <w:rsid w:val="00AA5A06"/>
    <w:rsid w:val="00AB02A8"/>
    <w:rsid w:val="00AB3136"/>
    <w:rsid w:val="00AB7D4E"/>
    <w:rsid w:val="00AC03F6"/>
    <w:rsid w:val="00AC3B45"/>
    <w:rsid w:val="00AC5BF7"/>
    <w:rsid w:val="00AC5E6F"/>
    <w:rsid w:val="00AC6E63"/>
    <w:rsid w:val="00AC7BEA"/>
    <w:rsid w:val="00AD0D3D"/>
    <w:rsid w:val="00AD262B"/>
    <w:rsid w:val="00AD26B6"/>
    <w:rsid w:val="00AD78D6"/>
    <w:rsid w:val="00AD7C1B"/>
    <w:rsid w:val="00AD7CAC"/>
    <w:rsid w:val="00AD7DF1"/>
    <w:rsid w:val="00AE01A8"/>
    <w:rsid w:val="00AE0B1E"/>
    <w:rsid w:val="00AE1081"/>
    <w:rsid w:val="00AE1244"/>
    <w:rsid w:val="00AE3821"/>
    <w:rsid w:val="00AE50A4"/>
    <w:rsid w:val="00AE6BAC"/>
    <w:rsid w:val="00AE7814"/>
    <w:rsid w:val="00AF287F"/>
    <w:rsid w:val="00AF3335"/>
    <w:rsid w:val="00AF6868"/>
    <w:rsid w:val="00AF6C7E"/>
    <w:rsid w:val="00AF7580"/>
    <w:rsid w:val="00B00197"/>
    <w:rsid w:val="00B00244"/>
    <w:rsid w:val="00B00590"/>
    <w:rsid w:val="00B01042"/>
    <w:rsid w:val="00B01FE2"/>
    <w:rsid w:val="00B0340C"/>
    <w:rsid w:val="00B034A8"/>
    <w:rsid w:val="00B05333"/>
    <w:rsid w:val="00B05434"/>
    <w:rsid w:val="00B05855"/>
    <w:rsid w:val="00B064FC"/>
    <w:rsid w:val="00B07A37"/>
    <w:rsid w:val="00B10B09"/>
    <w:rsid w:val="00B1182C"/>
    <w:rsid w:val="00B125E6"/>
    <w:rsid w:val="00B126A4"/>
    <w:rsid w:val="00B13275"/>
    <w:rsid w:val="00B17AC5"/>
    <w:rsid w:val="00B17E7F"/>
    <w:rsid w:val="00B209B1"/>
    <w:rsid w:val="00B21DFE"/>
    <w:rsid w:val="00B22A37"/>
    <w:rsid w:val="00B23B53"/>
    <w:rsid w:val="00B24838"/>
    <w:rsid w:val="00B264BD"/>
    <w:rsid w:val="00B27CA0"/>
    <w:rsid w:val="00B302FB"/>
    <w:rsid w:val="00B3287C"/>
    <w:rsid w:val="00B34019"/>
    <w:rsid w:val="00B34191"/>
    <w:rsid w:val="00B358BB"/>
    <w:rsid w:val="00B376F2"/>
    <w:rsid w:val="00B43562"/>
    <w:rsid w:val="00B43B16"/>
    <w:rsid w:val="00B441F9"/>
    <w:rsid w:val="00B44564"/>
    <w:rsid w:val="00B46194"/>
    <w:rsid w:val="00B47095"/>
    <w:rsid w:val="00B518F0"/>
    <w:rsid w:val="00B5258B"/>
    <w:rsid w:val="00B52D32"/>
    <w:rsid w:val="00B56BC1"/>
    <w:rsid w:val="00B5729B"/>
    <w:rsid w:val="00B57D9B"/>
    <w:rsid w:val="00B606D1"/>
    <w:rsid w:val="00B61127"/>
    <w:rsid w:val="00B62B1B"/>
    <w:rsid w:val="00B660FE"/>
    <w:rsid w:val="00B71AD8"/>
    <w:rsid w:val="00B728B5"/>
    <w:rsid w:val="00B72D71"/>
    <w:rsid w:val="00B72EBA"/>
    <w:rsid w:val="00B73FC0"/>
    <w:rsid w:val="00B74378"/>
    <w:rsid w:val="00B7531B"/>
    <w:rsid w:val="00B75E4D"/>
    <w:rsid w:val="00B8163B"/>
    <w:rsid w:val="00B84906"/>
    <w:rsid w:val="00B86D99"/>
    <w:rsid w:val="00B876CE"/>
    <w:rsid w:val="00B906F7"/>
    <w:rsid w:val="00B91F49"/>
    <w:rsid w:val="00B936FC"/>
    <w:rsid w:val="00B943CA"/>
    <w:rsid w:val="00B943CE"/>
    <w:rsid w:val="00B95A6E"/>
    <w:rsid w:val="00B9720D"/>
    <w:rsid w:val="00B97B6F"/>
    <w:rsid w:val="00B97FD5"/>
    <w:rsid w:val="00BA1296"/>
    <w:rsid w:val="00BA1D8F"/>
    <w:rsid w:val="00BA680F"/>
    <w:rsid w:val="00BA7A91"/>
    <w:rsid w:val="00BA7C06"/>
    <w:rsid w:val="00BB13D4"/>
    <w:rsid w:val="00BB259F"/>
    <w:rsid w:val="00BB4817"/>
    <w:rsid w:val="00BB4CDF"/>
    <w:rsid w:val="00BB4E7D"/>
    <w:rsid w:val="00BB5055"/>
    <w:rsid w:val="00BB56E9"/>
    <w:rsid w:val="00BB70D2"/>
    <w:rsid w:val="00BC2217"/>
    <w:rsid w:val="00BC2DAC"/>
    <w:rsid w:val="00BC4427"/>
    <w:rsid w:val="00BC4BB4"/>
    <w:rsid w:val="00BC52F2"/>
    <w:rsid w:val="00BC5D4B"/>
    <w:rsid w:val="00BC730A"/>
    <w:rsid w:val="00BC7B49"/>
    <w:rsid w:val="00BC7DCA"/>
    <w:rsid w:val="00BD003E"/>
    <w:rsid w:val="00BD06FA"/>
    <w:rsid w:val="00BD11F1"/>
    <w:rsid w:val="00BD1A06"/>
    <w:rsid w:val="00BD291C"/>
    <w:rsid w:val="00BD5420"/>
    <w:rsid w:val="00BD5ECE"/>
    <w:rsid w:val="00BD7C4C"/>
    <w:rsid w:val="00BE1408"/>
    <w:rsid w:val="00BE1629"/>
    <w:rsid w:val="00BE284A"/>
    <w:rsid w:val="00BE2C6E"/>
    <w:rsid w:val="00BE2CBB"/>
    <w:rsid w:val="00BE3C48"/>
    <w:rsid w:val="00BE458D"/>
    <w:rsid w:val="00BE65B0"/>
    <w:rsid w:val="00BE78EE"/>
    <w:rsid w:val="00BF092D"/>
    <w:rsid w:val="00BF0BC7"/>
    <w:rsid w:val="00BF0C91"/>
    <w:rsid w:val="00BF1865"/>
    <w:rsid w:val="00BF1BD7"/>
    <w:rsid w:val="00BF2FF9"/>
    <w:rsid w:val="00BF47E1"/>
    <w:rsid w:val="00BF52BC"/>
    <w:rsid w:val="00BF5BE1"/>
    <w:rsid w:val="00BF642D"/>
    <w:rsid w:val="00BF7F63"/>
    <w:rsid w:val="00C00A11"/>
    <w:rsid w:val="00C00D81"/>
    <w:rsid w:val="00C02033"/>
    <w:rsid w:val="00C02812"/>
    <w:rsid w:val="00C03AA9"/>
    <w:rsid w:val="00C04E10"/>
    <w:rsid w:val="00C053F9"/>
    <w:rsid w:val="00C12DEB"/>
    <w:rsid w:val="00C132BE"/>
    <w:rsid w:val="00C135C2"/>
    <w:rsid w:val="00C14548"/>
    <w:rsid w:val="00C1464B"/>
    <w:rsid w:val="00C14D5F"/>
    <w:rsid w:val="00C16F0E"/>
    <w:rsid w:val="00C17DEC"/>
    <w:rsid w:val="00C248BC"/>
    <w:rsid w:val="00C249CA"/>
    <w:rsid w:val="00C24CF9"/>
    <w:rsid w:val="00C3129B"/>
    <w:rsid w:val="00C32C7F"/>
    <w:rsid w:val="00C332E1"/>
    <w:rsid w:val="00C3553C"/>
    <w:rsid w:val="00C3651F"/>
    <w:rsid w:val="00C36927"/>
    <w:rsid w:val="00C404EA"/>
    <w:rsid w:val="00C42251"/>
    <w:rsid w:val="00C4280C"/>
    <w:rsid w:val="00C43520"/>
    <w:rsid w:val="00C43B55"/>
    <w:rsid w:val="00C43BF9"/>
    <w:rsid w:val="00C44667"/>
    <w:rsid w:val="00C45DA9"/>
    <w:rsid w:val="00C460F0"/>
    <w:rsid w:val="00C46731"/>
    <w:rsid w:val="00C47CD0"/>
    <w:rsid w:val="00C505C7"/>
    <w:rsid w:val="00C5228A"/>
    <w:rsid w:val="00C5326F"/>
    <w:rsid w:val="00C53DC7"/>
    <w:rsid w:val="00C546E6"/>
    <w:rsid w:val="00C54AC1"/>
    <w:rsid w:val="00C56CD8"/>
    <w:rsid w:val="00C57B68"/>
    <w:rsid w:val="00C63193"/>
    <w:rsid w:val="00C63581"/>
    <w:rsid w:val="00C6432D"/>
    <w:rsid w:val="00C65B2B"/>
    <w:rsid w:val="00C666F2"/>
    <w:rsid w:val="00C75274"/>
    <w:rsid w:val="00C80722"/>
    <w:rsid w:val="00C8359C"/>
    <w:rsid w:val="00C83DF0"/>
    <w:rsid w:val="00C863D0"/>
    <w:rsid w:val="00C8656C"/>
    <w:rsid w:val="00C86A3A"/>
    <w:rsid w:val="00C9132B"/>
    <w:rsid w:val="00C95044"/>
    <w:rsid w:val="00C96238"/>
    <w:rsid w:val="00CA102F"/>
    <w:rsid w:val="00CA1347"/>
    <w:rsid w:val="00CA4428"/>
    <w:rsid w:val="00CA4727"/>
    <w:rsid w:val="00CA7A45"/>
    <w:rsid w:val="00CB11F9"/>
    <w:rsid w:val="00CB3173"/>
    <w:rsid w:val="00CB3FB6"/>
    <w:rsid w:val="00CB4D1E"/>
    <w:rsid w:val="00CB54B2"/>
    <w:rsid w:val="00CB6984"/>
    <w:rsid w:val="00CB72EF"/>
    <w:rsid w:val="00CC0D6D"/>
    <w:rsid w:val="00CC2B7A"/>
    <w:rsid w:val="00CC4810"/>
    <w:rsid w:val="00CC5852"/>
    <w:rsid w:val="00CC5899"/>
    <w:rsid w:val="00CC7AD5"/>
    <w:rsid w:val="00CD1495"/>
    <w:rsid w:val="00CD26C9"/>
    <w:rsid w:val="00CD352F"/>
    <w:rsid w:val="00CD63D2"/>
    <w:rsid w:val="00CE097A"/>
    <w:rsid w:val="00CE21D3"/>
    <w:rsid w:val="00CE5148"/>
    <w:rsid w:val="00CE786E"/>
    <w:rsid w:val="00CF0687"/>
    <w:rsid w:val="00CF1F04"/>
    <w:rsid w:val="00CF2A24"/>
    <w:rsid w:val="00CF5898"/>
    <w:rsid w:val="00CF6474"/>
    <w:rsid w:val="00CF6D6E"/>
    <w:rsid w:val="00CF74EB"/>
    <w:rsid w:val="00D0016F"/>
    <w:rsid w:val="00D00E8D"/>
    <w:rsid w:val="00D015A2"/>
    <w:rsid w:val="00D02EB6"/>
    <w:rsid w:val="00D03D4F"/>
    <w:rsid w:val="00D071D7"/>
    <w:rsid w:val="00D1027D"/>
    <w:rsid w:val="00D14362"/>
    <w:rsid w:val="00D147B6"/>
    <w:rsid w:val="00D1529F"/>
    <w:rsid w:val="00D15E92"/>
    <w:rsid w:val="00D1777C"/>
    <w:rsid w:val="00D207DA"/>
    <w:rsid w:val="00D2118E"/>
    <w:rsid w:val="00D21A8A"/>
    <w:rsid w:val="00D24BF0"/>
    <w:rsid w:val="00D24E98"/>
    <w:rsid w:val="00D26569"/>
    <w:rsid w:val="00D27CA4"/>
    <w:rsid w:val="00D305F6"/>
    <w:rsid w:val="00D31175"/>
    <w:rsid w:val="00D34747"/>
    <w:rsid w:val="00D35C7D"/>
    <w:rsid w:val="00D369DF"/>
    <w:rsid w:val="00D41E4F"/>
    <w:rsid w:val="00D439C1"/>
    <w:rsid w:val="00D43C79"/>
    <w:rsid w:val="00D44E20"/>
    <w:rsid w:val="00D470F7"/>
    <w:rsid w:val="00D50588"/>
    <w:rsid w:val="00D5117C"/>
    <w:rsid w:val="00D51B6F"/>
    <w:rsid w:val="00D52BEE"/>
    <w:rsid w:val="00D538D8"/>
    <w:rsid w:val="00D543E0"/>
    <w:rsid w:val="00D54A50"/>
    <w:rsid w:val="00D563B3"/>
    <w:rsid w:val="00D568C7"/>
    <w:rsid w:val="00D56B33"/>
    <w:rsid w:val="00D578F2"/>
    <w:rsid w:val="00D646F0"/>
    <w:rsid w:val="00D652E4"/>
    <w:rsid w:val="00D701C7"/>
    <w:rsid w:val="00D759AB"/>
    <w:rsid w:val="00D75EDA"/>
    <w:rsid w:val="00D77237"/>
    <w:rsid w:val="00D773EE"/>
    <w:rsid w:val="00D77737"/>
    <w:rsid w:val="00D80DAE"/>
    <w:rsid w:val="00D81106"/>
    <w:rsid w:val="00D82EE0"/>
    <w:rsid w:val="00D86458"/>
    <w:rsid w:val="00D86FC6"/>
    <w:rsid w:val="00D90BE6"/>
    <w:rsid w:val="00D90CA1"/>
    <w:rsid w:val="00D938A7"/>
    <w:rsid w:val="00D93919"/>
    <w:rsid w:val="00D9575B"/>
    <w:rsid w:val="00D95996"/>
    <w:rsid w:val="00D976E9"/>
    <w:rsid w:val="00D97C03"/>
    <w:rsid w:val="00DA0C09"/>
    <w:rsid w:val="00DA149F"/>
    <w:rsid w:val="00DA14DF"/>
    <w:rsid w:val="00DA1657"/>
    <w:rsid w:val="00DA218C"/>
    <w:rsid w:val="00DA3638"/>
    <w:rsid w:val="00DA54D5"/>
    <w:rsid w:val="00DA5934"/>
    <w:rsid w:val="00DA5CAF"/>
    <w:rsid w:val="00DB179C"/>
    <w:rsid w:val="00DB2A18"/>
    <w:rsid w:val="00DB3041"/>
    <w:rsid w:val="00DB3B8F"/>
    <w:rsid w:val="00DB4ACD"/>
    <w:rsid w:val="00DB4AE4"/>
    <w:rsid w:val="00DB59B4"/>
    <w:rsid w:val="00DB5EAC"/>
    <w:rsid w:val="00DB7933"/>
    <w:rsid w:val="00DB7E07"/>
    <w:rsid w:val="00DB7E76"/>
    <w:rsid w:val="00DB7F52"/>
    <w:rsid w:val="00DC07A0"/>
    <w:rsid w:val="00DC2C34"/>
    <w:rsid w:val="00DC3EC6"/>
    <w:rsid w:val="00DC51D3"/>
    <w:rsid w:val="00DC5588"/>
    <w:rsid w:val="00DC6634"/>
    <w:rsid w:val="00DC694F"/>
    <w:rsid w:val="00DD0C3B"/>
    <w:rsid w:val="00DD10F7"/>
    <w:rsid w:val="00DD3545"/>
    <w:rsid w:val="00DD3A63"/>
    <w:rsid w:val="00DD495B"/>
    <w:rsid w:val="00DD4D7C"/>
    <w:rsid w:val="00DD4ED7"/>
    <w:rsid w:val="00DE1744"/>
    <w:rsid w:val="00DE1C9D"/>
    <w:rsid w:val="00DE364E"/>
    <w:rsid w:val="00DE3E2C"/>
    <w:rsid w:val="00DE47BD"/>
    <w:rsid w:val="00DE47E3"/>
    <w:rsid w:val="00DE77EC"/>
    <w:rsid w:val="00DF0E26"/>
    <w:rsid w:val="00DF4A6E"/>
    <w:rsid w:val="00DF57A8"/>
    <w:rsid w:val="00DF676C"/>
    <w:rsid w:val="00E0025B"/>
    <w:rsid w:val="00E01575"/>
    <w:rsid w:val="00E040FD"/>
    <w:rsid w:val="00E0427F"/>
    <w:rsid w:val="00E07825"/>
    <w:rsid w:val="00E10068"/>
    <w:rsid w:val="00E10DB5"/>
    <w:rsid w:val="00E1107B"/>
    <w:rsid w:val="00E145D0"/>
    <w:rsid w:val="00E17BF0"/>
    <w:rsid w:val="00E20325"/>
    <w:rsid w:val="00E216C6"/>
    <w:rsid w:val="00E21703"/>
    <w:rsid w:val="00E23058"/>
    <w:rsid w:val="00E2436D"/>
    <w:rsid w:val="00E253C1"/>
    <w:rsid w:val="00E2777A"/>
    <w:rsid w:val="00E32B01"/>
    <w:rsid w:val="00E33F47"/>
    <w:rsid w:val="00E36202"/>
    <w:rsid w:val="00E36A2D"/>
    <w:rsid w:val="00E3757C"/>
    <w:rsid w:val="00E377E9"/>
    <w:rsid w:val="00E405FC"/>
    <w:rsid w:val="00E41CB5"/>
    <w:rsid w:val="00E41DBD"/>
    <w:rsid w:val="00E41FD7"/>
    <w:rsid w:val="00E420BB"/>
    <w:rsid w:val="00E422CE"/>
    <w:rsid w:val="00E42ED0"/>
    <w:rsid w:val="00E430DB"/>
    <w:rsid w:val="00E44F22"/>
    <w:rsid w:val="00E5140E"/>
    <w:rsid w:val="00E53675"/>
    <w:rsid w:val="00E53BEF"/>
    <w:rsid w:val="00E54D85"/>
    <w:rsid w:val="00E56468"/>
    <w:rsid w:val="00E579BF"/>
    <w:rsid w:val="00E60BC5"/>
    <w:rsid w:val="00E60D65"/>
    <w:rsid w:val="00E616A6"/>
    <w:rsid w:val="00E62EFF"/>
    <w:rsid w:val="00E630FA"/>
    <w:rsid w:val="00E63DBA"/>
    <w:rsid w:val="00E648AC"/>
    <w:rsid w:val="00E65F2E"/>
    <w:rsid w:val="00E66386"/>
    <w:rsid w:val="00E673E0"/>
    <w:rsid w:val="00E67FFB"/>
    <w:rsid w:val="00E7259B"/>
    <w:rsid w:val="00E72D03"/>
    <w:rsid w:val="00E73EE0"/>
    <w:rsid w:val="00E745FD"/>
    <w:rsid w:val="00E7462A"/>
    <w:rsid w:val="00E74C89"/>
    <w:rsid w:val="00E75551"/>
    <w:rsid w:val="00E76BDF"/>
    <w:rsid w:val="00E779F5"/>
    <w:rsid w:val="00E80DA6"/>
    <w:rsid w:val="00E80FD6"/>
    <w:rsid w:val="00E83398"/>
    <w:rsid w:val="00E83DD1"/>
    <w:rsid w:val="00E84A95"/>
    <w:rsid w:val="00E84AD7"/>
    <w:rsid w:val="00E858BE"/>
    <w:rsid w:val="00E87A04"/>
    <w:rsid w:val="00E91031"/>
    <w:rsid w:val="00E917B1"/>
    <w:rsid w:val="00E91AC0"/>
    <w:rsid w:val="00E91ACC"/>
    <w:rsid w:val="00E9298F"/>
    <w:rsid w:val="00E94047"/>
    <w:rsid w:val="00E953AF"/>
    <w:rsid w:val="00E964C9"/>
    <w:rsid w:val="00E97844"/>
    <w:rsid w:val="00EA0B82"/>
    <w:rsid w:val="00EA0BB6"/>
    <w:rsid w:val="00EA3A80"/>
    <w:rsid w:val="00EA3AF6"/>
    <w:rsid w:val="00EA5223"/>
    <w:rsid w:val="00EA5522"/>
    <w:rsid w:val="00EA5589"/>
    <w:rsid w:val="00EA59BB"/>
    <w:rsid w:val="00EA5C86"/>
    <w:rsid w:val="00EA6CEC"/>
    <w:rsid w:val="00EA7DE7"/>
    <w:rsid w:val="00EB1B9F"/>
    <w:rsid w:val="00EB25C5"/>
    <w:rsid w:val="00EB2E7E"/>
    <w:rsid w:val="00EB6199"/>
    <w:rsid w:val="00EB62BF"/>
    <w:rsid w:val="00EB7B39"/>
    <w:rsid w:val="00EC096E"/>
    <w:rsid w:val="00EC1E97"/>
    <w:rsid w:val="00EC3864"/>
    <w:rsid w:val="00EC4797"/>
    <w:rsid w:val="00EC4C6B"/>
    <w:rsid w:val="00EC5337"/>
    <w:rsid w:val="00EC7382"/>
    <w:rsid w:val="00EC7541"/>
    <w:rsid w:val="00ED09FC"/>
    <w:rsid w:val="00ED218C"/>
    <w:rsid w:val="00ED4A98"/>
    <w:rsid w:val="00ED537B"/>
    <w:rsid w:val="00ED6380"/>
    <w:rsid w:val="00EE0650"/>
    <w:rsid w:val="00EE12F6"/>
    <w:rsid w:val="00EE4598"/>
    <w:rsid w:val="00EE49C7"/>
    <w:rsid w:val="00EE6CFE"/>
    <w:rsid w:val="00EF4456"/>
    <w:rsid w:val="00EF5007"/>
    <w:rsid w:val="00F0041B"/>
    <w:rsid w:val="00F0114E"/>
    <w:rsid w:val="00F017FC"/>
    <w:rsid w:val="00F01A87"/>
    <w:rsid w:val="00F04103"/>
    <w:rsid w:val="00F06473"/>
    <w:rsid w:val="00F064B5"/>
    <w:rsid w:val="00F07E0F"/>
    <w:rsid w:val="00F109CC"/>
    <w:rsid w:val="00F13283"/>
    <w:rsid w:val="00F13635"/>
    <w:rsid w:val="00F146C7"/>
    <w:rsid w:val="00F150AC"/>
    <w:rsid w:val="00F24B0C"/>
    <w:rsid w:val="00F3060B"/>
    <w:rsid w:val="00F309B5"/>
    <w:rsid w:val="00F31376"/>
    <w:rsid w:val="00F328CF"/>
    <w:rsid w:val="00F338C1"/>
    <w:rsid w:val="00F34D88"/>
    <w:rsid w:val="00F355F4"/>
    <w:rsid w:val="00F35AA9"/>
    <w:rsid w:val="00F36D27"/>
    <w:rsid w:val="00F43A02"/>
    <w:rsid w:val="00F43F42"/>
    <w:rsid w:val="00F440B8"/>
    <w:rsid w:val="00F448E8"/>
    <w:rsid w:val="00F47666"/>
    <w:rsid w:val="00F47D8F"/>
    <w:rsid w:val="00F50666"/>
    <w:rsid w:val="00F522E1"/>
    <w:rsid w:val="00F530AD"/>
    <w:rsid w:val="00F53B4F"/>
    <w:rsid w:val="00F54CC4"/>
    <w:rsid w:val="00F567E8"/>
    <w:rsid w:val="00F60C73"/>
    <w:rsid w:val="00F6176E"/>
    <w:rsid w:val="00F638E7"/>
    <w:rsid w:val="00F64695"/>
    <w:rsid w:val="00F64A70"/>
    <w:rsid w:val="00F64CC7"/>
    <w:rsid w:val="00F64E1D"/>
    <w:rsid w:val="00F67334"/>
    <w:rsid w:val="00F67E71"/>
    <w:rsid w:val="00F71229"/>
    <w:rsid w:val="00F7123F"/>
    <w:rsid w:val="00F71A5D"/>
    <w:rsid w:val="00F724FD"/>
    <w:rsid w:val="00F73009"/>
    <w:rsid w:val="00F749E6"/>
    <w:rsid w:val="00F77647"/>
    <w:rsid w:val="00F800DF"/>
    <w:rsid w:val="00F807C3"/>
    <w:rsid w:val="00F80D19"/>
    <w:rsid w:val="00F81F79"/>
    <w:rsid w:val="00F820C0"/>
    <w:rsid w:val="00F86414"/>
    <w:rsid w:val="00F86597"/>
    <w:rsid w:val="00F867B7"/>
    <w:rsid w:val="00F86930"/>
    <w:rsid w:val="00F8744D"/>
    <w:rsid w:val="00F90BDF"/>
    <w:rsid w:val="00F919D3"/>
    <w:rsid w:val="00F91A73"/>
    <w:rsid w:val="00F91C8D"/>
    <w:rsid w:val="00F92125"/>
    <w:rsid w:val="00F92890"/>
    <w:rsid w:val="00F939B5"/>
    <w:rsid w:val="00F979C9"/>
    <w:rsid w:val="00FA2B58"/>
    <w:rsid w:val="00FA424E"/>
    <w:rsid w:val="00FA4DBE"/>
    <w:rsid w:val="00FA4F5C"/>
    <w:rsid w:val="00FA69F3"/>
    <w:rsid w:val="00FA7632"/>
    <w:rsid w:val="00FB05A8"/>
    <w:rsid w:val="00FB0774"/>
    <w:rsid w:val="00FB1BC0"/>
    <w:rsid w:val="00FB3584"/>
    <w:rsid w:val="00FB4974"/>
    <w:rsid w:val="00FB4AC8"/>
    <w:rsid w:val="00FB52E0"/>
    <w:rsid w:val="00FB6E49"/>
    <w:rsid w:val="00FB6F39"/>
    <w:rsid w:val="00FC08F2"/>
    <w:rsid w:val="00FC0EF4"/>
    <w:rsid w:val="00FC11F1"/>
    <w:rsid w:val="00FC1708"/>
    <w:rsid w:val="00FC1E80"/>
    <w:rsid w:val="00FC2974"/>
    <w:rsid w:val="00FC45B8"/>
    <w:rsid w:val="00FC460C"/>
    <w:rsid w:val="00FC7D42"/>
    <w:rsid w:val="00FD0664"/>
    <w:rsid w:val="00FD25CF"/>
    <w:rsid w:val="00FD2EA8"/>
    <w:rsid w:val="00FD5402"/>
    <w:rsid w:val="00FD5EB7"/>
    <w:rsid w:val="00FD63A3"/>
    <w:rsid w:val="00FD7B45"/>
    <w:rsid w:val="00FE122F"/>
    <w:rsid w:val="00FE1AED"/>
    <w:rsid w:val="00FE41D2"/>
    <w:rsid w:val="00FE5171"/>
    <w:rsid w:val="00FF0A0D"/>
    <w:rsid w:val="00FF3FBA"/>
    <w:rsid w:val="00FF4239"/>
    <w:rsid w:val="00FF52AA"/>
    <w:rsid w:val="00FF785E"/>
    <w:rsid w:val="00FF7D5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BF0"/>
    <w:pPr>
      <w:spacing w:before="240"/>
    </w:pPr>
    <w:rPr>
      <w:sz w:val="24"/>
    </w:rPr>
  </w:style>
  <w:style w:type="paragraph" w:styleId="Heading1">
    <w:name w:val="heading 1"/>
    <w:basedOn w:val="Normal"/>
    <w:next w:val="Normal"/>
    <w:link w:val="Heading1Char"/>
    <w:qFormat/>
    <w:rsid w:val="00B660FE"/>
    <w:pPr>
      <w:keepNext/>
      <w:spacing w:before="0" w:after="60"/>
      <w:outlineLvl w:val="0"/>
    </w:pPr>
    <w:rPr>
      <w:rFonts w:ascii="Arial" w:hAnsi="Arial" w:cs="Arial"/>
      <w:b/>
      <w:color w:val="000000"/>
      <w:kern w:val="28"/>
      <w:sz w:val="36"/>
      <w:szCs w:val="24"/>
    </w:rPr>
  </w:style>
  <w:style w:type="paragraph" w:styleId="Heading2">
    <w:name w:val="heading 2"/>
    <w:basedOn w:val="Normal"/>
    <w:next w:val="Normal"/>
    <w:qFormat/>
    <w:rsid w:val="00B660FE"/>
    <w:pPr>
      <w:keepNext/>
      <w:spacing w:after="60"/>
      <w:outlineLvl w:val="1"/>
    </w:pPr>
    <w:rPr>
      <w:rFonts w:ascii="Arial" w:hAnsi="Arial" w:cs="Arial"/>
      <w:b/>
      <w:color w:val="000000"/>
      <w:kern w:val="28"/>
      <w:sz w:val="28"/>
      <w:szCs w:val="24"/>
    </w:rPr>
  </w:style>
  <w:style w:type="paragraph" w:styleId="Heading3">
    <w:name w:val="heading 3"/>
    <w:basedOn w:val="Normal"/>
    <w:next w:val="Normal"/>
    <w:link w:val="Heading3Char"/>
    <w:unhideWhenUsed/>
    <w:qFormat/>
    <w:rsid w:val="00B660FE"/>
    <w:pPr>
      <w:keepNext/>
      <w:outlineLvl w:val="2"/>
    </w:pPr>
    <w:rPr>
      <w:rFonts w:ascii="Arial" w:hAnsi="Arial" w:cs="Arial"/>
      <w:b/>
      <w:i/>
      <w:kern w:val="2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36F4"/>
    <w:rPr>
      <w:rFonts w:ascii="Arial" w:hAnsi="Arial" w:cs="Arial"/>
      <w:b/>
      <w:i/>
      <w:kern w:val="28"/>
      <w:sz w:val="26"/>
      <w:szCs w:val="24"/>
    </w:rPr>
  </w:style>
  <w:style w:type="paragraph" w:customStyle="1" w:styleId="NumberList">
    <w:name w:val="Number List"/>
    <w:basedOn w:val="Normal"/>
    <w:rsid w:val="0075741D"/>
    <w:pPr>
      <w:numPr>
        <w:numId w:val="6"/>
      </w:numPr>
    </w:pPr>
    <w:rPr>
      <w:szCs w:val="24"/>
    </w:rPr>
  </w:style>
  <w:style w:type="paragraph" w:styleId="Footer">
    <w:name w:val="footer"/>
    <w:rsid w:val="00B660FE"/>
    <w:pPr>
      <w:tabs>
        <w:tab w:val="left" w:pos="3402"/>
        <w:tab w:val="right" w:pos="7655"/>
      </w:tabs>
    </w:pPr>
    <w:rPr>
      <w:i/>
      <w:szCs w:val="24"/>
    </w:rPr>
  </w:style>
  <w:style w:type="character" w:styleId="PageNumber">
    <w:name w:val="page number"/>
    <w:basedOn w:val="DefaultParagraphFont"/>
    <w:rsid w:val="000412E6"/>
  </w:style>
  <w:style w:type="paragraph" w:styleId="Header">
    <w:name w:val="header"/>
    <w:basedOn w:val="Normal"/>
    <w:rsid w:val="00D652E4"/>
    <w:pPr>
      <w:pBdr>
        <w:bottom w:val="single" w:sz="4" w:space="1" w:color="auto"/>
      </w:pBdr>
      <w:tabs>
        <w:tab w:val="center" w:pos="4153"/>
        <w:tab w:val="right" w:pos="8306"/>
      </w:tabs>
      <w:spacing w:before="0"/>
    </w:pPr>
    <w:rPr>
      <w:i/>
    </w:rPr>
  </w:style>
  <w:style w:type="character" w:customStyle="1" w:styleId="Heading1Char">
    <w:name w:val="Heading 1 Char"/>
    <w:basedOn w:val="DefaultParagraphFont"/>
    <w:link w:val="Heading1"/>
    <w:rsid w:val="00105704"/>
    <w:rPr>
      <w:rFonts w:ascii="Arial" w:hAnsi="Arial" w:cs="Arial"/>
      <w:b/>
      <w:color w:val="000000"/>
      <w:kern w:val="28"/>
      <w:sz w:val="36"/>
      <w:szCs w:val="24"/>
    </w:rPr>
  </w:style>
  <w:style w:type="paragraph" w:customStyle="1" w:styleId="Bullet">
    <w:name w:val="Bullet"/>
    <w:basedOn w:val="Normal"/>
    <w:rsid w:val="00B660FE"/>
    <w:pPr>
      <w:numPr>
        <w:numId w:val="1"/>
      </w:numPr>
    </w:pPr>
    <w:rPr>
      <w:lang w:eastAsia="en-US"/>
    </w:rPr>
  </w:style>
  <w:style w:type="paragraph" w:styleId="BalloonText">
    <w:name w:val="Balloon Text"/>
    <w:basedOn w:val="Normal"/>
    <w:semiHidden/>
    <w:rsid w:val="00B660FE"/>
    <w:rPr>
      <w:rFonts w:ascii="Tahoma" w:hAnsi="Tahoma" w:cs="Tahoma"/>
      <w:sz w:val="16"/>
      <w:szCs w:val="16"/>
    </w:rPr>
  </w:style>
  <w:style w:type="character" w:styleId="CommentReference">
    <w:name w:val="annotation reference"/>
    <w:basedOn w:val="DefaultParagraphFont"/>
    <w:semiHidden/>
    <w:rsid w:val="000412E6"/>
    <w:rPr>
      <w:sz w:val="16"/>
      <w:szCs w:val="16"/>
    </w:rPr>
  </w:style>
  <w:style w:type="paragraph" w:styleId="CommentText">
    <w:name w:val="annotation text"/>
    <w:basedOn w:val="Normal"/>
    <w:semiHidden/>
    <w:rsid w:val="00B660FE"/>
  </w:style>
  <w:style w:type="paragraph" w:styleId="CommentSubject">
    <w:name w:val="annotation subject"/>
    <w:basedOn w:val="CommentText"/>
    <w:next w:val="CommentText"/>
    <w:semiHidden/>
    <w:rsid w:val="00B660FE"/>
    <w:rPr>
      <w:b/>
      <w:bCs/>
    </w:rPr>
  </w:style>
  <w:style w:type="table" w:styleId="TableGrid">
    <w:name w:val="Table Grid"/>
    <w:basedOn w:val="TableNormal"/>
    <w:uiPriority w:val="99"/>
    <w:rsid w:val="00F43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Normal"/>
    <w:rsid w:val="005138C4"/>
    <w:pPr>
      <w:spacing w:before="0"/>
      <w:jc w:val="center"/>
    </w:pPr>
    <w:rPr>
      <w:szCs w:val="24"/>
    </w:rPr>
  </w:style>
  <w:style w:type="character" w:styleId="Hyperlink">
    <w:name w:val="Hyperlink"/>
    <w:basedOn w:val="DefaultParagraphFont"/>
    <w:rsid w:val="00B660FE"/>
    <w:rPr>
      <w:color w:val="0000FF"/>
      <w:u w:val="single"/>
    </w:rPr>
  </w:style>
  <w:style w:type="paragraph" w:styleId="NormalWeb">
    <w:name w:val="Normal (Web)"/>
    <w:basedOn w:val="Normal"/>
    <w:rsid w:val="00B660FE"/>
    <w:pPr>
      <w:spacing w:before="100" w:beforeAutospacing="1" w:after="100" w:afterAutospacing="1"/>
    </w:pPr>
    <w:rPr>
      <w:color w:val="000000"/>
      <w:szCs w:val="24"/>
    </w:rPr>
  </w:style>
  <w:style w:type="paragraph" w:styleId="FootnoteText">
    <w:name w:val="footnote text"/>
    <w:basedOn w:val="Normal"/>
    <w:link w:val="FootnoteTextChar"/>
    <w:rsid w:val="00DA5CAF"/>
    <w:rPr>
      <w:sz w:val="20"/>
    </w:rPr>
  </w:style>
  <w:style w:type="character" w:customStyle="1" w:styleId="FootnoteTextChar">
    <w:name w:val="Footnote Text Char"/>
    <w:basedOn w:val="DefaultParagraphFont"/>
    <w:link w:val="FootnoteText"/>
    <w:rsid w:val="00DA5CAF"/>
  </w:style>
  <w:style w:type="character" w:styleId="FootnoteReference">
    <w:name w:val="footnote reference"/>
    <w:basedOn w:val="DefaultParagraphFont"/>
    <w:rsid w:val="00DA5CAF"/>
    <w:rPr>
      <w:vertAlign w:val="superscript"/>
    </w:rPr>
  </w:style>
  <w:style w:type="paragraph" w:styleId="Revision">
    <w:name w:val="Revision"/>
    <w:hidden/>
    <w:uiPriority w:val="99"/>
    <w:semiHidden/>
    <w:rsid w:val="008F7EFF"/>
    <w:rPr>
      <w:sz w:val="24"/>
    </w:rPr>
  </w:style>
  <w:style w:type="character" w:styleId="FollowedHyperlink">
    <w:name w:val="FollowedHyperlink"/>
    <w:basedOn w:val="DefaultParagraphFont"/>
    <w:rsid w:val="009978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99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9.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budget/budget-process/advance-to-finance-minis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6811-6E0A-499D-8190-ADF8E881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4770</Words>
  <Characters>27194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2008</vt:lpstr>
    </vt:vector>
  </TitlesOfParts>
  <Company>Finance</Company>
  <LinksUpToDate>false</LinksUpToDate>
  <CharactersWithSpaces>31901</CharactersWithSpaces>
  <SharedDoc>false</SharedDoc>
  <HLinks>
    <vt:vector size="6" baseType="variant">
      <vt:variant>
        <vt:i4>786448</vt:i4>
      </vt:variant>
      <vt:variant>
        <vt:i4>0</vt:i4>
      </vt:variant>
      <vt:variant>
        <vt:i4>0</vt:i4>
      </vt:variant>
      <vt:variant>
        <vt:i4>5</vt:i4>
      </vt:variant>
      <vt:variant>
        <vt:lpwstr>http://www.finance.gov.au/budget/budget-process/appropriation-bills.html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Johnson, Andrew</dc:creator>
  <cp:lastModifiedBy>Sean Hickling</cp:lastModifiedBy>
  <cp:revision>6</cp:revision>
  <cp:lastPrinted>2013-05-11T20:44:00Z</cp:lastPrinted>
  <dcterms:created xsi:type="dcterms:W3CDTF">2013-05-11T20:04:00Z</dcterms:created>
  <dcterms:modified xsi:type="dcterms:W3CDTF">2013-05-11T20:39:00Z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9ZL1Sa8kN+vSp6NqKJZh0BCtsRL60lui09jk6icJdKukjaRi2PasSMgPijeFVZS0D_x000d__x000d_pjXfvaGJ0z07DBe3WZl2SLIvIXH8Qcqt4nA5l/T5vslAUTYTyHLt9Z6Hc1xDYAmu+pou8BdQSWVC_x000d__x000d_4WAzf3PmMtVc/1vCeC5cHQhZ7VaBhQnxeUdGyQJA9Rf1TIGTslhrp7MOtHqxQoQn93oCaXG76VIt_x000d__x000d_JPReDlUj10CdpBwxV</vt:lpwstr>
  </property>
  <property fmtid="{D5CDD505-2E9C-101B-9397-08002B2CF9AE}" pid="3" name="MAIL_MSG_ID2">
    <vt:lpwstr>c2RnwbSe3Cs0E5XlBPsD2sKIYz71ovUyLRrDVLtp2azKz96ilL46whusl86_x000d__x000d_j2Q259eSlri02VMJN0QCBfsbCuiAZDZsSPEKErE8ly/xAGiQ</vt:lpwstr>
  </property>
  <property fmtid="{D5CDD505-2E9C-101B-9397-08002B2CF9AE}" pid="4" name="RESPONSE_SENDER_NAME">
    <vt:lpwstr>sAAA4E8dREqJqIosLTRQjmWVF05AqbVLd9QKtIjZlGz4OZs=</vt:lpwstr>
  </property>
  <property fmtid="{D5CDD505-2E9C-101B-9397-08002B2CF9AE}" pid="5" name="EMAIL_OWNER_ADDRESS">
    <vt:lpwstr>4AAAUmLmXdMZevTiEzY/TfJUObebiOQmEtDeyEsBCMNU/H8aMTWAaZBw1Q==</vt:lpwstr>
  </property>
</Properties>
</file>