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24" w:rsidRPr="00C05124" w:rsidRDefault="00C05124" w:rsidP="00C05124">
      <w:pPr>
        <w:contextualSpacing/>
        <w:jc w:val="center"/>
        <w:rPr>
          <w:lang w:eastAsia="en-US"/>
        </w:rPr>
      </w:pPr>
      <w:bookmarkStart w:id="0" w:name="_GoBack"/>
      <w:bookmarkEnd w:id="0"/>
      <w:r w:rsidRPr="00C05124">
        <w:rPr>
          <w:lang w:eastAsia="en-US"/>
        </w:rPr>
        <w:t>2013</w:t>
      </w: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r w:rsidRPr="00C05124">
        <w:rPr>
          <w:lang w:eastAsia="en-US"/>
        </w:rPr>
        <w:t>THE PARLIAMENT OF THE COMMONWEALTH OF AUSTRALIA</w:t>
      </w: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highlight w:val="yellow"/>
          <w:lang w:eastAsia="en-US"/>
        </w:rPr>
      </w:pPr>
    </w:p>
    <w:p w:rsidR="00C05124" w:rsidRPr="00533025" w:rsidRDefault="00C05124" w:rsidP="00C05124">
      <w:pPr>
        <w:contextualSpacing/>
        <w:jc w:val="center"/>
        <w:rPr>
          <w:lang w:eastAsia="en-US"/>
        </w:rPr>
      </w:pPr>
      <w:r w:rsidRPr="00533025">
        <w:rPr>
          <w:lang w:eastAsia="en-US"/>
        </w:rPr>
        <w:t xml:space="preserve">HOUSE OF REPRESENTATIVES </w:t>
      </w:r>
    </w:p>
    <w:p w:rsidR="00C05124" w:rsidRPr="00C05124" w:rsidRDefault="00C05124" w:rsidP="00C05124">
      <w:pPr>
        <w:contextualSpacing/>
        <w:jc w:val="center"/>
        <w:rPr>
          <w:color w:val="0070C0"/>
          <w:highlight w:val="yellow"/>
          <w:lang w:eastAsia="en-US"/>
        </w:rPr>
      </w:pPr>
    </w:p>
    <w:p w:rsidR="00C05124" w:rsidRPr="00C05124" w:rsidRDefault="00C05124" w:rsidP="00C05124">
      <w:pPr>
        <w:contextualSpacing/>
        <w:jc w:val="center"/>
        <w:rPr>
          <w:color w:val="0070C0"/>
          <w:highlight w:val="yellow"/>
          <w:lang w:eastAsia="en-US"/>
        </w:rPr>
      </w:pPr>
    </w:p>
    <w:p w:rsidR="00C05124" w:rsidRPr="00C05124" w:rsidRDefault="00C05124" w:rsidP="00C05124">
      <w:pPr>
        <w:contextualSpacing/>
        <w:jc w:val="center"/>
        <w:rPr>
          <w:color w:val="0070C0"/>
          <w:highlight w:val="yellow"/>
          <w:lang w:eastAsia="en-US"/>
        </w:rPr>
      </w:pPr>
    </w:p>
    <w:p w:rsidR="00C05124" w:rsidRPr="00C05124" w:rsidRDefault="00C05124" w:rsidP="00C05124">
      <w:pPr>
        <w:contextualSpacing/>
        <w:jc w:val="center"/>
        <w:rPr>
          <w:color w:val="0070C0"/>
          <w:highlight w:val="yellow"/>
          <w:lang w:eastAsia="en-US"/>
        </w:rPr>
      </w:pPr>
    </w:p>
    <w:p w:rsidR="00C05124" w:rsidRPr="00C05124" w:rsidRDefault="00C05124" w:rsidP="00C05124">
      <w:pPr>
        <w:contextualSpacing/>
        <w:jc w:val="center"/>
        <w:rPr>
          <w:color w:val="0070C0"/>
          <w:highlight w:val="yellow"/>
          <w:lang w:eastAsia="en-US"/>
        </w:rPr>
      </w:pPr>
    </w:p>
    <w:p w:rsidR="00C05124" w:rsidRPr="00C05124" w:rsidRDefault="00C05124" w:rsidP="00C05124">
      <w:pPr>
        <w:contextualSpacing/>
        <w:jc w:val="center"/>
        <w:rPr>
          <w:color w:val="0070C0"/>
          <w:highlight w:val="yellow"/>
          <w:lang w:eastAsia="en-US"/>
        </w:rPr>
      </w:pPr>
    </w:p>
    <w:p w:rsidR="00C05124" w:rsidRPr="00C05124" w:rsidRDefault="00C05124" w:rsidP="00C05124">
      <w:pPr>
        <w:contextualSpacing/>
        <w:jc w:val="center"/>
        <w:rPr>
          <w:color w:val="0070C0"/>
          <w:highlight w:val="yellow"/>
          <w:lang w:eastAsia="en-US"/>
        </w:rPr>
      </w:pPr>
    </w:p>
    <w:p w:rsidR="00C05124" w:rsidRPr="00C05124" w:rsidRDefault="00C05124" w:rsidP="00C05124">
      <w:pPr>
        <w:contextualSpacing/>
        <w:jc w:val="center"/>
        <w:rPr>
          <w:highlight w:val="yellow"/>
          <w:lang w:eastAsia="en-US"/>
        </w:rPr>
      </w:pPr>
    </w:p>
    <w:p w:rsidR="00C05124" w:rsidRPr="00C05124" w:rsidRDefault="00C05124" w:rsidP="00C05124">
      <w:pPr>
        <w:contextualSpacing/>
        <w:jc w:val="center"/>
        <w:rPr>
          <w:b/>
          <w:caps/>
        </w:rPr>
      </w:pPr>
      <w:r w:rsidRPr="00C05124">
        <w:rPr>
          <w:b/>
          <w:caps/>
        </w:rPr>
        <w:t>Customs Amendment (Anti</w:t>
      </w:r>
      <w:r w:rsidRPr="00C05124">
        <w:rPr>
          <w:b/>
          <w:caps/>
        </w:rPr>
        <w:noBreakHyphen/>
        <w:t>Dumping Commission Transfer) Bill 2013</w:t>
      </w: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r w:rsidRPr="00C05124">
        <w:rPr>
          <w:lang w:eastAsia="en-US"/>
        </w:rPr>
        <w:t>EXPLANATORY MEMORANDUM</w:t>
      </w:r>
    </w:p>
    <w:p w:rsidR="00C05124" w:rsidRPr="00C05124" w:rsidRDefault="00C05124" w:rsidP="00C05124">
      <w:pPr>
        <w:contextualSpacing/>
        <w:jc w:val="center"/>
        <w:rPr>
          <w:lang w:eastAsia="en-US"/>
        </w:rPr>
      </w:pPr>
    </w:p>
    <w:p w:rsidR="00C05124" w:rsidRPr="00C05124" w:rsidRDefault="00C05124" w:rsidP="00C05124">
      <w:pPr>
        <w:contextualSpacing/>
        <w:jc w:val="center"/>
        <w:rPr>
          <w:lang w:eastAsia="en-US"/>
        </w:rPr>
      </w:pPr>
    </w:p>
    <w:p w:rsidR="00C05124" w:rsidRPr="00C05124" w:rsidRDefault="00C05124" w:rsidP="00C05124">
      <w:pPr>
        <w:contextualSpacing/>
        <w:jc w:val="center"/>
        <w:rPr>
          <w:highlight w:val="yellow"/>
          <w:lang w:eastAsia="en-US"/>
        </w:rPr>
      </w:pPr>
    </w:p>
    <w:p w:rsidR="00C05124" w:rsidRPr="00C05124" w:rsidRDefault="00C05124" w:rsidP="00C05124">
      <w:pPr>
        <w:contextualSpacing/>
        <w:jc w:val="center"/>
        <w:rPr>
          <w:highlight w:val="yellow"/>
          <w:lang w:eastAsia="en-US"/>
        </w:rPr>
      </w:pPr>
    </w:p>
    <w:p w:rsidR="00C05124" w:rsidRPr="00C05124" w:rsidRDefault="00C05124" w:rsidP="00C05124">
      <w:pPr>
        <w:contextualSpacing/>
        <w:jc w:val="center"/>
        <w:rPr>
          <w:highlight w:val="yellow"/>
          <w:lang w:eastAsia="en-US"/>
        </w:rPr>
      </w:pPr>
    </w:p>
    <w:p w:rsidR="00C05124" w:rsidRPr="00C05124" w:rsidRDefault="00C05124" w:rsidP="00C05124">
      <w:pPr>
        <w:contextualSpacing/>
        <w:jc w:val="center"/>
        <w:rPr>
          <w:highlight w:val="yellow"/>
          <w:lang w:eastAsia="en-US"/>
        </w:rPr>
      </w:pPr>
    </w:p>
    <w:p w:rsidR="00C05124" w:rsidRPr="00C05124" w:rsidRDefault="00C05124" w:rsidP="00C05124">
      <w:pPr>
        <w:contextualSpacing/>
        <w:jc w:val="center"/>
        <w:rPr>
          <w:highlight w:val="yellow"/>
          <w:lang w:eastAsia="en-US"/>
        </w:rPr>
      </w:pPr>
    </w:p>
    <w:p w:rsidR="00C05124" w:rsidRPr="00C05124" w:rsidRDefault="00C05124" w:rsidP="00C05124">
      <w:pPr>
        <w:contextualSpacing/>
        <w:jc w:val="center"/>
        <w:rPr>
          <w:highlight w:val="yellow"/>
          <w:lang w:eastAsia="en-US"/>
        </w:rPr>
      </w:pPr>
    </w:p>
    <w:p w:rsidR="00C05124" w:rsidRPr="00C05124" w:rsidRDefault="00C05124" w:rsidP="00C05124">
      <w:pPr>
        <w:contextualSpacing/>
        <w:jc w:val="center"/>
        <w:rPr>
          <w:highlight w:val="yellow"/>
          <w:lang w:eastAsia="en-US"/>
        </w:rPr>
      </w:pPr>
    </w:p>
    <w:p w:rsidR="00C05124" w:rsidRPr="00C05124" w:rsidRDefault="00C05124" w:rsidP="00C05124">
      <w:pPr>
        <w:contextualSpacing/>
        <w:jc w:val="center"/>
        <w:rPr>
          <w:highlight w:val="yellow"/>
          <w:lang w:eastAsia="en-US"/>
        </w:rPr>
      </w:pPr>
    </w:p>
    <w:p w:rsidR="00C05124" w:rsidRPr="00C05124" w:rsidRDefault="00C05124" w:rsidP="00C05124">
      <w:pPr>
        <w:contextualSpacing/>
        <w:jc w:val="center"/>
        <w:rPr>
          <w:lang w:eastAsia="en-US"/>
        </w:rPr>
      </w:pPr>
      <w:r w:rsidRPr="00C05124">
        <w:rPr>
          <w:lang w:eastAsia="en-US"/>
        </w:rPr>
        <w:t xml:space="preserve">(Circulated by authority of the Minister for Industry, </w:t>
      </w:r>
    </w:p>
    <w:p w:rsidR="00C05124" w:rsidRPr="00C05124" w:rsidRDefault="00C05124" w:rsidP="00C05124">
      <w:pPr>
        <w:contextualSpacing/>
        <w:jc w:val="center"/>
        <w:rPr>
          <w:lang w:eastAsia="en-US"/>
        </w:rPr>
      </w:pPr>
      <w:r w:rsidRPr="00C05124">
        <w:rPr>
          <w:lang w:eastAsia="en-US"/>
        </w:rPr>
        <w:t>the Honourable Ian MacFarlane MP)</w:t>
      </w:r>
    </w:p>
    <w:p w:rsidR="00C05124" w:rsidRPr="00C05124" w:rsidRDefault="00C05124" w:rsidP="00C05124">
      <w:pPr>
        <w:contextualSpacing/>
        <w:jc w:val="center"/>
        <w:rPr>
          <w:b/>
          <w:caps/>
        </w:rPr>
      </w:pPr>
      <w:r w:rsidRPr="00C05124">
        <w:rPr>
          <w:color w:val="0070C0"/>
          <w:lang w:eastAsia="en-US"/>
        </w:rPr>
        <w:br w:type="page"/>
      </w:r>
      <w:r w:rsidRPr="00C05124">
        <w:rPr>
          <w:b/>
          <w:caps/>
        </w:rPr>
        <w:lastRenderedPageBreak/>
        <w:t>Customs Amendment (Anti</w:t>
      </w:r>
      <w:r w:rsidRPr="00C05124">
        <w:rPr>
          <w:b/>
          <w:caps/>
        </w:rPr>
        <w:noBreakHyphen/>
        <w:t>Dumping Commission Transfer) Bill 2013</w:t>
      </w:r>
    </w:p>
    <w:p w:rsidR="00C05124" w:rsidRPr="00C05124" w:rsidRDefault="00C05124" w:rsidP="00C05124">
      <w:pPr>
        <w:contextualSpacing/>
        <w:jc w:val="center"/>
      </w:pPr>
    </w:p>
    <w:p w:rsidR="00C05124" w:rsidRPr="00C05124" w:rsidRDefault="00C05124" w:rsidP="00C05124">
      <w:pPr>
        <w:contextualSpacing/>
        <w:jc w:val="center"/>
        <w:rPr>
          <w:b/>
        </w:rPr>
      </w:pPr>
      <w:r w:rsidRPr="00C05124">
        <w:rPr>
          <w:b/>
        </w:rPr>
        <w:t>OUTLINE</w:t>
      </w:r>
    </w:p>
    <w:p w:rsidR="00C05124" w:rsidRPr="00C05124" w:rsidRDefault="00C05124" w:rsidP="00C05124">
      <w:pPr>
        <w:contextualSpacing/>
      </w:pPr>
    </w:p>
    <w:p w:rsidR="00C02BC2" w:rsidRDefault="00C02BC2" w:rsidP="00950C27">
      <w:pPr>
        <w:autoSpaceDE w:val="0"/>
        <w:autoSpaceDN w:val="0"/>
        <w:adjustRightInd w:val="0"/>
        <w:contextualSpacing/>
        <w:rPr>
          <w:bCs/>
        </w:rPr>
      </w:pPr>
      <w:r>
        <w:rPr>
          <w:bCs/>
        </w:rPr>
        <w:t xml:space="preserve">The purpose of the Bill is to amend the </w:t>
      </w:r>
      <w:r w:rsidRPr="006633BD">
        <w:rPr>
          <w:bCs/>
          <w:i/>
        </w:rPr>
        <w:t>Customs Act 1901</w:t>
      </w:r>
      <w:r>
        <w:rPr>
          <w:bCs/>
        </w:rPr>
        <w:t xml:space="preserve"> to separate the Anti-Dumping Commission</w:t>
      </w:r>
      <w:r w:rsidR="00005839">
        <w:rPr>
          <w:bCs/>
        </w:rPr>
        <w:t>,</w:t>
      </w:r>
      <w:r>
        <w:rPr>
          <w:bCs/>
        </w:rPr>
        <w:t xml:space="preserve"> comprising the Commissioner</w:t>
      </w:r>
      <w:r w:rsidR="00005839">
        <w:rPr>
          <w:bCs/>
        </w:rPr>
        <w:t xml:space="preserve"> for the Anti-Dumping Commission (the Commissioner)</w:t>
      </w:r>
      <w:r>
        <w:rPr>
          <w:bCs/>
        </w:rPr>
        <w:t xml:space="preserve"> and Commission staff members</w:t>
      </w:r>
      <w:r w:rsidR="00005839">
        <w:rPr>
          <w:bCs/>
        </w:rPr>
        <w:t>,</w:t>
      </w:r>
      <w:r>
        <w:rPr>
          <w:bCs/>
        </w:rPr>
        <w:t xml:space="preserve"> from the Australian Customs and Border Protection Service.  This would allow the Commission to be transferred to the Department of Industry</w:t>
      </w:r>
      <w:r w:rsidR="004A1FAE">
        <w:rPr>
          <w:bCs/>
        </w:rPr>
        <w:t xml:space="preserve"> (the Department)</w:t>
      </w:r>
      <w:r>
        <w:rPr>
          <w:bCs/>
        </w:rPr>
        <w:t xml:space="preserve">, consistent with Government policy set out in </w:t>
      </w:r>
      <w:r w:rsidRPr="006633BD">
        <w:rPr>
          <w:bCs/>
          <w:i/>
        </w:rPr>
        <w:t xml:space="preserve">‘The Coalition Policy to Boost the Competitiveness of Australian Manufacturing’, </w:t>
      </w:r>
      <w:r w:rsidRPr="006633BD">
        <w:rPr>
          <w:bCs/>
        </w:rPr>
        <w:t>released in August 2013</w:t>
      </w:r>
      <w:r>
        <w:rPr>
          <w:bCs/>
        </w:rPr>
        <w:t>.</w:t>
      </w:r>
    </w:p>
    <w:p w:rsidR="00C02BC2" w:rsidRDefault="00C02BC2" w:rsidP="00950C27">
      <w:pPr>
        <w:autoSpaceDE w:val="0"/>
        <w:autoSpaceDN w:val="0"/>
        <w:adjustRightInd w:val="0"/>
        <w:contextualSpacing/>
        <w:rPr>
          <w:bCs/>
        </w:rPr>
      </w:pPr>
    </w:p>
    <w:p w:rsidR="00A20AC2" w:rsidRDefault="00C02BC2" w:rsidP="00010024">
      <w:r w:rsidRPr="00252BD9">
        <w:t xml:space="preserve">Transferring the Commission from the Australian Customs and Border Protection Service to the Department would allow those considering requests for anti-dumping </w:t>
      </w:r>
      <w:r w:rsidR="00010024">
        <w:t xml:space="preserve">(including countervailing) </w:t>
      </w:r>
      <w:r w:rsidRPr="00252BD9">
        <w:t xml:space="preserve">action to benefit from the considerable experience and knowledge held across the industry portfolio. </w:t>
      </w:r>
      <w:r w:rsidR="00A20AC2">
        <w:t xml:space="preserve">  Moving responsibility for anti</w:t>
      </w:r>
      <w:r w:rsidR="00A20AC2" w:rsidRPr="00615C6E">
        <w:rPr>
          <w:rFonts w:ascii="Calibri" w:hAnsi="Calibri" w:cs="Calibri"/>
        </w:rPr>
        <w:noBreakHyphen/>
      </w:r>
      <w:r w:rsidR="00A20AC2">
        <w:t>dumping matters to the Industry portfolio also sends a clear message that the Government is focussed on combatting unfair dumping.  An effective trade remedies system is an integral part of Australia’s broader plan to ensure a strong industrial sector.</w:t>
      </w:r>
    </w:p>
    <w:p w:rsidR="00950C27" w:rsidRDefault="00950C27" w:rsidP="00010024"/>
    <w:p w:rsidR="00C02BC2" w:rsidRDefault="00C02BC2" w:rsidP="00950C27">
      <w:r w:rsidRPr="00252BD9">
        <w:t>It would also allow the Australian Customs and Border Protection Service to concentrate on other matters of importance to this Government.</w:t>
      </w:r>
    </w:p>
    <w:p w:rsidR="00C02BC2" w:rsidRPr="006C70A2" w:rsidRDefault="00C02BC2" w:rsidP="00C02BC2"/>
    <w:p w:rsidR="00C02BC2" w:rsidRDefault="00C02BC2" w:rsidP="00C02BC2">
      <w:pPr>
        <w:autoSpaceDE w:val="0"/>
        <w:autoSpaceDN w:val="0"/>
        <w:adjustRightInd w:val="0"/>
        <w:contextualSpacing/>
        <w:rPr>
          <w:bCs/>
        </w:rPr>
      </w:pPr>
      <w:r>
        <w:rPr>
          <w:bCs/>
        </w:rPr>
        <w:t xml:space="preserve">The Bill would continue the existence of the Commission within the Department administered by the Minister administering </w:t>
      </w:r>
      <w:r w:rsidRPr="006C70A2">
        <w:rPr>
          <w:bCs/>
        </w:rPr>
        <w:t xml:space="preserve">Part XVB of the </w:t>
      </w:r>
      <w:r w:rsidRPr="006C70A2">
        <w:rPr>
          <w:bCs/>
          <w:i/>
        </w:rPr>
        <w:t>Customs Act 1901</w:t>
      </w:r>
      <w:r>
        <w:rPr>
          <w:bCs/>
        </w:rPr>
        <w:t xml:space="preserve"> on or after the commencement of the Bill.  </w:t>
      </w:r>
    </w:p>
    <w:p w:rsidR="00C02BC2" w:rsidRDefault="00C02BC2" w:rsidP="00C02BC2">
      <w:pPr>
        <w:autoSpaceDE w:val="0"/>
        <w:autoSpaceDN w:val="0"/>
        <w:adjustRightInd w:val="0"/>
        <w:contextualSpacing/>
        <w:rPr>
          <w:bCs/>
        </w:rPr>
      </w:pPr>
    </w:p>
    <w:p w:rsidR="00C02BC2" w:rsidRDefault="00C02BC2" w:rsidP="00C02BC2">
      <w:pPr>
        <w:autoSpaceDE w:val="0"/>
        <w:autoSpaceDN w:val="0"/>
        <w:adjustRightInd w:val="0"/>
        <w:contextualSpacing/>
        <w:rPr>
          <w:bCs/>
        </w:rPr>
      </w:pPr>
      <w:r w:rsidRPr="006C70A2">
        <w:rPr>
          <w:bCs/>
        </w:rPr>
        <w:t xml:space="preserve">The Bill provides that the Commission </w:t>
      </w:r>
      <w:r>
        <w:rPr>
          <w:bCs/>
        </w:rPr>
        <w:t>would</w:t>
      </w:r>
      <w:r w:rsidRPr="006C70A2">
        <w:rPr>
          <w:bCs/>
        </w:rPr>
        <w:t xml:space="preserve"> continue </w:t>
      </w:r>
      <w:r>
        <w:rPr>
          <w:bCs/>
        </w:rPr>
        <w:t>to exercise</w:t>
      </w:r>
      <w:r w:rsidRPr="006C70A2">
        <w:rPr>
          <w:bCs/>
        </w:rPr>
        <w:t xml:space="preserve"> the </w:t>
      </w:r>
      <w:r>
        <w:rPr>
          <w:bCs/>
        </w:rPr>
        <w:t xml:space="preserve">relevant </w:t>
      </w:r>
      <w:r w:rsidRPr="006C70A2">
        <w:rPr>
          <w:bCs/>
        </w:rPr>
        <w:t xml:space="preserve">anti-dumping powers and functions contained in Parts XVB and XVC of the </w:t>
      </w:r>
      <w:r w:rsidRPr="006C70A2">
        <w:rPr>
          <w:bCs/>
          <w:i/>
        </w:rPr>
        <w:t>Customs Act 1901</w:t>
      </w:r>
      <w:r w:rsidRPr="006C70A2">
        <w:rPr>
          <w:bCs/>
        </w:rPr>
        <w:t>.  This would include the receipt and screening of applications for anti-dumping measures, and the conduct of investigations and inquiries relating to the imposition, review and continuation of such measures.</w:t>
      </w:r>
      <w:r w:rsidRPr="005A38C2">
        <w:rPr>
          <w:bCs/>
        </w:rPr>
        <w:t xml:space="preserve"> </w:t>
      </w:r>
      <w:r w:rsidR="00A20AC2">
        <w:rPr>
          <w:bCs/>
        </w:rPr>
        <w:t xml:space="preserve"> </w:t>
      </w:r>
      <w:r w:rsidRPr="006C70A2">
        <w:rPr>
          <w:bCs/>
        </w:rPr>
        <w:t>The Bill w</w:t>
      </w:r>
      <w:r>
        <w:rPr>
          <w:bCs/>
        </w:rPr>
        <w:t>ould</w:t>
      </w:r>
      <w:r w:rsidRPr="006C70A2">
        <w:rPr>
          <w:bCs/>
        </w:rPr>
        <w:t xml:space="preserve"> </w:t>
      </w:r>
      <w:r>
        <w:rPr>
          <w:bCs/>
        </w:rPr>
        <w:t xml:space="preserve">also </w:t>
      </w:r>
      <w:r w:rsidRPr="006C70A2">
        <w:rPr>
          <w:bCs/>
        </w:rPr>
        <w:t xml:space="preserve">transfer to the Commissioner any anti-dumping powers and functions currently retained by the </w:t>
      </w:r>
      <w:r w:rsidR="004A1FAE">
        <w:rPr>
          <w:bCs/>
        </w:rPr>
        <w:t>Chief Executive Officer (</w:t>
      </w:r>
      <w:r w:rsidRPr="006C70A2">
        <w:rPr>
          <w:bCs/>
        </w:rPr>
        <w:t>CEO</w:t>
      </w:r>
      <w:r w:rsidR="004A1FAE">
        <w:rPr>
          <w:bCs/>
        </w:rPr>
        <w:t>)</w:t>
      </w:r>
      <w:r w:rsidRPr="006C70A2">
        <w:rPr>
          <w:bCs/>
        </w:rPr>
        <w:t xml:space="preserve"> of </w:t>
      </w:r>
      <w:r>
        <w:rPr>
          <w:bCs/>
        </w:rPr>
        <w:t xml:space="preserve">the Australian </w:t>
      </w:r>
      <w:r w:rsidRPr="006C70A2">
        <w:rPr>
          <w:bCs/>
        </w:rPr>
        <w:t>Customs</w:t>
      </w:r>
      <w:r>
        <w:rPr>
          <w:bCs/>
        </w:rPr>
        <w:t xml:space="preserve"> and Border Protection Service</w:t>
      </w:r>
      <w:r w:rsidRPr="006C70A2">
        <w:rPr>
          <w:bCs/>
        </w:rPr>
        <w:t xml:space="preserve"> under Parts XVB and XVC of the </w:t>
      </w:r>
      <w:r w:rsidRPr="006C70A2">
        <w:rPr>
          <w:bCs/>
          <w:i/>
        </w:rPr>
        <w:t>Customs Act 1901</w:t>
      </w:r>
      <w:r w:rsidRPr="006C70A2">
        <w:rPr>
          <w:bCs/>
        </w:rPr>
        <w:t>.</w:t>
      </w:r>
      <w:r>
        <w:rPr>
          <w:bCs/>
        </w:rPr>
        <w:t xml:space="preserve">  </w:t>
      </w:r>
    </w:p>
    <w:p w:rsidR="00C02BC2" w:rsidRDefault="00C02BC2" w:rsidP="00C02BC2">
      <w:pPr>
        <w:autoSpaceDE w:val="0"/>
        <w:autoSpaceDN w:val="0"/>
        <w:adjustRightInd w:val="0"/>
        <w:contextualSpacing/>
        <w:rPr>
          <w:bCs/>
        </w:rPr>
      </w:pPr>
    </w:p>
    <w:p w:rsidR="00C02BC2" w:rsidRDefault="00C02BC2" w:rsidP="00C02BC2">
      <w:pPr>
        <w:autoSpaceDE w:val="0"/>
        <w:autoSpaceDN w:val="0"/>
        <w:adjustRightInd w:val="0"/>
        <w:contextualSpacing/>
        <w:rPr>
          <w:bCs/>
        </w:rPr>
      </w:pPr>
      <w:r w:rsidRPr="006C70A2">
        <w:rPr>
          <w:bCs/>
        </w:rPr>
        <w:t xml:space="preserve">The Bill </w:t>
      </w:r>
      <w:r>
        <w:rPr>
          <w:bCs/>
        </w:rPr>
        <w:t xml:space="preserve">would </w:t>
      </w:r>
      <w:r w:rsidRPr="006C70A2">
        <w:rPr>
          <w:bCs/>
        </w:rPr>
        <w:t>replicate to the greatest extent possible the current delegation powers for the Minister and the Commissioner to the extent that they relate to</w:t>
      </w:r>
      <w:r w:rsidRPr="00B72C64">
        <w:rPr>
          <w:bCs/>
        </w:rPr>
        <w:t xml:space="preserve"> </w:t>
      </w:r>
      <w:r w:rsidRPr="006C70A2">
        <w:rPr>
          <w:bCs/>
        </w:rPr>
        <w:t xml:space="preserve">Parts XVB and XVC of the </w:t>
      </w:r>
      <w:r w:rsidRPr="006C70A2">
        <w:rPr>
          <w:bCs/>
          <w:i/>
        </w:rPr>
        <w:t>Customs Act 1901</w:t>
      </w:r>
      <w:r>
        <w:rPr>
          <w:bCs/>
        </w:rPr>
        <w:t xml:space="preserve"> and to the </w:t>
      </w:r>
      <w:r w:rsidRPr="00B72C64">
        <w:rPr>
          <w:bCs/>
          <w:i/>
        </w:rPr>
        <w:t>Customs Tariff (Anti-Dumping) Act 1975</w:t>
      </w:r>
      <w:r w:rsidRPr="006C70A2">
        <w:rPr>
          <w:bCs/>
        </w:rPr>
        <w:t xml:space="preserve">.  The Bill </w:t>
      </w:r>
      <w:r>
        <w:rPr>
          <w:bCs/>
        </w:rPr>
        <w:t>would</w:t>
      </w:r>
      <w:r w:rsidRPr="006C70A2">
        <w:rPr>
          <w:bCs/>
        </w:rPr>
        <w:t xml:space="preserve"> </w:t>
      </w:r>
      <w:r>
        <w:rPr>
          <w:bCs/>
        </w:rPr>
        <w:t>also ensure the Commission could</w:t>
      </w:r>
      <w:r w:rsidRPr="006C70A2">
        <w:rPr>
          <w:bCs/>
        </w:rPr>
        <w:t xml:space="preserve"> </w:t>
      </w:r>
      <w:r>
        <w:rPr>
          <w:bCs/>
        </w:rPr>
        <w:t xml:space="preserve">continue to </w:t>
      </w:r>
      <w:r w:rsidRPr="006C70A2">
        <w:rPr>
          <w:bCs/>
        </w:rPr>
        <w:t xml:space="preserve">disclose information to </w:t>
      </w:r>
      <w:r>
        <w:rPr>
          <w:bCs/>
        </w:rPr>
        <w:t xml:space="preserve">the Australian </w:t>
      </w:r>
      <w:r w:rsidRPr="006C70A2">
        <w:rPr>
          <w:bCs/>
        </w:rPr>
        <w:t>Customs</w:t>
      </w:r>
      <w:r>
        <w:rPr>
          <w:bCs/>
        </w:rPr>
        <w:t xml:space="preserve"> and Border Protection Service</w:t>
      </w:r>
      <w:r w:rsidRPr="006C70A2">
        <w:rPr>
          <w:bCs/>
        </w:rPr>
        <w:t xml:space="preserve"> for relevant purposes, such as ensuring compliance with measures imposed under anti-dumping legislation</w:t>
      </w:r>
      <w:r>
        <w:rPr>
          <w:bCs/>
        </w:rPr>
        <w:t>.</w:t>
      </w:r>
    </w:p>
    <w:p w:rsidR="00C02BC2" w:rsidRDefault="00C02BC2" w:rsidP="00C02BC2">
      <w:pPr>
        <w:autoSpaceDE w:val="0"/>
        <w:autoSpaceDN w:val="0"/>
        <w:adjustRightInd w:val="0"/>
        <w:contextualSpacing/>
        <w:rPr>
          <w:bCs/>
        </w:rPr>
      </w:pPr>
    </w:p>
    <w:p w:rsidR="00C02BC2" w:rsidRDefault="00C02BC2" w:rsidP="00C02BC2">
      <w:pPr>
        <w:autoSpaceDE w:val="0"/>
        <w:autoSpaceDN w:val="0"/>
        <w:adjustRightInd w:val="0"/>
        <w:contextualSpacing/>
        <w:rPr>
          <w:bCs/>
        </w:rPr>
      </w:pPr>
      <w:r>
        <w:rPr>
          <w:bCs/>
        </w:rPr>
        <w:t xml:space="preserve">The Bill would amend the </w:t>
      </w:r>
      <w:r w:rsidRPr="000E07F0">
        <w:rPr>
          <w:bCs/>
          <w:i/>
        </w:rPr>
        <w:t>Customs Administration Act 1985</w:t>
      </w:r>
      <w:r>
        <w:rPr>
          <w:bCs/>
        </w:rPr>
        <w:t xml:space="preserve">, the </w:t>
      </w:r>
      <w:r w:rsidRPr="000E07F0">
        <w:rPr>
          <w:bCs/>
          <w:i/>
        </w:rPr>
        <w:t>Criminal Code Act 1995</w:t>
      </w:r>
      <w:r w:rsidRPr="000E07F0">
        <w:rPr>
          <w:bCs/>
        </w:rPr>
        <w:t xml:space="preserve"> and the </w:t>
      </w:r>
      <w:r w:rsidRPr="000E07F0">
        <w:rPr>
          <w:bCs/>
          <w:i/>
        </w:rPr>
        <w:t>Law Enforcement Integrity Commissioner Act 2006</w:t>
      </w:r>
      <w:r w:rsidRPr="000E07F0">
        <w:rPr>
          <w:bCs/>
        </w:rPr>
        <w:t xml:space="preserve"> to remove references to the Commissioner.  </w:t>
      </w:r>
    </w:p>
    <w:p w:rsidR="00C02BC2" w:rsidRDefault="00C02BC2" w:rsidP="00C02BC2">
      <w:pPr>
        <w:autoSpaceDE w:val="0"/>
        <w:autoSpaceDN w:val="0"/>
        <w:adjustRightInd w:val="0"/>
        <w:contextualSpacing/>
        <w:rPr>
          <w:bCs/>
        </w:rPr>
      </w:pPr>
    </w:p>
    <w:p w:rsidR="00C05124" w:rsidRPr="00C1616B" w:rsidRDefault="00C02BC2" w:rsidP="00C02BC2">
      <w:pPr>
        <w:autoSpaceDE w:val="0"/>
        <w:autoSpaceDN w:val="0"/>
        <w:adjustRightInd w:val="0"/>
        <w:contextualSpacing/>
        <w:rPr>
          <w:bCs/>
        </w:rPr>
      </w:pPr>
      <w:r>
        <w:rPr>
          <w:bCs/>
        </w:rPr>
        <w:t>The Bill includes transitional and savings provisions, such as those which would maintain the continuity of applications, submissions and Ministerial appointments, as well as the operation of non</w:t>
      </w:r>
      <w:r>
        <w:rPr>
          <w:bCs/>
        </w:rPr>
        <w:noBreakHyphen/>
        <w:t>disclosure and law enforcement provisions relating to information received and conduct engaged in prior to commencement.</w:t>
      </w:r>
    </w:p>
    <w:p w:rsidR="00C05124" w:rsidRDefault="00C05124" w:rsidP="00C05124">
      <w:pPr>
        <w:autoSpaceDE w:val="0"/>
        <w:autoSpaceDN w:val="0"/>
        <w:adjustRightInd w:val="0"/>
        <w:contextualSpacing/>
        <w:rPr>
          <w:bCs/>
        </w:rPr>
      </w:pPr>
    </w:p>
    <w:p w:rsidR="00C02BC2" w:rsidRPr="00C1616B" w:rsidRDefault="00C02BC2" w:rsidP="00C05124">
      <w:pPr>
        <w:autoSpaceDE w:val="0"/>
        <w:autoSpaceDN w:val="0"/>
        <w:adjustRightInd w:val="0"/>
        <w:contextualSpacing/>
        <w:rPr>
          <w:bCs/>
        </w:rPr>
      </w:pPr>
    </w:p>
    <w:p w:rsidR="00C05124" w:rsidRPr="00C1616B" w:rsidRDefault="00C05124" w:rsidP="00C05124">
      <w:pPr>
        <w:contextualSpacing/>
        <w:jc w:val="center"/>
        <w:rPr>
          <w:b/>
        </w:rPr>
      </w:pPr>
      <w:r w:rsidRPr="00C1616B">
        <w:rPr>
          <w:b/>
        </w:rPr>
        <w:t>FINANCIAL IMPACT STATEMENT</w:t>
      </w:r>
    </w:p>
    <w:p w:rsidR="00C05124" w:rsidRPr="00C1616B" w:rsidRDefault="00C05124" w:rsidP="00C05124">
      <w:pPr>
        <w:contextualSpacing/>
        <w:rPr>
          <w:b/>
        </w:rPr>
      </w:pPr>
    </w:p>
    <w:p w:rsidR="00C05124" w:rsidRPr="00C1616B" w:rsidRDefault="00C05124" w:rsidP="00C05124">
      <w:pPr>
        <w:contextualSpacing/>
        <w:rPr>
          <w:b/>
        </w:rPr>
      </w:pPr>
      <w:r w:rsidRPr="009E1D23">
        <w:t>There are no financial impacts associated with this Bill.</w:t>
      </w:r>
    </w:p>
    <w:p w:rsidR="00C05124" w:rsidRPr="00C1616B" w:rsidRDefault="00C05124" w:rsidP="00C05124">
      <w:pPr>
        <w:contextualSpacing/>
        <w:jc w:val="center"/>
        <w:rPr>
          <w:b/>
        </w:rPr>
      </w:pPr>
      <w:r w:rsidRPr="00C1616B">
        <w:br w:type="page"/>
      </w:r>
      <w:r w:rsidRPr="00C1616B">
        <w:rPr>
          <w:b/>
        </w:rPr>
        <w:lastRenderedPageBreak/>
        <w:t>STATEMENT OF COMPATIBILITY WITH HUMAN RIGHTS</w:t>
      </w:r>
    </w:p>
    <w:p w:rsidR="00C05124" w:rsidRPr="00C1616B" w:rsidRDefault="00C05124" w:rsidP="00C05124">
      <w:pPr>
        <w:contextualSpacing/>
        <w:jc w:val="center"/>
        <w:rPr>
          <w:i/>
        </w:rPr>
      </w:pPr>
    </w:p>
    <w:p w:rsidR="00C05124" w:rsidRPr="00C1616B" w:rsidRDefault="00C05124" w:rsidP="00C05124">
      <w:pPr>
        <w:contextualSpacing/>
        <w:jc w:val="center"/>
      </w:pPr>
      <w:r w:rsidRPr="00C1616B">
        <w:rPr>
          <w:i/>
        </w:rPr>
        <w:t>Prepared in accordance with Part 3 of the Human Rights (Parliamentary Scrutiny) Act 2011</w:t>
      </w:r>
    </w:p>
    <w:p w:rsidR="00C02BC2" w:rsidRDefault="00C02BC2" w:rsidP="00C02BC2">
      <w:pPr>
        <w:contextualSpacing/>
        <w:jc w:val="center"/>
        <w:rPr>
          <w:b/>
          <w:caps/>
        </w:rPr>
      </w:pPr>
    </w:p>
    <w:p w:rsidR="00C02BC2" w:rsidRPr="00042498" w:rsidRDefault="00C02BC2" w:rsidP="00C02BC2">
      <w:pPr>
        <w:contextualSpacing/>
        <w:jc w:val="center"/>
        <w:rPr>
          <w:b/>
          <w:caps/>
        </w:rPr>
      </w:pPr>
    </w:p>
    <w:p w:rsidR="00C02BC2" w:rsidRDefault="00C02BC2" w:rsidP="00C02BC2">
      <w:pPr>
        <w:contextualSpacing/>
        <w:jc w:val="center"/>
        <w:rPr>
          <w:b/>
          <w:caps/>
        </w:rPr>
      </w:pPr>
      <w:r w:rsidRPr="00FF4D18">
        <w:rPr>
          <w:b/>
          <w:caps/>
        </w:rPr>
        <w:t xml:space="preserve">CUSTOMS AMENDMENT (ANTI-DUMPING </w:t>
      </w:r>
      <w:r>
        <w:rPr>
          <w:b/>
          <w:caps/>
        </w:rPr>
        <w:t xml:space="preserve">Commission </w:t>
      </w:r>
      <w:r w:rsidRPr="00FF4D18">
        <w:rPr>
          <w:b/>
          <w:caps/>
        </w:rPr>
        <w:t>TRANS</w:t>
      </w:r>
      <w:r>
        <w:rPr>
          <w:b/>
          <w:caps/>
        </w:rPr>
        <w:t>FER</w:t>
      </w:r>
      <w:r w:rsidRPr="00FF4D18">
        <w:rPr>
          <w:b/>
          <w:caps/>
        </w:rPr>
        <w:t>)</w:t>
      </w:r>
      <w:r w:rsidRPr="00042498">
        <w:rPr>
          <w:b/>
          <w:caps/>
        </w:rPr>
        <w:t xml:space="preserve"> Bill 2013</w:t>
      </w:r>
    </w:p>
    <w:p w:rsidR="00C02BC2" w:rsidRDefault="00C02BC2" w:rsidP="00C02BC2">
      <w:pPr>
        <w:contextualSpacing/>
        <w:jc w:val="center"/>
      </w:pPr>
    </w:p>
    <w:p w:rsidR="00C02BC2" w:rsidRPr="001E42A6" w:rsidRDefault="00C02BC2" w:rsidP="00C02BC2">
      <w:pPr>
        <w:contextualSpacing/>
        <w:jc w:val="center"/>
      </w:pPr>
    </w:p>
    <w:p w:rsidR="00C05124" w:rsidRPr="00C1616B" w:rsidRDefault="00C05124" w:rsidP="00010024">
      <w:pPr>
        <w:contextualSpacing/>
      </w:pPr>
      <w:r w:rsidRPr="00C1616B">
        <w:t xml:space="preserve">This Bill is compatible with the human rights and freedoms recognised or declared in the international instruments listed in section 3 of the </w:t>
      </w:r>
      <w:r w:rsidRPr="00C1616B">
        <w:rPr>
          <w:i/>
        </w:rPr>
        <w:t>Human Rights (Parliamentary Scrutiny) Act 2011</w:t>
      </w:r>
      <w:r w:rsidRPr="00C1616B">
        <w:t>.</w:t>
      </w:r>
    </w:p>
    <w:p w:rsidR="00C05124" w:rsidRDefault="00C05124" w:rsidP="00C05124">
      <w:pPr>
        <w:contextualSpacing/>
        <w:rPr>
          <w:b/>
        </w:rPr>
      </w:pPr>
    </w:p>
    <w:p w:rsidR="00C02BC2" w:rsidRPr="00C1616B" w:rsidRDefault="00C02BC2" w:rsidP="00C05124">
      <w:pPr>
        <w:contextualSpacing/>
        <w:rPr>
          <w:b/>
        </w:rPr>
      </w:pPr>
    </w:p>
    <w:p w:rsidR="00C02BC2" w:rsidRPr="00042498" w:rsidRDefault="00C02BC2" w:rsidP="00C02BC2">
      <w:pPr>
        <w:spacing w:before="120" w:after="120"/>
        <w:jc w:val="both"/>
        <w:rPr>
          <w:b/>
        </w:rPr>
      </w:pPr>
      <w:r w:rsidRPr="00042498">
        <w:rPr>
          <w:b/>
        </w:rPr>
        <w:t>Overview of the Bill</w:t>
      </w:r>
    </w:p>
    <w:p w:rsidR="00C02BC2" w:rsidRPr="00042498" w:rsidRDefault="00C02BC2" w:rsidP="00C02BC2">
      <w:pPr>
        <w:spacing w:before="120" w:after="120"/>
        <w:rPr>
          <w:lang w:val="en-US"/>
        </w:rPr>
      </w:pPr>
      <w:r w:rsidRPr="00042498">
        <w:rPr>
          <w:lang w:val="en-US"/>
        </w:rPr>
        <w:t xml:space="preserve">The </w:t>
      </w:r>
      <w:r w:rsidRPr="00872205">
        <w:rPr>
          <w:i/>
          <w:lang w:val="en-US"/>
        </w:rPr>
        <w:t>Customs Amendment (Anti-Dumping Commission Trans</w:t>
      </w:r>
      <w:r>
        <w:rPr>
          <w:i/>
          <w:lang w:val="en-US"/>
        </w:rPr>
        <w:t>fer</w:t>
      </w:r>
      <w:r w:rsidRPr="00872205">
        <w:rPr>
          <w:i/>
          <w:lang w:val="en-US"/>
        </w:rPr>
        <w:t>) Bill</w:t>
      </w:r>
      <w:r>
        <w:rPr>
          <w:lang w:val="en-US"/>
        </w:rPr>
        <w:t xml:space="preserve"> </w:t>
      </w:r>
      <w:r w:rsidRPr="00872205">
        <w:rPr>
          <w:i/>
        </w:rPr>
        <w:t>2013</w:t>
      </w:r>
      <w:r w:rsidRPr="00042498">
        <w:t xml:space="preserve"> </w:t>
      </w:r>
      <w:r>
        <w:t xml:space="preserve">provides that the </w:t>
      </w:r>
      <w:r>
        <w:rPr>
          <w:bCs/>
        </w:rPr>
        <w:t>Anti-Dumping Commission (including the Commissioner), previously established within the Australian Customs and Border Protection Service,</w:t>
      </w:r>
      <w:r>
        <w:rPr>
          <w:lang w:val="en-US"/>
        </w:rPr>
        <w:t xml:space="preserve"> would continue in existence within the Department administered by the Minister of State administering Part XVB of the </w:t>
      </w:r>
      <w:r w:rsidRPr="006B0A2D">
        <w:rPr>
          <w:i/>
          <w:lang w:val="en-US"/>
        </w:rPr>
        <w:t>Customs Act 1901</w:t>
      </w:r>
      <w:r>
        <w:rPr>
          <w:lang w:val="en-US"/>
        </w:rPr>
        <w:t xml:space="preserve"> on and after the commencement of the Bill.</w:t>
      </w:r>
    </w:p>
    <w:p w:rsidR="00C02BC2" w:rsidRPr="00042498" w:rsidRDefault="00C02BC2" w:rsidP="00C02BC2">
      <w:pPr>
        <w:spacing w:before="120" w:after="120"/>
        <w:rPr>
          <w:lang w:val="en-US"/>
        </w:rPr>
      </w:pPr>
      <w:r w:rsidRPr="00042498">
        <w:rPr>
          <w:lang w:val="en-US"/>
        </w:rPr>
        <w:t xml:space="preserve">The objective of the Bill is </w:t>
      </w:r>
      <w:r>
        <w:rPr>
          <w:lang w:val="en-US"/>
        </w:rPr>
        <w:t>to transition the Anti-Dumping Commission from the Australian Customs and Border Protection Service to the Department of Industry.</w:t>
      </w:r>
    </w:p>
    <w:p w:rsidR="00C02BC2" w:rsidRDefault="00C02BC2" w:rsidP="00C02BC2">
      <w:pPr>
        <w:spacing w:before="120" w:after="120"/>
        <w:rPr>
          <w:b/>
        </w:rPr>
      </w:pPr>
    </w:p>
    <w:p w:rsidR="00C02BC2" w:rsidRDefault="00C02BC2" w:rsidP="00C02BC2">
      <w:pPr>
        <w:spacing w:before="120" w:after="120"/>
        <w:rPr>
          <w:b/>
        </w:rPr>
      </w:pPr>
    </w:p>
    <w:p w:rsidR="00C02BC2" w:rsidRPr="00042498" w:rsidRDefault="00C02BC2" w:rsidP="00C02BC2">
      <w:pPr>
        <w:spacing w:before="120" w:after="120"/>
        <w:rPr>
          <w:b/>
        </w:rPr>
      </w:pPr>
      <w:r w:rsidRPr="00042498">
        <w:rPr>
          <w:b/>
        </w:rPr>
        <w:t>Human rights implications</w:t>
      </w:r>
    </w:p>
    <w:p w:rsidR="00C02BC2" w:rsidRDefault="00C02BC2" w:rsidP="00C02BC2">
      <w:pPr>
        <w:spacing w:before="120" w:after="120"/>
      </w:pPr>
      <w:r>
        <w:t>This Bill</w:t>
      </w:r>
      <w:r w:rsidRPr="001D597A">
        <w:t xml:space="preserve"> does not engage any of the applicable rights or freedoms.</w:t>
      </w:r>
      <w:r>
        <w:t xml:space="preserve">  The Bill would maintain the existing anti-dumping related powers, functions and duties under the </w:t>
      </w:r>
      <w:r w:rsidRPr="002F7C46">
        <w:rPr>
          <w:i/>
        </w:rPr>
        <w:t>Customs Act 1901</w:t>
      </w:r>
      <w:r>
        <w:t>.</w:t>
      </w:r>
    </w:p>
    <w:p w:rsidR="00C02BC2" w:rsidRDefault="00C02BC2" w:rsidP="00C02BC2">
      <w:pPr>
        <w:spacing w:before="120" w:after="120"/>
        <w:rPr>
          <w:b/>
        </w:rPr>
      </w:pPr>
    </w:p>
    <w:p w:rsidR="00C02BC2" w:rsidRDefault="00C02BC2" w:rsidP="00C02BC2">
      <w:pPr>
        <w:spacing w:before="120" w:after="120"/>
        <w:rPr>
          <w:b/>
        </w:rPr>
      </w:pPr>
    </w:p>
    <w:p w:rsidR="00C02BC2" w:rsidRPr="00042498" w:rsidRDefault="00C02BC2" w:rsidP="00C02BC2">
      <w:pPr>
        <w:spacing w:before="120" w:after="120"/>
        <w:rPr>
          <w:b/>
        </w:rPr>
      </w:pPr>
      <w:r w:rsidRPr="00042498">
        <w:rPr>
          <w:b/>
        </w:rPr>
        <w:t xml:space="preserve">Conclusion </w:t>
      </w:r>
    </w:p>
    <w:p w:rsidR="00C02BC2" w:rsidRDefault="00C02BC2" w:rsidP="00C02BC2">
      <w:pPr>
        <w:spacing w:before="120" w:after="120"/>
      </w:pPr>
      <w:r w:rsidRPr="00923EC6">
        <w:t>This Bill is compatible with human rights as it does not raise any human rights issues.</w:t>
      </w:r>
    </w:p>
    <w:p w:rsidR="00C02BC2" w:rsidRDefault="00C02BC2" w:rsidP="00C02BC2">
      <w:pPr>
        <w:spacing w:before="120" w:after="120"/>
      </w:pPr>
    </w:p>
    <w:p w:rsidR="00C02BC2" w:rsidRDefault="00C02BC2" w:rsidP="00C02BC2">
      <w:pPr>
        <w:spacing w:before="120" w:after="120"/>
      </w:pPr>
    </w:p>
    <w:p w:rsidR="00C02BC2" w:rsidRPr="00BB5ACE" w:rsidRDefault="00C02BC2" w:rsidP="00C02BC2">
      <w:pPr>
        <w:spacing w:before="120" w:after="120"/>
        <w:jc w:val="center"/>
        <w:rPr>
          <w:rFonts w:eastAsia="Arial"/>
        </w:rPr>
      </w:pPr>
      <w:r>
        <w:rPr>
          <w:b/>
        </w:rPr>
        <w:t>The Minister for Industry, the Honourable Ian Macfarlane MP</w:t>
      </w:r>
    </w:p>
    <w:p w:rsidR="00C05124" w:rsidRPr="00C05124" w:rsidRDefault="00C05124" w:rsidP="00C1616B">
      <w:pPr>
        <w:spacing w:before="120" w:after="120"/>
        <w:rPr>
          <w:color w:val="0070C0"/>
        </w:rPr>
      </w:pPr>
      <w:r w:rsidRPr="00C05124">
        <w:rPr>
          <w:color w:val="0070C0"/>
        </w:rPr>
        <w:br w:type="page"/>
      </w:r>
    </w:p>
    <w:p w:rsidR="007C16FE" w:rsidRPr="00C05124" w:rsidRDefault="007C16FE" w:rsidP="007C16FE">
      <w:pPr>
        <w:contextualSpacing/>
        <w:jc w:val="center"/>
        <w:rPr>
          <w:b/>
          <w:caps/>
        </w:rPr>
      </w:pPr>
      <w:r w:rsidRPr="00C05124">
        <w:rPr>
          <w:b/>
          <w:caps/>
        </w:rPr>
        <w:lastRenderedPageBreak/>
        <w:t>Customs Amendment (Anti</w:t>
      </w:r>
      <w:r w:rsidRPr="00C05124">
        <w:rPr>
          <w:b/>
          <w:caps/>
        </w:rPr>
        <w:noBreakHyphen/>
        <w:t>Dumping Commission Transfer) Bill 2013</w:t>
      </w:r>
    </w:p>
    <w:p w:rsidR="00C05124" w:rsidRPr="007C16FE" w:rsidRDefault="00C05124" w:rsidP="00C05124">
      <w:pPr>
        <w:contextualSpacing/>
        <w:jc w:val="center"/>
        <w:outlineLvl w:val="0"/>
        <w:rPr>
          <w:b/>
        </w:rPr>
      </w:pPr>
    </w:p>
    <w:p w:rsidR="00C05124" w:rsidRPr="007C16FE" w:rsidRDefault="00C05124" w:rsidP="00C05124">
      <w:pPr>
        <w:contextualSpacing/>
        <w:jc w:val="center"/>
        <w:rPr>
          <w:b/>
          <w:caps/>
        </w:rPr>
      </w:pPr>
      <w:r w:rsidRPr="007C16FE">
        <w:rPr>
          <w:b/>
          <w:caps/>
        </w:rPr>
        <w:t>NOTES ON CLAUSES</w:t>
      </w:r>
    </w:p>
    <w:p w:rsidR="00C05124" w:rsidRPr="007C16FE" w:rsidRDefault="00C05124" w:rsidP="00C05124">
      <w:pPr>
        <w:contextualSpacing/>
        <w:rPr>
          <w:rStyle w:val="CharAmSchNo"/>
        </w:rPr>
      </w:pPr>
    </w:p>
    <w:p w:rsidR="00C05124" w:rsidRPr="007C16FE" w:rsidRDefault="00C05124" w:rsidP="00C05124">
      <w:pPr>
        <w:contextualSpacing/>
      </w:pPr>
      <w:r w:rsidRPr="007C16FE">
        <w:rPr>
          <w:b/>
        </w:rPr>
        <w:t>Clause 1 - Short title</w:t>
      </w:r>
    </w:p>
    <w:p w:rsidR="00C05124" w:rsidRPr="007C16FE" w:rsidRDefault="00C05124" w:rsidP="00C05124">
      <w:pPr>
        <w:contextualSpacing/>
      </w:pPr>
    </w:p>
    <w:p w:rsidR="00C05124" w:rsidRPr="007C16FE" w:rsidRDefault="00C05124" w:rsidP="00C05124">
      <w:pPr>
        <w:contextualSpacing/>
      </w:pPr>
      <w:r w:rsidRPr="007C16FE">
        <w:t xml:space="preserve">Provides for the Act to be cited as the </w:t>
      </w:r>
      <w:r w:rsidR="007C16FE" w:rsidRPr="007C16FE">
        <w:rPr>
          <w:i/>
        </w:rPr>
        <w:t>Customs Amendment (Anti</w:t>
      </w:r>
      <w:r w:rsidR="007C16FE" w:rsidRPr="007C16FE">
        <w:rPr>
          <w:i/>
        </w:rPr>
        <w:noBreakHyphen/>
        <w:t>Dumping Commission Transfer) Act 2013</w:t>
      </w:r>
      <w:r w:rsidRPr="007C16FE">
        <w:t>.</w:t>
      </w:r>
    </w:p>
    <w:p w:rsidR="00C05124" w:rsidRPr="007C16FE" w:rsidRDefault="00C05124" w:rsidP="00C05124">
      <w:pPr>
        <w:contextualSpacing/>
      </w:pPr>
    </w:p>
    <w:p w:rsidR="00C05124" w:rsidRPr="007C16FE" w:rsidRDefault="00C05124" w:rsidP="00C05124">
      <w:pPr>
        <w:contextualSpacing/>
      </w:pPr>
    </w:p>
    <w:p w:rsidR="00C05124" w:rsidRPr="007C16FE" w:rsidRDefault="00C05124" w:rsidP="00C05124">
      <w:pPr>
        <w:contextualSpacing/>
        <w:outlineLvl w:val="0"/>
        <w:rPr>
          <w:b/>
          <w:lang w:val="en-US"/>
        </w:rPr>
      </w:pPr>
      <w:r w:rsidRPr="007C16FE">
        <w:rPr>
          <w:b/>
          <w:lang w:val="en-US"/>
        </w:rPr>
        <w:t>Clause 2 - Commencement</w:t>
      </w:r>
    </w:p>
    <w:p w:rsidR="00C05124" w:rsidRPr="007C16FE" w:rsidRDefault="00C05124" w:rsidP="00C05124">
      <w:pPr>
        <w:contextualSpacing/>
        <w:rPr>
          <w:lang w:val="en-US"/>
        </w:rPr>
      </w:pPr>
    </w:p>
    <w:p w:rsidR="007C16FE" w:rsidRDefault="007C16FE" w:rsidP="007C16FE">
      <w:pPr>
        <w:rPr>
          <w:lang w:val="en-US"/>
        </w:rPr>
      </w:pPr>
      <w:r>
        <w:rPr>
          <w:lang w:val="en-US"/>
        </w:rPr>
        <w:t>Subclause 2(1) inserts a three column table setting out commencement information for various provisions in the Act. Each provision of the Act specified in column 1 of the table commences (or is taken to have commenced) in accordance with column 2 of the table and any other statement in column 2 has effect according to its terms.</w:t>
      </w:r>
    </w:p>
    <w:p w:rsidR="007C16FE" w:rsidRDefault="007C16FE" w:rsidP="007C16FE">
      <w:pPr>
        <w:rPr>
          <w:lang w:val="en-US"/>
        </w:rPr>
      </w:pPr>
    </w:p>
    <w:p w:rsidR="007C16FE" w:rsidRDefault="007C16FE" w:rsidP="007C16FE">
      <w:pPr>
        <w:autoSpaceDN w:val="0"/>
      </w:pPr>
      <w:r>
        <w:t>The table has the effect of providing for:</w:t>
      </w:r>
    </w:p>
    <w:p w:rsidR="007C16FE" w:rsidRDefault="007C16FE" w:rsidP="007C16FE">
      <w:pPr>
        <w:numPr>
          <w:ilvl w:val="0"/>
          <w:numId w:val="6"/>
        </w:numPr>
        <w:autoSpaceDN w:val="0"/>
      </w:pPr>
      <w:r>
        <w:t xml:space="preserve">sections 1 to 3 and anything in this Act not elsewhere covered by this table to commence on Royal Assent; </w:t>
      </w:r>
    </w:p>
    <w:p w:rsidR="007C16FE" w:rsidRDefault="007C16FE" w:rsidP="007C16FE">
      <w:pPr>
        <w:numPr>
          <w:ilvl w:val="0"/>
          <w:numId w:val="6"/>
        </w:numPr>
        <w:autoSpaceDN w:val="0"/>
      </w:pPr>
      <w:r>
        <w:t>Schedule 1 to commence on Proclamation</w:t>
      </w:r>
      <w:r w:rsidR="005715B8">
        <w:t xml:space="preserve"> or if the provision(s) do not commence within the period of 6 months on the day this Act receives Royal Assent, then they commence on the day after that period</w:t>
      </w:r>
      <w:r>
        <w:t xml:space="preserve">. </w:t>
      </w:r>
    </w:p>
    <w:p w:rsidR="007C16FE" w:rsidRDefault="007C16FE" w:rsidP="007C16FE">
      <w:pPr>
        <w:rPr>
          <w:lang w:val="en-US"/>
        </w:rPr>
      </w:pPr>
    </w:p>
    <w:p w:rsidR="007C16FE" w:rsidRPr="007C16FE" w:rsidRDefault="007C16FE" w:rsidP="007C16FE">
      <w:pPr>
        <w:rPr>
          <w:lang w:val="en-US"/>
        </w:rPr>
      </w:pPr>
      <w:r>
        <w:rPr>
          <w:lang w:val="en-US"/>
        </w:rPr>
        <w:t>Subclause 2(2) provides that column 3 of the table is for additional information which may be added to or edited in any published version of the Act but that information is not part of the Act.</w:t>
      </w:r>
    </w:p>
    <w:p w:rsidR="00C05124" w:rsidRPr="007C16FE" w:rsidRDefault="00C05124" w:rsidP="00C05124">
      <w:pPr>
        <w:contextualSpacing/>
        <w:rPr>
          <w:lang w:val="en-US"/>
        </w:rPr>
      </w:pPr>
    </w:p>
    <w:p w:rsidR="00C05124" w:rsidRPr="007C16FE" w:rsidRDefault="007C16FE" w:rsidP="00C05124">
      <w:pPr>
        <w:contextualSpacing/>
        <w:outlineLvl w:val="0"/>
        <w:rPr>
          <w:b/>
          <w:lang w:eastAsia="en-US"/>
        </w:rPr>
      </w:pPr>
      <w:r w:rsidRPr="007C16FE">
        <w:rPr>
          <w:b/>
          <w:lang w:eastAsia="en-US"/>
        </w:rPr>
        <w:t>Clause 3 - S</w:t>
      </w:r>
      <w:r w:rsidR="00C05124" w:rsidRPr="007C16FE">
        <w:rPr>
          <w:b/>
          <w:lang w:eastAsia="en-US"/>
        </w:rPr>
        <w:t>chedule(s)</w:t>
      </w:r>
    </w:p>
    <w:p w:rsidR="00C05124" w:rsidRPr="007C16FE" w:rsidRDefault="00C05124" w:rsidP="00C05124">
      <w:pPr>
        <w:contextualSpacing/>
        <w:rPr>
          <w:lang w:eastAsia="en-US"/>
        </w:rPr>
      </w:pPr>
    </w:p>
    <w:p w:rsidR="00C05124" w:rsidRPr="007C16FE" w:rsidRDefault="00C05124" w:rsidP="00C05124">
      <w:pPr>
        <w:contextualSpacing/>
        <w:rPr>
          <w:lang w:eastAsia="en-US"/>
        </w:rPr>
      </w:pPr>
      <w:r w:rsidRPr="007C16FE">
        <w:rPr>
          <w:lang w:eastAsia="en-US"/>
        </w:rPr>
        <w:t>Provides that each Act that is specified in a schedule is amended or repealed as set out in the applicable items in the schedule and that any other item in a schedule has effect according to its terms.</w:t>
      </w:r>
    </w:p>
    <w:p w:rsidR="00C05124" w:rsidRPr="007C16FE" w:rsidRDefault="00C05124" w:rsidP="00C05124">
      <w:pPr>
        <w:contextualSpacing/>
        <w:rPr>
          <w:rStyle w:val="CharAmSchNo"/>
          <w:b/>
          <w:kern w:val="28"/>
        </w:rPr>
      </w:pPr>
    </w:p>
    <w:p w:rsidR="00C05124" w:rsidRPr="007C16FE" w:rsidRDefault="00C05124" w:rsidP="00C05124">
      <w:pPr>
        <w:contextualSpacing/>
        <w:rPr>
          <w:rStyle w:val="CharAmSchNo"/>
          <w:b/>
          <w:kern w:val="28"/>
        </w:rPr>
      </w:pPr>
    </w:p>
    <w:p w:rsidR="00C05124" w:rsidRPr="007C16FE" w:rsidRDefault="00C05124" w:rsidP="00C05124">
      <w:pPr>
        <w:contextualSpacing/>
        <w:rPr>
          <w:rStyle w:val="CharAmSchNo"/>
          <w:b/>
          <w:kern w:val="28"/>
        </w:rPr>
      </w:pPr>
    </w:p>
    <w:p w:rsidR="00C05124" w:rsidRPr="007C16FE" w:rsidRDefault="00C05124" w:rsidP="00C05124">
      <w:pPr>
        <w:contextualSpacing/>
        <w:rPr>
          <w:rStyle w:val="CharAmSchNo"/>
          <w:b/>
          <w:kern w:val="28"/>
        </w:rPr>
      </w:pPr>
    </w:p>
    <w:p w:rsidR="00C05124" w:rsidRPr="007C16FE" w:rsidRDefault="00C05124" w:rsidP="00C05124">
      <w:pPr>
        <w:contextualSpacing/>
        <w:rPr>
          <w:rStyle w:val="CharAmSchNo"/>
          <w:b/>
          <w:kern w:val="28"/>
        </w:rPr>
      </w:pPr>
    </w:p>
    <w:p w:rsidR="00C05124" w:rsidRPr="007C16FE" w:rsidRDefault="00C05124" w:rsidP="00C05124">
      <w:pPr>
        <w:contextualSpacing/>
        <w:rPr>
          <w:rStyle w:val="CharAmSchNo"/>
          <w:b/>
          <w:kern w:val="28"/>
        </w:rPr>
      </w:pPr>
    </w:p>
    <w:p w:rsidR="00C05124" w:rsidRPr="007C16FE" w:rsidRDefault="00C05124" w:rsidP="00C05124">
      <w:pPr>
        <w:contextualSpacing/>
        <w:rPr>
          <w:rStyle w:val="CharAmSchNo"/>
          <w:b/>
          <w:kern w:val="28"/>
        </w:rPr>
      </w:pPr>
      <w:r w:rsidRPr="007C16FE">
        <w:rPr>
          <w:rStyle w:val="CharAmSchNo"/>
          <w:b/>
          <w:kern w:val="28"/>
        </w:rPr>
        <w:t xml:space="preserve">List of abbreviations </w:t>
      </w:r>
    </w:p>
    <w:p w:rsidR="00C05124" w:rsidRPr="007C16FE" w:rsidRDefault="00C05124" w:rsidP="00C05124">
      <w:pPr>
        <w:contextualSpacing/>
        <w:rPr>
          <w:rStyle w:val="CharAmSchNo"/>
          <w:b/>
          <w:kern w:val="28"/>
        </w:rPr>
      </w:pPr>
    </w:p>
    <w:p w:rsidR="002D484A" w:rsidRDefault="002D484A" w:rsidP="002D484A">
      <w:pPr>
        <w:contextualSpacing/>
        <w:rPr>
          <w:i/>
        </w:rPr>
      </w:pPr>
      <w:r>
        <w:t>‘the Act’</w:t>
      </w:r>
      <w:r w:rsidRPr="007C16FE">
        <w:rPr>
          <w:i/>
        </w:rPr>
        <w:t xml:space="preserve"> </w:t>
      </w:r>
      <w:r>
        <w:rPr>
          <w:i/>
        </w:rPr>
        <w:tab/>
      </w:r>
      <w:r>
        <w:rPr>
          <w:i/>
        </w:rPr>
        <w:tab/>
      </w:r>
      <w:r w:rsidRPr="007C16FE">
        <w:rPr>
          <w:i/>
        </w:rPr>
        <w:t>Customs Amendment (Anti</w:t>
      </w:r>
      <w:r w:rsidRPr="007C16FE">
        <w:rPr>
          <w:i/>
        </w:rPr>
        <w:noBreakHyphen/>
        <w:t>Dumping Commission Transfer) Act 2013</w:t>
      </w:r>
      <w:r>
        <w:rPr>
          <w:i/>
        </w:rPr>
        <w:t xml:space="preserve"> </w:t>
      </w:r>
    </w:p>
    <w:p w:rsidR="002D484A" w:rsidRPr="00E67324" w:rsidRDefault="002D484A" w:rsidP="002D484A">
      <w:pPr>
        <w:ind w:left="2160"/>
        <w:contextualSpacing/>
        <w:rPr>
          <w:color w:val="0070C0"/>
          <w:lang w:eastAsia="en-US"/>
        </w:rPr>
      </w:pPr>
      <w:r>
        <w:t>(when enacted)</w:t>
      </w:r>
    </w:p>
    <w:p w:rsidR="002C1736" w:rsidRDefault="002D484A" w:rsidP="002D484A">
      <w:pPr>
        <w:contextualSpacing/>
        <w:rPr>
          <w:lang w:eastAsia="en-US"/>
        </w:rPr>
      </w:pPr>
      <w:r>
        <w:rPr>
          <w:lang w:eastAsia="en-US"/>
        </w:rPr>
        <w:t xml:space="preserve">‘the Commission’ </w:t>
      </w:r>
      <w:r>
        <w:rPr>
          <w:lang w:eastAsia="en-US"/>
        </w:rPr>
        <w:tab/>
        <w:t xml:space="preserve">Anti-Dumping Commission </w:t>
      </w:r>
      <w:r w:rsidR="00D91D4B">
        <w:rPr>
          <w:lang w:eastAsia="en-US"/>
        </w:rPr>
        <w:tab/>
      </w:r>
    </w:p>
    <w:p w:rsidR="00005839" w:rsidRDefault="00005839" w:rsidP="002D484A">
      <w:pPr>
        <w:contextualSpacing/>
        <w:rPr>
          <w:lang w:eastAsia="en-US"/>
        </w:rPr>
      </w:pPr>
      <w:r>
        <w:rPr>
          <w:lang w:eastAsia="en-US"/>
        </w:rPr>
        <w:t>‘the Commissioner’</w:t>
      </w:r>
      <w:r>
        <w:rPr>
          <w:lang w:eastAsia="en-US"/>
        </w:rPr>
        <w:tab/>
      </w:r>
      <w:r w:rsidR="001A6793">
        <w:rPr>
          <w:lang w:eastAsia="en-US"/>
        </w:rPr>
        <w:t>The Commissioner of the Anti-Dumping Commission</w:t>
      </w:r>
    </w:p>
    <w:p w:rsidR="002D484A" w:rsidRDefault="002D484A" w:rsidP="002D484A">
      <w:pPr>
        <w:contextualSpacing/>
      </w:pPr>
      <w:r>
        <w:t xml:space="preserve">‘Customs’ </w:t>
      </w:r>
      <w:r>
        <w:tab/>
      </w:r>
      <w:r>
        <w:tab/>
        <w:t>Australian Customs and Border Protection Service</w:t>
      </w:r>
      <w:r>
        <w:tab/>
      </w:r>
    </w:p>
    <w:p w:rsidR="00C05124" w:rsidRPr="007C16FE" w:rsidRDefault="002D484A" w:rsidP="002D484A">
      <w:pPr>
        <w:contextualSpacing/>
        <w:rPr>
          <w:lang w:eastAsia="en-US"/>
        </w:rPr>
      </w:pPr>
      <w:r>
        <w:rPr>
          <w:lang w:eastAsia="en-US"/>
        </w:rPr>
        <w:t>‘the Customs Act’</w:t>
      </w:r>
      <w:r w:rsidRPr="007C16FE">
        <w:rPr>
          <w:i/>
          <w:lang w:eastAsia="en-US"/>
        </w:rPr>
        <w:t xml:space="preserve"> </w:t>
      </w:r>
      <w:r>
        <w:rPr>
          <w:i/>
          <w:lang w:eastAsia="en-US"/>
        </w:rPr>
        <w:tab/>
      </w:r>
      <w:r w:rsidR="007C16FE" w:rsidRPr="007C16FE">
        <w:rPr>
          <w:i/>
          <w:lang w:eastAsia="en-US"/>
        </w:rPr>
        <w:t>Customs Act 1901</w:t>
      </w:r>
      <w:r>
        <w:rPr>
          <w:lang w:eastAsia="en-US"/>
        </w:rPr>
        <w:t xml:space="preserve"> </w:t>
      </w:r>
    </w:p>
    <w:p w:rsidR="002D484A" w:rsidRPr="00D75526" w:rsidRDefault="002D484A" w:rsidP="002D484A">
      <w:pPr>
        <w:contextualSpacing/>
        <w:rPr>
          <w:lang w:eastAsia="en-US"/>
        </w:rPr>
      </w:pPr>
      <w:r>
        <w:rPr>
          <w:lang w:eastAsia="en-US"/>
        </w:rPr>
        <w:t xml:space="preserve">‘the Department’ </w:t>
      </w:r>
      <w:r>
        <w:rPr>
          <w:lang w:eastAsia="en-US"/>
        </w:rPr>
        <w:tab/>
        <w:t xml:space="preserve">Department of Industry </w:t>
      </w:r>
    </w:p>
    <w:p w:rsidR="00C05124" w:rsidRDefault="002D484A" w:rsidP="00C05124">
      <w:pPr>
        <w:contextualSpacing/>
        <w:rPr>
          <w:lang w:eastAsia="en-US"/>
        </w:rPr>
      </w:pPr>
      <w:r>
        <w:rPr>
          <w:lang w:eastAsia="en-US"/>
        </w:rPr>
        <w:t>‘</w:t>
      </w:r>
      <w:r w:rsidRPr="007C16FE">
        <w:rPr>
          <w:lang w:eastAsia="en-US"/>
        </w:rPr>
        <w:t xml:space="preserve">Dumping </w:t>
      </w:r>
      <w:r>
        <w:rPr>
          <w:lang w:eastAsia="en-US"/>
        </w:rPr>
        <w:t xml:space="preserve">Duty </w:t>
      </w:r>
      <w:r w:rsidRPr="007C16FE">
        <w:rPr>
          <w:lang w:eastAsia="en-US"/>
        </w:rPr>
        <w:t>Act</w:t>
      </w:r>
      <w:r>
        <w:rPr>
          <w:lang w:eastAsia="en-US"/>
        </w:rPr>
        <w:t>’</w:t>
      </w:r>
      <w:r>
        <w:rPr>
          <w:i/>
          <w:lang w:eastAsia="en-US"/>
        </w:rPr>
        <w:t xml:space="preserve"> </w:t>
      </w:r>
      <w:r>
        <w:rPr>
          <w:i/>
          <w:lang w:eastAsia="en-US"/>
        </w:rPr>
        <w:tab/>
      </w:r>
      <w:r w:rsidR="007C16FE">
        <w:rPr>
          <w:i/>
          <w:lang w:eastAsia="en-US"/>
        </w:rPr>
        <w:t>Customs Tariff (Anti-Dumping) Act 1975</w:t>
      </w:r>
    </w:p>
    <w:p w:rsidR="00C05124" w:rsidRPr="00C05124" w:rsidRDefault="00C05124" w:rsidP="00C05124">
      <w:pPr>
        <w:contextualSpacing/>
        <w:rPr>
          <w:rStyle w:val="CharAmSchNo"/>
          <w:rFonts w:ascii="Arial" w:hAnsi="Arial"/>
          <w:b/>
          <w:color w:val="0070C0"/>
          <w:kern w:val="28"/>
          <w:sz w:val="32"/>
          <w:szCs w:val="20"/>
        </w:rPr>
      </w:pPr>
      <w:r w:rsidRPr="00C05124">
        <w:rPr>
          <w:rStyle w:val="CharAmSchNo"/>
          <w:color w:val="0070C0"/>
        </w:rPr>
        <w:lastRenderedPageBreak/>
        <w:br w:type="page"/>
      </w:r>
    </w:p>
    <w:p w:rsidR="008A1A49" w:rsidRDefault="008A1A49" w:rsidP="008A1A49">
      <w:pPr>
        <w:pStyle w:val="ActHead6"/>
        <w:pageBreakBefore/>
      </w:pPr>
      <w:bookmarkStart w:id="1" w:name="_Toc370806619"/>
      <w:bookmarkStart w:id="2" w:name="opcCurrentFind"/>
      <w:bookmarkStart w:id="3" w:name="opcAmSched"/>
      <w:bookmarkStart w:id="4" w:name="_Toc334177634"/>
      <w:r>
        <w:rPr>
          <w:rStyle w:val="CharAmSchNo"/>
        </w:rPr>
        <w:lastRenderedPageBreak/>
        <w:t>Schedule 1</w:t>
      </w:r>
      <w:r>
        <w:t>—</w:t>
      </w:r>
      <w:r>
        <w:rPr>
          <w:rStyle w:val="CharAmSchText"/>
        </w:rPr>
        <w:t>Amendments</w:t>
      </w:r>
      <w:bookmarkEnd w:id="1"/>
    </w:p>
    <w:p w:rsidR="008A1A49" w:rsidRDefault="008A1A49" w:rsidP="008A1A49">
      <w:pPr>
        <w:pStyle w:val="ActHead7"/>
      </w:pPr>
      <w:bookmarkStart w:id="5" w:name="_Toc370806620"/>
      <w:bookmarkEnd w:id="2"/>
      <w:bookmarkEnd w:id="3"/>
      <w:r>
        <w:rPr>
          <w:rStyle w:val="CharAmPartNo"/>
        </w:rPr>
        <w:t>Part 1</w:t>
      </w:r>
      <w:r>
        <w:t>—</w:t>
      </w:r>
      <w:r>
        <w:rPr>
          <w:rStyle w:val="CharAmPartText"/>
        </w:rPr>
        <w:t>Main amendments</w:t>
      </w:r>
      <w:bookmarkEnd w:id="5"/>
    </w:p>
    <w:p w:rsidR="008A1A49" w:rsidRDefault="008A1A49" w:rsidP="008A1A49">
      <w:pPr>
        <w:pStyle w:val="ActHead9"/>
        <w:rPr>
          <w:i w:val="0"/>
        </w:rPr>
      </w:pPr>
      <w:bookmarkStart w:id="6" w:name="_Toc370806621"/>
      <w:r>
        <w:t>Customs Act 1901</w:t>
      </w:r>
      <w:bookmarkEnd w:id="6"/>
    </w:p>
    <w:p w:rsidR="00C05124" w:rsidRPr="00C05124" w:rsidRDefault="00C05124" w:rsidP="00C05124">
      <w:pPr>
        <w:pStyle w:val="ActHead8"/>
        <w:spacing w:before="0"/>
        <w:contextualSpacing/>
        <w:rPr>
          <w:color w:val="0070C0"/>
          <w:sz w:val="24"/>
          <w:szCs w:val="24"/>
        </w:rPr>
      </w:pPr>
    </w:p>
    <w:bookmarkEnd w:id="4"/>
    <w:p w:rsidR="00C05124" w:rsidRPr="002C1736" w:rsidRDefault="002C1736" w:rsidP="00C05124">
      <w:pPr>
        <w:contextualSpacing/>
        <w:rPr>
          <w:b/>
          <w:i/>
          <w:u w:val="single"/>
        </w:rPr>
      </w:pPr>
      <w:r w:rsidRPr="002C1736">
        <w:rPr>
          <w:b/>
          <w:i/>
          <w:u w:val="single"/>
        </w:rPr>
        <w:t>Transfer of machinery of Anti-Dumping Commission to the Department of Industry</w:t>
      </w:r>
    </w:p>
    <w:p w:rsidR="00C05124" w:rsidRPr="00C05124" w:rsidRDefault="00C05124" w:rsidP="00C05124">
      <w:pPr>
        <w:contextualSpacing/>
        <w:rPr>
          <w:b/>
          <w:color w:val="0070C0"/>
        </w:rPr>
      </w:pPr>
    </w:p>
    <w:p w:rsidR="00C05124" w:rsidRPr="00C26190" w:rsidRDefault="00C05124" w:rsidP="00C05124">
      <w:pPr>
        <w:contextualSpacing/>
        <w:jc w:val="center"/>
        <w:rPr>
          <w:u w:val="single"/>
        </w:rPr>
      </w:pPr>
      <w:bookmarkStart w:id="7" w:name="_Toc334177636"/>
      <w:r w:rsidRPr="00C26190">
        <w:rPr>
          <w:u w:val="single"/>
        </w:rPr>
        <w:t>Summary</w:t>
      </w:r>
    </w:p>
    <w:p w:rsidR="00C05124" w:rsidRPr="00C26190" w:rsidRDefault="00C05124" w:rsidP="00C05124">
      <w:pPr>
        <w:contextualSpacing/>
        <w:jc w:val="center"/>
        <w:rPr>
          <w:b/>
          <w:highlight w:val="red"/>
        </w:rPr>
      </w:pPr>
    </w:p>
    <w:p w:rsidR="00C26190" w:rsidRDefault="00C26190" w:rsidP="00C05124">
      <w:pPr>
        <w:contextualSpacing/>
      </w:pPr>
      <w:r>
        <w:t xml:space="preserve">The amendments made by Part 1 provide </w:t>
      </w:r>
      <w:r w:rsidRPr="00C26190">
        <w:t>for the transfer</w:t>
      </w:r>
      <w:r>
        <w:t xml:space="preserve"> of anti-dumping </w:t>
      </w:r>
      <w:r w:rsidR="009E1D23">
        <w:t>administrati</w:t>
      </w:r>
      <w:r w:rsidR="00010024">
        <w:t>on</w:t>
      </w:r>
      <w:r w:rsidR="009E1D23">
        <w:t xml:space="preserve"> </w:t>
      </w:r>
      <w:r>
        <w:t>from the Australian Customs and Border Protection Service to the Department of Industry</w:t>
      </w:r>
      <w:r w:rsidR="009E1D23">
        <w:t xml:space="preserve"> (being the Department </w:t>
      </w:r>
      <w:r w:rsidR="00FD3036">
        <w:t>administered by</w:t>
      </w:r>
      <w:r w:rsidR="009E1D23">
        <w:t xml:space="preserve"> the Minister responsible for Part XVB of the Customs Act on and from the day the Act commences</w:t>
      </w:r>
      <w:r w:rsidR="00FD3036">
        <w:t>)</w:t>
      </w:r>
      <w:r>
        <w:t xml:space="preserve">. Parts </w:t>
      </w:r>
      <w:r w:rsidR="009E1D23">
        <w:t xml:space="preserve">XVB </w:t>
      </w:r>
      <w:r>
        <w:t xml:space="preserve">and XVC contain the substantive provisions in respect of anti-dumping matters </w:t>
      </w:r>
      <w:r w:rsidR="00005839">
        <w:t xml:space="preserve">and the International Trade Remedies Forum </w:t>
      </w:r>
      <w:r w:rsidR="00051655">
        <w:t xml:space="preserve">(the Forum) </w:t>
      </w:r>
      <w:r>
        <w:t>under the Customs Act.</w:t>
      </w:r>
      <w:r w:rsidR="00A20AC2">
        <w:t xml:space="preserve"> </w:t>
      </w:r>
      <w:r>
        <w:t xml:space="preserve"> Under these amendments, new provisions have been inserted to allow the Minister to delegate his powers and functions under </w:t>
      </w:r>
      <w:r w:rsidR="00374AAD">
        <w:t xml:space="preserve">the Dumping Duty Act and </w:t>
      </w:r>
      <w:r>
        <w:t>Parts XVB and XVC</w:t>
      </w:r>
      <w:r w:rsidR="00374AAD">
        <w:t xml:space="preserve"> of the Customs Act</w:t>
      </w:r>
      <w:r w:rsidRPr="00374AAD">
        <w:t xml:space="preserve">. </w:t>
      </w:r>
      <w:r w:rsidR="00A20AC2">
        <w:t xml:space="preserve"> </w:t>
      </w:r>
      <w:r w:rsidR="00374AAD">
        <w:t>The new provisions</w:t>
      </w:r>
      <w:r w:rsidR="00FD3036" w:rsidRPr="00374AAD">
        <w:t xml:space="preserve"> effectively replicate the delegation powers currently contained in section 9 of the Customs Act</w:t>
      </w:r>
      <w:r w:rsidR="00374AAD">
        <w:t xml:space="preserve"> with respect to the Dumping Duty Act and Parts XVB and XVC of the Customs Act</w:t>
      </w:r>
      <w:r w:rsidR="00FD3036" w:rsidRPr="00374AAD">
        <w:t>.</w:t>
      </w:r>
      <w:r w:rsidR="00FD3036">
        <w:t xml:space="preserve"> </w:t>
      </w:r>
      <w:r w:rsidR="00A20AC2">
        <w:t xml:space="preserve"> </w:t>
      </w:r>
      <w:r>
        <w:t>Amendments have also been made to provide that the Anti-Dumping Commission, its staff and staff</w:t>
      </w:r>
      <w:r w:rsidR="002C1736">
        <w:t xml:space="preserve"> assisting </w:t>
      </w:r>
      <w:r>
        <w:t xml:space="preserve">the Commissioner are to be located within the Department of Industry. </w:t>
      </w:r>
    </w:p>
    <w:p w:rsidR="00C26190" w:rsidRPr="00D75526" w:rsidRDefault="00C26190" w:rsidP="00C05124">
      <w:pPr>
        <w:contextualSpacing/>
      </w:pPr>
    </w:p>
    <w:p w:rsidR="00C05124" w:rsidRPr="00D75526" w:rsidRDefault="00F01AB0" w:rsidP="00C05124">
      <w:pPr>
        <w:contextualSpacing/>
      </w:pPr>
      <w:r>
        <w:t>Other</w:t>
      </w:r>
      <w:r w:rsidR="00C26190" w:rsidRPr="00D75526">
        <w:t xml:space="preserve"> amendments have also been made to provide greater clarity in relation to the disclosure of information between the Commission and</w:t>
      </w:r>
      <w:r w:rsidR="002C1736" w:rsidRPr="00D75526">
        <w:t xml:space="preserve"> Customs.</w:t>
      </w:r>
      <w:r w:rsidR="00C05124" w:rsidRPr="00D75526">
        <w:t xml:space="preserve"> </w:t>
      </w:r>
    </w:p>
    <w:p w:rsidR="00C05124" w:rsidRPr="00D75526" w:rsidRDefault="00C05124" w:rsidP="00C05124">
      <w:pPr>
        <w:contextualSpacing/>
      </w:pPr>
    </w:p>
    <w:p w:rsidR="002C1736" w:rsidRPr="00D75526" w:rsidRDefault="002C1736" w:rsidP="00C05124">
      <w:pPr>
        <w:contextualSpacing/>
      </w:pPr>
    </w:p>
    <w:p w:rsidR="00C05124" w:rsidRPr="00D75526" w:rsidRDefault="00C05124" w:rsidP="00C05124">
      <w:pPr>
        <w:contextualSpacing/>
        <w:jc w:val="center"/>
        <w:rPr>
          <w:u w:val="single"/>
        </w:rPr>
      </w:pPr>
      <w:r w:rsidRPr="00D75526">
        <w:rPr>
          <w:u w:val="single"/>
        </w:rPr>
        <w:t>Explanation of the changes</w:t>
      </w:r>
    </w:p>
    <w:p w:rsidR="00D75526" w:rsidRDefault="00D75526" w:rsidP="00C05124">
      <w:pPr>
        <w:contextualSpacing/>
        <w:rPr>
          <w:i/>
        </w:rPr>
      </w:pPr>
    </w:p>
    <w:p w:rsidR="00C05124" w:rsidRPr="00D75526" w:rsidRDefault="0042789A" w:rsidP="00C05124">
      <w:pPr>
        <w:contextualSpacing/>
        <w:rPr>
          <w:i/>
        </w:rPr>
      </w:pPr>
      <w:r>
        <w:rPr>
          <w:i/>
        </w:rPr>
        <w:t>Establishment</w:t>
      </w:r>
    </w:p>
    <w:p w:rsidR="00D75526" w:rsidRPr="00D75526" w:rsidRDefault="00D75526" w:rsidP="00C05124">
      <w:pPr>
        <w:contextualSpacing/>
        <w:rPr>
          <w:b/>
        </w:rPr>
      </w:pPr>
    </w:p>
    <w:p w:rsidR="00C05124" w:rsidRPr="00D75526" w:rsidRDefault="00533025" w:rsidP="00C05124">
      <w:pPr>
        <w:contextualSpacing/>
      </w:pPr>
      <w:r w:rsidRPr="00533025">
        <w:t>Item 8</w:t>
      </w:r>
      <w:r w:rsidR="00C05124" w:rsidRPr="00D75526">
        <w:rPr>
          <w:b/>
        </w:rPr>
        <w:t xml:space="preserve"> </w:t>
      </w:r>
      <w:r w:rsidR="002C1736" w:rsidRPr="00D75526">
        <w:t xml:space="preserve">repeals and </w:t>
      </w:r>
      <w:r w:rsidR="002C1736" w:rsidRPr="00533025">
        <w:t>substitutes section 269SMB</w:t>
      </w:r>
      <w:r w:rsidR="00024BE4" w:rsidRPr="00024BE4">
        <w:t xml:space="preserve"> </w:t>
      </w:r>
      <w:r w:rsidR="00024BE4">
        <w:t>of the Customs Act</w:t>
      </w:r>
      <w:r w:rsidR="002C1736" w:rsidRPr="00D75526">
        <w:t xml:space="preserve">. </w:t>
      </w:r>
      <w:r w:rsidR="00A20AC2">
        <w:t xml:space="preserve"> </w:t>
      </w:r>
      <w:r w:rsidR="002C1736" w:rsidRPr="00D75526">
        <w:t>New subsection</w:t>
      </w:r>
      <w:r w:rsidR="001A6793">
        <w:t> </w:t>
      </w:r>
      <w:r w:rsidR="002C1736" w:rsidRPr="00D75526">
        <w:t xml:space="preserve">269SMB(1) provides that the establishment of the Anti-Dumping Commission shall continue within the Department of Industry </w:t>
      </w:r>
      <w:r w:rsidR="00FD3036">
        <w:t>on and from</w:t>
      </w:r>
      <w:r w:rsidR="00FD3036" w:rsidRPr="00D75526">
        <w:t xml:space="preserve"> </w:t>
      </w:r>
      <w:r w:rsidR="002C1736" w:rsidRPr="00D75526">
        <w:t xml:space="preserve">the day on which the Act commences. </w:t>
      </w:r>
      <w:r w:rsidR="00A20AC2">
        <w:t xml:space="preserve"> </w:t>
      </w:r>
      <w:r w:rsidR="002C1736" w:rsidRPr="00D75526">
        <w:t xml:space="preserve">New subsection (2) inserts the term, </w:t>
      </w:r>
      <w:r w:rsidR="002C1736" w:rsidRPr="00D75526">
        <w:rPr>
          <w:b/>
          <w:i/>
        </w:rPr>
        <w:t>transfer day</w:t>
      </w:r>
      <w:r w:rsidR="002C1736" w:rsidRPr="00D75526">
        <w:t>, which is defined as the day on which Schedule 1 to the Act commences.</w:t>
      </w:r>
      <w:r w:rsidR="00A20AC2">
        <w:t xml:space="preserve"> </w:t>
      </w:r>
      <w:r w:rsidR="002C1736" w:rsidRPr="00D75526">
        <w:t xml:space="preserve"> </w:t>
      </w:r>
      <w:r w:rsidR="00390A52">
        <w:t>Item</w:t>
      </w:r>
      <w:r w:rsidR="00B851A8">
        <w:t xml:space="preserve">s 1 and </w:t>
      </w:r>
      <w:r w:rsidR="00390A52">
        <w:t>6 reflect these amendments.</w:t>
      </w:r>
    </w:p>
    <w:p w:rsidR="00C05124" w:rsidRDefault="00C05124" w:rsidP="00C05124">
      <w:pPr>
        <w:contextualSpacing/>
      </w:pPr>
    </w:p>
    <w:p w:rsidR="0042789A" w:rsidRDefault="0042789A" w:rsidP="00C05124">
      <w:pPr>
        <w:contextualSpacing/>
        <w:rPr>
          <w:i/>
        </w:rPr>
      </w:pPr>
      <w:r>
        <w:rPr>
          <w:i/>
        </w:rPr>
        <w:t>Staff assisting the Commissioner</w:t>
      </w:r>
    </w:p>
    <w:p w:rsidR="0042789A" w:rsidRPr="0042789A" w:rsidRDefault="0042789A" w:rsidP="00C05124">
      <w:pPr>
        <w:contextualSpacing/>
        <w:rPr>
          <w:i/>
        </w:rPr>
      </w:pPr>
    </w:p>
    <w:p w:rsidR="0042789A" w:rsidRDefault="00533025" w:rsidP="0042789A">
      <w:pPr>
        <w:contextualSpacing/>
      </w:pPr>
      <w:r w:rsidRPr="00533025">
        <w:t xml:space="preserve">Item </w:t>
      </w:r>
      <w:r>
        <w:t>2</w:t>
      </w:r>
      <w:r w:rsidR="00024BE4">
        <w:rPr>
          <w:b/>
        </w:rPr>
        <w:t xml:space="preserve"> </w:t>
      </w:r>
      <w:r w:rsidR="00024BE4" w:rsidRPr="00533025">
        <w:t xml:space="preserve">inserts the new term, </w:t>
      </w:r>
      <w:r w:rsidR="00024BE4" w:rsidRPr="00533025">
        <w:rPr>
          <w:b/>
          <w:i/>
        </w:rPr>
        <w:t>Commission staff member</w:t>
      </w:r>
      <w:r w:rsidR="00024BE4" w:rsidRPr="00533025">
        <w:t xml:space="preserve">, into </w:t>
      </w:r>
      <w:r w:rsidR="001A6793">
        <w:t>sub</w:t>
      </w:r>
      <w:r w:rsidR="00024BE4" w:rsidRPr="00533025">
        <w:t>section 4(1) of the Customs</w:t>
      </w:r>
      <w:r w:rsidR="001A6793">
        <w:t> </w:t>
      </w:r>
      <w:r w:rsidR="00024BE4" w:rsidRPr="00533025">
        <w:t>Act.</w:t>
      </w:r>
      <w:r w:rsidR="00024BE4">
        <w:t xml:space="preserve"> </w:t>
      </w:r>
      <w:r w:rsidR="00A20AC2">
        <w:t xml:space="preserve"> </w:t>
      </w:r>
      <w:r w:rsidR="00024BE4">
        <w:rPr>
          <w:b/>
          <w:i/>
        </w:rPr>
        <w:t>Commission staff member</w:t>
      </w:r>
      <w:r w:rsidR="00024BE4">
        <w:t xml:space="preserve"> is defined as a member of the staff assisting the </w:t>
      </w:r>
      <w:r w:rsidR="00D45DCF">
        <w:t>C</w:t>
      </w:r>
      <w:r w:rsidR="00024BE4">
        <w:t xml:space="preserve">ommissioner as mentioned in subsection 269SMQ(1). </w:t>
      </w:r>
      <w:r w:rsidR="00A20AC2">
        <w:t xml:space="preserve"> </w:t>
      </w:r>
      <w:r w:rsidRPr="00533025">
        <w:t xml:space="preserve">Item </w:t>
      </w:r>
      <w:r>
        <w:t>10</w:t>
      </w:r>
      <w:r w:rsidR="0042789A">
        <w:rPr>
          <w:b/>
        </w:rPr>
        <w:t xml:space="preserve"> </w:t>
      </w:r>
      <w:r w:rsidR="0042789A">
        <w:t xml:space="preserve">repeals and substitutes subsection 269SMQ(1) of the Customs Act to provide that the staff assisting the Commissioner shall be APS employees </w:t>
      </w:r>
      <w:r w:rsidR="00FD3036">
        <w:t>with</w:t>
      </w:r>
      <w:r w:rsidR="00D45DCF">
        <w:t xml:space="preserve">in </w:t>
      </w:r>
      <w:r w:rsidR="0042789A">
        <w:t>the Department</w:t>
      </w:r>
      <w:r w:rsidR="00B851A8">
        <w:t xml:space="preserve"> rather than those referred to in section 15 of the </w:t>
      </w:r>
      <w:r w:rsidR="00B851A8" w:rsidRPr="00B851A8">
        <w:rPr>
          <w:i/>
        </w:rPr>
        <w:t>Customs Administration Act 1985</w:t>
      </w:r>
      <w:r w:rsidR="0042789A">
        <w:t>.</w:t>
      </w:r>
      <w:r w:rsidR="00A20AC2">
        <w:t xml:space="preserve"> </w:t>
      </w:r>
      <w:r w:rsidR="0042789A">
        <w:t xml:space="preserve"> </w:t>
      </w:r>
      <w:r w:rsidR="00F9639C">
        <w:t xml:space="preserve">Item </w:t>
      </w:r>
      <w:r w:rsidR="00B851A8">
        <w:t xml:space="preserve">11 repeals the note referring to </w:t>
      </w:r>
      <w:r w:rsidR="00B851A8" w:rsidRPr="00B851A8">
        <w:rPr>
          <w:i/>
        </w:rPr>
        <w:t>Customs Administration Act 1985</w:t>
      </w:r>
      <w:r w:rsidR="00B851A8">
        <w:t xml:space="preserve"> associated with repealed subsection 269SMQ(1). </w:t>
      </w:r>
      <w:r w:rsidR="00A20AC2">
        <w:t xml:space="preserve"> </w:t>
      </w:r>
      <w:r w:rsidR="00B851A8">
        <w:t xml:space="preserve">The amendments effected through </w:t>
      </w:r>
      <w:r w:rsidR="00010024">
        <w:t>item</w:t>
      </w:r>
      <w:r w:rsidR="00B851A8">
        <w:t xml:space="preserve">s 2, 10 and 11 are also reflected in </w:t>
      </w:r>
      <w:r w:rsidR="00010024">
        <w:t>item</w:t>
      </w:r>
      <w:r w:rsidR="00B851A8">
        <w:t xml:space="preserve"> </w:t>
      </w:r>
      <w:r w:rsidR="00390A52">
        <w:t>7.</w:t>
      </w:r>
    </w:p>
    <w:p w:rsidR="00024BE4" w:rsidRDefault="00024BE4" w:rsidP="00C05124">
      <w:pPr>
        <w:contextualSpacing/>
      </w:pPr>
    </w:p>
    <w:p w:rsidR="004B7F56" w:rsidRDefault="004B7F56" w:rsidP="00B851A8">
      <w:pPr>
        <w:keepNext/>
        <w:contextualSpacing/>
        <w:rPr>
          <w:i/>
        </w:rPr>
      </w:pPr>
      <w:r>
        <w:rPr>
          <w:i/>
        </w:rPr>
        <w:lastRenderedPageBreak/>
        <w:t>Delegation powers</w:t>
      </w:r>
    </w:p>
    <w:p w:rsidR="004B7F56" w:rsidRDefault="004B7F56" w:rsidP="00B851A8">
      <w:pPr>
        <w:keepNext/>
        <w:contextualSpacing/>
        <w:rPr>
          <w:i/>
        </w:rPr>
      </w:pPr>
    </w:p>
    <w:p w:rsidR="004B7F56" w:rsidRDefault="005F26A1" w:rsidP="00C05124">
      <w:pPr>
        <w:contextualSpacing/>
      </w:pPr>
      <w:r w:rsidRPr="00533025">
        <w:t xml:space="preserve">Item </w:t>
      </w:r>
      <w:r>
        <w:t>12</w:t>
      </w:r>
      <w:r w:rsidR="004B7F56">
        <w:rPr>
          <w:b/>
        </w:rPr>
        <w:t xml:space="preserve"> </w:t>
      </w:r>
      <w:r w:rsidR="004B7F56">
        <w:t xml:space="preserve">inserts </w:t>
      </w:r>
      <w:r w:rsidR="0007189F">
        <w:t xml:space="preserve">a </w:t>
      </w:r>
      <w:r w:rsidR="004B7F56">
        <w:t>new Subdivision E at the end of Division 1A of Part XVB.</w:t>
      </w:r>
      <w:r w:rsidR="00A20AC2">
        <w:t xml:space="preserve"> </w:t>
      </w:r>
      <w:r w:rsidR="004B7F56">
        <w:t xml:space="preserve"> New subsection</w:t>
      </w:r>
      <w:r w:rsidR="00C11407">
        <w:t xml:space="preserve"> </w:t>
      </w:r>
      <w:r w:rsidR="004B7F56">
        <w:t xml:space="preserve">269SMR(1) provides </w:t>
      </w:r>
      <w:r w:rsidR="004B7F56" w:rsidRPr="005F26A1">
        <w:t>delegation powers to allow the Commissioner to delegate any of his or</w:t>
      </w:r>
      <w:r w:rsidR="00CA243B">
        <w:t xml:space="preserve"> her</w:t>
      </w:r>
      <w:r w:rsidR="004B7F56" w:rsidRPr="005F26A1">
        <w:t xml:space="preserve"> functions or powers under Part XVB to a Commission staff member. </w:t>
      </w:r>
      <w:r w:rsidR="00A20AC2">
        <w:t xml:space="preserve"> </w:t>
      </w:r>
      <w:r w:rsidR="004B7F56" w:rsidRPr="005F26A1">
        <w:t xml:space="preserve">New subsection </w:t>
      </w:r>
      <w:r w:rsidR="00176E5A">
        <w:t>269SMR</w:t>
      </w:r>
      <w:r w:rsidR="004B7F56" w:rsidRPr="005F26A1">
        <w:t xml:space="preserve">(2) requires a delegate to comply with any written </w:t>
      </w:r>
      <w:r w:rsidR="004B7F56">
        <w:t>directions of the Commissioner in the performance of a function or power under such a delegation.</w:t>
      </w:r>
      <w:r w:rsidR="00A20AC2">
        <w:t xml:space="preserve"> </w:t>
      </w:r>
      <w:r w:rsidR="00176E5A" w:rsidRPr="00176E5A">
        <w:t xml:space="preserve"> </w:t>
      </w:r>
      <w:r w:rsidR="00176E5A">
        <w:t xml:space="preserve">Section 269SMR </w:t>
      </w:r>
      <w:r w:rsidR="004179C8">
        <w:t xml:space="preserve">effectively </w:t>
      </w:r>
      <w:r w:rsidR="00176E5A">
        <w:t xml:space="preserve">replicates section 269SMP, repealed at </w:t>
      </w:r>
      <w:r w:rsidR="00010024">
        <w:t>item</w:t>
      </w:r>
      <w:r w:rsidR="00176E5A">
        <w:t xml:space="preserve"> 9</w:t>
      </w:r>
      <w:r w:rsidR="004179C8">
        <w:t xml:space="preserve"> – </w:t>
      </w:r>
      <w:r w:rsidR="00BD5101">
        <w:t>which</w:t>
      </w:r>
      <w:r w:rsidR="004179C8">
        <w:t xml:space="preserve"> </w:t>
      </w:r>
      <w:r w:rsidR="00176E5A">
        <w:t>reference</w:t>
      </w:r>
      <w:r w:rsidR="00BD5101">
        <w:t>d</w:t>
      </w:r>
      <w:r w:rsidR="00176E5A">
        <w:t xml:space="preserve"> an officer of Customs</w:t>
      </w:r>
      <w:r w:rsidR="00BD5101">
        <w:t>, the new provision references</w:t>
      </w:r>
      <w:r w:rsidR="00176E5A">
        <w:t xml:space="preserve"> a Commission staff member.</w:t>
      </w:r>
    </w:p>
    <w:p w:rsidR="007C583F" w:rsidRDefault="007C583F" w:rsidP="00C05124">
      <w:pPr>
        <w:contextualSpacing/>
      </w:pPr>
    </w:p>
    <w:p w:rsidR="00CB43F7" w:rsidRDefault="005F26A1" w:rsidP="00CB43F7">
      <w:pPr>
        <w:contextualSpacing/>
      </w:pPr>
      <w:r w:rsidRPr="00533025">
        <w:t xml:space="preserve">Item </w:t>
      </w:r>
      <w:r>
        <w:t>14</w:t>
      </w:r>
      <w:r w:rsidR="00CB43F7">
        <w:rPr>
          <w:b/>
        </w:rPr>
        <w:t xml:space="preserve"> </w:t>
      </w:r>
      <w:r w:rsidR="00CB43F7">
        <w:t xml:space="preserve">inserts new section 269TAH after section 269TAG of the Customs Act. </w:t>
      </w:r>
      <w:r w:rsidR="00A20AC2">
        <w:t xml:space="preserve"> </w:t>
      </w:r>
      <w:r w:rsidR="00CB43F7">
        <w:t>New subsection 269TAH(1) allows the Minister to delegate his or her powers or function</w:t>
      </w:r>
      <w:r w:rsidR="00CA243B">
        <w:t>s</w:t>
      </w:r>
      <w:r w:rsidR="00CB43F7">
        <w:t xml:space="preserve"> under Part XVB or the Dumping Duty Act to the Commissioner or a Commission staff member. This new provision mirrors the </w:t>
      </w:r>
      <w:r w:rsidR="00D651EE">
        <w:t xml:space="preserve">existing </w:t>
      </w:r>
      <w:r w:rsidR="00CB43F7">
        <w:t xml:space="preserve">delegation powers under </w:t>
      </w:r>
      <w:r w:rsidR="00D651EE">
        <w:t>sub</w:t>
      </w:r>
      <w:r w:rsidR="00CB43F7">
        <w:t>section</w:t>
      </w:r>
      <w:r w:rsidR="00D651EE">
        <w:t>s</w:t>
      </w:r>
      <w:r w:rsidR="00CB43F7">
        <w:t xml:space="preserve"> 9</w:t>
      </w:r>
      <w:r w:rsidR="00D651EE">
        <w:t>(1) and (3A)</w:t>
      </w:r>
      <w:r w:rsidR="00CB43F7">
        <w:t xml:space="preserve"> of the Customs Act to provide powers </w:t>
      </w:r>
      <w:r w:rsidR="002A64CD">
        <w:t xml:space="preserve">and functions </w:t>
      </w:r>
      <w:r w:rsidR="00CB43F7">
        <w:t>in respect of anti-dumping matters provided by Part XVB</w:t>
      </w:r>
      <w:r w:rsidR="00D651EE">
        <w:t xml:space="preserve"> and the Dumping Duty Act</w:t>
      </w:r>
      <w:r w:rsidR="000923EA">
        <w:t>.</w:t>
      </w:r>
    </w:p>
    <w:p w:rsidR="00CB43F7" w:rsidRDefault="00CB43F7" w:rsidP="00CB43F7">
      <w:pPr>
        <w:contextualSpacing/>
      </w:pPr>
    </w:p>
    <w:p w:rsidR="00CB43F7" w:rsidRDefault="00D651EE" w:rsidP="00CB43F7">
      <w:pPr>
        <w:contextualSpacing/>
      </w:pPr>
      <w:r>
        <w:t>In keeping with existing subsection 9(4) of the Customs Act, n</w:t>
      </w:r>
      <w:r w:rsidR="00CB43F7">
        <w:t xml:space="preserve">ew subsection 269TAH(2) </w:t>
      </w:r>
      <w:r w:rsidR="00CA243B">
        <w:t xml:space="preserve">does not allow </w:t>
      </w:r>
      <w:r w:rsidR="00CB43F7">
        <w:t xml:space="preserve">the Minister </w:t>
      </w:r>
      <w:r w:rsidR="00CA243B">
        <w:t xml:space="preserve">to </w:t>
      </w:r>
      <w:r w:rsidR="00CB43F7">
        <w:t>delegat</w:t>
      </w:r>
      <w:r w:rsidR="00CA243B">
        <w:t>e</w:t>
      </w:r>
      <w:r w:rsidR="00CB43F7">
        <w:t xml:space="preserve"> certain powers or functions under the </w:t>
      </w:r>
      <w:r w:rsidR="000923EA">
        <w:t>Part XVB</w:t>
      </w:r>
      <w:r w:rsidR="00CA243B">
        <w:t xml:space="preserve"> of the</w:t>
      </w:r>
      <w:r w:rsidR="000923EA">
        <w:t xml:space="preserve"> </w:t>
      </w:r>
      <w:r w:rsidR="00CB43F7">
        <w:t xml:space="preserve">Customs Act and the Dumping Duty Act. </w:t>
      </w:r>
      <w:r w:rsidR="00A20AC2">
        <w:t xml:space="preserve"> </w:t>
      </w:r>
      <w:r w:rsidR="00CB43F7">
        <w:t xml:space="preserve">Under the </w:t>
      </w:r>
      <w:r w:rsidR="000923EA">
        <w:t>Part XVB</w:t>
      </w:r>
      <w:r w:rsidR="00CB43F7">
        <w:t>, these powers or functions relate to declaration powers in relation to dumping duties (under subsection 269TG(1)</w:t>
      </w:r>
      <w:r w:rsidR="000923EA">
        <w:t xml:space="preserve"> or (2)</w:t>
      </w:r>
      <w:r w:rsidR="00CB43F7">
        <w:t xml:space="preserve">), third </w:t>
      </w:r>
      <w:r w:rsidR="00E33372">
        <w:t>country</w:t>
      </w:r>
      <w:r w:rsidR="00CB43F7">
        <w:t xml:space="preserve"> dumping duties (under subsection 269TH(1) or (2)), countervailing duties (under subsection 269TJ(1) or (2)) or third </w:t>
      </w:r>
      <w:r w:rsidR="00E33372">
        <w:t>country</w:t>
      </w:r>
      <w:r w:rsidR="00CB43F7">
        <w:t xml:space="preserve"> countervailing duties (under subsection 29TK(1) or (2)).</w:t>
      </w:r>
      <w:r w:rsidR="00A20AC2">
        <w:t xml:space="preserve"> </w:t>
      </w:r>
      <w:r w:rsidR="00CB43F7">
        <w:t xml:space="preserve"> Under the Dumping Duty Act, the disallowed powers relate to determination powers in relation to calculation of interim dumping duty (under subsection 8(5)</w:t>
      </w:r>
      <w:r w:rsidR="000923EA">
        <w:t>)</w:t>
      </w:r>
      <w:r w:rsidR="00CB43F7">
        <w:t>, calculation of interim third country dumping duty (under subsection</w:t>
      </w:r>
      <w:r w:rsidR="000923EA">
        <w:t> </w:t>
      </w:r>
      <w:r w:rsidR="00CB43F7">
        <w:t>9(5)) and also to direction powers in relation to countervailing duties (under subsection 10(3B) and third country countervailing duties (under subsection 11(4)).</w:t>
      </w:r>
    </w:p>
    <w:p w:rsidR="00AE696D" w:rsidRDefault="00AE696D" w:rsidP="00CB43F7">
      <w:pPr>
        <w:contextualSpacing/>
      </w:pPr>
    </w:p>
    <w:p w:rsidR="00CB43F7" w:rsidRDefault="00D651EE" w:rsidP="00C05124">
      <w:pPr>
        <w:contextualSpacing/>
      </w:pPr>
      <w:r>
        <w:t xml:space="preserve">To reflect the creation of new Ministerial delegation provisions specific to anti-dumping matters, </w:t>
      </w:r>
      <w:r w:rsidR="00010024">
        <w:t>item</w:t>
      </w:r>
      <w:r>
        <w:t xml:space="preserve"> 3 of the Bill repeals and substitutes subsections 9(3A) and 9(4) of the Customs</w:t>
      </w:r>
      <w:r w:rsidR="006C62FA">
        <w:t xml:space="preserve"> </w:t>
      </w:r>
      <w:r>
        <w:t xml:space="preserve">Act to remove references to the Commissioner and to provisions of Part XVB and </w:t>
      </w:r>
      <w:r w:rsidR="00271CB7">
        <w:t xml:space="preserve">of </w:t>
      </w:r>
      <w:r>
        <w:t>the Dumping Duty Act.</w:t>
      </w:r>
    </w:p>
    <w:p w:rsidR="00D651EE" w:rsidRDefault="00D651EE" w:rsidP="00C05124">
      <w:pPr>
        <w:contextualSpacing/>
      </w:pPr>
    </w:p>
    <w:p w:rsidR="007C583F" w:rsidRPr="007C583F" w:rsidRDefault="007C583F" w:rsidP="00C05124">
      <w:pPr>
        <w:contextualSpacing/>
        <w:rPr>
          <w:i/>
        </w:rPr>
      </w:pPr>
      <w:r>
        <w:rPr>
          <w:i/>
        </w:rPr>
        <w:t>Approval of forms</w:t>
      </w:r>
    </w:p>
    <w:p w:rsidR="00C05124" w:rsidRDefault="00C05124" w:rsidP="00C05124">
      <w:pPr>
        <w:contextualSpacing/>
        <w:rPr>
          <w:color w:val="0070C0"/>
        </w:rPr>
      </w:pPr>
    </w:p>
    <w:p w:rsidR="00D6592A" w:rsidRDefault="005F26A1" w:rsidP="00C05124">
      <w:pPr>
        <w:contextualSpacing/>
      </w:pPr>
      <w:r w:rsidRPr="00533025">
        <w:t>Item</w:t>
      </w:r>
      <w:r>
        <w:t xml:space="preserve"> </w:t>
      </w:r>
      <w:r w:rsidRPr="00F0667D">
        <w:t>12</w:t>
      </w:r>
      <w:r w:rsidR="007C583F" w:rsidRPr="00F0667D">
        <w:t xml:space="preserve"> </w:t>
      </w:r>
      <w:r w:rsidR="00F0667D" w:rsidRPr="00F0667D">
        <w:t>also</w:t>
      </w:r>
      <w:r w:rsidR="00F0667D">
        <w:rPr>
          <w:b/>
        </w:rPr>
        <w:t xml:space="preserve"> </w:t>
      </w:r>
      <w:r w:rsidR="007C583F">
        <w:t xml:space="preserve">inserts new section 269SMS (under </w:t>
      </w:r>
      <w:r w:rsidR="00F0667D">
        <w:t xml:space="preserve">new </w:t>
      </w:r>
      <w:r w:rsidR="007C583F">
        <w:t>Subdivision F)</w:t>
      </w:r>
      <w:r w:rsidR="00F0667D">
        <w:t>, which</w:t>
      </w:r>
      <w:r w:rsidR="007C583F">
        <w:t xml:space="preserve"> allows the Commissioner </w:t>
      </w:r>
      <w:r w:rsidR="00D651EE">
        <w:t xml:space="preserve">rather than the CEO of Customs </w:t>
      </w:r>
      <w:r w:rsidR="007C583F">
        <w:t xml:space="preserve">to approve a form for the purposes of Part XVB. </w:t>
      </w:r>
    </w:p>
    <w:p w:rsidR="00A11399" w:rsidRDefault="00A11399" w:rsidP="00C05124">
      <w:pPr>
        <w:contextualSpacing/>
      </w:pPr>
    </w:p>
    <w:p w:rsidR="00CB43F7" w:rsidRDefault="00CB43F7" w:rsidP="00C05124">
      <w:pPr>
        <w:contextualSpacing/>
        <w:rPr>
          <w:i/>
        </w:rPr>
      </w:pPr>
      <w:r>
        <w:rPr>
          <w:i/>
        </w:rPr>
        <w:t xml:space="preserve">Disclosure of information </w:t>
      </w:r>
    </w:p>
    <w:p w:rsidR="00CB43F7" w:rsidRPr="00CB43F7" w:rsidRDefault="00CB43F7" w:rsidP="00C05124">
      <w:pPr>
        <w:contextualSpacing/>
        <w:rPr>
          <w:i/>
        </w:rPr>
      </w:pPr>
    </w:p>
    <w:p w:rsidR="00A11399" w:rsidRDefault="005F26A1" w:rsidP="00C05124">
      <w:pPr>
        <w:contextualSpacing/>
      </w:pPr>
      <w:r w:rsidRPr="00533025">
        <w:t>Item</w:t>
      </w:r>
      <w:r>
        <w:t xml:space="preserve"> 12</w:t>
      </w:r>
      <w:r w:rsidR="00666ECB">
        <w:rPr>
          <w:b/>
        </w:rPr>
        <w:t xml:space="preserve"> </w:t>
      </w:r>
      <w:r w:rsidR="00666ECB" w:rsidRPr="00666ECB">
        <w:t>also inserts n</w:t>
      </w:r>
      <w:r w:rsidR="007C583F">
        <w:t>ew section 269</w:t>
      </w:r>
      <w:r w:rsidR="00CA243B">
        <w:t>S</w:t>
      </w:r>
      <w:r w:rsidR="007C583F">
        <w:t xml:space="preserve">MT (under </w:t>
      </w:r>
      <w:r w:rsidR="00F0667D">
        <w:t xml:space="preserve">new </w:t>
      </w:r>
      <w:r w:rsidR="007C583F">
        <w:t>Subdivision G)</w:t>
      </w:r>
      <w:r w:rsidR="00F0667D">
        <w:t>,</w:t>
      </w:r>
      <w:r w:rsidR="007C583F">
        <w:t xml:space="preserve"> </w:t>
      </w:r>
      <w:r w:rsidR="00666ECB">
        <w:t xml:space="preserve">which </w:t>
      </w:r>
      <w:r w:rsidR="007C583F">
        <w:t>provides for the disclosure of information.</w:t>
      </w:r>
      <w:r w:rsidR="00A20AC2">
        <w:t xml:space="preserve"> </w:t>
      </w:r>
      <w:r w:rsidR="007C583F">
        <w:t xml:space="preserve"> </w:t>
      </w:r>
      <w:r w:rsidR="00A11399">
        <w:t xml:space="preserve">Subsection (1) permits information obtained under Part XVB, or the Dumping Duty Act or an instrument under either Part XVB, or the Dumping Duty Act to be disclosed to the CEO of Customs or an officer of Customs for the purposes of administering </w:t>
      </w:r>
      <w:r w:rsidR="00CA243B">
        <w:t xml:space="preserve">a </w:t>
      </w:r>
      <w:r w:rsidR="00A11399">
        <w:t xml:space="preserve">Customs Act. Subsection (2) authorises the disclosure of personal information for the purpose of the </w:t>
      </w:r>
      <w:r w:rsidR="00A11399">
        <w:rPr>
          <w:i/>
        </w:rPr>
        <w:t>Privacy Act 1988</w:t>
      </w:r>
      <w:r w:rsidR="00A11399">
        <w:t>. New subsection (3) provides that, for the purposes of section 269</w:t>
      </w:r>
      <w:r w:rsidR="00CA243B">
        <w:t>S</w:t>
      </w:r>
      <w:r w:rsidR="00A11399">
        <w:t xml:space="preserve">MT, the term, </w:t>
      </w:r>
      <w:r w:rsidR="00A11399" w:rsidRPr="00A11399">
        <w:rPr>
          <w:b/>
          <w:i/>
        </w:rPr>
        <w:t>personal information</w:t>
      </w:r>
      <w:r w:rsidR="00A11399">
        <w:t xml:space="preserve">, shall have the same meaning as the </w:t>
      </w:r>
      <w:r w:rsidR="00A11399">
        <w:rPr>
          <w:i/>
        </w:rPr>
        <w:t>Privacy Act 1988</w:t>
      </w:r>
      <w:r w:rsidR="00A11399">
        <w:t>.</w:t>
      </w:r>
    </w:p>
    <w:p w:rsidR="00666ECB" w:rsidRDefault="00666ECB" w:rsidP="00C05124">
      <w:pPr>
        <w:contextualSpacing/>
      </w:pPr>
    </w:p>
    <w:p w:rsidR="00666ECB" w:rsidRDefault="00666ECB" w:rsidP="00C05124">
      <w:pPr>
        <w:contextualSpacing/>
      </w:pPr>
      <w:r>
        <w:t xml:space="preserve">Similarly, new section 269ZZYH (inserted by </w:t>
      </w:r>
      <w:r w:rsidR="00010024">
        <w:t>item</w:t>
      </w:r>
      <w:r w:rsidR="004F3178" w:rsidRPr="00533025">
        <w:t xml:space="preserve"> </w:t>
      </w:r>
      <w:r w:rsidR="004F3178">
        <w:t>93</w:t>
      </w:r>
      <w:r w:rsidRPr="00666ECB">
        <w:t>)</w:t>
      </w:r>
      <w:r>
        <w:t xml:space="preserve"> is</w:t>
      </w:r>
      <w:r w:rsidR="00D35873">
        <w:t xml:space="preserve"> an</w:t>
      </w:r>
      <w:r>
        <w:t xml:space="preserve"> identical </w:t>
      </w:r>
      <w:r w:rsidR="00D35873">
        <w:t xml:space="preserve">provision </w:t>
      </w:r>
      <w:r>
        <w:t xml:space="preserve">to </w:t>
      </w:r>
      <w:r w:rsidR="00D35873">
        <w:t>section</w:t>
      </w:r>
      <w:r w:rsidR="00CA3443">
        <w:t> </w:t>
      </w:r>
      <w:r w:rsidR="00D35873">
        <w:t>269</w:t>
      </w:r>
      <w:r w:rsidR="00CA243B">
        <w:t>S</w:t>
      </w:r>
      <w:r w:rsidR="00D35873">
        <w:t xml:space="preserve">MT (as inserted by </w:t>
      </w:r>
      <w:r w:rsidR="00010024">
        <w:t>item</w:t>
      </w:r>
      <w:r w:rsidR="004F3178" w:rsidRPr="00533025">
        <w:t xml:space="preserve"> </w:t>
      </w:r>
      <w:r w:rsidR="004F3178">
        <w:t>12</w:t>
      </w:r>
      <w:r w:rsidR="00D35873">
        <w:t xml:space="preserve">) which authorises </w:t>
      </w:r>
      <w:r>
        <w:t xml:space="preserve">disclosure of information </w:t>
      </w:r>
      <w:r w:rsidR="00D35873">
        <w:t>obtained under Part XVC.</w:t>
      </w:r>
    </w:p>
    <w:p w:rsidR="00F0667D" w:rsidRDefault="00F0667D" w:rsidP="00C05124">
      <w:pPr>
        <w:contextualSpacing/>
      </w:pPr>
    </w:p>
    <w:p w:rsidR="00F0667D" w:rsidRDefault="00F0667D" w:rsidP="00C05124">
      <w:pPr>
        <w:contextualSpacing/>
      </w:pPr>
      <w:r>
        <w:t xml:space="preserve">These provisions make it clear that the Commission can still exchange information with Customs, given that Customs will retain </w:t>
      </w:r>
      <w:r w:rsidR="00D6592A">
        <w:t xml:space="preserve">certain </w:t>
      </w:r>
      <w:r>
        <w:t xml:space="preserve">functions and powers associated with </w:t>
      </w:r>
      <w:r w:rsidR="00D6592A">
        <w:t>anti</w:t>
      </w:r>
      <w:r w:rsidR="00D6592A">
        <w:noBreakHyphen/>
        <w:t xml:space="preserve">dumping administration, such as </w:t>
      </w:r>
      <w:r>
        <w:t xml:space="preserve">collecting and refunding dumping and countervailing duties and requiring, taking and discharging securities, as well as ensuring compliance with measures imposed under anti-dumping legislation.  </w:t>
      </w:r>
      <w:r w:rsidR="00D6592A">
        <w:t xml:space="preserve">The CEO of Customs may authorise </w:t>
      </w:r>
      <w:r>
        <w:t xml:space="preserve">Commission staff members to perform powers and functions </w:t>
      </w:r>
      <w:r w:rsidR="00D6592A">
        <w:t>retained by Customs should such action be</w:t>
      </w:r>
      <w:r>
        <w:t xml:space="preserve"> considered necessary </w:t>
      </w:r>
      <w:r w:rsidR="00D6592A">
        <w:t xml:space="preserve">or otherwise desirable </w:t>
      </w:r>
      <w:r>
        <w:t xml:space="preserve">for the efficient </w:t>
      </w:r>
      <w:r w:rsidR="00D6592A">
        <w:t xml:space="preserve">and effective </w:t>
      </w:r>
      <w:r>
        <w:t>operation of Australia’s anti</w:t>
      </w:r>
      <w:r>
        <w:noBreakHyphen/>
        <w:t>dumping system.</w:t>
      </w:r>
    </w:p>
    <w:p w:rsidR="00271CB7" w:rsidRDefault="00271CB7" w:rsidP="00C05124">
      <w:pPr>
        <w:contextualSpacing/>
      </w:pPr>
    </w:p>
    <w:p w:rsidR="00271CB7" w:rsidRPr="00666ECB" w:rsidRDefault="00271CB7" w:rsidP="00C05124">
      <w:pPr>
        <w:contextualSpacing/>
      </w:pPr>
      <w:r w:rsidRPr="00271CB7">
        <w:t>Existing Customs</w:t>
      </w:r>
      <w:r w:rsidR="00CA3443">
        <w:t>’</w:t>
      </w:r>
      <w:r w:rsidRPr="00271CB7">
        <w:t xml:space="preserve"> legislation ensures information held by Customs relevant to anti-dumping administration can continue to be disclosed to the Commission once the Commission transfers to the Department of Industry.</w:t>
      </w:r>
    </w:p>
    <w:p w:rsidR="00A11399" w:rsidRDefault="00A11399" w:rsidP="00C05124">
      <w:pPr>
        <w:contextualSpacing/>
      </w:pPr>
    </w:p>
    <w:p w:rsidR="00D6592A" w:rsidRPr="00D6592A" w:rsidRDefault="00D6592A" w:rsidP="00D6592A">
      <w:pPr>
        <w:contextualSpacing/>
        <w:rPr>
          <w:i/>
        </w:rPr>
      </w:pPr>
      <w:r w:rsidRPr="00D6592A">
        <w:rPr>
          <w:i/>
        </w:rPr>
        <w:t>Replacement of references to Customs and approved forms</w:t>
      </w:r>
    </w:p>
    <w:p w:rsidR="00D6592A" w:rsidRDefault="00D6592A" w:rsidP="00D6592A">
      <w:pPr>
        <w:contextualSpacing/>
      </w:pPr>
    </w:p>
    <w:p w:rsidR="00D6592A" w:rsidRDefault="00D6592A" w:rsidP="00D6592A">
      <w:pPr>
        <w:contextualSpacing/>
      </w:pPr>
      <w:r>
        <w:t xml:space="preserve">Items 13, 15-72, 74-77, 79-86 replace various references to Customs and approved forms to reflect </w:t>
      </w:r>
      <w:r w:rsidR="00AC0ADE">
        <w:t xml:space="preserve">the transfer of the Commission to the Department of Industry effected through </w:t>
      </w:r>
      <w:r w:rsidR="00010024">
        <w:t>item</w:t>
      </w:r>
      <w:r w:rsidR="00AC0ADE">
        <w:t xml:space="preserve">s 8 and 10 and the insertion of new approved form provisions </w:t>
      </w:r>
      <w:r w:rsidR="00051655">
        <w:t>in</w:t>
      </w:r>
      <w:r w:rsidR="00AC0ADE">
        <w:t xml:space="preserve"> </w:t>
      </w:r>
      <w:r w:rsidR="00010024">
        <w:t>item</w:t>
      </w:r>
      <w:r w:rsidR="00AC0ADE">
        <w:t xml:space="preserve"> 12. </w:t>
      </w:r>
    </w:p>
    <w:p w:rsidR="00D6592A" w:rsidRDefault="00D6592A" w:rsidP="00D6592A">
      <w:pPr>
        <w:contextualSpacing/>
      </w:pPr>
    </w:p>
    <w:p w:rsidR="00A11399" w:rsidRDefault="0042729F" w:rsidP="00C05124">
      <w:pPr>
        <w:contextualSpacing/>
        <w:rPr>
          <w:i/>
        </w:rPr>
      </w:pPr>
      <w:r>
        <w:rPr>
          <w:i/>
        </w:rPr>
        <w:t>Allocation of place of lodgement for</w:t>
      </w:r>
      <w:r w:rsidR="000C02F6">
        <w:rPr>
          <w:i/>
        </w:rPr>
        <w:t xml:space="preserve"> certain</w:t>
      </w:r>
      <w:r>
        <w:rPr>
          <w:i/>
        </w:rPr>
        <w:t xml:space="preserve"> applications</w:t>
      </w:r>
    </w:p>
    <w:p w:rsidR="00360669" w:rsidRDefault="00360669" w:rsidP="00C05124">
      <w:pPr>
        <w:contextualSpacing/>
        <w:rPr>
          <w:i/>
        </w:rPr>
      </w:pPr>
    </w:p>
    <w:p w:rsidR="00C40DCB" w:rsidRDefault="002767DE" w:rsidP="004A1B60">
      <w:pPr>
        <w:contextualSpacing/>
      </w:pPr>
      <w:r w:rsidRPr="00533025">
        <w:t>Item</w:t>
      </w:r>
      <w:r>
        <w:t>s</w:t>
      </w:r>
      <w:r w:rsidRPr="00533025">
        <w:t xml:space="preserve"> </w:t>
      </w:r>
      <w:r>
        <w:t>73</w:t>
      </w:r>
      <w:r w:rsidR="0042729F" w:rsidRPr="007D4900">
        <w:rPr>
          <w:b/>
        </w:rPr>
        <w:t xml:space="preserve"> </w:t>
      </w:r>
      <w:r w:rsidR="0042729F" w:rsidRPr="007D4900">
        <w:t xml:space="preserve">and </w:t>
      </w:r>
      <w:r w:rsidRPr="007D4900">
        <w:t>78</w:t>
      </w:r>
      <w:r w:rsidR="00665276" w:rsidRPr="007D4900">
        <w:rPr>
          <w:b/>
        </w:rPr>
        <w:t xml:space="preserve"> </w:t>
      </w:r>
      <w:r w:rsidR="0042729F" w:rsidRPr="007D4900">
        <w:t>provide</w:t>
      </w:r>
      <w:r w:rsidR="0042729F">
        <w:t xml:space="preserve"> for revised arrangements in relation to the lodgement of </w:t>
      </w:r>
      <w:r w:rsidR="004A1B60">
        <w:t xml:space="preserve">accelerated review </w:t>
      </w:r>
      <w:r w:rsidR="0042729F">
        <w:t xml:space="preserve">applications </w:t>
      </w:r>
      <w:r w:rsidR="004A1B60">
        <w:t>(</w:t>
      </w:r>
      <w:r w:rsidR="0042729F">
        <w:t xml:space="preserve">under </w:t>
      </w:r>
      <w:r w:rsidR="004A1B60">
        <w:t xml:space="preserve">paragraphs </w:t>
      </w:r>
      <w:r w:rsidR="00D6592A">
        <w:t>269ZF</w:t>
      </w:r>
      <w:r w:rsidR="004A1B60">
        <w:t>(2)(a)</w:t>
      </w:r>
      <w:r w:rsidR="004A1B60" w:rsidRPr="004A1B60">
        <w:t xml:space="preserve"> </w:t>
      </w:r>
      <w:r w:rsidR="004A1B60">
        <w:t xml:space="preserve">of the Customs Act) and </w:t>
      </w:r>
      <w:r w:rsidR="008361B0">
        <w:t xml:space="preserve">applications for </w:t>
      </w:r>
      <w:r w:rsidR="004A1B60">
        <w:t xml:space="preserve">continuation of anti-dumping measures (under </w:t>
      </w:r>
      <w:r w:rsidR="00051655">
        <w:t xml:space="preserve">paragraph </w:t>
      </w:r>
      <w:r w:rsidR="004A1B60">
        <w:t>269ZHC(2)(a))</w:t>
      </w:r>
      <w:r w:rsidR="0042729F">
        <w:t>.</w:t>
      </w:r>
      <w:r w:rsidR="004A1B60">
        <w:t xml:space="preserve"> </w:t>
      </w:r>
      <w:r w:rsidR="00A20AC2">
        <w:t xml:space="preserve"> </w:t>
      </w:r>
      <w:r w:rsidR="004A1B60">
        <w:t xml:space="preserve">Under these amendments, the Commissioner shall allocate the place of lodgement for such applications by </w:t>
      </w:r>
      <w:r w:rsidR="003A0F8E">
        <w:t>notic</w:t>
      </w:r>
      <w:r w:rsidR="004A1B60">
        <w:t xml:space="preserve">e to be </w:t>
      </w:r>
      <w:r w:rsidR="003A0F8E">
        <w:t>published on the Anti-Dumping Commission</w:t>
      </w:r>
      <w:r w:rsidR="00A20AC2">
        <w:t>’s</w:t>
      </w:r>
      <w:r w:rsidR="003A0F8E">
        <w:t xml:space="preserve"> website.</w:t>
      </w:r>
      <w:r w:rsidR="008361B0">
        <w:t xml:space="preserve">  </w:t>
      </w:r>
      <w:r w:rsidR="008361B0" w:rsidRPr="008361B0">
        <w:t xml:space="preserve">Presently, paragraph 269ZF(2)(a) is silent in regard to the manner by which the location for </w:t>
      </w:r>
      <w:r w:rsidR="008361B0">
        <w:t>lodgement</w:t>
      </w:r>
      <w:r w:rsidR="008361B0" w:rsidRPr="008361B0">
        <w:t xml:space="preserve"> would be notified, and paragraph 269ZH(2)(a) specifies that applications must be lodged at a Customs House.</w:t>
      </w:r>
    </w:p>
    <w:p w:rsidR="00560DE8" w:rsidRDefault="00560DE8" w:rsidP="004A1B60">
      <w:pPr>
        <w:contextualSpacing/>
      </w:pPr>
    </w:p>
    <w:p w:rsidR="00560DE8" w:rsidRPr="00057A6B" w:rsidRDefault="00051655" w:rsidP="004A1B60">
      <w:pPr>
        <w:contextualSpacing/>
        <w:rPr>
          <w:i/>
        </w:rPr>
      </w:pPr>
      <w:r>
        <w:rPr>
          <w:i/>
        </w:rPr>
        <w:t xml:space="preserve">International Trade Remedies </w:t>
      </w:r>
      <w:r w:rsidR="00057A6B">
        <w:rPr>
          <w:i/>
        </w:rPr>
        <w:t xml:space="preserve">Forum </w:t>
      </w:r>
    </w:p>
    <w:p w:rsidR="00560DE8" w:rsidRDefault="00560DE8" w:rsidP="004A1B60">
      <w:pPr>
        <w:contextualSpacing/>
      </w:pPr>
    </w:p>
    <w:p w:rsidR="00996535" w:rsidRDefault="00996535" w:rsidP="004A1B60">
      <w:pPr>
        <w:contextualSpacing/>
      </w:pPr>
      <w:r>
        <w:t xml:space="preserve">Items 87-91 replace references to the CEO of Customs in Part XVC with references to the Commissioner to reflect the transfer of the Commission to the Department of Industry.  These amendments provide that the Commissioner would be a permanent member of the </w:t>
      </w:r>
      <w:r w:rsidR="00051655">
        <w:t>Forum</w:t>
      </w:r>
      <w:r w:rsidR="004356FC">
        <w:t>,</w:t>
      </w:r>
      <w:r>
        <w:t xml:space="preserve"> would have the power to convene and preside over meetings of the Forum, and may nominate a person to attend and preside over meetings </w:t>
      </w:r>
      <w:r w:rsidR="00807433">
        <w:t xml:space="preserve">of the Forum </w:t>
      </w:r>
      <w:r>
        <w:t>in his or her place.</w:t>
      </w:r>
    </w:p>
    <w:p w:rsidR="00996535" w:rsidRDefault="00996535" w:rsidP="004A1B60">
      <w:pPr>
        <w:contextualSpacing/>
      </w:pPr>
    </w:p>
    <w:p w:rsidR="00560DE8" w:rsidRDefault="007D4900" w:rsidP="004A1B60">
      <w:pPr>
        <w:contextualSpacing/>
      </w:pPr>
      <w:r w:rsidRPr="00533025">
        <w:t xml:space="preserve">Item </w:t>
      </w:r>
      <w:r>
        <w:t>92</w:t>
      </w:r>
      <w:r w:rsidR="00560DE8">
        <w:rPr>
          <w:b/>
        </w:rPr>
        <w:t xml:space="preserve"> </w:t>
      </w:r>
      <w:r w:rsidR="00560DE8">
        <w:t>inserts new subsection 269ZZYG(6)</w:t>
      </w:r>
      <w:r w:rsidR="00742472">
        <w:t xml:space="preserve">. Section 269ZZYG provides </w:t>
      </w:r>
      <w:r w:rsidR="004356FC">
        <w:t xml:space="preserve">a number of required </w:t>
      </w:r>
      <w:r w:rsidR="00323DF5">
        <w:t xml:space="preserve">matters in relation to </w:t>
      </w:r>
      <w:r w:rsidR="00742472">
        <w:t xml:space="preserve">Forum meetings. </w:t>
      </w:r>
      <w:r w:rsidR="00323DF5">
        <w:t>Subsection (</w:t>
      </w:r>
      <w:r w:rsidR="00996535">
        <w:t>4</w:t>
      </w:r>
      <w:r w:rsidR="00323DF5">
        <w:t xml:space="preserve">) allows the Minister to determine any procedures to be followed at Forum meetings, including the number of members who shall constitute a quorum. </w:t>
      </w:r>
      <w:r w:rsidR="00A20AC2">
        <w:t xml:space="preserve"> </w:t>
      </w:r>
      <w:r w:rsidR="00742472">
        <w:t>New subsection (6) allows the Minister to delegate</w:t>
      </w:r>
      <w:r w:rsidR="00323DF5">
        <w:t xml:space="preserve"> his or her power to determine matters in relation to Forum meeting procedures under subsection (</w:t>
      </w:r>
      <w:r w:rsidR="00996535">
        <w:t>4</w:t>
      </w:r>
      <w:r w:rsidR="00323DF5">
        <w:t xml:space="preserve">). Under this amendment, the Minister may delegate this power to the </w:t>
      </w:r>
      <w:r w:rsidR="00323DF5">
        <w:lastRenderedPageBreak/>
        <w:t>Commissioner or a Commission staff member.</w:t>
      </w:r>
      <w:r w:rsidR="00996535">
        <w:t xml:space="preserve"> </w:t>
      </w:r>
      <w:r w:rsidR="00A20AC2">
        <w:t xml:space="preserve"> </w:t>
      </w:r>
      <w:r w:rsidR="00996535">
        <w:t xml:space="preserve">This delegation power is </w:t>
      </w:r>
      <w:r w:rsidR="00CA243B">
        <w:t xml:space="preserve">similar to the </w:t>
      </w:r>
      <w:r w:rsidR="00996535">
        <w:t>existing Ministerial delegation powers contained in subsection 9(1) of the Customs Act.</w:t>
      </w:r>
    </w:p>
    <w:p w:rsidR="00996535" w:rsidRDefault="00996535" w:rsidP="004A1B60">
      <w:pPr>
        <w:contextualSpacing/>
      </w:pPr>
    </w:p>
    <w:p w:rsidR="00996535" w:rsidRPr="00996535" w:rsidRDefault="00996535" w:rsidP="004A1B60">
      <w:pPr>
        <w:contextualSpacing/>
        <w:rPr>
          <w:i/>
        </w:rPr>
      </w:pPr>
      <w:r w:rsidRPr="00996535">
        <w:rPr>
          <w:i/>
        </w:rPr>
        <w:t>Securities</w:t>
      </w:r>
    </w:p>
    <w:p w:rsidR="00512301" w:rsidRDefault="00512301" w:rsidP="00512301">
      <w:pPr>
        <w:contextualSpacing/>
      </w:pPr>
      <w:r w:rsidRPr="00512301">
        <w:t xml:space="preserve">For practical reasons, </w:t>
      </w:r>
      <w:r>
        <w:t>Customs is to retain the power to require, take and discharge securities associated with anti-dumping matters</w:t>
      </w:r>
      <w:r w:rsidRPr="00512301">
        <w:t xml:space="preserve"> once the Commission transfers to the Department of Indus</w:t>
      </w:r>
      <w:r>
        <w:t xml:space="preserve">try.  Accordingly, </w:t>
      </w:r>
      <w:r w:rsidR="00010024">
        <w:t>item</w:t>
      </w:r>
      <w:r>
        <w:t xml:space="preserve"> 75 contains amendments to paragraph</w:t>
      </w:r>
      <w:r w:rsidR="00C61063">
        <w:t> </w:t>
      </w:r>
      <w:r>
        <w:t>269ZH(b) of the Customs Act</w:t>
      </w:r>
      <w:r w:rsidR="00996535" w:rsidRPr="00512301">
        <w:t>.</w:t>
      </w:r>
      <w:r w:rsidR="00A20AC2">
        <w:t xml:space="preserve"> </w:t>
      </w:r>
      <w:r w:rsidR="00996535" w:rsidRPr="00512301">
        <w:t xml:space="preserve"> Section 269ZH sets out requirements to be observed if an application for accelerated review of a dumping duty or a countervailing duty notice has been lodged</w:t>
      </w:r>
      <w:r w:rsidR="00C61063">
        <w:t xml:space="preserve"> in regard to the collection of interim duty and, the requiring and taking of securities</w:t>
      </w:r>
      <w:r w:rsidR="00996535" w:rsidRPr="00512301">
        <w:t>.</w:t>
      </w:r>
      <w:r w:rsidR="00A20AC2">
        <w:t xml:space="preserve"> </w:t>
      </w:r>
      <w:r w:rsidR="00996535" w:rsidRPr="00512301">
        <w:t xml:space="preserve"> </w:t>
      </w:r>
      <w:r w:rsidRPr="00512301">
        <w:t>Under this amendment, if such an application is lodged, Customs (instead of the Commissioner) may require and take securities under section 42 in respect of interim duty that may be payable on the importation of good</w:t>
      </w:r>
      <w:r w:rsidR="00807433">
        <w:t>s</w:t>
      </w:r>
      <w:r w:rsidRPr="00512301">
        <w:t xml:space="preserve"> to which th</w:t>
      </w:r>
      <w:r>
        <w:t>e relevant application relates.</w:t>
      </w:r>
    </w:p>
    <w:p w:rsidR="00512301" w:rsidRDefault="00512301" w:rsidP="00512301">
      <w:pPr>
        <w:contextualSpacing/>
      </w:pPr>
    </w:p>
    <w:p w:rsidR="00512301" w:rsidRPr="00512301" w:rsidRDefault="00512301" w:rsidP="00512301">
      <w:pPr>
        <w:contextualSpacing/>
      </w:pPr>
      <w:r>
        <w:t xml:space="preserve">Items 4 </w:t>
      </w:r>
      <w:r w:rsidR="00FB2ED2">
        <w:t xml:space="preserve">and 5 </w:t>
      </w:r>
      <w:r w:rsidR="00A72AF5">
        <w:t xml:space="preserve">of the Bill </w:t>
      </w:r>
      <w:r>
        <w:t>make it clear that</w:t>
      </w:r>
      <w:r w:rsidR="00FB2ED2">
        <w:t xml:space="preserve"> the references to</w:t>
      </w:r>
      <w:r>
        <w:t xml:space="preserve"> </w:t>
      </w:r>
      <w:r w:rsidR="00A72AF5">
        <w:t>a</w:t>
      </w:r>
      <w:r>
        <w:t xml:space="preserve"> </w:t>
      </w:r>
      <w:r w:rsidR="00A72AF5">
        <w:t xml:space="preserve">notice </w:t>
      </w:r>
      <w:r w:rsidR="00FB2ED2">
        <w:t xml:space="preserve">published by the Minister </w:t>
      </w:r>
      <w:r w:rsidR="00E13AC6">
        <w:t xml:space="preserve">contained </w:t>
      </w:r>
      <w:r w:rsidR="00FB2ED2">
        <w:t>in s</w:t>
      </w:r>
      <w:r w:rsidR="00C61063">
        <w:t>ubs</w:t>
      </w:r>
      <w:r w:rsidR="00FB2ED2">
        <w:t>ection 45(2) and</w:t>
      </w:r>
      <w:r>
        <w:t xml:space="preserve"> </w:t>
      </w:r>
      <w:r w:rsidR="00FB2ED2">
        <w:t xml:space="preserve">paragraph 45(4)(a) of the Customs Act </w:t>
      </w:r>
      <w:r w:rsidR="00E13AC6">
        <w:t xml:space="preserve">(which deal with circumstances under which securities associated with anti-dumping measures shall or shall not be cancelled) </w:t>
      </w:r>
      <w:r w:rsidR="00FB2ED2">
        <w:t>are references to</w:t>
      </w:r>
      <w:r w:rsidR="00A72AF5">
        <w:t xml:space="preserve"> a notice published </w:t>
      </w:r>
      <w:r>
        <w:t xml:space="preserve">under </w:t>
      </w:r>
      <w:r w:rsidR="00E13AC6">
        <w:t>Part</w:t>
      </w:r>
      <w:r>
        <w:t xml:space="preserve"> XVB</w:t>
      </w:r>
      <w:r w:rsidR="00CA243B">
        <w:t xml:space="preserve"> of the Customs Act</w:t>
      </w:r>
      <w:r>
        <w:t>.</w:t>
      </w:r>
      <w:r w:rsidR="00A72AF5" w:rsidRPr="00A72AF5">
        <w:t xml:space="preserve"> </w:t>
      </w:r>
      <w:r w:rsidR="00A72AF5">
        <w:t xml:space="preserve"> </w:t>
      </w:r>
    </w:p>
    <w:p w:rsidR="00680F4C" w:rsidRDefault="00680F4C">
      <w:pPr>
        <w:spacing w:after="200" w:line="276" w:lineRule="auto"/>
        <w:rPr>
          <w:color w:val="0070C0"/>
        </w:rPr>
      </w:pPr>
      <w:r>
        <w:rPr>
          <w:color w:val="0070C0"/>
        </w:rPr>
        <w:br w:type="page"/>
      </w:r>
    </w:p>
    <w:p w:rsidR="00680F4C" w:rsidRDefault="00680F4C" w:rsidP="00680F4C">
      <w:pPr>
        <w:pStyle w:val="ActHead7"/>
      </w:pPr>
      <w:bookmarkStart w:id="8" w:name="_Toc370806632"/>
      <w:r>
        <w:rPr>
          <w:rStyle w:val="CharAmPartNo"/>
        </w:rPr>
        <w:lastRenderedPageBreak/>
        <w:t>Part 2</w:t>
      </w:r>
      <w:r>
        <w:t>—</w:t>
      </w:r>
      <w:r>
        <w:rPr>
          <w:rStyle w:val="CharAmPartText"/>
        </w:rPr>
        <w:t>Other amendments</w:t>
      </w:r>
      <w:bookmarkEnd w:id="8"/>
    </w:p>
    <w:p w:rsidR="00680F4C" w:rsidRDefault="00680F4C" w:rsidP="00680F4C">
      <w:pPr>
        <w:pStyle w:val="ActHead9"/>
        <w:rPr>
          <w:i w:val="0"/>
        </w:rPr>
      </w:pPr>
      <w:bookmarkStart w:id="9" w:name="_Toc370806633"/>
      <w:r>
        <w:t>Criminal Code Act 1995</w:t>
      </w:r>
      <w:bookmarkEnd w:id="9"/>
    </w:p>
    <w:p w:rsidR="004B7F56" w:rsidRDefault="004B7F56" w:rsidP="00C05124">
      <w:pPr>
        <w:contextualSpacing/>
        <w:rPr>
          <w:color w:val="0070C0"/>
        </w:rPr>
      </w:pPr>
    </w:p>
    <w:p w:rsidR="00680F4C" w:rsidRPr="00680F4C" w:rsidRDefault="00DF2803" w:rsidP="00C05124">
      <w:pPr>
        <w:contextualSpacing/>
      </w:pPr>
      <w:r w:rsidRPr="00533025">
        <w:t xml:space="preserve">Item </w:t>
      </w:r>
      <w:r>
        <w:t>98</w:t>
      </w:r>
      <w:r w:rsidR="00680F4C">
        <w:rPr>
          <w:b/>
        </w:rPr>
        <w:t xml:space="preserve"> </w:t>
      </w:r>
      <w:r w:rsidR="00680F4C">
        <w:t xml:space="preserve">repeals paragraph (da) of the definition of </w:t>
      </w:r>
      <w:r w:rsidR="00680F4C">
        <w:rPr>
          <w:b/>
          <w:i/>
        </w:rPr>
        <w:t xml:space="preserve">Commonwealth law enforcement officer </w:t>
      </w:r>
      <w:r w:rsidR="00680F4C">
        <w:t xml:space="preserve">under section 146.1. </w:t>
      </w:r>
      <w:r w:rsidR="00A20AC2">
        <w:t xml:space="preserve"> </w:t>
      </w:r>
      <w:r w:rsidR="00680F4C">
        <w:t xml:space="preserve">Paragraph (da) includes </w:t>
      </w:r>
      <w:r w:rsidR="00680F4C" w:rsidRPr="00680F4C">
        <w:t>the Commissioner of the Anti</w:t>
      </w:r>
      <w:r w:rsidR="00680F4C" w:rsidRPr="00680F4C">
        <w:noBreakHyphen/>
        <w:t>Dumping Commission (established under section 269SMB of the Customs Act) as a Commonwealth law enforcement officer</w:t>
      </w:r>
      <w:r w:rsidR="00680F4C">
        <w:t xml:space="preserve">. </w:t>
      </w:r>
    </w:p>
    <w:p w:rsidR="00235201" w:rsidRDefault="00235201" w:rsidP="00235201">
      <w:pPr>
        <w:pStyle w:val="ActHead9"/>
      </w:pPr>
      <w:bookmarkStart w:id="10" w:name="_Toc370806634"/>
      <w:r>
        <w:t>Law Enforcement Integrity Commissioner Act 2006</w:t>
      </w:r>
      <w:bookmarkEnd w:id="10"/>
    </w:p>
    <w:p w:rsidR="00235201" w:rsidRDefault="00235201" w:rsidP="00235201">
      <w:pPr>
        <w:contextualSpacing/>
        <w:rPr>
          <w:b/>
          <w:highlight w:val="green"/>
        </w:rPr>
      </w:pPr>
    </w:p>
    <w:p w:rsidR="00560DE8" w:rsidRPr="00235201" w:rsidRDefault="00DF2803" w:rsidP="00235201">
      <w:pPr>
        <w:contextualSpacing/>
        <w:rPr>
          <w:color w:val="0070C0"/>
        </w:rPr>
      </w:pPr>
      <w:r w:rsidRPr="00533025">
        <w:t xml:space="preserve">Item </w:t>
      </w:r>
      <w:r>
        <w:t>99</w:t>
      </w:r>
      <w:r w:rsidR="00235201" w:rsidRPr="00235201">
        <w:rPr>
          <w:b/>
        </w:rPr>
        <w:t xml:space="preserve"> </w:t>
      </w:r>
      <w:r w:rsidR="00235201" w:rsidRPr="00235201">
        <w:t>repeals paragraph 10(2A)(</w:t>
      </w:r>
      <w:proofErr w:type="spellStart"/>
      <w:r w:rsidR="00C91A9E" w:rsidRPr="00235201">
        <w:t>aa</w:t>
      </w:r>
      <w:proofErr w:type="spellEnd"/>
      <w:r w:rsidR="00235201" w:rsidRPr="00235201">
        <w:t xml:space="preserve">) of the </w:t>
      </w:r>
      <w:r w:rsidR="00235201" w:rsidRPr="00235201">
        <w:rPr>
          <w:i/>
        </w:rPr>
        <w:t>Law Enforcement Integrity Commissioner Act 2006</w:t>
      </w:r>
      <w:r w:rsidR="00235201" w:rsidRPr="00235201">
        <w:t>. Subsection (2A) sets out the persons who are staff member of Customs for the purposes of th</w:t>
      </w:r>
      <w:r w:rsidR="00235201">
        <w:t>is Act</w:t>
      </w:r>
      <w:r w:rsidR="00235201" w:rsidRPr="00235201">
        <w:t xml:space="preserve">. </w:t>
      </w:r>
      <w:r w:rsidR="00A20AC2">
        <w:t xml:space="preserve"> </w:t>
      </w:r>
      <w:r w:rsidR="00235201" w:rsidRPr="00235201">
        <w:t xml:space="preserve">Under this amendment, </w:t>
      </w:r>
      <w:r w:rsidR="00C91A9E" w:rsidRPr="00235201">
        <w:t xml:space="preserve">the Commissioner </w:t>
      </w:r>
      <w:r w:rsidR="003C0F4E">
        <w:t>would</w:t>
      </w:r>
      <w:r w:rsidR="003C0F4E" w:rsidRPr="00235201">
        <w:t xml:space="preserve"> </w:t>
      </w:r>
      <w:r w:rsidR="00235201" w:rsidRPr="00235201">
        <w:t>no longer</w:t>
      </w:r>
      <w:r w:rsidR="00544CAD">
        <w:t xml:space="preserve"> be</w:t>
      </w:r>
      <w:r w:rsidR="00235201" w:rsidRPr="00235201">
        <w:t xml:space="preserve"> a staff member of Custom</w:t>
      </w:r>
      <w:r w:rsidR="003C0F4E">
        <w:t>s</w:t>
      </w:r>
      <w:r w:rsidR="00235201" w:rsidRPr="00235201">
        <w:t xml:space="preserve"> for </w:t>
      </w:r>
      <w:r w:rsidR="00235201">
        <w:t xml:space="preserve">the purposes of </w:t>
      </w:r>
      <w:r w:rsidR="00235201" w:rsidRPr="00235201">
        <w:t>this Act.</w:t>
      </w:r>
    </w:p>
    <w:p w:rsidR="00560DE8" w:rsidRDefault="00560DE8" w:rsidP="00C05124">
      <w:pPr>
        <w:contextualSpacing/>
        <w:rPr>
          <w:color w:val="0070C0"/>
        </w:rPr>
      </w:pPr>
    </w:p>
    <w:p w:rsidR="007E1B92" w:rsidRDefault="008E0F33" w:rsidP="00C05124">
      <w:pPr>
        <w:contextualSpacing/>
      </w:pPr>
      <w:r w:rsidRPr="005437E4">
        <w:t xml:space="preserve">The amendments made by </w:t>
      </w:r>
      <w:r w:rsidR="00010024">
        <w:t>item</w:t>
      </w:r>
      <w:r w:rsidR="00DF2803" w:rsidRPr="005437E4">
        <w:t>s 98 and 99</w:t>
      </w:r>
      <w:r w:rsidRPr="005437E4">
        <w:t xml:space="preserve"> </w:t>
      </w:r>
      <w:r w:rsidR="005437E4">
        <w:t>reflect the transfer of the Commission to the Department of Industry. T</w:t>
      </w:r>
      <w:r w:rsidR="00275DE7" w:rsidRPr="005437E4">
        <w:t xml:space="preserve">he Commissioner </w:t>
      </w:r>
      <w:r w:rsidR="003C0F4E" w:rsidRPr="005437E4">
        <w:t>would</w:t>
      </w:r>
      <w:r w:rsidR="00275DE7" w:rsidRPr="005437E4">
        <w:t xml:space="preserve"> no longer be </w:t>
      </w:r>
      <w:r w:rsidR="005437E4">
        <w:t>with</w:t>
      </w:r>
      <w:r w:rsidR="00275DE7" w:rsidRPr="005437E4">
        <w:t>in a law enforcement agency</w:t>
      </w:r>
      <w:r w:rsidR="003C0F4E" w:rsidRPr="005437E4">
        <w:t xml:space="preserve"> once the</w:t>
      </w:r>
      <w:r w:rsidR="003C0F4E">
        <w:t xml:space="preserve"> Commission </w:t>
      </w:r>
      <w:r w:rsidR="005437E4">
        <w:t>transfers to the Department of Industry.</w:t>
      </w:r>
    </w:p>
    <w:p w:rsidR="007E1B92" w:rsidRPr="00C05124" w:rsidRDefault="007E1B92" w:rsidP="00C05124">
      <w:pPr>
        <w:contextualSpacing/>
        <w:rPr>
          <w:color w:val="0070C0"/>
        </w:rPr>
      </w:pPr>
    </w:p>
    <w:bookmarkEnd w:id="7"/>
    <w:p w:rsidR="00C05124" w:rsidRPr="00C05124" w:rsidRDefault="00C05124" w:rsidP="00C05124">
      <w:pPr>
        <w:contextualSpacing/>
        <w:rPr>
          <w:color w:val="0070C0"/>
        </w:rPr>
      </w:pPr>
    </w:p>
    <w:p w:rsidR="009D70F4" w:rsidRDefault="009D70F4" w:rsidP="009D70F4">
      <w:pPr>
        <w:pStyle w:val="ActHead7"/>
        <w:pageBreakBefore/>
        <w:contextualSpacing/>
      </w:pPr>
      <w:bookmarkStart w:id="11" w:name="_Toc370806635"/>
      <w:r>
        <w:rPr>
          <w:rStyle w:val="CharAmPartNo"/>
        </w:rPr>
        <w:lastRenderedPageBreak/>
        <w:t>Part 3</w:t>
      </w:r>
      <w:r>
        <w:t>—Application, s</w:t>
      </w:r>
      <w:r>
        <w:rPr>
          <w:rStyle w:val="CharAmPartText"/>
        </w:rPr>
        <w:t>aving and transitional provisions</w:t>
      </w:r>
      <w:bookmarkEnd w:id="11"/>
    </w:p>
    <w:p w:rsidR="009D70F4" w:rsidRPr="00606081" w:rsidRDefault="00E50BB1" w:rsidP="009D70F4">
      <w:pPr>
        <w:pStyle w:val="ItemHead"/>
        <w:contextualSpacing/>
        <w:rPr>
          <w:rFonts w:ascii="Times New Roman" w:hAnsi="Times New Roman"/>
          <w:b w:val="0"/>
          <w:i/>
          <w:kern w:val="0"/>
          <w:sz w:val="22"/>
        </w:rPr>
      </w:pPr>
      <w:r w:rsidRPr="00606081">
        <w:rPr>
          <w:rFonts w:ascii="Times New Roman" w:hAnsi="Times New Roman"/>
          <w:b w:val="0"/>
          <w:i/>
          <w:kern w:val="0"/>
          <w:sz w:val="22"/>
        </w:rPr>
        <w:t xml:space="preserve">Item </w:t>
      </w:r>
      <w:r w:rsidR="009D70F4" w:rsidRPr="00606081">
        <w:rPr>
          <w:rFonts w:ascii="Times New Roman" w:hAnsi="Times New Roman"/>
          <w:b w:val="0"/>
          <w:i/>
          <w:kern w:val="0"/>
          <w:sz w:val="22"/>
        </w:rPr>
        <w:t xml:space="preserve">100 </w:t>
      </w:r>
      <w:r w:rsidRPr="00606081">
        <w:rPr>
          <w:rFonts w:ascii="Times New Roman" w:hAnsi="Times New Roman"/>
          <w:b w:val="0"/>
          <w:i/>
          <w:kern w:val="0"/>
          <w:sz w:val="22"/>
        </w:rPr>
        <w:t>-</w:t>
      </w:r>
      <w:r w:rsidR="009D70F4" w:rsidRPr="00606081">
        <w:rPr>
          <w:rFonts w:ascii="Times New Roman" w:hAnsi="Times New Roman"/>
          <w:b w:val="0"/>
          <w:i/>
          <w:kern w:val="0"/>
          <w:sz w:val="22"/>
        </w:rPr>
        <w:t xml:space="preserve"> Application provisions</w:t>
      </w:r>
    </w:p>
    <w:p w:rsidR="009D70F4" w:rsidRDefault="00E50BB1" w:rsidP="00286ACB">
      <w:pPr>
        <w:pStyle w:val="Subitem"/>
        <w:ind w:left="0" w:firstLine="0"/>
        <w:contextualSpacing/>
      </w:pPr>
      <w:r>
        <w:t xml:space="preserve">Subitem </w:t>
      </w:r>
      <w:r w:rsidR="009D70F4">
        <w:t>(1)</w:t>
      </w:r>
      <w:r>
        <w:t xml:space="preserve"> provides that t</w:t>
      </w:r>
      <w:r w:rsidR="009D70F4">
        <w:t xml:space="preserve">he amendments made by items 15 to 22 </w:t>
      </w:r>
      <w:r w:rsidR="00286ACB">
        <w:t xml:space="preserve">shall </w:t>
      </w:r>
      <w:r w:rsidR="009D70F4">
        <w:t xml:space="preserve">apply in relation to an application lodged under subsection 269TB(1) or (2), or a notice lodged under subsection 269TB(3), of the </w:t>
      </w:r>
      <w:r w:rsidR="009D70F4" w:rsidRPr="00286ACB">
        <w:t>Customs Act</w:t>
      </w:r>
      <w:r w:rsidR="009D70F4">
        <w:rPr>
          <w:i/>
        </w:rPr>
        <w:t xml:space="preserve"> </w:t>
      </w:r>
      <w:r w:rsidR="009D70F4">
        <w:t>on or after the commencement of those items.</w:t>
      </w:r>
      <w:r>
        <w:t xml:space="preserve"> </w:t>
      </w:r>
      <w:r w:rsidR="00AB56EC">
        <w:t xml:space="preserve">Section 269TB deals with </w:t>
      </w:r>
      <w:r>
        <w:t xml:space="preserve">applications for </w:t>
      </w:r>
      <w:r w:rsidR="00CC05C2">
        <w:t xml:space="preserve">certain </w:t>
      </w:r>
      <w:r>
        <w:t>action under the Dumping Duty Act.</w:t>
      </w:r>
    </w:p>
    <w:p w:rsidR="007A439C" w:rsidRDefault="007A439C" w:rsidP="00286ACB">
      <w:pPr>
        <w:pStyle w:val="Subitem"/>
        <w:ind w:left="0" w:firstLine="0"/>
        <w:contextualSpacing/>
      </w:pPr>
    </w:p>
    <w:p w:rsidR="009D70F4" w:rsidRDefault="00286ACB" w:rsidP="00286ACB">
      <w:pPr>
        <w:pStyle w:val="Subitem"/>
        <w:ind w:left="0" w:firstLine="0"/>
        <w:contextualSpacing/>
      </w:pPr>
      <w:r>
        <w:t xml:space="preserve">Subitem </w:t>
      </w:r>
      <w:r w:rsidR="009D70F4">
        <w:t>(2)</w:t>
      </w:r>
      <w:r>
        <w:t xml:space="preserve"> provides that the </w:t>
      </w:r>
      <w:r w:rsidR="009D70F4">
        <w:t xml:space="preserve">amendments made by items 24 and 25 </w:t>
      </w:r>
      <w:r>
        <w:t xml:space="preserve">shall </w:t>
      </w:r>
      <w:r w:rsidR="009D70F4">
        <w:t xml:space="preserve">apply in relation to information lodged under subsection 269TC(2A) of the </w:t>
      </w:r>
      <w:r w:rsidR="009D70F4" w:rsidRPr="00286ACB">
        <w:t>Customs Act</w:t>
      </w:r>
      <w:r w:rsidR="009D70F4">
        <w:rPr>
          <w:i/>
        </w:rPr>
        <w:t xml:space="preserve"> </w:t>
      </w:r>
      <w:r w:rsidR="009D70F4">
        <w:t>on or after the commencement of those items.</w:t>
      </w:r>
      <w:r>
        <w:t xml:space="preserve"> </w:t>
      </w:r>
      <w:r w:rsidR="00DA29A9">
        <w:t>Section 269TC outlines the manner in which applications received under section</w:t>
      </w:r>
      <w:r w:rsidR="00544CAD">
        <w:t> </w:t>
      </w:r>
      <w:r w:rsidR="00DA29A9">
        <w:t>269TB are to be considered.</w:t>
      </w:r>
    </w:p>
    <w:p w:rsidR="007A439C" w:rsidRDefault="007A439C" w:rsidP="00286ACB">
      <w:pPr>
        <w:pStyle w:val="Subitem"/>
        <w:ind w:left="0" w:firstLine="0"/>
        <w:contextualSpacing/>
      </w:pPr>
    </w:p>
    <w:p w:rsidR="009D70F4" w:rsidRDefault="00286ACB" w:rsidP="00286ACB">
      <w:pPr>
        <w:pStyle w:val="Subitem"/>
        <w:ind w:left="0" w:firstLine="0"/>
        <w:contextualSpacing/>
      </w:pPr>
      <w:r>
        <w:t xml:space="preserve">Subitem </w:t>
      </w:r>
      <w:r w:rsidR="009D70F4">
        <w:t>(3)</w:t>
      </w:r>
      <w:r>
        <w:t xml:space="preserve"> provides that the </w:t>
      </w:r>
      <w:r w:rsidR="009D70F4">
        <w:t xml:space="preserve">amendment made by item 28 </w:t>
      </w:r>
      <w:r>
        <w:t xml:space="preserve">shall apply </w:t>
      </w:r>
      <w:r w:rsidR="009D70F4">
        <w:t xml:space="preserve">in relation to a preliminary affirmative determination made under subsection 269TD(1) of the </w:t>
      </w:r>
      <w:r w:rsidR="009D70F4" w:rsidRPr="00286ACB">
        <w:t>Customs Act</w:t>
      </w:r>
      <w:r w:rsidR="009D70F4">
        <w:rPr>
          <w:i/>
        </w:rPr>
        <w:t xml:space="preserve"> </w:t>
      </w:r>
      <w:r w:rsidR="009D70F4">
        <w:t>on or after the commencement of that item.</w:t>
      </w:r>
    </w:p>
    <w:p w:rsidR="007A439C" w:rsidRDefault="007A439C" w:rsidP="00286ACB">
      <w:pPr>
        <w:pStyle w:val="Subitem"/>
        <w:ind w:left="0" w:firstLine="0"/>
        <w:contextualSpacing/>
      </w:pPr>
    </w:p>
    <w:p w:rsidR="009D70F4" w:rsidRDefault="00286ACB" w:rsidP="00286ACB">
      <w:pPr>
        <w:pStyle w:val="Subitem"/>
        <w:ind w:left="0" w:firstLine="0"/>
        <w:contextualSpacing/>
      </w:pPr>
      <w:r>
        <w:t xml:space="preserve">Subitem </w:t>
      </w:r>
      <w:r w:rsidR="009D70F4">
        <w:t>(4)</w:t>
      </w:r>
      <w:r>
        <w:t xml:space="preserve"> provides that the</w:t>
      </w:r>
      <w:r w:rsidR="009D70F4">
        <w:t xml:space="preserve"> amendments made by items 36 and 37 </w:t>
      </w:r>
      <w:r>
        <w:t xml:space="preserve">shall </w:t>
      </w:r>
      <w:r w:rsidR="009D70F4">
        <w:t xml:space="preserve">apply in relation to an application lodged under subsection 269V(1) of the </w:t>
      </w:r>
      <w:r w:rsidR="009D70F4" w:rsidRPr="006B4A11">
        <w:t>Customs Act</w:t>
      </w:r>
      <w:r w:rsidR="009D70F4">
        <w:rPr>
          <w:i/>
        </w:rPr>
        <w:t xml:space="preserve"> </w:t>
      </w:r>
      <w:r w:rsidR="009D70F4">
        <w:t>on or after the commencement of those items.</w:t>
      </w:r>
      <w:r w:rsidR="006B4A11">
        <w:t xml:space="preserve"> Subsection 269V sets out the circumstances in which an importer may apply for a duty assessment.</w:t>
      </w:r>
    </w:p>
    <w:p w:rsidR="007A439C" w:rsidRDefault="007A439C" w:rsidP="00F9652A">
      <w:pPr>
        <w:pStyle w:val="Subitem"/>
        <w:ind w:left="0" w:firstLine="0"/>
        <w:contextualSpacing/>
      </w:pPr>
    </w:p>
    <w:p w:rsidR="009D70F4" w:rsidRDefault="006B4A11" w:rsidP="00F9652A">
      <w:pPr>
        <w:pStyle w:val="Subitem"/>
        <w:ind w:left="0" w:firstLine="0"/>
        <w:contextualSpacing/>
      </w:pPr>
      <w:r>
        <w:t xml:space="preserve">Subitem </w:t>
      </w:r>
      <w:r w:rsidR="009D70F4">
        <w:t>(5)</w:t>
      </w:r>
      <w:r>
        <w:t xml:space="preserve"> provides that the </w:t>
      </w:r>
      <w:r w:rsidR="009D70F4">
        <w:t xml:space="preserve">amendments made by items 39 to 44 </w:t>
      </w:r>
      <w:r w:rsidR="00F9652A">
        <w:t xml:space="preserve">shall </w:t>
      </w:r>
      <w:r w:rsidR="009D70F4">
        <w:t xml:space="preserve">apply in relation to an application lodged under subsection 269ZA(1) of the </w:t>
      </w:r>
      <w:r w:rsidR="009D70F4" w:rsidRPr="00F9652A">
        <w:t>Customs Act</w:t>
      </w:r>
      <w:r w:rsidR="009D70F4">
        <w:rPr>
          <w:i/>
        </w:rPr>
        <w:t xml:space="preserve"> </w:t>
      </w:r>
      <w:r w:rsidR="009D70F4">
        <w:t>on or after the commencement of those items.</w:t>
      </w:r>
      <w:r w:rsidR="00F9652A">
        <w:t xml:space="preserve"> Section 269ZA deals with applications and requests for review of anti-dumping measures</w:t>
      </w:r>
      <w:r w:rsidR="00A84FA6">
        <w:t xml:space="preserve"> under Division 5 of the Customs Act</w:t>
      </w:r>
      <w:r w:rsidR="00F9652A">
        <w:t>.</w:t>
      </w:r>
    </w:p>
    <w:p w:rsidR="007A439C" w:rsidRDefault="007A439C" w:rsidP="00F9652A">
      <w:pPr>
        <w:pStyle w:val="Subitem"/>
        <w:ind w:left="0" w:firstLine="0"/>
        <w:contextualSpacing/>
      </w:pPr>
    </w:p>
    <w:p w:rsidR="009D70F4" w:rsidRDefault="00F9652A" w:rsidP="00F9652A">
      <w:pPr>
        <w:pStyle w:val="Subitem"/>
        <w:ind w:left="0" w:firstLine="0"/>
        <w:contextualSpacing/>
      </w:pPr>
      <w:r>
        <w:t xml:space="preserve">Subitem </w:t>
      </w:r>
      <w:r w:rsidR="009D70F4">
        <w:t>(6)</w:t>
      </w:r>
      <w:r>
        <w:t xml:space="preserve"> provides that the </w:t>
      </w:r>
      <w:r w:rsidR="009D70F4">
        <w:t xml:space="preserve">amendments made by items 47 to 53 </w:t>
      </w:r>
      <w:r>
        <w:t xml:space="preserve">shall </w:t>
      </w:r>
      <w:r w:rsidR="009D70F4">
        <w:t xml:space="preserve">apply in relation to an application lodged under section 269ZCA of the </w:t>
      </w:r>
      <w:r w:rsidR="009D70F4">
        <w:rPr>
          <w:i/>
        </w:rPr>
        <w:t xml:space="preserve">Customs Act 1901 </w:t>
      </w:r>
      <w:r w:rsidR="009D70F4">
        <w:t>on or after the commencement of those items.</w:t>
      </w:r>
      <w:r>
        <w:t xml:space="preserve"> Section ZCA deals with applications to extend a review </w:t>
      </w:r>
      <w:r w:rsidR="00A84FA6">
        <w:t xml:space="preserve">under Division 5 of the Customs Act </w:t>
      </w:r>
      <w:r>
        <w:t xml:space="preserve">to consider revocation of </w:t>
      </w:r>
      <w:r w:rsidR="005E577E">
        <w:t>anti-dumping measures</w:t>
      </w:r>
      <w:r>
        <w:t>.</w:t>
      </w:r>
    </w:p>
    <w:p w:rsidR="007A439C" w:rsidRDefault="007A439C" w:rsidP="005E577E">
      <w:pPr>
        <w:pStyle w:val="Subitem"/>
        <w:ind w:left="0" w:firstLine="0"/>
        <w:contextualSpacing/>
      </w:pPr>
    </w:p>
    <w:p w:rsidR="009D70F4" w:rsidRDefault="005E577E" w:rsidP="005E577E">
      <w:pPr>
        <w:pStyle w:val="Subitem"/>
        <w:ind w:left="0" w:firstLine="0"/>
        <w:contextualSpacing/>
      </w:pPr>
      <w:r>
        <w:t xml:space="preserve">Subitem </w:t>
      </w:r>
      <w:r w:rsidR="009D70F4">
        <w:t>(7)</w:t>
      </w:r>
      <w:r>
        <w:t xml:space="preserve"> provides that the </w:t>
      </w:r>
      <w:r w:rsidR="009D70F4">
        <w:t xml:space="preserve">amendments made by items 60 to 64 </w:t>
      </w:r>
      <w:r>
        <w:t xml:space="preserve">shall </w:t>
      </w:r>
      <w:r w:rsidR="009D70F4">
        <w:t xml:space="preserve">apply in relation to an application lodged under subsection 269ZDBD(1) of the </w:t>
      </w:r>
      <w:r w:rsidR="009D70F4" w:rsidRPr="005E577E">
        <w:t>Customs Act</w:t>
      </w:r>
      <w:r w:rsidR="009D70F4">
        <w:rPr>
          <w:i/>
        </w:rPr>
        <w:t xml:space="preserve"> </w:t>
      </w:r>
      <w:r w:rsidR="009D70F4">
        <w:t>on or after the commencement of those items.</w:t>
      </w:r>
      <w:r>
        <w:t xml:space="preserve"> Section 269ZDBD sets out the content and lodgement requirements for applications for conduct of an anti-circumvention inquiry. </w:t>
      </w:r>
    </w:p>
    <w:p w:rsidR="007A439C" w:rsidRDefault="007A439C" w:rsidP="0020781B">
      <w:pPr>
        <w:pStyle w:val="Subitem"/>
        <w:ind w:left="0" w:firstLine="0"/>
        <w:contextualSpacing/>
      </w:pPr>
    </w:p>
    <w:p w:rsidR="009D70F4" w:rsidRDefault="0006151C" w:rsidP="0020781B">
      <w:pPr>
        <w:pStyle w:val="Subitem"/>
        <w:ind w:left="0" w:firstLine="0"/>
        <w:contextualSpacing/>
      </w:pPr>
      <w:r>
        <w:t xml:space="preserve">Subitem </w:t>
      </w:r>
      <w:r w:rsidR="009D70F4">
        <w:t>(8)</w:t>
      </w:r>
      <w:r>
        <w:t xml:space="preserve"> provides that the </w:t>
      </w:r>
      <w:r w:rsidR="009D70F4">
        <w:t xml:space="preserve">amendments made by items 72 to 74 </w:t>
      </w:r>
      <w:r>
        <w:t xml:space="preserve">shall </w:t>
      </w:r>
      <w:r w:rsidR="009D70F4">
        <w:t xml:space="preserve">apply in relation to an application lodged under subsection 269ZE(1) of the </w:t>
      </w:r>
      <w:r w:rsidR="009D70F4" w:rsidRPr="0006151C">
        <w:t>Customs Act</w:t>
      </w:r>
      <w:r w:rsidR="009D70F4">
        <w:rPr>
          <w:i/>
        </w:rPr>
        <w:t xml:space="preserve"> </w:t>
      </w:r>
      <w:r w:rsidR="009D70F4">
        <w:t>on or after the commencement of those items.</w:t>
      </w:r>
      <w:r>
        <w:t xml:space="preserve"> Section </w:t>
      </w:r>
      <w:r w:rsidR="00A84FA6">
        <w:t>269</w:t>
      </w:r>
      <w:r>
        <w:t xml:space="preserve">ZE sets out the circumstances in which </w:t>
      </w:r>
      <w:r w:rsidR="00A84FA6">
        <w:t xml:space="preserve">an </w:t>
      </w:r>
      <w:r>
        <w:t>accelerated review may be sought.</w:t>
      </w:r>
    </w:p>
    <w:p w:rsidR="007A439C" w:rsidRDefault="007A439C" w:rsidP="0020781B">
      <w:pPr>
        <w:pStyle w:val="Subitem"/>
        <w:ind w:left="0" w:firstLine="0"/>
        <w:contextualSpacing/>
      </w:pPr>
    </w:p>
    <w:p w:rsidR="009D70F4" w:rsidRDefault="0020781B" w:rsidP="0020781B">
      <w:pPr>
        <w:pStyle w:val="Subitem"/>
        <w:ind w:left="0" w:firstLine="0"/>
        <w:contextualSpacing/>
      </w:pPr>
      <w:r>
        <w:t xml:space="preserve">Subitem </w:t>
      </w:r>
      <w:r w:rsidR="009D70F4">
        <w:t>(9)</w:t>
      </w:r>
      <w:r>
        <w:t xml:space="preserve"> provides that the </w:t>
      </w:r>
      <w:r w:rsidR="009D70F4">
        <w:t xml:space="preserve">amendments made by items 76 to 80 </w:t>
      </w:r>
      <w:r>
        <w:t xml:space="preserve">shall </w:t>
      </w:r>
      <w:r w:rsidR="009D70F4">
        <w:t xml:space="preserve">apply in relation to an application lodged under section 269ZHB of the </w:t>
      </w:r>
      <w:r w:rsidR="009D70F4" w:rsidRPr="0020781B">
        <w:t>Customs Act</w:t>
      </w:r>
      <w:r w:rsidR="009D70F4">
        <w:rPr>
          <w:i/>
        </w:rPr>
        <w:t xml:space="preserve"> </w:t>
      </w:r>
      <w:r w:rsidR="009D70F4">
        <w:t>on or after the commencement of those items.</w:t>
      </w:r>
      <w:r>
        <w:t xml:space="preserve"> Section ZHB deals with applications for continuation of anti-dumping measures.</w:t>
      </w:r>
    </w:p>
    <w:p w:rsidR="007A439C" w:rsidRDefault="007A439C" w:rsidP="0020781B">
      <w:pPr>
        <w:pStyle w:val="Subitem"/>
        <w:ind w:left="0" w:firstLine="0"/>
        <w:contextualSpacing/>
      </w:pPr>
    </w:p>
    <w:p w:rsidR="009D70F4" w:rsidRDefault="0020781B" w:rsidP="0020781B">
      <w:pPr>
        <w:pStyle w:val="Subitem"/>
        <w:ind w:left="0" w:firstLine="0"/>
        <w:contextualSpacing/>
      </w:pPr>
      <w:r>
        <w:t xml:space="preserve">Subitem </w:t>
      </w:r>
      <w:r w:rsidR="009D70F4">
        <w:t>(10)</w:t>
      </w:r>
      <w:r>
        <w:t xml:space="preserve"> provides that s</w:t>
      </w:r>
      <w:r w:rsidR="009D70F4">
        <w:t xml:space="preserve">ections 269SMT and 269ZZYH of the </w:t>
      </w:r>
      <w:r w:rsidR="009D70F4" w:rsidRPr="0020781B">
        <w:t>Customs Act</w:t>
      </w:r>
      <w:r w:rsidR="009D70F4">
        <w:t xml:space="preserve">, as amended by this Act, </w:t>
      </w:r>
      <w:r>
        <w:t xml:space="preserve">shall </w:t>
      </w:r>
      <w:r w:rsidR="009D70F4">
        <w:t>apply in relation to information obtained before, on or after the commencement of this item.</w:t>
      </w:r>
      <w:r>
        <w:t xml:space="preserve"> New sections 269SMT and 269ZZYH deal with the disclosure of information.</w:t>
      </w:r>
    </w:p>
    <w:p w:rsidR="007A439C" w:rsidRDefault="007A439C" w:rsidP="0020781B">
      <w:pPr>
        <w:pStyle w:val="Subitem"/>
        <w:ind w:left="0" w:firstLine="0"/>
        <w:contextualSpacing/>
        <w:rPr>
          <w:i/>
        </w:rPr>
      </w:pPr>
    </w:p>
    <w:p w:rsidR="0044583E" w:rsidRPr="00632076" w:rsidRDefault="00632076" w:rsidP="0020781B">
      <w:pPr>
        <w:pStyle w:val="Subitem"/>
        <w:ind w:left="0" w:firstLine="0"/>
        <w:contextualSpacing/>
        <w:rPr>
          <w:i/>
        </w:rPr>
      </w:pPr>
      <w:r>
        <w:rPr>
          <w:i/>
        </w:rPr>
        <w:t>Continuity of appointment of Commissioner and Review Panel not affected</w:t>
      </w:r>
    </w:p>
    <w:p w:rsidR="007A439C" w:rsidRDefault="007A439C" w:rsidP="00632076">
      <w:pPr>
        <w:pStyle w:val="Subitem"/>
        <w:ind w:left="0" w:firstLine="0"/>
        <w:contextualSpacing/>
      </w:pPr>
    </w:p>
    <w:p w:rsidR="009D70F4" w:rsidRDefault="0044583E" w:rsidP="00632076">
      <w:pPr>
        <w:pStyle w:val="Subitem"/>
        <w:ind w:left="0" w:firstLine="0"/>
        <w:contextualSpacing/>
      </w:pPr>
      <w:r>
        <w:t>Item</w:t>
      </w:r>
      <w:r w:rsidR="00632076">
        <w:t>s</w:t>
      </w:r>
      <w:r>
        <w:t xml:space="preserve"> </w:t>
      </w:r>
      <w:r w:rsidR="00632076">
        <w:t xml:space="preserve">101 and 102 </w:t>
      </w:r>
      <w:r>
        <w:t>cla</w:t>
      </w:r>
      <w:r w:rsidR="00632076">
        <w:t>rify</w:t>
      </w:r>
      <w:r>
        <w:t xml:space="preserve"> that</w:t>
      </w:r>
      <w:r w:rsidR="00632076">
        <w:t>,</w:t>
      </w:r>
      <w:r>
        <w:t xml:space="preserve"> notwithstanding the </w:t>
      </w:r>
      <w:r w:rsidR="009D70F4">
        <w:t xml:space="preserve">amendments made by Schedule </w:t>
      </w:r>
      <w:r>
        <w:t xml:space="preserve">1, </w:t>
      </w:r>
      <w:r w:rsidR="009D70F4">
        <w:t>the appointment of the Commissioner of</w:t>
      </w:r>
      <w:r>
        <w:t xml:space="preserve"> the Anti</w:t>
      </w:r>
      <w:r>
        <w:noBreakHyphen/>
        <w:t>Dumping Commission</w:t>
      </w:r>
      <w:r w:rsidR="00632076">
        <w:t xml:space="preserve"> and </w:t>
      </w:r>
      <w:r w:rsidR="00C4218B">
        <w:t xml:space="preserve">of members of </w:t>
      </w:r>
      <w:r w:rsidR="00632076">
        <w:t xml:space="preserve">the Review </w:t>
      </w:r>
      <w:r w:rsidR="00632076">
        <w:lastRenderedPageBreak/>
        <w:t>Panel</w:t>
      </w:r>
      <w:r w:rsidR="004E2FC1">
        <w:t xml:space="preserve"> established under section 269ZL of the Customs Act</w:t>
      </w:r>
      <w:r>
        <w:t xml:space="preserve">, </w:t>
      </w:r>
      <w:r w:rsidR="002745AC">
        <w:t xml:space="preserve">including </w:t>
      </w:r>
      <w:r>
        <w:t>the</w:t>
      </w:r>
      <w:r w:rsidR="00632076">
        <w:t>ir respective</w:t>
      </w:r>
      <w:r>
        <w:t xml:space="preserve"> </w:t>
      </w:r>
      <w:r w:rsidR="009D70F4">
        <w:t xml:space="preserve">terms and conditions on which </w:t>
      </w:r>
      <w:r>
        <w:t>the</w:t>
      </w:r>
      <w:r w:rsidR="00632076">
        <w:t>y</w:t>
      </w:r>
      <w:r>
        <w:t xml:space="preserve"> </w:t>
      </w:r>
      <w:r w:rsidR="00632076">
        <w:t xml:space="preserve">hold </w:t>
      </w:r>
      <w:r w:rsidR="009D70F4">
        <w:t>office</w:t>
      </w:r>
      <w:r w:rsidR="00632076">
        <w:t>,</w:t>
      </w:r>
      <w:r w:rsidR="002745AC">
        <w:t xml:space="preserve"> are unaffected by those amendments</w:t>
      </w:r>
      <w:r w:rsidR="009D70F4">
        <w:t>.</w:t>
      </w:r>
    </w:p>
    <w:p w:rsidR="007A439C" w:rsidRDefault="007A439C" w:rsidP="00632076">
      <w:pPr>
        <w:pStyle w:val="Subitem"/>
        <w:ind w:left="0" w:firstLine="0"/>
        <w:contextualSpacing/>
        <w:rPr>
          <w:i/>
        </w:rPr>
      </w:pPr>
    </w:p>
    <w:p w:rsidR="00632076" w:rsidRPr="00632076" w:rsidRDefault="00632076" w:rsidP="00632076">
      <w:pPr>
        <w:pStyle w:val="Subitem"/>
        <w:ind w:left="0" w:firstLine="0"/>
        <w:contextualSpacing/>
        <w:rPr>
          <w:i/>
        </w:rPr>
      </w:pPr>
      <w:r w:rsidRPr="00632076">
        <w:rPr>
          <w:i/>
        </w:rPr>
        <w:t>Continuity of appointment of International Trade Remedies Forum</w:t>
      </w:r>
    </w:p>
    <w:p w:rsidR="007A439C" w:rsidRDefault="007A439C" w:rsidP="00632076">
      <w:pPr>
        <w:pStyle w:val="Subitem"/>
        <w:ind w:left="0" w:firstLine="0"/>
        <w:contextualSpacing/>
      </w:pPr>
    </w:p>
    <w:p w:rsidR="009D70F4" w:rsidRDefault="00632076" w:rsidP="00632076">
      <w:pPr>
        <w:pStyle w:val="Subitem"/>
        <w:ind w:left="0" w:firstLine="0"/>
        <w:contextualSpacing/>
      </w:pPr>
      <w:r>
        <w:t xml:space="preserve">Item </w:t>
      </w:r>
      <w:r w:rsidR="00606081">
        <w:t>103</w:t>
      </w:r>
      <w:r w:rsidR="009D70F4">
        <w:t xml:space="preserve"> </w:t>
      </w:r>
      <w:r>
        <w:t xml:space="preserve">ensures the continuity of the appointment of the members of the International Trade Remedies Forum </w:t>
      </w:r>
      <w:r w:rsidR="00AE696D">
        <w:t>would not be</w:t>
      </w:r>
      <w:r w:rsidR="009D70F4">
        <w:t xml:space="preserve"> affected</w:t>
      </w:r>
      <w:r>
        <w:t xml:space="preserve"> by the </w:t>
      </w:r>
      <w:r w:rsidR="009D70F4">
        <w:t xml:space="preserve">amendments made by Schedule </w:t>
      </w:r>
      <w:r>
        <w:t xml:space="preserve">1. </w:t>
      </w:r>
    </w:p>
    <w:p w:rsidR="007A439C" w:rsidRDefault="007A439C" w:rsidP="00606081">
      <w:pPr>
        <w:pStyle w:val="Subitem"/>
        <w:ind w:left="0" w:firstLine="0"/>
        <w:contextualSpacing/>
        <w:rPr>
          <w:i/>
        </w:rPr>
      </w:pPr>
    </w:p>
    <w:p w:rsidR="00606081" w:rsidRPr="00606081" w:rsidRDefault="00606081" w:rsidP="00606081">
      <w:pPr>
        <w:pStyle w:val="Subitem"/>
        <w:ind w:left="0" w:firstLine="0"/>
        <w:contextualSpacing/>
        <w:rPr>
          <w:i/>
        </w:rPr>
      </w:pPr>
      <w:r w:rsidRPr="00606081">
        <w:rPr>
          <w:i/>
        </w:rPr>
        <w:t>Continuity of applications and submissions</w:t>
      </w:r>
    </w:p>
    <w:p w:rsidR="007A439C" w:rsidRDefault="007A439C" w:rsidP="00606081">
      <w:pPr>
        <w:pStyle w:val="Subitem"/>
        <w:ind w:left="0" w:firstLine="0"/>
        <w:contextualSpacing/>
      </w:pPr>
    </w:p>
    <w:p w:rsidR="009D70F4" w:rsidRDefault="00606081" w:rsidP="00606081">
      <w:pPr>
        <w:pStyle w:val="Subitem"/>
        <w:ind w:left="0" w:firstLine="0"/>
        <w:contextualSpacing/>
      </w:pPr>
      <w:r>
        <w:t xml:space="preserve">Item </w:t>
      </w:r>
      <w:r w:rsidR="009D70F4">
        <w:t xml:space="preserve">104 </w:t>
      </w:r>
      <w:r>
        <w:t>provides that all applications lodged with Customs and submissions received by Customs before the commencement of this Act, shall have effect as if the relevant application or submission had been received lodged with or received by the Commissioner.</w:t>
      </w:r>
      <w:r w:rsidR="00C4218B">
        <w:t xml:space="preserve"> This ensures </w:t>
      </w:r>
      <w:r w:rsidR="004E2FC1">
        <w:t xml:space="preserve">that </w:t>
      </w:r>
      <w:r w:rsidR="00C4218B">
        <w:t xml:space="preserve">such applications and submissions </w:t>
      </w:r>
      <w:r w:rsidR="00AE696D">
        <w:t xml:space="preserve">would </w:t>
      </w:r>
      <w:r w:rsidR="00F564F3">
        <w:t xml:space="preserve">remain valid so they </w:t>
      </w:r>
      <w:r w:rsidR="00C4218B">
        <w:t>can</w:t>
      </w:r>
      <w:r w:rsidR="00F564F3" w:rsidRPr="00F564F3">
        <w:t xml:space="preserve"> </w:t>
      </w:r>
      <w:r w:rsidR="00F564F3">
        <w:t>be taken into account</w:t>
      </w:r>
      <w:r w:rsidR="00F564F3" w:rsidRPr="00F564F3">
        <w:t xml:space="preserve"> </w:t>
      </w:r>
      <w:r w:rsidR="00F564F3">
        <w:t xml:space="preserve">for </w:t>
      </w:r>
      <w:r w:rsidR="00C4218B">
        <w:t xml:space="preserve">decision-making </w:t>
      </w:r>
      <w:r w:rsidR="00F564F3">
        <w:t xml:space="preserve">and other </w:t>
      </w:r>
      <w:r w:rsidR="00C4218B">
        <w:t xml:space="preserve">purposes </w:t>
      </w:r>
      <w:r w:rsidR="00F564F3">
        <w:t xml:space="preserve">(for example, for </w:t>
      </w:r>
      <w:r w:rsidR="00C4218B">
        <w:t xml:space="preserve">establishing </w:t>
      </w:r>
      <w:r w:rsidR="00F564F3">
        <w:t xml:space="preserve">appropriate procedures and </w:t>
      </w:r>
      <w:r w:rsidR="00C4218B">
        <w:t xml:space="preserve">timelines </w:t>
      </w:r>
      <w:r w:rsidR="00F564F3">
        <w:t>associated with</w:t>
      </w:r>
      <w:r w:rsidR="00C4218B">
        <w:t xml:space="preserve"> </w:t>
      </w:r>
      <w:r w:rsidR="00F564F3">
        <w:t>further</w:t>
      </w:r>
      <w:r w:rsidR="00C4218B">
        <w:t xml:space="preserve"> action</w:t>
      </w:r>
      <w:r w:rsidR="00F564F3">
        <w:t>)</w:t>
      </w:r>
      <w:r w:rsidR="00C4218B">
        <w:t>.</w:t>
      </w:r>
    </w:p>
    <w:p w:rsidR="007A439C" w:rsidRDefault="007A439C" w:rsidP="007A439C">
      <w:pPr>
        <w:pStyle w:val="Subitem"/>
        <w:ind w:left="0" w:firstLine="0"/>
        <w:contextualSpacing/>
        <w:rPr>
          <w:i/>
        </w:rPr>
      </w:pPr>
    </w:p>
    <w:p w:rsidR="00606081" w:rsidRPr="007A439C" w:rsidRDefault="00606081" w:rsidP="007A439C">
      <w:pPr>
        <w:pStyle w:val="Subitem"/>
        <w:ind w:left="0" w:firstLine="0"/>
        <w:contextualSpacing/>
        <w:rPr>
          <w:i/>
        </w:rPr>
      </w:pPr>
      <w:r w:rsidRPr="007A439C">
        <w:rPr>
          <w:i/>
        </w:rPr>
        <w:t xml:space="preserve">Continuation of </w:t>
      </w:r>
      <w:r w:rsidR="00BB0993">
        <w:rPr>
          <w:i/>
        </w:rPr>
        <w:t>disclosure delegations</w:t>
      </w:r>
      <w:r w:rsidR="00BB0993" w:rsidRPr="007A439C">
        <w:rPr>
          <w:i/>
        </w:rPr>
        <w:t xml:space="preserve"> </w:t>
      </w:r>
    </w:p>
    <w:p w:rsidR="007A439C" w:rsidRDefault="007A439C" w:rsidP="00606081">
      <w:pPr>
        <w:pStyle w:val="Subitem"/>
        <w:ind w:left="0" w:firstLine="0"/>
        <w:contextualSpacing/>
      </w:pPr>
    </w:p>
    <w:p w:rsidR="00BB0993" w:rsidRPr="00AE696D" w:rsidRDefault="00606081" w:rsidP="00AE696D">
      <w:pPr>
        <w:pStyle w:val="Subitem"/>
        <w:ind w:left="0" w:firstLine="0"/>
        <w:contextualSpacing/>
        <w:rPr>
          <w:szCs w:val="22"/>
        </w:rPr>
      </w:pPr>
      <w:r>
        <w:t>Subitem 105(1) ensure</w:t>
      </w:r>
      <w:r w:rsidR="00A20AC2">
        <w:t>s</w:t>
      </w:r>
      <w:r>
        <w:t xml:space="preserve"> that any delegation in</w:t>
      </w:r>
      <w:r w:rsidR="009D70F4">
        <w:t xml:space="preserve"> </w:t>
      </w:r>
      <w:r w:rsidR="009D70F4" w:rsidRPr="00BB0993">
        <w:rPr>
          <w:szCs w:val="22"/>
        </w:rPr>
        <w:t xml:space="preserve">force under subsection 14(4A) of the </w:t>
      </w:r>
      <w:r w:rsidR="009D70F4" w:rsidRPr="00BB0993">
        <w:rPr>
          <w:i/>
          <w:szCs w:val="22"/>
        </w:rPr>
        <w:t>Customs Administration Act 1985</w:t>
      </w:r>
      <w:r w:rsidRPr="00BB0993">
        <w:rPr>
          <w:szCs w:val="22"/>
        </w:rPr>
        <w:t xml:space="preserve"> </w:t>
      </w:r>
      <w:r w:rsidR="009D70F4" w:rsidRPr="00BB0993">
        <w:rPr>
          <w:szCs w:val="22"/>
        </w:rPr>
        <w:t xml:space="preserve">before commencement </w:t>
      </w:r>
      <w:r w:rsidRPr="00BB0993">
        <w:rPr>
          <w:szCs w:val="22"/>
        </w:rPr>
        <w:t>shall continue</w:t>
      </w:r>
      <w:r w:rsidR="009D70F4" w:rsidRPr="00BB0993">
        <w:rPr>
          <w:szCs w:val="22"/>
        </w:rPr>
        <w:t xml:space="preserve"> to apply on and after commencement.</w:t>
      </w:r>
      <w:r w:rsidR="00BB0993" w:rsidRPr="00BB0993">
        <w:rPr>
          <w:szCs w:val="22"/>
        </w:rPr>
        <w:t xml:space="preserve"> Subsection 14 </w:t>
      </w:r>
      <w:r w:rsidR="00825F14">
        <w:rPr>
          <w:szCs w:val="22"/>
        </w:rPr>
        <w:t xml:space="preserve">of the </w:t>
      </w:r>
      <w:r w:rsidR="00825F14" w:rsidRPr="00BB0993">
        <w:rPr>
          <w:i/>
          <w:szCs w:val="22"/>
        </w:rPr>
        <w:t>Customs Administration Act 1985</w:t>
      </w:r>
      <w:r w:rsidR="00825F14">
        <w:rPr>
          <w:szCs w:val="22"/>
        </w:rPr>
        <w:t xml:space="preserve"> </w:t>
      </w:r>
      <w:r w:rsidR="00BB0993" w:rsidRPr="00AE696D">
        <w:rPr>
          <w:szCs w:val="22"/>
        </w:rPr>
        <w:t>concerns delegations by the CEO of Customs of all or any of the CEO</w:t>
      </w:r>
      <w:r w:rsidR="00BB0993">
        <w:rPr>
          <w:szCs w:val="22"/>
        </w:rPr>
        <w:t xml:space="preserve"> of Customs</w:t>
      </w:r>
      <w:r w:rsidR="00BB0993" w:rsidRPr="00BB0993">
        <w:rPr>
          <w:szCs w:val="22"/>
        </w:rPr>
        <w:t>’</w:t>
      </w:r>
      <w:r w:rsidR="00BB0993" w:rsidRPr="00AE696D">
        <w:rPr>
          <w:szCs w:val="22"/>
        </w:rPr>
        <w:t xml:space="preserve"> functions and powers under a law of Customs. </w:t>
      </w:r>
      <w:r w:rsidR="00A20AC2">
        <w:rPr>
          <w:szCs w:val="22"/>
        </w:rPr>
        <w:t xml:space="preserve"> </w:t>
      </w:r>
      <w:r w:rsidR="00BB0993" w:rsidRPr="00BB0993">
        <w:rPr>
          <w:szCs w:val="22"/>
        </w:rPr>
        <w:t xml:space="preserve">Subsection 14(4A) </w:t>
      </w:r>
      <w:r w:rsidR="00BB0993" w:rsidRPr="00AE696D">
        <w:rPr>
          <w:szCs w:val="22"/>
        </w:rPr>
        <w:t xml:space="preserve">allows the CEO </w:t>
      </w:r>
      <w:r w:rsidR="00BB0993">
        <w:rPr>
          <w:szCs w:val="22"/>
        </w:rPr>
        <w:t xml:space="preserve">of Customs </w:t>
      </w:r>
      <w:r w:rsidR="00BB0993" w:rsidRPr="00AE696D">
        <w:rPr>
          <w:szCs w:val="22"/>
        </w:rPr>
        <w:t>to delegate to the Commissioner any of the powers of the CEO</w:t>
      </w:r>
      <w:r w:rsidR="00BB0993">
        <w:rPr>
          <w:szCs w:val="22"/>
        </w:rPr>
        <w:t xml:space="preserve"> of Customs</w:t>
      </w:r>
      <w:r w:rsidR="00BB0993" w:rsidRPr="00AE696D">
        <w:rPr>
          <w:szCs w:val="22"/>
        </w:rPr>
        <w:t xml:space="preserve"> under section 16 of the </w:t>
      </w:r>
      <w:r w:rsidR="00BB0993" w:rsidRPr="00BB0993">
        <w:rPr>
          <w:i/>
          <w:szCs w:val="22"/>
        </w:rPr>
        <w:t>Customs Administration Act 1985</w:t>
      </w:r>
      <w:r w:rsidR="00BB0993" w:rsidRPr="00AE696D">
        <w:rPr>
          <w:szCs w:val="22"/>
        </w:rPr>
        <w:t xml:space="preserve">, to the extent those powers apply in connection with Part XVB of the </w:t>
      </w:r>
      <w:r w:rsidR="00635E98">
        <w:rPr>
          <w:szCs w:val="22"/>
        </w:rPr>
        <w:t xml:space="preserve">Customs </w:t>
      </w:r>
      <w:r w:rsidR="00BB0993" w:rsidRPr="00AE696D">
        <w:rPr>
          <w:szCs w:val="22"/>
        </w:rPr>
        <w:t xml:space="preserve">Act. </w:t>
      </w:r>
      <w:r w:rsidR="00825F14">
        <w:rPr>
          <w:szCs w:val="22"/>
        </w:rPr>
        <w:t xml:space="preserve"> Section 16 of the </w:t>
      </w:r>
      <w:r w:rsidR="00825F14" w:rsidRPr="00BB0993">
        <w:rPr>
          <w:i/>
          <w:szCs w:val="22"/>
        </w:rPr>
        <w:t>Customs Administration Act 1985</w:t>
      </w:r>
      <w:r w:rsidR="00825F14">
        <w:rPr>
          <w:i/>
          <w:szCs w:val="22"/>
        </w:rPr>
        <w:t xml:space="preserve"> </w:t>
      </w:r>
      <w:r w:rsidR="00825F14">
        <w:rPr>
          <w:szCs w:val="22"/>
        </w:rPr>
        <w:t xml:space="preserve">prohibits the unauthorised recording or disclosure of certain information except in certain circumstances.  Section 16 allows the CEO of Customs to authorise the disclosure of information in the circumstances contained in that section.  </w:t>
      </w:r>
    </w:p>
    <w:p w:rsidR="00BB0993" w:rsidRPr="00BB0993" w:rsidRDefault="00BB0993" w:rsidP="00606081">
      <w:pPr>
        <w:pStyle w:val="Subitem"/>
        <w:ind w:left="0" w:firstLine="0"/>
        <w:contextualSpacing/>
        <w:rPr>
          <w:szCs w:val="22"/>
        </w:rPr>
      </w:pPr>
    </w:p>
    <w:p w:rsidR="007A439C" w:rsidRDefault="00606081" w:rsidP="007A439C">
      <w:pPr>
        <w:pStyle w:val="Subitem"/>
        <w:ind w:left="0" w:firstLine="0"/>
        <w:contextualSpacing/>
      </w:pPr>
      <w:r>
        <w:t>Subitem 105</w:t>
      </w:r>
      <w:r w:rsidR="009D70F4">
        <w:t>(2)</w:t>
      </w:r>
      <w:r>
        <w:t xml:space="preserve"> provides that s</w:t>
      </w:r>
      <w:r w:rsidR="009D70F4">
        <w:t xml:space="preserve">ection 16 of the </w:t>
      </w:r>
      <w:r w:rsidR="009D70F4">
        <w:rPr>
          <w:i/>
        </w:rPr>
        <w:t>Customs Administration Act 1985</w:t>
      </w:r>
      <w:r w:rsidR="009D70F4">
        <w:t xml:space="preserve">, as in force immediately before the commencement, </w:t>
      </w:r>
      <w:r>
        <w:t>shall continue</w:t>
      </w:r>
      <w:r w:rsidR="009D70F4">
        <w:t xml:space="preserve"> to apply on and after commencement in relation to the Commissioner and to </w:t>
      </w:r>
      <w:r>
        <w:t xml:space="preserve">all </w:t>
      </w:r>
      <w:r w:rsidR="009D70F4">
        <w:t>information that came to the knowledge of, or into the possession of, the Commissioner before commencement while he or she performed duties.</w:t>
      </w:r>
    </w:p>
    <w:p w:rsidR="007A439C" w:rsidRDefault="007A439C" w:rsidP="007A439C">
      <w:pPr>
        <w:pStyle w:val="Subitem"/>
        <w:ind w:left="0" w:firstLine="0"/>
        <w:contextualSpacing/>
      </w:pPr>
    </w:p>
    <w:p w:rsidR="007A439C" w:rsidRDefault="009D70F4" w:rsidP="007A439C">
      <w:pPr>
        <w:pStyle w:val="Subitem"/>
        <w:ind w:left="0" w:firstLine="0"/>
        <w:contextualSpacing/>
        <w:rPr>
          <w:i/>
        </w:rPr>
      </w:pPr>
      <w:r w:rsidRPr="007A439C">
        <w:rPr>
          <w:i/>
        </w:rPr>
        <w:t xml:space="preserve">Continuation of offences under the </w:t>
      </w:r>
      <w:r>
        <w:rPr>
          <w:i/>
        </w:rPr>
        <w:t>Criminal Code</w:t>
      </w:r>
    </w:p>
    <w:p w:rsidR="007A439C" w:rsidRDefault="007A439C" w:rsidP="007A439C">
      <w:pPr>
        <w:pStyle w:val="Subitem"/>
        <w:ind w:left="0" w:firstLine="0"/>
        <w:contextualSpacing/>
        <w:rPr>
          <w:i/>
        </w:rPr>
      </w:pPr>
    </w:p>
    <w:p w:rsidR="009D70F4" w:rsidRDefault="007A439C" w:rsidP="007A439C">
      <w:pPr>
        <w:pStyle w:val="Subitem"/>
        <w:ind w:left="0" w:firstLine="0"/>
        <w:contextualSpacing/>
      </w:pPr>
      <w:r>
        <w:t>Item 106 provides that s</w:t>
      </w:r>
      <w:r w:rsidR="009D70F4">
        <w:t xml:space="preserve">ections 146.1, 147.1 and 147.2 of the </w:t>
      </w:r>
      <w:r w:rsidR="009D70F4">
        <w:rPr>
          <w:i/>
        </w:rPr>
        <w:t>Criminal Code</w:t>
      </w:r>
      <w:r w:rsidR="009D70F4">
        <w:t>, as in force immediately before commencement,</w:t>
      </w:r>
      <w:r>
        <w:t xml:space="preserve"> shall </w:t>
      </w:r>
      <w:r w:rsidR="009D70F4">
        <w:t xml:space="preserve">continue to apply on and after that commencement in relation to conduct engaged in before that commencement in relation to the person covered by paragraph (da) of the definition of </w:t>
      </w:r>
      <w:r w:rsidR="009D70F4">
        <w:rPr>
          <w:b/>
          <w:i/>
        </w:rPr>
        <w:t>Commonwealth law enforcement officer</w:t>
      </w:r>
      <w:r w:rsidR="009D70F4">
        <w:t xml:space="preserve"> in section 146.1 of the </w:t>
      </w:r>
      <w:r w:rsidR="009D70F4">
        <w:rPr>
          <w:i/>
        </w:rPr>
        <w:t>Criminal Code</w:t>
      </w:r>
      <w:r w:rsidR="009D70F4">
        <w:t>.</w:t>
      </w:r>
    </w:p>
    <w:p w:rsidR="00C4218B" w:rsidRDefault="00C4218B" w:rsidP="007A439C">
      <w:pPr>
        <w:pStyle w:val="Subitem"/>
        <w:ind w:left="0" w:firstLine="0"/>
        <w:contextualSpacing/>
      </w:pPr>
    </w:p>
    <w:p w:rsidR="009D70F4" w:rsidRDefault="009D70F4" w:rsidP="00C4218B">
      <w:pPr>
        <w:pStyle w:val="Subitem"/>
        <w:spacing w:before="0"/>
        <w:ind w:left="0" w:firstLine="0"/>
        <w:contextualSpacing/>
        <w:rPr>
          <w:i/>
        </w:rPr>
      </w:pPr>
      <w:r w:rsidRPr="007A439C">
        <w:rPr>
          <w:i/>
        </w:rPr>
        <w:t xml:space="preserve">Continuation of processes under the </w:t>
      </w:r>
      <w:r>
        <w:rPr>
          <w:i/>
        </w:rPr>
        <w:t>Law Enforcement Integrity Commissioner Act 2006</w:t>
      </w:r>
    </w:p>
    <w:p w:rsidR="00C4218B" w:rsidRDefault="00C4218B" w:rsidP="00C4218B">
      <w:pPr>
        <w:pStyle w:val="Item"/>
        <w:spacing w:before="0"/>
        <w:ind w:left="0"/>
        <w:contextualSpacing/>
      </w:pPr>
    </w:p>
    <w:p w:rsidR="007A439C" w:rsidRDefault="007A439C" w:rsidP="00C4218B">
      <w:pPr>
        <w:pStyle w:val="Item"/>
        <w:spacing w:before="0"/>
        <w:ind w:left="0"/>
        <w:contextualSpacing/>
      </w:pPr>
      <w:r>
        <w:t xml:space="preserve">Item 107 provides that the </w:t>
      </w:r>
      <w:r w:rsidR="009D70F4">
        <w:rPr>
          <w:i/>
        </w:rPr>
        <w:t>Law Enforcement Integrity Commissioner Act 2006</w:t>
      </w:r>
      <w:r w:rsidR="009D70F4">
        <w:t xml:space="preserve">, as in force immediately before the commencement, </w:t>
      </w:r>
      <w:r>
        <w:t>shall continue</w:t>
      </w:r>
      <w:r w:rsidR="009D70F4">
        <w:t xml:space="preserve"> to apply on and after that commencement in relation to conduct engaged in before that commencement by the person covered by paragraph 10(2A)(</w:t>
      </w:r>
      <w:proofErr w:type="spellStart"/>
      <w:r w:rsidR="009D70F4">
        <w:t>aa</w:t>
      </w:r>
      <w:proofErr w:type="spellEnd"/>
      <w:r w:rsidR="009D70F4">
        <w:t>) of that Act.</w:t>
      </w:r>
    </w:p>
    <w:p w:rsidR="007A439C" w:rsidRDefault="007A439C" w:rsidP="007A439C">
      <w:pPr>
        <w:pStyle w:val="Item"/>
        <w:ind w:left="0"/>
        <w:contextualSpacing/>
      </w:pPr>
    </w:p>
    <w:p w:rsidR="009D70F4" w:rsidRPr="007A439C" w:rsidRDefault="009D70F4" w:rsidP="007A439C">
      <w:pPr>
        <w:pStyle w:val="Item"/>
        <w:ind w:left="0"/>
        <w:contextualSpacing/>
      </w:pPr>
      <w:r w:rsidRPr="007A439C">
        <w:rPr>
          <w:i/>
        </w:rPr>
        <w:t>Transitional rules</w:t>
      </w:r>
    </w:p>
    <w:p w:rsidR="007A439C" w:rsidRDefault="007A439C" w:rsidP="007A439C">
      <w:pPr>
        <w:pStyle w:val="Item"/>
        <w:ind w:left="0"/>
        <w:contextualSpacing/>
      </w:pPr>
    </w:p>
    <w:p w:rsidR="009E1D23" w:rsidRPr="009E1D23" w:rsidRDefault="007A439C" w:rsidP="00F652CA">
      <w:pPr>
        <w:pStyle w:val="Item"/>
        <w:ind w:left="0"/>
        <w:contextualSpacing/>
      </w:pPr>
      <w:r>
        <w:t xml:space="preserve">Item 108 provides authority for the </w:t>
      </w:r>
      <w:r w:rsidR="009D70F4">
        <w:t xml:space="preserve">Minister </w:t>
      </w:r>
      <w:r>
        <w:t xml:space="preserve">to make </w:t>
      </w:r>
      <w:r w:rsidR="009D70F4">
        <w:t xml:space="preserve">rules </w:t>
      </w:r>
      <w:r>
        <w:t xml:space="preserve">to provide for any </w:t>
      </w:r>
      <w:r w:rsidR="009D70F4">
        <w:t>matters of a transitional nature (including prescribing any saving or application provisions) arising out of the amendments and repeals made by Part 1 or 2 of this Schedule</w:t>
      </w:r>
      <w:r>
        <w:t xml:space="preserve"> 1</w:t>
      </w:r>
      <w:r w:rsidR="009D70F4">
        <w:t>.</w:t>
      </w:r>
      <w:r>
        <w:t xml:space="preserve"> Any such rule is a legislative instrument for the purposes of the </w:t>
      </w:r>
      <w:r>
        <w:rPr>
          <w:i/>
        </w:rPr>
        <w:t>Legislative Instrument Act 2003</w:t>
      </w:r>
      <w:r>
        <w:t>.</w:t>
      </w:r>
    </w:p>
    <w:sectPr w:rsidR="009E1D23" w:rsidRPr="009E1D23" w:rsidSect="002D48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E7" w:rsidRDefault="00D219E7">
      <w:r>
        <w:separator/>
      </w:r>
    </w:p>
  </w:endnote>
  <w:endnote w:type="continuationSeparator" w:id="0">
    <w:p w:rsidR="00D219E7" w:rsidRDefault="00D2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06326"/>
      <w:docPartObj>
        <w:docPartGallery w:val="Page Numbers (Bottom of Page)"/>
        <w:docPartUnique/>
      </w:docPartObj>
    </w:sdtPr>
    <w:sdtEndPr>
      <w:rPr>
        <w:noProof/>
      </w:rPr>
    </w:sdtEndPr>
    <w:sdtContent>
      <w:p w:rsidR="00BB0993" w:rsidRDefault="00BB0993">
        <w:pPr>
          <w:pStyle w:val="Footer"/>
          <w:jc w:val="center"/>
        </w:pPr>
        <w:r>
          <w:fldChar w:fldCharType="begin"/>
        </w:r>
        <w:r>
          <w:instrText xml:space="preserve"> PAGE   \* MERGEFORMAT </w:instrText>
        </w:r>
        <w:r>
          <w:fldChar w:fldCharType="separate"/>
        </w:r>
        <w:r w:rsidR="007C0595">
          <w:rPr>
            <w:noProof/>
          </w:rPr>
          <w:t>1</w:t>
        </w:r>
        <w:r>
          <w:rPr>
            <w:noProof/>
          </w:rPr>
          <w:fldChar w:fldCharType="end"/>
        </w:r>
      </w:p>
    </w:sdtContent>
  </w:sdt>
  <w:p w:rsidR="00BB0993" w:rsidRDefault="00BB0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E7" w:rsidRDefault="00D219E7">
      <w:r>
        <w:separator/>
      </w:r>
    </w:p>
  </w:footnote>
  <w:footnote w:type="continuationSeparator" w:id="0">
    <w:p w:rsidR="00D219E7" w:rsidRDefault="00D21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11F"/>
    <w:multiLevelType w:val="hybridMultilevel"/>
    <w:tmpl w:val="39A03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D3F24E2"/>
    <w:multiLevelType w:val="hybridMultilevel"/>
    <w:tmpl w:val="3FF04A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1DBE3F8D"/>
    <w:multiLevelType w:val="hybridMultilevel"/>
    <w:tmpl w:val="659477A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
    <w:nsid w:val="43CE73BC"/>
    <w:multiLevelType w:val="hybridMultilevel"/>
    <w:tmpl w:val="BA7CC8A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442F7797"/>
    <w:multiLevelType w:val="hybridMultilevel"/>
    <w:tmpl w:val="397E0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D03C89"/>
    <w:multiLevelType w:val="singleLevel"/>
    <w:tmpl w:val="A1920412"/>
    <w:lvl w:ilvl="0">
      <w:start w:val="1"/>
      <w:numFmt w:val="bullet"/>
      <w:pStyle w:val="Bullet1"/>
      <w:lvlText w:val=""/>
      <w:lvlJc w:val="left"/>
      <w:pPr>
        <w:tabs>
          <w:tab w:val="num" w:pos="425"/>
        </w:tabs>
        <w:ind w:left="425" w:hanging="425"/>
      </w:pPr>
      <w:rPr>
        <w:rFonts w:ascii="Symbol" w:hAnsi="Symbol" w:hint="default"/>
      </w:rPr>
    </w:lvl>
  </w:abstractNum>
  <w:abstractNum w:abstractNumId="6">
    <w:nsid w:val="6D41352A"/>
    <w:multiLevelType w:val="hybridMultilevel"/>
    <w:tmpl w:val="84F8A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F193A8B"/>
    <w:multiLevelType w:val="hybridMultilevel"/>
    <w:tmpl w:val="4844E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24"/>
    <w:rsid w:val="00005839"/>
    <w:rsid w:val="00010024"/>
    <w:rsid w:val="00024BE4"/>
    <w:rsid w:val="000342C8"/>
    <w:rsid w:val="00042FB1"/>
    <w:rsid w:val="00051655"/>
    <w:rsid w:val="00057A6B"/>
    <w:rsid w:val="0006151C"/>
    <w:rsid w:val="0007189F"/>
    <w:rsid w:val="000923EA"/>
    <w:rsid w:val="000B6AD9"/>
    <w:rsid w:val="000C02F6"/>
    <w:rsid w:val="000D55D8"/>
    <w:rsid w:val="000F1571"/>
    <w:rsid w:val="000F59DD"/>
    <w:rsid w:val="00176E5A"/>
    <w:rsid w:val="001A6793"/>
    <w:rsid w:val="001D0209"/>
    <w:rsid w:val="001D6372"/>
    <w:rsid w:val="0020781B"/>
    <w:rsid w:val="00216DD5"/>
    <w:rsid w:val="00235201"/>
    <w:rsid w:val="00271CB7"/>
    <w:rsid w:val="002745AC"/>
    <w:rsid w:val="00275DE7"/>
    <w:rsid w:val="002767DE"/>
    <w:rsid w:val="00286ACB"/>
    <w:rsid w:val="002A5E6C"/>
    <w:rsid w:val="002A64CD"/>
    <w:rsid w:val="002C1736"/>
    <w:rsid w:val="002D484A"/>
    <w:rsid w:val="002D61F7"/>
    <w:rsid w:val="00323DF5"/>
    <w:rsid w:val="003556BF"/>
    <w:rsid w:val="00360669"/>
    <w:rsid w:val="00374AAD"/>
    <w:rsid w:val="00390A52"/>
    <w:rsid w:val="003A0F8E"/>
    <w:rsid w:val="003C0F4E"/>
    <w:rsid w:val="003C5441"/>
    <w:rsid w:val="004179C8"/>
    <w:rsid w:val="0042729F"/>
    <w:rsid w:val="0042789A"/>
    <w:rsid w:val="004356FC"/>
    <w:rsid w:val="0044583E"/>
    <w:rsid w:val="00472979"/>
    <w:rsid w:val="004A1B60"/>
    <w:rsid w:val="004A1FAE"/>
    <w:rsid w:val="004A2CFA"/>
    <w:rsid w:val="004B7F56"/>
    <w:rsid w:val="004E2FC1"/>
    <w:rsid w:val="004F3178"/>
    <w:rsid w:val="00512301"/>
    <w:rsid w:val="00533025"/>
    <w:rsid w:val="005437E4"/>
    <w:rsid w:val="00544CAD"/>
    <w:rsid w:val="00560DE8"/>
    <w:rsid w:val="005715B8"/>
    <w:rsid w:val="005A3B50"/>
    <w:rsid w:val="005B65CD"/>
    <w:rsid w:val="005E577E"/>
    <w:rsid w:val="005F26A1"/>
    <w:rsid w:val="00606081"/>
    <w:rsid w:val="00632076"/>
    <w:rsid w:val="00635E98"/>
    <w:rsid w:val="00665276"/>
    <w:rsid w:val="00666ECB"/>
    <w:rsid w:val="00680F4C"/>
    <w:rsid w:val="006B4A11"/>
    <w:rsid w:val="006C62FA"/>
    <w:rsid w:val="00742472"/>
    <w:rsid w:val="007660CC"/>
    <w:rsid w:val="007A3609"/>
    <w:rsid w:val="007A439C"/>
    <w:rsid w:val="007A4713"/>
    <w:rsid w:val="007C0595"/>
    <w:rsid w:val="007C16FE"/>
    <w:rsid w:val="007C583F"/>
    <w:rsid w:val="007D4900"/>
    <w:rsid w:val="007E1B92"/>
    <w:rsid w:val="00807433"/>
    <w:rsid w:val="00816DB2"/>
    <w:rsid w:val="00825F14"/>
    <w:rsid w:val="008361B0"/>
    <w:rsid w:val="008A1A49"/>
    <w:rsid w:val="008D2726"/>
    <w:rsid w:val="008E0F33"/>
    <w:rsid w:val="008E6BEC"/>
    <w:rsid w:val="00950C27"/>
    <w:rsid w:val="00951643"/>
    <w:rsid w:val="00996535"/>
    <w:rsid w:val="009A71CD"/>
    <w:rsid w:val="009B4E00"/>
    <w:rsid w:val="009D70F4"/>
    <w:rsid w:val="009E1D23"/>
    <w:rsid w:val="00A11399"/>
    <w:rsid w:val="00A20AC2"/>
    <w:rsid w:val="00A42C3C"/>
    <w:rsid w:val="00A72AF5"/>
    <w:rsid w:val="00A84FA6"/>
    <w:rsid w:val="00AB563D"/>
    <w:rsid w:val="00AB56EC"/>
    <w:rsid w:val="00AC0ADE"/>
    <w:rsid w:val="00AD08AC"/>
    <w:rsid w:val="00AE696D"/>
    <w:rsid w:val="00B00F98"/>
    <w:rsid w:val="00B04E4E"/>
    <w:rsid w:val="00B851A8"/>
    <w:rsid w:val="00B9423C"/>
    <w:rsid w:val="00BB0993"/>
    <w:rsid w:val="00BD5101"/>
    <w:rsid w:val="00C02BC2"/>
    <w:rsid w:val="00C05124"/>
    <w:rsid w:val="00C11407"/>
    <w:rsid w:val="00C1616B"/>
    <w:rsid w:val="00C26190"/>
    <w:rsid w:val="00C40DCB"/>
    <w:rsid w:val="00C4218B"/>
    <w:rsid w:val="00C61063"/>
    <w:rsid w:val="00C91A9E"/>
    <w:rsid w:val="00CA243B"/>
    <w:rsid w:val="00CA3443"/>
    <w:rsid w:val="00CB43F7"/>
    <w:rsid w:val="00CC05C2"/>
    <w:rsid w:val="00D219E7"/>
    <w:rsid w:val="00D35873"/>
    <w:rsid w:val="00D45DCF"/>
    <w:rsid w:val="00D50669"/>
    <w:rsid w:val="00D651EE"/>
    <w:rsid w:val="00D6592A"/>
    <w:rsid w:val="00D75526"/>
    <w:rsid w:val="00D91D4B"/>
    <w:rsid w:val="00DA29A9"/>
    <w:rsid w:val="00DE2B51"/>
    <w:rsid w:val="00DE4BE7"/>
    <w:rsid w:val="00DF2803"/>
    <w:rsid w:val="00E13AC6"/>
    <w:rsid w:val="00E30A10"/>
    <w:rsid w:val="00E33372"/>
    <w:rsid w:val="00E50BB1"/>
    <w:rsid w:val="00E52629"/>
    <w:rsid w:val="00E67324"/>
    <w:rsid w:val="00F01AB0"/>
    <w:rsid w:val="00F0667D"/>
    <w:rsid w:val="00F17336"/>
    <w:rsid w:val="00F564F3"/>
    <w:rsid w:val="00F652CA"/>
    <w:rsid w:val="00F740BC"/>
    <w:rsid w:val="00F9639C"/>
    <w:rsid w:val="00F9652A"/>
    <w:rsid w:val="00FB2ED2"/>
    <w:rsid w:val="00FD3036"/>
    <w:rsid w:val="00FE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2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C05124"/>
    <w:pPr>
      <w:keepNext/>
      <w:spacing w:before="240" w:after="60"/>
      <w:outlineLvl w:val="0"/>
    </w:pPr>
    <w:rPr>
      <w:rFonts w:eastAsia="Batang"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124"/>
    <w:rPr>
      <w:rFonts w:ascii="Times New Roman" w:eastAsia="Batang" w:hAnsi="Times New Roman" w:cs="Arial"/>
      <w:b/>
      <w:bCs/>
      <w:sz w:val="28"/>
      <w:szCs w:val="32"/>
      <w:lang w:eastAsia="en-AU"/>
    </w:rPr>
  </w:style>
  <w:style w:type="paragraph" w:customStyle="1" w:styleId="ActHead6">
    <w:name w:val="ActHead 6"/>
    <w:aliases w:val="as"/>
    <w:basedOn w:val="Normal"/>
    <w:next w:val="ActHead7"/>
    <w:qFormat/>
    <w:rsid w:val="00C05124"/>
    <w:pPr>
      <w:keepNext/>
      <w:keepLines/>
      <w:ind w:left="1134" w:hanging="1134"/>
      <w:outlineLvl w:val="5"/>
    </w:pPr>
    <w:rPr>
      <w:rFonts w:ascii="Arial" w:hAnsi="Arial"/>
      <w:b/>
      <w:kern w:val="28"/>
      <w:sz w:val="32"/>
      <w:szCs w:val="20"/>
    </w:rPr>
  </w:style>
  <w:style w:type="paragraph" w:customStyle="1" w:styleId="ActHead7">
    <w:name w:val="ActHead 7"/>
    <w:aliases w:val="ap"/>
    <w:basedOn w:val="Normal"/>
    <w:next w:val="Normal"/>
    <w:qFormat/>
    <w:rsid w:val="00C05124"/>
    <w:pPr>
      <w:keepNext/>
      <w:keepLines/>
      <w:spacing w:before="280"/>
      <w:ind w:left="1134" w:hanging="1134"/>
      <w:outlineLvl w:val="6"/>
    </w:pPr>
    <w:rPr>
      <w:rFonts w:ascii="Arial" w:hAnsi="Arial"/>
      <w:b/>
      <w:kern w:val="28"/>
      <w:sz w:val="28"/>
      <w:szCs w:val="20"/>
    </w:rPr>
  </w:style>
  <w:style w:type="paragraph" w:customStyle="1" w:styleId="ActHead8">
    <w:name w:val="ActHead 8"/>
    <w:aliases w:val="ad"/>
    <w:basedOn w:val="Normal"/>
    <w:next w:val="Normal"/>
    <w:uiPriority w:val="99"/>
    <w:rsid w:val="00C05124"/>
    <w:pPr>
      <w:keepNext/>
      <w:keepLines/>
      <w:spacing w:before="240"/>
      <w:ind w:left="1134" w:hanging="1134"/>
      <w:outlineLvl w:val="7"/>
    </w:pPr>
    <w:rPr>
      <w:rFonts w:ascii="Arial" w:hAnsi="Arial"/>
      <w:b/>
      <w:kern w:val="28"/>
      <w:sz w:val="26"/>
      <w:szCs w:val="20"/>
    </w:rPr>
  </w:style>
  <w:style w:type="character" w:customStyle="1" w:styleId="CharAmPartNo">
    <w:name w:val="CharAmPartNo"/>
    <w:qFormat/>
    <w:rsid w:val="00C05124"/>
    <w:rPr>
      <w:rFonts w:cs="Times New Roman"/>
    </w:rPr>
  </w:style>
  <w:style w:type="character" w:customStyle="1" w:styleId="CharAmSchNo">
    <w:name w:val="CharAmSchNo"/>
    <w:qFormat/>
    <w:rsid w:val="00C05124"/>
    <w:rPr>
      <w:rFonts w:cs="Times New Roman"/>
    </w:rPr>
  </w:style>
  <w:style w:type="character" w:customStyle="1" w:styleId="CharAmSchText">
    <w:name w:val="CharAmSchText"/>
    <w:qFormat/>
    <w:rsid w:val="00C05124"/>
    <w:rPr>
      <w:rFonts w:cs="Times New Roman"/>
    </w:rPr>
  </w:style>
  <w:style w:type="paragraph" w:styleId="BalloonText">
    <w:name w:val="Balloon Text"/>
    <w:basedOn w:val="Normal"/>
    <w:link w:val="BalloonTextChar"/>
    <w:uiPriority w:val="99"/>
    <w:rsid w:val="00C05124"/>
    <w:rPr>
      <w:rFonts w:ascii="Tahoma" w:hAnsi="Tahoma" w:cs="Tahoma"/>
      <w:sz w:val="16"/>
      <w:szCs w:val="16"/>
    </w:rPr>
  </w:style>
  <w:style w:type="character" w:customStyle="1" w:styleId="BalloonTextChar">
    <w:name w:val="Balloon Text Char"/>
    <w:basedOn w:val="DefaultParagraphFont"/>
    <w:link w:val="BalloonText"/>
    <w:uiPriority w:val="99"/>
    <w:rsid w:val="00C05124"/>
    <w:rPr>
      <w:rFonts w:ascii="Tahoma" w:eastAsia="Times New Roman" w:hAnsi="Tahoma" w:cs="Tahoma"/>
      <w:sz w:val="16"/>
      <w:szCs w:val="16"/>
      <w:lang w:eastAsia="en-AU"/>
    </w:rPr>
  </w:style>
  <w:style w:type="paragraph" w:customStyle="1" w:styleId="ItemHead">
    <w:name w:val="ItemHead"/>
    <w:aliases w:val="ih"/>
    <w:basedOn w:val="Normal"/>
    <w:next w:val="Normal"/>
    <w:link w:val="ItemHeadChar"/>
    <w:rsid w:val="00C05124"/>
    <w:pPr>
      <w:keepLines/>
      <w:spacing w:before="220"/>
      <w:ind w:left="709" w:hanging="709"/>
    </w:pPr>
    <w:rPr>
      <w:rFonts w:ascii="Arial" w:hAnsi="Arial"/>
      <w:b/>
      <w:kern w:val="28"/>
      <w:szCs w:val="20"/>
    </w:rPr>
  </w:style>
  <w:style w:type="paragraph" w:customStyle="1" w:styleId="Subitem">
    <w:name w:val="Subitem"/>
    <w:aliases w:val="iss"/>
    <w:basedOn w:val="Normal"/>
    <w:rsid w:val="00C05124"/>
    <w:pPr>
      <w:spacing w:before="180"/>
      <w:ind w:left="709" w:hanging="709"/>
    </w:pPr>
    <w:rPr>
      <w:sz w:val="22"/>
      <w:szCs w:val="20"/>
    </w:rPr>
  </w:style>
  <w:style w:type="paragraph" w:styleId="ListParagraph">
    <w:name w:val="List Paragraph"/>
    <w:basedOn w:val="Normal"/>
    <w:uiPriority w:val="34"/>
    <w:qFormat/>
    <w:rsid w:val="00C05124"/>
    <w:pPr>
      <w:ind w:left="720"/>
      <w:contextualSpacing/>
    </w:pPr>
  </w:style>
  <w:style w:type="character" w:customStyle="1" w:styleId="CharAmPartText">
    <w:name w:val="CharAmPartText"/>
    <w:qFormat/>
    <w:rsid w:val="00C05124"/>
    <w:rPr>
      <w:rFonts w:cs="Times New Roman"/>
    </w:rPr>
  </w:style>
  <w:style w:type="paragraph" w:customStyle="1" w:styleId="paragraph">
    <w:name w:val="paragraph"/>
    <w:aliases w:val="a"/>
    <w:basedOn w:val="Normal"/>
    <w:link w:val="paragraphChar"/>
    <w:rsid w:val="00C05124"/>
    <w:pPr>
      <w:tabs>
        <w:tab w:val="right" w:pos="1531"/>
      </w:tabs>
      <w:spacing w:before="40"/>
      <w:ind w:left="1644" w:hanging="1644"/>
    </w:pPr>
    <w:rPr>
      <w:sz w:val="22"/>
      <w:szCs w:val="20"/>
    </w:rPr>
  </w:style>
  <w:style w:type="paragraph" w:styleId="Footer">
    <w:name w:val="footer"/>
    <w:basedOn w:val="Normal"/>
    <w:link w:val="FooterChar"/>
    <w:unhideWhenUsed/>
    <w:rsid w:val="00C1616B"/>
    <w:pPr>
      <w:tabs>
        <w:tab w:val="center" w:pos="4513"/>
        <w:tab w:val="right" w:pos="9026"/>
      </w:tabs>
    </w:pPr>
  </w:style>
  <w:style w:type="character" w:customStyle="1" w:styleId="FooterChar">
    <w:name w:val="Footer Char"/>
    <w:basedOn w:val="DefaultParagraphFont"/>
    <w:link w:val="Footer"/>
    <w:rsid w:val="00C1616B"/>
    <w:rPr>
      <w:rFonts w:ascii="Times New Roman" w:eastAsia="Times New Roman" w:hAnsi="Times New Roman" w:cs="Times New Roman"/>
      <w:sz w:val="24"/>
      <w:szCs w:val="24"/>
      <w:lang w:eastAsia="en-AU"/>
    </w:rPr>
  </w:style>
  <w:style w:type="paragraph" w:customStyle="1" w:styleId="ActHead9">
    <w:name w:val="ActHead 9"/>
    <w:aliases w:val="aat"/>
    <w:basedOn w:val="Normal"/>
    <w:next w:val="Normal"/>
    <w:qFormat/>
    <w:rsid w:val="008A1A49"/>
    <w:pPr>
      <w:keepNext/>
      <w:keepLines/>
      <w:spacing w:before="280"/>
      <w:ind w:left="1134" w:hanging="1134"/>
      <w:outlineLvl w:val="8"/>
    </w:pPr>
    <w:rPr>
      <w:b/>
      <w:i/>
      <w:kern w:val="28"/>
      <w:sz w:val="28"/>
      <w:szCs w:val="20"/>
    </w:rPr>
  </w:style>
  <w:style w:type="paragraph" w:customStyle="1" w:styleId="Item">
    <w:name w:val="Item"/>
    <w:aliases w:val="i"/>
    <w:basedOn w:val="Normal"/>
    <w:next w:val="ItemHead"/>
    <w:rsid w:val="009D70F4"/>
    <w:pPr>
      <w:keepLines/>
      <w:spacing w:before="80"/>
      <w:ind w:left="709"/>
    </w:pPr>
    <w:rPr>
      <w:sz w:val="22"/>
      <w:szCs w:val="20"/>
    </w:rPr>
  </w:style>
  <w:style w:type="character" w:customStyle="1" w:styleId="ItemHeadChar">
    <w:name w:val="ItemHead Char"/>
    <w:aliases w:val="ih Char"/>
    <w:link w:val="ItemHead"/>
    <w:locked/>
    <w:rsid w:val="009D70F4"/>
    <w:rPr>
      <w:rFonts w:ascii="Arial" w:eastAsia="Times New Roman" w:hAnsi="Arial" w:cs="Times New Roman"/>
      <w:b/>
      <w:kern w:val="28"/>
      <w:sz w:val="24"/>
      <w:szCs w:val="20"/>
      <w:lang w:eastAsia="en-AU"/>
    </w:rPr>
  </w:style>
  <w:style w:type="character" w:customStyle="1" w:styleId="paragraphChar">
    <w:name w:val="paragraph Char"/>
    <w:aliases w:val="a Char"/>
    <w:link w:val="paragraph"/>
    <w:locked/>
    <w:rsid w:val="009D70F4"/>
    <w:rPr>
      <w:rFonts w:ascii="Times New Roman" w:eastAsia="Times New Roman" w:hAnsi="Times New Roman" w:cs="Times New Roman"/>
      <w:szCs w:val="20"/>
      <w:lang w:eastAsia="en-AU"/>
    </w:rPr>
  </w:style>
  <w:style w:type="paragraph" w:customStyle="1" w:styleId="SubitemHead">
    <w:name w:val="SubitemHead"/>
    <w:aliases w:val="issh"/>
    <w:basedOn w:val="Normal"/>
    <w:rsid w:val="009D70F4"/>
    <w:pPr>
      <w:keepNext/>
      <w:keepLines/>
      <w:spacing w:before="220"/>
      <w:ind w:left="709"/>
    </w:pPr>
    <w:rPr>
      <w:rFonts w:ascii="Arial" w:hAnsi="Arial"/>
      <w:i/>
      <w:kern w:val="28"/>
      <w:sz w:val="22"/>
      <w:szCs w:val="20"/>
    </w:rPr>
  </w:style>
  <w:style w:type="character" w:styleId="CommentReference">
    <w:name w:val="annotation reference"/>
    <w:basedOn w:val="DefaultParagraphFont"/>
    <w:uiPriority w:val="99"/>
    <w:semiHidden/>
    <w:unhideWhenUsed/>
    <w:rsid w:val="00D45DCF"/>
    <w:rPr>
      <w:sz w:val="16"/>
      <w:szCs w:val="16"/>
    </w:rPr>
  </w:style>
  <w:style w:type="paragraph" w:styleId="CommentText">
    <w:name w:val="annotation text"/>
    <w:basedOn w:val="Normal"/>
    <w:link w:val="CommentTextChar"/>
    <w:uiPriority w:val="99"/>
    <w:semiHidden/>
    <w:unhideWhenUsed/>
    <w:rsid w:val="00D45DCF"/>
    <w:rPr>
      <w:sz w:val="20"/>
      <w:szCs w:val="20"/>
    </w:rPr>
  </w:style>
  <w:style w:type="character" w:customStyle="1" w:styleId="CommentTextChar">
    <w:name w:val="Comment Text Char"/>
    <w:basedOn w:val="DefaultParagraphFont"/>
    <w:link w:val="CommentText"/>
    <w:uiPriority w:val="99"/>
    <w:semiHidden/>
    <w:rsid w:val="00D45DC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45DCF"/>
    <w:rPr>
      <w:b/>
      <w:bCs/>
    </w:rPr>
  </w:style>
  <w:style w:type="character" w:customStyle="1" w:styleId="CommentSubjectChar">
    <w:name w:val="Comment Subject Char"/>
    <w:basedOn w:val="CommentTextChar"/>
    <w:link w:val="CommentSubject"/>
    <w:uiPriority w:val="99"/>
    <w:semiHidden/>
    <w:rsid w:val="00D45DCF"/>
    <w:rPr>
      <w:rFonts w:ascii="Times New Roman" w:eastAsia="Times New Roman" w:hAnsi="Times New Roman" w:cs="Times New Roman"/>
      <w:b/>
      <w:bCs/>
      <w:sz w:val="20"/>
      <w:szCs w:val="20"/>
      <w:lang w:eastAsia="en-AU"/>
    </w:rPr>
  </w:style>
  <w:style w:type="paragraph" w:customStyle="1" w:styleId="Bullet1">
    <w:name w:val="Bullet 1"/>
    <w:basedOn w:val="Normal"/>
    <w:rsid w:val="00BB0993"/>
    <w:pPr>
      <w:numPr>
        <w:numId w:val="7"/>
      </w:numPr>
      <w:spacing w:before="120" w:line="360" w:lineRule="auto"/>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2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C05124"/>
    <w:pPr>
      <w:keepNext/>
      <w:spacing w:before="240" w:after="60"/>
      <w:outlineLvl w:val="0"/>
    </w:pPr>
    <w:rPr>
      <w:rFonts w:eastAsia="Batang"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124"/>
    <w:rPr>
      <w:rFonts w:ascii="Times New Roman" w:eastAsia="Batang" w:hAnsi="Times New Roman" w:cs="Arial"/>
      <w:b/>
      <w:bCs/>
      <w:sz w:val="28"/>
      <w:szCs w:val="32"/>
      <w:lang w:eastAsia="en-AU"/>
    </w:rPr>
  </w:style>
  <w:style w:type="paragraph" w:customStyle="1" w:styleId="ActHead6">
    <w:name w:val="ActHead 6"/>
    <w:aliases w:val="as"/>
    <w:basedOn w:val="Normal"/>
    <w:next w:val="ActHead7"/>
    <w:qFormat/>
    <w:rsid w:val="00C05124"/>
    <w:pPr>
      <w:keepNext/>
      <w:keepLines/>
      <w:ind w:left="1134" w:hanging="1134"/>
      <w:outlineLvl w:val="5"/>
    </w:pPr>
    <w:rPr>
      <w:rFonts w:ascii="Arial" w:hAnsi="Arial"/>
      <w:b/>
      <w:kern w:val="28"/>
      <w:sz w:val="32"/>
      <w:szCs w:val="20"/>
    </w:rPr>
  </w:style>
  <w:style w:type="paragraph" w:customStyle="1" w:styleId="ActHead7">
    <w:name w:val="ActHead 7"/>
    <w:aliases w:val="ap"/>
    <w:basedOn w:val="Normal"/>
    <w:next w:val="Normal"/>
    <w:qFormat/>
    <w:rsid w:val="00C05124"/>
    <w:pPr>
      <w:keepNext/>
      <w:keepLines/>
      <w:spacing w:before="280"/>
      <w:ind w:left="1134" w:hanging="1134"/>
      <w:outlineLvl w:val="6"/>
    </w:pPr>
    <w:rPr>
      <w:rFonts w:ascii="Arial" w:hAnsi="Arial"/>
      <w:b/>
      <w:kern w:val="28"/>
      <w:sz w:val="28"/>
      <w:szCs w:val="20"/>
    </w:rPr>
  </w:style>
  <w:style w:type="paragraph" w:customStyle="1" w:styleId="ActHead8">
    <w:name w:val="ActHead 8"/>
    <w:aliases w:val="ad"/>
    <w:basedOn w:val="Normal"/>
    <w:next w:val="Normal"/>
    <w:uiPriority w:val="99"/>
    <w:rsid w:val="00C05124"/>
    <w:pPr>
      <w:keepNext/>
      <w:keepLines/>
      <w:spacing w:before="240"/>
      <w:ind w:left="1134" w:hanging="1134"/>
      <w:outlineLvl w:val="7"/>
    </w:pPr>
    <w:rPr>
      <w:rFonts w:ascii="Arial" w:hAnsi="Arial"/>
      <w:b/>
      <w:kern w:val="28"/>
      <w:sz w:val="26"/>
      <w:szCs w:val="20"/>
    </w:rPr>
  </w:style>
  <w:style w:type="character" w:customStyle="1" w:styleId="CharAmPartNo">
    <w:name w:val="CharAmPartNo"/>
    <w:qFormat/>
    <w:rsid w:val="00C05124"/>
    <w:rPr>
      <w:rFonts w:cs="Times New Roman"/>
    </w:rPr>
  </w:style>
  <w:style w:type="character" w:customStyle="1" w:styleId="CharAmSchNo">
    <w:name w:val="CharAmSchNo"/>
    <w:qFormat/>
    <w:rsid w:val="00C05124"/>
    <w:rPr>
      <w:rFonts w:cs="Times New Roman"/>
    </w:rPr>
  </w:style>
  <w:style w:type="character" w:customStyle="1" w:styleId="CharAmSchText">
    <w:name w:val="CharAmSchText"/>
    <w:qFormat/>
    <w:rsid w:val="00C05124"/>
    <w:rPr>
      <w:rFonts w:cs="Times New Roman"/>
    </w:rPr>
  </w:style>
  <w:style w:type="paragraph" w:styleId="BalloonText">
    <w:name w:val="Balloon Text"/>
    <w:basedOn w:val="Normal"/>
    <w:link w:val="BalloonTextChar"/>
    <w:uiPriority w:val="99"/>
    <w:rsid w:val="00C05124"/>
    <w:rPr>
      <w:rFonts w:ascii="Tahoma" w:hAnsi="Tahoma" w:cs="Tahoma"/>
      <w:sz w:val="16"/>
      <w:szCs w:val="16"/>
    </w:rPr>
  </w:style>
  <w:style w:type="character" w:customStyle="1" w:styleId="BalloonTextChar">
    <w:name w:val="Balloon Text Char"/>
    <w:basedOn w:val="DefaultParagraphFont"/>
    <w:link w:val="BalloonText"/>
    <w:uiPriority w:val="99"/>
    <w:rsid w:val="00C05124"/>
    <w:rPr>
      <w:rFonts w:ascii="Tahoma" w:eastAsia="Times New Roman" w:hAnsi="Tahoma" w:cs="Tahoma"/>
      <w:sz w:val="16"/>
      <w:szCs w:val="16"/>
      <w:lang w:eastAsia="en-AU"/>
    </w:rPr>
  </w:style>
  <w:style w:type="paragraph" w:customStyle="1" w:styleId="ItemHead">
    <w:name w:val="ItemHead"/>
    <w:aliases w:val="ih"/>
    <w:basedOn w:val="Normal"/>
    <w:next w:val="Normal"/>
    <w:link w:val="ItemHeadChar"/>
    <w:rsid w:val="00C05124"/>
    <w:pPr>
      <w:keepLines/>
      <w:spacing w:before="220"/>
      <w:ind w:left="709" w:hanging="709"/>
    </w:pPr>
    <w:rPr>
      <w:rFonts w:ascii="Arial" w:hAnsi="Arial"/>
      <w:b/>
      <w:kern w:val="28"/>
      <w:szCs w:val="20"/>
    </w:rPr>
  </w:style>
  <w:style w:type="paragraph" w:customStyle="1" w:styleId="Subitem">
    <w:name w:val="Subitem"/>
    <w:aliases w:val="iss"/>
    <w:basedOn w:val="Normal"/>
    <w:rsid w:val="00C05124"/>
    <w:pPr>
      <w:spacing w:before="180"/>
      <w:ind w:left="709" w:hanging="709"/>
    </w:pPr>
    <w:rPr>
      <w:sz w:val="22"/>
      <w:szCs w:val="20"/>
    </w:rPr>
  </w:style>
  <w:style w:type="paragraph" w:styleId="ListParagraph">
    <w:name w:val="List Paragraph"/>
    <w:basedOn w:val="Normal"/>
    <w:uiPriority w:val="34"/>
    <w:qFormat/>
    <w:rsid w:val="00C05124"/>
    <w:pPr>
      <w:ind w:left="720"/>
      <w:contextualSpacing/>
    </w:pPr>
  </w:style>
  <w:style w:type="character" w:customStyle="1" w:styleId="CharAmPartText">
    <w:name w:val="CharAmPartText"/>
    <w:qFormat/>
    <w:rsid w:val="00C05124"/>
    <w:rPr>
      <w:rFonts w:cs="Times New Roman"/>
    </w:rPr>
  </w:style>
  <w:style w:type="paragraph" w:customStyle="1" w:styleId="paragraph">
    <w:name w:val="paragraph"/>
    <w:aliases w:val="a"/>
    <w:basedOn w:val="Normal"/>
    <w:link w:val="paragraphChar"/>
    <w:rsid w:val="00C05124"/>
    <w:pPr>
      <w:tabs>
        <w:tab w:val="right" w:pos="1531"/>
      </w:tabs>
      <w:spacing w:before="40"/>
      <w:ind w:left="1644" w:hanging="1644"/>
    </w:pPr>
    <w:rPr>
      <w:sz w:val="22"/>
      <w:szCs w:val="20"/>
    </w:rPr>
  </w:style>
  <w:style w:type="paragraph" w:styleId="Footer">
    <w:name w:val="footer"/>
    <w:basedOn w:val="Normal"/>
    <w:link w:val="FooterChar"/>
    <w:unhideWhenUsed/>
    <w:rsid w:val="00C1616B"/>
    <w:pPr>
      <w:tabs>
        <w:tab w:val="center" w:pos="4513"/>
        <w:tab w:val="right" w:pos="9026"/>
      </w:tabs>
    </w:pPr>
  </w:style>
  <w:style w:type="character" w:customStyle="1" w:styleId="FooterChar">
    <w:name w:val="Footer Char"/>
    <w:basedOn w:val="DefaultParagraphFont"/>
    <w:link w:val="Footer"/>
    <w:rsid w:val="00C1616B"/>
    <w:rPr>
      <w:rFonts w:ascii="Times New Roman" w:eastAsia="Times New Roman" w:hAnsi="Times New Roman" w:cs="Times New Roman"/>
      <w:sz w:val="24"/>
      <w:szCs w:val="24"/>
      <w:lang w:eastAsia="en-AU"/>
    </w:rPr>
  </w:style>
  <w:style w:type="paragraph" w:customStyle="1" w:styleId="ActHead9">
    <w:name w:val="ActHead 9"/>
    <w:aliases w:val="aat"/>
    <w:basedOn w:val="Normal"/>
    <w:next w:val="Normal"/>
    <w:qFormat/>
    <w:rsid w:val="008A1A49"/>
    <w:pPr>
      <w:keepNext/>
      <w:keepLines/>
      <w:spacing w:before="280"/>
      <w:ind w:left="1134" w:hanging="1134"/>
      <w:outlineLvl w:val="8"/>
    </w:pPr>
    <w:rPr>
      <w:b/>
      <w:i/>
      <w:kern w:val="28"/>
      <w:sz w:val="28"/>
      <w:szCs w:val="20"/>
    </w:rPr>
  </w:style>
  <w:style w:type="paragraph" w:customStyle="1" w:styleId="Item">
    <w:name w:val="Item"/>
    <w:aliases w:val="i"/>
    <w:basedOn w:val="Normal"/>
    <w:next w:val="ItemHead"/>
    <w:rsid w:val="009D70F4"/>
    <w:pPr>
      <w:keepLines/>
      <w:spacing w:before="80"/>
      <w:ind w:left="709"/>
    </w:pPr>
    <w:rPr>
      <w:sz w:val="22"/>
      <w:szCs w:val="20"/>
    </w:rPr>
  </w:style>
  <w:style w:type="character" w:customStyle="1" w:styleId="ItemHeadChar">
    <w:name w:val="ItemHead Char"/>
    <w:aliases w:val="ih Char"/>
    <w:link w:val="ItemHead"/>
    <w:locked/>
    <w:rsid w:val="009D70F4"/>
    <w:rPr>
      <w:rFonts w:ascii="Arial" w:eastAsia="Times New Roman" w:hAnsi="Arial" w:cs="Times New Roman"/>
      <w:b/>
      <w:kern w:val="28"/>
      <w:sz w:val="24"/>
      <w:szCs w:val="20"/>
      <w:lang w:eastAsia="en-AU"/>
    </w:rPr>
  </w:style>
  <w:style w:type="character" w:customStyle="1" w:styleId="paragraphChar">
    <w:name w:val="paragraph Char"/>
    <w:aliases w:val="a Char"/>
    <w:link w:val="paragraph"/>
    <w:locked/>
    <w:rsid w:val="009D70F4"/>
    <w:rPr>
      <w:rFonts w:ascii="Times New Roman" w:eastAsia="Times New Roman" w:hAnsi="Times New Roman" w:cs="Times New Roman"/>
      <w:szCs w:val="20"/>
      <w:lang w:eastAsia="en-AU"/>
    </w:rPr>
  </w:style>
  <w:style w:type="paragraph" w:customStyle="1" w:styleId="SubitemHead">
    <w:name w:val="SubitemHead"/>
    <w:aliases w:val="issh"/>
    <w:basedOn w:val="Normal"/>
    <w:rsid w:val="009D70F4"/>
    <w:pPr>
      <w:keepNext/>
      <w:keepLines/>
      <w:spacing w:before="220"/>
      <w:ind w:left="709"/>
    </w:pPr>
    <w:rPr>
      <w:rFonts w:ascii="Arial" w:hAnsi="Arial"/>
      <w:i/>
      <w:kern w:val="28"/>
      <w:sz w:val="22"/>
      <w:szCs w:val="20"/>
    </w:rPr>
  </w:style>
  <w:style w:type="character" w:styleId="CommentReference">
    <w:name w:val="annotation reference"/>
    <w:basedOn w:val="DefaultParagraphFont"/>
    <w:uiPriority w:val="99"/>
    <w:semiHidden/>
    <w:unhideWhenUsed/>
    <w:rsid w:val="00D45DCF"/>
    <w:rPr>
      <w:sz w:val="16"/>
      <w:szCs w:val="16"/>
    </w:rPr>
  </w:style>
  <w:style w:type="paragraph" w:styleId="CommentText">
    <w:name w:val="annotation text"/>
    <w:basedOn w:val="Normal"/>
    <w:link w:val="CommentTextChar"/>
    <w:uiPriority w:val="99"/>
    <w:semiHidden/>
    <w:unhideWhenUsed/>
    <w:rsid w:val="00D45DCF"/>
    <w:rPr>
      <w:sz w:val="20"/>
      <w:szCs w:val="20"/>
    </w:rPr>
  </w:style>
  <w:style w:type="character" w:customStyle="1" w:styleId="CommentTextChar">
    <w:name w:val="Comment Text Char"/>
    <w:basedOn w:val="DefaultParagraphFont"/>
    <w:link w:val="CommentText"/>
    <w:uiPriority w:val="99"/>
    <w:semiHidden/>
    <w:rsid w:val="00D45DC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45DCF"/>
    <w:rPr>
      <w:b/>
      <w:bCs/>
    </w:rPr>
  </w:style>
  <w:style w:type="character" w:customStyle="1" w:styleId="CommentSubjectChar">
    <w:name w:val="Comment Subject Char"/>
    <w:basedOn w:val="CommentTextChar"/>
    <w:link w:val="CommentSubject"/>
    <w:uiPriority w:val="99"/>
    <w:semiHidden/>
    <w:rsid w:val="00D45DCF"/>
    <w:rPr>
      <w:rFonts w:ascii="Times New Roman" w:eastAsia="Times New Roman" w:hAnsi="Times New Roman" w:cs="Times New Roman"/>
      <w:b/>
      <w:bCs/>
      <w:sz w:val="20"/>
      <w:szCs w:val="20"/>
      <w:lang w:eastAsia="en-AU"/>
    </w:rPr>
  </w:style>
  <w:style w:type="paragraph" w:customStyle="1" w:styleId="Bullet1">
    <w:name w:val="Bullet 1"/>
    <w:basedOn w:val="Normal"/>
    <w:rsid w:val="00BB0993"/>
    <w:pPr>
      <w:numPr>
        <w:numId w:val="7"/>
      </w:numPr>
      <w:spacing w:before="120" w:line="36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135">
      <w:bodyDiv w:val="1"/>
      <w:marLeft w:val="0"/>
      <w:marRight w:val="0"/>
      <w:marTop w:val="0"/>
      <w:marBottom w:val="0"/>
      <w:divBdr>
        <w:top w:val="none" w:sz="0" w:space="0" w:color="auto"/>
        <w:left w:val="none" w:sz="0" w:space="0" w:color="auto"/>
        <w:bottom w:val="none" w:sz="0" w:space="0" w:color="auto"/>
        <w:right w:val="none" w:sz="0" w:space="0" w:color="auto"/>
      </w:divBdr>
    </w:div>
    <w:div w:id="813185735">
      <w:bodyDiv w:val="1"/>
      <w:marLeft w:val="0"/>
      <w:marRight w:val="0"/>
      <w:marTop w:val="0"/>
      <w:marBottom w:val="0"/>
      <w:divBdr>
        <w:top w:val="none" w:sz="0" w:space="0" w:color="auto"/>
        <w:left w:val="none" w:sz="0" w:space="0" w:color="auto"/>
        <w:bottom w:val="none" w:sz="0" w:space="0" w:color="auto"/>
        <w:right w:val="none" w:sz="0" w:space="0" w:color="auto"/>
      </w:divBdr>
    </w:div>
    <w:div w:id="935674054">
      <w:bodyDiv w:val="1"/>
      <w:marLeft w:val="0"/>
      <w:marRight w:val="0"/>
      <w:marTop w:val="0"/>
      <w:marBottom w:val="0"/>
      <w:divBdr>
        <w:top w:val="none" w:sz="0" w:space="0" w:color="auto"/>
        <w:left w:val="none" w:sz="0" w:space="0" w:color="auto"/>
        <w:bottom w:val="none" w:sz="0" w:space="0" w:color="auto"/>
        <w:right w:val="none" w:sz="0" w:space="0" w:color="auto"/>
      </w:divBdr>
    </w:div>
    <w:div w:id="1059590843">
      <w:bodyDiv w:val="1"/>
      <w:marLeft w:val="0"/>
      <w:marRight w:val="0"/>
      <w:marTop w:val="0"/>
      <w:marBottom w:val="0"/>
      <w:divBdr>
        <w:top w:val="none" w:sz="0" w:space="0" w:color="auto"/>
        <w:left w:val="none" w:sz="0" w:space="0" w:color="auto"/>
        <w:bottom w:val="none" w:sz="0" w:space="0" w:color="auto"/>
        <w:right w:val="none" w:sz="0" w:space="0" w:color="auto"/>
      </w:divBdr>
    </w:div>
    <w:div w:id="1250502995">
      <w:bodyDiv w:val="1"/>
      <w:marLeft w:val="0"/>
      <w:marRight w:val="0"/>
      <w:marTop w:val="0"/>
      <w:marBottom w:val="0"/>
      <w:divBdr>
        <w:top w:val="none" w:sz="0" w:space="0" w:color="auto"/>
        <w:left w:val="none" w:sz="0" w:space="0" w:color="auto"/>
        <w:bottom w:val="none" w:sz="0" w:space="0" w:color="auto"/>
        <w:right w:val="none" w:sz="0" w:space="0" w:color="auto"/>
      </w:divBdr>
    </w:div>
    <w:div w:id="1415516632">
      <w:bodyDiv w:val="1"/>
      <w:marLeft w:val="0"/>
      <w:marRight w:val="0"/>
      <w:marTop w:val="0"/>
      <w:marBottom w:val="0"/>
      <w:divBdr>
        <w:top w:val="none" w:sz="0" w:space="0" w:color="auto"/>
        <w:left w:val="none" w:sz="0" w:space="0" w:color="auto"/>
        <w:bottom w:val="none" w:sz="0" w:space="0" w:color="auto"/>
        <w:right w:val="none" w:sz="0" w:space="0" w:color="auto"/>
      </w:divBdr>
    </w:div>
    <w:div w:id="15779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3652</Words>
  <Characters>20822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24426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Nadimi</dc:creator>
  <cp:lastModifiedBy>Hilhorst, Matt</cp:lastModifiedBy>
  <cp:revision>2</cp:revision>
  <cp:lastPrinted>2013-10-30T04:37:00Z</cp:lastPrinted>
  <dcterms:created xsi:type="dcterms:W3CDTF">2013-11-15T01:40:00Z</dcterms:created>
  <dcterms:modified xsi:type="dcterms:W3CDTF">2013-11-15T01:40:00Z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