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B6" w:rsidRDefault="00116DB6">
      <w:pPr>
        <w:pStyle w:val="numberpara"/>
        <w:tabs>
          <w:tab w:val="clear" w:pos="567"/>
        </w:tabs>
        <w:spacing w:before="0" w:line="240" w:lineRule="auto"/>
      </w:pPr>
      <w:bookmarkStart w:id="0" w:name="_GoBack"/>
      <w:bookmarkEnd w:id="0"/>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241214" w:rsidRDefault="00241214">
      <w:pPr>
        <w:pStyle w:val="numberpara"/>
        <w:tabs>
          <w:tab w:val="clear" w:pos="567"/>
        </w:tabs>
        <w:spacing w:before="0" w:line="240" w:lineRule="auto"/>
        <w:jc w:val="center"/>
      </w:pPr>
    </w:p>
    <w:p w:rsidR="00241214" w:rsidRDefault="00241214">
      <w:pPr>
        <w:pStyle w:val="numberpara"/>
        <w:tabs>
          <w:tab w:val="clear" w:pos="567"/>
        </w:tabs>
        <w:spacing w:before="0" w:line="240" w:lineRule="auto"/>
        <w:jc w:val="center"/>
      </w:pPr>
    </w:p>
    <w:p w:rsidR="00116DB6" w:rsidRDefault="008B7E8D">
      <w:pPr>
        <w:pStyle w:val="numberpara"/>
        <w:tabs>
          <w:tab w:val="clear" w:pos="567"/>
        </w:tabs>
        <w:spacing w:before="0" w:line="240" w:lineRule="auto"/>
        <w:jc w:val="center"/>
      </w:pPr>
      <w:r>
        <w:t>2013</w:t>
      </w:r>
      <w:r>
        <w:noBreakHyphen/>
      </w:r>
      <w:r w:rsidR="00C23ABD">
        <w:t>2014</w:t>
      </w: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jc w:val="center"/>
      </w:pPr>
      <w:r>
        <w:t xml:space="preserve">THE PARLIAMENT OF THE COMMONWEALTH OF </w:t>
      </w:r>
      <w:smartTag w:uri="urn:schemas-microsoft-com:office:smarttags" w:element="country-region">
        <w:smartTag w:uri="urn:schemas-microsoft-com:office:smarttags" w:element="place">
          <w:r>
            <w:t>AUSTRALIA</w:t>
          </w:r>
        </w:smartTag>
      </w:smartTag>
    </w:p>
    <w:p w:rsidR="00116DB6" w:rsidRDefault="00116DB6">
      <w:pPr>
        <w:pStyle w:val="numberpara"/>
        <w:tabs>
          <w:tab w:val="clear" w:pos="567"/>
        </w:tabs>
        <w:spacing w:before="0" w:line="240" w:lineRule="auto"/>
        <w:jc w:val="center"/>
      </w:pPr>
    </w:p>
    <w:p w:rsidR="00116DB6" w:rsidRDefault="00116DB6">
      <w:pPr>
        <w:pStyle w:val="numberpara"/>
        <w:tabs>
          <w:tab w:val="clear" w:pos="567"/>
        </w:tabs>
        <w:spacing w:before="0" w:line="240" w:lineRule="auto"/>
        <w:jc w:val="center"/>
      </w:pPr>
    </w:p>
    <w:p w:rsidR="00116DB6" w:rsidRDefault="00116DB6">
      <w:pPr>
        <w:pStyle w:val="numberpara"/>
        <w:tabs>
          <w:tab w:val="clear" w:pos="567"/>
        </w:tabs>
        <w:spacing w:before="0" w:line="240" w:lineRule="auto"/>
        <w:jc w:val="center"/>
      </w:pPr>
    </w:p>
    <w:p w:rsidR="00116DB6" w:rsidRDefault="00116DB6">
      <w:pPr>
        <w:pStyle w:val="numberpara"/>
        <w:tabs>
          <w:tab w:val="clear" w:pos="567"/>
        </w:tabs>
        <w:spacing w:before="0" w:line="240" w:lineRule="auto"/>
        <w:jc w:val="center"/>
      </w:pPr>
    </w:p>
    <w:p w:rsidR="00116DB6" w:rsidRDefault="00041D4A">
      <w:pPr>
        <w:pStyle w:val="numberpara"/>
        <w:tabs>
          <w:tab w:val="clear" w:pos="567"/>
        </w:tabs>
        <w:spacing w:before="0" w:line="240" w:lineRule="auto"/>
        <w:jc w:val="center"/>
        <w:rPr>
          <w:b/>
          <w:shd w:val="clear" w:color="000000" w:fill="FFFFFF"/>
        </w:rPr>
      </w:pPr>
      <w:r>
        <w:rPr>
          <w:b/>
          <w:shd w:val="clear" w:color="000000" w:fill="FFFFFF"/>
        </w:rPr>
        <w:t>HOUSE OF REPRESENTATIVES</w:t>
      </w:r>
    </w:p>
    <w:p w:rsidR="00116DB6" w:rsidRDefault="00116DB6">
      <w:pPr>
        <w:pStyle w:val="numberpara"/>
        <w:tabs>
          <w:tab w:val="clear" w:pos="567"/>
        </w:tabs>
        <w:spacing w:before="0" w:line="240" w:lineRule="auto"/>
        <w:rPr>
          <w:b/>
          <w:shd w:val="clear" w:color="000000" w:fill="FFFFFF"/>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 w:rsidR="00116DB6" w:rsidRDefault="00711B7A">
      <w:pPr>
        <w:pStyle w:val="legcohead3"/>
        <w:jc w:val="center"/>
      </w:pPr>
      <w:r>
        <w:rPr>
          <w:shd w:val="clear" w:color="000000" w:fill="FFFFFF"/>
        </w:rPr>
        <w:t>HEALTH WORKFORCE AUSTRALIA (ABOLITION) BILL 2014</w:t>
      </w: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jc w:val="center"/>
      </w:pPr>
      <w:r>
        <w:t>EXPLANATORY MEMORANDUM</w:t>
      </w:r>
    </w:p>
    <w:p w:rsidR="00116DB6" w:rsidRDefault="00116DB6">
      <w:pPr>
        <w:pStyle w:val="numberpara"/>
        <w:tabs>
          <w:tab w:val="clear" w:pos="567"/>
        </w:tabs>
        <w:spacing w:before="0" w:line="240" w:lineRule="auto"/>
      </w:pPr>
    </w:p>
    <w:p w:rsidR="00116DB6" w:rsidRDefault="00116DB6"/>
    <w:p w:rsidR="00116DB6" w:rsidRDefault="00116DB6"/>
    <w:p w:rsidR="00116DB6" w:rsidRDefault="00116DB6"/>
    <w:p w:rsidR="00116DB6" w:rsidRDefault="00116DB6"/>
    <w:p w:rsidR="00116DB6" w:rsidRDefault="00116DB6"/>
    <w:p w:rsidR="00116DB6" w:rsidRDefault="00116DB6"/>
    <w:p w:rsidR="00116DB6" w:rsidRDefault="00116DB6"/>
    <w:p w:rsidR="00116DB6" w:rsidRDefault="00116DB6"/>
    <w:p w:rsidR="00116DB6" w:rsidRDefault="00116DB6"/>
    <w:p w:rsidR="00116DB6" w:rsidRDefault="00116DB6"/>
    <w:p w:rsidR="00116DB6" w:rsidRDefault="00116DB6"/>
    <w:p w:rsidR="00457E4A" w:rsidRDefault="00116DB6">
      <w:pPr>
        <w:jc w:val="center"/>
      </w:pPr>
      <w:r>
        <w:t>(Circulated by authority of the</w:t>
      </w:r>
      <w:r w:rsidR="00D85553">
        <w:t xml:space="preserve"> Minister for Health, the Hon Peter Dutton MP)</w:t>
      </w:r>
    </w:p>
    <w:p w:rsidR="00457E4A" w:rsidRDefault="00457E4A" w:rsidP="00457E4A">
      <w:pPr>
        <w:pStyle w:val="legcohead3"/>
        <w:jc w:val="center"/>
      </w:pPr>
      <w:r>
        <w:br w:type="page"/>
      </w:r>
    </w:p>
    <w:p w:rsidR="004769F3" w:rsidRDefault="004769F3" w:rsidP="00457E4A">
      <w:pPr>
        <w:pStyle w:val="legcohead3"/>
        <w:jc w:val="center"/>
      </w:pPr>
    </w:p>
    <w:p w:rsidR="004769F3" w:rsidRDefault="004769F3" w:rsidP="00457E4A">
      <w:pPr>
        <w:pStyle w:val="legcohead3"/>
        <w:jc w:val="center"/>
        <w:sectPr w:rsidR="004769F3" w:rsidSect="00457E4A">
          <w:pgSz w:w="11907" w:h="16840" w:code="9"/>
          <w:pgMar w:top="1440" w:right="1797" w:bottom="1440" w:left="1797" w:header="720" w:footer="720" w:gutter="0"/>
          <w:pgNumType w:start="1"/>
          <w:cols w:space="720"/>
          <w:titlePg/>
        </w:sectPr>
      </w:pPr>
    </w:p>
    <w:p w:rsidR="00457E4A" w:rsidRDefault="00711B7A" w:rsidP="00457E4A">
      <w:pPr>
        <w:pStyle w:val="legcohead3"/>
        <w:jc w:val="center"/>
      </w:pPr>
      <w:r>
        <w:rPr>
          <w:shd w:val="clear" w:color="000000" w:fill="FFFFFF"/>
        </w:rPr>
        <w:lastRenderedPageBreak/>
        <w:t>HEALTH WORKFORCE AUSTRALIA (ABOLITION) BILL 2014</w:t>
      </w:r>
    </w:p>
    <w:p w:rsidR="00116DB6" w:rsidRDefault="00116DB6">
      <w:pPr>
        <w:jc w:val="center"/>
      </w:pPr>
    </w:p>
    <w:p w:rsidR="00457E4A" w:rsidRDefault="00457E4A" w:rsidP="00457E4A">
      <w:pPr>
        <w:rPr>
          <w:b/>
        </w:rPr>
      </w:pPr>
      <w:r>
        <w:rPr>
          <w:b/>
        </w:rPr>
        <w:t>OUTLINE</w:t>
      </w:r>
    </w:p>
    <w:p w:rsidR="00457E4A" w:rsidRDefault="00457E4A" w:rsidP="00457E4A">
      <w:pPr>
        <w:rPr>
          <w:b/>
        </w:rPr>
      </w:pPr>
    </w:p>
    <w:p w:rsidR="00C23ABD" w:rsidRDefault="00711B7A" w:rsidP="00FE5EB6">
      <w:r>
        <w:t xml:space="preserve">The Health </w:t>
      </w:r>
      <w:r w:rsidR="00C23ABD">
        <w:t>Workforce Australia (Abolition) Bill 2014 (the Bill) disestablish</w:t>
      </w:r>
      <w:r w:rsidR="00A7725E">
        <w:t>es Health Workforce Australia (HWA)</w:t>
      </w:r>
      <w:r w:rsidR="00380DD8">
        <w:t>.  As a consequence</w:t>
      </w:r>
      <w:r w:rsidR="00A7725E">
        <w:t xml:space="preserve"> the functions and programmes of HWA</w:t>
      </w:r>
      <w:r w:rsidR="00380DD8">
        <w:t xml:space="preserve"> will be moved</w:t>
      </w:r>
      <w:r w:rsidR="00A7725E">
        <w:t xml:space="preserve"> to the </w:t>
      </w:r>
      <w:r w:rsidR="00AA52C9">
        <w:t xml:space="preserve">Commonwealth </w:t>
      </w:r>
      <w:r w:rsidR="00A7725E">
        <w:t>Department of Health.</w:t>
      </w:r>
      <w:r w:rsidR="00991242">
        <w:t xml:space="preserve">  </w:t>
      </w:r>
      <w:r w:rsidR="00421645">
        <w:t xml:space="preserve">Consequential provisions will provide </w:t>
      </w:r>
      <w:r w:rsidR="00337B4F">
        <w:t>for the</w:t>
      </w:r>
      <w:r w:rsidR="00DC7179">
        <w:t xml:space="preserve"> transfer of assets, liabilities, </w:t>
      </w:r>
      <w:r w:rsidR="005277CD">
        <w:t xml:space="preserve">interests in </w:t>
      </w:r>
      <w:r w:rsidR="00DC7179">
        <w:t>land, records and instruments (including contracts, undertakings, deeds or agreements) that</w:t>
      </w:r>
      <w:r w:rsidR="00FE5EB6">
        <w:t xml:space="preserve"> HWA has made or is a party to.</w:t>
      </w:r>
    </w:p>
    <w:p w:rsidR="00C23ABD" w:rsidRDefault="00C23ABD" w:rsidP="00457E4A"/>
    <w:p w:rsidR="002F6109" w:rsidRDefault="0039176C" w:rsidP="00A7725E">
      <w:r>
        <w:t>The disestablishment of HWA and transfer of its functions and programmes to the Department of Health will</w:t>
      </w:r>
      <w:r>
        <w:rPr>
          <w:szCs w:val="24"/>
        </w:rPr>
        <w:t xml:space="preserve"> provide efficiencies by </w:t>
      </w:r>
      <w:r w:rsidR="00FE5EB6">
        <w:rPr>
          <w:szCs w:val="24"/>
        </w:rPr>
        <w:t xml:space="preserve">removing </w:t>
      </w:r>
      <w:r>
        <w:rPr>
          <w:szCs w:val="24"/>
        </w:rPr>
        <w:t xml:space="preserve">duplication </w:t>
      </w:r>
      <w:r w:rsidR="00FE5EB6">
        <w:rPr>
          <w:szCs w:val="24"/>
        </w:rPr>
        <w:t>in programmes</w:t>
      </w:r>
      <w:r>
        <w:rPr>
          <w:szCs w:val="24"/>
        </w:rPr>
        <w:t xml:space="preserve"> and programme management</w:t>
      </w:r>
      <w:r w:rsidR="00FE5EB6">
        <w:rPr>
          <w:szCs w:val="24"/>
        </w:rPr>
        <w:t>.  It will also</w:t>
      </w:r>
      <w:r>
        <w:rPr>
          <w:szCs w:val="24"/>
        </w:rPr>
        <w:t xml:space="preserve"> reduc</w:t>
      </w:r>
      <w:r w:rsidR="00446E72">
        <w:rPr>
          <w:szCs w:val="24"/>
        </w:rPr>
        <w:t>e</w:t>
      </w:r>
      <w:r>
        <w:rPr>
          <w:szCs w:val="24"/>
        </w:rPr>
        <w:t xml:space="preserve"> the health bureaucracy.</w:t>
      </w:r>
      <w:r w:rsidR="008919E7">
        <w:rPr>
          <w:szCs w:val="24"/>
        </w:rPr>
        <w:t xml:space="preserve">  It will enable more efficient and effective </w:t>
      </w:r>
      <w:r w:rsidR="008919E7" w:rsidRPr="00991242">
        <w:t>delivery of policy and programme activities related to the health workforce</w:t>
      </w:r>
      <w:r w:rsidR="008919E7">
        <w:t>,</w:t>
      </w:r>
      <w:r w:rsidR="008919E7" w:rsidRPr="008919E7">
        <w:rPr>
          <w:szCs w:val="24"/>
        </w:rPr>
        <w:t xml:space="preserve"> </w:t>
      </w:r>
      <w:r w:rsidR="008919E7">
        <w:rPr>
          <w:szCs w:val="24"/>
        </w:rPr>
        <w:t xml:space="preserve">to ensure Australia continues to have a high quality, capable and well distributed health workforce, delivering frontline health services for all Australians.  </w:t>
      </w:r>
    </w:p>
    <w:p w:rsidR="0039176C" w:rsidRDefault="0039176C" w:rsidP="00A7725E">
      <w:pPr>
        <w:rPr>
          <w:szCs w:val="24"/>
        </w:rPr>
      </w:pPr>
    </w:p>
    <w:p w:rsidR="00457E4A" w:rsidRPr="00457E4A" w:rsidRDefault="00457E4A" w:rsidP="00457E4A">
      <w:pPr>
        <w:rPr>
          <w:b/>
        </w:rPr>
      </w:pPr>
      <w:r w:rsidRPr="00457E4A">
        <w:rPr>
          <w:b/>
        </w:rPr>
        <w:t>Financial Impact Statement</w:t>
      </w:r>
    </w:p>
    <w:p w:rsidR="00457E4A" w:rsidRDefault="00457E4A" w:rsidP="00457E4A"/>
    <w:p w:rsidR="00457E4A" w:rsidRDefault="008B02F8" w:rsidP="00457E4A">
      <w:r>
        <w:t>The Bill disestablishes HWA.  It provides s</w:t>
      </w:r>
      <w:r w:rsidRPr="008B02F8">
        <w:t xml:space="preserve">avings </w:t>
      </w:r>
      <w:r w:rsidR="0045254D">
        <w:t xml:space="preserve">through </w:t>
      </w:r>
      <w:r>
        <w:t>reduced duplication</w:t>
      </w:r>
      <w:r w:rsidR="00A7725E">
        <w:t xml:space="preserve"> of functions</w:t>
      </w:r>
      <w:r w:rsidR="0045254D">
        <w:t xml:space="preserve"> and </w:t>
      </w:r>
      <w:r w:rsidR="00EF2B01">
        <w:t>administrative efficiencies</w:t>
      </w:r>
      <w:r w:rsidR="00A7725E">
        <w:t>.</w:t>
      </w:r>
    </w:p>
    <w:p w:rsidR="00457E4A" w:rsidRDefault="00457E4A" w:rsidP="00457E4A"/>
    <w:p w:rsidR="008B0385" w:rsidRPr="005024B3" w:rsidRDefault="008B0385" w:rsidP="008B0385">
      <w:pPr>
        <w:jc w:val="center"/>
        <w:rPr>
          <w:rFonts w:ascii="Times New Roman" w:hAnsi="Times New Roman"/>
          <w:b/>
          <w:sz w:val="28"/>
          <w:szCs w:val="28"/>
        </w:rPr>
      </w:pPr>
      <w:r>
        <w:br w:type="page"/>
      </w:r>
      <w:r w:rsidRPr="005024B3">
        <w:rPr>
          <w:rFonts w:ascii="Times New Roman" w:hAnsi="Times New Roman"/>
          <w:b/>
        </w:rPr>
        <w:t>Statement of Compatibility with Human Rights</w:t>
      </w:r>
    </w:p>
    <w:p w:rsidR="008B0385" w:rsidRPr="005024B3" w:rsidRDefault="008B0385" w:rsidP="008B0385">
      <w:pPr>
        <w:spacing w:before="120" w:after="120"/>
        <w:jc w:val="center"/>
        <w:rPr>
          <w:rFonts w:ascii="Times New Roman" w:hAnsi="Times New Roman"/>
          <w:szCs w:val="24"/>
        </w:rPr>
      </w:pPr>
      <w:r w:rsidRPr="005024B3">
        <w:rPr>
          <w:rFonts w:ascii="Times New Roman" w:hAnsi="Times New Roman"/>
          <w:i/>
          <w:szCs w:val="24"/>
        </w:rPr>
        <w:t>Prepared in accordance with Part 3 of the Human Rights (Parliamentary Scrutiny) Act 2011</w:t>
      </w:r>
    </w:p>
    <w:p w:rsidR="008B0385" w:rsidRPr="005024B3" w:rsidRDefault="008B0385" w:rsidP="008B0385">
      <w:pPr>
        <w:spacing w:before="120" w:after="120"/>
        <w:jc w:val="center"/>
        <w:rPr>
          <w:rFonts w:ascii="Times New Roman" w:hAnsi="Times New Roman"/>
          <w:szCs w:val="24"/>
        </w:rPr>
      </w:pPr>
    </w:p>
    <w:p w:rsidR="008B0385" w:rsidRPr="005024B3" w:rsidRDefault="00711B7A" w:rsidP="008B0385">
      <w:pPr>
        <w:spacing w:before="120" w:after="120"/>
        <w:jc w:val="center"/>
        <w:rPr>
          <w:rFonts w:ascii="Times New Roman" w:hAnsi="Times New Roman"/>
          <w:b/>
          <w:szCs w:val="24"/>
        </w:rPr>
      </w:pPr>
      <w:r>
        <w:rPr>
          <w:rFonts w:ascii="Times New Roman" w:hAnsi="Times New Roman"/>
          <w:b/>
          <w:szCs w:val="24"/>
        </w:rPr>
        <w:t>HEALTH WORKFORCE AUSTRALIA (ABOLITION) BILL 2014</w:t>
      </w:r>
    </w:p>
    <w:p w:rsidR="008B0385" w:rsidRPr="005024B3" w:rsidRDefault="008B0385" w:rsidP="008B0385">
      <w:pPr>
        <w:spacing w:before="120" w:after="120"/>
        <w:jc w:val="center"/>
        <w:rPr>
          <w:rFonts w:ascii="Times New Roman" w:hAnsi="Times New Roman"/>
          <w:szCs w:val="24"/>
        </w:rPr>
      </w:pPr>
      <w:r w:rsidRPr="005024B3">
        <w:rPr>
          <w:rFonts w:ascii="Times New Roman" w:hAnsi="Times New Roman"/>
          <w:szCs w:val="24"/>
        </w:rPr>
        <w:t xml:space="preserve">This Bill is compatible with the human rights and freedoms recognised or declared in the international instruments listed in section 3 of the </w:t>
      </w:r>
      <w:r w:rsidRPr="005024B3">
        <w:rPr>
          <w:rFonts w:ascii="Times New Roman" w:hAnsi="Times New Roman"/>
          <w:i/>
          <w:szCs w:val="24"/>
        </w:rPr>
        <w:t>Human Rights (Parliamentary Scrutiny) Act 2011</w:t>
      </w:r>
      <w:r w:rsidRPr="005024B3">
        <w:rPr>
          <w:rFonts w:ascii="Times New Roman" w:hAnsi="Times New Roman"/>
          <w:szCs w:val="24"/>
        </w:rPr>
        <w:t>.</w:t>
      </w:r>
    </w:p>
    <w:p w:rsidR="008B0385" w:rsidRPr="005024B3" w:rsidRDefault="008B0385" w:rsidP="008B0385">
      <w:pPr>
        <w:spacing w:before="120" w:after="120"/>
        <w:jc w:val="both"/>
        <w:rPr>
          <w:rFonts w:ascii="Times New Roman" w:hAnsi="Times New Roman"/>
          <w:b/>
          <w:szCs w:val="24"/>
        </w:rPr>
      </w:pPr>
      <w:r w:rsidRPr="005024B3">
        <w:rPr>
          <w:rFonts w:ascii="Times New Roman" w:hAnsi="Times New Roman"/>
          <w:b/>
          <w:szCs w:val="24"/>
        </w:rPr>
        <w:t>Overview of the Bill</w:t>
      </w:r>
    </w:p>
    <w:p w:rsidR="008B0385" w:rsidRPr="00C876D8" w:rsidRDefault="002B7BB2" w:rsidP="008B0385">
      <w:pPr>
        <w:rPr>
          <w:rFonts w:ascii="Times New Roman" w:hAnsi="Times New Roman"/>
          <w:i/>
          <w:szCs w:val="24"/>
        </w:rPr>
      </w:pPr>
      <w:r>
        <w:t xml:space="preserve">The Health Workforce Australia (Abolition) Bill 2014 (the Bill) disestablishes Health Workforce Australia (HWA) and transfers the functions and programmes of HWA to the </w:t>
      </w:r>
      <w:r w:rsidR="009A2818">
        <w:t xml:space="preserve">Commonwealth </w:t>
      </w:r>
      <w:r>
        <w:t>Department of Health.</w:t>
      </w:r>
    </w:p>
    <w:p w:rsidR="0030014C" w:rsidRPr="005024B3" w:rsidRDefault="0030014C" w:rsidP="008B0385">
      <w:pPr>
        <w:rPr>
          <w:rFonts w:ascii="Times New Roman" w:hAnsi="Times New Roman"/>
          <w:b/>
          <w:szCs w:val="24"/>
        </w:rPr>
      </w:pPr>
    </w:p>
    <w:p w:rsidR="008B0385" w:rsidRPr="005024B3" w:rsidRDefault="008B0385" w:rsidP="008B0385">
      <w:pPr>
        <w:pStyle w:val="legcohead3"/>
        <w:rPr>
          <w:b w:val="0"/>
          <w:szCs w:val="24"/>
        </w:rPr>
      </w:pPr>
      <w:r w:rsidRPr="005024B3">
        <w:rPr>
          <w:szCs w:val="24"/>
        </w:rPr>
        <w:t>Human rights implications</w:t>
      </w:r>
    </w:p>
    <w:p w:rsidR="002B7BB2" w:rsidRDefault="002B7BB2" w:rsidP="002B7BB2">
      <w:pPr>
        <w:spacing w:before="120" w:after="120"/>
        <w:rPr>
          <w:rFonts w:ascii="Times New Roman" w:hAnsi="Times New Roman"/>
          <w:szCs w:val="24"/>
        </w:rPr>
      </w:pPr>
      <w:r w:rsidRPr="00CA2B84">
        <w:rPr>
          <w:rFonts w:ascii="Times New Roman" w:hAnsi="Times New Roman"/>
          <w:szCs w:val="24"/>
        </w:rPr>
        <w:t>This Bill does not engage any of the applicable rights or freedoms.</w:t>
      </w:r>
    </w:p>
    <w:p w:rsidR="0030014C" w:rsidRPr="00362BF2" w:rsidRDefault="0030014C" w:rsidP="00362BF2">
      <w:pPr>
        <w:rPr>
          <w:rFonts w:ascii="Times New Roman" w:hAnsi="Times New Roman"/>
          <w:b/>
          <w:szCs w:val="24"/>
        </w:rPr>
      </w:pPr>
    </w:p>
    <w:p w:rsidR="008B0385" w:rsidRPr="00362BF2" w:rsidRDefault="008B0385" w:rsidP="00362BF2">
      <w:pPr>
        <w:pStyle w:val="legcohead3"/>
        <w:rPr>
          <w:szCs w:val="24"/>
        </w:rPr>
      </w:pPr>
      <w:r w:rsidRPr="00362BF2">
        <w:rPr>
          <w:szCs w:val="24"/>
        </w:rPr>
        <w:t>Conclusion</w:t>
      </w:r>
    </w:p>
    <w:p w:rsidR="008B0385" w:rsidRPr="00362BF2" w:rsidRDefault="008B0385" w:rsidP="00362BF2">
      <w:pPr>
        <w:spacing w:before="120" w:after="120"/>
        <w:rPr>
          <w:rFonts w:ascii="Times New Roman" w:hAnsi="Times New Roman"/>
          <w:szCs w:val="24"/>
        </w:rPr>
      </w:pPr>
      <w:r w:rsidRPr="00362BF2">
        <w:rPr>
          <w:rFonts w:ascii="Times New Roman" w:hAnsi="Times New Roman"/>
          <w:szCs w:val="24"/>
        </w:rPr>
        <w:t xml:space="preserve">This Bill is compatible with human rights as it does not raise any human rights issues. </w:t>
      </w:r>
    </w:p>
    <w:p w:rsidR="008B0385" w:rsidRPr="005024B3" w:rsidRDefault="008B0385" w:rsidP="008B0385">
      <w:pPr>
        <w:pStyle w:val="legcohead3"/>
        <w:rPr>
          <w:b w:val="0"/>
          <w:szCs w:val="24"/>
        </w:rPr>
      </w:pPr>
    </w:p>
    <w:p w:rsidR="00457E4A" w:rsidRPr="0030014C" w:rsidRDefault="008B0385" w:rsidP="0030014C">
      <w:pPr>
        <w:jc w:val="center"/>
        <w:rPr>
          <w:b/>
        </w:rPr>
      </w:pPr>
      <w:r w:rsidRPr="0030014C">
        <w:rPr>
          <w:b/>
          <w:bCs/>
          <w:szCs w:val="24"/>
        </w:rPr>
        <w:t xml:space="preserve">The Hon </w:t>
      </w:r>
      <w:r w:rsidR="0030014C">
        <w:rPr>
          <w:b/>
          <w:bCs/>
          <w:szCs w:val="24"/>
        </w:rPr>
        <w:t>P</w:t>
      </w:r>
      <w:r w:rsidR="0030014C" w:rsidRPr="0030014C">
        <w:rPr>
          <w:b/>
          <w:bCs/>
          <w:szCs w:val="24"/>
        </w:rPr>
        <w:t>eter Dutton</w:t>
      </w:r>
      <w:r w:rsidRPr="0030014C">
        <w:rPr>
          <w:b/>
          <w:bCs/>
          <w:szCs w:val="24"/>
        </w:rPr>
        <w:t xml:space="preserve"> MP, the Minister for Health</w:t>
      </w:r>
    </w:p>
    <w:p w:rsidR="00012008" w:rsidRDefault="00457E4A" w:rsidP="00012008">
      <w:pPr>
        <w:pStyle w:val="legcohead3"/>
        <w:jc w:val="center"/>
      </w:pPr>
      <w:r>
        <w:br w:type="page"/>
      </w:r>
      <w:r w:rsidR="00012008">
        <w:rPr>
          <w:shd w:val="clear" w:color="000000" w:fill="FFFFFF"/>
        </w:rPr>
        <w:t>HEALTH WORKFORCE AUSTRALIA (ABOLITION) BILL 2014</w:t>
      </w:r>
    </w:p>
    <w:p w:rsidR="00457E4A" w:rsidRPr="00457E4A" w:rsidRDefault="00457E4A" w:rsidP="00457E4A">
      <w:pPr>
        <w:jc w:val="center"/>
        <w:rPr>
          <w:b/>
        </w:rPr>
      </w:pPr>
    </w:p>
    <w:p w:rsidR="00457E4A" w:rsidRDefault="00457E4A" w:rsidP="00457E4A">
      <w:pPr>
        <w:jc w:val="center"/>
      </w:pPr>
    </w:p>
    <w:p w:rsidR="00457E4A" w:rsidRDefault="00457E4A" w:rsidP="00457E4A">
      <w:pPr>
        <w:rPr>
          <w:b/>
        </w:rPr>
      </w:pPr>
      <w:r>
        <w:rPr>
          <w:b/>
        </w:rPr>
        <w:t>NOTES ON CLAUSES</w:t>
      </w:r>
    </w:p>
    <w:p w:rsidR="00457E4A" w:rsidRDefault="00457E4A" w:rsidP="00457E4A"/>
    <w:p w:rsidR="00457E4A" w:rsidRDefault="00457E4A" w:rsidP="00457E4A">
      <w:pPr>
        <w:rPr>
          <w:b/>
        </w:rPr>
      </w:pPr>
      <w:r>
        <w:rPr>
          <w:b/>
        </w:rPr>
        <w:t>Clause 1 – Short Title</w:t>
      </w:r>
    </w:p>
    <w:p w:rsidR="00457E4A" w:rsidRPr="00012008" w:rsidRDefault="00457E4A" w:rsidP="00457E4A">
      <w:pPr>
        <w:rPr>
          <w:i/>
          <w:u w:val="single"/>
        </w:rPr>
      </w:pPr>
      <w:r w:rsidRPr="00F87841">
        <w:t xml:space="preserve">This clause provides that the </w:t>
      </w:r>
      <w:r>
        <w:t>Bill</w:t>
      </w:r>
      <w:r w:rsidR="00E83E49">
        <w:t>, once enacted,</w:t>
      </w:r>
      <w:r>
        <w:t xml:space="preserve"> </w:t>
      </w:r>
      <w:r w:rsidR="00012008">
        <w:t xml:space="preserve">may be cited as the </w:t>
      </w:r>
      <w:r w:rsidR="00012008" w:rsidRPr="00012008">
        <w:rPr>
          <w:i/>
        </w:rPr>
        <w:t>Health Workforce Australia (Abolition) Act 2014.</w:t>
      </w:r>
    </w:p>
    <w:p w:rsidR="00457E4A" w:rsidRDefault="00457E4A" w:rsidP="00457E4A"/>
    <w:p w:rsidR="00457E4A" w:rsidRDefault="00457E4A" w:rsidP="00457E4A">
      <w:pPr>
        <w:rPr>
          <w:b/>
        </w:rPr>
      </w:pPr>
      <w:r>
        <w:rPr>
          <w:b/>
        </w:rPr>
        <w:t>Clause 2 – Commencement</w:t>
      </w:r>
    </w:p>
    <w:p w:rsidR="00457E4A" w:rsidRPr="00457E4A" w:rsidRDefault="00457E4A" w:rsidP="00457E4A">
      <w:pPr>
        <w:rPr>
          <w:bCs/>
          <w:i/>
          <w:iCs/>
        </w:rPr>
      </w:pPr>
      <w:r w:rsidRPr="00B9603C">
        <w:t xml:space="preserve">This clause provides that </w:t>
      </w:r>
      <w:r w:rsidR="003003C3" w:rsidRPr="00B9603C">
        <w:t xml:space="preserve">Part 1 </w:t>
      </w:r>
      <w:r w:rsidR="000C0C93">
        <w:t xml:space="preserve">of Schedule 1 </w:t>
      </w:r>
      <w:r w:rsidR="003003C3" w:rsidRPr="00B9603C">
        <w:t xml:space="preserve">of </w:t>
      </w:r>
      <w:r w:rsidRPr="00B9603C">
        <w:t xml:space="preserve">the </w:t>
      </w:r>
      <w:r w:rsidR="006F38E3" w:rsidRPr="00B9603C">
        <w:t>Act</w:t>
      </w:r>
      <w:r w:rsidRPr="00B9603C">
        <w:t xml:space="preserve"> will commence</w:t>
      </w:r>
      <w:r w:rsidR="00421645" w:rsidRPr="00B9603C">
        <w:t xml:space="preserve"> upon assent</w:t>
      </w:r>
      <w:r w:rsidR="00380DD8">
        <w:t>.  Its effect will be to</w:t>
      </w:r>
      <w:r w:rsidR="00421645" w:rsidRPr="00B9603C">
        <w:t xml:space="preserve"> introduce interim arrangement that facilitate the ‘winding up’ of Health Workforce Australia</w:t>
      </w:r>
      <w:r w:rsidR="003003C3" w:rsidRPr="00B9603C">
        <w:t>.  Parts 2 and 3</w:t>
      </w:r>
      <w:r w:rsidR="000C0C93">
        <w:t xml:space="preserve"> of Schedule 1</w:t>
      </w:r>
      <w:r w:rsidR="003003C3" w:rsidRPr="00B9603C">
        <w:t xml:space="preserve"> – the repeal of the</w:t>
      </w:r>
      <w:r w:rsidR="00D30614" w:rsidRPr="00B9603C">
        <w:t xml:space="preserve"> </w:t>
      </w:r>
      <w:r w:rsidR="00D30614" w:rsidRPr="00B9603C">
        <w:rPr>
          <w:i/>
        </w:rPr>
        <w:t>Health Workforce Australia Act 2009</w:t>
      </w:r>
      <w:r w:rsidR="00D30614" w:rsidRPr="00B9603C">
        <w:t xml:space="preserve"> and transitional arrangements – will commence on a single day to be fixed by Proclamation. If the provisions do not </w:t>
      </w:r>
      <w:r w:rsidR="006F38E3" w:rsidRPr="00B9603C">
        <w:t>commence within a period of six months from the day the Act receives the Royal Assent, they will commence on the day after the six month period.</w:t>
      </w:r>
    </w:p>
    <w:p w:rsidR="00457E4A" w:rsidRDefault="00457E4A" w:rsidP="00457E4A"/>
    <w:p w:rsidR="00457E4A" w:rsidRDefault="00457E4A" w:rsidP="00457E4A">
      <w:pPr>
        <w:rPr>
          <w:b/>
        </w:rPr>
      </w:pPr>
      <w:r>
        <w:rPr>
          <w:b/>
        </w:rPr>
        <w:t>Clause 3 – Schedule(s)</w:t>
      </w:r>
    </w:p>
    <w:p w:rsidR="00457E4A" w:rsidRPr="0023564C" w:rsidRDefault="00457E4A" w:rsidP="00457E4A">
      <w:r w:rsidRPr="00F87841">
        <w:t>This clause provides that each Act that is specified in a Schedule to this Bill is amended or repealed as set out in the applicable items in the Schedule concerned, and any other item has</w:t>
      </w:r>
      <w:r w:rsidR="00E83E49">
        <w:t xml:space="preserve"> effect according to its terms.  Schedule 1 </w:t>
      </w:r>
      <w:r w:rsidR="0023564C">
        <w:t xml:space="preserve">specifies </w:t>
      </w:r>
      <w:r w:rsidR="00FE5EB6">
        <w:t xml:space="preserve">only </w:t>
      </w:r>
      <w:r w:rsidR="0023564C">
        <w:t xml:space="preserve">the </w:t>
      </w:r>
      <w:r w:rsidR="0023564C">
        <w:rPr>
          <w:i/>
        </w:rPr>
        <w:t>Health Workforce Australia Act 2009</w:t>
      </w:r>
      <w:r w:rsidR="0023564C">
        <w:t>.</w:t>
      </w:r>
    </w:p>
    <w:p w:rsidR="00E83E49" w:rsidRDefault="00E83E49" w:rsidP="00457E4A"/>
    <w:p w:rsidR="00E83E49" w:rsidRDefault="00E83E49" w:rsidP="00E83E49">
      <w:pPr>
        <w:rPr>
          <w:b/>
        </w:rPr>
      </w:pPr>
      <w:r w:rsidRPr="00B9603C">
        <w:rPr>
          <w:b/>
        </w:rPr>
        <w:t xml:space="preserve">SCHEDULE 1 </w:t>
      </w:r>
      <w:r w:rsidRPr="00B9603C">
        <w:rPr>
          <w:rFonts w:ascii="Arial" w:hAnsi="Arial" w:cs="Arial"/>
          <w:b/>
        </w:rPr>
        <w:t xml:space="preserve">— </w:t>
      </w:r>
      <w:r w:rsidRPr="00B9603C">
        <w:rPr>
          <w:b/>
        </w:rPr>
        <w:t>AMENDMENT</w:t>
      </w:r>
      <w:r w:rsidR="009B1F9F" w:rsidRPr="00B9603C">
        <w:rPr>
          <w:b/>
        </w:rPr>
        <w:t>S</w:t>
      </w:r>
    </w:p>
    <w:p w:rsidR="00E83E49" w:rsidRDefault="00E83E49" w:rsidP="00E83E49">
      <w:pPr>
        <w:rPr>
          <w:b/>
        </w:rPr>
      </w:pPr>
    </w:p>
    <w:p w:rsidR="002E44FF" w:rsidRPr="00AC40F7" w:rsidRDefault="002E44FF" w:rsidP="00E83E49">
      <w:pPr>
        <w:rPr>
          <w:b/>
        </w:rPr>
      </w:pPr>
      <w:r w:rsidRPr="00B9603C">
        <w:rPr>
          <w:b/>
        </w:rPr>
        <w:t>Part 1 – Royal Assent</w:t>
      </w:r>
    </w:p>
    <w:p w:rsidR="00C2658A" w:rsidRPr="00AC40F7" w:rsidRDefault="00C2658A" w:rsidP="00E83E49">
      <w:pPr>
        <w:rPr>
          <w:b/>
        </w:rPr>
      </w:pPr>
    </w:p>
    <w:p w:rsidR="002E44FF" w:rsidRPr="00B9603C" w:rsidRDefault="00870937" w:rsidP="00E83E49">
      <w:pPr>
        <w:rPr>
          <w:b/>
        </w:rPr>
      </w:pPr>
      <w:r w:rsidRPr="00B9603C">
        <w:rPr>
          <w:b/>
        </w:rPr>
        <w:t>Item 1 – Repeal and replace Subsection 4(3)</w:t>
      </w:r>
    </w:p>
    <w:p w:rsidR="00870937" w:rsidRPr="00B9603C" w:rsidRDefault="00870937" w:rsidP="00870937">
      <w:r w:rsidRPr="00B9603C">
        <w:t xml:space="preserve">This Item allows the seal of Health Workforce Australia to be retained in the custody of the CEO, and is not used except as authorised by the CEO.  The </w:t>
      </w:r>
      <w:r w:rsidRPr="00B9603C">
        <w:rPr>
          <w:i/>
        </w:rPr>
        <w:t>Health Workforce Australia Act 2009</w:t>
      </w:r>
      <w:r w:rsidRPr="00B9603C">
        <w:t xml:space="preserve"> currently states that the Board of Health Workforce Australia will direct how the seal is to be stored and used.</w:t>
      </w:r>
    </w:p>
    <w:p w:rsidR="00870937" w:rsidRPr="00C2658A" w:rsidRDefault="00870937" w:rsidP="00E83E49">
      <w:pPr>
        <w:rPr>
          <w:b/>
          <w:highlight w:val="yellow"/>
        </w:rPr>
      </w:pPr>
    </w:p>
    <w:p w:rsidR="002E44FF" w:rsidRPr="00B9603C" w:rsidRDefault="00870937" w:rsidP="00E83E49">
      <w:pPr>
        <w:rPr>
          <w:b/>
        </w:rPr>
      </w:pPr>
      <w:r w:rsidRPr="00B9603C">
        <w:rPr>
          <w:b/>
        </w:rPr>
        <w:t>Item 2 – Repeal Section 7</w:t>
      </w:r>
    </w:p>
    <w:p w:rsidR="00870937" w:rsidRPr="00B9603C" w:rsidRDefault="00870937" w:rsidP="00E83E49">
      <w:r w:rsidRPr="00B9603C">
        <w:t xml:space="preserve">This Item removes the </w:t>
      </w:r>
      <w:r w:rsidR="009119B4">
        <w:t xml:space="preserve">requirement for HWA to perform its functions in accordance with any directions given to it by </w:t>
      </w:r>
      <w:r w:rsidRPr="00B9603C">
        <w:t>the Ministerial Conference</w:t>
      </w:r>
      <w:r w:rsidR="009119B4">
        <w:t xml:space="preserve">.  </w:t>
      </w:r>
    </w:p>
    <w:p w:rsidR="00870937" w:rsidRPr="00C2658A" w:rsidRDefault="00870937" w:rsidP="00E83E49">
      <w:pPr>
        <w:rPr>
          <w:b/>
          <w:highlight w:val="yellow"/>
        </w:rPr>
      </w:pPr>
    </w:p>
    <w:p w:rsidR="00870937" w:rsidRPr="00B9603C" w:rsidRDefault="00870937" w:rsidP="00E83E49">
      <w:pPr>
        <w:rPr>
          <w:b/>
        </w:rPr>
      </w:pPr>
      <w:r w:rsidRPr="00B9603C">
        <w:rPr>
          <w:b/>
        </w:rPr>
        <w:t>Item 3 – Subsection 28 (1)</w:t>
      </w:r>
    </w:p>
    <w:p w:rsidR="00870937" w:rsidRPr="00B9603C" w:rsidRDefault="00870937" w:rsidP="00E83E49">
      <w:r w:rsidRPr="00B9603C">
        <w:t>This Item replaces “Board” with “Minister”, allowing the Minister to appoint a person to act as the CEO of Health Workforce Australia</w:t>
      </w:r>
      <w:r w:rsidR="00446E72">
        <w:t>.</w:t>
      </w:r>
    </w:p>
    <w:p w:rsidR="00870937" w:rsidRPr="00C2658A" w:rsidRDefault="00870937" w:rsidP="00E83E49">
      <w:pPr>
        <w:rPr>
          <w:b/>
          <w:highlight w:val="yellow"/>
        </w:rPr>
      </w:pPr>
    </w:p>
    <w:p w:rsidR="00870937" w:rsidRPr="00B9603C" w:rsidRDefault="00870937" w:rsidP="00E83E49">
      <w:pPr>
        <w:rPr>
          <w:b/>
        </w:rPr>
      </w:pPr>
      <w:r w:rsidRPr="00B9603C">
        <w:rPr>
          <w:b/>
        </w:rPr>
        <w:t>Item 4 – Repeal and replace Subsection 28 (2)</w:t>
      </w:r>
    </w:p>
    <w:p w:rsidR="00870937" w:rsidRPr="00B9603C" w:rsidRDefault="00870937" w:rsidP="00E83E49">
      <w:r w:rsidRPr="00B9603C">
        <w:t>This Item allows the Minister to appoint a person to act as the CEO of Health Workforce Australia for a period of more than 12 months.</w:t>
      </w:r>
    </w:p>
    <w:p w:rsidR="00870937" w:rsidRPr="00C2658A" w:rsidRDefault="00870937" w:rsidP="00E83E49">
      <w:pPr>
        <w:rPr>
          <w:b/>
          <w:highlight w:val="yellow"/>
        </w:rPr>
      </w:pPr>
    </w:p>
    <w:p w:rsidR="00870937" w:rsidRPr="00B9603C" w:rsidRDefault="00870937" w:rsidP="00E83E49">
      <w:pPr>
        <w:rPr>
          <w:b/>
        </w:rPr>
      </w:pPr>
      <w:r w:rsidRPr="00B9603C">
        <w:rPr>
          <w:b/>
        </w:rPr>
        <w:t>Item 5 – Subsection 31 (2)</w:t>
      </w:r>
    </w:p>
    <w:p w:rsidR="006D5152" w:rsidRDefault="00870937">
      <w:r w:rsidRPr="00B9603C">
        <w:t>This Item replaces “Chair” with “Minister” to enable the CEO</w:t>
      </w:r>
      <w:r w:rsidR="00F37D36" w:rsidRPr="00B9603C">
        <w:t xml:space="preserve"> to be granted leave of absence, other than Recreation Leave, by the Minister.</w:t>
      </w:r>
      <w:r w:rsidR="006D5152">
        <w:br w:type="page"/>
      </w:r>
    </w:p>
    <w:p w:rsidR="00870937" w:rsidRPr="00B9603C" w:rsidRDefault="00870937" w:rsidP="00E83E49">
      <w:pPr>
        <w:rPr>
          <w:b/>
        </w:rPr>
      </w:pPr>
      <w:r w:rsidRPr="00B9603C">
        <w:rPr>
          <w:b/>
        </w:rPr>
        <w:t>Item 6</w:t>
      </w:r>
      <w:r w:rsidR="00F37D36" w:rsidRPr="00B9603C">
        <w:rPr>
          <w:b/>
        </w:rPr>
        <w:t xml:space="preserve"> – Repeal Subsection 31 (3)</w:t>
      </w:r>
    </w:p>
    <w:p w:rsidR="00F37D36" w:rsidRDefault="00F37D36" w:rsidP="00E83E49">
      <w:r w:rsidRPr="00B9603C">
        <w:t>This Item removes a clause made redundant by Item 5.</w:t>
      </w:r>
    </w:p>
    <w:p w:rsidR="00AC40F7" w:rsidRPr="00B9603C" w:rsidRDefault="00AC40F7" w:rsidP="00E83E49"/>
    <w:p w:rsidR="00870937" w:rsidRPr="00B9603C" w:rsidRDefault="00870937" w:rsidP="00E83E49">
      <w:pPr>
        <w:rPr>
          <w:b/>
        </w:rPr>
      </w:pPr>
      <w:r w:rsidRPr="00B9603C">
        <w:rPr>
          <w:b/>
        </w:rPr>
        <w:t xml:space="preserve">Item </w:t>
      </w:r>
      <w:r w:rsidR="00747AF8">
        <w:rPr>
          <w:b/>
        </w:rPr>
        <w:t>7</w:t>
      </w:r>
      <w:r w:rsidR="00D64363" w:rsidRPr="00B9603C">
        <w:rPr>
          <w:b/>
        </w:rPr>
        <w:t xml:space="preserve"> – Section 32</w:t>
      </w:r>
    </w:p>
    <w:p w:rsidR="00D64363" w:rsidRPr="00B9603C" w:rsidRDefault="00D64363" w:rsidP="00D64363">
      <w:r w:rsidRPr="00B9603C">
        <w:t>This Item replaces “Board” with “Minister” in order for the CEO to report to the Minister all material personal interests that the CEO has acquired that conflict or could conflict with the proper performance of the CEO’s duties.</w:t>
      </w:r>
    </w:p>
    <w:p w:rsidR="00D64363" w:rsidRPr="00C2658A" w:rsidRDefault="00D64363" w:rsidP="00E83E49">
      <w:pPr>
        <w:rPr>
          <w:b/>
          <w:highlight w:val="yellow"/>
        </w:rPr>
      </w:pPr>
    </w:p>
    <w:p w:rsidR="00870937" w:rsidRPr="00B9603C" w:rsidRDefault="00870937" w:rsidP="00870937">
      <w:pPr>
        <w:rPr>
          <w:b/>
        </w:rPr>
      </w:pPr>
      <w:r w:rsidRPr="00B9603C">
        <w:rPr>
          <w:b/>
        </w:rPr>
        <w:t xml:space="preserve">Item </w:t>
      </w:r>
      <w:r w:rsidR="00747AF8">
        <w:rPr>
          <w:b/>
        </w:rPr>
        <w:t>8</w:t>
      </w:r>
      <w:r w:rsidR="00D64363" w:rsidRPr="00B9603C">
        <w:rPr>
          <w:b/>
        </w:rPr>
        <w:t xml:space="preserve"> – Subsections 33 (1) and (2)</w:t>
      </w:r>
    </w:p>
    <w:p w:rsidR="00D64363" w:rsidRPr="00B9603C" w:rsidRDefault="00D64363" w:rsidP="00D64363">
      <w:r w:rsidRPr="00B9603C">
        <w:t>This Item replaces “Chair” with “Minister” to enable the CEO to resign his or her appointment to the Minister.</w:t>
      </w:r>
    </w:p>
    <w:p w:rsidR="00870937" w:rsidRPr="00C2658A" w:rsidRDefault="00870937" w:rsidP="00E83E49">
      <w:pPr>
        <w:rPr>
          <w:b/>
          <w:highlight w:val="yellow"/>
        </w:rPr>
      </w:pPr>
    </w:p>
    <w:p w:rsidR="00870937" w:rsidRPr="00B9603C" w:rsidRDefault="00870937" w:rsidP="00870937">
      <w:pPr>
        <w:rPr>
          <w:b/>
        </w:rPr>
      </w:pPr>
      <w:r w:rsidRPr="00B9603C">
        <w:rPr>
          <w:b/>
        </w:rPr>
        <w:t xml:space="preserve">Item </w:t>
      </w:r>
      <w:r w:rsidR="00747AF8">
        <w:rPr>
          <w:b/>
        </w:rPr>
        <w:t>9</w:t>
      </w:r>
      <w:r w:rsidR="00806702" w:rsidRPr="00B9603C">
        <w:rPr>
          <w:b/>
        </w:rPr>
        <w:t xml:space="preserve"> – Repeal Subsection 33 (3)</w:t>
      </w:r>
    </w:p>
    <w:p w:rsidR="00806702" w:rsidRPr="00B9603C" w:rsidRDefault="00806702" w:rsidP="00806702">
      <w:r w:rsidRPr="00B9603C">
        <w:t xml:space="preserve">This Item removes a clause made redundant by Item </w:t>
      </w:r>
      <w:r w:rsidR="009119B4">
        <w:t>8</w:t>
      </w:r>
      <w:r w:rsidRPr="00B9603C">
        <w:t>.</w:t>
      </w:r>
    </w:p>
    <w:p w:rsidR="00870937" w:rsidRPr="00C2658A" w:rsidRDefault="00870937" w:rsidP="00E83E49">
      <w:pPr>
        <w:rPr>
          <w:b/>
          <w:highlight w:val="yellow"/>
        </w:rPr>
      </w:pPr>
    </w:p>
    <w:p w:rsidR="00870937" w:rsidRPr="00B9603C" w:rsidRDefault="00870937" w:rsidP="00870937">
      <w:pPr>
        <w:rPr>
          <w:b/>
        </w:rPr>
      </w:pPr>
      <w:r w:rsidRPr="00B9603C">
        <w:rPr>
          <w:b/>
        </w:rPr>
        <w:t xml:space="preserve">Item </w:t>
      </w:r>
      <w:r w:rsidR="00806702" w:rsidRPr="00B9603C">
        <w:rPr>
          <w:b/>
        </w:rPr>
        <w:t>1</w:t>
      </w:r>
      <w:r w:rsidR="00747AF8">
        <w:rPr>
          <w:b/>
        </w:rPr>
        <w:t>0</w:t>
      </w:r>
      <w:r w:rsidR="00806702" w:rsidRPr="00B9603C">
        <w:rPr>
          <w:b/>
        </w:rPr>
        <w:t xml:space="preserve"> – Subsection 34(1)</w:t>
      </w:r>
    </w:p>
    <w:p w:rsidR="00806702" w:rsidRPr="00B9603C" w:rsidRDefault="00806702" w:rsidP="00870937">
      <w:pPr>
        <w:rPr>
          <w:b/>
        </w:rPr>
      </w:pPr>
      <w:r w:rsidRPr="00B9603C">
        <w:t>This Item replaces “Board” with “Minister” to enable the Minister to terminate the appointment of the CEO for misbehaviour or physical or mental incapacity.</w:t>
      </w:r>
    </w:p>
    <w:p w:rsidR="00870937" w:rsidRPr="00C2658A" w:rsidRDefault="00870937" w:rsidP="00E83E49">
      <w:pPr>
        <w:rPr>
          <w:b/>
          <w:highlight w:val="yellow"/>
        </w:rPr>
      </w:pPr>
    </w:p>
    <w:p w:rsidR="00870937" w:rsidRPr="00B9603C" w:rsidRDefault="00870937" w:rsidP="00870937">
      <w:pPr>
        <w:rPr>
          <w:b/>
        </w:rPr>
      </w:pPr>
      <w:r w:rsidRPr="00B9603C">
        <w:rPr>
          <w:b/>
        </w:rPr>
        <w:t xml:space="preserve">Item </w:t>
      </w:r>
      <w:r w:rsidR="00806702" w:rsidRPr="00B9603C">
        <w:rPr>
          <w:b/>
        </w:rPr>
        <w:t>1</w:t>
      </w:r>
      <w:r w:rsidR="00747AF8">
        <w:rPr>
          <w:b/>
        </w:rPr>
        <w:t>1</w:t>
      </w:r>
      <w:r w:rsidR="00806702" w:rsidRPr="00B9603C">
        <w:rPr>
          <w:b/>
        </w:rPr>
        <w:t xml:space="preserve"> – Repeal Subsection 34(2)</w:t>
      </w:r>
    </w:p>
    <w:p w:rsidR="00806702" w:rsidRPr="00B9603C" w:rsidRDefault="00806702" w:rsidP="00806702">
      <w:r w:rsidRPr="00B9603C">
        <w:t xml:space="preserve">This Item removes a clause made redundant by Items </w:t>
      </w:r>
      <w:r w:rsidR="00C2658A" w:rsidRPr="00B9603C">
        <w:t>2</w:t>
      </w:r>
      <w:r w:rsidRPr="00B9603C">
        <w:t xml:space="preserve"> and </w:t>
      </w:r>
      <w:r w:rsidR="009119B4">
        <w:t>10</w:t>
      </w:r>
      <w:r w:rsidRPr="00B9603C">
        <w:t>.</w:t>
      </w:r>
    </w:p>
    <w:p w:rsidR="00870937" w:rsidRPr="00C2658A" w:rsidRDefault="00870937" w:rsidP="00E83E49">
      <w:pPr>
        <w:rPr>
          <w:b/>
          <w:highlight w:val="yellow"/>
        </w:rPr>
      </w:pPr>
    </w:p>
    <w:p w:rsidR="00870937" w:rsidRPr="00B9603C" w:rsidRDefault="00870937" w:rsidP="00870937">
      <w:pPr>
        <w:rPr>
          <w:b/>
        </w:rPr>
      </w:pPr>
      <w:r w:rsidRPr="00B9603C">
        <w:rPr>
          <w:b/>
        </w:rPr>
        <w:t xml:space="preserve">Item </w:t>
      </w:r>
      <w:r w:rsidR="00C2658A" w:rsidRPr="00B9603C">
        <w:rPr>
          <w:b/>
        </w:rPr>
        <w:t>1</w:t>
      </w:r>
      <w:r w:rsidR="00747AF8">
        <w:rPr>
          <w:b/>
        </w:rPr>
        <w:t>2</w:t>
      </w:r>
      <w:r w:rsidR="00C2658A" w:rsidRPr="00B9603C">
        <w:rPr>
          <w:b/>
        </w:rPr>
        <w:t xml:space="preserve"> – Subsection 34(3)</w:t>
      </w:r>
    </w:p>
    <w:p w:rsidR="00870937" w:rsidRDefault="00C2658A" w:rsidP="00E83E49">
      <w:r w:rsidRPr="00B9603C">
        <w:t>This Item replaces “Board” with “Minister” to enable the Minister to terminate the appointment of the CEO for a range of reasons not included in Subsection 34(1).</w:t>
      </w:r>
    </w:p>
    <w:p w:rsidR="00CC31FF" w:rsidRDefault="00CC31FF" w:rsidP="00E83E49"/>
    <w:p w:rsidR="00CC31FF" w:rsidRPr="00B9603C" w:rsidRDefault="00CC31FF" w:rsidP="00E83E49">
      <w:pPr>
        <w:rPr>
          <w:b/>
        </w:rPr>
      </w:pPr>
      <w:r>
        <w:rPr>
          <w:b/>
        </w:rPr>
        <w:t xml:space="preserve">Item 13 – </w:t>
      </w:r>
      <w:r w:rsidR="00446E72">
        <w:rPr>
          <w:b/>
        </w:rPr>
        <w:t>Paragraph</w:t>
      </w:r>
      <w:r>
        <w:rPr>
          <w:b/>
        </w:rPr>
        <w:t xml:space="preserve"> 34</w:t>
      </w:r>
      <w:r w:rsidR="00706732">
        <w:rPr>
          <w:b/>
        </w:rPr>
        <w:t>(3</w:t>
      </w:r>
      <w:r w:rsidR="00C72FAE">
        <w:rPr>
          <w:b/>
        </w:rPr>
        <w:t>)(</w:t>
      </w:r>
      <w:r w:rsidR="00706732">
        <w:rPr>
          <w:b/>
        </w:rPr>
        <w:t>d)</w:t>
      </w:r>
    </w:p>
    <w:p w:rsidR="00C2658A" w:rsidRPr="00824540" w:rsidRDefault="00605B53" w:rsidP="00870937">
      <w:r w:rsidRPr="00824540">
        <w:t>This item re</w:t>
      </w:r>
      <w:r w:rsidR="00C72FAE" w:rsidRPr="00824540">
        <w:t xml:space="preserve">moves the reference to </w:t>
      </w:r>
      <w:r w:rsidRPr="00824540">
        <w:t xml:space="preserve"> “Chair”  to enable </w:t>
      </w:r>
      <w:r w:rsidR="004F3DA6" w:rsidRPr="00824540">
        <w:t>consistency</w:t>
      </w:r>
      <w:r w:rsidR="00E96D9B">
        <w:t xml:space="preserve"> with the changes made by I</w:t>
      </w:r>
      <w:r w:rsidR="00C72FAE" w:rsidRPr="00824540">
        <w:t xml:space="preserve">tem 10. </w:t>
      </w:r>
    </w:p>
    <w:p w:rsidR="00605B53" w:rsidRPr="00C2658A" w:rsidRDefault="00605B53" w:rsidP="00870937">
      <w:pPr>
        <w:rPr>
          <w:b/>
          <w:highlight w:val="yellow"/>
        </w:rPr>
      </w:pPr>
    </w:p>
    <w:p w:rsidR="00870937" w:rsidRPr="00B9603C" w:rsidRDefault="00870937" w:rsidP="00870937">
      <w:pPr>
        <w:rPr>
          <w:b/>
        </w:rPr>
      </w:pPr>
      <w:r w:rsidRPr="00B9603C">
        <w:rPr>
          <w:b/>
        </w:rPr>
        <w:t xml:space="preserve">Item </w:t>
      </w:r>
      <w:r w:rsidR="00C2658A" w:rsidRPr="00B9603C">
        <w:rPr>
          <w:b/>
        </w:rPr>
        <w:t>1</w:t>
      </w:r>
      <w:r w:rsidR="00605B53">
        <w:rPr>
          <w:b/>
        </w:rPr>
        <w:t>4</w:t>
      </w:r>
      <w:r w:rsidR="00C2658A" w:rsidRPr="00B9603C">
        <w:rPr>
          <w:b/>
        </w:rPr>
        <w:t xml:space="preserve"> – Repeal Subsection 34(4)</w:t>
      </w:r>
    </w:p>
    <w:p w:rsidR="00C2658A" w:rsidRPr="00B9603C" w:rsidRDefault="00C2658A" w:rsidP="00C2658A">
      <w:r w:rsidRPr="00B9603C">
        <w:t>This Item removes a clause made redundant by Items 1</w:t>
      </w:r>
      <w:r w:rsidR="009119B4">
        <w:t>0</w:t>
      </w:r>
      <w:r w:rsidRPr="00B9603C">
        <w:t xml:space="preserve"> and 1</w:t>
      </w:r>
      <w:r w:rsidR="009119B4">
        <w:t>2</w:t>
      </w:r>
      <w:r w:rsidRPr="00B9603C">
        <w:t>.</w:t>
      </w:r>
    </w:p>
    <w:p w:rsidR="00870937" w:rsidRPr="00C2658A" w:rsidRDefault="00870937">
      <w:pPr>
        <w:rPr>
          <w:b/>
          <w:highlight w:val="yellow"/>
        </w:rPr>
      </w:pPr>
    </w:p>
    <w:p w:rsidR="00C2658A" w:rsidRPr="00B9603C" w:rsidRDefault="00C2658A">
      <w:pPr>
        <w:rPr>
          <w:b/>
        </w:rPr>
      </w:pPr>
      <w:r w:rsidRPr="00B9603C">
        <w:rPr>
          <w:b/>
        </w:rPr>
        <w:t>Item 1</w:t>
      </w:r>
      <w:r w:rsidR="00605B53">
        <w:rPr>
          <w:b/>
        </w:rPr>
        <w:t>5</w:t>
      </w:r>
      <w:r w:rsidRPr="00B9603C">
        <w:rPr>
          <w:b/>
        </w:rPr>
        <w:t>– Section 35</w:t>
      </w:r>
    </w:p>
    <w:p w:rsidR="00C2658A" w:rsidRPr="00B9603C" w:rsidRDefault="00C2658A" w:rsidP="00E83E49">
      <w:pPr>
        <w:rPr>
          <w:i/>
        </w:rPr>
      </w:pPr>
      <w:r w:rsidRPr="00B9603C">
        <w:t xml:space="preserve">This Item replaces “Board” with “Minister” to enable the Minister to determine other terms and conditions of the CEO not covered by the </w:t>
      </w:r>
      <w:r w:rsidRPr="00B9603C">
        <w:rPr>
          <w:i/>
        </w:rPr>
        <w:t>Health Workforce Australia Act 2009</w:t>
      </w:r>
      <w:r w:rsidR="00446E72">
        <w:rPr>
          <w:i/>
        </w:rPr>
        <w:t>.</w:t>
      </w:r>
    </w:p>
    <w:p w:rsidR="00C2658A" w:rsidRDefault="00C2658A" w:rsidP="00E83E49">
      <w:pPr>
        <w:rPr>
          <w:highlight w:val="yellow"/>
        </w:rPr>
      </w:pPr>
    </w:p>
    <w:p w:rsidR="00747AF8" w:rsidRPr="00747AF8" w:rsidRDefault="00747AF8" w:rsidP="00E83E49">
      <w:pPr>
        <w:rPr>
          <w:b/>
        </w:rPr>
      </w:pPr>
      <w:r>
        <w:rPr>
          <w:b/>
        </w:rPr>
        <w:t>Item 1</w:t>
      </w:r>
      <w:r w:rsidR="00605B53">
        <w:rPr>
          <w:b/>
        </w:rPr>
        <w:t>6</w:t>
      </w:r>
      <w:r w:rsidRPr="00747AF8">
        <w:rPr>
          <w:b/>
        </w:rPr>
        <w:t xml:space="preserve"> – Section 38A - Delegation</w:t>
      </w:r>
    </w:p>
    <w:p w:rsidR="00747AF8" w:rsidRDefault="00747AF8" w:rsidP="00747AF8">
      <w:r w:rsidRPr="009119B4">
        <w:t>This item provides for the Minister to be able to delegate any of his</w:t>
      </w:r>
      <w:r w:rsidR="00D16F2F">
        <w:t xml:space="preserve"> or her</w:t>
      </w:r>
      <w:r w:rsidRPr="009119B4">
        <w:t xml:space="preserve"> functions or powers under Part 4</w:t>
      </w:r>
      <w:r w:rsidR="00EE498B" w:rsidRPr="009119B4">
        <w:t xml:space="preserve"> of the </w:t>
      </w:r>
      <w:r w:rsidR="00EE498B" w:rsidRPr="009119B4">
        <w:rPr>
          <w:i/>
        </w:rPr>
        <w:t>Health Workforce Australia Act 2009</w:t>
      </w:r>
      <w:r w:rsidRPr="009119B4">
        <w:t>.</w:t>
      </w:r>
      <w:r w:rsidR="009119B4" w:rsidRPr="009119B4">
        <w:t xml:space="preserve">  </w:t>
      </w:r>
      <w:r w:rsidR="00A90A5A" w:rsidRPr="00824540">
        <w:t>For example this will allow for the Minister to delegate the power to approve leave other than recreation leave to a senior officer.</w:t>
      </w:r>
      <w:r w:rsidR="00A90A5A">
        <w:t xml:space="preserve">  </w:t>
      </w:r>
      <w:r w:rsidRPr="009119B4">
        <w:t>The delegate must be either the Secretary of the Department or an SES officer or acting SES officer in the Department.  When exercising powers or functions delegates must comply with any directions given by the Minister concerning the delegation.</w:t>
      </w:r>
    </w:p>
    <w:p w:rsidR="00747AF8" w:rsidRDefault="00747AF8" w:rsidP="00E83E49">
      <w:pPr>
        <w:rPr>
          <w:b/>
        </w:rPr>
      </w:pPr>
    </w:p>
    <w:p w:rsidR="000C0C93" w:rsidRPr="00B9603C" w:rsidRDefault="000C0C93" w:rsidP="00E83E49">
      <w:pPr>
        <w:rPr>
          <w:b/>
        </w:rPr>
      </w:pPr>
      <w:r w:rsidRPr="00B9603C">
        <w:rPr>
          <w:b/>
        </w:rPr>
        <w:t>Item 1</w:t>
      </w:r>
      <w:r w:rsidR="00605B53">
        <w:rPr>
          <w:b/>
        </w:rPr>
        <w:t>7</w:t>
      </w:r>
      <w:r w:rsidRPr="00B9603C">
        <w:rPr>
          <w:b/>
        </w:rPr>
        <w:t xml:space="preserve"> – Section 40</w:t>
      </w:r>
    </w:p>
    <w:p w:rsidR="006D5152" w:rsidRDefault="000C0C93">
      <w:r w:rsidRPr="00B9603C">
        <w:t xml:space="preserve">This </w:t>
      </w:r>
      <w:r w:rsidR="00B9603C">
        <w:t>I</w:t>
      </w:r>
      <w:r w:rsidR="00B9603C" w:rsidRPr="00B9603C">
        <w:t xml:space="preserve">tem </w:t>
      </w:r>
      <w:r w:rsidRPr="00B9603C">
        <w:t>removes the reference to “or a direction” as the use of this term is made redundant by Item 2.</w:t>
      </w:r>
      <w:r w:rsidR="006D5152">
        <w:br w:type="page"/>
      </w:r>
    </w:p>
    <w:p w:rsidR="00C2658A" w:rsidRPr="00B9603C" w:rsidRDefault="00C2658A" w:rsidP="00E83E49">
      <w:pPr>
        <w:rPr>
          <w:b/>
        </w:rPr>
      </w:pPr>
      <w:r w:rsidRPr="00B9603C">
        <w:rPr>
          <w:b/>
        </w:rPr>
        <w:t>Item 1</w:t>
      </w:r>
      <w:r w:rsidR="00605B53">
        <w:rPr>
          <w:b/>
        </w:rPr>
        <w:t>8</w:t>
      </w:r>
      <w:r w:rsidRPr="00B9603C">
        <w:rPr>
          <w:b/>
        </w:rPr>
        <w:t xml:space="preserve"> – Termination of appointment of </w:t>
      </w:r>
      <w:r w:rsidR="00C72FAE">
        <w:rPr>
          <w:b/>
        </w:rPr>
        <w:t>members</w:t>
      </w:r>
    </w:p>
    <w:p w:rsidR="00C2658A" w:rsidRPr="00C2658A" w:rsidRDefault="00C2658A" w:rsidP="00E83E49">
      <w:r w:rsidRPr="00B9603C">
        <w:t xml:space="preserve">This Item allows for the termination of the Chair and each member of the Board of Health Workforce Australia </w:t>
      </w:r>
      <w:r w:rsidR="0071640E">
        <w:t xml:space="preserve">and for the termination </w:t>
      </w:r>
      <w:r w:rsidR="004F3DA6">
        <w:t>of</w:t>
      </w:r>
      <w:r w:rsidR="0071640E">
        <w:t xml:space="preserve"> a member acting as Chair or a person acting as a </w:t>
      </w:r>
      <w:r w:rsidR="004F3DA6">
        <w:t>member,</w:t>
      </w:r>
      <w:r w:rsidR="004F3DA6" w:rsidRPr="00B9603C">
        <w:t xml:space="preserve"> at</w:t>
      </w:r>
      <w:r w:rsidRPr="00B9603C">
        <w:t xml:space="preserve"> the time this </w:t>
      </w:r>
      <w:r w:rsidR="00747AF8">
        <w:t>Part</w:t>
      </w:r>
      <w:r w:rsidRPr="00B9603C">
        <w:t xml:space="preserve"> commences.</w:t>
      </w:r>
    </w:p>
    <w:p w:rsidR="00C2658A" w:rsidRPr="00C2658A" w:rsidRDefault="00C2658A" w:rsidP="00E83E49">
      <w:pPr>
        <w:rPr>
          <w:b/>
        </w:rPr>
      </w:pPr>
    </w:p>
    <w:p w:rsidR="002E44FF" w:rsidRPr="00C2658A" w:rsidRDefault="002E44FF" w:rsidP="00E83E49">
      <w:pPr>
        <w:rPr>
          <w:b/>
        </w:rPr>
      </w:pPr>
      <w:r w:rsidRPr="00C2658A">
        <w:rPr>
          <w:b/>
        </w:rPr>
        <w:t>Part 2 – Repeal</w:t>
      </w:r>
      <w:r w:rsidR="0071640E">
        <w:rPr>
          <w:b/>
        </w:rPr>
        <w:t>s</w:t>
      </w:r>
      <w:r w:rsidRPr="00C2658A">
        <w:rPr>
          <w:b/>
        </w:rPr>
        <w:t xml:space="preserve"> at Proclamation date</w:t>
      </w:r>
    </w:p>
    <w:p w:rsidR="00E83E49" w:rsidRPr="00C2658A" w:rsidRDefault="00E83E49" w:rsidP="00E83E49">
      <w:r w:rsidRPr="00C2658A">
        <w:rPr>
          <w:b/>
        </w:rPr>
        <w:t xml:space="preserve">Item </w:t>
      </w:r>
      <w:r w:rsidR="00C2658A">
        <w:rPr>
          <w:b/>
        </w:rPr>
        <w:t>1</w:t>
      </w:r>
      <w:r w:rsidR="00605B53">
        <w:rPr>
          <w:b/>
        </w:rPr>
        <w:t>9</w:t>
      </w:r>
      <w:r w:rsidRPr="00C2658A">
        <w:rPr>
          <w:b/>
        </w:rPr>
        <w:t xml:space="preserve"> </w:t>
      </w:r>
      <w:r w:rsidR="009A2818" w:rsidRPr="00C2658A">
        <w:rPr>
          <w:b/>
        </w:rPr>
        <w:t>–</w:t>
      </w:r>
      <w:r w:rsidRPr="00C2658A">
        <w:rPr>
          <w:b/>
        </w:rPr>
        <w:t xml:space="preserve"> </w:t>
      </w:r>
      <w:r w:rsidR="009A2818" w:rsidRPr="00C2658A">
        <w:rPr>
          <w:b/>
        </w:rPr>
        <w:t>Repeal the whole of the Act</w:t>
      </w:r>
    </w:p>
    <w:p w:rsidR="00E83E49" w:rsidRPr="00C2658A" w:rsidRDefault="00E83E49" w:rsidP="00457E4A">
      <w:r w:rsidRPr="00C2658A">
        <w:t xml:space="preserve">This </w:t>
      </w:r>
      <w:r w:rsidR="009A2818" w:rsidRPr="00C2658A">
        <w:t xml:space="preserve">item repeals the </w:t>
      </w:r>
      <w:r w:rsidR="009A2818" w:rsidRPr="00C2658A">
        <w:rPr>
          <w:i/>
        </w:rPr>
        <w:t>Health Workforce Australia Act 2009</w:t>
      </w:r>
      <w:r w:rsidR="009A2818" w:rsidRPr="00C2658A">
        <w:t xml:space="preserve"> in its entirety. </w:t>
      </w:r>
    </w:p>
    <w:p w:rsidR="009A2818" w:rsidRPr="00C2658A" w:rsidRDefault="009A2818" w:rsidP="00457E4A"/>
    <w:p w:rsidR="002E44FF" w:rsidRPr="00C2658A" w:rsidRDefault="002E44FF" w:rsidP="00457E4A">
      <w:pPr>
        <w:rPr>
          <w:b/>
        </w:rPr>
      </w:pPr>
      <w:r w:rsidRPr="00C2658A">
        <w:rPr>
          <w:b/>
        </w:rPr>
        <w:t>Part 3 – Transitional provisions</w:t>
      </w:r>
    </w:p>
    <w:p w:rsidR="009A2818" w:rsidRPr="009A2818" w:rsidRDefault="009A2818" w:rsidP="00457E4A">
      <w:pPr>
        <w:rPr>
          <w:b/>
        </w:rPr>
      </w:pPr>
      <w:r w:rsidRPr="00C2658A">
        <w:rPr>
          <w:b/>
        </w:rPr>
        <w:t xml:space="preserve">Item </w:t>
      </w:r>
      <w:r w:rsidR="00605B53">
        <w:rPr>
          <w:b/>
        </w:rPr>
        <w:t>20</w:t>
      </w:r>
      <w:r w:rsidRPr="009A2818">
        <w:rPr>
          <w:b/>
        </w:rPr>
        <w:t xml:space="preserve"> – Definitions</w:t>
      </w:r>
    </w:p>
    <w:p w:rsidR="009A2818" w:rsidRDefault="009A2818" w:rsidP="009A2818">
      <w:r w:rsidRPr="009A2818">
        <w:t xml:space="preserve">This </w:t>
      </w:r>
      <w:r w:rsidR="00B9603C">
        <w:t>I</w:t>
      </w:r>
      <w:r w:rsidR="00B9603C" w:rsidRPr="009A2818">
        <w:t xml:space="preserve">tem </w:t>
      </w:r>
      <w:r w:rsidRPr="009A2818">
        <w:t>sets out definitions of terms that are relied on in other provisions throughout the Bill.  Important definitions that warrant detailed explanation include the following:</w:t>
      </w:r>
    </w:p>
    <w:p w:rsidR="009A2818" w:rsidRDefault="009A2818" w:rsidP="009A2818"/>
    <w:p w:rsidR="00A457F2" w:rsidRDefault="00A457F2" w:rsidP="009A2818">
      <w:r>
        <w:t xml:space="preserve">The </w:t>
      </w:r>
      <w:r w:rsidR="000C0C93">
        <w:t>“</w:t>
      </w:r>
      <w:r>
        <w:t xml:space="preserve">commencement </w:t>
      </w:r>
      <w:r w:rsidR="00337B4F">
        <w:t>time” means</w:t>
      </w:r>
      <w:r w:rsidR="000C0C93">
        <w:t xml:space="preserve"> the date </w:t>
      </w:r>
      <w:r w:rsidR="000C0C93" w:rsidRPr="009119B4">
        <w:t>Part</w:t>
      </w:r>
      <w:r w:rsidR="00746590" w:rsidRPr="009119B4">
        <w:t xml:space="preserve"> </w:t>
      </w:r>
      <w:r w:rsidR="000C0C93" w:rsidRPr="009119B4">
        <w:t>2</w:t>
      </w:r>
      <w:r w:rsidR="000C0C93">
        <w:t xml:space="preserve"> </w:t>
      </w:r>
      <w:r w:rsidR="001C618C">
        <w:t>of Schedule 1</w:t>
      </w:r>
      <w:r w:rsidR="0087056D">
        <w:t xml:space="preserve"> </w:t>
      </w:r>
      <w:r w:rsidR="000C0C93">
        <w:t xml:space="preserve">commences, which </w:t>
      </w:r>
      <w:r w:rsidR="0087056D">
        <w:t xml:space="preserve">is the date that the </w:t>
      </w:r>
      <w:r>
        <w:rPr>
          <w:i/>
        </w:rPr>
        <w:t>Health Workforce Australia Act 2009</w:t>
      </w:r>
      <w:r>
        <w:t xml:space="preserve"> is repealed</w:t>
      </w:r>
      <w:r w:rsidR="00041D4A">
        <w:t>.</w:t>
      </w:r>
    </w:p>
    <w:p w:rsidR="00041D4A" w:rsidRDefault="00041D4A" w:rsidP="009A2818"/>
    <w:p w:rsidR="009A2818" w:rsidRDefault="009A2818" w:rsidP="009A2818">
      <w:r>
        <w:t xml:space="preserve">The </w:t>
      </w:r>
      <w:r w:rsidR="000C0C93">
        <w:t>“</w:t>
      </w:r>
      <w:r>
        <w:t>Secretary</w:t>
      </w:r>
      <w:r w:rsidR="000C0C93">
        <w:t>”</w:t>
      </w:r>
      <w:r>
        <w:t xml:space="preserve"> means the Secretary of the Department of Health</w:t>
      </w:r>
      <w:r w:rsidR="00E53993">
        <w:t>.</w:t>
      </w:r>
    </w:p>
    <w:p w:rsidR="00E53993" w:rsidRDefault="00E53993" w:rsidP="009A2818"/>
    <w:p w:rsidR="00E53993" w:rsidRPr="00E53993" w:rsidRDefault="00E53993" w:rsidP="009A2818">
      <w:pPr>
        <w:rPr>
          <w:b/>
        </w:rPr>
      </w:pPr>
      <w:r w:rsidRPr="00E53993">
        <w:rPr>
          <w:b/>
        </w:rPr>
        <w:t xml:space="preserve">Item </w:t>
      </w:r>
      <w:r w:rsidR="000C0C93">
        <w:rPr>
          <w:b/>
        </w:rPr>
        <w:t>2</w:t>
      </w:r>
      <w:r w:rsidR="00605B53">
        <w:rPr>
          <w:b/>
        </w:rPr>
        <w:t>1</w:t>
      </w:r>
      <w:r w:rsidRPr="00E53993">
        <w:rPr>
          <w:b/>
        </w:rPr>
        <w:t xml:space="preserve"> – Vesting of assets of HWA</w:t>
      </w:r>
    </w:p>
    <w:p w:rsidR="00E53993" w:rsidRDefault="00E53993" w:rsidP="009A2818">
      <w:r>
        <w:t xml:space="preserve">This </w:t>
      </w:r>
      <w:r w:rsidR="00B9603C">
        <w:t xml:space="preserve">Item </w:t>
      </w:r>
      <w:r>
        <w:t>sets out that all assets of HWA become assets of the Common</w:t>
      </w:r>
      <w:r w:rsidR="00F6535C">
        <w:t>wealth at the commencement time, which is specified in Clause 2.</w:t>
      </w:r>
    </w:p>
    <w:p w:rsidR="00F6535C" w:rsidRDefault="00F6535C" w:rsidP="009A2818"/>
    <w:p w:rsidR="00F6535C" w:rsidRPr="00F6535C" w:rsidRDefault="00F6535C" w:rsidP="009A2818">
      <w:pPr>
        <w:rPr>
          <w:b/>
        </w:rPr>
      </w:pPr>
      <w:r w:rsidRPr="00F6535C">
        <w:rPr>
          <w:b/>
        </w:rPr>
        <w:t xml:space="preserve">Item </w:t>
      </w:r>
      <w:r w:rsidR="00C2658A">
        <w:rPr>
          <w:b/>
        </w:rPr>
        <w:t>2</w:t>
      </w:r>
      <w:r w:rsidR="00605B53">
        <w:rPr>
          <w:b/>
        </w:rPr>
        <w:t>2</w:t>
      </w:r>
      <w:r w:rsidRPr="00F6535C">
        <w:rPr>
          <w:b/>
        </w:rPr>
        <w:t xml:space="preserve"> – Vesting of liabilities of HWA</w:t>
      </w:r>
    </w:p>
    <w:p w:rsidR="00F6535C" w:rsidRDefault="00F6535C" w:rsidP="009A2818">
      <w:r>
        <w:t xml:space="preserve">This </w:t>
      </w:r>
      <w:r w:rsidR="00B9603C">
        <w:t xml:space="preserve">Item </w:t>
      </w:r>
      <w:r>
        <w:t>sets out that all liabilities of HWA become liabilities of the Commonwealth at the commencement time, which is specified in Clause 2.</w:t>
      </w:r>
    </w:p>
    <w:p w:rsidR="00F6535C" w:rsidRDefault="00F6535C" w:rsidP="009A2818"/>
    <w:p w:rsidR="00F6535C" w:rsidRPr="002C230F" w:rsidRDefault="00F6535C" w:rsidP="009A2818">
      <w:pPr>
        <w:rPr>
          <w:b/>
        </w:rPr>
      </w:pPr>
      <w:r w:rsidRPr="002C230F">
        <w:rPr>
          <w:b/>
        </w:rPr>
        <w:t xml:space="preserve">Item </w:t>
      </w:r>
      <w:r w:rsidR="002E44FF">
        <w:rPr>
          <w:b/>
        </w:rPr>
        <w:t>2</w:t>
      </w:r>
      <w:r w:rsidR="00605B53">
        <w:rPr>
          <w:b/>
        </w:rPr>
        <w:t>3</w:t>
      </w:r>
      <w:r w:rsidRPr="002C230F">
        <w:rPr>
          <w:b/>
        </w:rPr>
        <w:t xml:space="preserve"> – Transfers of land may be registered</w:t>
      </w:r>
    </w:p>
    <w:p w:rsidR="009A2818" w:rsidRDefault="001E160E" w:rsidP="009A2818">
      <w:r>
        <w:t>I</w:t>
      </w:r>
      <w:r w:rsidR="00F00F47">
        <w:t xml:space="preserve">f, after </w:t>
      </w:r>
      <w:r w:rsidR="002C230F">
        <w:t>the ves</w:t>
      </w:r>
      <w:r w:rsidR="00F00F47">
        <w:t xml:space="preserve">ting of </w:t>
      </w:r>
      <w:r w:rsidR="002C230F">
        <w:t>assets in t</w:t>
      </w:r>
      <w:r w:rsidR="00F00F47">
        <w:t xml:space="preserve">he Commonwealth under Item </w:t>
      </w:r>
      <w:r w:rsidR="00B9603C">
        <w:t>2</w:t>
      </w:r>
      <w:r w:rsidR="00446E72">
        <w:t>1</w:t>
      </w:r>
      <w:r w:rsidR="00F00F47">
        <w:t xml:space="preserve">, any land vests in the Commonwealth, then a certificate signed by the Minister that identifies the land and states that it is vested in the Commonwealth can be submitted to a land registration official.  </w:t>
      </w:r>
      <w:r w:rsidR="001E7676">
        <w:t xml:space="preserve">The land registration official may then register the matter and deal with and give effect to the certificate. </w:t>
      </w:r>
      <w:r w:rsidR="00F00F47">
        <w:t xml:space="preserve">A </w:t>
      </w:r>
      <w:r w:rsidR="001E7676">
        <w:t>“</w:t>
      </w:r>
      <w:r w:rsidR="00F00F47">
        <w:t>land registration official</w:t>
      </w:r>
      <w:r w:rsidR="001E7676">
        <w:t>”</w:t>
      </w:r>
      <w:r w:rsidR="00F00F47">
        <w:t xml:space="preserve"> is defined under Item </w:t>
      </w:r>
      <w:r w:rsidR="00446E72">
        <w:t>20</w:t>
      </w:r>
      <w:r w:rsidR="00F00F47">
        <w:t xml:space="preserve"> as meaning the Registrar of Titles or other proper officer in the State or Territory in which the land is situated.</w:t>
      </w:r>
    </w:p>
    <w:p w:rsidR="00F00F47" w:rsidRDefault="00F00F47" w:rsidP="009A2818"/>
    <w:p w:rsidR="00F00F47" w:rsidRPr="001E160E" w:rsidRDefault="00F00F47" w:rsidP="009A2818">
      <w:pPr>
        <w:rPr>
          <w:b/>
        </w:rPr>
      </w:pPr>
      <w:r w:rsidRPr="001E160E">
        <w:rPr>
          <w:b/>
        </w:rPr>
        <w:t xml:space="preserve">Item </w:t>
      </w:r>
      <w:r w:rsidR="002E44FF">
        <w:rPr>
          <w:b/>
        </w:rPr>
        <w:t>2</w:t>
      </w:r>
      <w:r w:rsidR="00605B53">
        <w:rPr>
          <w:b/>
        </w:rPr>
        <w:t>4</w:t>
      </w:r>
      <w:r w:rsidRPr="001E160E">
        <w:rPr>
          <w:b/>
        </w:rPr>
        <w:t xml:space="preserve"> – Certificates relating the vesting of assets other than land</w:t>
      </w:r>
    </w:p>
    <w:p w:rsidR="006D7023" w:rsidRDefault="006D7023" w:rsidP="006D7023">
      <w:r>
        <w:t xml:space="preserve">If, after the vesting of assets in the Commonwealth under Item </w:t>
      </w:r>
      <w:r w:rsidR="00446E72">
        <w:t>21</w:t>
      </w:r>
      <w:r>
        <w:t xml:space="preserve">, any asset other than land vests in the Commonwealth, then a certificate signed by the Minister that identifies the asset and states that it is vested in the Commonwealth can be submitted to an assets official.  The assets official can then deal with and register the asset.  An </w:t>
      </w:r>
      <w:r w:rsidR="001E7676">
        <w:t>“</w:t>
      </w:r>
      <w:r>
        <w:t>assets official</w:t>
      </w:r>
      <w:r w:rsidR="001E7676">
        <w:t>”</w:t>
      </w:r>
      <w:r>
        <w:t xml:space="preserve"> is defined under Item </w:t>
      </w:r>
      <w:r w:rsidR="00446E72">
        <w:t>20</w:t>
      </w:r>
      <w:r>
        <w:t xml:space="preserve"> as meaning the person or authority, under </w:t>
      </w:r>
      <w:r w:rsidR="00337B4F">
        <w:t>law that</w:t>
      </w:r>
      <w:r>
        <w:t xml:space="preserve"> has responsibility for keeping a register of assets.</w:t>
      </w:r>
    </w:p>
    <w:p w:rsidR="009A352F" w:rsidRPr="001E160E" w:rsidRDefault="009A352F" w:rsidP="009A2818">
      <w:pPr>
        <w:rPr>
          <w:b/>
        </w:rPr>
      </w:pPr>
    </w:p>
    <w:p w:rsidR="009A352F" w:rsidRPr="001E160E" w:rsidRDefault="009A352F" w:rsidP="009A2818">
      <w:pPr>
        <w:rPr>
          <w:b/>
        </w:rPr>
      </w:pPr>
      <w:r w:rsidRPr="001E160E">
        <w:rPr>
          <w:b/>
        </w:rPr>
        <w:t xml:space="preserve">Item </w:t>
      </w:r>
      <w:r w:rsidR="00C2658A">
        <w:rPr>
          <w:b/>
        </w:rPr>
        <w:t>2</w:t>
      </w:r>
      <w:r w:rsidR="00605B53">
        <w:rPr>
          <w:b/>
        </w:rPr>
        <w:t>5</w:t>
      </w:r>
      <w:r w:rsidRPr="001E160E">
        <w:rPr>
          <w:b/>
        </w:rPr>
        <w:t xml:space="preserve"> – Acts of HWA to be attributed to the Commonwealth</w:t>
      </w:r>
    </w:p>
    <w:p w:rsidR="006D5152" w:rsidRDefault="001E160E" w:rsidP="009A2818">
      <w:r>
        <w:t>This Item sets out that anything done by or in relation to HWA before the commencement time shall be taken as if it was done by, or in relation to the Commonwealth after the commencement time.</w:t>
      </w:r>
    </w:p>
    <w:p w:rsidR="006D5152" w:rsidRDefault="006D5152">
      <w:r>
        <w:br w:type="page"/>
      </w:r>
    </w:p>
    <w:p w:rsidR="009A352F" w:rsidRPr="001E160E" w:rsidRDefault="009A352F" w:rsidP="009A2818">
      <w:pPr>
        <w:rPr>
          <w:b/>
        </w:rPr>
      </w:pPr>
      <w:r w:rsidRPr="001E160E">
        <w:rPr>
          <w:b/>
        </w:rPr>
        <w:t xml:space="preserve">Item </w:t>
      </w:r>
      <w:r w:rsidR="00C2658A">
        <w:rPr>
          <w:b/>
        </w:rPr>
        <w:t>2</w:t>
      </w:r>
      <w:r w:rsidR="00605B53">
        <w:rPr>
          <w:b/>
        </w:rPr>
        <w:t>6</w:t>
      </w:r>
      <w:r w:rsidRPr="001E160E">
        <w:rPr>
          <w:b/>
        </w:rPr>
        <w:t xml:space="preserve"> – Substitution of the Commonwealth as a party to certain pending proceedings</w:t>
      </w:r>
    </w:p>
    <w:p w:rsidR="009A352F" w:rsidRPr="001E160E" w:rsidRDefault="001E7676" w:rsidP="009A2818">
      <w:r>
        <w:t xml:space="preserve">This </w:t>
      </w:r>
      <w:r w:rsidR="00746590">
        <w:t>I</w:t>
      </w:r>
      <w:r>
        <w:t>tem sets out that a</w:t>
      </w:r>
      <w:r w:rsidR="001323F9">
        <w:t xml:space="preserve">ny proceedings in a court or tribunal that were pending or had commenced immediately before the commencement time </w:t>
      </w:r>
      <w:r w:rsidR="003430D0">
        <w:t xml:space="preserve">and </w:t>
      </w:r>
      <w:r w:rsidR="001323F9">
        <w:t xml:space="preserve">to which HWA </w:t>
      </w:r>
      <w:r w:rsidR="003430D0">
        <w:t>was a party will have the Commonwealth substituted as the party to those proceedings.</w:t>
      </w:r>
    </w:p>
    <w:p w:rsidR="001E160E" w:rsidRPr="001E160E" w:rsidRDefault="001E160E" w:rsidP="009A2818">
      <w:pPr>
        <w:rPr>
          <w:b/>
        </w:rPr>
      </w:pPr>
    </w:p>
    <w:p w:rsidR="009A352F" w:rsidRPr="001E160E" w:rsidRDefault="009A352F" w:rsidP="009A2818">
      <w:pPr>
        <w:rPr>
          <w:b/>
        </w:rPr>
      </w:pPr>
      <w:r w:rsidRPr="001E160E">
        <w:rPr>
          <w:b/>
        </w:rPr>
        <w:t xml:space="preserve">Item </w:t>
      </w:r>
      <w:r w:rsidR="00C2658A">
        <w:rPr>
          <w:b/>
        </w:rPr>
        <w:t>2</w:t>
      </w:r>
      <w:r w:rsidR="00605B53">
        <w:rPr>
          <w:b/>
        </w:rPr>
        <w:t>7</w:t>
      </w:r>
      <w:r w:rsidRPr="001E160E">
        <w:rPr>
          <w:b/>
        </w:rPr>
        <w:t xml:space="preserve"> – Transfer of records to the Department</w:t>
      </w:r>
    </w:p>
    <w:p w:rsidR="009A352F" w:rsidRPr="003430D0" w:rsidRDefault="008927D6" w:rsidP="009A2818">
      <w:r>
        <w:t>This I</w:t>
      </w:r>
      <w:r w:rsidR="003430D0" w:rsidRPr="003430D0">
        <w:t xml:space="preserve">tem sets out that any records or documents in HWA’s possession </w:t>
      </w:r>
      <w:r w:rsidR="003430D0">
        <w:t>immediately before the commencement time will transfer to the Department of Health.  This includes all electronic and printed records and documents.</w:t>
      </w:r>
    </w:p>
    <w:p w:rsidR="003430D0" w:rsidRDefault="003430D0" w:rsidP="009A2818">
      <w:pPr>
        <w:rPr>
          <w:b/>
        </w:rPr>
      </w:pPr>
    </w:p>
    <w:p w:rsidR="009A352F" w:rsidRPr="001E160E" w:rsidRDefault="009A352F" w:rsidP="009A2818">
      <w:pPr>
        <w:rPr>
          <w:b/>
        </w:rPr>
      </w:pPr>
      <w:r w:rsidRPr="001E160E">
        <w:rPr>
          <w:b/>
        </w:rPr>
        <w:t xml:space="preserve">Item </w:t>
      </w:r>
      <w:r w:rsidR="00C2658A">
        <w:rPr>
          <w:b/>
        </w:rPr>
        <w:t>2</w:t>
      </w:r>
      <w:r w:rsidR="00605B53">
        <w:rPr>
          <w:b/>
        </w:rPr>
        <w:t>8</w:t>
      </w:r>
      <w:r w:rsidRPr="001E160E">
        <w:rPr>
          <w:b/>
        </w:rPr>
        <w:t xml:space="preserve"> – Transfer of Ombudsman investigations</w:t>
      </w:r>
    </w:p>
    <w:p w:rsidR="009A352F" w:rsidRPr="00753F1A" w:rsidRDefault="00753F1A" w:rsidP="00602D05">
      <w:r w:rsidRPr="00753F1A">
        <w:t xml:space="preserve">This Item sets out that if there is </w:t>
      </w:r>
      <w:r>
        <w:t xml:space="preserve">any </w:t>
      </w:r>
      <w:r w:rsidR="0022270D">
        <w:t>complaint made to the Ombudsman,</w:t>
      </w:r>
      <w:r w:rsidR="00446E72">
        <w:t xml:space="preserve"> or</w:t>
      </w:r>
      <w:r w:rsidR="0022270D">
        <w:t xml:space="preserve"> an investigation underway by the Ombudsman </w:t>
      </w:r>
      <w:r w:rsidR="001E7676">
        <w:t>and</w:t>
      </w:r>
      <w:r w:rsidR="0022270D">
        <w:t xml:space="preserve"> </w:t>
      </w:r>
      <w:r w:rsidR="001E7676">
        <w:t>such</w:t>
      </w:r>
      <w:r w:rsidR="0022270D">
        <w:t xml:space="preserve"> matter had not been finalised by the Ombudsman in relation to an action taken by HWA, then after the commencement time of this Bill that action will </w:t>
      </w:r>
      <w:r w:rsidR="001E7676">
        <w:t xml:space="preserve">for the purposes of the </w:t>
      </w:r>
      <w:r w:rsidR="001E7676" w:rsidRPr="00746590">
        <w:rPr>
          <w:i/>
        </w:rPr>
        <w:t>Ombudsman Act 1976</w:t>
      </w:r>
      <w:r w:rsidR="001E7676">
        <w:t xml:space="preserve">, </w:t>
      </w:r>
      <w:r w:rsidR="0022270D">
        <w:t>be taken to have been done by the Department of Health.</w:t>
      </w:r>
    </w:p>
    <w:p w:rsidR="00753F1A" w:rsidRPr="001E160E" w:rsidRDefault="00753F1A" w:rsidP="009A2818">
      <w:pPr>
        <w:rPr>
          <w:b/>
        </w:rPr>
      </w:pPr>
    </w:p>
    <w:p w:rsidR="009A352F" w:rsidRPr="001E160E" w:rsidRDefault="009A352F" w:rsidP="009A2818">
      <w:pPr>
        <w:rPr>
          <w:b/>
        </w:rPr>
      </w:pPr>
      <w:r w:rsidRPr="001E160E">
        <w:rPr>
          <w:b/>
        </w:rPr>
        <w:t xml:space="preserve">Item </w:t>
      </w:r>
      <w:r w:rsidR="00C2658A">
        <w:rPr>
          <w:b/>
        </w:rPr>
        <w:t>2</w:t>
      </w:r>
      <w:r w:rsidR="00605B53">
        <w:rPr>
          <w:b/>
        </w:rPr>
        <w:t>9</w:t>
      </w:r>
      <w:r w:rsidRPr="001E160E">
        <w:rPr>
          <w:b/>
        </w:rPr>
        <w:t xml:space="preserve"> – References in certain instruments to HWA</w:t>
      </w:r>
    </w:p>
    <w:p w:rsidR="00720822" w:rsidRDefault="00720822" w:rsidP="00602D05">
      <w:r w:rsidRPr="00720822">
        <w:t>This Item sets out that all references to HWA in certain instruments will become references to the Commonwealth after the commencement time.</w:t>
      </w:r>
      <w:r>
        <w:t xml:space="preserve">  An instrument is defined as a contract, undertaking, deed or agreement</w:t>
      </w:r>
      <w:r w:rsidR="00746590">
        <w:t xml:space="preserve">.  </w:t>
      </w:r>
      <w:r w:rsidR="003F15AA">
        <w:t>Some instruments called ‘exempt instruments’ are</w:t>
      </w:r>
      <w:r w:rsidR="009119B4">
        <w:t xml:space="preserve"> not included and are defined in </w:t>
      </w:r>
      <w:proofErr w:type="spellStart"/>
      <w:r w:rsidR="009119B4">
        <w:t>subitem</w:t>
      </w:r>
      <w:proofErr w:type="spellEnd"/>
      <w:r w:rsidR="009119B4">
        <w:t xml:space="preserve"> (3</w:t>
      </w:r>
      <w:r w:rsidR="003F15AA">
        <w:t>).</w:t>
      </w:r>
    </w:p>
    <w:p w:rsidR="00C73EFC" w:rsidRPr="001E160E" w:rsidRDefault="00C73EFC" w:rsidP="009A2818">
      <w:pPr>
        <w:rPr>
          <w:b/>
        </w:rPr>
      </w:pPr>
    </w:p>
    <w:p w:rsidR="009A352F" w:rsidRPr="001E160E" w:rsidRDefault="009A352F" w:rsidP="009A2818">
      <w:pPr>
        <w:rPr>
          <w:b/>
        </w:rPr>
      </w:pPr>
      <w:r w:rsidRPr="001E160E">
        <w:rPr>
          <w:b/>
        </w:rPr>
        <w:t xml:space="preserve">Item </w:t>
      </w:r>
      <w:r w:rsidR="00605B53">
        <w:rPr>
          <w:b/>
        </w:rPr>
        <w:t>30</w:t>
      </w:r>
      <w:r w:rsidR="00941274">
        <w:rPr>
          <w:b/>
        </w:rPr>
        <w:t xml:space="preserve"> – Final annual report</w:t>
      </w:r>
    </w:p>
    <w:p w:rsidR="0085667C" w:rsidRDefault="009302D4" w:rsidP="009517AA">
      <w:r w:rsidRPr="00746590">
        <w:t xml:space="preserve">This Item sets out </w:t>
      </w:r>
      <w:r w:rsidR="0085667C">
        <w:t>that the</w:t>
      </w:r>
      <w:r w:rsidR="002007E0">
        <w:t xml:space="preserve"> Secretary must prepare a </w:t>
      </w:r>
      <w:r w:rsidR="00C82C9D">
        <w:t>report f</w:t>
      </w:r>
      <w:r w:rsidR="00491265">
        <w:t>or HWA either under I</w:t>
      </w:r>
      <w:r w:rsidR="00602D05">
        <w:t>tem 31</w:t>
      </w:r>
      <w:r w:rsidR="0085667C">
        <w:t xml:space="preserve"> if the commencement time is on or after 1 July 2014 </w:t>
      </w:r>
      <w:r w:rsidR="0085667C" w:rsidRPr="002E11C1">
        <w:t>and</w:t>
      </w:r>
      <w:r w:rsidR="0085667C">
        <w:t xml:space="preserve"> </w:t>
      </w:r>
      <w:r w:rsidR="0085667C" w:rsidRPr="002E11C1">
        <w:t xml:space="preserve">section 6 of </w:t>
      </w:r>
      <w:r w:rsidR="0085667C" w:rsidRPr="00602D05">
        <w:t xml:space="preserve">the </w:t>
      </w:r>
      <w:r w:rsidR="0085667C" w:rsidRPr="00491265">
        <w:rPr>
          <w:i/>
        </w:rPr>
        <w:t xml:space="preserve">Public Governance, Performance and Accountability Act 2013 </w:t>
      </w:r>
      <w:r w:rsidR="0085667C" w:rsidRPr="002E11C1">
        <w:t>commences on 1 July 2014</w:t>
      </w:r>
      <w:r w:rsidR="00C82C9D">
        <w:t xml:space="preserve"> </w:t>
      </w:r>
      <w:r w:rsidR="00491265">
        <w:t>or under I</w:t>
      </w:r>
      <w:r w:rsidR="0085667C">
        <w:t xml:space="preserve">tem 32 if the commencement time is before 1 July 2014 or </w:t>
      </w:r>
      <w:r w:rsidR="0085667C" w:rsidRPr="002E11C1">
        <w:t xml:space="preserve">section 6 of the </w:t>
      </w:r>
      <w:r w:rsidR="0085667C" w:rsidRPr="00491265">
        <w:rPr>
          <w:i/>
        </w:rPr>
        <w:t>Public Governance, Performance and Accountability Act 2013</w:t>
      </w:r>
      <w:r w:rsidR="0085667C" w:rsidRPr="002E11C1">
        <w:t xml:space="preserve"> </w:t>
      </w:r>
      <w:r w:rsidR="0085667C">
        <w:t>does not commence</w:t>
      </w:r>
      <w:r w:rsidR="0085667C" w:rsidRPr="002E11C1">
        <w:t xml:space="preserve"> on 1 July 2014</w:t>
      </w:r>
      <w:r w:rsidR="0085667C">
        <w:t>.</w:t>
      </w:r>
    </w:p>
    <w:p w:rsidR="0085667C" w:rsidRDefault="0085667C" w:rsidP="00E4399D">
      <w:pPr>
        <w:tabs>
          <w:tab w:val="right" w:pos="1985"/>
        </w:tabs>
        <w:spacing w:before="40"/>
        <w:ind w:left="2098" w:hanging="2098"/>
      </w:pPr>
    </w:p>
    <w:p w:rsidR="002007E0" w:rsidRPr="00E4399D" w:rsidRDefault="002007E0" w:rsidP="00E4399D">
      <w:pPr>
        <w:tabs>
          <w:tab w:val="right" w:pos="1985"/>
        </w:tabs>
        <w:spacing w:before="40"/>
        <w:ind w:left="2098" w:hanging="2098"/>
        <w:rPr>
          <w:b/>
        </w:rPr>
      </w:pPr>
      <w:r w:rsidRPr="00E4399D">
        <w:rPr>
          <w:b/>
        </w:rPr>
        <w:t>Item 31 – Final annual report based on new law</w:t>
      </w:r>
    </w:p>
    <w:p w:rsidR="00753F1A" w:rsidRPr="009302D4" w:rsidRDefault="002007E0" w:rsidP="009517AA">
      <w:r>
        <w:t>This item</w:t>
      </w:r>
      <w:r w:rsidR="009302D4" w:rsidRPr="00746590">
        <w:t xml:space="preserve"> require</w:t>
      </w:r>
      <w:r>
        <w:t xml:space="preserve">s the Secretary to prepare a report in accordance with </w:t>
      </w:r>
      <w:r w:rsidRPr="002E11C1">
        <w:t xml:space="preserve">section 46 of the </w:t>
      </w:r>
      <w:r w:rsidRPr="00491265">
        <w:rPr>
          <w:i/>
        </w:rPr>
        <w:t>Public Governance, Performance and Accountability Act 2013</w:t>
      </w:r>
      <w:r w:rsidRPr="002E11C1">
        <w:t xml:space="preserve"> for the final reporting period.</w:t>
      </w:r>
      <w:r>
        <w:t xml:space="preserve">  The term “final reporting period”</w:t>
      </w:r>
      <w:r w:rsidR="00C82C9D">
        <w:t xml:space="preserve"> is a defined period that will be the period</w:t>
      </w:r>
      <w:r w:rsidR="00E84271">
        <w:t xml:space="preserve"> commencing</w:t>
      </w:r>
      <w:r w:rsidR="00C82C9D">
        <w:t xml:space="preserve"> either </w:t>
      </w:r>
      <w:r w:rsidR="00E84271">
        <w:t xml:space="preserve">under </w:t>
      </w:r>
      <w:r w:rsidR="00C82C9D">
        <w:t>(</w:t>
      </w:r>
      <w:proofErr w:type="spellStart"/>
      <w:r w:rsidR="00E84271">
        <w:t>i</w:t>
      </w:r>
      <w:proofErr w:type="spellEnd"/>
      <w:r w:rsidR="00E84271">
        <w:t xml:space="preserve">), (ii) or (iii) of </w:t>
      </w:r>
      <w:proofErr w:type="spellStart"/>
      <w:r w:rsidR="00E84271">
        <w:t>subitem</w:t>
      </w:r>
      <w:proofErr w:type="spellEnd"/>
      <w:r w:rsidR="00E84271">
        <w:t xml:space="preserve"> (2)(a) and ending under </w:t>
      </w:r>
      <w:proofErr w:type="spellStart"/>
      <w:r w:rsidR="00E84271">
        <w:t>subitem</w:t>
      </w:r>
      <w:proofErr w:type="spellEnd"/>
      <w:r w:rsidR="005D4845">
        <w:t xml:space="preserve"> </w:t>
      </w:r>
      <w:r w:rsidR="00E84271">
        <w:t>(2)(b) immediately before the commencement time.</w:t>
      </w:r>
      <w:r w:rsidR="00DD6524">
        <w:t xml:space="preserve"> </w:t>
      </w:r>
      <w:r w:rsidR="00491265">
        <w:t xml:space="preserve"> </w:t>
      </w:r>
      <w:proofErr w:type="spellStart"/>
      <w:r w:rsidR="00DD6524">
        <w:t>Subitem</w:t>
      </w:r>
      <w:proofErr w:type="spellEnd"/>
      <w:r w:rsidR="00DD6524">
        <w:t xml:space="preserve"> (3) requires that the report must include financial statements for the final reporting period.  </w:t>
      </w:r>
      <w:proofErr w:type="spellStart"/>
      <w:r w:rsidR="00DD6524">
        <w:t>Subitems</w:t>
      </w:r>
      <w:proofErr w:type="spellEnd"/>
      <w:r w:rsidR="00DD6524">
        <w:t xml:space="preserve"> (4) and (5) set out how, depending </w:t>
      </w:r>
      <w:r w:rsidR="00941274">
        <w:t xml:space="preserve">on the final reporting period, </w:t>
      </w:r>
      <w:r w:rsidR="00DD6524">
        <w:t xml:space="preserve">the financial statements must be prepared and audited.  </w:t>
      </w:r>
      <w:proofErr w:type="spellStart"/>
      <w:r w:rsidR="00DD6524">
        <w:t>Subitems</w:t>
      </w:r>
      <w:proofErr w:type="spellEnd"/>
      <w:r w:rsidR="00DD6524">
        <w:t xml:space="preserve"> (6) and (7) are deeming provisions that wil</w:t>
      </w:r>
      <w:r w:rsidR="00602D05">
        <w:t>l be relevant for implementation</w:t>
      </w:r>
      <w:r w:rsidR="0034600C">
        <w:t xml:space="preserve"> of the preceding </w:t>
      </w:r>
      <w:r w:rsidR="00DD6524">
        <w:t xml:space="preserve">items </w:t>
      </w:r>
      <w:r w:rsidR="00602D05">
        <w:t xml:space="preserve">and apply </w:t>
      </w:r>
      <w:r w:rsidR="00DD6524">
        <w:t xml:space="preserve">depending on the dates for the final reporting period.  </w:t>
      </w:r>
      <w:proofErr w:type="spellStart"/>
      <w:r w:rsidR="00DD6524">
        <w:t>Subitem</w:t>
      </w:r>
      <w:proofErr w:type="spellEnd"/>
      <w:r w:rsidR="00DD6524">
        <w:t xml:space="preserve"> (8) requires the Secretary to give the report to the Minister by the 15</w:t>
      </w:r>
      <w:r w:rsidR="00DD6524" w:rsidRPr="009517AA">
        <w:t>th</w:t>
      </w:r>
      <w:r w:rsidR="00DD6524">
        <w:t xml:space="preserve"> day of the fourth month after the end of the reporting period and provides that the Minister may grant an extension of time.  </w:t>
      </w:r>
      <w:proofErr w:type="spellStart"/>
      <w:r w:rsidR="00DD6524">
        <w:t>Subitem</w:t>
      </w:r>
      <w:proofErr w:type="spellEnd"/>
      <w:r w:rsidR="00DD6524">
        <w:t xml:space="preserve"> (9) provides that t</w:t>
      </w:r>
      <w:r w:rsidR="00D80D0E" w:rsidRPr="00746590">
        <w:t>he Minister must then table the report in each House of the Parliament as soon as practicable.</w:t>
      </w:r>
    </w:p>
    <w:p w:rsidR="006D5152" w:rsidRDefault="006D5152">
      <w:pPr>
        <w:rPr>
          <w:b/>
        </w:rPr>
      </w:pPr>
      <w:r>
        <w:rPr>
          <w:b/>
        </w:rPr>
        <w:br w:type="page"/>
      </w:r>
    </w:p>
    <w:p w:rsidR="002A1F48" w:rsidRDefault="002A1F48" w:rsidP="009A2818">
      <w:pPr>
        <w:rPr>
          <w:b/>
        </w:rPr>
      </w:pPr>
      <w:r>
        <w:rPr>
          <w:b/>
        </w:rPr>
        <w:t>Item 32 – Final annual report based on old law</w:t>
      </w:r>
    </w:p>
    <w:p w:rsidR="002A1F48" w:rsidRPr="002E11C1" w:rsidRDefault="002A1F48" w:rsidP="009517AA">
      <w:r>
        <w:t>This item requires the Secretary to prepare a report for HWA in accordance with Schedule 1</w:t>
      </w:r>
      <w:r w:rsidR="009517AA">
        <w:t xml:space="preserve"> to </w:t>
      </w:r>
      <w:r w:rsidRPr="00DF5BEC">
        <w:t xml:space="preserve">the </w:t>
      </w:r>
      <w:r w:rsidRPr="00491265">
        <w:rPr>
          <w:i/>
        </w:rPr>
        <w:t>Commonwealth Authorities and Companies Act 1997</w:t>
      </w:r>
      <w:r w:rsidRPr="00DF5BEC">
        <w:t xml:space="preserve"> for the </w:t>
      </w:r>
      <w:r w:rsidRPr="00E4399D">
        <w:t>final reporting period</w:t>
      </w:r>
      <w:r>
        <w:t xml:space="preserve">. </w:t>
      </w:r>
      <w:r w:rsidR="00491265">
        <w:t xml:space="preserve"> </w:t>
      </w:r>
      <w:r>
        <w:t>The term “final reporting period” is a defined period that will be the period commencing either under (</w:t>
      </w:r>
      <w:proofErr w:type="spellStart"/>
      <w:r>
        <w:t>i</w:t>
      </w:r>
      <w:proofErr w:type="spellEnd"/>
      <w:r>
        <w:t xml:space="preserve">) or (ii) of </w:t>
      </w:r>
      <w:proofErr w:type="spellStart"/>
      <w:r>
        <w:t>subitem</w:t>
      </w:r>
      <w:proofErr w:type="spellEnd"/>
      <w:r>
        <w:t xml:space="preserve"> (2)(a) and ending under </w:t>
      </w:r>
      <w:proofErr w:type="spellStart"/>
      <w:r>
        <w:t>subitem</w:t>
      </w:r>
      <w:proofErr w:type="spellEnd"/>
      <w:r w:rsidR="005D4845">
        <w:t xml:space="preserve"> </w:t>
      </w:r>
      <w:r>
        <w:t xml:space="preserve">(2)(b) immediately before the commencement time. </w:t>
      </w:r>
      <w:r w:rsidR="00491265">
        <w:t xml:space="preserve"> </w:t>
      </w:r>
      <w:proofErr w:type="spellStart"/>
      <w:r>
        <w:t>S</w:t>
      </w:r>
      <w:r w:rsidR="00602D05">
        <w:t>ub</w:t>
      </w:r>
      <w:r>
        <w:t>item</w:t>
      </w:r>
      <w:proofErr w:type="spellEnd"/>
      <w:r>
        <w:t xml:space="preserve"> (3) is a deeming provision th</w:t>
      </w:r>
      <w:r w:rsidR="00602D05">
        <w:t>at will be relevant for implementation</w:t>
      </w:r>
      <w:r w:rsidR="0034600C">
        <w:t xml:space="preserve"> of the preceding </w:t>
      </w:r>
      <w:r w:rsidR="00961026">
        <w:t>items.</w:t>
      </w:r>
      <w:r>
        <w:t xml:space="preserve">  </w:t>
      </w:r>
      <w:proofErr w:type="spellStart"/>
      <w:r>
        <w:t>Subitem</w:t>
      </w:r>
      <w:proofErr w:type="spellEnd"/>
      <w:r>
        <w:t xml:space="preserve"> (4) requires the Secretary to give the report to the Minister by the 15</w:t>
      </w:r>
      <w:r w:rsidRPr="009517AA">
        <w:t>th</w:t>
      </w:r>
      <w:r>
        <w:t xml:space="preserve"> day of the fourth month after the end of the reporting period and provides that the Minister may grant an extension of time.  </w:t>
      </w:r>
      <w:proofErr w:type="spellStart"/>
      <w:r>
        <w:t>Subitem</w:t>
      </w:r>
      <w:proofErr w:type="spellEnd"/>
      <w:r>
        <w:t xml:space="preserve"> (5) provides that t</w:t>
      </w:r>
      <w:r w:rsidRPr="00746590">
        <w:t>he Minister must then table the report in each House of the Parliament as soon as practicable</w:t>
      </w:r>
      <w:r>
        <w:t>.</w:t>
      </w:r>
    </w:p>
    <w:p w:rsidR="002A1F48" w:rsidRPr="00E4399D" w:rsidRDefault="002A1F48" w:rsidP="009A2818"/>
    <w:p w:rsidR="004720C5" w:rsidRDefault="004720C5" w:rsidP="009A2818">
      <w:pPr>
        <w:rPr>
          <w:b/>
        </w:rPr>
      </w:pPr>
      <w:r>
        <w:rPr>
          <w:b/>
        </w:rPr>
        <w:t>Item 3</w:t>
      </w:r>
      <w:r w:rsidR="002A1F48">
        <w:rPr>
          <w:b/>
        </w:rPr>
        <w:t>3</w:t>
      </w:r>
      <w:r>
        <w:rPr>
          <w:b/>
        </w:rPr>
        <w:t xml:space="preserve"> – No transfer of appointment, engagement or employment of staff</w:t>
      </w:r>
    </w:p>
    <w:p w:rsidR="004720C5" w:rsidRDefault="004720C5" w:rsidP="004720C5">
      <w:pPr>
        <w:rPr>
          <w:b/>
        </w:rPr>
      </w:pPr>
      <w:r>
        <w:t>This item is made out of an abundance of caution to confirm that nothing in this Part produces the result that an HWA officer appointed, engaged or employed by HWA is taken to be appointed, engaged or employed by the Commonwea</w:t>
      </w:r>
      <w:r w:rsidR="009119B4">
        <w:t xml:space="preserve">lth </w:t>
      </w:r>
      <w:r w:rsidR="00380DD8">
        <w:t>(</w:t>
      </w:r>
      <w:r w:rsidR="009119B4">
        <w:t>from the ‘commencement time’</w:t>
      </w:r>
      <w:r w:rsidR="00380DD8">
        <w:t>)</w:t>
      </w:r>
      <w:r>
        <w:t>.</w:t>
      </w:r>
    </w:p>
    <w:p w:rsidR="004720C5" w:rsidRDefault="004720C5" w:rsidP="009A2818">
      <w:pPr>
        <w:rPr>
          <w:b/>
        </w:rPr>
      </w:pPr>
    </w:p>
    <w:p w:rsidR="009A352F" w:rsidRPr="001E160E" w:rsidRDefault="009A352F" w:rsidP="009A2818">
      <w:pPr>
        <w:rPr>
          <w:b/>
        </w:rPr>
      </w:pPr>
      <w:r w:rsidRPr="001E160E">
        <w:rPr>
          <w:b/>
        </w:rPr>
        <w:t xml:space="preserve">Item </w:t>
      </w:r>
      <w:r w:rsidR="003F15AA">
        <w:rPr>
          <w:b/>
        </w:rPr>
        <w:t>3</w:t>
      </w:r>
      <w:r w:rsidR="002A1F48">
        <w:rPr>
          <w:b/>
        </w:rPr>
        <w:t>4</w:t>
      </w:r>
      <w:r w:rsidRPr="001E160E">
        <w:rPr>
          <w:b/>
        </w:rPr>
        <w:t xml:space="preserve"> – Exemption from stamp duty and other State or Territory taxes</w:t>
      </w:r>
    </w:p>
    <w:p w:rsidR="009A352F" w:rsidRPr="00877643" w:rsidRDefault="00877643" w:rsidP="009A2818">
      <w:r>
        <w:t xml:space="preserve">This Item sets out that no stamp duty or other tax is payable </w:t>
      </w:r>
      <w:r w:rsidRPr="009517AA">
        <w:t>under a state or territory law in respect of an exempt matter, including anything connected with an exempt matter.  An exempt matter is defined as the vesting of an asset, right and liability under the</w:t>
      </w:r>
      <w:r w:rsidR="00356189" w:rsidRPr="009517AA">
        <w:t xml:space="preserve"> transitional provisions of the Bill</w:t>
      </w:r>
      <w:r w:rsidRPr="009517AA">
        <w:t xml:space="preserve"> or the operation of the </w:t>
      </w:r>
      <w:r w:rsidR="00356189" w:rsidRPr="009517AA">
        <w:t>transitional provisions of the Bill</w:t>
      </w:r>
      <w:r w:rsidRPr="009517AA">
        <w:t xml:space="preserve"> in any other respect.</w:t>
      </w:r>
    </w:p>
    <w:p w:rsidR="00877643" w:rsidRPr="001E160E" w:rsidRDefault="00877643" w:rsidP="009A2818">
      <w:pPr>
        <w:rPr>
          <w:b/>
        </w:rPr>
      </w:pPr>
    </w:p>
    <w:p w:rsidR="009A352F" w:rsidRDefault="009A352F" w:rsidP="009A2818">
      <w:pPr>
        <w:rPr>
          <w:b/>
        </w:rPr>
      </w:pPr>
      <w:r w:rsidRPr="001E160E">
        <w:rPr>
          <w:b/>
        </w:rPr>
        <w:t xml:space="preserve">Item </w:t>
      </w:r>
      <w:r w:rsidR="00C2658A">
        <w:rPr>
          <w:b/>
        </w:rPr>
        <w:t>3</w:t>
      </w:r>
      <w:r w:rsidR="002A1F48">
        <w:rPr>
          <w:b/>
        </w:rPr>
        <w:t>5</w:t>
      </w:r>
      <w:r w:rsidRPr="001E160E">
        <w:rPr>
          <w:b/>
        </w:rPr>
        <w:t xml:space="preserve"> – Certificates taken to be authentic</w:t>
      </w:r>
    </w:p>
    <w:p w:rsidR="00CA20A5" w:rsidRPr="00CA20A5" w:rsidRDefault="00CA20A5" w:rsidP="009A2818">
      <w:r>
        <w:t xml:space="preserve">This Item sets out that any certificate made or issued under a provision in Part </w:t>
      </w:r>
      <w:r w:rsidR="003F15AA">
        <w:t>3</w:t>
      </w:r>
      <w:r>
        <w:t xml:space="preserve"> of this Bill (Transitional provisions) is taken to be an authentic certificate and properly issued, unless otherwise established.  Certificates can be issued under the Transitional Provisions of this Bill for </w:t>
      </w:r>
      <w:r w:rsidR="00E62F55">
        <w:t>transfers of land (</w:t>
      </w:r>
      <w:r w:rsidR="00E62F55" w:rsidRPr="009119B4">
        <w:t xml:space="preserve">Item </w:t>
      </w:r>
      <w:r w:rsidR="00446E72">
        <w:t>23</w:t>
      </w:r>
      <w:r w:rsidR="00E62F55" w:rsidRPr="009119B4">
        <w:t>)</w:t>
      </w:r>
      <w:r w:rsidR="00E62F55">
        <w:t xml:space="preserve"> and vesting of assets other than land </w:t>
      </w:r>
      <w:r w:rsidR="00E62F55" w:rsidRPr="009119B4">
        <w:t xml:space="preserve">(Item </w:t>
      </w:r>
      <w:r w:rsidR="00446E72">
        <w:t>24</w:t>
      </w:r>
      <w:r w:rsidR="00E62F55">
        <w:t>).</w:t>
      </w:r>
    </w:p>
    <w:p w:rsidR="009A352F" w:rsidRPr="001E160E" w:rsidRDefault="009A352F" w:rsidP="009A2818">
      <w:pPr>
        <w:rPr>
          <w:b/>
        </w:rPr>
      </w:pPr>
    </w:p>
    <w:p w:rsidR="009A352F" w:rsidRPr="001E160E" w:rsidRDefault="009A352F" w:rsidP="009A2818">
      <w:pPr>
        <w:rPr>
          <w:b/>
        </w:rPr>
      </w:pPr>
      <w:r w:rsidRPr="001E160E">
        <w:rPr>
          <w:b/>
        </w:rPr>
        <w:t xml:space="preserve">Item </w:t>
      </w:r>
      <w:r w:rsidR="00C2658A">
        <w:rPr>
          <w:b/>
        </w:rPr>
        <w:t>3</w:t>
      </w:r>
      <w:r w:rsidR="00013388">
        <w:rPr>
          <w:b/>
        </w:rPr>
        <w:t>6</w:t>
      </w:r>
      <w:r w:rsidRPr="001E160E">
        <w:rPr>
          <w:b/>
        </w:rPr>
        <w:t xml:space="preserve"> – Delegation by Minister</w:t>
      </w:r>
    </w:p>
    <w:p w:rsidR="00CB6381" w:rsidRDefault="00CB6381" w:rsidP="00CB6381">
      <w:r w:rsidRPr="009119B4">
        <w:t xml:space="preserve">This item provides for the Minister to be able to delegate any of his </w:t>
      </w:r>
      <w:r w:rsidR="00D16F2F">
        <w:t xml:space="preserve">or her </w:t>
      </w:r>
      <w:r w:rsidRPr="009119B4">
        <w:t xml:space="preserve">functions or powers under </w:t>
      </w:r>
      <w:r>
        <w:t xml:space="preserve">this </w:t>
      </w:r>
      <w:r w:rsidRPr="009119B4">
        <w:t xml:space="preserve">Part </w:t>
      </w:r>
      <w:r w:rsidR="00446E72">
        <w:t>3</w:t>
      </w:r>
      <w:r w:rsidRPr="009119B4">
        <w:t>.  The delegate must be either the Secretary of the Department or an SES officer or acting SES officer in the Department.  When exercising powers or functions delegates must comply with any directions given by the Minister concerning the delegation.</w:t>
      </w:r>
    </w:p>
    <w:p w:rsidR="00CB6381" w:rsidRDefault="00CB6381" w:rsidP="009A2818"/>
    <w:p w:rsidR="009A352F" w:rsidRPr="001E160E" w:rsidRDefault="009A352F" w:rsidP="009A2818">
      <w:pPr>
        <w:rPr>
          <w:b/>
        </w:rPr>
      </w:pPr>
      <w:r w:rsidRPr="001E160E">
        <w:rPr>
          <w:b/>
        </w:rPr>
        <w:t xml:space="preserve">Item </w:t>
      </w:r>
      <w:r w:rsidR="002E44FF">
        <w:rPr>
          <w:b/>
        </w:rPr>
        <w:t>3</w:t>
      </w:r>
      <w:r w:rsidR="00013388">
        <w:rPr>
          <w:b/>
        </w:rPr>
        <w:t>7</w:t>
      </w:r>
      <w:r w:rsidRPr="001E160E">
        <w:rPr>
          <w:b/>
        </w:rPr>
        <w:t xml:space="preserve"> – Compensation for acquisition of property</w:t>
      </w:r>
    </w:p>
    <w:p w:rsidR="009A352F" w:rsidRDefault="00653C34" w:rsidP="009A2818">
      <w:r>
        <w:t>This Item set</w:t>
      </w:r>
      <w:r w:rsidR="003F15AA">
        <w:t>s</w:t>
      </w:r>
      <w:r>
        <w:t xml:space="preserve"> out that the Commonwealth is liable to pay </w:t>
      </w:r>
      <w:r w:rsidR="003C3D5A">
        <w:t xml:space="preserve">a reasonable amount of </w:t>
      </w:r>
      <w:r>
        <w:t xml:space="preserve">compensation if, under this Schedule of the Bill, property was acquired from a person on unjust terms.  If the Commonwealth and person do not agree on the amount of compensation, then the person may commence proceedings </w:t>
      </w:r>
      <w:r w:rsidR="006D3016">
        <w:t>in court for reasonable compensation as determined by the court.</w:t>
      </w:r>
    </w:p>
    <w:p w:rsidR="00653C34" w:rsidRPr="001E160E" w:rsidRDefault="00653C34" w:rsidP="009A2818">
      <w:pPr>
        <w:rPr>
          <w:b/>
        </w:rPr>
      </w:pPr>
    </w:p>
    <w:p w:rsidR="009A352F" w:rsidRPr="001E160E" w:rsidRDefault="009A352F" w:rsidP="009A2818">
      <w:pPr>
        <w:rPr>
          <w:b/>
        </w:rPr>
      </w:pPr>
      <w:r w:rsidRPr="001E160E">
        <w:rPr>
          <w:b/>
        </w:rPr>
        <w:t xml:space="preserve">Item </w:t>
      </w:r>
      <w:r w:rsidR="002E44FF">
        <w:rPr>
          <w:b/>
        </w:rPr>
        <w:t>3</w:t>
      </w:r>
      <w:r w:rsidR="00013388">
        <w:rPr>
          <w:b/>
        </w:rPr>
        <w:t>8</w:t>
      </w:r>
      <w:r w:rsidRPr="001E160E">
        <w:rPr>
          <w:b/>
        </w:rPr>
        <w:t xml:space="preserve"> – Transitional rules</w:t>
      </w:r>
    </w:p>
    <w:p w:rsidR="009A2818" w:rsidRPr="009A2818" w:rsidRDefault="00C50AF7" w:rsidP="00457E4A">
      <w:r w:rsidRPr="002E44FF">
        <w:t xml:space="preserve">This Item sets out that the Minister may make rules in relation to transitional matters arising out of the repeal of the </w:t>
      </w:r>
      <w:r w:rsidRPr="002E44FF">
        <w:rPr>
          <w:i/>
        </w:rPr>
        <w:t>Health Workforce Australia Act 2009</w:t>
      </w:r>
      <w:r w:rsidRPr="002E44FF">
        <w:t>.  Any rules must be made by legislative instrument.</w:t>
      </w:r>
    </w:p>
    <w:sectPr w:rsidR="009A2818" w:rsidRPr="009A2818" w:rsidSect="00457E4A">
      <w:headerReference w:type="default" r:id="rId9"/>
      <w:footerReference w:type="default" r:id="rId10"/>
      <w:headerReference w:type="first" r:id="rId11"/>
      <w:footerReference w:type="first" r:id="rId12"/>
      <w:pgSz w:w="11907" w:h="16840"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55" w:rsidRDefault="00117355">
      <w:r>
        <w:separator/>
      </w:r>
    </w:p>
  </w:endnote>
  <w:endnote w:type="continuationSeparator" w:id="0">
    <w:p w:rsidR="00117355" w:rsidRDefault="0011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4C" w:rsidRDefault="0030014C" w:rsidP="00457E4A">
    <w:pPr>
      <w:pStyle w:val="Footer"/>
      <w:jc w:val="center"/>
    </w:pPr>
    <w:r>
      <w:rPr>
        <w:rStyle w:val="PageNumber"/>
      </w:rPr>
      <w:fldChar w:fldCharType="begin"/>
    </w:r>
    <w:r>
      <w:rPr>
        <w:rStyle w:val="PageNumber"/>
      </w:rPr>
      <w:instrText xml:space="preserve"> PAGE </w:instrText>
    </w:r>
    <w:r>
      <w:rPr>
        <w:rStyle w:val="PageNumber"/>
      </w:rPr>
      <w:fldChar w:fldCharType="separate"/>
    </w:r>
    <w:r w:rsidR="008477C2">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4C" w:rsidRDefault="0030014C" w:rsidP="00457E4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55" w:rsidRDefault="00117355">
      <w:r>
        <w:separator/>
      </w:r>
    </w:p>
  </w:footnote>
  <w:footnote w:type="continuationSeparator" w:id="0">
    <w:p w:rsidR="00117355" w:rsidRDefault="0011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4C" w:rsidRDefault="00300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4C" w:rsidRDefault="00300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9A3"/>
    <w:multiLevelType w:val="hybridMultilevel"/>
    <w:tmpl w:val="E3DE40D2"/>
    <w:lvl w:ilvl="0" w:tplc="0CD226C6">
      <w:start w:val="1"/>
      <w:numFmt w:val="bullet"/>
      <w:lvlText w:val="-"/>
      <w:lvlJc w:val="left"/>
      <w:pPr>
        <w:ind w:left="720" w:hanging="360"/>
      </w:pPr>
      <w:rPr>
        <w:rFonts w:ascii="Tms Rmn" w:eastAsia="Times New Roman" w:hAnsi="Tms Rm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4A"/>
    <w:rsid w:val="00000E3A"/>
    <w:rsid w:val="00012008"/>
    <w:rsid w:val="00013388"/>
    <w:rsid w:val="00014E18"/>
    <w:rsid w:val="000229F5"/>
    <w:rsid w:val="00031B62"/>
    <w:rsid w:val="000371B8"/>
    <w:rsid w:val="00041D4A"/>
    <w:rsid w:val="0005030F"/>
    <w:rsid w:val="00066ACC"/>
    <w:rsid w:val="000678A2"/>
    <w:rsid w:val="00087D6A"/>
    <w:rsid w:val="00091C48"/>
    <w:rsid w:val="000B4B3A"/>
    <w:rsid w:val="000C0C93"/>
    <w:rsid w:val="000C2B16"/>
    <w:rsid w:val="000E0EE3"/>
    <w:rsid w:val="000F127D"/>
    <w:rsid w:val="00116DB6"/>
    <w:rsid w:val="00117355"/>
    <w:rsid w:val="00122ABF"/>
    <w:rsid w:val="001323F9"/>
    <w:rsid w:val="00137F87"/>
    <w:rsid w:val="00140708"/>
    <w:rsid w:val="00144CB8"/>
    <w:rsid w:val="00146591"/>
    <w:rsid w:val="00150751"/>
    <w:rsid w:val="00153FD5"/>
    <w:rsid w:val="001B1D5C"/>
    <w:rsid w:val="001C618C"/>
    <w:rsid w:val="001E160E"/>
    <w:rsid w:val="001E7676"/>
    <w:rsid w:val="001F21B8"/>
    <w:rsid w:val="002007E0"/>
    <w:rsid w:val="00205455"/>
    <w:rsid w:val="0022270D"/>
    <w:rsid w:val="0023564C"/>
    <w:rsid w:val="00241214"/>
    <w:rsid w:val="002A1F48"/>
    <w:rsid w:val="002A5D67"/>
    <w:rsid w:val="002B6CDC"/>
    <w:rsid w:val="002B6D0E"/>
    <w:rsid w:val="002B7BB2"/>
    <w:rsid w:val="002C230F"/>
    <w:rsid w:val="002E44FF"/>
    <w:rsid w:val="002F4F6F"/>
    <w:rsid w:val="002F6109"/>
    <w:rsid w:val="0030014C"/>
    <w:rsid w:val="003003C3"/>
    <w:rsid w:val="00323FBA"/>
    <w:rsid w:val="0033522E"/>
    <w:rsid w:val="00337B4F"/>
    <w:rsid w:val="003430D0"/>
    <w:rsid w:val="003447F4"/>
    <w:rsid w:val="0034600C"/>
    <w:rsid w:val="00352392"/>
    <w:rsid w:val="00356189"/>
    <w:rsid w:val="00362BF2"/>
    <w:rsid w:val="00380DD8"/>
    <w:rsid w:val="00382D2B"/>
    <w:rsid w:val="0039176C"/>
    <w:rsid w:val="003C3D5A"/>
    <w:rsid w:val="003D02F2"/>
    <w:rsid w:val="003E5C3F"/>
    <w:rsid w:val="003F15AA"/>
    <w:rsid w:val="004062EC"/>
    <w:rsid w:val="00407EC6"/>
    <w:rsid w:val="00421645"/>
    <w:rsid w:val="00436668"/>
    <w:rsid w:val="00446E72"/>
    <w:rsid w:val="0045254D"/>
    <w:rsid w:val="00452C09"/>
    <w:rsid w:val="00457E4A"/>
    <w:rsid w:val="004720C5"/>
    <w:rsid w:val="004769F3"/>
    <w:rsid w:val="00487DA1"/>
    <w:rsid w:val="00491265"/>
    <w:rsid w:val="004B233F"/>
    <w:rsid w:val="004E71FD"/>
    <w:rsid w:val="004F3DA6"/>
    <w:rsid w:val="005154B8"/>
    <w:rsid w:val="005256C5"/>
    <w:rsid w:val="005277CD"/>
    <w:rsid w:val="00547F51"/>
    <w:rsid w:val="005C7BD7"/>
    <w:rsid w:val="005D4845"/>
    <w:rsid w:val="00602D05"/>
    <w:rsid w:val="00605B53"/>
    <w:rsid w:val="00606CB7"/>
    <w:rsid w:val="0061747B"/>
    <w:rsid w:val="00635055"/>
    <w:rsid w:val="00653C34"/>
    <w:rsid w:val="006548B5"/>
    <w:rsid w:val="00670FD3"/>
    <w:rsid w:val="00684D45"/>
    <w:rsid w:val="0069181E"/>
    <w:rsid w:val="006A0BF3"/>
    <w:rsid w:val="006D3016"/>
    <w:rsid w:val="006D5152"/>
    <w:rsid w:val="006D7023"/>
    <w:rsid w:val="006F38E3"/>
    <w:rsid w:val="006F3A80"/>
    <w:rsid w:val="006F45F8"/>
    <w:rsid w:val="00704EF0"/>
    <w:rsid w:val="00706732"/>
    <w:rsid w:val="00711B7A"/>
    <w:rsid w:val="0071640E"/>
    <w:rsid w:val="00720822"/>
    <w:rsid w:val="0073593B"/>
    <w:rsid w:val="007377A2"/>
    <w:rsid w:val="00746590"/>
    <w:rsid w:val="00747AF8"/>
    <w:rsid w:val="00753F1A"/>
    <w:rsid w:val="007A66B8"/>
    <w:rsid w:val="007C7D6F"/>
    <w:rsid w:val="007D4D65"/>
    <w:rsid w:val="007E7793"/>
    <w:rsid w:val="007F133D"/>
    <w:rsid w:val="00806702"/>
    <w:rsid w:val="00824540"/>
    <w:rsid w:val="008477C2"/>
    <w:rsid w:val="0085667C"/>
    <w:rsid w:val="0087056D"/>
    <w:rsid w:val="00870937"/>
    <w:rsid w:val="00877643"/>
    <w:rsid w:val="008857D0"/>
    <w:rsid w:val="00887A98"/>
    <w:rsid w:val="008919E7"/>
    <w:rsid w:val="008927D6"/>
    <w:rsid w:val="008B02F8"/>
    <w:rsid w:val="008B0385"/>
    <w:rsid w:val="008B6E1D"/>
    <w:rsid w:val="008B7E8D"/>
    <w:rsid w:val="008E1B9A"/>
    <w:rsid w:val="00907660"/>
    <w:rsid w:val="009119B4"/>
    <w:rsid w:val="009302D4"/>
    <w:rsid w:val="00933BB0"/>
    <w:rsid w:val="00941274"/>
    <w:rsid w:val="009517AA"/>
    <w:rsid w:val="00954644"/>
    <w:rsid w:val="00961026"/>
    <w:rsid w:val="00991242"/>
    <w:rsid w:val="00992D7A"/>
    <w:rsid w:val="00992DB1"/>
    <w:rsid w:val="009A2818"/>
    <w:rsid w:val="009A352F"/>
    <w:rsid w:val="009A4B17"/>
    <w:rsid w:val="009B1F9F"/>
    <w:rsid w:val="009C275E"/>
    <w:rsid w:val="00A24BDC"/>
    <w:rsid w:val="00A457F2"/>
    <w:rsid w:val="00A71648"/>
    <w:rsid w:val="00A7725E"/>
    <w:rsid w:val="00A90A5A"/>
    <w:rsid w:val="00A95243"/>
    <w:rsid w:val="00AA0508"/>
    <w:rsid w:val="00AA2AE6"/>
    <w:rsid w:val="00AA52C9"/>
    <w:rsid w:val="00AB1378"/>
    <w:rsid w:val="00AC40F7"/>
    <w:rsid w:val="00AD60A3"/>
    <w:rsid w:val="00AE693C"/>
    <w:rsid w:val="00AE7762"/>
    <w:rsid w:val="00B342D2"/>
    <w:rsid w:val="00B50E05"/>
    <w:rsid w:val="00B9603C"/>
    <w:rsid w:val="00C23ABD"/>
    <w:rsid w:val="00C2658A"/>
    <w:rsid w:val="00C50AF7"/>
    <w:rsid w:val="00C624C7"/>
    <w:rsid w:val="00C72FAE"/>
    <w:rsid w:val="00C73EFC"/>
    <w:rsid w:val="00C82C9D"/>
    <w:rsid w:val="00C876D8"/>
    <w:rsid w:val="00C94D06"/>
    <w:rsid w:val="00CA20A5"/>
    <w:rsid w:val="00CB3ADC"/>
    <w:rsid w:val="00CB6381"/>
    <w:rsid w:val="00CC31FF"/>
    <w:rsid w:val="00CF50B9"/>
    <w:rsid w:val="00D06692"/>
    <w:rsid w:val="00D16F2F"/>
    <w:rsid w:val="00D17F41"/>
    <w:rsid w:val="00D30614"/>
    <w:rsid w:val="00D60DBC"/>
    <w:rsid w:val="00D64363"/>
    <w:rsid w:val="00D80D0E"/>
    <w:rsid w:val="00D85553"/>
    <w:rsid w:val="00D869E3"/>
    <w:rsid w:val="00DA454C"/>
    <w:rsid w:val="00DC2720"/>
    <w:rsid w:val="00DC7179"/>
    <w:rsid w:val="00DD6524"/>
    <w:rsid w:val="00DE530D"/>
    <w:rsid w:val="00E0186C"/>
    <w:rsid w:val="00E029E1"/>
    <w:rsid w:val="00E31650"/>
    <w:rsid w:val="00E4399D"/>
    <w:rsid w:val="00E5036A"/>
    <w:rsid w:val="00E51973"/>
    <w:rsid w:val="00E53993"/>
    <w:rsid w:val="00E62F55"/>
    <w:rsid w:val="00E83E49"/>
    <w:rsid w:val="00E84271"/>
    <w:rsid w:val="00E96D9B"/>
    <w:rsid w:val="00EA5CC2"/>
    <w:rsid w:val="00EC0026"/>
    <w:rsid w:val="00EE498B"/>
    <w:rsid w:val="00EF2B01"/>
    <w:rsid w:val="00EF38B8"/>
    <w:rsid w:val="00EF6EE9"/>
    <w:rsid w:val="00F0048F"/>
    <w:rsid w:val="00F00F47"/>
    <w:rsid w:val="00F26186"/>
    <w:rsid w:val="00F37D36"/>
    <w:rsid w:val="00F6535C"/>
    <w:rsid w:val="00F851C1"/>
    <w:rsid w:val="00FE5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ms Rmn" w:hAnsi="Tms Rmn"/>
      <w:sz w:val="24"/>
    </w:rPr>
  </w:style>
  <w:style w:type="paragraph" w:styleId="Heading1">
    <w:name w:val="heading 1"/>
    <w:basedOn w:val="Normal"/>
    <w:next w:val="Normal"/>
    <w:qFormat/>
    <w:rsid w:val="00457E4A"/>
    <w:pPr>
      <w:keepNext/>
      <w:outlineLvl w:val="0"/>
    </w:pPr>
    <w:rPr>
      <w:rFonts w:ascii="Times New Roman" w:hAnsi="Times New Roman"/>
      <w:b/>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para">
    <w:name w:val="numberpara"/>
    <w:basedOn w:val="Footer"/>
    <w:pPr>
      <w:tabs>
        <w:tab w:val="clear" w:pos="4153"/>
        <w:tab w:val="clear" w:pos="8306"/>
        <w:tab w:val="left" w:pos="360"/>
        <w:tab w:val="left" w:pos="567"/>
      </w:tabs>
      <w:spacing w:before="120" w:line="360" w:lineRule="auto"/>
    </w:pPr>
    <w:rPr>
      <w:rFonts w:ascii="Times New Roman" w:hAnsi="Times New Roman"/>
      <w:lang w:val="en-US"/>
    </w:rPr>
  </w:style>
  <w:style w:type="paragraph" w:customStyle="1" w:styleId="legcohead3">
    <w:name w:val="legcohead3"/>
    <w:basedOn w:val="Normal"/>
    <w:pPr>
      <w:keepNext/>
    </w:pPr>
    <w:rPr>
      <w:rFonts w:ascii="Times New Roman" w:hAnsi="Times New Roman"/>
      <w:b/>
      <w:kern w:val="2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rsid w:val="00457E4A"/>
  </w:style>
  <w:style w:type="paragraph" w:customStyle="1" w:styleId="CharCharCharCharCharCharCharCharCharCharCharCharChar">
    <w:name w:val="Char Char Char Char Char Char Char Char Char Char Char Char Char"/>
    <w:basedOn w:val="Normal"/>
    <w:rsid w:val="00457E4A"/>
    <w:pPr>
      <w:spacing w:after="160" w:line="240" w:lineRule="exact"/>
    </w:pPr>
    <w:rPr>
      <w:rFonts w:ascii="Verdana" w:hAnsi="Verdana" w:cs="Verdana"/>
      <w:sz w:val="20"/>
      <w:lang w:val="en-US" w:eastAsia="en-US"/>
    </w:rPr>
  </w:style>
  <w:style w:type="character" w:styleId="CommentReference">
    <w:name w:val="annotation reference"/>
    <w:basedOn w:val="DefaultParagraphFont"/>
    <w:rsid w:val="00AA52C9"/>
    <w:rPr>
      <w:sz w:val="16"/>
      <w:szCs w:val="16"/>
    </w:rPr>
  </w:style>
  <w:style w:type="paragraph" w:styleId="CommentText">
    <w:name w:val="annotation text"/>
    <w:basedOn w:val="Normal"/>
    <w:link w:val="CommentTextChar"/>
    <w:rsid w:val="00AA52C9"/>
    <w:rPr>
      <w:sz w:val="20"/>
    </w:rPr>
  </w:style>
  <w:style w:type="character" w:customStyle="1" w:styleId="CommentTextChar">
    <w:name w:val="Comment Text Char"/>
    <w:basedOn w:val="DefaultParagraphFont"/>
    <w:link w:val="CommentText"/>
    <w:rsid w:val="00AA52C9"/>
    <w:rPr>
      <w:rFonts w:ascii="Tms Rmn" w:hAnsi="Tms Rmn"/>
    </w:rPr>
  </w:style>
  <w:style w:type="paragraph" w:styleId="CommentSubject">
    <w:name w:val="annotation subject"/>
    <w:basedOn w:val="CommentText"/>
    <w:next w:val="CommentText"/>
    <w:link w:val="CommentSubjectChar"/>
    <w:rsid w:val="00AA52C9"/>
    <w:rPr>
      <w:b/>
      <w:bCs/>
    </w:rPr>
  </w:style>
  <w:style w:type="character" w:customStyle="1" w:styleId="CommentSubjectChar">
    <w:name w:val="Comment Subject Char"/>
    <w:basedOn w:val="CommentTextChar"/>
    <w:link w:val="CommentSubject"/>
    <w:rsid w:val="00AA52C9"/>
    <w:rPr>
      <w:rFonts w:ascii="Tms Rmn" w:hAnsi="Tms Rmn"/>
      <w:b/>
      <w:bCs/>
    </w:rPr>
  </w:style>
  <w:style w:type="paragraph" w:styleId="BalloonText">
    <w:name w:val="Balloon Text"/>
    <w:basedOn w:val="Normal"/>
    <w:link w:val="BalloonTextChar"/>
    <w:rsid w:val="00AA52C9"/>
    <w:rPr>
      <w:rFonts w:ascii="Tahoma" w:hAnsi="Tahoma" w:cs="Tahoma"/>
      <w:sz w:val="16"/>
      <w:szCs w:val="16"/>
    </w:rPr>
  </w:style>
  <w:style w:type="character" w:customStyle="1" w:styleId="BalloonTextChar">
    <w:name w:val="Balloon Text Char"/>
    <w:basedOn w:val="DefaultParagraphFont"/>
    <w:link w:val="BalloonText"/>
    <w:rsid w:val="00AA52C9"/>
    <w:rPr>
      <w:rFonts w:ascii="Tahoma" w:hAnsi="Tahoma" w:cs="Tahoma"/>
      <w:sz w:val="16"/>
      <w:szCs w:val="16"/>
    </w:rPr>
  </w:style>
  <w:style w:type="character" w:customStyle="1" w:styleId="apple-converted-space">
    <w:name w:val="apple-converted-space"/>
    <w:basedOn w:val="DefaultParagraphFont"/>
    <w:rsid w:val="00877643"/>
  </w:style>
  <w:style w:type="paragraph" w:customStyle="1" w:styleId="paragraphsub">
    <w:name w:val="paragraph(sub)"/>
    <w:aliases w:val="aa"/>
    <w:basedOn w:val="Normal"/>
    <w:rsid w:val="002A1F48"/>
    <w:pPr>
      <w:tabs>
        <w:tab w:val="right" w:pos="1985"/>
      </w:tabs>
      <w:spacing w:before="40"/>
      <w:ind w:left="2098" w:hanging="2098"/>
    </w:pPr>
    <w:rPr>
      <w:rFonts w:ascii="Times New Roman" w:hAnsi="Times New Roman"/>
      <w:sz w:val="22"/>
    </w:rPr>
  </w:style>
  <w:style w:type="paragraph" w:customStyle="1" w:styleId="paragraph">
    <w:name w:val="paragraph"/>
    <w:aliases w:val="a"/>
    <w:basedOn w:val="Normal"/>
    <w:link w:val="paragraphChar"/>
    <w:rsid w:val="002A1F48"/>
    <w:pPr>
      <w:tabs>
        <w:tab w:val="right" w:pos="1531"/>
      </w:tabs>
      <w:spacing w:before="40"/>
      <w:ind w:left="1644" w:hanging="1644"/>
    </w:pPr>
    <w:rPr>
      <w:rFonts w:ascii="Times New Roman" w:hAnsi="Times New Roman"/>
      <w:sz w:val="22"/>
    </w:rPr>
  </w:style>
  <w:style w:type="character" w:customStyle="1" w:styleId="paragraphChar">
    <w:name w:val="paragraph Char"/>
    <w:aliases w:val="a Char"/>
    <w:link w:val="paragraph"/>
    <w:rsid w:val="002A1F4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ms Rmn" w:hAnsi="Tms Rmn"/>
      <w:sz w:val="24"/>
    </w:rPr>
  </w:style>
  <w:style w:type="paragraph" w:styleId="Heading1">
    <w:name w:val="heading 1"/>
    <w:basedOn w:val="Normal"/>
    <w:next w:val="Normal"/>
    <w:qFormat/>
    <w:rsid w:val="00457E4A"/>
    <w:pPr>
      <w:keepNext/>
      <w:outlineLvl w:val="0"/>
    </w:pPr>
    <w:rPr>
      <w:rFonts w:ascii="Times New Roman" w:hAnsi="Times New Roman"/>
      <w:b/>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para">
    <w:name w:val="numberpara"/>
    <w:basedOn w:val="Footer"/>
    <w:pPr>
      <w:tabs>
        <w:tab w:val="clear" w:pos="4153"/>
        <w:tab w:val="clear" w:pos="8306"/>
        <w:tab w:val="left" w:pos="360"/>
        <w:tab w:val="left" w:pos="567"/>
      </w:tabs>
      <w:spacing w:before="120" w:line="360" w:lineRule="auto"/>
    </w:pPr>
    <w:rPr>
      <w:rFonts w:ascii="Times New Roman" w:hAnsi="Times New Roman"/>
      <w:lang w:val="en-US"/>
    </w:rPr>
  </w:style>
  <w:style w:type="paragraph" w:customStyle="1" w:styleId="legcohead3">
    <w:name w:val="legcohead3"/>
    <w:basedOn w:val="Normal"/>
    <w:pPr>
      <w:keepNext/>
    </w:pPr>
    <w:rPr>
      <w:rFonts w:ascii="Times New Roman" w:hAnsi="Times New Roman"/>
      <w:b/>
      <w:kern w:val="2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rsid w:val="00457E4A"/>
  </w:style>
  <w:style w:type="paragraph" w:customStyle="1" w:styleId="CharCharCharCharCharCharCharCharCharCharCharCharChar">
    <w:name w:val="Char Char Char Char Char Char Char Char Char Char Char Char Char"/>
    <w:basedOn w:val="Normal"/>
    <w:rsid w:val="00457E4A"/>
    <w:pPr>
      <w:spacing w:after="160" w:line="240" w:lineRule="exact"/>
    </w:pPr>
    <w:rPr>
      <w:rFonts w:ascii="Verdana" w:hAnsi="Verdana" w:cs="Verdana"/>
      <w:sz w:val="20"/>
      <w:lang w:val="en-US" w:eastAsia="en-US"/>
    </w:rPr>
  </w:style>
  <w:style w:type="character" w:styleId="CommentReference">
    <w:name w:val="annotation reference"/>
    <w:basedOn w:val="DefaultParagraphFont"/>
    <w:rsid w:val="00AA52C9"/>
    <w:rPr>
      <w:sz w:val="16"/>
      <w:szCs w:val="16"/>
    </w:rPr>
  </w:style>
  <w:style w:type="paragraph" w:styleId="CommentText">
    <w:name w:val="annotation text"/>
    <w:basedOn w:val="Normal"/>
    <w:link w:val="CommentTextChar"/>
    <w:rsid w:val="00AA52C9"/>
    <w:rPr>
      <w:sz w:val="20"/>
    </w:rPr>
  </w:style>
  <w:style w:type="character" w:customStyle="1" w:styleId="CommentTextChar">
    <w:name w:val="Comment Text Char"/>
    <w:basedOn w:val="DefaultParagraphFont"/>
    <w:link w:val="CommentText"/>
    <w:rsid w:val="00AA52C9"/>
    <w:rPr>
      <w:rFonts w:ascii="Tms Rmn" w:hAnsi="Tms Rmn"/>
    </w:rPr>
  </w:style>
  <w:style w:type="paragraph" w:styleId="CommentSubject">
    <w:name w:val="annotation subject"/>
    <w:basedOn w:val="CommentText"/>
    <w:next w:val="CommentText"/>
    <w:link w:val="CommentSubjectChar"/>
    <w:rsid w:val="00AA52C9"/>
    <w:rPr>
      <w:b/>
      <w:bCs/>
    </w:rPr>
  </w:style>
  <w:style w:type="character" w:customStyle="1" w:styleId="CommentSubjectChar">
    <w:name w:val="Comment Subject Char"/>
    <w:basedOn w:val="CommentTextChar"/>
    <w:link w:val="CommentSubject"/>
    <w:rsid w:val="00AA52C9"/>
    <w:rPr>
      <w:rFonts w:ascii="Tms Rmn" w:hAnsi="Tms Rmn"/>
      <w:b/>
      <w:bCs/>
    </w:rPr>
  </w:style>
  <w:style w:type="paragraph" w:styleId="BalloonText">
    <w:name w:val="Balloon Text"/>
    <w:basedOn w:val="Normal"/>
    <w:link w:val="BalloonTextChar"/>
    <w:rsid w:val="00AA52C9"/>
    <w:rPr>
      <w:rFonts w:ascii="Tahoma" w:hAnsi="Tahoma" w:cs="Tahoma"/>
      <w:sz w:val="16"/>
      <w:szCs w:val="16"/>
    </w:rPr>
  </w:style>
  <w:style w:type="character" w:customStyle="1" w:styleId="BalloonTextChar">
    <w:name w:val="Balloon Text Char"/>
    <w:basedOn w:val="DefaultParagraphFont"/>
    <w:link w:val="BalloonText"/>
    <w:rsid w:val="00AA52C9"/>
    <w:rPr>
      <w:rFonts w:ascii="Tahoma" w:hAnsi="Tahoma" w:cs="Tahoma"/>
      <w:sz w:val="16"/>
      <w:szCs w:val="16"/>
    </w:rPr>
  </w:style>
  <w:style w:type="character" w:customStyle="1" w:styleId="apple-converted-space">
    <w:name w:val="apple-converted-space"/>
    <w:basedOn w:val="DefaultParagraphFont"/>
    <w:rsid w:val="00877643"/>
  </w:style>
  <w:style w:type="paragraph" w:customStyle="1" w:styleId="paragraphsub">
    <w:name w:val="paragraph(sub)"/>
    <w:aliases w:val="aa"/>
    <w:basedOn w:val="Normal"/>
    <w:rsid w:val="002A1F48"/>
    <w:pPr>
      <w:tabs>
        <w:tab w:val="right" w:pos="1985"/>
      </w:tabs>
      <w:spacing w:before="40"/>
      <w:ind w:left="2098" w:hanging="2098"/>
    </w:pPr>
    <w:rPr>
      <w:rFonts w:ascii="Times New Roman" w:hAnsi="Times New Roman"/>
      <w:sz w:val="22"/>
    </w:rPr>
  </w:style>
  <w:style w:type="paragraph" w:customStyle="1" w:styleId="paragraph">
    <w:name w:val="paragraph"/>
    <w:aliases w:val="a"/>
    <w:basedOn w:val="Normal"/>
    <w:link w:val="paragraphChar"/>
    <w:rsid w:val="002A1F48"/>
    <w:pPr>
      <w:tabs>
        <w:tab w:val="right" w:pos="1531"/>
      </w:tabs>
      <w:spacing w:before="40"/>
      <w:ind w:left="1644" w:hanging="1644"/>
    </w:pPr>
    <w:rPr>
      <w:rFonts w:ascii="Times New Roman" w:hAnsi="Times New Roman"/>
      <w:sz w:val="22"/>
    </w:rPr>
  </w:style>
  <w:style w:type="character" w:customStyle="1" w:styleId="paragraphChar">
    <w:name w:val="paragraph Char"/>
    <w:aliases w:val="a Char"/>
    <w:link w:val="paragraph"/>
    <w:rsid w:val="002A1F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F948-B863-4945-95FF-0631AC18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2302</Words>
  <Characters>13128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3</vt:lpstr>
    </vt:vector>
  </TitlesOfParts>
  <Company>DEPT PRIME MINISTER AND CABINET</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GMartin</dc:creator>
  <cp:lastModifiedBy>Hilhorst, Matt</cp:lastModifiedBy>
  <cp:revision>2</cp:revision>
  <cp:lastPrinted>2014-04-24T03:04:00Z</cp:lastPrinted>
  <dcterms:created xsi:type="dcterms:W3CDTF">2014-05-15T06:46:00Z</dcterms:created>
  <dcterms:modified xsi:type="dcterms:W3CDTF">2014-05-15T06:46:00Z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