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4D" w:rsidRPr="002519CB" w:rsidRDefault="0019704D" w:rsidP="0019704D">
      <w:bookmarkStart w:id="0" w:name="_GoBack"/>
      <w:bookmarkEnd w:id="0"/>
    </w:p>
    <w:p w:rsidR="0019704D" w:rsidRPr="002519CB" w:rsidRDefault="0019704D" w:rsidP="0019704D">
      <w:pPr>
        <w:pStyle w:val="Footer"/>
        <w:tabs>
          <w:tab w:val="clear" w:pos="4153"/>
          <w:tab w:val="clear" w:pos="8306"/>
        </w:tabs>
        <w:jc w:val="center"/>
      </w:pPr>
      <w:bookmarkStart w:id="1" w:name="_Toc79560142"/>
      <w:bookmarkStart w:id="2" w:name="_Toc79560183"/>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r w:rsidRPr="002519CB">
        <w:t>2013-2014</w:t>
      </w: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r w:rsidRPr="002519CB">
        <w:t>THE PARLIAMENT OF THE COMMONWEALTH OF AUSTRALIA</w:t>
      </w: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r w:rsidRPr="002519CB">
        <w:t>HOUSE OF REPRESENTATIVES</w:t>
      </w: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rPr>
          <w:b/>
          <w:bCs/>
          <w:smallCaps/>
          <w:sz w:val="40"/>
          <w:szCs w:val="40"/>
        </w:rPr>
      </w:pPr>
      <w:r w:rsidRPr="002519CB">
        <w:rPr>
          <w:b/>
          <w:bCs/>
          <w:smallCaps/>
          <w:sz w:val="40"/>
          <w:szCs w:val="40"/>
        </w:rPr>
        <w:t xml:space="preserve">Public Governance, </w:t>
      </w:r>
      <w:r w:rsidR="00113066">
        <w:rPr>
          <w:b/>
          <w:bCs/>
          <w:smallCaps/>
          <w:sz w:val="40"/>
          <w:szCs w:val="40"/>
        </w:rPr>
        <w:t xml:space="preserve">Performance and Accountability </w:t>
      </w:r>
      <w:r w:rsidR="0085299C">
        <w:rPr>
          <w:b/>
          <w:bCs/>
          <w:smallCaps/>
          <w:sz w:val="40"/>
          <w:szCs w:val="40"/>
        </w:rPr>
        <w:t>(</w:t>
      </w:r>
      <w:r w:rsidR="00113066">
        <w:rPr>
          <w:b/>
          <w:bCs/>
          <w:smallCaps/>
          <w:sz w:val="40"/>
          <w:szCs w:val="40"/>
        </w:rPr>
        <w:t>Consequential Modifications</w:t>
      </w:r>
      <w:r w:rsidR="0085299C">
        <w:rPr>
          <w:b/>
          <w:bCs/>
          <w:smallCaps/>
          <w:sz w:val="40"/>
          <w:szCs w:val="40"/>
        </w:rPr>
        <w:t xml:space="preserve"> of Appropriations Acts (No.</w:t>
      </w:r>
      <w:r w:rsidR="00832570">
        <w:rPr>
          <w:b/>
          <w:bCs/>
          <w:smallCaps/>
          <w:sz w:val="40"/>
          <w:szCs w:val="40"/>
        </w:rPr>
        <w:t>1), (No.3) and (No.5)</w:t>
      </w:r>
      <w:r w:rsidR="00113066">
        <w:rPr>
          <w:b/>
          <w:bCs/>
          <w:smallCaps/>
          <w:sz w:val="40"/>
          <w:szCs w:val="40"/>
        </w:rPr>
        <w:t>)</w:t>
      </w:r>
      <w:r w:rsidRPr="002519CB">
        <w:rPr>
          <w:b/>
          <w:bCs/>
          <w:smallCaps/>
          <w:sz w:val="40"/>
          <w:szCs w:val="40"/>
        </w:rPr>
        <w:t xml:space="preserve"> Bill 2014</w:t>
      </w: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r w:rsidRPr="002519CB">
        <w:t>EXPLANATORY MEMORANDUM</w:t>
      </w: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pPr>
    </w:p>
    <w:p w:rsidR="0019704D" w:rsidRPr="002519CB" w:rsidRDefault="0019704D" w:rsidP="0019704D">
      <w:pPr>
        <w:jc w:val="center"/>
        <w:sectPr w:rsidR="0019704D" w:rsidRPr="002519CB" w:rsidSect="00846B83">
          <w:headerReference w:type="even" r:id="rId9"/>
          <w:footerReference w:type="even" r:id="rId10"/>
          <w:footerReference w:type="default" r:id="rId11"/>
          <w:pgSz w:w="11906" w:h="16838"/>
          <w:pgMar w:top="1440" w:right="1800" w:bottom="1440" w:left="1800" w:header="708" w:footer="708" w:gutter="0"/>
          <w:cols w:space="708"/>
          <w:titlePg/>
          <w:docGrid w:linePitch="360"/>
        </w:sectPr>
      </w:pPr>
      <w:r w:rsidRPr="002519CB">
        <w:t xml:space="preserve">(Circulated by authority of the Minister for Finance, </w:t>
      </w:r>
      <w:r w:rsidRPr="002519CB">
        <w:br/>
      </w:r>
      <w:r w:rsidR="000A0971" w:rsidRPr="002519CB">
        <w:t>Senator the Hon Mathias Cormann</w:t>
      </w:r>
      <w:r w:rsidR="00F61B4B" w:rsidRPr="002519CB">
        <w:t>)</w:t>
      </w:r>
    </w:p>
    <w:bookmarkStart w:id="3" w:name="_Toc140655415" w:displacedByCustomXml="next"/>
    <w:bookmarkStart w:id="4" w:name="_Toc140657407" w:displacedByCustomXml="next"/>
    <w:bookmarkStart w:id="5" w:name="_Toc140892709" w:displacedByCustomXml="next"/>
    <w:sdt>
      <w:sdtPr>
        <w:id w:val="2205965"/>
        <w:docPartObj>
          <w:docPartGallery w:val="Table of Contents"/>
          <w:docPartUnique/>
        </w:docPartObj>
      </w:sdtPr>
      <w:sdtEndPr/>
      <w:sdtContent>
        <w:p w:rsidR="00DB17F5" w:rsidRPr="002519CB" w:rsidRDefault="00DB17F5" w:rsidP="00DB17F5">
          <w:pPr>
            <w:pStyle w:val="TOC1"/>
          </w:pPr>
          <w:r w:rsidRPr="002519CB">
            <w:rPr>
              <w:b/>
            </w:rPr>
            <w:t>TABLE OF CONTENTS</w:t>
          </w:r>
        </w:p>
        <w:p w:rsidR="00775F5A" w:rsidRDefault="00CD6F66">
          <w:pPr>
            <w:pStyle w:val="TOC1"/>
            <w:rPr>
              <w:rFonts w:asciiTheme="minorHAnsi" w:eastAsiaTheme="minorEastAsia" w:hAnsiTheme="minorHAnsi" w:cstheme="minorBidi"/>
              <w:noProof/>
              <w:sz w:val="22"/>
              <w:szCs w:val="22"/>
              <w:lang w:eastAsia="en-AU"/>
            </w:rPr>
          </w:pPr>
          <w:r w:rsidRPr="002519CB">
            <w:fldChar w:fldCharType="begin"/>
          </w:r>
          <w:r w:rsidR="000A0971" w:rsidRPr="002519CB">
            <w:instrText xml:space="preserve"> TOC \o "1-3" \h \z \u </w:instrText>
          </w:r>
          <w:r w:rsidRPr="002519CB">
            <w:fldChar w:fldCharType="separate"/>
          </w:r>
          <w:hyperlink w:anchor="_Toc390948213" w:history="1">
            <w:r w:rsidR="00775F5A" w:rsidRPr="004539D1">
              <w:rPr>
                <w:rStyle w:val="Hyperlink"/>
                <w:noProof/>
              </w:rPr>
              <w:t>Table of abbreviations and common terms</w:t>
            </w:r>
            <w:r w:rsidR="00775F5A">
              <w:rPr>
                <w:noProof/>
                <w:webHidden/>
              </w:rPr>
              <w:tab/>
            </w:r>
            <w:r w:rsidR="00775F5A">
              <w:rPr>
                <w:noProof/>
                <w:webHidden/>
              </w:rPr>
              <w:fldChar w:fldCharType="begin"/>
            </w:r>
            <w:r w:rsidR="00775F5A">
              <w:rPr>
                <w:noProof/>
                <w:webHidden/>
              </w:rPr>
              <w:instrText xml:space="preserve"> PAGEREF _Toc390948213 \h </w:instrText>
            </w:r>
            <w:r w:rsidR="00775F5A">
              <w:rPr>
                <w:noProof/>
                <w:webHidden/>
              </w:rPr>
            </w:r>
            <w:r w:rsidR="00775F5A">
              <w:rPr>
                <w:noProof/>
                <w:webHidden/>
              </w:rPr>
              <w:fldChar w:fldCharType="separate"/>
            </w:r>
            <w:r w:rsidR="00775F5A">
              <w:rPr>
                <w:noProof/>
                <w:webHidden/>
              </w:rPr>
              <w:t>ii</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14" w:history="1">
            <w:r w:rsidR="00775F5A" w:rsidRPr="004539D1">
              <w:rPr>
                <w:rStyle w:val="Hyperlink"/>
                <w:noProof/>
              </w:rPr>
              <w:t>General outline</w:t>
            </w:r>
            <w:r w:rsidR="00775F5A">
              <w:rPr>
                <w:noProof/>
                <w:webHidden/>
              </w:rPr>
              <w:tab/>
            </w:r>
            <w:r w:rsidR="00775F5A">
              <w:rPr>
                <w:noProof/>
                <w:webHidden/>
              </w:rPr>
              <w:fldChar w:fldCharType="begin"/>
            </w:r>
            <w:r w:rsidR="00775F5A">
              <w:rPr>
                <w:noProof/>
                <w:webHidden/>
              </w:rPr>
              <w:instrText xml:space="preserve"> PAGEREF _Toc390948214 \h </w:instrText>
            </w:r>
            <w:r w:rsidR="00775F5A">
              <w:rPr>
                <w:noProof/>
                <w:webHidden/>
              </w:rPr>
            </w:r>
            <w:r w:rsidR="00775F5A">
              <w:rPr>
                <w:noProof/>
                <w:webHidden/>
              </w:rPr>
              <w:fldChar w:fldCharType="separate"/>
            </w:r>
            <w:r w:rsidR="00775F5A">
              <w:rPr>
                <w:noProof/>
                <w:webHidden/>
              </w:rPr>
              <w:t>1</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15" w:history="1">
            <w:r w:rsidR="00775F5A" w:rsidRPr="004539D1">
              <w:rPr>
                <w:rStyle w:val="Hyperlink"/>
                <w:noProof/>
              </w:rPr>
              <w:t>Financial Impact Statement</w:t>
            </w:r>
            <w:r w:rsidR="00775F5A">
              <w:rPr>
                <w:noProof/>
                <w:webHidden/>
              </w:rPr>
              <w:tab/>
            </w:r>
            <w:r w:rsidR="00775F5A">
              <w:rPr>
                <w:noProof/>
                <w:webHidden/>
              </w:rPr>
              <w:fldChar w:fldCharType="begin"/>
            </w:r>
            <w:r w:rsidR="00775F5A">
              <w:rPr>
                <w:noProof/>
                <w:webHidden/>
              </w:rPr>
              <w:instrText xml:space="preserve"> PAGEREF _Toc390948215 \h </w:instrText>
            </w:r>
            <w:r w:rsidR="00775F5A">
              <w:rPr>
                <w:noProof/>
                <w:webHidden/>
              </w:rPr>
            </w:r>
            <w:r w:rsidR="00775F5A">
              <w:rPr>
                <w:noProof/>
                <w:webHidden/>
              </w:rPr>
              <w:fldChar w:fldCharType="separate"/>
            </w:r>
            <w:r w:rsidR="00775F5A">
              <w:rPr>
                <w:noProof/>
                <w:webHidden/>
              </w:rPr>
              <w:t>1</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16" w:history="1">
            <w:r w:rsidR="00775F5A" w:rsidRPr="004539D1">
              <w:rPr>
                <w:rStyle w:val="Hyperlink"/>
                <w:noProof/>
              </w:rPr>
              <w:t>Statement of compatibility with human rights</w:t>
            </w:r>
            <w:r w:rsidR="00775F5A">
              <w:rPr>
                <w:noProof/>
                <w:webHidden/>
              </w:rPr>
              <w:tab/>
            </w:r>
            <w:r w:rsidR="00775F5A">
              <w:rPr>
                <w:noProof/>
                <w:webHidden/>
              </w:rPr>
              <w:fldChar w:fldCharType="begin"/>
            </w:r>
            <w:r w:rsidR="00775F5A">
              <w:rPr>
                <w:noProof/>
                <w:webHidden/>
              </w:rPr>
              <w:instrText xml:space="preserve"> PAGEREF _Toc390948216 \h </w:instrText>
            </w:r>
            <w:r w:rsidR="00775F5A">
              <w:rPr>
                <w:noProof/>
                <w:webHidden/>
              </w:rPr>
            </w:r>
            <w:r w:rsidR="00775F5A">
              <w:rPr>
                <w:noProof/>
                <w:webHidden/>
              </w:rPr>
              <w:fldChar w:fldCharType="separate"/>
            </w:r>
            <w:r w:rsidR="00775F5A">
              <w:rPr>
                <w:noProof/>
                <w:webHidden/>
              </w:rPr>
              <w:t>1</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17" w:history="1">
            <w:r w:rsidR="00775F5A" w:rsidRPr="004539D1">
              <w:rPr>
                <w:rStyle w:val="Hyperlink"/>
                <w:noProof/>
              </w:rPr>
              <w:t>The Bill in the context of broader reform activities</w:t>
            </w:r>
            <w:r w:rsidR="00775F5A">
              <w:rPr>
                <w:noProof/>
                <w:webHidden/>
              </w:rPr>
              <w:tab/>
            </w:r>
            <w:r w:rsidR="00775F5A">
              <w:rPr>
                <w:noProof/>
                <w:webHidden/>
              </w:rPr>
              <w:fldChar w:fldCharType="begin"/>
            </w:r>
            <w:r w:rsidR="00775F5A">
              <w:rPr>
                <w:noProof/>
                <w:webHidden/>
              </w:rPr>
              <w:instrText xml:space="preserve"> PAGEREF _Toc390948217 \h </w:instrText>
            </w:r>
            <w:r w:rsidR="00775F5A">
              <w:rPr>
                <w:noProof/>
                <w:webHidden/>
              </w:rPr>
            </w:r>
            <w:r w:rsidR="00775F5A">
              <w:rPr>
                <w:noProof/>
                <w:webHidden/>
              </w:rPr>
              <w:fldChar w:fldCharType="separate"/>
            </w:r>
            <w:r w:rsidR="00775F5A">
              <w:rPr>
                <w:noProof/>
                <w:webHidden/>
              </w:rPr>
              <w:t>1</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18" w:history="1">
            <w:r w:rsidR="00775F5A" w:rsidRPr="004539D1">
              <w:rPr>
                <w:rStyle w:val="Hyperlink"/>
                <w:noProof/>
              </w:rPr>
              <w:t>Related legislative activity</w:t>
            </w:r>
            <w:r w:rsidR="00775F5A">
              <w:rPr>
                <w:noProof/>
                <w:webHidden/>
              </w:rPr>
              <w:tab/>
            </w:r>
            <w:r w:rsidR="00775F5A">
              <w:rPr>
                <w:noProof/>
                <w:webHidden/>
              </w:rPr>
              <w:fldChar w:fldCharType="begin"/>
            </w:r>
            <w:r w:rsidR="00775F5A">
              <w:rPr>
                <w:noProof/>
                <w:webHidden/>
              </w:rPr>
              <w:instrText xml:space="preserve"> PAGEREF _Toc390948218 \h </w:instrText>
            </w:r>
            <w:r w:rsidR="00775F5A">
              <w:rPr>
                <w:noProof/>
                <w:webHidden/>
              </w:rPr>
            </w:r>
            <w:r w:rsidR="00775F5A">
              <w:rPr>
                <w:noProof/>
                <w:webHidden/>
              </w:rPr>
              <w:fldChar w:fldCharType="separate"/>
            </w:r>
            <w:r w:rsidR="00775F5A">
              <w:rPr>
                <w:noProof/>
                <w:webHidden/>
              </w:rPr>
              <w:t>2</w:t>
            </w:r>
            <w:r w:rsidR="00775F5A">
              <w:rPr>
                <w:noProof/>
                <w:webHidden/>
              </w:rPr>
              <w:fldChar w:fldCharType="end"/>
            </w:r>
          </w:hyperlink>
        </w:p>
        <w:p w:rsidR="00775F5A" w:rsidRDefault="007A4DAF">
          <w:pPr>
            <w:pStyle w:val="TOC2"/>
            <w:tabs>
              <w:tab w:val="right" w:leader="dot" w:pos="8302"/>
            </w:tabs>
            <w:rPr>
              <w:rFonts w:asciiTheme="minorHAnsi" w:eastAsiaTheme="minorEastAsia" w:hAnsiTheme="minorHAnsi" w:cstheme="minorBidi"/>
              <w:noProof/>
              <w:sz w:val="22"/>
              <w:szCs w:val="22"/>
              <w:lang w:eastAsia="en-AU"/>
            </w:rPr>
          </w:pPr>
          <w:hyperlink w:anchor="_Toc390948219" w:history="1">
            <w:r w:rsidR="00775F5A" w:rsidRPr="004539D1">
              <w:rPr>
                <w:rStyle w:val="Hyperlink"/>
                <w:noProof/>
              </w:rPr>
              <w:t>PGPA Amendment Bill</w:t>
            </w:r>
            <w:r w:rsidR="00775F5A">
              <w:rPr>
                <w:noProof/>
                <w:webHidden/>
              </w:rPr>
              <w:tab/>
            </w:r>
            <w:r w:rsidR="00775F5A">
              <w:rPr>
                <w:noProof/>
                <w:webHidden/>
              </w:rPr>
              <w:fldChar w:fldCharType="begin"/>
            </w:r>
            <w:r w:rsidR="00775F5A">
              <w:rPr>
                <w:noProof/>
                <w:webHidden/>
              </w:rPr>
              <w:instrText xml:space="preserve"> PAGEREF _Toc390948219 \h </w:instrText>
            </w:r>
            <w:r w:rsidR="00775F5A">
              <w:rPr>
                <w:noProof/>
                <w:webHidden/>
              </w:rPr>
            </w:r>
            <w:r w:rsidR="00775F5A">
              <w:rPr>
                <w:noProof/>
                <w:webHidden/>
              </w:rPr>
              <w:fldChar w:fldCharType="separate"/>
            </w:r>
            <w:r w:rsidR="00775F5A">
              <w:rPr>
                <w:noProof/>
                <w:webHidden/>
              </w:rPr>
              <w:t>2</w:t>
            </w:r>
            <w:r w:rsidR="00775F5A">
              <w:rPr>
                <w:noProof/>
                <w:webHidden/>
              </w:rPr>
              <w:fldChar w:fldCharType="end"/>
            </w:r>
          </w:hyperlink>
        </w:p>
        <w:p w:rsidR="00775F5A" w:rsidRDefault="007A4DAF">
          <w:pPr>
            <w:pStyle w:val="TOC2"/>
            <w:tabs>
              <w:tab w:val="right" w:leader="dot" w:pos="8302"/>
            </w:tabs>
            <w:rPr>
              <w:rFonts w:asciiTheme="minorHAnsi" w:eastAsiaTheme="minorEastAsia" w:hAnsiTheme="minorHAnsi" w:cstheme="minorBidi"/>
              <w:noProof/>
              <w:sz w:val="22"/>
              <w:szCs w:val="22"/>
              <w:lang w:eastAsia="en-AU"/>
            </w:rPr>
          </w:pPr>
          <w:hyperlink w:anchor="_Toc390948220" w:history="1">
            <w:r w:rsidR="00775F5A" w:rsidRPr="004539D1">
              <w:rPr>
                <w:rStyle w:val="Hyperlink"/>
                <w:noProof/>
              </w:rPr>
              <w:t>PGPA rules and other instruments</w:t>
            </w:r>
            <w:r w:rsidR="00775F5A">
              <w:rPr>
                <w:noProof/>
                <w:webHidden/>
              </w:rPr>
              <w:tab/>
            </w:r>
            <w:r w:rsidR="00775F5A">
              <w:rPr>
                <w:noProof/>
                <w:webHidden/>
              </w:rPr>
              <w:fldChar w:fldCharType="begin"/>
            </w:r>
            <w:r w:rsidR="00775F5A">
              <w:rPr>
                <w:noProof/>
                <w:webHidden/>
              </w:rPr>
              <w:instrText xml:space="preserve"> PAGEREF _Toc390948220 \h </w:instrText>
            </w:r>
            <w:r w:rsidR="00775F5A">
              <w:rPr>
                <w:noProof/>
                <w:webHidden/>
              </w:rPr>
            </w:r>
            <w:r w:rsidR="00775F5A">
              <w:rPr>
                <w:noProof/>
                <w:webHidden/>
              </w:rPr>
              <w:fldChar w:fldCharType="separate"/>
            </w:r>
            <w:r w:rsidR="00775F5A">
              <w:rPr>
                <w:noProof/>
                <w:webHidden/>
              </w:rPr>
              <w:t>2</w:t>
            </w:r>
            <w:r w:rsidR="00775F5A">
              <w:rPr>
                <w:noProof/>
                <w:webHidden/>
              </w:rPr>
              <w:fldChar w:fldCharType="end"/>
            </w:r>
          </w:hyperlink>
        </w:p>
        <w:p w:rsidR="00775F5A" w:rsidRDefault="007A4DAF">
          <w:pPr>
            <w:pStyle w:val="TOC2"/>
            <w:tabs>
              <w:tab w:val="right" w:leader="dot" w:pos="8302"/>
            </w:tabs>
            <w:rPr>
              <w:rFonts w:asciiTheme="minorHAnsi" w:eastAsiaTheme="minorEastAsia" w:hAnsiTheme="minorHAnsi" w:cstheme="minorBidi"/>
              <w:noProof/>
              <w:sz w:val="22"/>
              <w:szCs w:val="22"/>
              <w:lang w:eastAsia="en-AU"/>
            </w:rPr>
          </w:pPr>
          <w:hyperlink w:anchor="_Toc390948221" w:history="1">
            <w:r w:rsidR="00775F5A" w:rsidRPr="004539D1">
              <w:rPr>
                <w:rStyle w:val="Hyperlink"/>
                <w:noProof/>
              </w:rPr>
              <w:t>Consequential amendments</w:t>
            </w:r>
            <w:r w:rsidR="00775F5A">
              <w:rPr>
                <w:noProof/>
                <w:webHidden/>
              </w:rPr>
              <w:tab/>
            </w:r>
            <w:r w:rsidR="00775F5A">
              <w:rPr>
                <w:noProof/>
                <w:webHidden/>
              </w:rPr>
              <w:fldChar w:fldCharType="begin"/>
            </w:r>
            <w:r w:rsidR="00775F5A">
              <w:rPr>
                <w:noProof/>
                <w:webHidden/>
              </w:rPr>
              <w:instrText xml:space="preserve"> PAGEREF _Toc390948221 \h </w:instrText>
            </w:r>
            <w:r w:rsidR="00775F5A">
              <w:rPr>
                <w:noProof/>
                <w:webHidden/>
              </w:rPr>
            </w:r>
            <w:r w:rsidR="00775F5A">
              <w:rPr>
                <w:noProof/>
                <w:webHidden/>
              </w:rPr>
              <w:fldChar w:fldCharType="separate"/>
            </w:r>
            <w:r w:rsidR="00775F5A">
              <w:rPr>
                <w:noProof/>
                <w:webHidden/>
              </w:rPr>
              <w:t>2</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22" w:history="1">
            <w:r w:rsidR="00775F5A" w:rsidRPr="004539D1">
              <w:rPr>
                <w:rStyle w:val="Hyperlink"/>
                <w:noProof/>
              </w:rPr>
              <w:t>Consultation</w:t>
            </w:r>
            <w:r w:rsidR="00775F5A">
              <w:rPr>
                <w:noProof/>
                <w:webHidden/>
              </w:rPr>
              <w:tab/>
            </w:r>
            <w:r w:rsidR="00775F5A">
              <w:rPr>
                <w:noProof/>
                <w:webHidden/>
              </w:rPr>
              <w:fldChar w:fldCharType="begin"/>
            </w:r>
            <w:r w:rsidR="00775F5A">
              <w:rPr>
                <w:noProof/>
                <w:webHidden/>
              </w:rPr>
              <w:instrText xml:space="preserve"> PAGEREF _Toc390948222 \h </w:instrText>
            </w:r>
            <w:r w:rsidR="00775F5A">
              <w:rPr>
                <w:noProof/>
                <w:webHidden/>
              </w:rPr>
            </w:r>
            <w:r w:rsidR="00775F5A">
              <w:rPr>
                <w:noProof/>
                <w:webHidden/>
              </w:rPr>
              <w:fldChar w:fldCharType="separate"/>
            </w:r>
            <w:r w:rsidR="00775F5A">
              <w:rPr>
                <w:noProof/>
                <w:webHidden/>
              </w:rPr>
              <w:t>3</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23" w:history="1">
            <w:r w:rsidR="00775F5A" w:rsidRPr="004539D1">
              <w:rPr>
                <w:rStyle w:val="Hyperlink"/>
                <w:noProof/>
              </w:rPr>
              <w:t>Structure of the Bill</w:t>
            </w:r>
            <w:r w:rsidR="00775F5A">
              <w:rPr>
                <w:noProof/>
                <w:webHidden/>
              </w:rPr>
              <w:tab/>
            </w:r>
            <w:r w:rsidR="00775F5A">
              <w:rPr>
                <w:noProof/>
                <w:webHidden/>
              </w:rPr>
              <w:fldChar w:fldCharType="begin"/>
            </w:r>
            <w:r w:rsidR="00775F5A">
              <w:rPr>
                <w:noProof/>
                <w:webHidden/>
              </w:rPr>
              <w:instrText xml:space="preserve"> PAGEREF _Toc390948223 \h </w:instrText>
            </w:r>
            <w:r w:rsidR="00775F5A">
              <w:rPr>
                <w:noProof/>
                <w:webHidden/>
              </w:rPr>
            </w:r>
            <w:r w:rsidR="00775F5A">
              <w:rPr>
                <w:noProof/>
                <w:webHidden/>
              </w:rPr>
              <w:fldChar w:fldCharType="separate"/>
            </w:r>
            <w:r w:rsidR="00775F5A">
              <w:rPr>
                <w:noProof/>
                <w:webHidden/>
              </w:rPr>
              <w:t>4</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24" w:history="1">
            <w:r w:rsidR="00775F5A" w:rsidRPr="004539D1">
              <w:rPr>
                <w:rStyle w:val="Hyperlink"/>
                <w:noProof/>
              </w:rPr>
              <w:t>Main features of the Bill</w:t>
            </w:r>
            <w:r w:rsidR="00775F5A">
              <w:rPr>
                <w:noProof/>
                <w:webHidden/>
              </w:rPr>
              <w:tab/>
            </w:r>
            <w:r w:rsidR="00775F5A">
              <w:rPr>
                <w:noProof/>
                <w:webHidden/>
              </w:rPr>
              <w:fldChar w:fldCharType="begin"/>
            </w:r>
            <w:r w:rsidR="00775F5A">
              <w:rPr>
                <w:noProof/>
                <w:webHidden/>
              </w:rPr>
              <w:instrText xml:space="preserve"> PAGEREF _Toc390948224 \h </w:instrText>
            </w:r>
            <w:r w:rsidR="00775F5A">
              <w:rPr>
                <w:noProof/>
                <w:webHidden/>
              </w:rPr>
            </w:r>
            <w:r w:rsidR="00775F5A">
              <w:rPr>
                <w:noProof/>
                <w:webHidden/>
              </w:rPr>
              <w:fldChar w:fldCharType="separate"/>
            </w:r>
            <w:r w:rsidR="00775F5A">
              <w:rPr>
                <w:noProof/>
                <w:webHidden/>
              </w:rPr>
              <w:t>4</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25" w:history="1">
            <w:r w:rsidR="00775F5A" w:rsidRPr="004539D1">
              <w:rPr>
                <w:rStyle w:val="Hyperlink"/>
                <w:noProof/>
              </w:rPr>
              <w:t>NOTES ON CLAUSES</w:t>
            </w:r>
            <w:r w:rsidR="00775F5A">
              <w:rPr>
                <w:noProof/>
                <w:webHidden/>
              </w:rPr>
              <w:tab/>
            </w:r>
            <w:r w:rsidR="00775F5A">
              <w:rPr>
                <w:noProof/>
                <w:webHidden/>
              </w:rPr>
              <w:fldChar w:fldCharType="begin"/>
            </w:r>
            <w:r w:rsidR="00775F5A">
              <w:rPr>
                <w:noProof/>
                <w:webHidden/>
              </w:rPr>
              <w:instrText xml:space="preserve"> PAGEREF _Toc390948225 \h </w:instrText>
            </w:r>
            <w:r w:rsidR="00775F5A">
              <w:rPr>
                <w:noProof/>
                <w:webHidden/>
              </w:rPr>
            </w:r>
            <w:r w:rsidR="00775F5A">
              <w:rPr>
                <w:noProof/>
                <w:webHidden/>
              </w:rPr>
              <w:fldChar w:fldCharType="separate"/>
            </w:r>
            <w:r w:rsidR="00775F5A">
              <w:rPr>
                <w:noProof/>
                <w:webHidden/>
              </w:rPr>
              <w:t>5</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26" w:history="1">
            <w:r w:rsidR="00775F5A" w:rsidRPr="004539D1">
              <w:rPr>
                <w:rStyle w:val="Hyperlink"/>
                <w:noProof/>
              </w:rPr>
              <w:t>NOTES ON SCHEDULE 1 – Appropriation Act (No.1) 2012-2013</w:t>
            </w:r>
            <w:r w:rsidR="00775F5A">
              <w:rPr>
                <w:noProof/>
                <w:webHidden/>
              </w:rPr>
              <w:tab/>
            </w:r>
            <w:r w:rsidR="00775F5A">
              <w:rPr>
                <w:noProof/>
                <w:webHidden/>
              </w:rPr>
              <w:fldChar w:fldCharType="begin"/>
            </w:r>
            <w:r w:rsidR="00775F5A">
              <w:rPr>
                <w:noProof/>
                <w:webHidden/>
              </w:rPr>
              <w:instrText xml:space="preserve"> PAGEREF _Toc390948226 \h </w:instrText>
            </w:r>
            <w:r w:rsidR="00775F5A">
              <w:rPr>
                <w:noProof/>
                <w:webHidden/>
              </w:rPr>
            </w:r>
            <w:r w:rsidR="00775F5A">
              <w:rPr>
                <w:noProof/>
                <w:webHidden/>
              </w:rPr>
              <w:fldChar w:fldCharType="separate"/>
            </w:r>
            <w:r w:rsidR="00775F5A">
              <w:rPr>
                <w:noProof/>
                <w:webHidden/>
              </w:rPr>
              <w:t>6</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27" w:history="1">
            <w:r w:rsidR="00775F5A" w:rsidRPr="004539D1">
              <w:rPr>
                <w:rStyle w:val="Hyperlink"/>
                <w:noProof/>
              </w:rPr>
              <w:t>NOTES ON SCHEDULE 2 – Appropriation Act (No.3) 2012-2013</w:t>
            </w:r>
            <w:r w:rsidR="00775F5A">
              <w:rPr>
                <w:noProof/>
                <w:webHidden/>
              </w:rPr>
              <w:tab/>
            </w:r>
            <w:r w:rsidR="00775F5A">
              <w:rPr>
                <w:noProof/>
                <w:webHidden/>
              </w:rPr>
              <w:fldChar w:fldCharType="begin"/>
            </w:r>
            <w:r w:rsidR="00775F5A">
              <w:rPr>
                <w:noProof/>
                <w:webHidden/>
              </w:rPr>
              <w:instrText xml:space="preserve"> PAGEREF _Toc390948227 \h </w:instrText>
            </w:r>
            <w:r w:rsidR="00775F5A">
              <w:rPr>
                <w:noProof/>
                <w:webHidden/>
              </w:rPr>
            </w:r>
            <w:r w:rsidR="00775F5A">
              <w:rPr>
                <w:noProof/>
                <w:webHidden/>
              </w:rPr>
              <w:fldChar w:fldCharType="separate"/>
            </w:r>
            <w:r w:rsidR="00775F5A">
              <w:rPr>
                <w:noProof/>
                <w:webHidden/>
              </w:rPr>
              <w:t>7</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28" w:history="1">
            <w:r w:rsidR="00775F5A" w:rsidRPr="004539D1">
              <w:rPr>
                <w:rStyle w:val="Hyperlink"/>
                <w:noProof/>
              </w:rPr>
              <w:t>NOTES ON SCHEDULE 3 – Appropriation Act (No.1) 2013-2014</w:t>
            </w:r>
            <w:r w:rsidR="00775F5A">
              <w:rPr>
                <w:noProof/>
                <w:webHidden/>
              </w:rPr>
              <w:tab/>
            </w:r>
            <w:r w:rsidR="00775F5A">
              <w:rPr>
                <w:noProof/>
                <w:webHidden/>
              </w:rPr>
              <w:fldChar w:fldCharType="begin"/>
            </w:r>
            <w:r w:rsidR="00775F5A">
              <w:rPr>
                <w:noProof/>
                <w:webHidden/>
              </w:rPr>
              <w:instrText xml:space="preserve"> PAGEREF _Toc390948228 \h </w:instrText>
            </w:r>
            <w:r w:rsidR="00775F5A">
              <w:rPr>
                <w:noProof/>
                <w:webHidden/>
              </w:rPr>
            </w:r>
            <w:r w:rsidR="00775F5A">
              <w:rPr>
                <w:noProof/>
                <w:webHidden/>
              </w:rPr>
              <w:fldChar w:fldCharType="separate"/>
            </w:r>
            <w:r w:rsidR="00775F5A">
              <w:rPr>
                <w:noProof/>
                <w:webHidden/>
              </w:rPr>
              <w:t>8</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29" w:history="1">
            <w:r w:rsidR="00775F5A" w:rsidRPr="004539D1">
              <w:rPr>
                <w:rStyle w:val="Hyperlink"/>
                <w:noProof/>
              </w:rPr>
              <w:t>NOTES ON SCHEDULE 4 – Appropriation Act (No.3) 2013-2014</w:t>
            </w:r>
            <w:r w:rsidR="00775F5A">
              <w:rPr>
                <w:noProof/>
                <w:webHidden/>
              </w:rPr>
              <w:tab/>
            </w:r>
            <w:r w:rsidR="00775F5A">
              <w:rPr>
                <w:noProof/>
                <w:webHidden/>
              </w:rPr>
              <w:fldChar w:fldCharType="begin"/>
            </w:r>
            <w:r w:rsidR="00775F5A">
              <w:rPr>
                <w:noProof/>
                <w:webHidden/>
              </w:rPr>
              <w:instrText xml:space="preserve"> PAGEREF _Toc390948229 \h </w:instrText>
            </w:r>
            <w:r w:rsidR="00775F5A">
              <w:rPr>
                <w:noProof/>
                <w:webHidden/>
              </w:rPr>
            </w:r>
            <w:r w:rsidR="00775F5A">
              <w:rPr>
                <w:noProof/>
                <w:webHidden/>
              </w:rPr>
              <w:fldChar w:fldCharType="separate"/>
            </w:r>
            <w:r w:rsidR="00775F5A">
              <w:rPr>
                <w:noProof/>
                <w:webHidden/>
              </w:rPr>
              <w:t>9</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30" w:history="1">
            <w:r w:rsidR="00775F5A" w:rsidRPr="004539D1">
              <w:rPr>
                <w:rStyle w:val="Hyperlink"/>
                <w:noProof/>
              </w:rPr>
              <w:t>NOTES ON SCHEDULE 5 – Appropriation Act (No.5) 2013-2014</w:t>
            </w:r>
            <w:r w:rsidR="00775F5A">
              <w:rPr>
                <w:noProof/>
                <w:webHidden/>
              </w:rPr>
              <w:tab/>
            </w:r>
            <w:r w:rsidR="00775F5A">
              <w:rPr>
                <w:noProof/>
                <w:webHidden/>
              </w:rPr>
              <w:fldChar w:fldCharType="begin"/>
            </w:r>
            <w:r w:rsidR="00775F5A">
              <w:rPr>
                <w:noProof/>
                <w:webHidden/>
              </w:rPr>
              <w:instrText xml:space="preserve"> PAGEREF _Toc390948230 \h </w:instrText>
            </w:r>
            <w:r w:rsidR="00775F5A">
              <w:rPr>
                <w:noProof/>
                <w:webHidden/>
              </w:rPr>
            </w:r>
            <w:r w:rsidR="00775F5A">
              <w:rPr>
                <w:noProof/>
                <w:webHidden/>
              </w:rPr>
              <w:fldChar w:fldCharType="separate"/>
            </w:r>
            <w:r w:rsidR="00775F5A">
              <w:rPr>
                <w:noProof/>
                <w:webHidden/>
              </w:rPr>
              <w:t>10</w:t>
            </w:r>
            <w:r w:rsidR="00775F5A">
              <w:rPr>
                <w:noProof/>
                <w:webHidden/>
              </w:rPr>
              <w:fldChar w:fldCharType="end"/>
            </w:r>
          </w:hyperlink>
        </w:p>
        <w:p w:rsidR="00775F5A" w:rsidRDefault="007A4DAF">
          <w:pPr>
            <w:pStyle w:val="TOC1"/>
            <w:rPr>
              <w:rFonts w:asciiTheme="minorHAnsi" w:eastAsiaTheme="minorEastAsia" w:hAnsiTheme="minorHAnsi" w:cstheme="minorBidi"/>
              <w:noProof/>
              <w:sz w:val="22"/>
              <w:szCs w:val="22"/>
              <w:lang w:eastAsia="en-AU"/>
            </w:rPr>
          </w:pPr>
          <w:hyperlink w:anchor="_Toc390948231" w:history="1">
            <w:r w:rsidR="00775F5A" w:rsidRPr="004539D1">
              <w:rPr>
                <w:rStyle w:val="Hyperlink"/>
                <w:noProof/>
              </w:rPr>
              <w:t>NOTES ON SCHEDULE 6 – Appropriation Act (No.1) 2014-2015</w:t>
            </w:r>
            <w:r w:rsidR="00775F5A">
              <w:rPr>
                <w:noProof/>
                <w:webHidden/>
              </w:rPr>
              <w:tab/>
            </w:r>
            <w:r w:rsidR="00775F5A">
              <w:rPr>
                <w:noProof/>
                <w:webHidden/>
              </w:rPr>
              <w:fldChar w:fldCharType="begin"/>
            </w:r>
            <w:r w:rsidR="00775F5A">
              <w:rPr>
                <w:noProof/>
                <w:webHidden/>
              </w:rPr>
              <w:instrText xml:space="preserve"> PAGEREF _Toc390948231 \h </w:instrText>
            </w:r>
            <w:r w:rsidR="00775F5A">
              <w:rPr>
                <w:noProof/>
                <w:webHidden/>
              </w:rPr>
            </w:r>
            <w:r w:rsidR="00775F5A">
              <w:rPr>
                <w:noProof/>
                <w:webHidden/>
              </w:rPr>
              <w:fldChar w:fldCharType="separate"/>
            </w:r>
            <w:r w:rsidR="00775F5A">
              <w:rPr>
                <w:noProof/>
                <w:webHidden/>
              </w:rPr>
              <w:t>11</w:t>
            </w:r>
            <w:r w:rsidR="00775F5A">
              <w:rPr>
                <w:noProof/>
                <w:webHidden/>
              </w:rPr>
              <w:fldChar w:fldCharType="end"/>
            </w:r>
          </w:hyperlink>
        </w:p>
        <w:p w:rsidR="000A0971" w:rsidRPr="002519CB" w:rsidRDefault="00CD6F66">
          <w:r w:rsidRPr="002519CB">
            <w:fldChar w:fldCharType="end"/>
          </w:r>
        </w:p>
      </w:sdtContent>
    </w:sdt>
    <w:p w:rsidR="0019704D" w:rsidRPr="002519CB" w:rsidRDefault="0019704D" w:rsidP="0019704D">
      <w:pPr>
        <w:pStyle w:val="Footer"/>
        <w:tabs>
          <w:tab w:val="clear" w:pos="4153"/>
          <w:tab w:val="clear" w:pos="8306"/>
        </w:tabs>
        <w:autoSpaceDE/>
        <w:autoSpaceDN/>
        <w:adjustRightInd/>
      </w:pPr>
    </w:p>
    <w:p w:rsidR="0019704D" w:rsidRPr="002519CB" w:rsidRDefault="0019704D" w:rsidP="0019704D">
      <w:pPr>
        <w:pStyle w:val="Footer"/>
        <w:tabs>
          <w:tab w:val="clear" w:pos="4153"/>
          <w:tab w:val="clear" w:pos="8306"/>
        </w:tabs>
        <w:autoSpaceDE/>
        <w:autoSpaceDN/>
        <w:adjustRightInd/>
        <w:sectPr w:rsidR="0019704D" w:rsidRPr="002519CB" w:rsidSect="00846B83">
          <w:pgSz w:w="11906" w:h="16838"/>
          <w:pgMar w:top="1440" w:right="1797" w:bottom="1440" w:left="1797" w:header="709" w:footer="709" w:gutter="0"/>
          <w:pgNumType w:fmt="lowerRoman" w:start="1"/>
          <w:cols w:space="708"/>
          <w:docGrid w:linePitch="360"/>
        </w:sectPr>
      </w:pPr>
    </w:p>
    <w:p w:rsidR="0019704D" w:rsidRPr="002519CB" w:rsidRDefault="0019704D" w:rsidP="00E31303">
      <w:pPr>
        <w:pStyle w:val="Heading1"/>
        <w:rPr>
          <w:rFonts w:ascii="Times New Roman" w:hAnsi="Times New Roman" w:cs="Times New Roman"/>
          <w:color w:val="auto"/>
        </w:rPr>
      </w:pPr>
      <w:bookmarkStart w:id="6" w:name="_Toc390948213"/>
      <w:bookmarkEnd w:id="5"/>
      <w:bookmarkEnd w:id="4"/>
      <w:bookmarkEnd w:id="3"/>
      <w:r w:rsidRPr="002519CB">
        <w:rPr>
          <w:rFonts w:ascii="Times New Roman" w:hAnsi="Times New Roman" w:cs="Times New Roman"/>
          <w:color w:val="auto"/>
        </w:rPr>
        <w:lastRenderedPageBreak/>
        <w:t>Table of abbreviations and common terms</w:t>
      </w:r>
      <w:bookmarkEnd w:id="6"/>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518"/>
        <w:gridCol w:w="6004"/>
      </w:tblGrid>
      <w:tr w:rsidR="0019704D" w:rsidRPr="002519CB" w:rsidTr="00846B83">
        <w:trPr>
          <w:tblHeader/>
        </w:trPr>
        <w:tc>
          <w:tcPr>
            <w:tcW w:w="2518" w:type="dxa"/>
          </w:tcPr>
          <w:p w:rsidR="0019704D" w:rsidRPr="002519CB" w:rsidRDefault="0019704D" w:rsidP="00846B83">
            <w:pPr>
              <w:pStyle w:val="BodyText"/>
              <w:rPr>
                <w:b/>
                <w:bCs/>
              </w:rPr>
            </w:pPr>
            <w:r w:rsidRPr="002519CB">
              <w:rPr>
                <w:b/>
                <w:bCs/>
              </w:rPr>
              <w:t>Abbreviation or common term</w:t>
            </w:r>
          </w:p>
        </w:tc>
        <w:tc>
          <w:tcPr>
            <w:tcW w:w="6004" w:type="dxa"/>
          </w:tcPr>
          <w:p w:rsidR="0019704D" w:rsidRPr="002519CB" w:rsidRDefault="0019704D" w:rsidP="00846B83">
            <w:pPr>
              <w:pStyle w:val="BodyText"/>
              <w:rPr>
                <w:b/>
                <w:bCs/>
              </w:rPr>
            </w:pPr>
            <w:r w:rsidRPr="002519CB">
              <w:rPr>
                <w:b/>
                <w:bCs/>
              </w:rPr>
              <w:t>Full term or description</w:t>
            </w:r>
          </w:p>
        </w:tc>
      </w:tr>
      <w:tr w:rsidR="002E63C6" w:rsidRPr="002519CB" w:rsidTr="00846B83">
        <w:tc>
          <w:tcPr>
            <w:tcW w:w="2518" w:type="dxa"/>
          </w:tcPr>
          <w:p w:rsidR="002E63C6" w:rsidRPr="002519CB" w:rsidRDefault="002E63C6" w:rsidP="002B3AC1">
            <w:pPr>
              <w:pStyle w:val="Header"/>
              <w:tabs>
                <w:tab w:val="clear" w:pos="4153"/>
                <w:tab w:val="clear" w:pos="8306"/>
              </w:tabs>
            </w:pPr>
            <w:r w:rsidRPr="002519CB">
              <w:t>CAC Act</w:t>
            </w:r>
          </w:p>
        </w:tc>
        <w:tc>
          <w:tcPr>
            <w:tcW w:w="6004" w:type="dxa"/>
          </w:tcPr>
          <w:p w:rsidR="002E63C6" w:rsidRPr="002519CB" w:rsidRDefault="002E63C6" w:rsidP="002B3AC1">
            <w:pPr>
              <w:rPr>
                <w:i/>
              </w:rPr>
            </w:pPr>
            <w:r w:rsidRPr="002519CB">
              <w:rPr>
                <w:i/>
              </w:rPr>
              <w:t>Commonwealth Authorities and Companies Act 1997</w:t>
            </w:r>
          </w:p>
        </w:tc>
      </w:tr>
      <w:tr w:rsidR="002E63C6" w:rsidRPr="002519CB" w:rsidTr="00846B83">
        <w:tc>
          <w:tcPr>
            <w:tcW w:w="2518" w:type="dxa"/>
          </w:tcPr>
          <w:p w:rsidR="002E63C6" w:rsidRPr="002519CB" w:rsidRDefault="002E63C6" w:rsidP="002B3AC1">
            <w:pPr>
              <w:pStyle w:val="Header"/>
              <w:tabs>
                <w:tab w:val="clear" w:pos="4153"/>
                <w:tab w:val="clear" w:pos="8306"/>
              </w:tabs>
            </w:pPr>
            <w:r w:rsidRPr="002519CB">
              <w:t>CAC Regulations</w:t>
            </w:r>
          </w:p>
        </w:tc>
        <w:tc>
          <w:tcPr>
            <w:tcW w:w="6004" w:type="dxa"/>
          </w:tcPr>
          <w:p w:rsidR="002E63C6" w:rsidRPr="002519CB" w:rsidRDefault="002E63C6" w:rsidP="002B3AC1">
            <w:pPr>
              <w:rPr>
                <w:i/>
              </w:rPr>
            </w:pPr>
            <w:r w:rsidRPr="002519CB">
              <w:rPr>
                <w:i/>
              </w:rPr>
              <w:t>Commonwealth Authorities and Companies Regulation</w:t>
            </w:r>
            <w:r w:rsidR="00517DED" w:rsidRPr="002519CB">
              <w:rPr>
                <w:i/>
              </w:rPr>
              <w:t>s</w:t>
            </w:r>
            <w:r w:rsidRPr="002519CB">
              <w:rPr>
                <w:i/>
              </w:rPr>
              <w:t> 1997</w:t>
            </w:r>
          </w:p>
        </w:tc>
      </w:tr>
      <w:tr w:rsidR="002740FA" w:rsidRPr="002519CB" w:rsidTr="00846B83">
        <w:tc>
          <w:tcPr>
            <w:tcW w:w="2518" w:type="dxa"/>
          </w:tcPr>
          <w:p w:rsidR="002740FA" w:rsidRPr="002519CB" w:rsidRDefault="002740FA" w:rsidP="00EE51DC">
            <w:pPr>
              <w:pStyle w:val="Header"/>
              <w:tabs>
                <w:tab w:val="clear" w:pos="4153"/>
                <w:tab w:val="clear" w:pos="8306"/>
              </w:tabs>
            </w:pPr>
            <w:r w:rsidRPr="002519CB">
              <w:t>Commonwealth entity</w:t>
            </w:r>
          </w:p>
        </w:tc>
        <w:tc>
          <w:tcPr>
            <w:tcW w:w="6004" w:type="dxa"/>
          </w:tcPr>
          <w:p w:rsidR="002740FA" w:rsidRPr="002519CB" w:rsidRDefault="002740FA" w:rsidP="00EE51DC">
            <w:r w:rsidRPr="002519CB">
              <w:t>An entity as defined in section 10 of the PGPA Act</w:t>
            </w:r>
          </w:p>
        </w:tc>
      </w:tr>
      <w:tr w:rsidR="002740FA" w:rsidRPr="002519CB" w:rsidTr="00846B83">
        <w:tc>
          <w:tcPr>
            <w:tcW w:w="2518" w:type="dxa"/>
          </w:tcPr>
          <w:p w:rsidR="002740FA" w:rsidRPr="002519CB" w:rsidRDefault="002740FA" w:rsidP="00EE51DC">
            <w:pPr>
              <w:pStyle w:val="Header"/>
              <w:tabs>
                <w:tab w:val="clear" w:pos="4153"/>
                <w:tab w:val="clear" w:pos="8306"/>
              </w:tabs>
            </w:pPr>
            <w:r w:rsidRPr="002519CB">
              <w:t>CRF</w:t>
            </w:r>
          </w:p>
        </w:tc>
        <w:tc>
          <w:tcPr>
            <w:tcW w:w="6004" w:type="dxa"/>
          </w:tcPr>
          <w:p w:rsidR="002740FA" w:rsidRPr="002519CB" w:rsidRDefault="002740FA" w:rsidP="00EE51DC">
            <w:r w:rsidRPr="002519CB">
              <w:t xml:space="preserve">The Consolidated Revenue Fund established by section 81 of the Constitution </w:t>
            </w:r>
          </w:p>
        </w:tc>
      </w:tr>
      <w:tr w:rsidR="002740FA" w:rsidRPr="002519CB" w:rsidTr="00846B83">
        <w:tc>
          <w:tcPr>
            <w:tcW w:w="2518" w:type="dxa"/>
          </w:tcPr>
          <w:p w:rsidR="002740FA" w:rsidRPr="002519CB" w:rsidRDefault="002740FA" w:rsidP="00EE51DC">
            <w:pPr>
              <w:pStyle w:val="Header"/>
              <w:tabs>
                <w:tab w:val="clear" w:pos="4153"/>
                <w:tab w:val="clear" w:pos="8306"/>
              </w:tabs>
            </w:pPr>
            <w:r w:rsidRPr="002519CB">
              <w:t>FMA Act</w:t>
            </w:r>
          </w:p>
        </w:tc>
        <w:tc>
          <w:tcPr>
            <w:tcW w:w="6004" w:type="dxa"/>
          </w:tcPr>
          <w:p w:rsidR="002740FA" w:rsidRPr="002519CB" w:rsidRDefault="002740FA" w:rsidP="00EE51DC">
            <w:pPr>
              <w:rPr>
                <w:i/>
              </w:rPr>
            </w:pPr>
            <w:r w:rsidRPr="002519CB">
              <w:rPr>
                <w:i/>
              </w:rPr>
              <w:t>Financial Management and Accountability Act 1997</w:t>
            </w:r>
          </w:p>
        </w:tc>
      </w:tr>
      <w:tr w:rsidR="002740FA" w:rsidRPr="002519CB" w:rsidTr="00846B83">
        <w:trPr>
          <w:trHeight w:val="138"/>
        </w:trPr>
        <w:tc>
          <w:tcPr>
            <w:tcW w:w="2518" w:type="dxa"/>
          </w:tcPr>
          <w:p w:rsidR="002740FA" w:rsidRPr="002519CB" w:rsidRDefault="002740FA" w:rsidP="00EE51DC">
            <w:pPr>
              <w:pStyle w:val="Header"/>
              <w:tabs>
                <w:tab w:val="clear" w:pos="4153"/>
                <w:tab w:val="clear" w:pos="8306"/>
              </w:tabs>
            </w:pPr>
            <w:r w:rsidRPr="002519CB">
              <w:t>FMA Regulations</w:t>
            </w:r>
          </w:p>
        </w:tc>
        <w:tc>
          <w:tcPr>
            <w:tcW w:w="6004" w:type="dxa"/>
          </w:tcPr>
          <w:p w:rsidR="002740FA" w:rsidRPr="002519CB" w:rsidRDefault="002740FA" w:rsidP="00EE51DC">
            <w:pPr>
              <w:pStyle w:val="Header"/>
              <w:tabs>
                <w:tab w:val="clear" w:pos="4153"/>
                <w:tab w:val="clear" w:pos="8306"/>
              </w:tabs>
            </w:pPr>
            <w:r w:rsidRPr="002519CB">
              <w:rPr>
                <w:i/>
              </w:rPr>
              <w:t>Financial Management and Accountability Regulations 1997</w:t>
            </w:r>
          </w:p>
        </w:tc>
      </w:tr>
      <w:tr w:rsidR="002740FA" w:rsidRPr="002519CB" w:rsidTr="002B3AC1">
        <w:tc>
          <w:tcPr>
            <w:tcW w:w="2518" w:type="dxa"/>
          </w:tcPr>
          <w:p w:rsidR="002740FA" w:rsidRPr="002519CB" w:rsidRDefault="002740FA" w:rsidP="00EE51DC">
            <w:pPr>
              <w:pStyle w:val="Header"/>
              <w:tabs>
                <w:tab w:val="clear" w:pos="4153"/>
                <w:tab w:val="clear" w:pos="8306"/>
              </w:tabs>
            </w:pPr>
            <w:r w:rsidRPr="002519CB">
              <w:t>Finance Minister</w:t>
            </w:r>
          </w:p>
        </w:tc>
        <w:tc>
          <w:tcPr>
            <w:tcW w:w="6004" w:type="dxa"/>
          </w:tcPr>
          <w:p w:rsidR="002740FA" w:rsidRPr="002519CB" w:rsidRDefault="002740FA" w:rsidP="00EE51DC">
            <w:pPr>
              <w:pStyle w:val="Header"/>
              <w:tabs>
                <w:tab w:val="clear" w:pos="4153"/>
                <w:tab w:val="clear" w:pos="8306"/>
              </w:tabs>
            </w:pPr>
            <w:r w:rsidRPr="002519CB">
              <w:t>The Min</w:t>
            </w:r>
            <w:r w:rsidR="00357995" w:rsidRPr="002519CB">
              <w:t>i</w:t>
            </w:r>
            <w:r w:rsidRPr="002519CB">
              <w:t>ster with responsibility for administering the PGPA Act</w:t>
            </w:r>
          </w:p>
        </w:tc>
      </w:tr>
      <w:tr w:rsidR="002740FA" w:rsidRPr="002519CB" w:rsidTr="002B3AC1">
        <w:trPr>
          <w:cantSplit/>
        </w:trPr>
        <w:tc>
          <w:tcPr>
            <w:tcW w:w="2518" w:type="dxa"/>
          </w:tcPr>
          <w:p w:rsidR="002740FA" w:rsidRPr="002519CB" w:rsidRDefault="002740FA" w:rsidP="00EE51DC">
            <w:pPr>
              <w:pStyle w:val="Header"/>
              <w:tabs>
                <w:tab w:val="clear" w:pos="4153"/>
                <w:tab w:val="clear" w:pos="8306"/>
              </w:tabs>
            </w:pPr>
            <w:r w:rsidRPr="002519CB">
              <w:t>PGPA Act</w:t>
            </w:r>
          </w:p>
        </w:tc>
        <w:tc>
          <w:tcPr>
            <w:tcW w:w="6004" w:type="dxa"/>
          </w:tcPr>
          <w:p w:rsidR="002740FA" w:rsidRPr="002519CB" w:rsidRDefault="002740FA" w:rsidP="00EE51DC">
            <w:pPr>
              <w:pStyle w:val="Header"/>
              <w:tabs>
                <w:tab w:val="clear" w:pos="4153"/>
                <w:tab w:val="clear" w:pos="8306"/>
              </w:tabs>
              <w:rPr>
                <w:i/>
              </w:rPr>
            </w:pPr>
            <w:r w:rsidRPr="002519CB">
              <w:rPr>
                <w:i/>
              </w:rPr>
              <w:t>Public Governance, Performance and Accountability Act 2013</w:t>
            </w:r>
          </w:p>
        </w:tc>
      </w:tr>
      <w:tr w:rsidR="002740FA" w:rsidRPr="002519CB" w:rsidTr="00846B83">
        <w:trPr>
          <w:trHeight w:val="138"/>
        </w:trPr>
        <w:tc>
          <w:tcPr>
            <w:tcW w:w="2518" w:type="dxa"/>
          </w:tcPr>
          <w:p w:rsidR="002740FA" w:rsidRPr="002519CB" w:rsidRDefault="002740FA" w:rsidP="00EE51DC">
            <w:pPr>
              <w:pStyle w:val="Header"/>
              <w:tabs>
                <w:tab w:val="clear" w:pos="4153"/>
                <w:tab w:val="clear" w:pos="8306"/>
              </w:tabs>
            </w:pPr>
            <w:r w:rsidRPr="002519CB">
              <w:t>PS Act</w:t>
            </w:r>
          </w:p>
        </w:tc>
        <w:tc>
          <w:tcPr>
            <w:tcW w:w="6004" w:type="dxa"/>
          </w:tcPr>
          <w:p w:rsidR="002740FA" w:rsidRPr="002519CB" w:rsidRDefault="002740FA" w:rsidP="00EE51DC">
            <w:pPr>
              <w:pStyle w:val="Header"/>
              <w:tabs>
                <w:tab w:val="clear" w:pos="4153"/>
                <w:tab w:val="clear" w:pos="8306"/>
              </w:tabs>
              <w:rPr>
                <w:i/>
              </w:rPr>
            </w:pPr>
            <w:r w:rsidRPr="002519CB">
              <w:rPr>
                <w:i/>
              </w:rPr>
              <w:t>Public Service Act 1999</w:t>
            </w:r>
          </w:p>
        </w:tc>
      </w:tr>
      <w:tr w:rsidR="002740FA" w:rsidRPr="002519CB" w:rsidTr="00846B83">
        <w:trPr>
          <w:trHeight w:val="137"/>
        </w:trPr>
        <w:tc>
          <w:tcPr>
            <w:tcW w:w="2518" w:type="dxa"/>
          </w:tcPr>
          <w:p w:rsidR="002740FA" w:rsidRPr="002519CB" w:rsidRDefault="007F52F6" w:rsidP="00846B83">
            <w:pPr>
              <w:pStyle w:val="Header"/>
              <w:tabs>
                <w:tab w:val="clear" w:pos="4153"/>
                <w:tab w:val="clear" w:pos="8306"/>
              </w:tabs>
            </w:pPr>
            <w:r w:rsidRPr="002519CB">
              <w:t>Rules</w:t>
            </w:r>
            <w:r w:rsidR="000B797D" w:rsidRPr="002519CB">
              <w:t xml:space="preserve"> or PGPA rules</w:t>
            </w:r>
          </w:p>
        </w:tc>
        <w:tc>
          <w:tcPr>
            <w:tcW w:w="6004" w:type="dxa"/>
          </w:tcPr>
          <w:p w:rsidR="002740FA" w:rsidRPr="002519CB" w:rsidRDefault="007F52F6" w:rsidP="00443AEE">
            <w:pPr>
              <w:pStyle w:val="Header"/>
              <w:tabs>
                <w:tab w:val="clear" w:pos="4153"/>
                <w:tab w:val="clear" w:pos="8306"/>
              </w:tabs>
              <w:rPr>
                <w:iCs/>
              </w:rPr>
            </w:pPr>
            <w:r w:rsidRPr="002519CB">
              <w:rPr>
                <w:iCs/>
              </w:rPr>
              <w:t xml:space="preserve">The rules made under </w:t>
            </w:r>
            <w:r w:rsidR="00443AEE" w:rsidRPr="002519CB">
              <w:rPr>
                <w:iCs/>
              </w:rPr>
              <w:t>Part 4-1 of the PGPA Act</w:t>
            </w:r>
          </w:p>
        </w:tc>
      </w:tr>
    </w:tbl>
    <w:p w:rsidR="0019704D" w:rsidRPr="002519CB" w:rsidRDefault="0019704D" w:rsidP="0019704D">
      <w:pPr>
        <w:jc w:val="center"/>
        <w:rPr>
          <w:b/>
          <w:bCs/>
          <w:sz w:val="44"/>
          <w:szCs w:val="44"/>
        </w:rPr>
      </w:pPr>
    </w:p>
    <w:p w:rsidR="0019704D" w:rsidRPr="002519CB" w:rsidRDefault="0019704D" w:rsidP="0019704D">
      <w:pPr>
        <w:jc w:val="center"/>
        <w:rPr>
          <w:b/>
          <w:bCs/>
          <w:sz w:val="44"/>
          <w:szCs w:val="44"/>
        </w:rPr>
        <w:sectPr w:rsidR="0019704D" w:rsidRPr="002519CB" w:rsidSect="00846B83">
          <w:footerReference w:type="first" r:id="rId12"/>
          <w:pgSz w:w="11906" w:h="16838"/>
          <w:pgMar w:top="1440" w:right="1797" w:bottom="1440" w:left="1797" w:header="709" w:footer="709" w:gutter="0"/>
          <w:pgNumType w:fmt="lowerRoman"/>
          <w:cols w:space="708"/>
          <w:titlePg/>
          <w:docGrid w:linePitch="360"/>
        </w:sectPr>
      </w:pPr>
    </w:p>
    <w:p w:rsidR="0019704D" w:rsidRPr="002519CB" w:rsidRDefault="0025405D" w:rsidP="0019704D">
      <w:pPr>
        <w:jc w:val="center"/>
        <w:rPr>
          <w:b/>
          <w:bCs/>
          <w:i/>
          <w:sz w:val="28"/>
          <w:szCs w:val="28"/>
        </w:rPr>
      </w:pPr>
      <w:r w:rsidRPr="002519CB">
        <w:rPr>
          <w:b/>
          <w:bCs/>
          <w:i/>
          <w:sz w:val="28"/>
          <w:szCs w:val="28"/>
        </w:rPr>
        <w:t xml:space="preserve">Public Governance, Performance and Accountability </w:t>
      </w:r>
      <w:r w:rsidR="00832570">
        <w:rPr>
          <w:b/>
          <w:bCs/>
          <w:i/>
          <w:sz w:val="28"/>
          <w:szCs w:val="28"/>
        </w:rPr>
        <w:t>(</w:t>
      </w:r>
      <w:r w:rsidR="00631A95">
        <w:rPr>
          <w:b/>
          <w:bCs/>
          <w:i/>
          <w:sz w:val="28"/>
          <w:szCs w:val="28"/>
        </w:rPr>
        <w:t>Consequential Modifications</w:t>
      </w:r>
      <w:r w:rsidR="00832570">
        <w:rPr>
          <w:b/>
          <w:bCs/>
          <w:i/>
          <w:sz w:val="28"/>
          <w:szCs w:val="28"/>
        </w:rPr>
        <w:t xml:space="preserve"> of Appropriation Acts (No.1), (No.3) and (No.5)</w:t>
      </w:r>
      <w:r w:rsidR="00631A95">
        <w:rPr>
          <w:b/>
          <w:bCs/>
          <w:i/>
          <w:sz w:val="28"/>
          <w:szCs w:val="28"/>
        </w:rPr>
        <w:t>)</w:t>
      </w:r>
      <w:r w:rsidRPr="002519CB">
        <w:rPr>
          <w:b/>
          <w:bCs/>
          <w:i/>
          <w:sz w:val="28"/>
          <w:szCs w:val="28"/>
        </w:rPr>
        <w:t xml:space="preserve"> Bill 2014</w:t>
      </w:r>
    </w:p>
    <w:p w:rsidR="0019704D" w:rsidRPr="002519CB" w:rsidRDefault="00DB17F5" w:rsidP="002A4643">
      <w:pPr>
        <w:pStyle w:val="Heading1"/>
        <w:spacing w:before="360"/>
        <w:rPr>
          <w:rFonts w:ascii="Times New Roman" w:hAnsi="Times New Roman" w:cs="Times New Roman"/>
          <w:color w:val="auto"/>
        </w:rPr>
      </w:pPr>
      <w:bookmarkStart w:id="7" w:name="_Toc79560134"/>
      <w:bookmarkStart w:id="8" w:name="_Toc140655416"/>
      <w:bookmarkStart w:id="9" w:name="_Toc140657408"/>
      <w:bookmarkStart w:id="10" w:name="_Toc140892710"/>
      <w:bookmarkStart w:id="11" w:name="_Toc150933093"/>
      <w:bookmarkStart w:id="12" w:name="_Toc370475773"/>
      <w:bookmarkStart w:id="13" w:name="_Toc390948214"/>
      <w:r w:rsidRPr="002519CB">
        <w:rPr>
          <w:rFonts w:ascii="Times New Roman" w:hAnsi="Times New Roman" w:cs="Times New Roman"/>
          <w:color w:val="auto"/>
        </w:rPr>
        <w:t>General outline</w:t>
      </w:r>
      <w:bookmarkEnd w:id="7"/>
      <w:bookmarkEnd w:id="8"/>
      <w:bookmarkEnd w:id="9"/>
      <w:bookmarkEnd w:id="10"/>
      <w:bookmarkEnd w:id="11"/>
      <w:bookmarkEnd w:id="12"/>
      <w:bookmarkEnd w:id="13"/>
    </w:p>
    <w:p w:rsidR="007E2314" w:rsidRDefault="0019704D">
      <w:pPr>
        <w:numPr>
          <w:ilvl w:val="0"/>
          <w:numId w:val="11"/>
        </w:numPr>
        <w:tabs>
          <w:tab w:val="left" w:pos="567"/>
          <w:tab w:val="left" w:pos="1276"/>
          <w:tab w:val="num" w:pos="1920"/>
        </w:tabs>
        <w:spacing w:before="120" w:after="120"/>
        <w:ind w:left="0" w:firstLine="0"/>
      </w:pPr>
      <w:r w:rsidRPr="002519CB">
        <w:t>The</w:t>
      </w:r>
      <w:r w:rsidR="00631A95">
        <w:t xml:space="preserve"> </w:t>
      </w:r>
      <w:r w:rsidRPr="002519CB">
        <w:rPr>
          <w:i/>
        </w:rPr>
        <w:t>Public Governance, Performance and Accountability</w:t>
      </w:r>
      <w:r w:rsidR="00832570">
        <w:rPr>
          <w:i/>
        </w:rPr>
        <w:t xml:space="preserve"> (</w:t>
      </w:r>
      <w:r w:rsidR="00631A95">
        <w:rPr>
          <w:i/>
        </w:rPr>
        <w:t xml:space="preserve"> Consequential Modifications</w:t>
      </w:r>
      <w:r w:rsidR="00832570">
        <w:rPr>
          <w:i/>
        </w:rPr>
        <w:t xml:space="preserve"> of Appropriation Acts (No.1), (No.3) and (No.5)</w:t>
      </w:r>
      <w:r w:rsidR="00631A95">
        <w:rPr>
          <w:i/>
        </w:rPr>
        <w:t>)</w:t>
      </w:r>
      <w:r w:rsidR="00D0404B">
        <w:rPr>
          <w:i/>
        </w:rPr>
        <w:t xml:space="preserve"> </w:t>
      </w:r>
      <w:r w:rsidRPr="002519CB">
        <w:rPr>
          <w:i/>
        </w:rPr>
        <w:t>Bill 2014</w:t>
      </w:r>
      <w:r w:rsidRPr="002519CB">
        <w:t xml:space="preserve"> (</w:t>
      </w:r>
      <w:r w:rsidR="00502914" w:rsidRPr="002519CB">
        <w:t xml:space="preserve">the </w:t>
      </w:r>
      <w:r w:rsidRPr="00335DE9">
        <w:t xml:space="preserve">Bill) </w:t>
      </w:r>
      <w:r w:rsidR="004C6919" w:rsidRPr="00335DE9">
        <w:t xml:space="preserve">would, if enacted, </w:t>
      </w:r>
      <w:r w:rsidRPr="00335DE9">
        <w:t xml:space="preserve">amend the </w:t>
      </w:r>
      <w:r w:rsidR="0000339C">
        <w:t xml:space="preserve">following Acts appropriating money out of the CRF for the ordinary </w:t>
      </w:r>
      <w:r w:rsidR="00B37891">
        <w:t xml:space="preserve">annual </w:t>
      </w:r>
      <w:r w:rsidR="0000339C">
        <w:t>services of the Government and related purposes:</w:t>
      </w:r>
    </w:p>
    <w:p w:rsidR="00F23B59" w:rsidRPr="003831AC" w:rsidRDefault="007E2314" w:rsidP="00F23B59">
      <w:pPr>
        <w:pStyle w:val="ListParagraph"/>
        <w:numPr>
          <w:ilvl w:val="0"/>
          <w:numId w:val="31"/>
        </w:numPr>
        <w:spacing w:before="120" w:after="120"/>
      </w:pPr>
      <w:r w:rsidRPr="00F23B59">
        <w:rPr>
          <w:i/>
        </w:rPr>
        <w:t>Appropriation</w:t>
      </w:r>
      <w:r w:rsidR="003831AC">
        <w:rPr>
          <w:i/>
        </w:rPr>
        <w:t xml:space="preserve"> </w:t>
      </w:r>
      <w:r w:rsidRPr="00F23B59">
        <w:rPr>
          <w:i/>
        </w:rPr>
        <w:t xml:space="preserve"> </w:t>
      </w:r>
      <w:r w:rsidR="003831AC">
        <w:rPr>
          <w:i/>
        </w:rPr>
        <w:t xml:space="preserve">Act </w:t>
      </w:r>
      <w:r w:rsidR="00F959E1" w:rsidRPr="00F23B59">
        <w:rPr>
          <w:i/>
        </w:rPr>
        <w:t>(No.1)</w:t>
      </w:r>
      <w:r w:rsidRPr="00F23B59">
        <w:rPr>
          <w:i/>
        </w:rPr>
        <w:t>20</w:t>
      </w:r>
      <w:r w:rsidR="0000339C">
        <w:rPr>
          <w:i/>
        </w:rPr>
        <w:t>12-</w:t>
      </w:r>
      <w:r w:rsidR="003831AC">
        <w:rPr>
          <w:i/>
        </w:rPr>
        <w:t>20</w:t>
      </w:r>
      <w:r w:rsidR="0000339C">
        <w:rPr>
          <w:i/>
        </w:rPr>
        <w:t>13</w:t>
      </w:r>
      <w:r w:rsidR="00F23B59">
        <w:rPr>
          <w:i/>
        </w:rPr>
        <w:t>;</w:t>
      </w:r>
    </w:p>
    <w:p w:rsidR="003831AC" w:rsidRPr="00F23B59" w:rsidRDefault="003831AC" w:rsidP="00F23B59">
      <w:pPr>
        <w:pStyle w:val="ListParagraph"/>
        <w:numPr>
          <w:ilvl w:val="0"/>
          <w:numId w:val="31"/>
        </w:numPr>
        <w:spacing w:before="120" w:after="120"/>
      </w:pPr>
      <w:r>
        <w:rPr>
          <w:i/>
        </w:rPr>
        <w:t xml:space="preserve">Appropriation Act </w:t>
      </w:r>
      <w:r w:rsidR="00F959E1">
        <w:rPr>
          <w:i/>
        </w:rPr>
        <w:t xml:space="preserve">(No.3) </w:t>
      </w:r>
      <w:r>
        <w:rPr>
          <w:i/>
        </w:rPr>
        <w:t xml:space="preserve">2012-2013; </w:t>
      </w:r>
    </w:p>
    <w:p w:rsidR="003831AC" w:rsidRPr="003831AC" w:rsidRDefault="003831AC" w:rsidP="00F23B59">
      <w:pPr>
        <w:pStyle w:val="ListParagraph"/>
        <w:numPr>
          <w:ilvl w:val="0"/>
          <w:numId w:val="31"/>
        </w:numPr>
        <w:spacing w:before="120" w:after="120"/>
      </w:pPr>
      <w:r>
        <w:rPr>
          <w:i/>
        </w:rPr>
        <w:t>Appropriation</w:t>
      </w:r>
      <w:r w:rsidR="007E2314" w:rsidRPr="00F23B59">
        <w:rPr>
          <w:i/>
        </w:rPr>
        <w:t xml:space="preserve"> </w:t>
      </w:r>
      <w:r>
        <w:rPr>
          <w:i/>
        </w:rPr>
        <w:t>Act</w:t>
      </w:r>
      <w:r w:rsidR="007E2314" w:rsidRPr="00F23B59">
        <w:rPr>
          <w:i/>
        </w:rPr>
        <w:t xml:space="preserve"> </w:t>
      </w:r>
      <w:r w:rsidR="00F959E1" w:rsidRPr="00F23B59">
        <w:rPr>
          <w:i/>
        </w:rPr>
        <w:t>(No.1)</w:t>
      </w:r>
      <w:r w:rsidR="00F959E1">
        <w:rPr>
          <w:i/>
        </w:rPr>
        <w:t xml:space="preserve"> </w:t>
      </w:r>
      <w:r w:rsidR="007E2314" w:rsidRPr="00F23B59">
        <w:rPr>
          <w:i/>
        </w:rPr>
        <w:t>2013-</w:t>
      </w:r>
      <w:r>
        <w:rPr>
          <w:i/>
        </w:rPr>
        <w:t>20</w:t>
      </w:r>
      <w:r w:rsidR="007E2314" w:rsidRPr="00F23B59">
        <w:rPr>
          <w:i/>
        </w:rPr>
        <w:t>14</w:t>
      </w:r>
      <w:r w:rsidR="00F23B59">
        <w:rPr>
          <w:i/>
        </w:rPr>
        <w:t>;</w:t>
      </w:r>
    </w:p>
    <w:p w:rsidR="003831AC" w:rsidRPr="003831AC" w:rsidRDefault="003831AC" w:rsidP="00F23B59">
      <w:pPr>
        <w:pStyle w:val="ListParagraph"/>
        <w:numPr>
          <w:ilvl w:val="0"/>
          <w:numId w:val="31"/>
        </w:numPr>
        <w:spacing w:before="120" w:after="120"/>
      </w:pPr>
      <w:r>
        <w:rPr>
          <w:i/>
        </w:rPr>
        <w:t xml:space="preserve">Appropriation Act </w:t>
      </w:r>
      <w:r w:rsidR="00F959E1">
        <w:rPr>
          <w:i/>
        </w:rPr>
        <w:t xml:space="preserve">(No.3) </w:t>
      </w:r>
      <w:r>
        <w:rPr>
          <w:i/>
        </w:rPr>
        <w:t>2013-2014;</w:t>
      </w:r>
    </w:p>
    <w:p w:rsidR="00F23B59" w:rsidRDefault="003831AC" w:rsidP="00F23B59">
      <w:pPr>
        <w:pStyle w:val="ListParagraph"/>
        <w:numPr>
          <w:ilvl w:val="0"/>
          <w:numId w:val="31"/>
        </w:numPr>
        <w:spacing w:before="120" w:after="120"/>
      </w:pPr>
      <w:r>
        <w:rPr>
          <w:i/>
        </w:rPr>
        <w:t xml:space="preserve">Appropriation Act </w:t>
      </w:r>
      <w:r w:rsidR="00F959E1">
        <w:rPr>
          <w:i/>
        </w:rPr>
        <w:t xml:space="preserve">(No.5) </w:t>
      </w:r>
      <w:r>
        <w:rPr>
          <w:i/>
        </w:rPr>
        <w:t xml:space="preserve">2013-2014; </w:t>
      </w:r>
      <w:r w:rsidR="007E2314">
        <w:t xml:space="preserve">and </w:t>
      </w:r>
    </w:p>
    <w:p w:rsidR="001A50CF" w:rsidRPr="00335DE9" w:rsidRDefault="003831AC" w:rsidP="00F23B59">
      <w:pPr>
        <w:pStyle w:val="ListParagraph"/>
        <w:numPr>
          <w:ilvl w:val="0"/>
          <w:numId w:val="31"/>
        </w:numPr>
        <w:spacing w:before="120" w:after="120"/>
      </w:pPr>
      <w:r>
        <w:rPr>
          <w:i/>
        </w:rPr>
        <w:t xml:space="preserve">Appropriation </w:t>
      </w:r>
      <w:r w:rsidR="00920730">
        <w:rPr>
          <w:i/>
        </w:rPr>
        <w:t xml:space="preserve">Act </w:t>
      </w:r>
      <w:r>
        <w:rPr>
          <w:i/>
        </w:rPr>
        <w:t>(No.1) 2014-2015</w:t>
      </w:r>
      <w:r w:rsidR="007E2314">
        <w:t xml:space="preserve"> (the Appropriations Acts). </w:t>
      </w:r>
    </w:p>
    <w:p w:rsidR="00F23B59" w:rsidRDefault="00F23B59" w:rsidP="00F23B59">
      <w:pPr>
        <w:numPr>
          <w:ilvl w:val="0"/>
          <w:numId w:val="11"/>
        </w:numPr>
        <w:tabs>
          <w:tab w:val="left" w:pos="567"/>
          <w:tab w:val="left" w:pos="1276"/>
          <w:tab w:val="num" w:pos="1920"/>
        </w:tabs>
        <w:spacing w:before="120" w:after="120"/>
        <w:ind w:left="0" w:firstLine="0"/>
      </w:pPr>
      <w:r>
        <w:t xml:space="preserve">Appropriations are currently approved by Parliament on the basis of an entity’s </w:t>
      </w:r>
      <w:r w:rsidR="003831AC">
        <w:t>operation</w:t>
      </w:r>
      <w:r>
        <w:t xml:space="preserve"> under the </w:t>
      </w:r>
      <w:r w:rsidRPr="00F23B59">
        <w:rPr>
          <w:iCs/>
        </w:rPr>
        <w:t>FMA or CAC Acts</w:t>
      </w:r>
      <w:r>
        <w:rPr>
          <w:i/>
          <w:iCs/>
        </w:rPr>
        <w:t xml:space="preserve">. </w:t>
      </w:r>
      <w:r>
        <w:rPr>
          <w:iCs/>
        </w:rPr>
        <w:t xml:space="preserve">From 1 July 2014, </w:t>
      </w:r>
      <w:r>
        <w:t>t</w:t>
      </w:r>
      <w:r w:rsidR="004C6919" w:rsidRPr="002519CB">
        <w:t xml:space="preserve">he PGPA Act </w:t>
      </w:r>
      <w:r>
        <w:t>will replace</w:t>
      </w:r>
      <w:r w:rsidR="004C6919" w:rsidRPr="002519CB">
        <w:t xml:space="preserve"> the </w:t>
      </w:r>
      <w:r>
        <w:t>FMA Act</w:t>
      </w:r>
      <w:r w:rsidR="004C6919" w:rsidRPr="002519CB">
        <w:t xml:space="preserve"> and the </w:t>
      </w:r>
      <w:r>
        <w:t>CAC Act</w:t>
      </w:r>
      <w:r w:rsidR="004C6919" w:rsidRPr="002519CB">
        <w:t xml:space="preserve"> as the primary financial </w:t>
      </w:r>
      <w:r>
        <w:t>legislation of the Commonwealth.</w:t>
      </w:r>
    </w:p>
    <w:p w:rsidR="00F23B59" w:rsidRDefault="00F23B59" w:rsidP="00134B4F">
      <w:pPr>
        <w:numPr>
          <w:ilvl w:val="0"/>
          <w:numId w:val="11"/>
        </w:numPr>
        <w:tabs>
          <w:tab w:val="left" w:pos="567"/>
          <w:tab w:val="left" w:pos="1276"/>
          <w:tab w:val="num" w:pos="1920"/>
        </w:tabs>
        <w:spacing w:before="120" w:after="120"/>
        <w:ind w:left="0" w:firstLine="0"/>
      </w:pPr>
      <w:r>
        <w:t xml:space="preserve">To support the transition to the PGPA Act, </w:t>
      </w:r>
      <w:r w:rsidR="00134B4F">
        <w:t xml:space="preserve">the Bill contains consequential amendments </w:t>
      </w:r>
      <w:r w:rsidR="003831AC">
        <w:t xml:space="preserve">to the Appropriations Acts </w:t>
      </w:r>
      <w:r w:rsidRPr="002519CB">
        <w:t>to replace references to or reliance on provisions in the FMA and CAC Acts with equivalent provision</w:t>
      </w:r>
      <w:r w:rsidR="00134B4F">
        <w:t>s</w:t>
      </w:r>
      <w:r w:rsidRPr="002519CB">
        <w:t xml:space="preserve"> in t</w:t>
      </w:r>
      <w:r w:rsidR="00134B4F">
        <w:t xml:space="preserve">he PGPA Act. </w:t>
      </w:r>
    </w:p>
    <w:p w:rsidR="0019704D" w:rsidRPr="002519CB" w:rsidRDefault="0019704D" w:rsidP="002A4643">
      <w:pPr>
        <w:pStyle w:val="Heading1"/>
        <w:spacing w:before="360"/>
        <w:rPr>
          <w:rFonts w:ascii="Times New Roman" w:hAnsi="Times New Roman" w:cs="Times New Roman"/>
          <w:color w:val="auto"/>
        </w:rPr>
      </w:pPr>
      <w:bookmarkStart w:id="14" w:name="_Toc79560135"/>
      <w:bookmarkStart w:id="15" w:name="_Toc140655417"/>
      <w:bookmarkStart w:id="16" w:name="_Toc140657409"/>
      <w:bookmarkStart w:id="17" w:name="_Toc140892711"/>
      <w:bookmarkStart w:id="18" w:name="_Toc150933094"/>
      <w:bookmarkStart w:id="19" w:name="_Toc370475775"/>
      <w:bookmarkStart w:id="20" w:name="_Toc390948215"/>
      <w:r w:rsidRPr="002519CB">
        <w:rPr>
          <w:rFonts w:ascii="Times New Roman" w:hAnsi="Times New Roman" w:cs="Times New Roman"/>
          <w:color w:val="auto"/>
        </w:rPr>
        <w:t>Financial Impact Statement</w:t>
      </w:r>
      <w:bookmarkEnd w:id="14"/>
      <w:bookmarkEnd w:id="15"/>
      <w:bookmarkEnd w:id="16"/>
      <w:bookmarkEnd w:id="17"/>
      <w:bookmarkEnd w:id="18"/>
      <w:bookmarkEnd w:id="19"/>
      <w:bookmarkEnd w:id="20"/>
    </w:p>
    <w:p w:rsidR="00134B4F" w:rsidRDefault="00500334">
      <w:pPr>
        <w:numPr>
          <w:ilvl w:val="0"/>
          <w:numId w:val="11"/>
        </w:numPr>
        <w:tabs>
          <w:tab w:val="left" w:pos="567"/>
          <w:tab w:val="left" w:pos="1276"/>
          <w:tab w:val="num" w:pos="1920"/>
        </w:tabs>
        <w:spacing w:before="120" w:after="120"/>
        <w:ind w:left="0" w:firstLine="0"/>
      </w:pPr>
      <w:r w:rsidRPr="002519CB">
        <w:t>The Bill</w:t>
      </w:r>
      <w:r w:rsidR="00DE1ADA" w:rsidRPr="002519CB">
        <w:t xml:space="preserve"> would</w:t>
      </w:r>
      <w:r w:rsidRPr="002519CB">
        <w:t xml:space="preserve"> </w:t>
      </w:r>
      <w:r w:rsidR="00B07EA2">
        <w:t xml:space="preserve">contribute to the PGPA Act </w:t>
      </w:r>
      <w:r w:rsidR="00912CC6">
        <w:t xml:space="preserve">and associated </w:t>
      </w:r>
      <w:r w:rsidR="00B07EA2">
        <w:t>reforms to improve and modernise the</w:t>
      </w:r>
      <w:r w:rsidR="00134B4F">
        <w:t xml:space="preserve"> </w:t>
      </w:r>
      <w:r w:rsidR="00B07EA2">
        <w:t xml:space="preserve">operation of the </w:t>
      </w:r>
      <w:r w:rsidR="00134B4F">
        <w:t>Commonwealth</w:t>
      </w:r>
      <w:r w:rsidR="00B07EA2">
        <w:t xml:space="preserve"> </w:t>
      </w:r>
      <w:r w:rsidR="00C260D6">
        <w:t xml:space="preserve">financial framework, which includes simplifying regulatory requirements for Commonwealth entities. </w:t>
      </w:r>
    </w:p>
    <w:p w:rsidR="001A50CF" w:rsidRPr="002519CB" w:rsidRDefault="007D5C21">
      <w:pPr>
        <w:numPr>
          <w:ilvl w:val="0"/>
          <w:numId w:val="11"/>
        </w:numPr>
        <w:tabs>
          <w:tab w:val="left" w:pos="567"/>
          <w:tab w:val="left" w:pos="1276"/>
          <w:tab w:val="num" w:pos="1920"/>
        </w:tabs>
        <w:spacing w:before="120" w:after="120"/>
        <w:ind w:left="0" w:firstLine="0"/>
      </w:pPr>
      <w:r w:rsidRPr="002519CB">
        <w:t xml:space="preserve"> </w:t>
      </w:r>
      <w:r w:rsidR="00C260D6">
        <w:t>A</w:t>
      </w:r>
      <w:r w:rsidRPr="002519CB">
        <w:t xml:space="preserve">chieving </w:t>
      </w:r>
      <w:r w:rsidR="0019704D" w:rsidRPr="002519CB">
        <w:t>improve</w:t>
      </w:r>
      <w:r w:rsidRPr="002519CB">
        <w:t>d</w:t>
      </w:r>
      <w:r w:rsidR="0019704D" w:rsidRPr="002519CB">
        <w:t xml:space="preserve"> governance</w:t>
      </w:r>
      <w:r w:rsidR="00084346" w:rsidRPr="002519CB">
        <w:t>, transparency</w:t>
      </w:r>
      <w:r w:rsidR="0019704D" w:rsidRPr="002519CB">
        <w:t xml:space="preserve"> and accountability arrangements for Commonwealth entities (including both non-corporate Commonwealth entities and </w:t>
      </w:r>
      <w:r w:rsidR="00460C5A">
        <w:t xml:space="preserve">corporate </w:t>
      </w:r>
      <w:r w:rsidR="0019704D" w:rsidRPr="002519CB">
        <w:t>Commonwealth entities) w</w:t>
      </w:r>
      <w:r w:rsidR="002B3AC1" w:rsidRPr="002519CB">
        <w:t>ithin the Australian Government</w:t>
      </w:r>
      <w:r w:rsidR="00C260D6">
        <w:t xml:space="preserve"> will over time lead to long term efficiencies, although the impact is difficult to quantify. </w:t>
      </w:r>
    </w:p>
    <w:p w:rsidR="0019704D" w:rsidRPr="002519CB" w:rsidRDefault="0019704D" w:rsidP="002A4643">
      <w:pPr>
        <w:pStyle w:val="Heading1"/>
        <w:spacing w:before="360"/>
        <w:rPr>
          <w:rFonts w:ascii="Times New Roman" w:hAnsi="Times New Roman" w:cs="Times New Roman"/>
          <w:color w:val="auto"/>
        </w:rPr>
      </w:pPr>
      <w:bookmarkStart w:id="21" w:name="_Toc370475776"/>
      <w:bookmarkStart w:id="22" w:name="_Toc390948216"/>
      <w:r w:rsidRPr="002519CB">
        <w:rPr>
          <w:rFonts w:ascii="Times New Roman" w:hAnsi="Times New Roman" w:cs="Times New Roman"/>
          <w:color w:val="auto"/>
        </w:rPr>
        <w:t>Statement of compatibility with human rights</w:t>
      </w:r>
      <w:bookmarkEnd w:id="21"/>
      <w:bookmarkEnd w:id="22"/>
    </w:p>
    <w:p w:rsidR="001A50CF" w:rsidRPr="002519CB" w:rsidRDefault="0019704D">
      <w:pPr>
        <w:numPr>
          <w:ilvl w:val="0"/>
          <w:numId w:val="11"/>
        </w:numPr>
        <w:tabs>
          <w:tab w:val="left" w:pos="567"/>
          <w:tab w:val="left" w:pos="1276"/>
          <w:tab w:val="num" w:pos="1920"/>
        </w:tabs>
        <w:spacing w:before="120" w:after="120"/>
        <w:ind w:left="0" w:firstLine="0"/>
      </w:pPr>
      <w:r w:rsidRPr="002519CB">
        <w:t xml:space="preserve">The </w:t>
      </w:r>
      <w:r w:rsidR="00C851D3" w:rsidRPr="002519CB">
        <w:t xml:space="preserve">Bill, if enacted, will not affect any of the applicable rights or freedoms outlined in the </w:t>
      </w:r>
      <w:r w:rsidR="00C851D3" w:rsidRPr="002519CB">
        <w:rPr>
          <w:i/>
        </w:rPr>
        <w:t>Human Rights (Parliamentary Scrutiny) Act 2011</w:t>
      </w:r>
      <w:r w:rsidR="00C851D3" w:rsidRPr="002519CB">
        <w:t xml:space="preserve">, such as those in the </w:t>
      </w:r>
      <w:r w:rsidR="00C851D3" w:rsidRPr="002519CB">
        <w:rPr>
          <w:i/>
        </w:rPr>
        <w:t>International Covenant on Civil and Political Rights</w:t>
      </w:r>
      <w:r w:rsidR="00C851D3" w:rsidRPr="002519CB">
        <w:t>.</w:t>
      </w:r>
    </w:p>
    <w:p w:rsidR="001A50CF" w:rsidRPr="002519CB" w:rsidRDefault="00C851D3">
      <w:pPr>
        <w:numPr>
          <w:ilvl w:val="0"/>
          <w:numId w:val="11"/>
        </w:numPr>
        <w:tabs>
          <w:tab w:val="left" w:pos="567"/>
          <w:tab w:val="left" w:pos="1276"/>
          <w:tab w:val="num" w:pos="1920"/>
        </w:tabs>
        <w:spacing w:before="120" w:after="120"/>
        <w:ind w:left="0" w:firstLine="0"/>
      </w:pPr>
      <w:r w:rsidRPr="002519CB">
        <w:t>The Bill does not propose any offences or penalties that limit any human rights.</w:t>
      </w:r>
    </w:p>
    <w:p w:rsidR="001A50CF" w:rsidRPr="002519CB" w:rsidRDefault="00C851D3">
      <w:pPr>
        <w:numPr>
          <w:ilvl w:val="0"/>
          <w:numId w:val="11"/>
        </w:numPr>
        <w:tabs>
          <w:tab w:val="left" w:pos="567"/>
          <w:tab w:val="left" w:pos="1276"/>
          <w:tab w:val="num" w:pos="1920"/>
        </w:tabs>
        <w:spacing w:before="120" w:after="120"/>
        <w:ind w:left="0" w:firstLine="0"/>
      </w:pPr>
      <w:r w:rsidRPr="002519CB">
        <w:t xml:space="preserve">The Bill is therefore compatible with the human rights and freedoms recognised or declared in the international instruments listed in subsection 3(1) of the </w:t>
      </w:r>
      <w:r w:rsidRPr="002519CB">
        <w:rPr>
          <w:i/>
        </w:rPr>
        <w:t>Human Rights (Parliamentary Scrutiny) Act 2011</w:t>
      </w:r>
      <w:r w:rsidRPr="002519CB">
        <w:t>.</w:t>
      </w:r>
    </w:p>
    <w:p w:rsidR="00913EA1" w:rsidRPr="002519CB" w:rsidRDefault="00913EA1" w:rsidP="002E04B7">
      <w:pPr>
        <w:pStyle w:val="Heading1"/>
        <w:spacing w:before="360"/>
        <w:rPr>
          <w:rFonts w:ascii="Times New Roman" w:hAnsi="Times New Roman" w:cs="Times New Roman"/>
          <w:color w:val="auto"/>
        </w:rPr>
      </w:pPr>
      <w:bookmarkStart w:id="23" w:name="_Toc390948217"/>
      <w:bookmarkStart w:id="24" w:name="_Toc370475777"/>
      <w:r w:rsidRPr="002519CB">
        <w:rPr>
          <w:rFonts w:ascii="Times New Roman" w:hAnsi="Times New Roman" w:cs="Times New Roman"/>
          <w:color w:val="auto"/>
        </w:rPr>
        <w:t>The Bill in the context of broader reform activities</w:t>
      </w:r>
      <w:bookmarkEnd w:id="23"/>
    </w:p>
    <w:p w:rsidR="001A50CF" w:rsidRPr="002519CB" w:rsidRDefault="00456772">
      <w:pPr>
        <w:numPr>
          <w:ilvl w:val="0"/>
          <w:numId w:val="11"/>
        </w:numPr>
        <w:tabs>
          <w:tab w:val="left" w:pos="567"/>
          <w:tab w:val="left" w:pos="1276"/>
          <w:tab w:val="num" w:pos="1920"/>
        </w:tabs>
        <w:spacing w:before="120" w:after="120"/>
        <w:ind w:left="0" w:firstLine="0"/>
      </w:pPr>
      <w:r w:rsidRPr="002519CB">
        <w:t>The Commonwealth’s financial framework provides rules for the governance of Commonwealth entities and Commonwealth companies and for the proper management and use of public resources. The framework supports the government in meeting its obligations and responsibilities to the public and the Parliament. It is an important feature of an accountable and transparent public sector and guides the daily work of Commonwealth entities and Commonwealth companies, office holders and employees.</w:t>
      </w:r>
    </w:p>
    <w:p w:rsidR="001A50CF" w:rsidRPr="00AD4FA8" w:rsidRDefault="003831AC">
      <w:pPr>
        <w:numPr>
          <w:ilvl w:val="0"/>
          <w:numId w:val="11"/>
        </w:numPr>
        <w:tabs>
          <w:tab w:val="left" w:pos="567"/>
          <w:tab w:val="left" w:pos="1276"/>
          <w:tab w:val="num" w:pos="1920"/>
        </w:tabs>
        <w:spacing w:before="120" w:after="120"/>
        <w:ind w:left="0" w:firstLine="0"/>
      </w:pPr>
      <w:r>
        <w:t>The Bill supports the introduction of the PGPA Act</w:t>
      </w:r>
      <w:r w:rsidRPr="003831AC">
        <w:t xml:space="preserve"> </w:t>
      </w:r>
      <w:r w:rsidRPr="002519CB">
        <w:t xml:space="preserve">as the primary financial </w:t>
      </w:r>
      <w:r>
        <w:t xml:space="preserve">legislation of the Commonwealth from 1 July 2014. </w:t>
      </w:r>
      <w:r w:rsidR="0025405D" w:rsidRPr="00AD4FA8">
        <w:t>The PGPA Act is the cornerstone of a broad, integrated package of reforms to the Commonwealth’s financial framework. Taken together, the reforms seek to deliver long-lasting benefits,</w:t>
      </w:r>
      <w:r w:rsidR="00456772" w:rsidRPr="00AD4FA8">
        <w:t xml:space="preserve"> including:</w:t>
      </w:r>
    </w:p>
    <w:p w:rsidR="001A50CF" w:rsidRPr="002519CB" w:rsidRDefault="00456772">
      <w:pPr>
        <w:numPr>
          <w:ilvl w:val="0"/>
          <w:numId w:val="12"/>
        </w:numPr>
        <w:spacing w:before="120" w:after="120"/>
        <w:ind w:left="993" w:hanging="426"/>
      </w:pPr>
      <w:r w:rsidRPr="002519CB">
        <w:t xml:space="preserve">improved quality of information to Parliament to support its constitutional role in relation to Commonwealth expenditure; </w:t>
      </w:r>
    </w:p>
    <w:p w:rsidR="001A50CF" w:rsidRPr="002519CB" w:rsidRDefault="00456772">
      <w:pPr>
        <w:numPr>
          <w:ilvl w:val="0"/>
          <w:numId w:val="12"/>
        </w:numPr>
        <w:spacing w:before="120" w:after="120"/>
        <w:ind w:left="993" w:hanging="426"/>
      </w:pPr>
      <w:r w:rsidRPr="002519CB">
        <w:t>a more mature approach to risk across the Commonwealth;</w:t>
      </w:r>
    </w:p>
    <w:p w:rsidR="001A50CF" w:rsidRPr="002519CB" w:rsidRDefault="00456772">
      <w:pPr>
        <w:numPr>
          <w:ilvl w:val="0"/>
          <w:numId w:val="12"/>
        </w:numPr>
        <w:spacing w:before="120" w:after="120"/>
        <w:ind w:left="993" w:hanging="426"/>
      </w:pPr>
      <w:r w:rsidRPr="002519CB">
        <w:t xml:space="preserve">improved productivity and performance of the Commonwealth public sector with accompanying benefits for a broad range of stakeholders; and </w:t>
      </w:r>
    </w:p>
    <w:p w:rsidR="001A50CF" w:rsidRPr="002519CB" w:rsidRDefault="00456772">
      <w:pPr>
        <w:numPr>
          <w:ilvl w:val="0"/>
          <w:numId w:val="12"/>
        </w:numPr>
        <w:spacing w:before="120" w:after="120"/>
        <w:ind w:left="993" w:hanging="426"/>
      </w:pPr>
      <w:r w:rsidRPr="002519CB">
        <w:t>reduced red tape within the Commonwealth and for partners who contribute to delivering Australian Government programs and services, including grant recipients.</w:t>
      </w:r>
    </w:p>
    <w:p w:rsidR="001A50CF" w:rsidRPr="002519CB" w:rsidRDefault="00582309">
      <w:pPr>
        <w:numPr>
          <w:ilvl w:val="0"/>
          <w:numId w:val="11"/>
        </w:numPr>
        <w:tabs>
          <w:tab w:val="left" w:pos="567"/>
          <w:tab w:val="left" w:pos="1276"/>
          <w:tab w:val="num" w:pos="1920"/>
        </w:tabs>
        <w:spacing w:before="120" w:after="120"/>
        <w:ind w:left="0" w:firstLine="0"/>
      </w:pPr>
      <w:r w:rsidRPr="002519CB">
        <w:t xml:space="preserve">It will take several years to implement the reforms and integrate them fully into the practices and processes of Commonwealth entities and Commonwealth companies. Gradual introduction of the reforms will ensure that they are appropriately tested and refined in light of experience. </w:t>
      </w:r>
    </w:p>
    <w:p w:rsidR="00582309" w:rsidRPr="002519CB" w:rsidRDefault="00582309" w:rsidP="00582309">
      <w:pPr>
        <w:pStyle w:val="Heading1"/>
        <w:spacing w:before="360"/>
        <w:rPr>
          <w:rFonts w:ascii="Times New Roman" w:hAnsi="Times New Roman" w:cs="Times New Roman"/>
          <w:color w:val="auto"/>
        </w:rPr>
      </w:pPr>
      <w:bookmarkStart w:id="25" w:name="_Toc390948218"/>
      <w:r w:rsidRPr="002519CB">
        <w:rPr>
          <w:rFonts w:ascii="Times New Roman" w:hAnsi="Times New Roman" w:cs="Times New Roman"/>
          <w:color w:val="auto"/>
        </w:rPr>
        <w:t>Related legislative activity</w:t>
      </w:r>
      <w:bookmarkEnd w:id="25"/>
    </w:p>
    <w:p w:rsidR="001A50CF" w:rsidRPr="002519CB" w:rsidRDefault="00456772">
      <w:pPr>
        <w:numPr>
          <w:ilvl w:val="0"/>
          <w:numId w:val="11"/>
        </w:numPr>
        <w:tabs>
          <w:tab w:val="left" w:pos="567"/>
          <w:tab w:val="left" w:pos="1276"/>
          <w:tab w:val="num" w:pos="1920"/>
        </w:tabs>
        <w:spacing w:before="120" w:after="120"/>
        <w:ind w:left="0" w:firstLine="0"/>
      </w:pPr>
      <w:r w:rsidRPr="002519CB">
        <w:t>The PGPA Act was passed by the previous Parliament and was given Royal Assent on 29 June 2013, with the first five sections coming into effect on 1 July 2013.  Sections 6 to 112 of the Act are subject to delayed implementation and are to come into effect 12 months later, on 1 July 2014</w:t>
      </w:r>
      <w:r w:rsidR="00B37891">
        <w:t>, if not fixed by Proclamation before 1 July 2014</w:t>
      </w:r>
      <w:r w:rsidRPr="002519CB">
        <w:t xml:space="preserve">.  </w:t>
      </w:r>
    </w:p>
    <w:p w:rsidR="001A50CF" w:rsidRDefault="00456772">
      <w:pPr>
        <w:numPr>
          <w:ilvl w:val="0"/>
          <w:numId w:val="11"/>
        </w:numPr>
        <w:tabs>
          <w:tab w:val="left" w:pos="567"/>
          <w:tab w:val="left" w:pos="1276"/>
          <w:tab w:val="num" w:pos="1920"/>
        </w:tabs>
        <w:spacing w:before="120" w:after="120"/>
        <w:ind w:left="0" w:firstLine="0"/>
      </w:pPr>
      <w:r w:rsidRPr="002519CB">
        <w:t xml:space="preserve">The intervening 12 month period has been taken up with </w:t>
      </w:r>
      <w:r w:rsidR="00582309" w:rsidRPr="002519CB">
        <w:t>the development of supporting rules to give effect to the operation of the Act and an assessment of any consequential amendments that may be required to the legislation of Commonwealth entities arising from the introduction of the PGPA Act and the replacement of the FMA and CAC Acts.</w:t>
      </w:r>
    </w:p>
    <w:p w:rsidR="003D5217" w:rsidRDefault="003D5217" w:rsidP="003D5217">
      <w:pPr>
        <w:pStyle w:val="Heading2"/>
      </w:pPr>
      <w:bookmarkStart w:id="26" w:name="_Toc390948219"/>
      <w:r>
        <w:t xml:space="preserve">PGPA Amendment </w:t>
      </w:r>
      <w:r w:rsidR="00460C5A">
        <w:t>Bill</w:t>
      </w:r>
      <w:bookmarkEnd w:id="26"/>
      <w:r>
        <w:t xml:space="preserve"> </w:t>
      </w:r>
    </w:p>
    <w:p w:rsidR="001735C2" w:rsidRPr="00335DE9" w:rsidRDefault="001735C2" w:rsidP="001735C2">
      <w:pPr>
        <w:numPr>
          <w:ilvl w:val="0"/>
          <w:numId w:val="11"/>
        </w:numPr>
        <w:tabs>
          <w:tab w:val="left" w:pos="567"/>
          <w:tab w:val="left" w:pos="1276"/>
          <w:tab w:val="num" w:pos="1920"/>
        </w:tabs>
        <w:spacing w:before="120" w:after="120"/>
        <w:ind w:left="0" w:firstLine="0"/>
      </w:pPr>
      <w:r w:rsidRPr="002519CB">
        <w:t xml:space="preserve">The </w:t>
      </w:r>
      <w:r w:rsidRPr="002519CB">
        <w:rPr>
          <w:i/>
        </w:rPr>
        <w:t>Public Governance, Performance and Accountability Amendment Bill 2014</w:t>
      </w:r>
      <w:r w:rsidRPr="002519CB">
        <w:t xml:space="preserve"> </w:t>
      </w:r>
      <w:r>
        <w:t>is scheduled for presentation to Parliament in the same sittings as this Bill. It is intended to</w:t>
      </w:r>
      <w:r w:rsidRPr="00335DE9">
        <w:t xml:space="preserve"> </w:t>
      </w:r>
      <w:r w:rsidRPr="002519CB">
        <w:t>add to and amend a number of provisions in the PGPA Act to clarify, simplify, enhance and improve the understanding and operation of the Commonwealth’s financial management framework</w:t>
      </w:r>
      <w:r w:rsidRPr="001735C2">
        <w:t xml:space="preserve"> </w:t>
      </w:r>
      <w:r w:rsidRPr="002519CB">
        <w:t xml:space="preserve">within the context of a modernised financial regime.  </w:t>
      </w:r>
    </w:p>
    <w:p w:rsidR="001A50CF" w:rsidRPr="002519CB" w:rsidRDefault="00822B72">
      <w:pPr>
        <w:pStyle w:val="Heading2"/>
      </w:pPr>
      <w:bookmarkStart w:id="27" w:name="_Toc390948220"/>
      <w:r w:rsidRPr="002519CB">
        <w:t xml:space="preserve">PGPA </w:t>
      </w:r>
      <w:r w:rsidR="001A50CF" w:rsidRPr="002519CB">
        <w:t>rules</w:t>
      </w:r>
      <w:r w:rsidR="009C15AA">
        <w:t xml:space="preserve"> and other instruments</w:t>
      </w:r>
      <w:bookmarkEnd w:id="27"/>
    </w:p>
    <w:p w:rsidR="001A50CF" w:rsidRPr="002519CB" w:rsidRDefault="00582309">
      <w:pPr>
        <w:numPr>
          <w:ilvl w:val="0"/>
          <w:numId w:val="11"/>
        </w:numPr>
        <w:tabs>
          <w:tab w:val="left" w:pos="567"/>
          <w:tab w:val="left" w:pos="1276"/>
          <w:tab w:val="num" w:pos="1920"/>
        </w:tabs>
        <w:spacing w:before="120" w:after="120"/>
        <w:ind w:left="0" w:firstLine="0"/>
      </w:pPr>
      <w:r w:rsidRPr="002519CB">
        <w:t xml:space="preserve">The PGPA rules </w:t>
      </w:r>
      <w:r w:rsidR="00573842">
        <w:t xml:space="preserve">and other instruments </w:t>
      </w:r>
      <w:r w:rsidRPr="002519CB">
        <w:t xml:space="preserve">made by the Finance Minister under the PGPA Act will replace a range of instruments under current legislation, including the FMA Regulations, CAC Regulations and Finance Minister’s Orders. They will be used to prescribe the requirements and procedures necessary to give effect to the governance, performance and accountability matters covered by the PGPA Act. </w:t>
      </w:r>
    </w:p>
    <w:p w:rsidR="001A50CF" w:rsidRPr="002519CB" w:rsidRDefault="00A3208B">
      <w:pPr>
        <w:pStyle w:val="Heading2"/>
      </w:pPr>
      <w:bookmarkStart w:id="28" w:name="_Toc390948221"/>
      <w:r w:rsidRPr="002519CB">
        <w:t>Consequential amendments</w:t>
      </w:r>
      <w:bookmarkEnd w:id="28"/>
    </w:p>
    <w:p w:rsidR="001A50CF" w:rsidRPr="002519CB" w:rsidRDefault="00456772">
      <w:pPr>
        <w:numPr>
          <w:ilvl w:val="0"/>
          <w:numId w:val="11"/>
        </w:numPr>
        <w:tabs>
          <w:tab w:val="left" w:pos="567"/>
          <w:tab w:val="left" w:pos="1276"/>
          <w:tab w:val="num" w:pos="1920"/>
        </w:tabs>
        <w:spacing w:before="120" w:after="120"/>
        <w:ind w:left="0" w:firstLine="0"/>
      </w:pPr>
      <w:r w:rsidRPr="00460C5A">
        <w:t>The</w:t>
      </w:r>
      <w:r w:rsidRPr="002519CB">
        <w:rPr>
          <w:i/>
        </w:rPr>
        <w:t xml:space="preserve"> Public Governance, Performance and Accountability (Consequential and Transitional Provisions) Bill 2014</w:t>
      </w:r>
      <w:r w:rsidR="007009D0" w:rsidRPr="002519CB">
        <w:rPr>
          <w:i/>
        </w:rPr>
        <w:t xml:space="preserve"> </w:t>
      </w:r>
      <w:r w:rsidR="007009D0" w:rsidRPr="002519CB">
        <w:t>(Consequential and Transitional Bill)</w:t>
      </w:r>
      <w:r w:rsidR="00AF7550" w:rsidRPr="002519CB">
        <w:t xml:space="preserve"> is scheduled for presentation to Parliament in the same sittings as this Bill.  The intent of the </w:t>
      </w:r>
      <w:r w:rsidR="00443AEE" w:rsidRPr="002519CB">
        <w:t xml:space="preserve">Consequential and Transitional </w:t>
      </w:r>
      <w:r w:rsidR="00AF7550" w:rsidRPr="002519CB">
        <w:t xml:space="preserve">Bill is to amend the enabling legislation of Commonwealth entities </w:t>
      </w:r>
      <w:r w:rsidR="007009D0" w:rsidRPr="002519CB">
        <w:t xml:space="preserve">and </w:t>
      </w:r>
      <w:r w:rsidR="00AF7550" w:rsidRPr="002519CB">
        <w:t>companies so as to:</w:t>
      </w:r>
    </w:p>
    <w:p w:rsidR="001A50CF" w:rsidRPr="002519CB" w:rsidRDefault="00AF7550">
      <w:pPr>
        <w:numPr>
          <w:ilvl w:val="0"/>
          <w:numId w:val="12"/>
        </w:numPr>
        <w:spacing w:before="120" w:after="120"/>
        <w:ind w:left="993" w:hanging="426"/>
      </w:pPr>
      <w:r w:rsidRPr="002519CB">
        <w:t>replace references to the FMA and CAC Acts with the equivalent provisions in the PGPA Act;</w:t>
      </w:r>
    </w:p>
    <w:p w:rsidR="001A50CF" w:rsidRPr="002519CB" w:rsidRDefault="00AF7550">
      <w:pPr>
        <w:numPr>
          <w:ilvl w:val="0"/>
          <w:numId w:val="12"/>
        </w:numPr>
        <w:spacing w:before="120" w:after="120"/>
        <w:ind w:left="993" w:hanging="426"/>
      </w:pPr>
      <w:r w:rsidRPr="002519CB">
        <w:t>simplify enabling legislation</w:t>
      </w:r>
      <w:r w:rsidR="007572FF" w:rsidRPr="002519CB">
        <w:t xml:space="preserve"> where provisions of the PGPA Act cover a matter previously dealt with in enabling legislation;</w:t>
      </w:r>
      <w:r w:rsidR="007009D0" w:rsidRPr="002519CB">
        <w:t xml:space="preserve"> and</w:t>
      </w:r>
    </w:p>
    <w:p w:rsidR="001A50CF" w:rsidRPr="002519CB" w:rsidRDefault="007572FF">
      <w:pPr>
        <w:numPr>
          <w:ilvl w:val="0"/>
          <w:numId w:val="12"/>
        </w:numPr>
        <w:spacing w:before="120" w:after="120"/>
        <w:ind w:left="993" w:hanging="426"/>
      </w:pPr>
      <w:r w:rsidRPr="002519CB">
        <w:t>amend enabling legislation to clarify which matters are covered by the PGPA Act and which matters are covered by the enabling legislation, such as in the case of planning and reporting, or disclosure of interest arrangements where an entity may have additional obligations over and above those imposed through the PGPA Act.</w:t>
      </w:r>
    </w:p>
    <w:p w:rsidR="0019704D" w:rsidRPr="002519CB" w:rsidRDefault="0019704D" w:rsidP="002E04B7">
      <w:pPr>
        <w:pStyle w:val="Heading1"/>
        <w:spacing w:before="360"/>
        <w:rPr>
          <w:rFonts w:ascii="Times New Roman" w:hAnsi="Times New Roman" w:cs="Times New Roman"/>
          <w:color w:val="auto"/>
        </w:rPr>
      </w:pPr>
      <w:bookmarkStart w:id="29" w:name="_Toc390948222"/>
      <w:r w:rsidRPr="002519CB">
        <w:rPr>
          <w:rFonts w:ascii="Times New Roman" w:hAnsi="Times New Roman" w:cs="Times New Roman"/>
          <w:color w:val="auto"/>
        </w:rPr>
        <w:t>Consultation</w:t>
      </w:r>
      <w:bookmarkEnd w:id="24"/>
      <w:bookmarkEnd w:id="29"/>
    </w:p>
    <w:p w:rsidR="001A50CF" w:rsidRPr="002519CB" w:rsidRDefault="00C851D3" w:rsidP="007F2D00">
      <w:pPr>
        <w:numPr>
          <w:ilvl w:val="0"/>
          <w:numId w:val="11"/>
        </w:numPr>
        <w:tabs>
          <w:tab w:val="left" w:pos="567"/>
          <w:tab w:val="left" w:pos="1276"/>
          <w:tab w:val="num" w:pos="1920"/>
        </w:tabs>
        <w:spacing w:before="120" w:after="120"/>
        <w:ind w:left="0" w:firstLine="0"/>
      </w:pPr>
      <w:r w:rsidRPr="002519CB">
        <w:t>The</w:t>
      </w:r>
      <w:r w:rsidR="004A4EAF" w:rsidRPr="002519CB">
        <w:t xml:space="preserve"> PGPA Act was presented to Parliament </w:t>
      </w:r>
      <w:r w:rsidR="00443AEE" w:rsidRPr="002519CB">
        <w:t>following</w:t>
      </w:r>
      <w:r w:rsidR="004A4EAF" w:rsidRPr="002519CB">
        <w:t xml:space="preserve"> two years of consultation and consideration of issues.  The period since its passage has provided an opportunity for reflection and consultation on the provisions of the Act </w:t>
      </w:r>
      <w:r w:rsidR="0047770F">
        <w:t xml:space="preserve">and the consequential and transitional arrangements necessary to support its operation.  </w:t>
      </w:r>
    </w:p>
    <w:p w:rsidR="001A50CF" w:rsidRDefault="004A4EAF" w:rsidP="007F2D00">
      <w:pPr>
        <w:numPr>
          <w:ilvl w:val="0"/>
          <w:numId w:val="11"/>
        </w:numPr>
        <w:tabs>
          <w:tab w:val="left" w:pos="567"/>
          <w:tab w:val="left" w:pos="1276"/>
          <w:tab w:val="num" w:pos="1920"/>
        </w:tabs>
        <w:spacing w:before="120" w:after="120"/>
        <w:ind w:left="0" w:firstLine="0"/>
      </w:pPr>
      <w:r w:rsidRPr="002519CB">
        <w:t xml:space="preserve">The Department of Finance </w:t>
      </w:r>
      <w:r w:rsidR="007F2D00">
        <w:t xml:space="preserve">engaged in and continues to engage in </w:t>
      </w:r>
      <w:r w:rsidRPr="002519CB">
        <w:t xml:space="preserve">an extensive consultation program with stakeholders within and outside government, including the establishment of a Project Board supported by </w:t>
      </w:r>
      <w:r w:rsidR="0047770F">
        <w:t xml:space="preserve">steering committees with wide representation from across government. </w:t>
      </w:r>
    </w:p>
    <w:p w:rsidR="001735C2" w:rsidRPr="002519CB" w:rsidRDefault="0047770F" w:rsidP="001735C2">
      <w:pPr>
        <w:numPr>
          <w:ilvl w:val="0"/>
          <w:numId w:val="11"/>
        </w:numPr>
        <w:tabs>
          <w:tab w:val="left" w:pos="567"/>
          <w:tab w:val="left" w:pos="1276"/>
          <w:tab w:val="num" w:pos="1920"/>
        </w:tabs>
        <w:spacing w:before="120" w:after="120"/>
        <w:ind w:left="0" w:firstLine="0"/>
      </w:pPr>
      <w:r w:rsidRPr="002519CB">
        <w:t>These consultation efforts have been supplemented through workshops and consultations with entities in Sydney, Melbourne, Adelaide, Alice Springs and Darwin, as well as ongoing conversations with</w:t>
      </w:r>
      <w:r>
        <w:t>,</w:t>
      </w:r>
      <w:r w:rsidRPr="002519CB">
        <w:t xml:space="preserve"> and feedback from</w:t>
      </w:r>
      <w:r>
        <w:t>,</w:t>
      </w:r>
      <w:r w:rsidRPr="002519CB">
        <w:t xml:space="preserve"> Commonw</w:t>
      </w:r>
      <w:r>
        <w:t xml:space="preserve">ealth entities across Australia </w:t>
      </w:r>
      <w:r w:rsidR="004A4EAF" w:rsidRPr="002519CB">
        <w:t xml:space="preserve">about their </w:t>
      </w:r>
      <w:r w:rsidR="001735C2" w:rsidRPr="002519CB">
        <w:t xml:space="preserve">views on </w:t>
      </w:r>
      <w:r w:rsidR="001735C2">
        <w:t xml:space="preserve">the legislation and </w:t>
      </w:r>
      <w:r w:rsidR="001735C2" w:rsidRPr="002519CB">
        <w:t>how to develop and implement the aims of the broader reform agenda.</w:t>
      </w:r>
    </w:p>
    <w:p w:rsidR="001A50CF" w:rsidRPr="002519CB" w:rsidRDefault="001A50CF" w:rsidP="001735C2">
      <w:pPr>
        <w:tabs>
          <w:tab w:val="left" w:pos="567"/>
          <w:tab w:val="left" w:pos="1276"/>
        </w:tabs>
        <w:spacing w:before="120" w:after="120"/>
      </w:pPr>
    </w:p>
    <w:p w:rsidR="001A50CF" w:rsidRPr="002519CB" w:rsidRDefault="001A50CF">
      <w:pPr>
        <w:spacing w:after="200" w:line="276" w:lineRule="auto"/>
        <w:rPr>
          <w:rFonts w:eastAsiaTheme="majorEastAsia"/>
          <w:b/>
          <w:bCs/>
          <w:sz w:val="28"/>
          <w:szCs w:val="28"/>
        </w:rPr>
      </w:pPr>
      <w:r w:rsidRPr="002519CB">
        <w:br w:type="page"/>
      </w:r>
    </w:p>
    <w:p w:rsidR="00194E57" w:rsidRPr="002519CB" w:rsidRDefault="00194E57" w:rsidP="00194E57">
      <w:pPr>
        <w:pStyle w:val="Heading1"/>
        <w:rPr>
          <w:rFonts w:ascii="Times New Roman" w:hAnsi="Times New Roman" w:cs="Times New Roman"/>
          <w:color w:val="auto"/>
        </w:rPr>
      </w:pPr>
      <w:bookmarkStart w:id="30" w:name="_Toc390948223"/>
      <w:r w:rsidRPr="002519CB">
        <w:rPr>
          <w:rFonts w:ascii="Times New Roman" w:hAnsi="Times New Roman" w:cs="Times New Roman"/>
          <w:color w:val="auto"/>
        </w:rPr>
        <w:t>Structure of the Bill</w:t>
      </w:r>
      <w:bookmarkEnd w:id="30"/>
    </w:p>
    <w:p w:rsidR="001A50CF" w:rsidRPr="002519CB" w:rsidRDefault="00194E57">
      <w:pPr>
        <w:numPr>
          <w:ilvl w:val="0"/>
          <w:numId w:val="11"/>
        </w:numPr>
        <w:tabs>
          <w:tab w:val="left" w:pos="567"/>
          <w:tab w:val="left" w:pos="1276"/>
          <w:tab w:val="num" w:pos="1920"/>
        </w:tabs>
        <w:spacing w:before="120" w:after="120"/>
        <w:ind w:left="0" w:firstLine="0"/>
      </w:pPr>
      <w:r w:rsidRPr="002519CB">
        <w:t>The structure of the Bill involves:</w:t>
      </w:r>
    </w:p>
    <w:p w:rsidR="001A50CF" w:rsidRPr="002519CB" w:rsidRDefault="00194E57">
      <w:pPr>
        <w:numPr>
          <w:ilvl w:val="0"/>
          <w:numId w:val="12"/>
        </w:numPr>
        <w:spacing w:before="120" w:after="120"/>
        <w:ind w:left="993" w:hanging="426"/>
      </w:pPr>
      <w:r w:rsidRPr="002519CB">
        <w:t>a clause that provides for the short title of the legislation;</w:t>
      </w:r>
    </w:p>
    <w:p w:rsidR="001A50CF" w:rsidRPr="002519CB" w:rsidRDefault="00A64BC0">
      <w:pPr>
        <w:numPr>
          <w:ilvl w:val="0"/>
          <w:numId w:val="12"/>
        </w:numPr>
        <w:spacing w:before="120" w:after="120"/>
        <w:ind w:left="993" w:hanging="426"/>
      </w:pPr>
      <w:r>
        <w:t>a commencement clause</w:t>
      </w:r>
      <w:r w:rsidR="00194E57" w:rsidRPr="002519CB">
        <w:t>;</w:t>
      </w:r>
    </w:p>
    <w:p w:rsidR="001A50CF" w:rsidRPr="002519CB" w:rsidRDefault="00194E57">
      <w:pPr>
        <w:numPr>
          <w:ilvl w:val="0"/>
          <w:numId w:val="12"/>
        </w:numPr>
        <w:spacing w:before="120" w:after="120"/>
        <w:ind w:left="993" w:hanging="426"/>
      </w:pPr>
      <w:r w:rsidRPr="002519CB">
        <w:t xml:space="preserve">a clause that </w:t>
      </w:r>
      <w:r w:rsidR="00AC34F8">
        <w:t xml:space="preserve">provides for </w:t>
      </w:r>
      <w:r w:rsidRPr="002519CB">
        <w:t>the Schedule</w:t>
      </w:r>
      <w:r w:rsidR="00A64BC0">
        <w:t>s</w:t>
      </w:r>
      <w:r w:rsidRPr="002519CB">
        <w:t xml:space="preserve"> </w:t>
      </w:r>
      <w:r w:rsidR="00AC34F8">
        <w:t xml:space="preserve">to the Bill to </w:t>
      </w:r>
      <w:r w:rsidR="008D0EC3">
        <w:t xml:space="preserve">amend or repeal </w:t>
      </w:r>
      <w:r w:rsidR="00A64BC0">
        <w:t>the Appropriations</w:t>
      </w:r>
      <w:r w:rsidRPr="002519CB">
        <w:t xml:space="preserve"> Act</w:t>
      </w:r>
      <w:r w:rsidR="00A64BC0">
        <w:t>s</w:t>
      </w:r>
      <w:r w:rsidR="008D0EC3">
        <w:t xml:space="preserve"> as specified</w:t>
      </w:r>
      <w:r w:rsidRPr="002519CB">
        <w:t>; and</w:t>
      </w:r>
    </w:p>
    <w:p w:rsidR="001A50CF" w:rsidRPr="002519CB" w:rsidRDefault="00A64BC0">
      <w:pPr>
        <w:numPr>
          <w:ilvl w:val="0"/>
          <w:numId w:val="12"/>
        </w:numPr>
        <w:spacing w:before="120" w:after="120"/>
        <w:ind w:left="993" w:hanging="426"/>
      </w:pPr>
      <w:r>
        <w:t>Schedules 1</w:t>
      </w:r>
      <w:r w:rsidR="00194E57" w:rsidRPr="002519CB">
        <w:t xml:space="preserve"> to</w:t>
      </w:r>
      <w:r>
        <w:t xml:space="preserve"> 6 to</w:t>
      </w:r>
      <w:r w:rsidR="00194E57" w:rsidRPr="002519CB">
        <w:t xml:space="preserve"> the Bill</w:t>
      </w:r>
      <w:r w:rsidR="001A50CF" w:rsidRPr="002519CB">
        <w:t>.</w:t>
      </w:r>
    </w:p>
    <w:p w:rsidR="001A50CF" w:rsidRPr="002519CB" w:rsidRDefault="00194E57">
      <w:pPr>
        <w:numPr>
          <w:ilvl w:val="0"/>
          <w:numId w:val="11"/>
        </w:numPr>
        <w:tabs>
          <w:tab w:val="left" w:pos="567"/>
          <w:tab w:val="left" w:pos="1276"/>
          <w:tab w:val="num" w:pos="1920"/>
        </w:tabs>
        <w:spacing w:before="120" w:after="120"/>
        <w:ind w:left="0" w:firstLine="0"/>
      </w:pPr>
      <w:r w:rsidRPr="002519CB">
        <w:t>An explanation of the amendments proposed in Schedule</w:t>
      </w:r>
      <w:r w:rsidR="00A64BC0">
        <w:t>s</w:t>
      </w:r>
      <w:r w:rsidRPr="002519CB">
        <w:t> 1</w:t>
      </w:r>
      <w:r w:rsidR="00A64BC0">
        <w:t xml:space="preserve"> to 6</w:t>
      </w:r>
      <w:r w:rsidRPr="002519CB">
        <w:t xml:space="preserve"> is provided in sequential order in the Bill and in this Explanatory Memorandum.</w:t>
      </w:r>
    </w:p>
    <w:p w:rsidR="00460C5A" w:rsidRPr="00460C5A" w:rsidRDefault="00E31303" w:rsidP="00460C5A">
      <w:pPr>
        <w:pStyle w:val="Heading1"/>
        <w:rPr>
          <w:rFonts w:ascii="Times New Roman" w:hAnsi="Times New Roman" w:cs="Times New Roman"/>
          <w:color w:val="auto"/>
        </w:rPr>
      </w:pPr>
      <w:bookmarkStart w:id="31" w:name="_Toc390948224"/>
      <w:r w:rsidRPr="002519CB">
        <w:rPr>
          <w:rFonts w:ascii="Times New Roman" w:hAnsi="Times New Roman" w:cs="Times New Roman"/>
          <w:color w:val="auto"/>
        </w:rPr>
        <w:t>Main features of the Bill</w:t>
      </w:r>
      <w:bookmarkEnd w:id="31"/>
    </w:p>
    <w:p w:rsidR="00460C5A" w:rsidRPr="002519CB" w:rsidRDefault="00460C5A" w:rsidP="00460C5A">
      <w:pPr>
        <w:numPr>
          <w:ilvl w:val="0"/>
          <w:numId w:val="11"/>
        </w:numPr>
        <w:tabs>
          <w:tab w:val="left" w:pos="567"/>
          <w:tab w:val="left" w:pos="1276"/>
          <w:tab w:val="num" w:pos="1920"/>
        </w:tabs>
        <w:spacing w:before="120" w:after="120"/>
        <w:ind w:left="0" w:firstLine="0"/>
      </w:pPr>
      <w:r>
        <w:t xml:space="preserve">The </w:t>
      </w:r>
      <w:r w:rsidRPr="002519CB">
        <w:t>Bill, if enacted, would make a number of technical amendments to replace references to the FMA and CAC Acts</w:t>
      </w:r>
      <w:r>
        <w:t xml:space="preserve"> in the Appropriations Acts</w:t>
      </w:r>
      <w:r w:rsidRPr="002519CB">
        <w:t xml:space="preserve"> with the equivalent provisions in the PGPA Act</w:t>
      </w:r>
      <w:r>
        <w:t>.</w:t>
      </w:r>
    </w:p>
    <w:p w:rsidR="00913EA1" w:rsidRPr="002519CB" w:rsidRDefault="00913EA1" w:rsidP="00F74C6B">
      <w:pPr>
        <w:numPr>
          <w:ilvl w:val="0"/>
          <w:numId w:val="11"/>
        </w:numPr>
        <w:tabs>
          <w:tab w:val="left" w:pos="567"/>
          <w:tab w:val="left" w:pos="1276"/>
          <w:tab w:val="num" w:pos="1920"/>
        </w:tabs>
        <w:spacing w:before="120" w:after="120"/>
        <w:ind w:left="0" w:firstLine="0"/>
        <w:rPr>
          <w:rFonts w:eastAsiaTheme="majorEastAsia"/>
          <w:b/>
          <w:bCs/>
          <w:sz w:val="28"/>
          <w:szCs w:val="28"/>
        </w:rPr>
      </w:pPr>
      <w:r w:rsidRPr="002519CB">
        <w:br w:type="page"/>
      </w:r>
    </w:p>
    <w:p w:rsidR="0019704D" w:rsidRPr="002519CB" w:rsidRDefault="002E04B7" w:rsidP="001E190D">
      <w:pPr>
        <w:pStyle w:val="Heading1"/>
        <w:spacing w:before="360"/>
        <w:rPr>
          <w:rFonts w:ascii="Times New Roman" w:hAnsi="Times New Roman" w:cs="Times New Roman"/>
          <w:color w:val="auto"/>
        </w:rPr>
      </w:pPr>
      <w:bookmarkStart w:id="32" w:name="_Toc390948225"/>
      <w:r w:rsidRPr="002519CB">
        <w:rPr>
          <w:rFonts w:ascii="Times New Roman" w:hAnsi="Times New Roman" w:cs="Times New Roman"/>
          <w:color w:val="auto"/>
        </w:rPr>
        <w:t>N</w:t>
      </w:r>
      <w:r w:rsidR="00913EA1" w:rsidRPr="002519CB">
        <w:rPr>
          <w:rFonts w:ascii="Times New Roman" w:hAnsi="Times New Roman" w:cs="Times New Roman"/>
          <w:color w:val="auto"/>
        </w:rPr>
        <w:t>OTES ON CLAUSES</w:t>
      </w:r>
      <w:bookmarkEnd w:id="32"/>
    </w:p>
    <w:p w:rsidR="001A50CF" w:rsidRPr="002519CB" w:rsidRDefault="0025405D">
      <w:pPr>
        <w:pStyle w:val="Heading4"/>
        <w:rPr>
          <w:rFonts w:ascii="Times New Roman" w:hAnsi="Times New Roman" w:cs="Times New Roman"/>
          <w:color w:val="auto"/>
          <w:kern w:val="32"/>
        </w:rPr>
      </w:pPr>
      <w:r w:rsidRPr="002519CB">
        <w:rPr>
          <w:rFonts w:ascii="Times New Roman" w:hAnsi="Times New Roman" w:cs="Times New Roman"/>
          <w:color w:val="auto"/>
          <w:kern w:val="32"/>
        </w:rPr>
        <w:t>Clause 1: Short title</w:t>
      </w:r>
    </w:p>
    <w:p w:rsidR="00AC34F8" w:rsidRPr="002519CB" w:rsidRDefault="00AC34F8" w:rsidP="00AC34F8">
      <w:pPr>
        <w:numPr>
          <w:ilvl w:val="0"/>
          <w:numId w:val="11"/>
        </w:numPr>
        <w:tabs>
          <w:tab w:val="left" w:pos="567"/>
          <w:tab w:val="left" w:pos="1276"/>
          <w:tab w:val="num" w:pos="1920"/>
        </w:tabs>
        <w:spacing w:before="120" w:after="120"/>
        <w:ind w:left="0" w:firstLine="0"/>
        <w:rPr>
          <w:i/>
        </w:rPr>
      </w:pPr>
      <w:r>
        <w:t>Under t</w:t>
      </w:r>
      <w:r w:rsidRPr="002519CB">
        <w:t>his clause</w:t>
      </w:r>
      <w:r w:rsidRPr="00A606AA">
        <w:t>, if</w:t>
      </w:r>
      <w:r w:rsidRPr="002519CB">
        <w:t xml:space="preserve"> the </w:t>
      </w:r>
      <w:r w:rsidRPr="007A71A0">
        <w:t xml:space="preserve">Bill </w:t>
      </w:r>
      <w:r w:rsidRPr="00A606AA">
        <w:t>is</w:t>
      </w:r>
      <w:r w:rsidRPr="002519CB">
        <w:t xml:space="preserve"> enacted, it may be cited as the </w:t>
      </w:r>
      <w:r>
        <w:rPr>
          <w:i/>
        </w:rPr>
        <w:t xml:space="preserve">Public Governance, Performance and Accountability </w:t>
      </w:r>
      <w:r w:rsidR="00832570">
        <w:rPr>
          <w:i/>
        </w:rPr>
        <w:t>(</w:t>
      </w:r>
      <w:r>
        <w:rPr>
          <w:i/>
        </w:rPr>
        <w:t>Consequential Modifications</w:t>
      </w:r>
      <w:r w:rsidR="00832570">
        <w:rPr>
          <w:i/>
        </w:rPr>
        <w:t xml:space="preserve"> of</w:t>
      </w:r>
      <w:r w:rsidR="005737C3">
        <w:rPr>
          <w:i/>
        </w:rPr>
        <w:t xml:space="preserve"> Appropriations Acts (No.1), (No.3) and (No.5)</w:t>
      </w:r>
      <w:r>
        <w:rPr>
          <w:i/>
        </w:rPr>
        <w:t>) Act 2014.</w:t>
      </w:r>
    </w:p>
    <w:p w:rsidR="001A50CF" w:rsidRPr="002519CB" w:rsidRDefault="0025405D">
      <w:pPr>
        <w:pStyle w:val="Heading4"/>
        <w:rPr>
          <w:rFonts w:ascii="Times New Roman" w:hAnsi="Times New Roman" w:cs="Times New Roman"/>
          <w:color w:val="auto"/>
          <w:kern w:val="32"/>
        </w:rPr>
      </w:pPr>
      <w:r w:rsidRPr="002519CB">
        <w:rPr>
          <w:rFonts w:ascii="Times New Roman" w:hAnsi="Times New Roman" w:cs="Times New Roman"/>
          <w:color w:val="auto"/>
          <w:kern w:val="32"/>
        </w:rPr>
        <w:t>Clause 2: Commencement</w:t>
      </w:r>
    </w:p>
    <w:p w:rsidR="001A50CF" w:rsidRPr="002519CB" w:rsidRDefault="0019704D">
      <w:pPr>
        <w:numPr>
          <w:ilvl w:val="0"/>
          <w:numId w:val="11"/>
        </w:numPr>
        <w:tabs>
          <w:tab w:val="left" w:pos="567"/>
          <w:tab w:val="left" w:pos="1276"/>
          <w:tab w:val="num" w:pos="1920"/>
        </w:tabs>
        <w:spacing w:before="120" w:after="120"/>
        <w:ind w:left="0" w:firstLine="0"/>
      </w:pPr>
      <w:r w:rsidRPr="002519CB">
        <w:t>This clause pro</w:t>
      </w:r>
      <w:r w:rsidR="002115D6" w:rsidRPr="002519CB">
        <w:t>vides that if the Bill</w:t>
      </w:r>
      <w:r w:rsidRPr="002519CB">
        <w:t xml:space="preserve"> is </w:t>
      </w:r>
      <w:r w:rsidR="007009D0" w:rsidRPr="002519CB">
        <w:t>enacted</w:t>
      </w:r>
      <w:r w:rsidRPr="002519CB">
        <w:t>:</w:t>
      </w:r>
    </w:p>
    <w:p w:rsidR="001A50CF" w:rsidRPr="002519CB" w:rsidRDefault="00AC34F8">
      <w:pPr>
        <w:numPr>
          <w:ilvl w:val="0"/>
          <w:numId w:val="12"/>
        </w:numPr>
        <w:spacing w:before="120" w:after="120"/>
        <w:ind w:left="993" w:hanging="426"/>
      </w:pPr>
      <w:r>
        <w:t>Sections 1 to 3</w:t>
      </w:r>
      <w:r w:rsidR="0019704D" w:rsidRPr="002519CB">
        <w:t xml:space="preserve"> will co</w:t>
      </w:r>
      <w:r w:rsidR="002115D6" w:rsidRPr="002519CB">
        <w:t xml:space="preserve">mmence on the day that the </w:t>
      </w:r>
      <w:r w:rsidR="002B3AC1" w:rsidRPr="002519CB">
        <w:t>Bill</w:t>
      </w:r>
      <w:r w:rsidR="0019704D" w:rsidRPr="002519CB">
        <w:t xml:space="preserve"> receives Royal Assent</w:t>
      </w:r>
      <w:r w:rsidR="001A50CF" w:rsidRPr="002519CB">
        <w:t>.</w:t>
      </w:r>
    </w:p>
    <w:p w:rsidR="001A50CF" w:rsidRDefault="0019704D">
      <w:pPr>
        <w:numPr>
          <w:ilvl w:val="0"/>
          <w:numId w:val="12"/>
        </w:numPr>
        <w:spacing w:before="120" w:after="120"/>
        <w:ind w:left="993" w:hanging="426"/>
      </w:pPr>
      <w:r w:rsidRPr="002519CB">
        <w:t>Items in Schedule</w:t>
      </w:r>
      <w:r w:rsidR="00AC34F8">
        <w:t>s 1 to 5</w:t>
      </w:r>
      <w:r w:rsidRPr="002519CB">
        <w:t xml:space="preserve"> will commence immediately after the commencement of section 6 of the </w:t>
      </w:r>
      <w:r w:rsidRPr="002519CB">
        <w:rPr>
          <w:i/>
        </w:rPr>
        <w:t>Public Governance, Performance and Accountability Act 2013</w:t>
      </w:r>
      <w:r w:rsidR="003E4D64" w:rsidRPr="002519CB">
        <w:t>.</w:t>
      </w:r>
      <w:r w:rsidR="00AC34F8">
        <w:t xml:space="preserve"> </w:t>
      </w:r>
    </w:p>
    <w:p w:rsidR="00AC34F8" w:rsidRPr="002519CB" w:rsidRDefault="00AC34F8">
      <w:pPr>
        <w:numPr>
          <w:ilvl w:val="0"/>
          <w:numId w:val="12"/>
        </w:numPr>
        <w:spacing w:before="120" w:after="120"/>
        <w:ind w:left="993" w:hanging="426"/>
      </w:pPr>
      <w:r>
        <w:t xml:space="preserve">Items in Schedule 6 will commence on the later date between </w:t>
      </w:r>
      <w:r w:rsidRPr="002519CB">
        <w:t xml:space="preserve">immediately after the commencement of section 6 of the </w:t>
      </w:r>
      <w:r w:rsidRPr="002519CB">
        <w:rPr>
          <w:i/>
        </w:rPr>
        <w:t>Public Governance, Performance and Accountability Act 2013</w:t>
      </w:r>
      <w:r>
        <w:t xml:space="preserve"> or immediately after the commencement of the </w:t>
      </w:r>
      <w:r>
        <w:rPr>
          <w:i/>
        </w:rPr>
        <w:t xml:space="preserve">Appropriation Act </w:t>
      </w:r>
      <w:r w:rsidR="00D0404B">
        <w:rPr>
          <w:i/>
        </w:rPr>
        <w:t xml:space="preserve">(No.1) </w:t>
      </w:r>
      <w:r>
        <w:rPr>
          <w:i/>
        </w:rPr>
        <w:t>2014-2015</w:t>
      </w:r>
      <w:r>
        <w:t xml:space="preserve">. </w:t>
      </w:r>
    </w:p>
    <w:p w:rsidR="0019704D" w:rsidRPr="002519CB" w:rsidRDefault="0025405D" w:rsidP="00224AAD">
      <w:pPr>
        <w:pStyle w:val="Heading4"/>
        <w:rPr>
          <w:rFonts w:ascii="Times New Roman" w:hAnsi="Times New Roman" w:cs="Times New Roman"/>
          <w:color w:val="auto"/>
          <w:kern w:val="32"/>
        </w:rPr>
      </w:pPr>
      <w:r w:rsidRPr="002519CB">
        <w:rPr>
          <w:rFonts w:ascii="Times New Roman" w:hAnsi="Times New Roman" w:cs="Times New Roman"/>
          <w:color w:val="auto"/>
          <w:kern w:val="32"/>
        </w:rPr>
        <w:t>Clause 3: Schedule(s)</w:t>
      </w:r>
    </w:p>
    <w:p w:rsidR="00AC34F8" w:rsidRPr="002519CB" w:rsidRDefault="008D0EC3" w:rsidP="00AC34F8">
      <w:pPr>
        <w:numPr>
          <w:ilvl w:val="0"/>
          <w:numId w:val="11"/>
        </w:numPr>
        <w:tabs>
          <w:tab w:val="left" w:pos="567"/>
          <w:tab w:val="left" w:pos="1276"/>
          <w:tab w:val="num" w:pos="1920"/>
        </w:tabs>
        <w:spacing w:before="120" w:after="120"/>
        <w:ind w:left="0" w:firstLine="0"/>
      </w:pPr>
      <w:r>
        <w:t xml:space="preserve">This clause provides that a Schedule to the Bill may amend or repeal the Appropriation Acts as specified. </w:t>
      </w:r>
    </w:p>
    <w:p w:rsidR="0019704D" w:rsidRPr="002519CB" w:rsidRDefault="0019704D" w:rsidP="0019704D">
      <w:pPr>
        <w:spacing w:after="200" w:line="276" w:lineRule="auto"/>
      </w:pPr>
      <w:r w:rsidRPr="002519CB">
        <w:br w:type="page"/>
      </w:r>
    </w:p>
    <w:p w:rsidR="0019704D" w:rsidRDefault="0019704D" w:rsidP="00913EA1">
      <w:pPr>
        <w:pStyle w:val="Heading1"/>
        <w:spacing w:before="360"/>
        <w:rPr>
          <w:rFonts w:ascii="Times New Roman" w:hAnsi="Times New Roman" w:cs="Times New Roman"/>
          <w:color w:val="auto"/>
        </w:rPr>
      </w:pPr>
      <w:bookmarkStart w:id="33" w:name="_Toc390948226"/>
      <w:bookmarkStart w:id="34" w:name="_Toc370475778"/>
      <w:bookmarkEnd w:id="1"/>
      <w:bookmarkEnd w:id="2"/>
      <w:r w:rsidRPr="002519CB">
        <w:rPr>
          <w:rFonts w:ascii="Times New Roman" w:hAnsi="Times New Roman" w:cs="Times New Roman"/>
          <w:color w:val="auto"/>
        </w:rPr>
        <w:t>N</w:t>
      </w:r>
      <w:r w:rsidR="00913EA1" w:rsidRPr="002519CB">
        <w:rPr>
          <w:rFonts w:ascii="Times New Roman" w:hAnsi="Times New Roman" w:cs="Times New Roman"/>
          <w:color w:val="auto"/>
        </w:rPr>
        <w:t>OTES ON SCHEDULE</w:t>
      </w:r>
      <w:r w:rsidR="00E4454E" w:rsidRPr="002519CB">
        <w:rPr>
          <w:rFonts w:ascii="Times New Roman" w:hAnsi="Times New Roman" w:cs="Times New Roman"/>
          <w:color w:val="auto"/>
        </w:rPr>
        <w:t> </w:t>
      </w:r>
      <w:r w:rsidRPr="002519CB">
        <w:rPr>
          <w:rFonts w:ascii="Times New Roman" w:hAnsi="Times New Roman" w:cs="Times New Roman"/>
          <w:color w:val="auto"/>
        </w:rPr>
        <w:t>1</w:t>
      </w:r>
      <w:r w:rsidR="008D0EC3">
        <w:rPr>
          <w:rFonts w:ascii="Times New Roman" w:hAnsi="Times New Roman" w:cs="Times New Roman"/>
          <w:color w:val="auto"/>
        </w:rPr>
        <w:t xml:space="preserve"> – Appropriation Act </w:t>
      </w:r>
      <w:r w:rsidR="004573D8">
        <w:rPr>
          <w:rFonts w:ascii="Times New Roman" w:hAnsi="Times New Roman" w:cs="Times New Roman"/>
          <w:color w:val="auto"/>
        </w:rPr>
        <w:t xml:space="preserve">(No.1) </w:t>
      </w:r>
      <w:r w:rsidR="008D0EC3">
        <w:rPr>
          <w:rFonts w:ascii="Times New Roman" w:hAnsi="Times New Roman" w:cs="Times New Roman"/>
          <w:color w:val="auto"/>
        </w:rPr>
        <w:t>2012-2013</w:t>
      </w:r>
      <w:bookmarkEnd w:id="33"/>
    </w:p>
    <w:p w:rsidR="008D0EC3" w:rsidRPr="008D0EC3" w:rsidRDefault="008D0EC3" w:rsidP="008D0EC3"/>
    <w:bookmarkEnd w:id="34"/>
    <w:p w:rsidR="008D0EC3" w:rsidRPr="00D85948" w:rsidRDefault="008D0EC3" w:rsidP="00D85948">
      <w:pPr>
        <w:numPr>
          <w:ilvl w:val="0"/>
          <w:numId w:val="11"/>
        </w:numPr>
        <w:tabs>
          <w:tab w:val="left" w:pos="567"/>
          <w:tab w:val="left" w:pos="1276"/>
          <w:tab w:val="num" w:pos="1920"/>
        </w:tabs>
        <w:spacing w:before="120" w:after="120"/>
        <w:ind w:left="0" w:firstLine="0"/>
        <w:rPr>
          <w:kern w:val="32"/>
        </w:rPr>
      </w:pPr>
      <w:r>
        <w:rPr>
          <w:b/>
          <w:kern w:val="32"/>
        </w:rPr>
        <w:t>Item</w:t>
      </w:r>
      <w:r w:rsidRPr="002519CB">
        <w:rPr>
          <w:b/>
          <w:kern w:val="32"/>
        </w:rPr>
        <w:t xml:space="preserve"> 1 </w:t>
      </w:r>
      <w:r>
        <w:rPr>
          <w:kern w:val="32"/>
        </w:rPr>
        <w:t xml:space="preserve">explains that a reference in Schedule 1 to “Principal Act” means the </w:t>
      </w:r>
      <w:r>
        <w:rPr>
          <w:i/>
          <w:kern w:val="32"/>
        </w:rPr>
        <w:t xml:space="preserve">Appropriation Act </w:t>
      </w:r>
      <w:r w:rsidR="00D0404B">
        <w:rPr>
          <w:i/>
          <w:kern w:val="32"/>
        </w:rPr>
        <w:t xml:space="preserve">(No.1) </w:t>
      </w:r>
      <w:r>
        <w:rPr>
          <w:i/>
          <w:kern w:val="32"/>
        </w:rPr>
        <w:t>2012-2013.</w:t>
      </w:r>
      <w:r w:rsidR="00C970D7">
        <w:rPr>
          <w:kern w:val="32"/>
        </w:rPr>
        <w:t xml:space="preserve"> </w:t>
      </w:r>
      <w:r w:rsidR="003247E4">
        <w:rPr>
          <w:kern w:val="32"/>
        </w:rPr>
        <w:t xml:space="preserve">The </w:t>
      </w:r>
      <w:r w:rsidR="0060450D">
        <w:rPr>
          <w:kern w:val="32"/>
        </w:rPr>
        <w:t>notes on Schedule 1 in this Explanatory Memorandum do</w:t>
      </w:r>
      <w:r w:rsidR="00D85948">
        <w:rPr>
          <w:kern w:val="32"/>
        </w:rPr>
        <w:t xml:space="preserve"> the same. </w:t>
      </w:r>
    </w:p>
    <w:p w:rsidR="00D85948" w:rsidRPr="00D85948" w:rsidRDefault="00D85948" w:rsidP="008D0EC3">
      <w:pPr>
        <w:numPr>
          <w:ilvl w:val="0"/>
          <w:numId w:val="11"/>
        </w:numPr>
        <w:tabs>
          <w:tab w:val="left" w:pos="567"/>
          <w:tab w:val="left" w:pos="1276"/>
          <w:tab w:val="num" w:pos="1920"/>
        </w:tabs>
        <w:spacing w:before="120" w:after="120"/>
        <w:ind w:left="0" w:firstLine="0"/>
        <w:rPr>
          <w:kern w:val="32"/>
        </w:rPr>
      </w:pPr>
      <w:r>
        <w:rPr>
          <w:b/>
          <w:kern w:val="32"/>
        </w:rPr>
        <w:t>Items 2 to 5</w:t>
      </w:r>
      <w:r>
        <w:rPr>
          <w:kern w:val="32"/>
        </w:rPr>
        <w:t xml:space="preserve"> would amend definitions in section 3 of the Principal Act to update references to the FMA Act and CAC Act with the equivalent provisions in the PGPA Act.</w:t>
      </w:r>
    </w:p>
    <w:p w:rsidR="008D0EC3" w:rsidRDefault="008D0EC3" w:rsidP="008D0EC3">
      <w:pPr>
        <w:numPr>
          <w:ilvl w:val="0"/>
          <w:numId w:val="11"/>
        </w:numPr>
        <w:tabs>
          <w:tab w:val="left" w:pos="567"/>
          <w:tab w:val="left" w:pos="1276"/>
          <w:tab w:val="num" w:pos="1920"/>
        </w:tabs>
        <w:spacing w:before="120" w:after="120"/>
        <w:ind w:left="0" w:firstLine="0"/>
        <w:rPr>
          <w:kern w:val="32"/>
        </w:rPr>
      </w:pPr>
      <w:r>
        <w:rPr>
          <w:b/>
          <w:kern w:val="32"/>
        </w:rPr>
        <w:t>Item 2</w:t>
      </w:r>
      <w:r w:rsidR="00C970D7">
        <w:rPr>
          <w:b/>
          <w:kern w:val="32"/>
        </w:rPr>
        <w:t xml:space="preserve"> </w:t>
      </w:r>
      <w:r w:rsidR="00C970D7">
        <w:rPr>
          <w:kern w:val="32"/>
        </w:rPr>
        <w:t xml:space="preserve">would amend the definition of “Agency” to </w:t>
      </w:r>
      <w:r w:rsidR="00E6078D">
        <w:rPr>
          <w:kern w:val="32"/>
        </w:rPr>
        <w:t>replace the reference to “</w:t>
      </w:r>
      <w:r w:rsidR="00E6078D" w:rsidRPr="00E6078D">
        <w:rPr>
          <w:kern w:val="32"/>
        </w:rPr>
        <w:t xml:space="preserve">an Agency within the meaning of the </w:t>
      </w:r>
      <w:r w:rsidR="00E6078D" w:rsidRPr="00E6078D">
        <w:rPr>
          <w:i/>
          <w:iCs/>
          <w:kern w:val="32"/>
        </w:rPr>
        <w:t>Financial Management and Accountability Act 1997</w:t>
      </w:r>
      <w:r w:rsidR="00E6078D">
        <w:rPr>
          <w:i/>
          <w:iCs/>
          <w:kern w:val="32"/>
        </w:rPr>
        <w:t xml:space="preserve">” </w:t>
      </w:r>
      <w:r w:rsidR="00C970D7">
        <w:rPr>
          <w:kern w:val="32"/>
        </w:rPr>
        <w:t>to “</w:t>
      </w:r>
      <w:r w:rsidR="00C970D7" w:rsidRPr="00C4075E">
        <w:t>a non</w:t>
      </w:r>
      <w:r w:rsidR="00C970D7">
        <w:noBreakHyphen/>
      </w:r>
      <w:r w:rsidR="00C970D7" w:rsidRPr="00C4075E">
        <w:t xml:space="preserve">corporate Commonwealth entity within the meaning of the </w:t>
      </w:r>
      <w:r w:rsidR="00C970D7" w:rsidRPr="00C4075E">
        <w:rPr>
          <w:i/>
        </w:rPr>
        <w:t>Public Governance, Performance and Accountability Act 2013</w:t>
      </w:r>
      <w:r w:rsidR="00E6078D">
        <w:t>”</w:t>
      </w:r>
      <w:r w:rsidR="00D0404B">
        <w:t>;</w:t>
      </w:r>
      <w:r w:rsidR="00F959E1">
        <w:t xml:space="preserve"> </w:t>
      </w:r>
      <w:r w:rsidR="003515F6">
        <w:t xml:space="preserve">or the Australian Competition and Consumer Commission; </w:t>
      </w:r>
      <w:r w:rsidR="00F959E1">
        <w:t xml:space="preserve">or </w:t>
      </w:r>
      <w:r w:rsidR="00D0404B" w:rsidRPr="004B76B2">
        <w:t>the Australian Human Rights Commission; or</w:t>
      </w:r>
      <w:r w:rsidR="00D0404B">
        <w:t xml:space="preserve"> </w:t>
      </w:r>
      <w:r w:rsidR="00D0404B" w:rsidRPr="004B76B2">
        <w:t xml:space="preserve">the Australian Pesticides and Veterinary Medicines Authority; </w:t>
      </w:r>
      <w:r w:rsidR="003515F6">
        <w:t xml:space="preserve">or the Australian Securities and Investments Commission; or the Clean Energy Regulator; or the Corporations and Markets Advisory Committee; </w:t>
      </w:r>
      <w:r w:rsidR="00D0404B" w:rsidRPr="004B76B2">
        <w:t>or</w:t>
      </w:r>
      <w:r w:rsidR="00D0404B">
        <w:t xml:space="preserve"> </w:t>
      </w:r>
      <w:r w:rsidR="00D0404B" w:rsidRPr="004B76B2">
        <w:t>the High Court of Australia; or</w:t>
      </w:r>
      <w:r w:rsidR="00D0404B">
        <w:t xml:space="preserve"> </w:t>
      </w:r>
      <w:r w:rsidR="00D0404B" w:rsidRPr="004B76B2">
        <w:t>the Independent Hospital Pricing Authority; or</w:t>
      </w:r>
      <w:r w:rsidR="00D0404B">
        <w:t xml:space="preserve"> </w:t>
      </w:r>
      <w:r w:rsidR="00D0404B" w:rsidRPr="004B76B2">
        <w:t>the Murray</w:t>
      </w:r>
      <w:r w:rsidR="00D0404B">
        <w:noBreakHyphen/>
      </w:r>
      <w:r w:rsidR="00D0404B" w:rsidRPr="004B76B2">
        <w:t>Darling Basin Authority; or</w:t>
      </w:r>
      <w:r w:rsidR="00D0404B">
        <w:t xml:space="preserve"> </w:t>
      </w:r>
      <w:r w:rsidR="00D0404B" w:rsidRPr="004B76B2">
        <w:t>the National Health Performance Authority; or</w:t>
      </w:r>
      <w:r w:rsidR="00D0404B">
        <w:t xml:space="preserve"> </w:t>
      </w:r>
      <w:r w:rsidR="00D0404B" w:rsidRPr="004B76B2">
        <w:t>the National Offshore Petroleum Safety and Environmental Management Authority</w:t>
      </w:r>
      <w:r w:rsidR="00D0404B">
        <w:t xml:space="preserve">, </w:t>
      </w:r>
      <w:r w:rsidR="00F959E1">
        <w:t xml:space="preserve">to recognise FMA </w:t>
      </w:r>
      <w:r w:rsidR="00CD5F03">
        <w:t xml:space="preserve">Act </w:t>
      </w:r>
      <w:r w:rsidR="00F959E1">
        <w:t xml:space="preserve">body corporate entities that are becoming </w:t>
      </w:r>
      <w:r w:rsidR="00F959E1" w:rsidRPr="00D0404B">
        <w:t>corporate Commonwealth entities</w:t>
      </w:r>
      <w:r w:rsidR="00E6078D">
        <w:t xml:space="preserve">. </w:t>
      </w:r>
    </w:p>
    <w:p w:rsidR="00E6078D" w:rsidRPr="00E6078D" w:rsidRDefault="00E6078D" w:rsidP="008D0EC3">
      <w:pPr>
        <w:numPr>
          <w:ilvl w:val="0"/>
          <w:numId w:val="11"/>
        </w:numPr>
        <w:tabs>
          <w:tab w:val="left" w:pos="567"/>
          <w:tab w:val="left" w:pos="1276"/>
          <w:tab w:val="num" w:pos="1920"/>
        </w:tabs>
        <w:spacing w:before="120" w:after="120"/>
        <w:ind w:left="0" w:firstLine="0"/>
        <w:rPr>
          <w:kern w:val="32"/>
        </w:rPr>
      </w:pPr>
      <w:r>
        <w:rPr>
          <w:b/>
          <w:kern w:val="32"/>
        </w:rPr>
        <w:t>Item 3</w:t>
      </w:r>
      <w:r w:rsidR="008D0EC3" w:rsidRPr="002519CB">
        <w:rPr>
          <w:b/>
          <w:kern w:val="32"/>
        </w:rPr>
        <w:t xml:space="preserve"> </w:t>
      </w:r>
      <w:r w:rsidR="008D0EC3" w:rsidRPr="002519CB">
        <w:rPr>
          <w:kern w:val="32"/>
        </w:rPr>
        <w:t xml:space="preserve">would </w:t>
      </w:r>
      <w:r>
        <w:rPr>
          <w:kern w:val="32"/>
        </w:rPr>
        <w:t xml:space="preserve">amend the definition of “CAC Act body” to replace the reference to “a Commonwealth authority within the meaning of the </w:t>
      </w:r>
      <w:r w:rsidRPr="00E6078D">
        <w:rPr>
          <w:i/>
          <w:iCs/>
          <w:kern w:val="32"/>
        </w:rPr>
        <w:t>Commonwealth Authorities and Companies Act 1997</w:t>
      </w:r>
      <w:r>
        <w:rPr>
          <w:iCs/>
          <w:kern w:val="32"/>
        </w:rPr>
        <w:t>” to “</w:t>
      </w:r>
      <w:r w:rsidRPr="00C4075E">
        <w:t xml:space="preserve">a corporate Commonwealth entity within the meaning of the </w:t>
      </w:r>
      <w:r w:rsidRPr="00C4075E">
        <w:rPr>
          <w:i/>
        </w:rPr>
        <w:t>Public Governance, Performance and Accountability Act 2013</w:t>
      </w:r>
      <w:r>
        <w:t xml:space="preserve">”.  The reference to a Commonwealth company being defined by the CAC Act would also be updated to refer to the PGPA Act. </w:t>
      </w:r>
    </w:p>
    <w:p w:rsidR="00AE5F67" w:rsidRPr="00AE5F67" w:rsidRDefault="00AE5F67" w:rsidP="00AE5F67">
      <w:pPr>
        <w:numPr>
          <w:ilvl w:val="0"/>
          <w:numId w:val="11"/>
        </w:numPr>
        <w:tabs>
          <w:tab w:val="left" w:pos="567"/>
          <w:tab w:val="left" w:pos="1276"/>
          <w:tab w:val="num" w:pos="1920"/>
        </w:tabs>
        <w:spacing w:before="120" w:after="120"/>
        <w:ind w:left="0" w:firstLine="0"/>
        <w:rPr>
          <w:kern w:val="32"/>
        </w:rPr>
      </w:pPr>
      <w:r>
        <w:rPr>
          <w:b/>
          <w:kern w:val="32"/>
        </w:rPr>
        <w:t>Item 4</w:t>
      </w:r>
      <w:r>
        <w:rPr>
          <w:b/>
          <w:i/>
          <w:kern w:val="32"/>
        </w:rPr>
        <w:t xml:space="preserve"> </w:t>
      </w:r>
      <w:r w:rsidR="00836A15">
        <w:rPr>
          <w:kern w:val="32"/>
        </w:rPr>
        <w:t xml:space="preserve">would </w:t>
      </w:r>
      <w:r>
        <w:rPr>
          <w:kern w:val="32"/>
        </w:rPr>
        <w:t>define the “</w:t>
      </w:r>
      <w:r w:rsidRPr="00AE5F67">
        <w:rPr>
          <w:kern w:val="32"/>
        </w:rPr>
        <w:t>Chief Executive</w:t>
      </w:r>
      <w:r>
        <w:rPr>
          <w:kern w:val="32"/>
        </w:rPr>
        <w:t>”</w:t>
      </w:r>
      <w:r w:rsidRPr="00AE5F67">
        <w:rPr>
          <w:kern w:val="32"/>
        </w:rPr>
        <w:t xml:space="preserve"> of an Agency </w:t>
      </w:r>
      <w:r>
        <w:rPr>
          <w:kern w:val="32"/>
        </w:rPr>
        <w:t>to mean t</w:t>
      </w:r>
      <w:r w:rsidRPr="00AE5F67">
        <w:rPr>
          <w:kern w:val="32"/>
        </w:rPr>
        <w:t xml:space="preserve">he accountable authority </w:t>
      </w:r>
      <w:r>
        <w:rPr>
          <w:kern w:val="32"/>
        </w:rPr>
        <w:t xml:space="preserve">of the Agency within the meaning of the PGPA Act. </w:t>
      </w:r>
    </w:p>
    <w:p w:rsidR="00E6078D" w:rsidRDefault="00AE5F67" w:rsidP="008D0EC3">
      <w:pPr>
        <w:numPr>
          <w:ilvl w:val="0"/>
          <w:numId w:val="11"/>
        </w:numPr>
        <w:tabs>
          <w:tab w:val="left" w:pos="567"/>
          <w:tab w:val="left" w:pos="1276"/>
          <w:tab w:val="num" w:pos="1920"/>
        </w:tabs>
        <w:spacing w:before="120" w:after="120"/>
        <w:ind w:left="0" w:firstLine="0"/>
        <w:rPr>
          <w:kern w:val="32"/>
        </w:rPr>
      </w:pPr>
      <w:r>
        <w:rPr>
          <w:b/>
          <w:kern w:val="32"/>
        </w:rPr>
        <w:t xml:space="preserve">Item 5 </w:t>
      </w:r>
      <w:r>
        <w:rPr>
          <w:kern w:val="32"/>
        </w:rPr>
        <w:t xml:space="preserve">would update terminology so that a reference to the FMA Act in the definition of “Special Account” would be substituted by a reference to the PGPA Act. </w:t>
      </w:r>
    </w:p>
    <w:p w:rsidR="00AE5F67" w:rsidRDefault="00AE5F67" w:rsidP="008D0EC3">
      <w:pPr>
        <w:numPr>
          <w:ilvl w:val="0"/>
          <w:numId w:val="11"/>
        </w:numPr>
        <w:tabs>
          <w:tab w:val="left" w:pos="567"/>
          <w:tab w:val="left" w:pos="1276"/>
          <w:tab w:val="num" w:pos="1920"/>
        </w:tabs>
        <w:spacing w:before="120" w:after="120"/>
        <w:ind w:left="0" w:firstLine="0"/>
        <w:rPr>
          <w:kern w:val="32"/>
        </w:rPr>
      </w:pPr>
      <w:r>
        <w:rPr>
          <w:b/>
          <w:kern w:val="32"/>
        </w:rPr>
        <w:t>Item 6</w:t>
      </w:r>
      <w:r>
        <w:rPr>
          <w:b/>
          <w:i/>
          <w:kern w:val="32"/>
        </w:rPr>
        <w:t xml:space="preserve"> </w:t>
      </w:r>
      <w:r>
        <w:rPr>
          <w:kern w:val="32"/>
        </w:rPr>
        <w:t xml:space="preserve">would update note 2 to section 6 </w:t>
      </w:r>
      <w:r w:rsidR="009C742E">
        <w:rPr>
          <w:kern w:val="32"/>
        </w:rPr>
        <w:t xml:space="preserve">to explain that sections 30 to 32 of the FMA Act will continue to apply because of the </w:t>
      </w:r>
      <w:r w:rsidR="009C742E">
        <w:rPr>
          <w:i/>
          <w:kern w:val="32"/>
        </w:rPr>
        <w:t>Public</w:t>
      </w:r>
      <w:r w:rsidR="009C742E" w:rsidRPr="00C4075E">
        <w:rPr>
          <w:i/>
        </w:rPr>
        <w:t xml:space="preserve"> Governance, Performance and Accountability (Consequential and Transitional Provisions) Act 2014</w:t>
      </w:r>
      <w:r w:rsidR="00B84C68">
        <w:rPr>
          <w:kern w:val="32"/>
        </w:rPr>
        <w:t>. There would</w:t>
      </w:r>
      <w:r w:rsidR="009C742E">
        <w:rPr>
          <w:kern w:val="32"/>
        </w:rPr>
        <w:t xml:space="preserve"> also be an additional note to reference provisions in the PGPA Act that provide for adjustments. </w:t>
      </w:r>
    </w:p>
    <w:p w:rsidR="009C742E" w:rsidRDefault="009C742E" w:rsidP="008D0EC3">
      <w:pPr>
        <w:numPr>
          <w:ilvl w:val="0"/>
          <w:numId w:val="11"/>
        </w:numPr>
        <w:tabs>
          <w:tab w:val="left" w:pos="567"/>
          <w:tab w:val="left" w:pos="1276"/>
          <w:tab w:val="num" w:pos="1920"/>
        </w:tabs>
        <w:spacing w:before="120" w:after="120"/>
        <w:ind w:left="0" w:firstLine="0"/>
        <w:rPr>
          <w:kern w:val="32"/>
        </w:rPr>
      </w:pPr>
      <w:r>
        <w:rPr>
          <w:b/>
          <w:kern w:val="32"/>
        </w:rPr>
        <w:t>Item 7</w:t>
      </w:r>
      <w:r>
        <w:rPr>
          <w:b/>
          <w:i/>
          <w:kern w:val="32"/>
        </w:rPr>
        <w:t xml:space="preserve"> </w:t>
      </w:r>
      <w:r>
        <w:rPr>
          <w:kern w:val="32"/>
        </w:rPr>
        <w:t xml:space="preserve">would </w:t>
      </w:r>
      <w:r w:rsidR="00304BE4">
        <w:rPr>
          <w:kern w:val="32"/>
        </w:rPr>
        <w:t>omit the note to section 7</w:t>
      </w:r>
      <w:r>
        <w:rPr>
          <w:kern w:val="32"/>
        </w:rPr>
        <w:t xml:space="preserve"> </w:t>
      </w:r>
      <w:r w:rsidR="00304BE4">
        <w:rPr>
          <w:kern w:val="32"/>
        </w:rPr>
        <w:t xml:space="preserve">as the PGPA Act does not require </w:t>
      </w:r>
      <w:r w:rsidR="00C21B3B">
        <w:rPr>
          <w:kern w:val="32"/>
        </w:rPr>
        <w:t>drawing rights to access an appropriation.</w:t>
      </w:r>
    </w:p>
    <w:p w:rsidR="00304BE4" w:rsidRPr="00C21B3B" w:rsidRDefault="00304BE4" w:rsidP="00C21B3B">
      <w:pPr>
        <w:numPr>
          <w:ilvl w:val="0"/>
          <w:numId w:val="11"/>
        </w:numPr>
        <w:tabs>
          <w:tab w:val="left" w:pos="567"/>
          <w:tab w:val="left" w:pos="1276"/>
          <w:tab w:val="num" w:pos="1920"/>
        </w:tabs>
        <w:spacing w:before="120" w:after="120"/>
        <w:ind w:left="0" w:firstLine="0"/>
        <w:rPr>
          <w:kern w:val="32"/>
        </w:rPr>
      </w:pPr>
      <w:r>
        <w:rPr>
          <w:b/>
          <w:kern w:val="32"/>
        </w:rPr>
        <w:t>Item 8</w:t>
      </w:r>
      <w:r>
        <w:rPr>
          <w:kern w:val="32"/>
        </w:rPr>
        <w:t xml:space="preserve"> would omit the note to subsection 8(1) as the PGPA Act does not require </w:t>
      </w:r>
      <w:r w:rsidR="00C21B3B">
        <w:rPr>
          <w:kern w:val="32"/>
        </w:rPr>
        <w:t>drawing rights to access an appropriation.</w:t>
      </w:r>
    </w:p>
    <w:p w:rsidR="00304BE4" w:rsidRPr="00C21B3B" w:rsidRDefault="00304BE4" w:rsidP="00C21B3B">
      <w:pPr>
        <w:numPr>
          <w:ilvl w:val="0"/>
          <w:numId w:val="11"/>
        </w:numPr>
        <w:tabs>
          <w:tab w:val="left" w:pos="567"/>
          <w:tab w:val="left" w:pos="1276"/>
          <w:tab w:val="num" w:pos="1920"/>
        </w:tabs>
        <w:spacing w:before="120" w:after="120"/>
        <w:ind w:left="0" w:firstLine="0"/>
        <w:rPr>
          <w:kern w:val="32"/>
        </w:rPr>
      </w:pPr>
      <w:r>
        <w:rPr>
          <w:b/>
          <w:kern w:val="32"/>
        </w:rPr>
        <w:t xml:space="preserve">Item 9 </w:t>
      </w:r>
      <w:r>
        <w:rPr>
          <w:kern w:val="32"/>
        </w:rPr>
        <w:t xml:space="preserve">would omit the note to subsection 9(1) as the PGPA Act does not require </w:t>
      </w:r>
      <w:r w:rsidR="00C21B3B">
        <w:rPr>
          <w:kern w:val="32"/>
        </w:rPr>
        <w:t>drawing rights to access an appropriation.</w:t>
      </w:r>
    </w:p>
    <w:p w:rsidR="00304BE4" w:rsidRPr="00304BE4" w:rsidRDefault="00304BE4" w:rsidP="008D0EC3">
      <w:pPr>
        <w:numPr>
          <w:ilvl w:val="0"/>
          <w:numId w:val="11"/>
        </w:numPr>
        <w:tabs>
          <w:tab w:val="left" w:pos="567"/>
          <w:tab w:val="left" w:pos="1276"/>
          <w:tab w:val="num" w:pos="1920"/>
        </w:tabs>
        <w:spacing w:before="120" w:after="120"/>
        <w:ind w:left="0" w:firstLine="0"/>
        <w:rPr>
          <w:kern w:val="32"/>
        </w:rPr>
      </w:pPr>
      <w:r w:rsidRPr="00304BE4">
        <w:rPr>
          <w:b/>
          <w:kern w:val="32"/>
        </w:rPr>
        <w:t>Item 10</w:t>
      </w:r>
      <w:r w:rsidRPr="00304BE4">
        <w:rPr>
          <w:kern w:val="32"/>
        </w:rPr>
        <w:t xml:space="preserve"> would</w:t>
      </w:r>
      <w:r>
        <w:rPr>
          <w:kern w:val="32"/>
        </w:rPr>
        <w:t xml:space="preserve"> explain that the o</w:t>
      </w:r>
      <w:r w:rsidR="00D85948">
        <w:rPr>
          <w:kern w:val="32"/>
        </w:rPr>
        <w:t>peration of the Principal Act continues to be affected by those sections of the</w:t>
      </w:r>
      <w:r>
        <w:rPr>
          <w:kern w:val="32"/>
        </w:rPr>
        <w:t xml:space="preserve"> FMA Act </w:t>
      </w:r>
      <w:r w:rsidR="00D85948">
        <w:rPr>
          <w:kern w:val="32"/>
        </w:rPr>
        <w:t xml:space="preserve">that </w:t>
      </w:r>
      <w:r w:rsidR="00D85948">
        <w:t xml:space="preserve">continue </w:t>
      </w:r>
      <w:r w:rsidRPr="00C4075E">
        <w:t xml:space="preserve">to apply because of Schedule 2 to the </w:t>
      </w:r>
      <w:r w:rsidRPr="00C4075E">
        <w:rPr>
          <w:i/>
        </w:rPr>
        <w:t>Public Governance, Performance and Accountability (Consequential and Transitional Provisions) Act 2014</w:t>
      </w:r>
      <w:r w:rsidR="00D85948">
        <w:t>. In addition, the Principal Act is now also affected by</w:t>
      </w:r>
      <w:r w:rsidRPr="00C4075E">
        <w:t xml:space="preserve"> </w:t>
      </w:r>
      <w:r w:rsidRPr="00D85948">
        <w:t>the</w:t>
      </w:r>
      <w:r w:rsidR="00D85948" w:rsidRPr="00D85948">
        <w:t xml:space="preserve"> PGPA Act.</w:t>
      </w:r>
      <w:r w:rsidR="00D85948">
        <w:rPr>
          <w:i/>
        </w:rPr>
        <w:t xml:space="preserve"> </w:t>
      </w:r>
      <w:r>
        <w:t xml:space="preserve"> </w:t>
      </w:r>
    </w:p>
    <w:p w:rsidR="0019704D" w:rsidRDefault="0019704D" w:rsidP="00347EB6">
      <w:pPr>
        <w:rPr>
          <w:b/>
          <w:kern w:val="32"/>
        </w:rPr>
      </w:pPr>
    </w:p>
    <w:p w:rsidR="00D85948" w:rsidRDefault="00D85948">
      <w:pPr>
        <w:spacing w:after="200" w:line="276" w:lineRule="auto"/>
        <w:rPr>
          <w:rFonts w:eastAsiaTheme="majorEastAsia"/>
          <w:b/>
          <w:bCs/>
          <w:sz w:val="28"/>
          <w:szCs w:val="28"/>
        </w:rPr>
      </w:pPr>
      <w:r>
        <w:br w:type="page"/>
      </w:r>
    </w:p>
    <w:p w:rsidR="00D85948" w:rsidRDefault="00D85948" w:rsidP="00D85948">
      <w:pPr>
        <w:pStyle w:val="Heading1"/>
        <w:spacing w:before="360"/>
        <w:rPr>
          <w:rFonts w:ascii="Times New Roman" w:hAnsi="Times New Roman" w:cs="Times New Roman"/>
          <w:color w:val="auto"/>
        </w:rPr>
      </w:pPr>
      <w:bookmarkStart w:id="35" w:name="_Toc390948227"/>
      <w:r w:rsidRPr="002519CB">
        <w:rPr>
          <w:rFonts w:ascii="Times New Roman" w:hAnsi="Times New Roman" w:cs="Times New Roman"/>
          <w:color w:val="auto"/>
        </w:rPr>
        <w:t>NOTES ON SCHEDULE </w:t>
      </w:r>
      <w:r>
        <w:rPr>
          <w:rFonts w:ascii="Times New Roman" w:hAnsi="Times New Roman" w:cs="Times New Roman"/>
          <w:color w:val="auto"/>
        </w:rPr>
        <w:t xml:space="preserve">2 – Appropriation Act </w:t>
      </w:r>
      <w:r w:rsidR="008E18AD">
        <w:rPr>
          <w:rFonts w:ascii="Times New Roman" w:hAnsi="Times New Roman" w:cs="Times New Roman"/>
          <w:color w:val="auto"/>
        </w:rPr>
        <w:t xml:space="preserve">(No.3) </w:t>
      </w:r>
      <w:r>
        <w:rPr>
          <w:rFonts w:ascii="Times New Roman" w:hAnsi="Times New Roman" w:cs="Times New Roman"/>
          <w:color w:val="auto"/>
        </w:rPr>
        <w:t>2012-2013</w:t>
      </w:r>
      <w:bookmarkEnd w:id="35"/>
    </w:p>
    <w:p w:rsidR="00D85948" w:rsidRPr="008D0EC3" w:rsidRDefault="00D85948" w:rsidP="00D85948">
      <w:pPr>
        <w:numPr>
          <w:ilvl w:val="0"/>
          <w:numId w:val="11"/>
        </w:numPr>
        <w:tabs>
          <w:tab w:val="left" w:pos="567"/>
          <w:tab w:val="left" w:pos="1276"/>
          <w:tab w:val="num" w:pos="1920"/>
        </w:tabs>
        <w:spacing w:before="120" w:after="120"/>
        <w:ind w:left="0" w:firstLine="0"/>
        <w:rPr>
          <w:kern w:val="32"/>
        </w:rPr>
      </w:pPr>
      <w:r>
        <w:rPr>
          <w:b/>
          <w:kern w:val="32"/>
        </w:rPr>
        <w:t>Item</w:t>
      </w:r>
      <w:r w:rsidRPr="002519CB">
        <w:rPr>
          <w:b/>
          <w:kern w:val="32"/>
        </w:rPr>
        <w:t xml:space="preserve"> 1 </w:t>
      </w:r>
      <w:r>
        <w:rPr>
          <w:kern w:val="32"/>
        </w:rPr>
        <w:t xml:space="preserve">explains that a reference in Schedule 2 to “Principal Act” means the </w:t>
      </w:r>
      <w:r>
        <w:rPr>
          <w:i/>
          <w:kern w:val="32"/>
        </w:rPr>
        <w:t xml:space="preserve">Appropriation Act </w:t>
      </w:r>
      <w:r w:rsidR="008E18AD">
        <w:rPr>
          <w:i/>
          <w:kern w:val="32"/>
        </w:rPr>
        <w:t xml:space="preserve">(No.3) </w:t>
      </w:r>
      <w:r>
        <w:rPr>
          <w:i/>
          <w:kern w:val="32"/>
        </w:rPr>
        <w:t>2012-2013.</w:t>
      </w:r>
      <w:r>
        <w:rPr>
          <w:kern w:val="32"/>
        </w:rPr>
        <w:t xml:space="preserve"> </w:t>
      </w:r>
      <w:r w:rsidR="003247E4">
        <w:rPr>
          <w:kern w:val="32"/>
        </w:rPr>
        <w:t xml:space="preserve">The </w:t>
      </w:r>
      <w:r w:rsidR="0060450D">
        <w:rPr>
          <w:kern w:val="32"/>
        </w:rPr>
        <w:t>notes on Schedule 2 in this Explanatory Memorandum do</w:t>
      </w:r>
      <w:r w:rsidR="003247E4">
        <w:rPr>
          <w:kern w:val="32"/>
        </w:rPr>
        <w:t xml:space="preserve"> the same.</w:t>
      </w:r>
    </w:p>
    <w:p w:rsidR="00B84C68" w:rsidRPr="00D8594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Items 2 to 5</w:t>
      </w:r>
      <w:r>
        <w:rPr>
          <w:kern w:val="32"/>
        </w:rPr>
        <w:t xml:space="preserve"> would amend definitions in section 3 of the Principal Act to update references to the FMA Act and CAC Act with the equivalent provisions in the PGPA Act.</w:t>
      </w:r>
    </w:p>
    <w:p w:rsidR="006070C2" w:rsidRDefault="00B84C68" w:rsidP="006070C2">
      <w:pPr>
        <w:numPr>
          <w:ilvl w:val="0"/>
          <w:numId w:val="11"/>
        </w:numPr>
        <w:tabs>
          <w:tab w:val="left" w:pos="567"/>
          <w:tab w:val="left" w:pos="1276"/>
          <w:tab w:val="num" w:pos="1920"/>
        </w:tabs>
        <w:spacing w:before="120" w:after="120"/>
        <w:ind w:left="0" w:firstLine="0"/>
        <w:rPr>
          <w:kern w:val="32"/>
        </w:rPr>
      </w:pPr>
      <w:r>
        <w:rPr>
          <w:b/>
          <w:kern w:val="32"/>
        </w:rPr>
        <w:t xml:space="preserve">Item 2 </w:t>
      </w:r>
      <w:r w:rsidR="006070C2">
        <w:rPr>
          <w:kern w:val="32"/>
        </w:rPr>
        <w:t>would amend the definition of “Agency” to replace the reference to “</w:t>
      </w:r>
      <w:r w:rsidR="006070C2" w:rsidRPr="00E6078D">
        <w:rPr>
          <w:kern w:val="32"/>
        </w:rPr>
        <w:t xml:space="preserve">an Agency within the meaning of the </w:t>
      </w:r>
      <w:r w:rsidR="006070C2" w:rsidRPr="00E6078D">
        <w:rPr>
          <w:i/>
          <w:iCs/>
          <w:kern w:val="32"/>
        </w:rPr>
        <w:t>Financial Management and Accountability Act 1997</w:t>
      </w:r>
      <w:r w:rsidR="006070C2">
        <w:rPr>
          <w:i/>
          <w:iCs/>
          <w:kern w:val="32"/>
        </w:rPr>
        <w:t xml:space="preserve">” </w:t>
      </w:r>
      <w:r w:rsidR="006070C2">
        <w:rPr>
          <w:kern w:val="32"/>
        </w:rPr>
        <w:t>to “</w:t>
      </w:r>
      <w:r w:rsidR="006070C2" w:rsidRPr="00C4075E">
        <w:t>a non</w:t>
      </w:r>
      <w:r w:rsidR="006070C2">
        <w:noBreakHyphen/>
      </w:r>
      <w:r w:rsidR="006070C2" w:rsidRPr="00C4075E">
        <w:t xml:space="preserve">corporate Commonwealth entity within the meaning of the </w:t>
      </w:r>
      <w:r w:rsidR="006070C2" w:rsidRPr="00C4075E">
        <w:rPr>
          <w:i/>
        </w:rPr>
        <w:t>Public Governance, Performance and Accountability Act 2013</w:t>
      </w:r>
      <w:r w:rsidR="006070C2">
        <w:t xml:space="preserve">”; or the Australian Competition and Consumer Commission; or </w:t>
      </w:r>
      <w:r w:rsidR="006070C2" w:rsidRPr="004B76B2">
        <w:t>the Australian Human Rights Commission; or</w:t>
      </w:r>
      <w:r w:rsidR="006070C2">
        <w:t xml:space="preserve"> </w:t>
      </w:r>
      <w:r w:rsidR="006070C2" w:rsidRPr="004B76B2">
        <w:t xml:space="preserve">the Australian Pesticides and Veterinary Medicines Authority; </w:t>
      </w:r>
      <w:r w:rsidR="006070C2">
        <w:t xml:space="preserve">or the Australian Securities and Investments Commission; or the Clean Energy Regulator; or the Corporations and Markets Advisory Committee; </w:t>
      </w:r>
      <w:r w:rsidR="006070C2" w:rsidRPr="004B76B2">
        <w:t>or</w:t>
      </w:r>
      <w:r w:rsidR="006070C2">
        <w:t xml:space="preserve"> </w:t>
      </w:r>
      <w:r w:rsidR="006070C2" w:rsidRPr="004B76B2">
        <w:t>the High Court of Australia; or</w:t>
      </w:r>
      <w:r w:rsidR="006070C2">
        <w:t xml:space="preserve"> </w:t>
      </w:r>
      <w:r w:rsidR="006070C2" w:rsidRPr="004B76B2">
        <w:t>the Independent Hospital Pricing Authority; or</w:t>
      </w:r>
      <w:r w:rsidR="006070C2">
        <w:t xml:space="preserve"> </w:t>
      </w:r>
      <w:r w:rsidR="006070C2" w:rsidRPr="004B76B2">
        <w:t>the Murray</w:t>
      </w:r>
      <w:r w:rsidR="006070C2">
        <w:noBreakHyphen/>
      </w:r>
      <w:r w:rsidR="006070C2" w:rsidRPr="004B76B2">
        <w:t>Darling Basin Authority; or</w:t>
      </w:r>
      <w:r w:rsidR="006070C2">
        <w:t xml:space="preserve"> </w:t>
      </w:r>
      <w:r w:rsidR="006070C2" w:rsidRPr="004B76B2">
        <w:t>the National Health Performance Authority; or</w:t>
      </w:r>
      <w:r w:rsidR="006070C2">
        <w:t xml:space="preserve"> </w:t>
      </w:r>
      <w:r w:rsidR="006070C2" w:rsidRPr="004B76B2">
        <w:t>the National Offshore Petroleum Safety and Environmental Management Authority</w:t>
      </w:r>
      <w:r w:rsidR="006070C2">
        <w:t xml:space="preserve">, to recognise FMA Act body corporate entities that are becoming </w:t>
      </w:r>
      <w:r w:rsidR="006070C2" w:rsidRPr="00D0404B">
        <w:t>corporate Commonwealth entities</w:t>
      </w:r>
      <w:r w:rsidR="006070C2">
        <w:t xml:space="preserve">. </w:t>
      </w:r>
    </w:p>
    <w:p w:rsidR="00B84C68" w:rsidRPr="00E6078D"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3</w:t>
      </w:r>
      <w:r w:rsidRPr="002519CB">
        <w:rPr>
          <w:b/>
          <w:kern w:val="32"/>
        </w:rPr>
        <w:t xml:space="preserve"> </w:t>
      </w:r>
      <w:r w:rsidRPr="002519CB">
        <w:rPr>
          <w:kern w:val="32"/>
        </w:rPr>
        <w:t xml:space="preserve">would </w:t>
      </w:r>
      <w:r>
        <w:rPr>
          <w:kern w:val="32"/>
        </w:rPr>
        <w:t xml:space="preserve">amend the definition of “CAC Act body” to replace the reference to “a Commonwealth authority within the meaning of the </w:t>
      </w:r>
      <w:r w:rsidRPr="00E6078D">
        <w:rPr>
          <w:i/>
          <w:iCs/>
          <w:kern w:val="32"/>
        </w:rPr>
        <w:t>Commonwealth Authorities and Companies Act 1997</w:t>
      </w:r>
      <w:r>
        <w:rPr>
          <w:iCs/>
          <w:kern w:val="32"/>
        </w:rPr>
        <w:t>” to “</w:t>
      </w:r>
      <w:r w:rsidRPr="00C4075E">
        <w:t xml:space="preserve">a corporate Commonwealth entity within the meaning of the </w:t>
      </w:r>
      <w:r w:rsidRPr="00C4075E">
        <w:rPr>
          <w:i/>
        </w:rPr>
        <w:t>Public Governance, Performance and Accountability Act 2013</w:t>
      </w:r>
      <w:r>
        <w:t xml:space="preserve">”.  The reference to a Commonwealth company being defined by the CAC Act would also be updated to refer to the PGPA Act. </w:t>
      </w:r>
    </w:p>
    <w:p w:rsidR="00B84C68" w:rsidRPr="00AE5F67"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4</w:t>
      </w:r>
      <w:r>
        <w:rPr>
          <w:b/>
          <w:i/>
          <w:kern w:val="32"/>
        </w:rPr>
        <w:t xml:space="preserve"> </w:t>
      </w:r>
      <w:r w:rsidR="00836A15">
        <w:rPr>
          <w:kern w:val="32"/>
        </w:rPr>
        <w:t xml:space="preserve">would </w:t>
      </w:r>
      <w:r>
        <w:rPr>
          <w:kern w:val="32"/>
        </w:rPr>
        <w:t>define the “</w:t>
      </w:r>
      <w:r w:rsidRPr="00AE5F67">
        <w:rPr>
          <w:kern w:val="32"/>
        </w:rPr>
        <w:t>Chief Executive</w:t>
      </w:r>
      <w:r>
        <w:rPr>
          <w:kern w:val="32"/>
        </w:rPr>
        <w:t>”</w:t>
      </w:r>
      <w:r w:rsidRPr="00AE5F67">
        <w:rPr>
          <w:kern w:val="32"/>
        </w:rPr>
        <w:t xml:space="preserve"> of an Agency </w:t>
      </w:r>
      <w:r>
        <w:rPr>
          <w:kern w:val="32"/>
        </w:rPr>
        <w:t>to mean t</w:t>
      </w:r>
      <w:r w:rsidRPr="00AE5F67">
        <w:rPr>
          <w:kern w:val="32"/>
        </w:rPr>
        <w:t xml:space="preserve">he accountable authority </w:t>
      </w:r>
      <w:r>
        <w:rPr>
          <w:kern w:val="32"/>
        </w:rPr>
        <w:t xml:space="preserve">of the Agency within the meaning of the PGPA Act. </w:t>
      </w:r>
    </w:p>
    <w:p w:rsid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 xml:space="preserve">Item 5 </w:t>
      </w:r>
      <w:r>
        <w:rPr>
          <w:kern w:val="32"/>
        </w:rPr>
        <w:t xml:space="preserve">would update terminology so that a reference to the FMA Act in the definition of “Special Account” would be substituted by a reference to the PGPA Act. </w:t>
      </w:r>
    </w:p>
    <w:p w:rsid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6</w:t>
      </w:r>
      <w:r>
        <w:rPr>
          <w:b/>
          <w:i/>
          <w:kern w:val="32"/>
        </w:rPr>
        <w:t xml:space="preserve"> </w:t>
      </w:r>
      <w:r>
        <w:rPr>
          <w:kern w:val="32"/>
        </w:rPr>
        <w:t xml:space="preserve">would update note 2 to section 6 to explain that sections 30 to 32 of the FMA Act will continue to apply because of the </w:t>
      </w:r>
      <w:r>
        <w:rPr>
          <w:i/>
          <w:kern w:val="32"/>
        </w:rPr>
        <w:t>Public</w:t>
      </w:r>
      <w:r w:rsidRPr="00C4075E">
        <w:rPr>
          <w:i/>
        </w:rPr>
        <w:t xml:space="preserve"> Governance, Performance and Accountability (Consequential and Transitional Provisions) Act 2014</w:t>
      </w:r>
      <w:r>
        <w:rPr>
          <w:kern w:val="32"/>
        </w:rPr>
        <w:t xml:space="preserve">. There would also be an additional note to reference provisions in the PGPA Act that provide for adjustments. </w:t>
      </w:r>
    </w:p>
    <w:p w:rsid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7</w:t>
      </w:r>
      <w:r>
        <w:rPr>
          <w:b/>
          <w:i/>
          <w:kern w:val="32"/>
        </w:rPr>
        <w:t xml:space="preserve"> </w:t>
      </w:r>
      <w:r>
        <w:rPr>
          <w:kern w:val="32"/>
        </w:rPr>
        <w:t xml:space="preserve">would omit the note to section 7 as the PGPA Act does not require </w:t>
      </w:r>
      <w:r w:rsidR="00C21B3B">
        <w:rPr>
          <w:kern w:val="32"/>
        </w:rPr>
        <w:t>drawing rights to access an appropriation.</w:t>
      </w:r>
    </w:p>
    <w:p w:rsid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8</w:t>
      </w:r>
      <w:r>
        <w:rPr>
          <w:kern w:val="32"/>
        </w:rPr>
        <w:t xml:space="preserve"> would omit the note to subsection 8(1) as the PGPA Act does not require </w:t>
      </w:r>
      <w:r w:rsidR="00C21B3B">
        <w:rPr>
          <w:kern w:val="32"/>
        </w:rPr>
        <w:t>drawing rights to access an appropriation.</w:t>
      </w:r>
    </w:p>
    <w:p w:rsid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 xml:space="preserve">Item 9 </w:t>
      </w:r>
      <w:r>
        <w:rPr>
          <w:kern w:val="32"/>
        </w:rPr>
        <w:t xml:space="preserve">would omit the note to subsection 9(1) as the PGPA Act does not require </w:t>
      </w:r>
      <w:r w:rsidR="00C21B3B">
        <w:rPr>
          <w:kern w:val="32"/>
        </w:rPr>
        <w:t>drawing rights to access an appropriation.</w:t>
      </w:r>
    </w:p>
    <w:p w:rsidR="00B84C68" w:rsidRPr="00304BE4" w:rsidRDefault="00B84C68" w:rsidP="00B84C68">
      <w:pPr>
        <w:numPr>
          <w:ilvl w:val="0"/>
          <w:numId w:val="11"/>
        </w:numPr>
        <w:tabs>
          <w:tab w:val="left" w:pos="567"/>
          <w:tab w:val="left" w:pos="1276"/>
          <w:tab w:val="num" w:pos="1920"/>
        </w:tabs>
        <w:spacing w:before="120" w:after="120"/>
        <w:ind w:left="0" w:firstLine="0"/>
        <w:rPr>
          <w:kern w:val="32"/>
        </w:rPr>
      </w:pPr>
      <w:r w:rsidRPr="00304BE4">
        <w:rPr>
          <w:b/>
          <w:kern w:val="32"/>
        </w:rPr>
        <w:t>Item 10</w:t>
      </w:r>
      <w:r w:rsidRPr="00304BE4">
        <w:rPr>
          <w:kern w:val="32"/>
        </w:rPr>
        <w:t xml:space="preserve"> would</w:t>
      </w:r>
      <w:r>
        <w:rPr>
          <w:kern w:val="32"/>
        </w:rPr>
        <w:t xml:space="preserve"> explain that the operation of the Principal Act continues to be affected by those sections of the FMA Act that </w:t>
      </w:r>
      <w:r>
        <w:t xml:space="preserve">continue </w:t>
      </w:r>
      <w:r w:rsidRPr="00C4075E">
        <w:t xml:space="preserve">to apply because of Schedule 2 to the </w:t>
      </w:r>
      <w:r w:rsidRPr="00C4075E">
        <w:rPr>
          <w:i/>
        </w:rPr>
        <w:t>Public Governance, Performance and Accountability (Consequential and Transitional Provisions) Act 2014</w:t>
      </w:r>
      <w:r>
        <w:t>. In addition, the Principal Act is now also affected by</w:t>
      </w:r>
      <w:r w:rsidRPr="00C4075E">
        <w:t xml:space="preserve"> </w:t>
      </w:r>
      <w:r w:rsidRPr="00D85948">
        <w:t>the PGPA Act.</w:t>
      </w:r>
      <w:r>
        <w:rPr>
          <w:i/>
        </w:rPr>
        <w:t xml:space="preserve"> </w:t>
      </w:r>
      <w:r>
        <w:t xml:space="preserve"> </w:t>
      </w:r>
    </w:p>
    <w:p w:rsidR="00B84C68" w:rsidRDefault="00B84C68">
      <w:pPr>
        <w:spacing w:after="200" w:line="276" w:lineRule="auto"/>
        <w:rPr>
          <w:kern w:val="32"/>
        </w:rPr>
      </w:pPr>
      <w:r>
        <w:rPr>
          <w:kern w:val="32"/>
        </w:rPr>
        <w:br w:type="page"/>
      </w:r>
    </w:p>
    <w:p w:rsidR="00B84C68" w:rsidRDefault="00B84C68" w:rsidP="00B84C68">
      <w:pPr>
        <w:pStyle w:val="Heading1"/>
        <w:spacing w:before="360"/>
        <w:rPr>
          <w:rFonts w:ascii="Times New Roman" w:hAnsi="Times New Roman" w:cs="Times New Roman"/>
          <w:color w:val="auto"/>
        </w:rPr>
      </w:pPr>
      <w:bookmarkStart w:id="36" w:name="_Toc390948228"/>
      <w:r w:rsidRPr="002519CB">
        <w:rPr>
          <w:rFonts w:ascii="Times New Roman" w:hAnsi="Times New Roman" w:cs="Times New Roman"/>
          <w:color w:val="auto"/>
        </w:rPr>
        <w:t>NOTES ON SCHEDULE </w:t>
      </w:r>
      <w:r>
        <w:rPr>
          <w:rFonts w:ascii="Times New Roman" w:hAnsi="Times New Roman" w:cs="Times New Roman"/>
          <w:color w:val="auto"/>
        </w:rPr>
        <w:t xml:space="preserve">3 – Appropriation Act </w:t>
      </w:r>
      <w:r w:rsidR="008E18AD">
        <w:rPr>
          <w:rFonts w:ascii="Times New Roman" w:hAnsi="Times New Roman" w:cs="Times New Roman"/>
          <w:color w:val="auto"/>
        </w:rPr>
        <w:t xml:space="preserve">(No.1) </w:t>
      </w:r>
      <w:r>
        <w:rPr>
          <w:rFonts w:ascii="Times New Roman" w:hAnsi="Times New Roman" w:cs="Times New Roman"/>
          <w:color w:val="auto"/>
        </w:rPr>
        <w:t>2013-2014</w:t>
      </w:r>
      <w:bookmarkEnd w:id="36"/>
    </w:p>
    <w:p w:rsidR="00B84C68" w:rsidRPr="008D0EC3" w:rsidRDefault="00B84C68" w:rsidP="00B84C68">
      <w:pPr>
        <w:numPr>
          <w:ilvl w:val="0"/>
          <w:numId w:val="11"/>
        </w:numPr>
        <w:tabs>
          <w:tab w:val="left" w:pos="567"/>
          <w:tab w:val="left" w:pos="1276"/>
          <w:tab w:val="num" w:pos="1920"/>
        </w:tabs>
        <w:spacing w:before="120" w:after="120"/>
        <w:ind w:left="0" w:firstLine="0"/>
        <w:rPr>
          <w:kern w:val="32"/>
        </w:rPr>
      </w:pPr>
      <w:r>
        <w:rPr>
          <w:b/>
          <w:kern w:val="32"/>
        </w:rPr>
        <w:t>Item</w:t>
      </w:r>
      <w:r w:rsidRPr="002519CB">
        <w:rPr>
          <w:b/>
          <w:kern w:val="32"/>
        </w:rPr>
        <w:t xml:space="preserve"> 1 </w:t>
      </w:r>
      <w:r>
        <w:rPr>
          <w:kern w:val="32"/>
        </w:rPr>
        <w:t xml:space="preserve">explains that a reference in Schedule 3 to “Principal Act” means the </w:t>
      </w:r>
      <w:r>
        <w:rPr>
          <w:i/>
          <w:kern w:val="32"/>
        </w:rPr>
        <w:t xml:space="preserve">Appropriation Act </w:t>
      </w:r>
      <w:r w:rsidR="008E18AD">
        <w:rPr>
          <w:i/>
          <w:kern w:val="32"/>
        </w:rPr>
        <w:t xml:space="preserve">(No.1) </w:t>
      </w:r>
      <w:r>
        <w:rPr>
          <w:i/>
          <w:kern w:val="32"/>
        </w:rPr>
        <w:t>2013-2014.</w:t>
      </w:r>
      <w:r>
        <w:rPr>
          <w:kern w:val="32"/>
        </w:rPr>
        <w:t xml:space="preserve"> </w:t>
      </w:r>
      <w:r w:rsidR="00A60F68">
        <w:rPr>
          <w:kern w:val="32"/>
        </w:rPr>
        <w:t xml:space="preserve">The </w:t>
      </w:r>
      <w:r w:rsidR="0060450D">
        <w:rPr>
          <w:kern w:val="32"/>
        </w:rPr>
        <w:t>notes on Schedule 3 in this Explanatory Memorandum do</w:t>
      </w:r>
      <w:r w:rsidR="00A60F68">
        <w:rPr>
          <w:kern w:val="32"/>
        </w:rPr>
        <w:t xml:space="preserve"> the same.</w:t>
      </w:r>
    </w:p>
    <w:p w:rsidR="00B84C68" w:rsidRPr="00D8594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Items 2 to 5</w:t>
      </w:r>
      <w:r>
        <w:rPr>
          <w:kern w:val="32"/>
        </w:rPr>
        <w:t xml:space="preserve"> would amend definitions in section 3 of the Principal Act to update references to the FMA Act and CAC Act with the equivalent provisions in the PGPA Act.</w:t>
      </w:r>
    </w:p>
    <w:p w:rsidR="006070C2" w:rsidRDefault="00B84C68" w:rsidP="006070C2">
      <w:pPr>
        <w:numPr>
          <w:ilvl w:val="0"/>
          <w:numId w:val="11"/>
        </w:numPr>
        <w:tabs>
          <w:tab w:val="left" w:pos="567"/>
          <w:tab w:val="left" w:pos="1276"/>
          <w:tab w:val="num" w:pos="1920"/>
        </w:tabs>
        <w:spacing w:before="120" w:after="120"/>
        <w:ind w:left="0" w:firstLine="0"/>
        <w:rPr>
          <w:kern w:val="32"/>
        </w:rPr>
      </w:pPr>
      <w:r>
        <w:rPr>
          <w:b/>
          <w:kern w:val="32"/>
        </w:rPr>
        <w:t xml:space="preserve">Item 2 </w:t>
      </w:r>
      <w:r w:rsidR="006070C2">
        <w:rPr>
          <w:kern w:val="32"/>
        </w:rPr>
        <w:t>would amend the definition of “Agency” to replace the reference to “</w:t>
      </w:r>
      <w:r w:rsidR="006070C2" w:rsidRPr="00E6078D">
        <w:rPr>
          <w:kern w:val="32"/>
        </w:rPr>
        <w:t xml:space="preserve">an Agency within the meaning of the </w:t>
      </w:r>
      <w:r w:rsidR="006070C2" w:rsidRPr="00E6078D">
        <w:rPr>
          <w:i/>
          <w:iCs/>
          <w:kern w:val="32"/>
        </w:rPr>
        <w:t>Financial Management and Accountability Act 1997</w:t>
      </w:r>
      <w:r w:rsidR="006070C2">
        <w:rPr>
          <w:i/>
          <w:iCs/>
          <w:kern w:val="32"/>
        </w:rPr>
        <w:t xml:space="preserve">” </w:t>
      </w:r>
      <w:r w:rsidR="006070C2">
        <w:rPr>
          <w:kern w:val="32"/>
        </w:rPr>
        <w:t>to “</w:t>
      </w:r>
      <w:r w:rsidR="006070C2" w:rsidRPr="00C4075E">
        <w:t>a non</w:t>
      </w:r>
      <w:r w:rsidR="006070C2">
        <w:noBreakHyphen/>
      </w:r>
      <w:r w:rsidR="006070C2" w:rsidRPr="00C4075E">
        <w:t xml:space="preserve">corporate Commonwealth entity within the meaning of the </w:t>
      </w:r>
      <w:r w:rsidR="006070C2" w:rsidRPr="00C4075E">
        <w:rPr>
          <w:i/>
        </w:rPr>
        <w:t>Public Governance, Performance and Accountability Act 2013</w:t>
      </w:r>
      <w:r w:rsidR="006070C2">
        <w:t xml:space="preserve">”; or the Australian Competition and Consumer Commission; or </w:t>
      </w:r>
      <w:r w:rsidR="006070C2" w:rsidRPr="004B76B2">
        <w:t>the Australian Human Rights Commission; or</w:t>
      </w:r>
      <w:r w:rsidR="006070C2">
        <w:t xml:space="preserve"> </w:t>
      </w:r>
      <w:r w:rsidR="006070C2" w:rsidRPr="004B76B2">
        <w:t xml:space="preserve">the Australian Pesticides and Veterinary Medicines Authority; </w:t>
      </w:r>
      <w:r w:rsidR="006070C2">
        <w:t xml:space="preserve">or the Australian Securities and Investments Commission; or the Clean Energy Regulator; or the Corporations and Markets Advisory Committee; </w:t>
      </w:r>
      <w:r w:rsidR="006070C2" w:rsidRPr="004B76B2">
        <w:t>or</w:t>
      </w:r>
      <w:r w:rsidR="006070C2">
        <w:t xml:space="preserve"> </w:t>
      </w:r>
      <w:r w:rsidR="006070C2" w:rsidRPr="004B76B2">
        <w:t>the High Court of Australia; or</w:t>
      </w:r>
      <w:r w:rsidR="006070C2">
        <w:t xml:space="preserve"> </w:t>
      </w:r>
      <w:r w:rsidR="006070C2" w:rsidRPr="004B76B2">
        <w:t>the Independent Hospital Pricing Authority; or</w:t>
      </w:r>
      <w:r w:rsidR="006070C2">
        <w:t xml:space="preserve"> </w:t>
      </w:r>
      <w:r w:rsidR="006070C2" w:rsidRPr="004B76B2">
        <w:t>the Murray</w:t>
      </w:r>
      <w:r w:rsidR="006070C2">
        <w:noBreakHyphen/>
      </w:r>
      <w:r w:rsidR="006070C2" w:rsidRPr="004B76B2">
        <w:t>Darling Basin Authority; or</w:t>
      </w:r>
      <w:r w:rsidR="006070C2">
        <w:t xml:space="preserve"> </w:t>
      </w:r>
      <w:r w:rsidR="006070C2" w:rsidRPr="004B76B2">
        <w:t>the National Health Performance Authority; or</w:t>
      </w:r>
      <w:r w:rsidR="006070C2">
        <w:t xml:space="preserve"> </w:t>
      </w:r>
      <w:r w:rsidR="006070C2" w:rsidRPr="004B76B2">
        <w:t>the National Offshore Petroleum Safety and Environmental Management Authority</w:t>
      </w:r>
      <w:r w:rsidR="006070C2">
        <w:t xml:space="preserve">, to recognise FMA Act body corporate entities that are becoming </w:t>
      </w:r>
      <w:r w:rsidR="006070C2" w:rsidRPr="00D0404B">
        <w:t>corporate Commonwealth entities</w:t>
      </w:r>
      <w:r w:rsidR="006070C2">
        <w:t xml:space="preserve">. </w:t>
      </w:r>
    </w:p>
    <w:p w:rsidR="00B84C68" w:rsidRPr="00E6078D"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3</w:t>
      </w:r>
      <w:r w:rsidRPr="002519CB">
        <w:rPr>
          <w:b/>
          <w:kern w:val="32"/>
        </w:rPr>
        <w:t xml:space="preserve"> </w:t>
      </w:r>
      <w:r w:rsidRPr="002519CB">
        <w:rPr>
          <w:kern w:val="32"/>
        </w:rPr>
        <w:t xml:space="preserve">would </w:t>
      </w:r>
      <w:r>
        <w:rPr>
          <w:kern w:val="32"/>
        </w:rPr>
        <w:t xml:space="preserve">amend the definition of “CAC Act body” to replace the reference to “a Commonwealth authority within the meaning of the </w:t>
      </w:r>
      <w:r w:rsidRPr="00E6078D">
        <w:rPr>
          <w:i/>
          <w:iCs/>
          <w:kern w:val="32"/>
        </w:rPr>
        <w:t>Commonwealth Authorities and Companies Act 1997</w:t>
      </w:r>
      <w:r>
        <w:rPr>
          <w:iCs/>
          <w:kern w:val="32"/>
        </w:rPr>
        <w:t>” to “</w:t>
      </w:r>
      <w:r w:rsidRPr="00C4075E">
        <w:t xml:space="preserve">a corporate Commonwealth entity within the meaning of the </w:t>
      </w:r>
      <w:r w:rsidRPr="00C4075E">
        <w:rPr>
          <w:i/>
        </w:rPr>
        <w:t>Public Governance, Performance and Accountability Act 2013</w:t>
      </w:r>
      <w:r>
        <w:t xml:space="preserve">”.  The reference to a Commonwealth company being defined by the CAC Act would also be updated to refer to the PGPA Act. </w:t>
      </w:r>
    </w:p>
    <w:p w:rsidR="00B84C68" w:rsidRPr="00AE5F67"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4</w:t>
      </w:r>
      <w:r>
        <w:rPr>
          <w:b/>
          <w:i/>
          <w:kern w:val="32"/>
        </w:rPr>
        <w:t xml:space="preserve"> </w:t>
      </w:r>
      <w:r w:rsidR="00836A15">
        <w:rPr>
          <w:kern w:val="32"/>
        </w:rPr>
        <w:t xml:space="preserve">would </w:t>
      </w:r>
      <w:r>
        <w:rPr>
          <w:kern w:val="32"/>
        </w:rPr>
        <w:t>define the “</w:t>
      </w:r>
      <w:r w:rsidRPr="00AE5F67">
        <w:rPr>
          <w:kern w:val="32"/>
        </w:rPr>
        <w:t>Chief Executive</w:t>
      </w:r>
      <w:r>
        <w:rPr>
          <w:kern w:val="32"/>
        </w:rPr>
        <w:t>”</w:t>
      </w:r>
      <w:r w:rsidRPr="00AE5F67">
        <w:rPr>
          <w:kern w:val="32"/>
        </w:rPr>
        <w:t xml:space="preserve"> of an Agency </w:t>
      </w:r>
      <w:r>
        <w:rPr>
          <w:kern w:val="32"/>
        </w:rPr>
        <w:t>to mean t</w:t>
      </w:r>
      <w:r w:rsidRPr="00AE5F67">
        <w:rPr>
          <w:kern w:val="32"/>
        </w:rPr>
        <w:t xml:space="preserve">he accountable authority </w:t>
      </w:r>
      <w:r>
        <w:rPr>
          <w:kern w:val="32"/>
        </w:rPr>
        <w:t xml:space="preserve">of the Agency within the meaning of the PGPA Act. </w:t>
      </w:r>
    </w:p>
    <w:p w:rsid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 xml:space="preserve">Item 5 </w:t>
      </w:r>
      <w:r>
        <w:rPr>
          <w:kern w:val="32"/>
        </w:rPr>
        <w:t xml:space="preserve">would update terminology so that a reference to the FMA Act in the definition of “Special Account” would be substituted by a reference to the PGPA Act. </w:t>
      </w:r>
    </w:p>
    <w:p w:rsid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6</w:t>
      </w:r>
      <w:r>
        <w:rPr>
          <w:b/>
          <w:i/>
          <w:kern w:val="32"/>
        </w:rPr>
        <w:t xml:space="preserve"> </w:t>
      </w:r>
      <w:r>
        <w:rPr>
          <w:kern w:val="32"/>
        </w:rPr>
        <w:t xml:space="preserve">would update note 2 to section 6 to explain that sections 30 to 32 of the FMA Act will continue to apply because of the </w:t>
      </w:r>
      <w:r>
        <w:rPr>
          <w:i/>
          <w:kern w:val="32"/>
        </w:rPr>
        <w:t>Public</w:t>
      </w:r>
      <w:r w:rsidRPr="00C4075E">
        <w:rPr>
          <w:i/>
        </w:rPr>
        <w:t xml:space="preserve"> Governance, Performance and Accountability (Consequential and Transitional Provisions) Act 2014</w:t>
      </w:r>
      <w:r>
        <w:rPr>
          <w:kern w:val="32"/>
        </w:rPr>
        <w:t xml:space="preserve">. There would also be an additional note to reference provisions in the PGPA Act that provide for adjustments. </w:t>
      </w:r>
    </w:p>
    <w:p w:rsid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7</w:t>
      </w:r>
      <w:r>
        <w:rPr>
          <w:b/>
          <w:i/>
          <w:kern w:val="32"/>
        </w:rPr>
        <w:t xml:space="preserve"> </w:t>
      </w:r>
      <w:r>
        <w:rPr>
          <w:kern w:val="32"/>
        </w:rPr>
        <w:t xml:space="preserve">would omit the note to section 7 as the PGPA Act does not require </w:t>
      </w:r>
      <w:r w:rsidR="00C21B3B">
        <w:rPr>
          <w:kern w:val="32"/>
        </w:rPr>
        <w:t>drawing rights to access an appropriation.</w:t>
      </w:r>
    </w:p>
    <w:p w:rsidR="00B84C68" w:rsidRPr="00C21B3B" w:rsidRDefault="00B84C68" w:rsidP="00C21B3B">
      <w:pPr>
        <w:numPr>
          <w:ilvl w:val="0"/>
          <w:numId w:val="11"/>
        </w:numPr>
        <w:tabs>
          <w:tab w:val="left" w:pos="567"/>
          <w:tab w:val="left" w:pos="1276"/>
          <w:tab w:val="num" w:pos="1920"/>
        </w:tabs>
        <w:spacing w:before="120" w:after="120"/>
        <w:ind w:left="0" w:firstLine="0"/>
        <w:rPr>
          <w:kern w:val="32"/>
        </w:rPr>
      </w:pPr>
      <w:r>
        <w:rPr>
          <w:b/>
          <w:kern w:val="32"/>
        </w:rPr>
        <w:t>Item 8</w:t>
      </w:r>
      <w:r>
        <w:rPr>
          <w:kern w:val="32"/>
        </w:rPr>
        <w:t xml:space="preserve"> would omit the note to subsection 8(1) as the PGPA Act does not require </w:t>
      </w:r>
      <w:r w:rsidR="00C21B3B">
        <w:rPr>
          <w:kern w:val="32"/>
        </w:rPr>
        <w:t>drawing rights to access an appropriation.</w:t>
      </w:r>
    </w:p>
    <w:p w:rsidR="00B84C68" w:rsidRPr="00C21B3B" w:rsidRDefault="00B84C68" w:rsidP="00C21B3B">
      <w:pPr>
        <w:numPr>
          <w:ilvl w:val="0"/>
          <w:numId w:val="11"/>
        </w:numPr>
        <w:tabs>
          <w:tab w:val="left" w:pos="567"/>
          <w:tab w:val="left" w:pos="1276"/>
          <w:tab w:val="num" w:pos="1920"/>
        </w:tabs>
        <w:spacing w:before="120" w:after="120"/>
        <w:ind w:left="0" w:firstLine="0"/>
        <w:rPr>
          <w:kern w:val="32"/>
        </w:rPr>
      </w:pPr>
      <w:r>
        <w:rPr>
          <w:b/>
          <w:kern w:val="32"/>
        </w:rPr>
        <w:t xml:space="preserve">Item 9 </w:t>
      </w:r>
      <w:r>
        <w:rPr>
          <w:kern w:val="32"/>
        </w:rPr>
        <w:t xml:space="preserve">would omit the note to subsection 9(1) as the PGPA Act does not require </w:t>
      </w:r>
      <w:r w:rsidR="00C21B3B">
        <w:rPr>
          <w:kern w:val="32"/>
        </w:rPr>
        <w:t>drawing rights to access an appropriation.</w:t>
      </w:r>
    </w:p>
    <w:p w:rsidR="00B84C68" w:rsidRPr="00304BE4" w:rsidRDefault="00B84C68" w:rsidP="00B84C68">
      <w:pPr>
        <w:numPr>
          <w:ilvl w:val="0"/>
          <w:numId w:val="11"/>
        </w:numPr>
        <w:tabs>
          <w:tab w:val="left" w:pos="567"/>
          <w:tab w:val="left" w:pos="1276"/>
          <w:tab w:val="num" w:pos="1920"/>
        </w:tabs>
        <w:spacing w:before="120" w:after="120"/>
        <w:ind w:left="0" w:firstLine="0"/>
        <w:rPr>
          <w:kern w:val="32"/>
        </w:rPr>
      </w:pPr>
      <w:r w:rsidRPr="00304BE4">
        <w:rPr>
          <w:b/>
          <w:kern w:val="32"/>
        </w:rPr>
        <w:t>Item 10</w:t>
      </w:r>
      <w:r w:rsidRPr="00304BE4">
        <w:rPr>
          <w:kern w:val="32"/>
        </w:rPr>
        <w:t xml:space="preserve"> would</w:t>
      </w:r>
      <w:r>
        <w:rPr>
          <w:kern w:val="32"/>
        </w:rPr>
        <w:t xml:space="preserve"> explain that the operation of the Principal Act continues to be affected by those sections of the FMA Act that </w:t>
      </w:r>
      <w:r>
        <w:t xml:space="preserve">continue </w:t>
      </w:r>
      <w:r w:rsidRPr="00C4075E">
        <w:t xml:space="preserve">to apply because of Schedule 2 to the </w:t>
      </w:r>
      <w:r w:rsidRPr="00C4075E">
        <w:rPr>
          <w:i/>
        </w:rPr>
        <w:t>Public Governance, Performance and Accountability (Consequential and Transitional Provisions) Act 2014</w:t>
      </w:r>
      <w:r>
        <w:t>. In addition, the Principal Act is now also affected by</w:t>
      </w:r>
      <w:r w:rsidRPr="00C4075E">
        <w:t xml:space="preserve"> </w:t>
      </w:r>
      <w:r w:rsidRPr="00D85948">
        <w:t>the PGPA Act.</w:t>
      </w:r>
      <w:r>
        <w:rPr>
          <w:i/>
        </w:rPr>
        <w:t xml:space="preserve"> </w:t>
      </w:r>
      <w:r>
        <w:t xml:space="preserve"> </w:t>
      </w:r>
    </w:p>
    <w:p w:rsidR="00D85948" w:rsidRPr="00D85948" w:rsidRDefault="00D85948" w:rsidP="00B84C68">
      <w:pPr>
        <w:tabs>
          <w:tab w:val="left" w:pos="567"/>
          <w:tab w:val="left" w:pos="1276"/>
        </w:tabs>
        <w:spacing w:before="120" w:after="120"/>
        <w:rPr>
          <w:kern w:val="32"/>
        </w:rPr>
      </w:pPr>
    </w:p>
    <w:p w:rsidR="00B84C68" w:rsidRDefault="00B84C68">
      <w:pPr>
        <w:spacing w:after="200" w:line="276" w:lineRule="auto"/>
        <w:rPr>
          <w:b/>
          <w:kern w:val="32"/>
        </w:rPr>
      </w:pPr>
      <w:r>
        <w:rPr>
          <w:b/>
          <w:kern w:val="32"/>
        </w:rPr>
        <w:br w:type="page"/>
      </w:r>
    </w:p>
    <w:p w:rsidR="00B84C68" w:rsidRDefault="00B84C68" w:rsidP="00B84C68">
      <w:pPr>
        <w:pStyle w:val="Heading1"/>
        <w:spacing w:before="360"/>
        <w:rPr>
          <w:rFonts w:ascii="Times New Roman" w:hAnsi="Times New Roman" w:cs="Times New Roman"/>
          <w:color w:val="auto"/>
        </w:rPr>
      </w:pPr>
      <w:bookmarkStart w:id="37" w:name="_Toc390948229"/>
      <w:r w:rsidRPr="002519CB">
        <w:rPr>
          <w:rFonts w:ascii="Times New Roman" w:hAnsi="Times New Roman" w:cs="Times New Roman"/>
          <w:color w:val="auto"/>
        </w:rPr>
        <w:t>NOTES ON SCHEDULE </w:t>
      </w:r>
      <w:r>
        <w:rPr>
          <w:rFonts w:ascii="Times New Roman" w:hAnsi="Times New Roman" w:cs="Times New Roman"/>
          <w:color w:val="auto"/>
        </w:rPr>
        <w:t xml:space="preserve">4 – Appropriation Act </w:t>
      </w:r>
      <w:r w:rsidR="008E18AD">
        <w:rPr>
          <w:rFonts w:ascii="Times New Roman" w:hAnsi="Times New Roman" w:cs="Times New Roman"/>
          <w:color w:val="auto"/>
        </w:rPr>
        <w:t xml:space="preserve">(No.3) </w:t>
      </w:r>
      <w:r>
        <w:rPr>
          <w:rFonts w:ascii="Times New Roman" w:hAnsi="Times New Roman" w:cs="Times New Roman"/>
          <w:color w:val="auto"/>
        </w:rPr>
        <w:t>2013-2014</w:t>
      </w:r>
      <w:bookmarkEnd w:id="37"/>
    </w:p>
    <w:p w:rsidR="00B84C68" w:rsidRPr="008D0EC3" w:rsidRDefault="00B84C68" w:rsidP="00B84C68">
      <w:pPr>
        <w:numPr>
          <w:ilvl w:val="0"/>
          <w:numId w:val="11"/>
        </w:numPr>
        <w:tabs>
          <w:tab w:val="left" w:pos="567"/>
          <w:tab w:val="left" w:pos="1276"/>
          <w:tab w:val="num" w:pos="1920"/>
        </w:tabs>
        <w:spacing w:before="120" w:after="120"/>
        <w:ind w:left="0" w:firstLine="0"/>
        <w:rPr>
          <w:kern w:val="32"/>
        </w:rPr>
      </w:pPr>
      <w:r>
        <w:rPr>
          <w:b/>
          <w:kern w:val="32"/>
        </w:rPr>
        <w:t>Item</w:t>
      </w:r>
      <w:r w:rsidRPr="002519CB">
        <w:rPr>
          <w:b/>
          <w:kern w:val="32"/>
        </w:rPr>
        <w:t xml:space="preserve"> 1 </w:t>
      </w:r>
      <w:r>
        <w:rPr>
          <w:kern w:val="32"/>
        </w:rPr>
        <w:t xml:space="preserve">explains that a reference in Schedule 4 to “Principal Act” means the </w:t>
      </w:r>
      <w:r>
        <w:rPr>
          <w:i/>
          <w:kern w:val="32"/>
        </w:rPr>
        <w:t xml:space="preserve">Appropriation Act </w:t>
      </w:r>
      <w:r w:rsidR="008E18AD">
        <w:rPr>
          <w:i/>
          <w:kern w:val="32"/>
        </w:rPr>
        <w:t xml:space="preserve">(No.3) </w:t>
      </w:r>
      <w:r>
        <w:rPr>
          <w:i/>
          <w:kern w:val="32"/>
        </w:rPr>
        <w:t>2013-2014.</w:t>
      </w:r>
      <w:r>
        <w:rPr>
          <w:kern w:val="32"/>
        </w:rPr>
        <w:t xml:space="preserve"> </w:t>
      </w:r>
      <w:r w:rsidR="00A60F68">
        <w:rPr>
          <w:kern w:val="32"/>
        </w:rPr>
        <w:t xml:space="preserve">The </w:t>
      </w:r>
      <w:r w:rsidR="0060450D">
        <w:rPr>
          <w:kern w:val="32"/>
        </w:rPr>
        <w:t>notes on Schedule 4 in this Explanatory Memorandum do</w:t>
      </w:r>
      <w:r w:rsidR="00A60F68">
        <w:rPr>
          <w:kern w:val="32"/>
        </w:rPr>
        <w:t xml:space="preserve"> the same.</w:t>
      </w:r>
    </w:p>
    <w:p w:rsidR="00B84C68" w:rsidRPr="00D8594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Items 2 to 5</w:t>
      </w:r>
      <w:r>
        <w:rPr>
          <w:kern w:val="32"/>
        </w:rPr>
        <w:t xml:space="preserve"> would amend definitions in section 3 of the Principal Act to update references to the FMA Act and CAC Act with the equivalent provisions in the PGPA Act.</w:t>
      </w:r>
    </w:p>
    <w:p w:rsidR="006070C2" w:rsidRDefault="00B84C68" w:rsidP="006070C2">
      <w:pPr>
        <w:numPr>
          <w:ilvl w:val="0"/>
          <w:numId w:val="11"/>
        </w:numPr>
        <w:tabs>
          <w:tab w:val="left" w:pos="567"/>
          <w:tab w:val="left" w:pos="1276"/>
          <w:tab w:val="num" w:pos="1920"/>
        </w:tabs>
        <w:spacing w:before="120" w:after="120"/>
        <w:ind w:left="0" w:firstLine="0"/>
        <w:rPr>
          <w:kern w:val="32"/>
        </w:rPr>
      </w:pPr>
      <w:r>
        <w:rPr>
          <w:b/>
          <w:kern w:val="32"/>
        </w:rPr>
        <w:t xml:space="preserve">Item 2 </w:t>
      </w:r>
      <w:r w:rsidR="006070C2">
        <w:rPr>
          <w:kern w:val="32"/>
        </w:rPr>
        <w:t>would amend the definition of “Agency” to replace the reference to “</w:t>
      </w:r>
      <w:r w:rsidR="006070C2" w:rsidRPr="00E6078D">
        <w:rPr>
          <w:kern w:val="32"/>
        </w:rPr>
        <w:t xml:space="preserve">an Agency within the meaning of the </w:t>
      </w:r>
      <w:r w:rsidR="006070C2" w:rsidRPr="00E6078D">
        <w:rPr>
          <w:i/>
          <w:iCs/>
          <w:kern w:val="32"/>
        </w:rPr>
        <w:t>Financial Management and Accountability Act 1997</w:t>
      </w:r>
      <w:r w:rsidR="006070C2">
        <w:rPr>
          <w:i/>
          <w:iCs/>
          <w:kern w:val="32"/>
        </w:rPr>
        <w:t xml:space="preserve">” </w:t>
      </w:r>
      <w:r w:rsidR="006070C2">
        <w:rPr>
          <w:kern w:val="32"/>
        </w:rPr>
        <w:t>to “</w:t>
      </w:r>
      <w:r w:rsidR="006070C2" w:rsidRPr="00C4075E">
        <w:t>a non</w:t>
      </w:r>
      <w:r w:rsidR="006070C2">
        <w:noBreakHyphen/>
      </w:r>
      <w:r w:rsidR="006070C2" w:rsidRPr="00C4075E">
        <w:t xml:space="preserve">corporate Commonwealth entity within the meaning of the </w:t>
      </w:r>
      <w:r w:rsidR="006070C2" w:rsidRPr="00C4075E">
        <w:rPr>
          <w:i/>
        </w:rPr>
        <w:t>Public Governance, Performance and Accountability Act 2013</w:t>
      </w:r>
      <w:r w:rsidR="006070C2">
        <w:t xml:space="preserve">”; or the Australian Competition and Consumer Commission; or </w:t>
      </w:r>
      <w:r w:rsidR="006070C2" w:rsidRPr="004B76B2">
        <w:t>the Australian Human Rights Commission; or</w:t>
      </w:r>
      <w:r w:rsidR="006070C2">
        <w:t xml:space="preserve"> </w:t>
      </w:r>
      <w:r w:rsidR="006070C2" w:rsidRPr="004B76B2">
        <w:t xml:space="preserve">the Australian Pesticides and Veterinary Medicines Authority; </w:t>
      </w:r>
      <w:r w:rsidR="006070C2">
        <w:t xml:space="preserve">or the Australian Securities and Investments Commission; or the Clean Energy Regulator; or the Corporations and Markets Advisory Committee; </w:t>
      </w:r>
      <w:r w:rsidR="006070C2" w:rsidRPr="004B76B2">
        <w:t>or</w:t>
      </w:r>
      <w:r w:rsidR="006070C2">
        <w:t xml:space="preserve"> </w:t>
      </w:r>
      <w:r w:rsidR="006070C2" w:rsidRPr="004B76B2">
        <w:t>the High Court of Australia; or</w:t>
      </w:r>
      <w:r w:rsidR="006070C2">
        <w:t xml:space="preserve"> </w:t>
      </w:r>
      <w:r w:rsidR="006070C2" w:rsidRPr="004B76B2">
        <w:t>the Independent Hospital Pricing Authority; or</w:t>
      </w:r>
      <w:r w:rsidR="006070C2">
        <w:t xml:space="preserve"> </w:t>
      </w:r>
      <w:r w:rsidR="006070C2" w:rsidRPr="004B76B2">
        <w:t>the Murray</w:t>
      </w:r>
      <w:r w:rsidR="006070C2">
        <w:noBreakHyphen/>
      </w:r>
      <w:r w:rsidR="006070C2" w:rsidRPr="004B76B2">
        <w:t>Darling Basin Authority; or</w:t>
      </w:r>
      <w:r w:rsidR="006070C2">
        <w:t xml:space="preserve"> </w:t>
      </w:r>
      <w:r w:rsidR="006070C2" w:rsidRPr="004B76B2">
        <w:t>the National Health Performance Authority; or</w:t>
      </w:r>
      <w:r w:rsidR="006070C2">
        <w:t xml:space="preserve"> </w:t>
      </w:r>
      <w:r w:rsidR="006070C2" w:rsidRPr="004B76B2">
        <w:t>the National Offshore Petroleum Safety and Environmental Management Authority</w:t>
      </w:r>
      <w:r w:rsidR="006070C2">
        <w:t xml:space="preserve">, to recognise FMA Act body corporate entities that are becoming </w:t>
      </w:r>
      <w:r w:rsidR="006070C2" w:rsidRPr="00D0404B">
        <w:t>corporate Commonwealth entities</w:t>
      </w:r>
      <w:r w:rsidR="006070C2">
        <w:t xml:space="preserve">. </w:t>
      </w:r>
    </w:p>
    <w:p w:rsidR="00B84C68" w:rsidRPr="00E6078D"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3</w:t>
      </w:r>
      <w:r w:rsidRPr="002519CB">
        <w:rPr>
          <w:b/>
          <w:kern w:val="32"/>
        </w:rPr>
        <w:t xml:space="preserve"> </w:t>
      </w:r>
      <w:r w:rsidRPr="002519CB">
        <w:rPr>
          <w:kern w:val="32"/>
        </w:rPr>
        <w:t xml:space="preserve">would </w:t>
      </w:r>
      <w:r>
        <w:rPr>
          <w:kern w:val="32"/>
        </w:rPr>
        <w:t xml:space="preserve">amend the definition of “CAC Act body” to replace the reference to “a Commonwealth authority within the meaning of the </w:t>
      </w:r>
      <w:r w:rsidRPr="00E6078D">
        <w:rPr>
          <w:i/>
          <w:iCs/>
          <w:kern w:val="32"/>
        </w:rPr>
        <w:t>Commonwealth Authorities and Companies Act 1997</w:t>
      </w:r>
      <w:r>
        <w:rPr>
          <w:iCs/>
          <w:kern w:val="32"/>
        </w:rPr>
        <w:t>” to “</w:t>
      </w:r>
      <w:r w:rsidRPr="00C4075E">
        <w:t xml:space="preserve">a corporate Commonwealth entity within the meaning of the </w:t>
      </w:r>
      <w:r w:rsidRPr="00C4075E">
        <w:rPr>
          <w:i/>
        </w:rPr>
        <w:t>Public Governance, Performance and Accountability Act 2013</w:t>
      </w:r>
      <w:r>
        <w:t xml:space="preserve">”.  The reference to a Commonwealth company being defined by the CAC Act would also be updated to refer to the PGPA Act. </w:t>
      </w:r>
    </w:p>
    <w:p w:rsidR="00B84C68" w:rsidRPr="00AE5F67"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4</w:t>
      </w:r>
      <w:r>
        <w:rPr>
          <w:b/>
          <w:i/>
          <w:kern w:val="32"/>
        </w:rPr>
        <w:t xml:space="preserve"> </w:t>
      </w:r>
      <w:r w:rsidR="00836A15">
        <w:rPr>
          <w:kern w:val="32"/>
        </w:rPr>
        <w:t xml:space="preserve">would </w:t>
      </w:r>
      <w:r>
        <w:rPr>
          <w:kern w:val="32"/>
        </w:rPr>
        <w:t>define the “</w:t>
      </w:r>
      <w:r w:rsidRPr="00AE5F67">
        <w:rPr>
          <w:kern w:val="32"/>
        </w:rPr>
        <w:t>Chief Executive</w:t>
      </w:r>
      <w:r>
        <w:rPr>
          <w:kern w:val="32"/>
        </w:rPr>
        <w:t>”</w:t>
      </w:r>
      <w:r w:rsidRPr="00AE5F67">
        <w:rPr>
          <w:kern w:val="32"/>
        </w:rPr>
        <w:t xml:space="preserve"> of an Agency </w:t>
      </w:r>
      <w:r>
        <w:rPr>
          <w:kern w:val="32"/>
        </w:rPr>
        <w:t>to mean t</w:t>
      </w:r>
      <w:r w:rsidRPr="00AE5F67">
        <w:rPr>
          <w:kern w:val="32"/>
        </w:rPr>
        <w:t xml:space="preserve">he accountable authority </w:t>
      </w:r>
      <w:r>
        <w:rPr>
          <w:kern w:val="32"/>
        </w:rPr>
        <w:t xml:space="preserve">of the Agency within the meaning of the PGPA Act. </w:t>
      </w:r>
    </w:p>
    <w:p w:rsid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 xml:space="preserve">Item 5 </w:t>
      </w:r>
      <w:r>
        <w:rPr>
          <w:kern w:val="32"/>
        </w:rPr>
        <w:t xml:space="preserve">would update terminology so that a reference to the FMA Act in the definition of “Special Account” would be substituted by a reference to the PGPA Act. </w:t>
      </w:r>
    </w:p>
    <w:p w:rsidR="003D3556" w:rsidRDefault="003D3556" w:rsidP="00B84C68">
      <w:pPr>
        <w:numPr>
          <w:ilvl w:val="0"/>
          <w:numId w:val="11"/>
        </w:numPr>
        <w:tabs>
          <w:tab w:val="left" w:pos="567"/>
          <w:tab w:val="left" w:pos="1276"/>
          <w:tab w:val="num" w:pos="1920"/>
        </w:tabs>
        <w:spacing w:before="120" w:after="120"/>
        <w:ind w:left="0" w:firstLine="0"/>
        <w:rPr>
          <w:kern w:val="32"/>
        </w:rPr>
      </w:pPr>
      <w:r>
        <w:rPr>
          <w:b/>
          <w:kern w:val="32"/>
        </w:rPr>
        <w:t>Item 6</w:t>
      </w:r>
      <w:r w:rsidR="00515825">
        <w:rPr>
          <w:kern w:val="32"/>
        </w:rPr>
        <w:t xml:space="preserve"> </w:t>
      </w:r>
      <w:r w:rsidR="00515825" w:rsidRPr="00622E3B">
        <w:rPr>
          <w:kern w:val="32"/>
        </w:rPr>
        <w:t xml:space="preserve">would </w:t>
      </w:r>
      <w:r w:rsidR="00515825">
        <w:rPr>
          <w:kern w:val="32"/>
        </w:rPr>
        <w:t>update the reference concerning notional payments to the PGPA Act.</w:t>
      </w:r>
    </w:p>
    <w:p w:rsidR="00B84C68" w:rsidRDefault="003D3556" w:rsidP="00B84C68">
      <w:pPr>
        <w:numPr>
          <w:ilvl w:val="0"/>
          <w:numId w:val="11"/>
        </w:numPr>
        <w:tabs>
          <w:tab w:val="left" w:pos="567"/>
          <w:tab w:val="left" w:pos="1276"/>
          <w:tab w:val="num" w:pos="1920"/>
        </w:tabs>
        <w:spacing w:before="120" w:after="120"/>
        <w:ind w:left="0" w:firstLine="0"/>
        <w:rPr>
          <w:kern w:val="32"/>
        </w:rPr>
      </w:pPr>
      <w:r>
        <w:rPr>
          <w:b/>
          <w:kern w:val="32"/>
        </w:rPr>
        <w:t>Item 7</w:t>
      </w:r>
      <w:r w:rsidR="00B84C68">
        <w:rPr>
          <w:b/>
          <w:i/>
          <w:kern w:val="32"/>
        </w:rPr>
        <w:t xml:space="preserve"> </w:t>
      </w:r>
      <w:r w:rsidR="00B84C68">
        <w:rPr>
          <w:kern w:val="32"/>
        </w:rPr>
        <w:t xml:space="preserve">would update note 2 to section 6 to explain that sections 30 to 32 of the FMA Act will continue to apply because of the </w:t>
      </w:r>
      <w:r w:rsidR="00B84C68">
        <w:rPr>
          <w:i/>
          <w:kern w:val="32"/>
        </w:rPr>
        <w:t>Public</w:t>
      </w:r>
      <w:r w:rsidR="00B84C68" w:rsidRPr="00C4075E">
        <w:rPr>
          <w:i/>
        </w:rPr>
        <w:t xml:space="preserve"> Governance, Performance and Accountability (Consequential and Transitional Provisions) Act 2014</w:t>
      </w:r>
      <w:r w:rsidR="00B84C68">
        <w:rPr>
          <w:kern w:val="32"/>
        </w:rPr>
        <w:t xml:space="preserve">. There would also be an additional note to reference provisions in the PGPA Act that provide for adjustments. </w:t>
      </w:r>
    </w:p>
    <w:p w:rsidR="00B84C68" w:rsidRPr="00C21B3B" w:rsidRDefault="00B84C68" w:rsidP="00C21B3B">
      <w:pPr>
        <w:numPr>
          <w:ilvl w:val="0"/>
          <w:numId w:val="11"/>
        </w:numPr>
        <w:tabs>
          <w:tab w:val="left" w:pos="567"/>
          <w:tab w:val="left" w:pos="1276"/>
          <w:tab w:val="num" w:pos="1920"/>
        </w:tabs>
        <w:spacing w:before="120" w:after="120"/>
        <w:ind w:left="0" w:firstLine="0"/>
        <w:rPr>
          <w:kern w:val="32"/>
        </w:rPr>
      </w:pPr>
      <w:r>
        <w:rPr>
          <w:b/>
          <w:kern w:val="32"/>
        </w:rPr>
        <w:t xml:space="preserve">Item </w:t>
      </w:r>
      <w:r w:rsidR="003D3556">
        <w:rPr>
          <w:b/>
          <w:kern w:val="32"/>
        </w:rPr>
        <w:t>8</w:t>
      </w:r>
      <w:r>
        <w:rPr>
          <w:b/>
          <w:i/>
          <w:kern w:val="32"/>
        </w:rPr>
        <w:t xml:space="preserve"> </w:t>
      </w:r>
      <w:r>
        <w:rPr>
          <w:kern w:val="32"/>
        </w:rPr>
        <w:t xml:space="preserve">would omit the note to section 7 as the PGPA Act does not require </w:t>
      </w:r>
      <w:r w:rsidR="00C21B3B">
        <w:rPr>
          <w:kern w:val="32"/>
        </w:rPr>
        <w:t>drawing rights to access an appropriation.</w:t>
      </w:r>
    </w:p>
    <w:p w:rsidR="00B84C68" w:rsidRPr="00C21B3B" w:rsidRDefault="003D3556" w:rsidP="00C21B3B">
      <w:pPr>
        <w:numPr>
          <w:ilvl w:val="0"/>
          <w:numId w:val="11"/>
        </w:numPr>
        <w:tabs>
          <w:tab w:val="left" w:pos="567"/>
          <w:tab w:val="left" w:pos="1276"/>
          <w:tab w:val="num" w:pos="1920"/>
        </w:tabs>
        <w:spacing w:before="120" w:after="120"/>
        <w:ind w:left="0" w:firstLine="0"/>
        <w:rPr>
          <w:kern w:val="32"/>
        </w:rPr>
      </w:pPr>
      <w:r>
        <w:rPr>
          <w:b/>
          <w:kern w:val="32"/>
        </w:rPr>
        <w:t>Item 9</w:t>
      </w:r>
      <w:r w:rsidR="00B84C68">
        <w:rPr>
          <w:kern w:val="32"/>
        </w:rPr>
        <w:t xml:space="preserve"> would omit the note to subsection 8(1) as the PGPA Act does not require </w:t>
      </w:r>
      <w:r w:rsidR="00C21B3B">
        <w:rPr>
          <w:kern w:val="32"/>
        </w:rPr>
        <w:t>drawing rights to access an appropriation.</w:t>
      </w:r>
    </w:p>
    <w:p w:rsidR="00B84C68" w:rsidRPr="00C21B3B" w:rsidRDefault="003D3556" w:rsidP="00C21B3B">
      <w:pPr>
        <w:numPr>
          <w:ilvl w:val="0"/>
          <w:numId w:val="11"/>
        </w:numPr>
        <w:tabs>
          <w:tab w:val="left" w:pos="567"/>
          <w:tab w:val="left" w:pos="1276"/>
          <w:tab w:val="num" w:pos="1920"/>
        </w:tabs>
        <w:spacing w:before="120" w:after="120"/>
        <w:ind w:left="0" w:firstLine="0"/>
        <w:rPr>
          <w:kern w:val="32"/>
        </w:rPr>
      </w:pPr>
      <w:r>
        <w:rPr>
          <w:b/>
          <w:kern w:val="32"/>
        </w:rPr>
        <w:t>Item 10</w:t>
      </w:r>
      <w:r w:rsidR="00B84C68">
        <w:rPr>
          <w:b/>
          <w:kern w:val="32"/>
        </w:rPr>
        <w:t xml:space="preserve"> </w:t>
      </w:r>
      <w:r w:rsidR="00B84C68">
        <w:rPr>
          <w:kern w:val="32"/>
        </w:rPr>
        <w:t xml:space="preserve">would omit the note to subsection 9(1) as the PGPA Act does not require </w:t>
      </w:r>
      <w:r w:rsidR="00C21B3B">
        <w:rPr>
          <w:kern w:val="32"/>
        </w:rPr>
        <w:t>drawing rights to access an appropriation.</w:t>
      </w:r>
    </w:p>
    <w:p w:rsidR="00B84C68" w:rsidRPr="00304BE4" w:rsidRDefault="003D3556" w:rsidP="00B84C68">
      <w:pPr>
        <w:numPr>
          <w:ilvl w:val="0"/>
          <w:numId w:val="11"/>
        </w:numPr>
        <w:tabs>
          <w:tab w:val="left" w:pos="567"/>
          <w:tab w:val="left" w:pos="1276"/>
          <w:tab w:val="num" w:pos="1920"/>
        </w:tabs>
        <w:spacing w:before="120" w:after="120"/>
        <w:ind w:left="0" w:firstLine="0"/>
        <w:rPr>
          <w:kern w:val="32"/>
        </w:rPr>
      </w:pPr>
      <w:r>
        <w:rPr>
          <w:b/>
          <w:kern w:val="32"/>
        </w:rPr>
        <w:t>Item 11</w:t>
      </w:r>
      <w:r w:rsidR="00B84C68" w:rsidRPr="00304BE4">
        <w:rPr>
          <w:kern w:val="32"/>
        </w:rPr>
        <w:t xml:space="preserve"> would</w:t>
      </w:r>
      <w:r w:rsidR="00B84C68">
        <w:rPr>
          <w:kern w:val="32"/>
        </w:rPr>
        <w:t xml:space="preserve"> explain that the operation of the Principal Act continues to be affected by those sections of the FMA Act that </w:t>
      </w:r>
      <w:r w:rsidR="00B84C68">
        <w:t xml:space="preserve">continue </w:t>
      </w:r>
      <w:r w:rsidR="00B84C68" w:rsidRPr="00C4075E">
        <w:t xml:space="preserve">to apply because of Schedule 2 to the </w:t>
      </w:r>
      <w:r w:rsidR="00B84C68" w:rsidRPr="00C4075E">
        <w:rPr>
          <w:i/>
        </w:rPr>
        <w:t>Public Governance, Performance and Accountability (Consequential and Transitional Provisions) Act 2014</w:t>
      </w:r>
      <w:r w:rsidR="00B84C68">
        <w:t>. In addition, the Principal Act is now also affected by</w:t>
      </w:r>
      <w:r w:rsidR="00B84C68" w:rsidRPr="00C4075E">
        <w:t xml:space="preserve"> </w:t>
      </w:r>
      <w:r w:rsidR="00B84C68" w:rsidRPr="00D85948">
        <w:t>the PGPA Act.</w:t>
      </w:r>
      <w:r w:rsidR="00B84C68">
        <w:rPr>
          <w:i/>
        </w:rPr>
        <w:t xml:space="preserve"> </w:t>
      </w:r>
      <w:r w:rsidR="00B84C68">
        <w:t xml:space="preserve"> </w:t>
      </w:r>
    </w:p>
    <w:p w:rsidR="00B84C68" w:rsidRDefault="00B84C68">
      <w:pPr>
        <w:spacing w:after="200" w:line="276" w:lineRule="auto"/>
        <w:rPr>
          <w:b/>
          <w:kern w:val="32"/>
        </w:rPr>
      </w:pPr>
      <w:r>
        <w:rPr>
          <w:b/>
          <w:kern w:val="32"/>
        </w:rPr>
        <w:br w:type="page"/>
      </w:r>
    </w:p>
    <w:p w:rsidR="00B84C68" w:rsidRDefault="00B84C68" w:rsidP="00B84C68">
      <w:pPr>
        <w:pStyle w:val="Heading1"/>
        <w:spacing w:before="360"/>
        <w:rPr>
          <w:rFonts w:ascii="Times New Roman" w:hAnsi="Times New Roman" w:cs="Times New Roman"/>
          <w:color w:val="auto"/>
        </w:rPr>
      </w:pPr>
      <w:bookmarkStart w:id="38" w:name="_Toc390948230"/>
      <w:r w:rsidRPr="002519CB">
        <w:rPr>
          <w:rFonts w:ascii="Times New Roman" w:hAnsi="Times New Roman" w:cs="Times New Roman"/>
          <w:color w:val="auto"/>
        </w:rPr>
        <w:t>NOTES ON SCHEDULE </w:t>
      </w:r>
      <w:r>
        <w:rPr>
          <w:rFonts w:ascii="Times New Roman" w:hAnsi="Times New Roman" w:cs="Times New Roman"/>
          <w:color w:val="auto"/>
        </w:rPr>
        <w:t xml:space="preserve">5 – Appropriation Act </w:t>
      </w:r>
      <w:r w:rsidR="008E18AD">
        <w:rPr>
          <w:rFonts w:ascii="Times New Roman" w:hAnsi="Times New Roman" w:cs="Times New Roman"/>
          <w:color w:val="auto"/>
        </w:rPr>
        <w:t xml:space="preserve">(No.5) </w:t>
      </w:r>
      <w:r>
        <w:rPr>
          <w:rFonts w:ascii="Times New Roman" w:hAnsi="Times New Roman" w:cs="Times New Roman"/>
          <w:color w:val="auto"/>
        </w:rPr>
        <w:t>2013-2014</w:t>
      </w:r>
      <w:bookmarkEnd w:id="38"/>
    </w:p>
    <w:p w:rsidR="00B84C68" w:rsidRPr="008D0EC3" w:rsidRDefault="00B84C68" w:rsidP="00B84C68">
      <w:pPr>
        <w:numPr>
          <w:ilvl w:val="0"/>
          <w:numId w:val="11"/>
        </w:numPr>
        <w:tabs>
          <w:tab w:val="left" w:pos="567"/>
          <w:tab w:val="left" w:pos="1276"/>
          <w:tab w:val="num" w:pos="1920"/>
        </w:tabs>
        <w:spacing w:before="120" w:after="120"/>
        <w:ind w:left="0" w:firstLine="0"/>
        <w:rPr>
          <w:kern w:val="32"/>
        </w:rPr>
      </w:pPr>
      <w:r>
        <w:rPr>
          <w:b/>
          <w:kern w:val="32"/>
        </w:rPr>
        <w:t>Item</w:t>
      </w:r>
      <w:r w:rsidRPr="002519CB">
        <w:rPr>
          <w:b/>
          <w:kern w:val="32"/>
        </w:rPr>
        <w:t xml:space="preserve"> 1 </w:t>
      </w:r>
      <w:r>
        <w:rPr>
          <w:kern w:val="32"/>
        </w:rPr>
        <w:t xml:space="preserve">explains that a reference in Schedule 5 to “Principal Act” means the </w:t>
      </w:r>
      <w:r>
        <w:rPr>
          <w:i/>
          <w:kern w:val="32"/>
        </w:rPr>
        <w:t xml:space="preserve">Appropriation  Act </w:t>
      </w:r>
      <w:r w:rsidR="008E18AD">
        <w:rPr>
          <w:i/>
          <w:kern w:val="32"/>
        </w:rPr>
        <w:t xml:space="preserve">(No.5) </w:t>
      </w:r>
      <w:r>
        <w:rPr>
          <w:i/>
          <w:kern w:val="32"/>
        </w:rPr>
        <w:t>2013-2014.</w:t>
      </w:r>
      <w:r>
        <w:rPr>
          <w:kern w:val="32"/>
        </w:rPr>
        <w:t xml:space="preserve"> </w:t>
      </w:r>
      <w:r w:rsidR="00A60F68">
        <w:rPr>
          <w:kern w:val="32"/>
        </w:rPr>
        <w:t xml:space="preserve">The </w:t>
      </w:r>
      <w:r w:rsidR="0060450D">
        <w:rPr>
          <w:kern w:val="32"/>
        </w:rPr>
        <w:t>notes on Schedule 5 in this Explanatory Memorandum do</w:t>
      </w:r>
      <w:r w:rsidR="00A60F68">
        <w:rPr>
          <w:kern w:val="32"/>
        </w:rPr>
        <w:t xml:space="preserve"> the same.</w:t>
      </w:r>
    </w:p>
    <w:p w:rsidR="00B84C68" w:rsidRPr="00D8594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Items 2 to 5</w:t>
      </w:r>
      <w:r>
        <w:rPr>
          <w:kern w:val="32"/>
        </w:rPr>
        <w:t xml:space="preserve"> would amend definitions in section 3 of the Principal Act to update references to the FMA Act and CAC Act with the equivalent provisions in the PGPA Act.</w:t>
      </w:r>
    </w:p>
    <w:p w:rsidR="006070C2" w:rsidRDefault="00B84C68" w:rsidP="006070C2">
      <w:pPr>
        <w:numPr>
          <w:ilvl w:val="0"/>
          <w:numId w:val="11"/>
        </w:numPr>
        <w:tabs>
          <w:tab w:val="left" w:pos="567"/>
          <w:tab w:val="left" w:pos="1276"/>
          <w:tab w:val="num" w:pos="1920"/>
        </w:tabs>
        <w:spacing w:before="120" w:after="120"/>
        <w:ind w:left="0" w:firstLine="0"/>
        <w:rPr>
          <w:kern w:val="32"/>
        </w:rPr>
      </w:pPr>
      <w:r>
        <w:rPr>
          <w:b/>
          <w:kern w:val="32"/>
        </w:rPr>
        <w:t xml:space="preserve">Item 2 </w:t>
      </w:r>
      <w:r w:rsidR="006070C2">
        <w:rPr>
          <w:kern w:val="32"/>
        </w:rPr>
        <w:t>would amend the definition of “Agency” to replace the reference to “</w:t>
      </w:r>
      <w:r w:rsidR="006070C2" w:rsidRPr="00E6078D">
        <w:rPr>
          <w:kern w:val="32"/>
        </w:rPr>
        <w:t xml:space="preserve">an Agency within the meaning of the </w:t>
      </w:r>
      <w:r w:rsidR="006070C2" w:rsidRPr="00E6078D">
        <w:rPr>
          <w:i/>
          <w:iCs/>
          <w:kern w:val="32"/>
        </w:rPr>
        <w:t>Financial Management and Accountability Act 1997</w:t>
      </w:r>
      <w:r w:rsidR="006070C2">
        <w:rPr>
          <w:i/>
          <w:iCs/>
          <w:kern w:val="32"/>
        </w:rPr>
        <w:t xml:space="preserve">” </w:t>
      </w:r>
      <w:r w:rsidR="006070C2">
        <w:rPr>
          <w:kern w:val="32"/>
        </w:rPr>
        <w:t>to “</w:t>
      </w:r>
      <w:r w:rsidR="006070C2" w:rsidRPr="00C4075E">
        <w:t>a non</w:t>
      </w:r>
      <w:r w:rsidR="006070C2">
        <w:noBreakHyphen/>
      </w:r>
      <w:r w:rsidR="006070C2" w:rsidRPr="00C4075E">
        <w:t xml:space="preserve">corporate Commonwealth entity within the meaning of the </w:t>
      </w:r>
      <w:r w:rsidR="006070C2" w:rsidRPr="00C4075E">
        <w:rPr>
          <w:i/>
        </w:rPr>
        <w:t>Public Governance, Performance and Accountability Act 2013</w:t>
      </w:r>
      <w:r w:rsidR="006070C2">
        <w:t xml:space="preserve">”; or the Australian Competition and Consumer Commission; or </w:t>
      </w:r>
      <w:r w:rsidR="006070C2" w:rsidRPr="004B76B2">
        <w:t>the Australian Human Rights Commission; or</w:t>
      </w:r>
      <w:r w:rsidR="006070C2">
        <w:t xml:space="preserve"> </w:t>
      </w:r>
      <w:r w:rsidR="006070C2" w:rsidRPr="004B76B2">
        <w:t xml:space="preserve">the Australian Pesticides and Veterinary Medicines Authority; </w:t>
      </w:r>
      <w:r w:rsidR="006070C2">
        <w:t xml:space="preserve">or the Australian Securities and Investments Commission; or the Clean Energy Regulator; or the Corporations and Markets Advisory Committee; </w:t>
      </w:r>
      <w:r w:rsidR="006070C2" w:rsidRPr="004B76B2">
        <w:t>or</w:t>
      </w:r>
      <w:r w:rsidR="006070C2">
        <w:t xml:space="preserve"> </w:t>
      </w:r>
      <w:r w:rsidR="006070C2" w:rsidRPr="004B76B2">
        <w:t>the High Court of Australia; or</w:t>
      </w:r>
      <w:r w:rsidR="006070C2">
        <w:t xml:space="preserve"> </w:t>
      </w:r>
      <w:r w:rsidR="006070C2" w:rsidRPr="004B76B2">
        <w:t>the Independent Hospital Pricing Authority; or</w:t>
      </w:r>
      <w:r w:rsidR="006070C2">
        <w:t xml:space="preserve"> </w:t>
      </w:r>
      <w:r w:rsidR="006070C2" w:rsidRPr="004B76B2">
        <w:t>the Murray</w:t>
      </w:r>
      <w:r w:rsidR="006070C2">
        <w:noBreakHyphen/>
      </w:r>
      <w:r w:rsidR="006070C2" w:rsidRPr="004B76B2">
        <w:t>Darling Basin Authority; or</w:t>
      </w:r>
      <w:r w:rsidR="006070C2">
        <w:t xml:space="preserve"> </w:t>
      </w:r>
      <w:r w:rsidR="006070C2" w:rsidRPr="004B76B2">
        <w:t>the National Health Performance Authority; or</w:t>
      </w:r>
      <w:r w:rsidR="006070C2">
        <w:t xml:space="preserve"> </w:t>
      </w:r>
      <w:r w:rsidR="006070C2" w:rsidRPr="004B76B2">
        <w:t>the National Offshore Petroleum Safety and Environmental Management Authority</w:t>
      </w:r>
      <w:r w:rsidR="006070C2">
        <w:t xml:space="preserve">, to recognise FMA Act body corporate entities that are becoming </w:t>
      </w:r>
      <w:r w:rsidR="006070C2" w:rsidRPr="00D0404B">
        <w:t>corporate Commonwealth entities</w:t>
      </w:r>
      <w:r w:rsidR="006070C2">
        <w:t xml:space="preserve">. </w:t>
      </w:r>
    </w:p>
    <w:p w:rsidR="00B84C68" w:rsidRPr="00E6078D"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3</w:t>
      </w:r>
      <w:r w:rsidRPr="002519CB">
        <w:rPr>
          <w:b/>
          <w:kern w:val="32"/>
        </w:rPr>
        <w:t xml:space="preserve"> </w:t>
      </w:r>
      <w:r w:rsidRPr="002519CB">
        <w:rPr>
          <w:kern w:val="32"/>
        </w:rPr>
        <w:t xml:space="preserve">would </w:t>
      </w:r>
      <w:r>
        <w:rPr>
          <w:kern w:val="32"/>
        </w:rPr>
        <w:t xml:space="preserve">amend the definition of “CAC Act body” to replace the reference to “a Commonwealth authority within the meaning of the </w:t>
      </w:r>
      <w:r w:rsidRPr="00E6078D">
        <w:rPr>
          <w:i/>
          <w:iCs/>
          <w:kern w:val="32"/>
        </w:rPr>
        <w:t>Commonwealth Authorities and Companies Act 1997</w:t>
      </w:r>
      <w:r>
        <w:rPr>
          <w:iCs/>
          <w:kern w:val="32"/>
        </w:rPr>
        <w:t>” to “</w:t>
      </w:r>
      <w:r w:rsidRPr="00C4075E">
        <w:t xml:space="preserve">a corporate Commonwealth entity within the meaning of the </w:t>
      </w:r>
      <w:r w:rsidRPr="00C4075E">
        <w:rPr>
          <w:i/>
        </w:rPr>
        <w:t>Public Governance, Performance and Accountability Act 2013</w:t>
      </w:r>
      <w:r>
        <w:t xml:space="preserve">”.  The reference to a Commonwealth company being defined by the CAC Act would also be updated to refer to the PGPA Act. </w:t>
      </w:r>
    </w:p>
    <w:p w:rsidR="00B84C68" w:rsidRPr="00AE5F67"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4</w:t>
      </w:r>
      <w:r>
        <w:rPr>
          <w:b/>
          <w:i/>
          <w:kern w:val="32"/>
        </w:rPr>
        <w:t xml:space="preserve"> </w:t>
      </w:r>
      <w:r w:rsidR="00836A15">
        <w:rPr>
          <w:kern w:val="32"/>
        </w:rPr>
        <w:t xml:space="preserve">would </w:t>
      </w:r>
      <w:r>
        <w:rPr>
          <w:kern w:val="32"/>
        </w:rPr>
        <w:t>define the “</w:t>
      </w:r>
      <w:r w:rsidRPr="00AE5F67">
        <w:rPr>
          <w:kern w:val="32"/>
        </w:rPr>
        <w:t>Chief Executive</w:t>
      </w:r>
      <w:r>
        <w:rPr>
          <w:kern w:val="32"/>
        </w:rPr>
        <w:t>”</w:t>
      </w:r>
      <w:r w:rsidRPr="00AE5F67">
        <w:rPr>
          <w:kern w:val="32"/>
        </w:rPr>
        <w:t xml:space="preserve"> of an Agency </w:t>
      </w:r>
      <w:r>
        <w:rPr>
          <w:kern w:val="32"/>
        </w:rPr>
        <w:t>to mean t</w:t>
      </w:r>
      <w:r w:rsidRPr="00AE5F67">
        <w:rPr>
          <w:kern w:val="32"/>
        </w:rPr>
        <w:t xml:space="preserve">he accountable authority </w:t>
      </w:r>
      <w:r>
        <w:rPr>
          <w:kern w:val="32"/>
        </w:rPr>
        <w:t xml:space="preserve">of the Agency within the meaning of the PGPA Act. </w:t>
      </w:r>
    </w:p>
    <w:p w:rsid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 xml:space="preserve">Item 5 </w:t>
      </w:r>
      <w:r>
        <w:rPr>
          <w:kern w:val="32"/>
        </w:rPr>
        <w:t xml:space="preserve">would update terminology so that a reference to the FMA Act in the definition of “Special Account” would be substituted by a reference to the PGPA Act. </w:t>
      </w:r>
    </w:p>
    <w:p w:rsidR="003D3556" w:rsidRPr="0008399A" w:rsidRDefault="0008399A" w:rsidP="0008399A">
      <w:pPr>
        <w:numPr>
          <w:ilvl w:val="0"/>
          <w:numId w:val="11"/>
        </w:numPr>
        <w:tabs>
          <w:tab w:val="left" w:pos="567"/>
          <w:tab w:val="left" w:pos="1276"/>
          <w:tab w:val="num" w:pos="1920"/>
        </w:tabs>
        <w:spacing w:before="120" w:after="120"/>
        <w:ind w:left="0" w:firstLine="0"/>
        <w:rPr>
          <w:kern w:val="32"/>
        </w:rPr>
      </w:pPr>
      <w:r>
        <w:rPr>
          <w:b/>
          <w:kern w:val="32"/>
        </w:rPr>
        <w:t>Item 6</w:t>
      </w:r>
      <w:r w:rsidR="00515825">
        <w:rPr>
          <w:kern w:val="32"/>
        </w:rPr>
        <w:t xml:space="preserve"> </w:t>
      </w:r>
      <w:r w:rsidR="00515825" w:rsidRPr="00622E3B">
        <w:rPr>
          <w:kern w:val="32"/>
        </w:rPr>
        <w:t xml:space="preserve">would </w:t>
      </w:r>
      <w:r w:rsidR="00515825">
        <w:rPr>
          <w:kern w:val="32"/>
        </w:rPr>
        <w:t>update the reference concerning notional payments to the PGPA Act.</w:t>
      </w:r>
    </w:p>
    <w:p w:rsidR="00B84C68" w:rsidRDefault="0008399A" w:rsidP="00B84C68">
      <w:pPr>
        <w:numPr>
          <w:ilvl w:val="0"/>
          <w:numId w:val="11"/>
        </w:numPr>
        <w:tabs>
          <w:tab w:val="left" w:pos="567"/>
          <w:tab w:val="left" w:pos="1276"/>
          <w:tab w:val="num" w:pos="1920"/>
        </w:tabs>
        <w:spacing w:before="120" w:after="120"/>
        <w:ind w:left="0" w:firstLine="0"/>
        <w:rPr>
          <w:kern w:val="32"/>
        </w:rPr>
      </w:pPr>
      <w:r>
        <w:rPr>
          <w:b/>
          <w:kern w:val="32"/>
        </w:rPr>
        <w:t>Item 7</w:t>
      </w:r>
      <w:r w:rsidR="00B84C68">
        <w:rPr>
          <w:b/>
          <w:i/>
          <w:kern w:val="32"/>
        </w:rPr>
        <w:t xml:space="preserve"> </w:t>
      </w:r>
      <w:r w:rsidR="00B84C68">
        <w:rPr>
          <w:kern w:val="32"/>
        </w:rPr>
        <w:t xml:space="preserve">would update note 2 to section 6 to explain that sections 30 to 32 of the FMA Act will continue to apply because of the </w:t>
      </w:r>
      <w:r w:rsidR="00B84C68">
        <w:rPr>
          <w:i/>
          <w:kern w:val="32"/>
        </w:rPr>
        <w:t>Public</w:t>
      </w:r>
      <w:r w:rsidR="00B84C68" w:rsidRPr="00C4075E">
        <w:rPr>
          <w:i/>
        </w:rPr>
        <w:t xml:space="preserve"> Governance, Performance and Accountability (Consequential and Transitional Provisions) Act 2014</w:t>
      </w:r>
      <w:r w:rsidR="00B84C68">
        <w:rPr>
          <w:kern w:val="32"/>
        </w:rPr>
        <w:t xml:space="preserve">. There would also be an additional note to reference provisions in the PGPA Act that provide for adjustments. </w:t>
      </w:r>
    </w:p>
    <w:p w:rsidR="00B84C68" w:rsidRPr="00C21B3B" w:rsidRDefault="0008399A" w:rsidP="00C21B3B">
      <w:pPr>
        <w:numPr>
          <w:ilvl w:val="0"/>
          <w:numId w:val="11"/>
        </w:numPr>
        <w:tabs>
          <w:tab w:val="left" w:pos="567"/>
          <w:tab w:val="left" w:pos="1276"/>
          <w:tab w:val="num" w:pos="1920"/>
        </w:tabs>
        <w:spacing w:before="120" w:after="120"/>
        <w:ind w:left="0" w:firstLine="0"/>
        <w:rPr>
          <w:kern w:val="32"/>
        </w:rPr>
      </w:pPr>
      <w:r>
        <w:rPr>
          <w:b/>
          <w:kern w:val="32"/>
        </w:rPr>
        <w:t>Item 8</w:t>
      </w:r>
      <w:r w:rsidR="00B84C68">
        <w:rPr>
          <w:b/>
          <w:i/>
          <w:kern w:val="32"/>
        </w:rPr>
        <w:t xml:space="preserve"> </w:t>
      </w:r>
      <w:r w:rsidR="00B84C68">
        <w:rPr>
          <w:kern w:val="32"/>
        </w:rPr>
        <w:t xml:space="preserve">would omit the note to section 7 as the PGPA Act does not require </w:t>
      </w:r>
      <w:r w:rsidR="00C21B3B">
        <w:rPr>
          <w:kern w:val="32"/>
        </w:rPr>
        <w:t>drawing rights to access an appropriation.</w:t>
      </w:r>
    </w:p>
    <w:p w:rsidR="00B84C68" w:rsidRPr="00C21B3B" w:rsidRDefault="0008399A" w:rsidP="00C21B3B">
      <w:pPr>
        <w:numPr>
          <w:ilvl w:val="0"/>
          <w:numId w:val="11"/>
        </w:numPr>
        <w:tabs>
          <w:tab w:val="left" w:pos="567"/>
          <w:tab w:val="left" w:pos="1276"/>
          <w:tab w:val="num" w:pos="1920"/>
        </w:tabs>
        <w:spacing w:before="120" w:after="120"/>
        <w:ind w:left="0" w:firstLine="0"/>
        <w:rPr>
          <w:kern w:val="32"/>
        </w:rPr>
      </w:pPr>
      <w:r>
        <w:rPr>
          <w:b/>
          <w:kern w:val="32"/>
        </w:rPr>
        <w:t>Item 9</w:t>
      </w:r>
      <w:r w:rsidR="00B84C68">
        <w:rPr>
          <w:kern w:val="32"/>
        </w:rPr>
        <w:t xml:space="preserve"> would omit the note to subsection 8(1) as the PGPA Act does not require </w:t>
      </w:r>
      <w:r w:rsidR="00C21B3B">
        <w:rPr>
          <w:kern w:val="32"/>
        </w:rPr>
        <w:t>drawing rights to access an appropriation.</w:t>
      </w:r>
    </w:p>
    <w:p w:rsidR="00B84C68" w:rsidRPr="00C21B3B" w:rsidRDefault="0008399A" w:rsidP="00C21B3B">
      <w:pPr>
        <w:numPr>
          <w:ilvl w:val="0"/>
          <w:numId w:val="11"/>
        </w:numPr>
        <w:tabs>
          <w:tab w:val="left" w:pos="567"/>
          <w:tab w:val="left" w:pos="1276"/>
          <w:tab w:val="num" w:pos="1920"/>
        </w:tabs>
        <w:spacing w:before="120" w:after="120"/>
        <w:ind w:left="0" w:firstLine="0"/>
        <w:rPr>
          <w:kern w:val="32"/>
        </w:rPr>
      </w:pPr>
      <w:r>
        <w:rPr>
          <w:b/>
          <w:kern w:val="32"/>
        </w:rPr>
        <w:t>Item 10</w:t>
      </w:r>
      <w:r w:rsidR="00B84C68">
        <w:rPr>
          <w:b/>
          <w:kern w:val="32"/>
        </w:rPr>
        <w:t xml:space="preserve"> </w:t>
      </w:r>
      <w:r w:rsidR="00B84C68">
        <w:rPr>
          <w:kern w:val="32"/>
        </w:rPr>
        <w:t xml:space="preserve">would omit the note to subsection 9(1) as the PGPA Act does not require </w:t>
      </w:r>
      <w:r w:rsidR="00C21B3B">
        <w:rPr>
          <w:kern w:val="32"/>
        </w:rPr>
        <w:t>drawing rights to access an appropriation.</w:t>
      </w:r>
    </w:p>
    <w:p w:rsidR="00B84C68" w:rsidRPr="00304BE4" w:rsidRDefault="0008399A" w:rsidP="00B84C68">
      <w:pPr>
        <w:numPr>
          <w:ilvl w:val="0"/>
          <w:numId w:val="11"/>
        </w:numPr>
        <w:tabs>
          <w:tab w:val="left" w:pos="567"/>
          <w:tab w:val="left" w:pos="1276"/>
          <w:tab w:val="num" w:pos="1920"/>
        </w:tabs>
        <w:spacing w:before="120" w:after="120"/>
        <w:ind w:left="0" w:firstLine="0"/>
        <w:rPr>
          <w:kern w:val="32"/>
        </w:rPr>
      </w:pPr>
      <w:r>
        <w:rPr>
          <w:b/>
          <w:kern w:val="32"/>
        </w:rPr>
        <w:t>Item 11</w:t>
      </w:r>
      <w:r w:rsidR="00B84C68" w:rsidRPr="00304BE4">
        <w:rPr>
          <w:kern w:val="32"/>
        </w:rPr>
        <w:t xml:space="preserve"> would</w:t>
      </w:r>
      <w:r w:rsidR="00B84C68">
        <w:rPr>
          <w:kern w:val="32"/>
        </w:rPr>
        <w:t xml:space="preserve"> explain that the operation of the Principal Act continues to be affected by those sections of the FMA Act that </w:t>
      </w:r>
      <w:r w:rsidR="00B84C68">
        <w:t xml:space="preserve">continue </w:t>
      </w:r>
      <w:r w:rsidR="00B84C68" w:rsidRPr="00C4075E">
        <w:t xml:space="preserve">to apply because of Schedule 2 to the </w:t>
      </w:r>
      <w:r w:rsidR="00B84C68" w:rsidRPr="00C4075E">
        <w:rPr>
          <w:i/>
        </w:rPr>
        <w:t>Public Governance, Performance and Accountability (Consequential and Transitional Provisions) Act 2014</w:t>
      </w:r>
      <w:r w:rsidR="00B84C68">
        <w:t>. In addition, the Principal Act is now also affected by</w:t>
      </w:r>
      <w:r w:rsidR="00B84C68" w:rsidRPr="00C4075E">
        <w:t xml:space="preserve"> </w:t>
      </w:r>
      <w:r w:rsidR="00B84C68" w:rsidRPr="00D85948">
        <w:t>the PGPA Act.</w:t>
      </w:r>
      <w:r w:rsidR="00B84C68">
        <w:rPr>
          <w:i/>
        </w:rPr>
        <w:t xml:space="preserve"> </w:t>
      </w:r>
      <w:r w:rsidR="00B84C68">
        <w:t xml:space="preserve"> </w:t>
      </w:r>
    </w:p>
    <w:p w:rsidR="00B84C68" w:rsidRDefault="00B84C68">
      <w:pPr>
        <w:spacing w:after="200" w:line="276" w:lineRule="auto"/>
        <w:rPr>
          <w:b/>
          <w:kern w:val="32"/>
        </w:rPr>
      </w:pPr>
      <w:r>
        <w:rPr>
          <w:b/>
          <w:kern w:val="32"/>
        </w:rPr>
        <w:br w:type="page"/>
      </w:r>
    </w:p>
    <w:p w:rsidR="00B84C68" w:rsidRDefault="00B84C68" w:rsidP="00B84C68">
      <w:pPr>
        <w:pStyle w:val="Heading1"/>
        <w:spacing w:before="360"/>
        <w:rPr>
          <w:rFonts w:ascii="Times New Roman" w:hAnsi="Times New Roman" w:cs="Times New Roman"/>
          <w:color w:val="auto"/>
        </w:rPr>
      </w:pPr>
      <w:bookmarkStart w:id="39" w:name="_Toc390948231"/>
      <w:r w:rsidRPr="002519CB">
        <w:rPr>
          <w:rFonts w:ascii="Times New Roman" w:hAnsi="Times New Roman" w:cs="Times New Roman"/>
          <w:color w:val="auto"/>
        </w:rPr>
        <w:t>NOTES ON SCHEDULE </w:t>
      </w:r>
      <w:r>
        <w:rPr>
          <w:rFonts w:ascii="Times New Roman" w:hAnsi="Times New Roman" w:cs="Times New Roman"/>
          <w:color w:val="auto"/>
        </w:rPr>
        <w:t xml:space="preserve">6 – Appropriation Act </w:t>
      </w:r>
      <w:r w:rsidR="008E18AD">
        <w:rPr>
          <w:rFonts w:ascii="Times New Roman" w:hAnsi="Times New Roman" w:cs="Times New Roman"/>
          <w:color w:val="auto"/>
        </w:rPr>
        <w:t xml:space="preserve">(No.1) </w:t>
      </w:r>
      <w:r>
        <w:rPr>
          <w:rFonts w:ascii="Times New Roman" w:hAnsi="Times New Roman" w:cs="Times New Roman"/>
          <w:color w:val="auto"/>
        </w:rPr>
        <w:t>2014-2015</w:t>
      </w:r>
      <w:bookmarkEnd w:id="39"/>
    </w:p>
    <w:p w:rsidR="00B84C68" w:rsidRPr="008D0EC3" w:rsidRDefault="00B84C68" w:rsidP="00B84C68">
      <w:pPr>
        <w:numPr>
          <w:ilvl w:val="0"/>
          <w:numId w:val="11"/>
        </w:numPr>
        <w:tabs>
          <w:tab w:val="left" w:pos="567"/>
          <w:tab w:val="left" w:pos="1276"/>
          <w:tab w:val="num" w:pos="1920"/>
        </w:tabs>
        <w:spacing w:before="120" w:after="120"/>
        <w:ind w:left="0" w:firstLine="0"/>
        <w:rPr>
          <w:kern w:val="32"/>
        </w:rPr>
      </w:pPr>
      <w:r>
        <w:rPr>
          <w:b/>
          <w:kern w:val="32"/>
        </w:rPr>
        <w:t>Item</w:t>
      </w:r>
      <w:r w:rsidRPr="002519CB">
        <w:rPr>
          <w:b/>
          <w:kern w:val="32"/>
        </w:rPr>
        <w:t xml:space="preserve"> 1 </w:t>
      </w:r>
      <w:r>
        <w:rPr>
          <w:kern w:val="32"/>
        </w:rPr>
        <w:t xml:space="preserve">explains that a reference in Schedule 6 to “Principal Act” means the </w:t>
      </w:r>
      <w:r>
        <w:rPr>
          <w:i/>
          <w:kern w:val="32"/>
        </w:rPr>
        <w:t xml:space="preserve">Appropriation Act </w:t>
      </w:r>
      <w:r w:rsidR="008E18AD">
        <w:rPr>
          <w:i/>
          <w:kern w:val="32"/>
        </w:rPr>
        <w:t xml:space="preserve">(No.1) </w:t>
      </w:r>
      <w:r>
        <w:rPr>
          <w:i/>
          <w:kern w:val="32"/>
        </w:rPr>
        <w:t>2014-2015.</w:t>
      </w:r>
      <w:r>
        <w:rPr>
          <w:kern w:val="32"/>
        </w:rPr>
        <w:t xml:space="preserve"> </w:t>
      </w:r>
      <w:r w:rsidR="00A60F68">
        <w:rPr>
          <w:kern w:val="32"/>
        </w:rPr>
        <w:t xml:space="preserve">The </w:t>
      </w:r>
      <w:r w:rsidR="0060450D">
        <w:rPr>
          <w:kern w:val="32"/>
        </w:rPr>
        <w:t>notes on Schedule 6 in this Explanatory Memorandum do</w:t>
      </w:r>
      <w:r w:rsidR="00A60F68">
        <w:rPr>
          <w:kern w:val="32"/>
        </w:rPr>
        <w:t xml:space="preserve"> the same.</w:t>
      </w:r>
    </w:p>
    <w:p w:rsidR="00B84C68" w:rsidRPr="00D8594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Items 2 to 4</w:t>
      </w:r>
      <w:r>
        <w:rPr>
          <w:kern w:val="32"/>
        </w:rPr>
        <w:t xml:space="preserve"> would amend definitions in section 3 of the Principal Act to update references to the FMA Act and CAC Act with the equivalent provisions in the PGPA Act.</w:t>
      </w:r>
    </w:p>
    <w:p w:rsidR="006070C2" w:rsidRDefault="00B84C68" w:rsidP="006070C2">
      <w:pPr>
        <w:numPr>
          <w:ilvl w:val="0"/>
          <w:numId w:val="11"/>
        </w:numPr>
        <w:tabs>
          <w:tab w:val="left" w:pos="567"/>
          <w:tab w:val="left" w:pos="1276"/>
          <w:tab w:val="num" w:pos="1920"/>
        </w:tabs>
        <w:spacing w:before="120" w:after="120"/>
        <w:ind w:left="0" w:firstLine="0"/>
        <w:rPr>
          <w:kern w:val="32"/>
        </w:rPr>
      </w:pPr>
      <w:r>
        <w:rPr>
          <w:b/>
          <w:kern w:val="32"/>
        </w:rPr>
        <w:t xml:space="preserve">Item 2 </w:t>
      </w:r>
      <w:r w:rsidR="006070C2">
        <w:rPr>
          <w:kern w:val="32"/>
        </w:rPr>
        <w:t>would amend the definition of “Agency” to replace the reference to “</w:t>
      </w:r>
      <w:r w:rsidR="006070C2" w:rsidRPr="00E6078D">
        <w:rPr>
          <w:kern w:val="32"/>
        </w:rPr>
        <w:t xml:space="preserve">an Agency within the meaning of the </w:t>
      </w:r>
      <w:r w:rsidR="006070C2" w:rsidRPr="00E6078D">
        <w:rPr>
          <w:i/>
          <w:iCs/>
          <w:kern w:val="32"/>
        </w:rPr>
        <w:t>Financial Management and Accountability Act 1997</w:t>
      </w:r>
      <w:r w:rsidR="006070C2">
        <w:rPr>
          <w:i/>
          <w:iCs/>
          <w:kern w:val="32"/>
        </w:rPr>
        <w:t xml:space="preserve">” </w:t>
      </w:r>
      <w:r w:rsidR="006070C2">
        <w:rPr>
          <w:kern w:val="32"/>
        </w:rPr>
        <w:t>to “</w:t>
      </w:r>
      <w:r w:rsidR="006070C2" w:rsidRPr="00C4075E">
        <w:t>a non</w:t>
      </w:r>
      <w:r w:rsidR="006070C2">
        <w:noBreakHyphen/>
      </w:r>
      <w:r w:rsidR="006070C2" w:rsidRPr="00C4075E">
        <w:t xml:space="preserve">corporate Commonwealth entity within the meaning of the </w:t>
      </w:r>
      <w:r w:rsidR="006070C2" w:rsidRPr="00C4075E">
        <w:rPr>
          <w:i/>
        </w:rPr>
        <w:t>Public Governance, Performance and Accountability Act 2013</w:t>
      </w:r>
      <w:r w:rsidR="006070C2">
        <w:t xml:space="preserve">”; or the Australian Competition and Consumer Commission; or </w:t>
      </w:r>
      <w:r w:rsidR="006070C2" w:rsidRPr="004B76B2">
        <w:t>the Australian Human Rights Commission; or</w:t>
      </w:r>
      <w:r w:rsidR="006070C2">
        <w:t xml:space="preserve"> </w:t>
      </w:r>
      <w:r w:rsidR="006070C2" w:rsidRPr="004B76B2">
        <w:t xml:space="preserve">the Australian Pesticides and Veterinary Medicines Authority; </w:t>
      </w:r>
      <w:r w:rsidR="006070C2">
        <w:t xml:space="preserve">or the Australian Securities and Investments Commission; or the Clean Energy Regulator; or the Corporations and Markets Advisory Committee; </w:t>
      </w:r>
      <w:r w:rsidR="006070C2" w:rsidRPr="004B76B2">
        <w:t>or</w:t>
      </w:r>
      <w:r w:rsidR="006070C2">
        <w:t xml:space="preserve"> </w:t>
      </w:r>
      <w:r w:rsidR="006070C2" w:rsidRPr="004B76B2">
        <w:t>the High Court of Australia; or</w:t>
      </w:r>
      <w:r w:rsidR="006070C2">
        <w:t xml:space="preserve"> </w:t>
      </w:r>
      <w:r w:rsidR="006070C2" w:rsidRPr="004B76B2">
        <w:t>the Independent Hospital Pricing Authority; or</w:t>
      </w:r>
      <w:r w:rsidR="006070C2">
        <w:t xml:space="preserve"> </w:t>
      </w:r>
      <w:r w:rsidR="006070C2" w:rsidRPr="004B76B2">
        <w:t>the Murray</w:t>
      </w:r>
      <w:r w:rsidR="006070C2">
        <w:noBreakHyphen/>
      </w:r>
      <w:r w:rsidR="006070C2" w:rsidRPr="004B76B2">
        <w:t>Darling Basin Authority; or</w:t>
      </w:r>
      <w:r w:rsidR="006070C2">
        <w:t xml:space="preserve"> </w:t>
      </w:r>
      <w:r w:rsidR="006070C2" w:rsidRPr="004B76B2">
        <w:t>the National Health Performance Authority; or</w:t>
      </w:r>
      <w:r w:rsidR="006070C2">
        <w:t xml:space="preserve"> </w:t>
      </w:r>
      <w:r w:rsidR="006070C2" w:rsidRPr="004B76B2">
        <w:t>the National Offshore Petroleum Safety and Environmental Management Authority</w:t>
      </w:r>
      <w:r w:rsidR="006070C2">
        <w:t xml:space="preserve">, to recognise FMA Act body corporate entities that are becoming </w:t>
      </w:r>
      <w:r w:rsidR="006070C2" w:rsidRPr="00D0404B">
        <w:t>corporate Commonwealth entities</w:t>
      </w:r>
      <w:r w:rsidR="006070C2">
        <w:t xml:space="preserve">. </w:t>
      </w:r>
    </w:p>
    <w:p w:rsidR="00B84C68" w:rsidRPr="00E6078D"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3</w:t>
      </w:r>
      <w:r w:rsidRPr="002519CB">
        <w:rPr>
          <w:b/>
          <w:kern w:val="32"/>
        </w:rPr>
        <w:t xml:space="preserve"> </w:t>
      </w:r>
      <w:r w:rsidRPr="002519CB">
        <w:rPr>
          <w:kern w:val="32"/>
        </w:rPr>
        <w:t xml:space="preserve">would </w:t>
      </w:r>
      <w:r>
        <w:rPr>
          <w:kern w:val="32"/>
        </w:rPr>
        <w:t xml:space="preserve">amend the definition of “CAC Act body” to replace the reference to “a Commonwealth authority within the meaning of the </w:t>
      </w:r>
      <w:r w:rsidRPr="00E6078D">
        <w:rPr>
          <w:i/>
          <w:iCs/>
          <w:kern w:val="32"/>
        </w:rPr>
        <w:t>Commonwealth Authorities and Companies Act 1997</w:t>
      </w:r>
      <w:r>
        <w:rPr>
          <w:iCs/>
          <w:kern w:val="32"/>
        </w:rPr>
        <w:t>” to “</w:t>
      </w:r>
      <w:r w:rsidRPr="00C4075E">
        <w:t xml:space="preserve">a corporate Commonwealth entity within the meaning of the </w:t>
      </w:r>
      <w:r w:rsidRPr="00C4075E">
        <w:rPr>
          <w:i/>
        </w:rPr>
        <w:t>Public Governance, Performance and Accountability Act 2013</w:t>
      </w:r>
      <w:r>
        <w:t xml:space="preserve">”.  The reference to a Commonwealth company being defined by the CAC Act would also be updated to refer to the PGPA Act. </w:t>
      </w:r>
    </w:p>
    <w:p w:rsidR="00B84C68" w:rsidRP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4</w:t>
      </w:r>
      <w:r>
        <w:rPr>
          <w:b/>
          <w:i/>
          <w:kern w:val="32"/>
        </w:rPr>
        <w:t xml:space="preserve"> </w:t>
      </w:r>
      <w:r w:rsidRPr="00B84C68">
        <w:rPr>
          <w:kern w:val="32"/>
        </w:rPr>
        <w:t xml:space="preserve">would update terminology so that a reference to the FMA Act in the definition of “Special Account” would be substituted by a reference to the PGPA Act. </w:t>
      </w:r>
    </w:p>
    <w:p w:rsidR="00B84C68" w:rsidRDefault="00B84C68" w:rsidP="00B84C68">
      <w:pPr>
        <w:numPr>
          <w:ilvl w:val="0"/>
          <w:numId w:val="11"/>
        </w:numPr>
        <w:tabs>
          <w:tab w:val="left" w:pos="567"/>
          <w:tab w:val="left" w:pos="1276"/>
          <w:tab w:val="num" w:pos="1920"/>
        </w:tabs>
        <w:spacing w:before="120" w:after="120"/>
        <w:ind w:left="0" w:firstLine="0"/>
        <w:rPr>
          <w:kern w:val="32"/>
        </w:rPr>
      </w:pPr>
      <w:r>
        <w:rPr>
          <w:b/>
          <w:kern w:val="32"/>
        </w:rPr>
        <w:t>Item 5</w:t>
      </w:r>
      <w:r>
        <w:rPr>
          <w:b/>
          <w:i/>
          <w:kern w:val="32"/>
        </w:rPr>
        <w:t xml:space="preserve"> </w:t>
      </w:r>
      <w:r>
        <w:rPr>
          <w:kern w:val="32"/>
        </w:rPr>
        <w:t xml:space="preserve">would update note 2 to section 6 to explain that sections 30 to 32 of the FMA Act will continue to apply because of the </w:t>
      </w:r>
      <w:r>
        <w:rPr>
          <w:i/>
          <w:kern w:val="32"/>
        </w:rPr>
        <w:t>Public</w:t>
      </w:r>
      <w:r w:rsidRPr="00C4075E">
        <w:rPr>
          <w:i/>
        </w:rPr>
        <w:t xml:space="preserve"> Governance, Performance and Accountability (Consequential and Transitional Provisions) Act 2014</w:t>
      </w:r>
      <w:r>
        <w:rPr>
          <w:kern w:val="32"/>
        </w:rPr>
        <w:t xml:space="preserve">. There would also be an additional note to reference provisions in the PGPA Act that provide for adjustments. </w:t>
      </w:r>
    </w:p>
    <w:p w:rsidR="00B84C68" w:rsidRPr="00C21B3B" w:rsidRDefault="00B84C68" w:rsidP="00C21B3B">
      <w:pPr>
        <w:numPr>
          <w:ilvl w:val="0"/>
          <w:numId w:val="11"/>
        </w:numPr>
        <w:tabs>
          <w:tab w:val="left" w:pos="567"/>
          <w:tab w:val="left" w:pos="1276"/>
          <w:tab w:val="num" w:pos="1920"/>
        </w:tabs>
        <w:spacing w:before="120" w:after="120"/>
        <w:ind w:left="0" w:firstLine="0"/>
        <w:rPr>
          <w:kern w:val="32"/>
        </w:rPr>
      </w:pPr>
      <w:r>
        <w:rPr>
          <w:b/>
          <w:kern w:val="32"/>
        </w:rPr>
        <w:t>Item 6</w:t>
      </w:r>
      <w:r>
        <w:rPr>
          <w:b/>
          <w:i/>
          <w:kern w:val="32"/>
        </w:rPr>
        <w:t xml:space="preserve"> </w:t>
      </w:r>
      <w:r>
        <w:rPr>
          <w:kern w:val="32"/>
        </w:rPr>
        <w:t xml:space="preserve">would omit the note to section 7 as the PGPA Act does not require </w:t>
      </w:r>
      <w:r w:rsidR="00C21B3B">
        <w:rPr>
          <w:kern w:val="32"/>
        </w:rPr>
        <w:t>drawing rights to access an appropriation.</w:t>
      </w:r>
    </w:p>
    <w:p w:rsidR="00B84C68" w:rsidRPr="00C21B3B" w:rsidRDefault="00B84C68" w:rsidP="00C21B3B">
      <w:pPr>
        <w:numPr>
          <w:ilvl w:val="0"/>
          <w:numId w:val="11"/>
        </w:numPr>
        <w:tabs>
          <w:tab w:val="left" w:pos="567"/>
          <w:tab w:val="left" w:pos="1276"/>
          <w:tab w:val="num" w:pos="1920"/>
        </w:tabs>
        <w:spacing w:before="120" w:after="120"/>
        <w:ind w:left="0" w:firstLine="0"/>
        <w:rPr>
          <w:kern w:val="32"/>
        </w:rPr>
      </w:pPr>
      <w:r>
        <w:rPr>
          <w:b/>
          <w:kern w:val="32"/>
        </w:rPr>
        <w:t>Item 7</w:t>
      </w:r>
      <w:r>
        <w:rPr>
          <w:kern w:val="32"/>
        </w:rPr>
        <w:t xml:space="preserve"> would omit the note to subsection 8(1) as the PGPA Act does not require </w:t>
      </w:r>
      <w:r w:rsidR="00C21B3B">
        <w:rPr>
          <w:kern w:val="32"/>
        </w:rPr>
        <w:t>drawing rights to access an appropriation.</w:t>
      </w:r>
    </w:p>
    <w:p w:rsidR="00B84C68" w:rsidRPr="00B86F37" w:rsidRDefault="00B84C68" w:rsidP="00B84C68">
      <w:pPr>
        <w:numPr>
          <w:ilvl w:val="0"/>
          <w:numId w:val="11"/>
        </w:numPr>
        <w:tabs>
          <w:tab w:val="left" w:pos="567"/>
          <w:tab w:val="left" w:pos="1276"/>
          <w:tab w:val="num" w:pos="1920"/>
        </w:tabs>
        <w:spacing w:before="120" w:after="120"/>
        <w:ind w:left="0" w:firstLine="0"/>
        <w:rPr>
          <w:kern w:val="32"/>
        </w:rPr>
      </w:pPr>
      <w:r w:rsidRPr="00B86F37">
        <w:rPr>
          <w:b/>
          <w:kern w:val="32"/>
        </w:rPr>
        <w:t>Item 8</w:t>
      </w:r>
      <w:r w:rsidR="00B84845" w:rsidRPr="00B86F37">
        <w:rPr>
          <w:kern w:val="32"/>
        </w:rPr>
        <w:t xml:space="preserve"> would clarify that </w:t>
      </w:r>
      <w:r w:rsidR="004B3C27" w:rsidRPr="00B86F37">
        <w:rPr>
          <w:kern w:val="32"/>
        </w:rPr>
        <w:t>sub</w:t>
      </w:r>
      <w:r w:rsidR="00B84845" w:rsidRPr="00B86F37">
        <w:rPr>
          <w:kern w:val="32"/>
        </w:rPr>
        <w:t>section 9</w:t>
      </w:r>
      <w:r w:rsidR="004B3C27" w:rsidRPr="00B86F37">
        <w:rPr>
          <w:kern w:val="32"/>
        </w:rPr>
        <w:t>(1)</w:t>
      </w:r>
      <w:r w:rsidR="00B84845" w:rsidRPr="00B86F37">
        <w:rPr>
          <w:kern w:val="32"/>
        </w:rPr>
        <w:t xml:space="preserve"> provides for direct appropriations of money for CAC Act bodies to be paid </w:t>
      </w:r>
      <w:r w:rsidR="004B3C27" w:rsidRPr="00B86F37">
        <w:rPr>
          <w:kern w:val="32"/>
        </w:rPr>
        <w:t xml:space="preserve">directly </w:t>
      </w:r>
      <w:r w:rsidR="00B84845" w:rsidRPr="00B86F37">
        <w:rPr>
          <w:kern w:val="32"/>
        </w:rPr>
        <w:t xml:space="preserve">from the CRF. </w:t>
      </w:r>
    </w:p>
    <w:p w:rsidR="00B84C68" w:rsidRPr="00C21B3B" w:rsidRDefault="00B84C68" w:rsidP="00C21B3B">
      <w:pPr>
        <w:numPr>
          <w:ilvl w:val="0"/>
          <w:numId w:val="11"/>
        </w:numPr>
        <w:tabs>
          <w:tab w:val="left" w:pos="567"/>
          <w:tab w:val="left" w:pos="1276"/>
          <w:tab w:val="num" w:pos="1920"/>
        </w:tabs>
        <w:spacing w:before="120" w:after="120"/>
        <w:ind w:left="0" w:firstLine="0"/>
        <w:rPr>
          <w:kern w:val="32"/>
        </w:rPr>
      </w:pPr>
      <w:r>
        <w:rPr>
          <w:b/>
          <w:kern w:val="32"/>
        </w:rPr>
        <w:t xml:space="preserve">Item 9 </w:t>
      </w:r>
      <w:r>
        <w:rPr>
          <w:kern w:val="32"/>
        </w:rPr>
        <w:t>would omit the note to subsection 9(1) as the PGPA Act does not require</w:t>
      </w:r>
      <w:r w:rsidR="00C21B3B">
        <w:rPr>
          <w:kern w:val="32"/>
        </w:rPr>
        <w:t xml:space="preserve"> drawing rights to access an appropriation.</w:t>
      </w:r>
    </w:p>
    <w:p w:rsidR="00B84C68" w:rsidRPr="00304BE4" w:rsidRDefault="00B84C68" w:rsidP="00B84C68">
      <w:pPr>
        <w:numPr>
          <w:ilvl w:val="0"/>
          <w:numId w:val="11"/>
        </w:numPr>
        <w:tabs>
          <w:tab w:val="left" w:pos="567"/>
          <w:tab w:val="left" w:pos="1276"/>
          <w:tab w:val="num" w:pos="1920"/>
        </w:tabs>
        <w:spacing w:before="120" w:after="120"/>
        <w:ind w:left="0" w:firstLine="0"/>
        <w:rPr>
          <w:kern w:val="32"/>
        </w:rPr>
      </w:pPr>
      <w:r w:rsidRPr="00304BE4">
        <w:rPr>
          <w:b/>
          <w:kern w:val="32"/>
        </w:rPr>
        <w:t>Item 10</w:t>
      </w:r>
      <w:r w:rsidRPr="00304BE4">
        <w:rPr>
          <w:kern w:val="32"/>
        </w:rPr>
        <w:t xml:space="preserve"> would</w:t>
      </w:r>
      <w:r>
        <w:rPr>
          <w:kern w:val="32"/>
        </w:rPr>
        <w:t xml:space="preserve"> explain that the operation of the Principal Act continues to be affected by those sections of the FMA Act that </w:t>
      </w:r>
      <w:r>
        <w:t xml:space="preserve">continue </w:t>
      </w:r>
      <w:r w:rsidRPr="00C4075E">
        <w:t xml:space="preserve">to apply because of Schedule 2 to the </w:t>
      </w:r>
      <w:r w:rsidRPr="00C4075E">
        <w:rPr>
          <w:i/>
        </w:rPr>
        <w:t>Public Governance, Performance and Accountability (Consequential and Transitional Provisions) Act 2014</w:t>
      </w:r>
      <w:r>
        <w:t>. In addition, the Principal Act is now also affected by</w:t>
      </w:r>
      <w:r w:rsidRPr="00C4075E">
        <w:t xml:space="preserve"> </w:t>
      </w:r>
      <w:r w:rsidRPr="00D85948">
        <w:t>the PGPA Act.</w:t>
      </w:r>
      <w:r>
        <w:rPr>
          <w:i/>
        </w:rPr>
        <w:t xml:space="preserve"> </w:t>
      </w:r>
      <w:r>
        <w:t xml:space="preserve"> </w:t>
      </w:r>
    </w:p>
    <w:p w:rsidR="00D85948" w:rsidRPr="002519CB" w:rsidRDefault="00D85948" w:rsidP="00347EB6">
      <w:pPr>
        <w:rPr>
          <w:b/>
          <w:kern w:val="32"/>
        </w:rPr>
      </w:pPr>
    </w:p>
    <w:sectPr w:rsidR="00D85948" w:rsidRPr="002519CB" w:rsidSect="00723454">
      <w:headerReference w:type="default" r:id="rId13"/>
      <w:footerReference w:type="default" r:id="rId14"/>
      <w:pgSz w:w="11906" w:h="16838"/>
      <w:pgMar w:top="144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F6" w:rsidRPr="00CA5B12" w:rsidRDefault="003515F6" w:rsidP="00011E8E">
      <w:pPr>
        <w:rPr>
          <w:sz w:val="16"/>
        </w:rPr>
      </w:pPr>
      <w:r>
        <w:separator/>
      </w:r>
    </w:p>
  </w:endnote>
  <w:endnote w:type="continuationSeparator" w:id="0">
    <w:p w:rsidR="003515F6" w:rsidRPr="00CA5B12" w:rsidRDefault="003515F6" w:rsidP="00011E8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6" w:rsidRDefault="00CD6F66" w:rsidP="00846B83">
    <w:pPr>
      <w:pStyle w:val="Footer"/>
      <w:framePr w:wrap="around" w:vAnchor="text" w:hAnchor="margin" w:xAlign="outside" w:y="1"/>
      <w:rPr>
        <w:rStyle w:val="PageNumber"/>
      </w:rPr>
    </w:pPr>
    <w:r>
      <w:rPr>
        <w:rStyle w:val="PageNumber"/>
      </w:rPr>
      <w:fldChar w:fldCharType="begin"/>
    </w:r>
    <w:r w:rsidR="003515F6">
      <w:rPr>
        <w:rStyle w:val="PageNumber"/>
      </w:rPr>
      <w:instrText xml:space="preserve">PAGE  </w:instrText>
    </w:r>
    <w:r>
      <w:rPr>
        <w:rStyle w:val="PageNumber"/>
      </w:rPr>
      <w:fldChar w:fldCharType="end"/>
    </w:r>
  </w:p>
  <w:p w:rsidR="003515F6" w:rsidRDefault="003515F6" w:rsidP="00846B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343"/>
      <w:docPartObj>
        <w:docPartGallery w:val="Page Numbers (Bottom of Page)"/>
        <w:docPartUnique/>
      </w:docPartObj>
    </w:sdtPr>
    <w:sdtEndPr/>
    <w:sdtContent>
      <w:p w:rsidR="003515F6" w:rsidRDefault="000B6887">
        <w:pPr>
          <w:pStyle w:val="Footer"/>
          <w:jc w:val="right"/>
        </w:pPr>
        <w:r>
          <w:fldChar w:fldCharType="begin"/>
        </w:r>
        <w:r>
          <w:instrText xml:space="preserve"> PAGE   \* MERGEFORMAT </w:instrText>
        </w:r>
        <w:r>
          <w:fldChar w:fldCharType="separate"/>
        </w:r>
        <w:r w:rsidR="007A4DAF">
          <w:rPr>
            <w:noProof/>
          </w:rPr>
          <w:t>i</w:t>
        </w:r>
        <w:r>
          <w:rPr>
            <w:noProof/>
          </w:rPr>
          <w:fldChar w:fldCharType="end"/>
        </w:r>
      </w:p>
    </w:sdtContent>
  </w:sdt>
  <w:p w:rsidR="003515F6" w:rsidRPr="00597EE9" w:rsidRDefault="003515F6" w:rsidP="005E11B3">
    <w:pPr>
      <w:tabs>
        <w:tab w:val="left" w:pos="7797"/>
      </w:tabs>
      <w:ind w:left="1276" w:right="515"/>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344"/>
      <w:docPartObj>
        <w:docPartGallery w:val="Page Numbers (Bottom of Page)"/>
        <w:docPartUnique/>
      </w:docPartObj>
    </w:sdtPr>
    <w:sdtEndPr/>
    <w:sdtContent>
      <w:p w:rsidR="003515F6" w:rsidRDefault="000B6887">
        <w:pPr>
          <w:pStyle w:val="Footer"/>
          <w:jc w:val="right"/>
        </w:pPr>
        <w:r>
          <w:fldChar w:fldCharType="begin"/>
        </w:r>
        <w:r>
          <w:instrText xml:space="preserve"> PAGE   \* MERGEFORMAT </w:instrText>
        </w:r>
        <w:r>
          <w:fldChar w:fldCharType="separate"/>
        </w:r>
        <w:r w:rsidR="007A4DAF">
          <w:rPr>
            <w:noProof/>
          </w:rPr>
          <w:t>ii</w:t>
        </w:r>
        <w:r>
          <w:rPr>
            <w:noProof/>
          </w:rPr>
          <w:fldChar w:fldCharType="end"/>
        </w:r>
      </w:p>
    </w:sdtContent>
  </w:sdt>
  <w:p w:rsidR="003515F6" w:rsidRDefault="003515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356"/>
      <w:docPartObj>
        <w:docPartGallery w:val="Page Numbers (Bottom of Page)"/>
        <w:docPartUnique/>
      </w:docPartObj>
    </w:sdtPr>
    <w:sdtEndPr/>
    <w:sdtContent>
      <w:p w:rsidR="003515F6" w:rsidRDefault="000B6887">
        <w:pPr>
          <w:pStyle w:val="Footer"/>
          <w:jc w:val="right"/>
        </w:pPr>
        <w:r>
          <w:fldChar w:fldCharType="begin"/>
        </w:r>
        <w:r>
          <w:instrText xml:space="preserve"> PAGE   \* MERGEFORMAT </w:instrText>
        </w:r>
        <w:r>
          <w:fldChar w:fldCharType="separate"/>
        </w:r>
        <w:r w:rsidR="007A4DAF">
          <w:rPr>
            <w:noProof/>
          </w:rPr>
          <w:t>11</w:t>
        </w:r>
        <w:r>
          <w:rPr>
            <w:noProof/>
          </w:rPr>
          <w:fldChar w:fldCharType="end"/>
        </w:r>
      </w:p>
    </w:sdtContent>
  </w:sdt>
  <w:p w:rsidR="003515F6" w:rsidRPr="00304D2B" w:rsidRDefault="003515F6" w:rsidP="00EE675C">
    <w:pPr>
      <w:tabs>
        <w:tab w:val="right" w:pos="7797"/>
      </w:tabs>
      <w:ind w:left="709" w:right="509"/>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F6" w:rsidRPr="00CA5B12" w:rsidRDefault="003515F6" w:rsidP="00011E8E">
      <w:pPr>
        <w:rPr>
          <w:sz w:val="16"/>
        </w:rPr>
      </w:pPr>
      <w:r>
        <w:separator/>
      </w:r>
    </w:p>
  </w:footnote>
  <w:footnote w:type="continuationSeparator" w:id="0">
    <w:p w:rsidR="003515F6" w:rsidRPr="00CA5B12" w:rsidRDefault="003515F6" w:rsidP="00011E8E">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6" w:rsidRDefault="00CD6F66" w:rsidP="00846B83">
    <w:pPr>
      <w:pStyle w:val="Header"/>
      <w:framePr w:wrap="around" w:vAnchor="text" w:hAnchor="margin" w:xAlign="center" w:y="1"/>
      <w:rPr>
        <w:rStyle w:val="PageNumber"/>
      </w:rPr>
    </w:pPr>
    <w:r>
      <w:rPr>
        <w:rStyle w:val="PageNumber"/>
      </w:rPr>
      <w:fldChar w:fldCharType="begin"/>
    </w:r>
    <w:r w:rsidR="003515F6">
      <w:rPr>
        <w:rStyle w:val="PageNumber"/>
      </w:rPr>
      <w:instrText xml:space="preserve">PAGE  </w:instrText>
    </w:r>
    <w:r>
      <w:rPr>
        <w:rStyle w:val="PageNumber"/>
      </w:rPr>
      <w:fldChar w:fldCharType="separate"/>
    </w:r>
    <w:r w:rsidR="003515F6">
      <w:rPr>
        <w:rStyle w:val="PageNumber"/>
        <w:noProof/>
      </w:rPr>
      <w:t>17</w:t>
    </w:r>
    <w:r>
      <w:rPr>
        <w:rStyle w:val="PageNumber"/>
      </w:rPr>
      <w:fldChar w:fldCharType="end"/>
    </w:r>
  </w:p>
  <w:p w:rsidR="003515F6" w:rsidRDefault="007A4DAF">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F6" w:rsidRDefault="003515F6" w:rsidP="00846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D20"/>
    <w:multiLevelType w:val="hybridMultilevel"/>
    <w:tmpl w:val="742AFC48"/>
    <w:lvl w:ilvl="0" w:tplc="0C090001">
      <w:start w:val="1"/>
      <w:numFmt w:val="bullet"/>
      <w:lvlText w:val=""/>
      <w:lvlJc w:val="left"/>
      <w:pPr>
        <w:ind w:left="1854" w:hanging="360"/>
      </w:pPr>
      <w:rPr>
        <w:rFonts w:ascii="Symbol" w:hAnsi="Symbol" w:hint="default"/>
        <w:b w:val="0"/>
        <w:i w:val="0"/>
      </w:rPr>
    </w:lvl>
    <w:lvl w:ilvl="1" w:tplc="0C090001">
      <w:start w:val="1"/>
      <w:numFmt w:val="decimal"/>
      <w:lvlText w:val="%2."/>
      <w:lvlJc w:val="left"/>
      <w:pPr>
        <w:tabs>
          <w:tab w:val="num" w:pos="2574"/>
        </w:tabs>
        <w:ind w:left="2574" w:hanging="360"/>
      </w:pPr>
    </w:lvl>
    <w:lvl w:ilvl="2" w:tplc="0C09001B">
      <w:start w:val="1"/>
      <w:numFmt w:val="decimal"/>
      <w:lvlText w:val="%3."/>
      <w:lvlJc w:val="left"/>
      <w:pPr>
        <w:tabs>
          <w:tab w:val="num" w:pos="3294"/>
        </w:tabs>
        <w:ind w:left="3294" w:hanging="360"/>
      </w:pPr>
    </w:lvl>
    <w:lvl w:ilvl="3" w:tplc="0C09000F">
      <w:start w:val="1"/>
      <w:numFmt w:val="decimal"/>
      <w:lvlText w:val="%4."/>
      <w:lvlJc w:val="left"/>
      <w:pPr>
        <w:tabs>
          <w:tab w:val="num" w:pos="4014"/>
        </w:tabs>
        <w:ind w:left="4014" w:hanging="360"/>
      </w:pPr>
    </w:lvl>
    <w:lvl w:ilvl="4" w:tplc="0C090019">
      <w:start w:val="1"/>
      <w:numFmt w:val="decimal"/>
      <w:lvlText w:val="%5."/>
      <w:lvlJc w:val="left"/>
      <w:pPr>
        <w:tabs>
          <w:tab w:val="num" w:pos="4734"/>
        </w:tabs>
        <w:ind w:left="4734" w:hanging="360"/>
      </w:pPr>
    </w:lvl>
    <w:lvl w:ilvl="5" w:tplc="0C09001B">
      <w:start w:val="1"/>
      <w:numFmt w:val="decimal"/>
      <w:lvlText w:val="%6."/>
      <w:lvlJc w:val="left"/>
      <w:pPr>
        <w:tabs>
          <w:tab w:val="num" w:pos="5454"/>
        </w:tabs>
        <w:ind w:left="5454" w:hanging="360"/>
      </w:pPr>
    </w:lvl>
    <w:lvl w:ilvl="6" w:tplc="0C09000F">
      <w:start w:val="1"/>
      <w:numFmt w:val="decimal"/>
      <w:lvlText w:val="%7."/>
      <w:lvlJc w:val="left"/>
      <w:pPr>
        <w:tabs>
          <w:tab w:val="num" w:pos="6174"/>
        </w:tabs>
        <w:ind w:left="6174" w:hanging="360"/>
      </w:pPr>
    </w:lvl>
    <w:lvl w:ilvl="7" w:tplc="0C090019">
      <w:start w:val="1"/>
      <w:numFmt w:val="decimal"/>
      <w:lvlText w:val="%8."/>
      <w:lvlJc w:val="left"/>
      <w:pPr>
        <w:tabs>
          <w:tab w:val="num" w:pos="6894"/>
        </w:tabs>
        <w:ind w:left="6894" w:hanging="360"/>
      </w:pPr>
    </w:lvl>
    <w:lvl w:ilvl="8" w:tplc="0C09001B">
      <w:start w:val="1"/>
      <w:numFmt w:val="decimal"/>
      <w:lvlText w:val="%9."/>
      <w:lvlJc w:val="left"/>
      <w:pPr>
        <w:tabs>
          <w:tab w:val="num" w:pos="7614"/>
        </w:tabs>
        <w:ind w:left="7614" w:hanging="360"/>
      </w:pPr>
    </w:lvl>
  </w:abstractNum>
  <w:abstractNum w:abstractNumId="1">
    <w:nsid w:val="09A527A9"/>
    <w:multiLevelType w:val="hybridMultilevel"/>
    <w:tmpl w:val="BE3CAA92"/>
    <w:lvl w:ilvl="0" w:tplc="ADF8B48A">
      <w:start w:val="1"/>
      <w:numFmt w:val="bullet"/>
      <w:lvlText w:val=""/>
      <w:lvlJc w:val="left"/>
      <w:pPr>
        <w:ind w:left="1429" w:hanging="360"/>
      </w:pPr>
      <w:rPr>
        <w:rFonts w:ascii="Symbol" w:hAnsi="Symbol" w:hint="default"/>
        <w:sz w:val="24"/>
        <w:szCs w:val="24"/>
      </w:rPr>
    </w:lvl>
    <w:lvl w:ilvl="1" w:tplc="0C090001" w:tentative="1">
      <w:start w:val="1"/>
      <w:numFmt w:val="bullet"/>
      <w:lvlText w:val="o"/>
      <w:lvlJc w:val="left"/>
      <w:pPr>
        <w:ind w:left="1724" w:hanging="360"/>
      </w:pPr>
      <w:rPr>
        <w:rFonts w:ascii="Courier New" w:hAnsi="Courier New" w:cs="Courier New" w:hint="default"/>
      </w:rPr>
    </w:lvl>
    <w:lvl w:ilvl="2" w:tplc="0C09001B" w:tentative="1">
      <w:start w:val="1"/>
      <w:numFmt w:val="bullet"/>
      <w:lvlText w:val=""/>
      <w:lvlJc w:val="left"/>
      <w:pPr>
        <w:ind w:left="2444" w:hanging="360"/>
      </w:pPr>
      <w:rPr>
        <w:rFonts w:ascii="Wingdings" w:hAnsi="Wingdings" w:hint="default"/>
      </w:rPr>
    </w:lvl>
    <w:lvl w:ilvl="3" w:tplc="0C09000F" w:tentative="1">
      <w:start w:val="1"/>
      <w:numFmt w:val="bullet"/>
      <w:lvlText w:val=""/>
      <w:lvlJc w:val="left"/>
      <w:pPr>
        <w:ind w:left="3164" w:hanging="360"/>
      </w:pPr>
      <w:rPr>
        <w:rFonts w:ascii="Symbol" w:hAnsi="Symbol" w:hint="default"/>
      </w:rPr>
    </w:lvl>
    <w:lvl w:ilvl="4" w:tplc="0C090019" w:tentative="1">
      <w:start w:val="1"/>
      <w:numFmt w:val="bullet"/>
      <w:lvlText w:val="o"/>
      <w:lvlJc w:val="left"/>
      <w:pPr>
        <w:ind w:left="3884" w:hanging="360"/>
      </w:pPr>
      <w:rPr>
        <w:rFonts w:ascii="Courier New" w:hAnsi="Courier New" w:cs="Courier New" w:hint="default"/>
      </w:rPr>
    </w:lvl>
    <w:lvl w:ilvl="5" w:tplc="0C09001B" w:tentative="1">
      <w:start w:val="1"/>
      <w:numFmt w:val="bullet"/>
      <w:lvlText w:val=""/>
      <w:lvlJc w:val="left"/>
      <w:pPr>
        <w:ind w:left="4604" w:hanging="360"/>
      </w:pPr>
      <w:rPr>
        <w:rFonts w:ascii="Wingdings" w:hAnsi="Wingdings" w:hint="default"/>
      </w:rPr>
    </w:lvl>
    <w:lvl w:ilvl="6" w:tplc="0C09000F" w:tentative="1">
      <w:start w:val="1"/>
      <w:numFmt w:val="bullet"/>
      <w:lvlText w:val=""/>
      <w:lvlJc w:val="left"/>
      <w:pPr>
        <w:ind w:left="5324" w:hanging="360"/>
      </w:pPr>
      <w:rPr>
        <w:rFonts w:ascii="Symbol" w:hAnsi="Symbol" w:hint="default"/>
      </w:rPr>
    </w:lvl>
    <w:lvl w:ilvl="7" w:tplc="0C090019" w:tentative="1">
      <w:start w:val="1"/>
      <w:numFmt w:val="bullet"/>
      <w:lvlText w:val="o"/>
      <w:lvlJc w:val="left"/>
      <w:pPr>
        <w:ind w:left="6044" w:hanging="360"/>
      </w:pPr>
      <w:rPr>
        <w:rFonts w:ascii="Courier New" w:hAnsi="Courier New" w:cs="Courier New" w:hint="default"/>
      </w:rPr>
    </w:lvl>
    <w:lvl w:ilvl="8" w:tplc="0C09001B" w:tentative="1">
      <w:start w:val="1"/>
      <w:numFmt w:val="bullet"/>
      <w:lvlText w:val=""/>
      <w:lvlJc w:val="left"/>
      <w:pPr>
        <w:ind w:left="6764" w:hanging="360"/>
      </w:pPr>
      <w:rPr>
        <w:rFonts w:ascii="Wingdings" w:hAnsi="Wingdings" w:hint="default"/>
      </w:rPr>
    </w:lvl>
  </w:abstractNum>
  <w:abstractNum w:abstractNumId="2">
    <w:nsid w:val="14D45050"/>
    <w:multiLevelType w:val="hybridMultilevel"/>
    <w:tmpl w:val="A4E45D34"/>
    <w:lvl w:ilvl="0" w:tplc="FD425C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1137E9"/>
    <w:multiLevelType w:val="hybridMultilevel"/>
    <w:tmpl w:val="5E50B6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011697D"/>
    <w:multiLevelType w:val="hybridMultilevel"/>
    <w:tmpl w:val="376A4044"/>
    <w:lvl w:ilvl="0" w:tplc="ADF8B48A">
      <w:start w:val="1"/>
      <w:numFmt w:val="bullet"/>
      <w:lvlText w:val=""/>
      <w:lvlJc w:val="left"/>
      <w:pPr>
        <w:ind w:left="720" w:hanging="360"/>
      </w:pPr>
      <w:rPr>
        <w:rFonts w:ascii="Symbol" w:hAnsi="Symbol" w:hint="default"/>
      </w:rPr>
    </w:lvl>
    <w:lvl w:ilvl="1" w:tplc="0C090001"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
    <w:nsid w:val="22647E59"/>
    <w:multiLevelType w:val="hybridMultilevel"/>
    <w:tmpl w:val="DA2E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046F4D"/>
    <w:multiLevelType w:val="hybridMultilevel"/>
    <w:tmpl w:val="32D6A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C06F56"/>
    <w:multiLevelType w:val="hybridMultilevel"/>
    <w:tmpl w:val="0ACCA6AC"/>
    <w:lvl w:ilvl="0" w:tplc="FD425C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690916"/>
    <w:multiLevelType w:val="hybridMultilevel"/>
    <w:tmpl w:val="616A830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9">
    <w:nsid w:val="3CA250F3"/>
    <w:multiLevelType w:val="hybridMultilevel"/>
    <w:tmpl w:val="86029E5C"/>
    <w:lvl w:ilvl="0" w:tplc="ADF8B48A">
      <w:start w:val="1"/>
      <w:numFmt w:val="bullet"/>
      <w:lvlText w:val=""/>
      <w:lvlJc w:val="left"/>
      <w:pPr>
        <w:ind w:left="720" w:hanging="360"/>
      </w:pPr>
      <w:rPr>
        <w:rFonts w:ascii="Symbol" w:hAnsi="Symbol" w:hint="default"/>
      </w:rPr>
    </w:lvl>
    <w:lvl w:ilvl="1" w:tplc="0C090001"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0">
    <w:nsid w:val="3E091907"/>
    <w:multiLevelType w:val="hybridMultilevel"/>
    <w:tmpl w:val="18C6BCFE"/>
    <w:lvl w:ilvl="0" w:tplc="ADF8B48A">
      <w:start w:val="1"/>
      <w:numFmt w:val="bullet"/>
      <w:lvlText w:val=""/>
      <w:lvlJc w:val="left"/>
      <w:pPr>
        <w:ind w:left="1080" w:hanging="360"/>
      </w:pPr>
      <w:rPr>
        <w:rFonts w:ascii="Symbol" w:hAnsi="Symbol" w:hint="default"/>
      </w:rPr>
    </w:lvl>
    <w:lvl w:ilvl="1" w:tplc="0C09000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1">
    <w:nsid w:val="3E2D01B2"/>
    <w:multiLevelType w:val="hybridMultilevel"/>
    <w:tmpl w:val="627A5698"/>
    <w:lvl w:ilvl="0" w:tplc="FD425C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893DA9"/>
    <w:multiLevelType w:val="hybridMultilevel"/>
    <w:tmpl w:val="98009F9A"/>
    <w:lvl w:ilvl="0" w:tplc="ADF8B48A">
      <w:start w:val="1"/>
      <w:numFmt w:val="bullet"/>
      <w:lvlText w:val=""/>
      <w:lvlJc w:val="left"/>
      <w:pPr>
        <w:ind w:left="360" w:hanging="360"/>
      </w:pPr>
      <w:rPr>
        <w:rFonts w:ascii="Symbol" w:hAnsi="Symbol" w:hint="default"/>
      </w:rPr>
    </w:lvl>
    <w:lvl w:ilvl="1" w:tplc="0C090001">
      <w:start w:val="1"/>
      <w:numFmt w:val="bullet"/>
      <w:lvlText w:val="o"/>
      <w:lvlJc w:val="left"/>
      <w:pPr>
        <w:ind w:left="1080" w:hanging="360"/>
      </w:pPr>
      <w:rPr>
        <w:rFonts w:ascii="Courier New" w:hAnsi="Courier New" w:cs="Courier New" w:hint="default"/>
      </w:rPr>
    </w:lvl>
    <w:lvl w:ilvl="2" w:tplc="0C09001B">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13">
    <w:nsid w:val="524E3A18"/>
    <w:multiLevelType w:val="hybridMultilevel"/>
    <w:tmpl w:val="963CF9CE"/>
    <w:lvl w:ilvl="0" w:tplc="0F22EF00">
      <w:start w:val="1"/>
      <w:numFmt w:val="bullet"/>
      <w:pStyle w:val="Normal1"/>
      <w:lvlText w:val=""/>
      <w:lvlJc w:val="left"/>
      <w:pPr>
        <w:ind w:left="720" w:hanging="360"/>
      </w:pPr>
      <w:rPr>
        <w:rFonts w:ascii="Symbol" w:hAnsi="Symbol" w:hint="default"/>
        <w:color w:val="auto"/>
      </w:rPr>
    </w:lvl>
    <w:lvl w:ilvl="1" w:tplc="0C090003">
      <w:start w:val="1"/>
      <w:numFmt w:val="bullet"/>
      <w:pStyle w:val="Style5"/>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B70B27"/>
    <w:multiLevelType w:val="hybridMultilevel"/>
    <w:tmpl w:val="1AB01CAC"/>
    <w:lvl w:ilvl="0" w:tplc="ADF8B48A">
      <w:start w:val="1"/>
      <w:numFmt w:val="decimal"/>
      <w:lvlText w:val="%1."/>
      <w:lvlJc w:val="left"/>
      <w:pPr>
        <w:ind w:left="360" w:hanging="360"/>
      </w:pPr>
      <w:rPr>
        <w:b w:val="0"/>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ABB0CBF"/>
    <w:multiLevelType w:val="hybridMultilevel"/>
    <w:tmpl w:val="6E1CC608"/>
    <w:lvl w:ilvl="0" w:tplc="FD425C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735A93"/>
    <w:multiLevelType w:val="hybridMultilevel"/>
    <w:tmpl w:val="3946BEC6"/>
    <w:lvl w:ilvl="0" w:tplc="ADF8B48A">
      <w:start w:val="1"/>
      <w:numFmt w:val="lowerLetter"/>
      <w:lvlText w:val="%1)"/>
      <w:lvlJc w:val="left"/>
      <w:pPr>
        <w:ind w:left="720" w:hanging="360"/>
      </w:pPr>
    </w:lvl>
    <w:lvl w:ilvl="1" w:tplc="0C09000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0A73270"/>
    <w:multiLevelType w:val="hybridMultilevel"/>
    <w:tmpl w:val="6B3A1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343BFF"/>
    <w:multiLevelType w:val="hybridMultilevel"/>
    <w:tmpl w:val="B9489750"/>
    <w:lvl w:ilvl="0" w:tplc="0C090001">
      <w:start w:val="1"/>
      <w:numFmt w:val="bullet"/>
      <w:lvlText w:val=""/>
      <w:lvlJc w:val="left"/>
      <w:pPr>
        <w:ind w:left="720" w:hanging="360"/>
      </w:pPr>
      <w:rPr>
        <w:rFonts w:ascii="Symbol" w:hAnsi="Symbol" w:hint="default"/>
        <w:b w:val="0"/>
        <w:i w:val="0"/>
      </w:rPr>
    </w:lvl>
    <w:lvl w:ilvl="1" w:tplc="0C090001">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664532B3"/>
    <w:multiLevelType w:val="hybridMultilevel"/>
    <w:tmpl w:val="529804AE"/>
    <w:lvl w:ilvl="0" w:tplc="FD425C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726619"/>
    <w:multiLevelType w:val="hybridMultilevel"/>
    <w:tmpl w:val="1F985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7E32F79"/>
    <w:multiLevelType w:val="hybridMultilevel"/>
    <w:tmpl w:val="E2B02A8A"/>
    <w:lvl w:ilvl="0" w:tplc="5DBA05AA">
      <w:start w:val="1"/>
      <w:numFmt w:val="decimal"/>
      <w:lvlText w:val="%1."/>
      <w:lvlJc w:val="left"/>
      <w:pPr>
        <w:ind w:left="928" w:hanging="360"/>
      </w:pPr>
      <w:rPr>
        <w:rFonts w:hint="default"/>
        <w:b w:val="0"/>
        <w:i w:val="0"/>
      </w:rPr>
    </w:lvl>
    <w:lvl w:ilvl="1" w:tplc="0C090001">
      <w:start w:val="1"/>
      <w:numFmt w:val="decimal"/>
      <w:lvlText w:val="%2."/>
      <w:lvlJc w:val="left"/>
      <w:pPr>
        <w:tabs>
          <w:tab w:val="num" w:pos="2574"/>
        </w:tabs>
        <w:ind w:left="2574" w:hanging="360"/>
      </w:pPr>
    </w:lvl>
    <w:lvl w:ilvl="2" w:tplc="0C09001B">
      <w:start w:val="1"/>
      <w:numFmt w:val="decimal"/>
      <w:lvlText w:val="%3."/>
      <w:lvlJc w:val="left"/>
      <w:pPr>
        <w:tabs>
          <w:tab w:val="num" w:pos="3294"/>
        </w:tabs>
        <w:ind w:left="3294" w:hanging="360"/>
      </w:pPr>
    </w:lvl>
    <w:lvl w:ilvl="3" w:tplc="0C09000F">
      <w:start w:val="1"/>
      <w:numFmt w:val="decimal"/>
      <w:lvlText w:val="%4."/>
      <w:lvlJc w:val="left"/>
      <w:pPr>
        <w:tabs>
          <w:tab w:val="num" w:pos="4014"/>
        </w:tabs>
        <w:ind w:left="4014" w:hanging="360"/>
      </w:pPr>
    </w:lvl>
    <w:lvl w:ilvl="4" w:tplc="0C090019">
      <w:start w:val="1"/>
      <w:numFmt w:val="decimal"/>
      <w:lvlText w:val="%5."/>
      <w:lvlJc w:val="left"/>
      <w:pPr>
        <w:tabs>
          <w:tab w:val="num" w:pos="4734"/>
        </w:tabs>
        <w:ind w:left="4734" w:hanging="360"/>
      </w:pPr>
    </w:lvl>
    <w:lvl w:ilvl="5" w:tplc="0C09001B">
      <w:start w:val="1"/>
      <w:numFmt w:val="decimal"/>
      <w:lvlText w:val="%6."/>
      <w:lvlJc w:val="left"/>
      <w:pPr>
        <w:tabs>
          <w:tab w:val="num" w:pos="5454"/>
        </w:tabs>
        <w:ind w:left="5454" w:hanging="360"/>
      </w:pPr>
    </w:lvl>
    <w:lvl w:ilvl="6" w:tplc="0C09000F">
      <w:start w:val="1"/>
      <w:numFmt w:val="decimal"/>
      <w:lvlText w:val="%7."/>
      <w:lvlJc w:val="left"/>
      <w:pPr>
        <w:tabs>
          <w:tab w:val="num" w:pos="6174"/>
        </w:tabs>
        <w:ind w:left="6174" w:hanging="360"/>
      </w:pPr>
    </w:lvl>
    <w:lvl w:ilvl="7" w:tplc="0C090019">
      <w:start w:val="1"/>
      <w:numFmt w:val="decimal"/>
      <w:lvlText w:val="%8."/>
      <w:lvlJc w:val="left"/>
      <w:pPr>
        <w:tabs>
          <w:tab w:val="num" w:pos="6894"/>
        </w:tabs>
        <w:ind w:left="6894" w:hanging="360"/>
      </w:pPr>
    </w:lvl>
    <w:lvl w:ilvl="8" w:tplc="0C09001B">
      <w:start w:val="1"/>
      <w:numFmt w:val="decimal"/>
      <w:lvlText w:val="%9."/>
      <w:lvlJc w:val="left"/>
      <w:pPr>
        <w:tabs>
          <w:tab w:val="num" w:pos="7614"/>
        </w:tabs>
        <w:ind w:left="7614" w:hanging="360"/>
      </w:pPr>
    </w:lvl>
  </w:abstractNum>
  <w:abstractNum w:abstractNumId="22">
    <w:nsid w:val="6AE17E21"/>
    <w:multiLevelType w:val="hybridMultilevel"/>
    <w:tmpl w:val="FA2C1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E272F4B"/>
    <w:multiLevelType w:val="hybridMultilevel"/>
    <w:tmpl w:val="152ED4C2"/>
    <w:lvl w:ilvl="0" w:tplc="FD425C50">
      <w:start w:val="1"/>
      <w:numFmt w:val="bullet"/>
      <w:lvlText w:val=""/>
      <w:lvlJc w:val="left"/>
      <w:pPr>
        <w:ind w:left="1080" w:hanging="360"/>
      </w:pPr>
      <w:rPr>
        <w:rFonts w:ascii="Symbol" w:hAnsi="Symbol" w:hint="default"/>
      </w:rPr>
    </w:lvl>
    <w:lvl w:ilvl="1" w:tplc="0C090001"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4">
    <w:nsid w:val="70165921"/>
    <w:multiLevelType w:val="hybridMultilevel"/>
    <w:tmpl w:val="34BEAB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4326818"/>
    <w:multiLevelType w:val="hybridMultilevel"/>
    <w:tmpl w:val="6DF0197A"/>
    <w:lvl w:ilvl="0" w:tplc="9A0895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014E0D"/>
    <w:multiLevelType w:val="hybridMultilevel"/>
    <w:tmpl w:val="05F4C206"/>
    <w:lvl w:ilvl="0" w:tplc="FD425C50">
      <w:start w:val="1"/>
      <w:numFmt w:val="bullet"/>
      <w:lvlText w:val=""/>
      <w:lvlJc w:val="left"/>
      <w:pPr>
        <w:ind w:left="720" w:hanging="360"/>
      </w:pPr>
      <w:rPr>
        <w:rFonts w:ascii="Symbol" w:hAnsi="Symbol" w:hint="default"/>
      </w:rPr>
    </w:lvl>
    <w:lvl w:ilvl="1" w:tplc="0C090001"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7">
    <w:nsid w:val="78DF57AA"/>
    <w:multiLevelType w:val="hybridMultilevel"/>
    <w:tmpl w:val="99FE50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983749A"/>
    <w:multiLevelType w:val="hybridMultilevel"/>
    <w:tmpl w:val="0D70D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FC164B4"/>
    <w:multiLevelType w:val="hybridMultilevel"/>
    <w:tmpl w:val="3946BEC6"/>
    <w:lvl w:ilvl="0" w:tplc="0C090001">
      <w:start w:val="1"/>
      <w:numFmt w:val="lowerLetter"/>
      <w:lvlText w:val="%1)"/>
      <w:lvlJc w:val="left"/>
      <w:pPr>
        <w:ind w:left="720" w:hanging="360"/>
      </w:p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4"/>
  </w:num>
  <w:num w:numId="2">
    <w:abstractNumId w:val="12"/>
  </w:num>
  <w:num w:numId="3">
    <w:abstractNumId w:val="23"/>
  </w:num>
  <w:num w:numId="4">
    <w:abstractNumId w:val="10"/>
  </w:num>
  <w:num w:numId="5">
    <w:abstractNumId w:val="13"/>
  </w:num>
  <w:num w:numId="6">
    <w:abstractNumId w:val="29"/>
  </w:num>
  <w:num w:numId="7">
    <w:abstractNumId w:val="16"/>
  </w:num>
  <w:num w:numId="8">
    <w:abstractNumId w:val="28"/>
  </w:num>
  <w:num w:numId="9">
    <w:abstractNumId w:val="9"/>
  </w:num>
  <w:num w:numId="10">
    <w:abstractNumId w:val="20"/>
  </w:num>
  <w:num w:numId="11">
    <w:abstractNumId w:val="21"/>
  </w:num>
  <w:num w:numId="12">
    <w:abstractNumId w:val="4"/>
  </w:num>
  <w:num w:numId="13">
    <w:abstractNumId w:val="1"/>
  </w:num>
  <w:num w:numId="14">
    <w:abstractNumId w:val="26"/>
  </w:num>
  <w:num w:numId="15">
    <w:abstractNumId w:val="21"/>
  </w:num>
  <w:num w:numId="16">
    <w:abstractNumId w:val="11"/>
  </w:num>
  <w:num w:numId="17">
    <w:abstractNumId w:val="7"/>
  </w:num>
  <w:num w:numId="18">
    <w:abstractNumId w:val="19"/>
  </w:num>
  <w:num w:numId="19">
    <w:abstractNumId w:val="15"/>
  </w:num>
  <w:num w:numId="20">
    <w:abstractNumId w:val="2"/>
  </w:num>
  <w:num w:numId="21">
    <w:abstractNumId w:val="3"/>
  </w:num>
  <w:num w:numId="22">
    <w:abstractNumId w:val="27"/>
  </w:num>
  <w:num w:numId="23">
    <w:abstractNumId w:val="17"/>
  </w:num>
  <w:num w:numId="24">
    <w:abstractNumId w:val="22"/>
  </w:num>
  <w:num w:numId="25">
    <w:abstractNumId w:val="8"/>
  </w:num>
  <w:num w:numId="26">
    <w:abstractNumId w:val="6"/>
  </w:num>
  <w:num w:numId="27">
    <w:abstractNumId w:val="25"/>
  </w:num>
  <w:num w:numId="28">
    <w:abstractNumId w:val="5"/>
  </w:num>
  <w:num w:numId="29">
    <w:abstractNumId w:val="18"/>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4D"/>
    <w:rsid w:val="00002152"/>
    <w:rsid w:val="0000339C"/>
    <w:rsid w:val="00011E8E"/>
    <w:rsid w:val="00016CE1"/>
    <w:rsid w:val="00020820"/>
    <w:rsid w:val="00022838"/>
    <w:rsid w:val="000335AA"/>
    <w:rsid w:val="00035D60"/>
    <w:rsid w:val="00046B80"/>
    <w:rsid w:val="00046E83"/>
    <w:rsid w:val="00053C23"/>
    <w:rsid w:val="000570E6"/>
    <w:rsid w:val="00064205"/>
    <w:rsid w:val="00072A75"/>
    <w:rsid w:val="00073858"/>
    <w:rsid w:val="000816FE"/>
    <w:rsid w:val="0008399A"/>
    <w:rsid w:val="00084346"/>
    <w:rsid w:val="00096C21"/>
    <w:rsid w:val="000A0971"/>
    <w:rsid w:val="000A0C53"/>
    <w:rsid w:val="000A0CF1"/>
    <w:rsid w:val="000A2E6D"/>
    <w:rsid w:val="000B336C"/>
    <w:rsid w:val="000B6887"/>
    <w:rsid w:val="000B780C"/>
    <w:rsid w:val="000B797D"/>
    <w:rsid w:val="000C44CB"/>
    <w:rsid w:val="000C5A1D"/>
    <w:rsid w:val="000C7416"/>
    <w:rsid w:val="000D415E"/>
    <w:rsid w:val="000E40BC"/>
    <w:rsid w:val="000F013D"/>
    <w:rsid w:val="000F1EB4"/>
    <w:rsid w:val="00105307"/>
    <w:rsid w:val="001056BE"/>
    <w:rsid w:val="0010639B"/>
    <w:rsid w:val="00113066"/>
    <w:rsid w:val="00114758"/>
    <w:rsid w:val="00120043"/>
    <w:rsid w:val="001233CF"/>
    <w:rsid w:val="00134B4F"/>
    <w:rsid w:val="00141CB2"/>
    <w:rsid w:val="00151D88"/>
    <w:rsid w:val="00152FA8"/>
    <w:rsid w:val="001541F6"/>
    <w:rsid w:val="001735C2"/>
    <w:rsid w:val="001807F4"/>
    <w:rsid w:val="001860AA"/>
    <w:rsid w:val="00194434"/>
    <w:rsid w:val="00194CEB"/>
    <w:rsid w:val="00194E57"/>
    <w:rsid w:val="0019704D"/>
    <w:rsid w:val="001A4D82"/>
    <w:rsid w:val="001A50CF"/>
    <w:rsid w:val="001B1F10"/>
    <w:rsid w:val="001C018D"/>
    <w:rsid w:val="001C0678"/>
    <w:rsid w:val="001C5E6D"/>
    <w:rsid w:val="001D0AE8"/>
    <w:rsid w:val="001D2B39"/>
    <w:rsid w:val="001D558D"/>
    <w:rsid w:val="001E190D"/>
    <w:rsid w:val="001E3E0C"/>
    <w:rsid w:val="001F1161"/>
    <w:rsid w:val="002104AE"/>
    <w:rsid w:val="002115D6"/>
    <w:rsid w:val="00211645"/>
    <w:rsid w:val="00213204"/>
    <w:rsid w:val="002179C6"/>
    <w:rsid w:val="0022231F"/>
    <w:rsid w:val="0022494F"/>
    <w:rsid w:val="00224AAD"/>
    <w:rsid w:val="00226BED"/>
    <w:rsid w:val="00230164"/>
    <w:rsid w:val="0023293D"/>
    <w:rsid w:val="00236A6A"/>
    <w:rsid w:val="002404F7"/>
    <w:rsid w:val="00240E9B"/>
    <w:rsid w:val="00242CC5"/>
    <w:rsid w:val="00242DBF"/>
    <w:rsid w:val="00242E2A"/>
    <w:rsid w:val="00244B9E"/>
    <w:rsid w:val="002469EB"/>
    <w:rsid w:val="002476E5"/>
    <w:rsid w:val="0025069A"/>
    <w:rsid w:val="002519CB"/>
    <w:rsid w:val="0025405D"/>
    <w:rsid w:val="00256814"/>
    <w:rsid w:val="00260893"/>
    <w:rsid w:val="0027041D"/>
    <w:rsid w:val="0027104D"/>
    <w:rsid w:val="00272B34"/>
    <w:rsid w:val="00273C1C"/>
    <w:rsid w:val="002740FA"/>
    <w:rsid w:val="00280C15"/>
    <w:rsid w:val="00284A37"/>
    <w:rsid w:val="0028789C"/>
    <w:rsid w:val="002A4643"/>
    <w:rsid w:val="002B0B6C"/>
    <w:rsid w:val="002B317F"/>
    <w:rsid w:val="002B3AC1"/>
    <w:rsid w:val="002B441E"/>
    <w:rsid w:val="002D480E"/>
    <w:rsid w:val="002D5DAB"/>
    <w:rsid w:val="002D7417"/>
    <w:rsid w:val="002E04B7"/>
    <w:rsid w:val="002E2543"/>
    <w:rsid w:val="002E63C6"/>
    <w:rsid w:val="002F7DAE"/>
    <w:rsid w:val="00304BE4"/>
    <w:rsid w:val="003247E4"/>
    <w:rsid w:val="00326448"/>
    <w:rsid w:val="00333A84"/>
    <w:rsid w:val="00335DE9"/>
    <w:rsid w:val="00341B03"/>
    <w:rsid w:val="00347EB6"/>
    <w:rsid w:val="003515F6"/>
    <w:rsid w:val="00353F9C"/>
    <w:rsid w:val="00357995"/>
    <w:rsid w:val="0036587B"/>
    <w:rsid w:val="00366DDC"/>
    <w:rsid w:val="003765AD"/>
    <w:rsid w:val="003831AC"/>
    <w:rsid w:val="003A3A3C"/>
    <w:rsid w:val="003A785F"/>
    <w:rsid w:val="003B2EAC"/>
    <w:rsid w:val="003D3556"/>
    <w:rsid w:val="003D5217"/>
    <w:rsid w:val="003E2384"/>
    <w:rsid w:val="003E4D64"/>
    <w:rsid w:val="003E6A0B"/>
    <w:rsid w:val="004047F4"/>
    <w:rsid w:val="00406D6F"/>
    <w:rsid w:val="004275EA"/>
    <w:rsid w:val="00431E1C"/>
    <w:rsid w:val="004433CB"/>
    <w:rsid w:val="00443AEE"/>
    <w:rsid w:val="00446E22"/>
    <w:rsid w:val="004530B7"/>
    <w:rsid w:val="0045367C"/>
    <w:rsid w:val="00456730"/>
    <w:rsid w:val="00456772"/>
    <w:rsid w:val="004573D8"/>
    <w:rsid w:val="00457F8C"/>
    <w:rsid w:val="00460C5A"/>
    <w:rsid w:val="00460FBB"/>
    <w:rsid w:val="0047770F"/>
    <w:rsid w:val="00477B85"/>
    <w:rsid w:val="00480859"/>
    <w:rsid w:val="00482AD6"/>
    <w:rsid w:val="00486CAE"/>
    <w:rsid w:val="00487D18"/>
    <w:rsid w:val="004926BD"/>
    <w:rsid w:val="00493DA8"/>
    <w:rsid w:val="004A4EAF"/>
    <w:rsid w:val="004A6AAD"/>
    <w:rsid w:val="004B1388"/>
    <w:rsid w:val="004B3C27"/>
    <w:rsid w:val="004B6387"/>
    <w:rsid w:val="004C2B2C"/>
    <w:rsid w:val="004C6919"/>
    <w:rsid w:val="004D511B"/>
    <w:rsid w:val="004D6923"/>
    <w:rsid w:val="004D6BAA"/>
    <w:rsid w:val="004E625B"/>
    <w:rsid w:val="004E6715"/>
    <w:rsid w:val="004F0F91"/>
    <w:rsid w:val="00500334"/>
    <w:rsid w:val="0050193A"/>
    <w:rsid w:val="00502914"/>
    <w:rsid w:val="005030BD"/>
    <w:rsid w:val="00503B68"/>
    <w:rsid w:val="00505665"/>
    <w:rsid w:val="00506736"/>
    <w:rsid w:val="005135A3"/>
    <w:rsid w:val="00515825"/>
    <w:rsid w:val="00516911"/>
    <w:rsid w:val="00517DED"/>
    <w:rsid w:val="0052149D"/>
    <w:rsid w:val="00523DA3"/>
    <w:rsid w:val="00543A11"/>
    <w:rsid w:val="00543D9F"/>
    <w:rsid w:val="005503E2"/>
    <w:rsid w:val="0055574C"/>
    <w:rsid w:val="00557379"/>
    <w:rsid w:val="005579C5"/>
    <w:rsid w:val="00560263"/>
    <w:rsid w:val="00560D42"/>
    <w:rsid w:val="005737C3"/>
    <w:rsid w:val="00573842"/>
    <w:rsid w:val="00573AD2"/>
    <w:rsid w:val="005804A8"/>
    <w:rsid w:val="00582309"/>
    <w:rsid w:val="00595687"/>
    <w:rsid w:val="005A1D08"/>
    <w:rsid w:val="005B0D36"/>
    <w:rsid w:val="005B1521"/>
    <w:rsid w:val="005B159F"/>
    <w:rsid w:val="005B234A"/>
    <w:rsid w:val="005B2DD7"/>
    <w:rsid w:val="005C1F7D"/>
    <w:rsid w:val="005C3201"/>
    <w:rsid w:val="005D1B9C"/>
    <w:rsid w:val="005D5860"/>
    <w:rsid w:val="005D5B28"/>
    <w:rsid w:val="005D788B"/>
    <w:rsid w:val="005E11B3"/>
    <w:rsid w:val="005E18C9"/>
    <w:rsid w:val="005E3B44"/>
    <w:rsid w:val="005F0AD3"/>
    <w:rsid w:val="005F3566"/>
    <w:rsid w:val="006016D4"/>
    <w:rsid w:val="0060450D"/>
    <w:rsid w:val="00604905"/>
    <w:rsid w:val="006070C2"/>
    <w:rsid w:val="00613B8B"/>
    <w:rsid w:val="006241D3"/>
    <w:rsid w:val="00631A95"/>
    <w:rsid w:val="00641529"/>
    <w:rsid w:val="006537D4"/>
    <w:rsid w:val="006615BD"/>
    <w:rsid w:val="00666D30"/>
    <w:rsid w:val="00680940"/>
    <w:rsid w:val="00683302"/>
    <w:rsid w:val="0068556E"/>
    <w:rsid w:val="006864A5"/>
    <w:rsid w:val="00687D35"/>
    <w:rsid w:val="006A239D"/>
    <w:rsid w:val="006B4C92"/>
    <w:rsid w:val="006D1020"/>
    <w:rsid w:val="006F6351"/>
    <w:rsid w:val="006F6EDE"/>
    <w:rsid w:val="007009D0"/>
    <w:rsid w:val="00702328"/>
    <w:rsid w:val="0070598D"/>
    <w:rsid w:val="00711A52"/>
    <w:rsid w:val="0071701E"/>
    <w:rsid w:val="00723454"/>
    <w:rsid w:val="00723483"/>
    <w:rsid w:val="00724106"/>
    <w:rsid w:val="0073189F"/>
    <w:rsid w:val="00733A98"/>
    <w:rsid w:val="00746341"/>
    <w:rsid w:val="00747FB2"/>
    <w:rsid w:val="007572FF"/>
    <w:rsid w:val="00775F5A"/>
    <w:rsid w:val="00787E73"/>
    <w:rsid w:val="00795E50"/>
    <w:rsid w:val="007A024E"/>
    <w:rsid w:val="007A17CA"/>
    <w:rsid w:val="007A2044"/>
    <w:rsid w:val="007A319C"/>
    <w:rsid w:val="007A4DAF"/>
    <w:rsid w:val="007A7354"/>
    <w:rsid w:val="007B124C"/>
    <w:rsid w:val="007B5F9E"/>
    <w:rsid w:val="007B7314"/>
    <w:rsid w:val="007D3BC0"/>
    <w:rsid w:val="007D5C21"/>
    <w:rsid w:val="007D630E"/>
    <w:rsid w:val="007D67D6"/>
    <w:rsid w:val="007E2314"/>
    <w:rsid w:val="007E54AF"/>
    <w:rsid w:val="007F2D00"/>
    <w:rsid w:val="007F3D12"/>
    <w:rsid w:val="007F479F"/>
    <w:rsid w:val="007F52F6"/>
    <w:rsid w:val="00800B65"/>
    <w:rsid w:val="00800EF5"/>
    <w:rsid w:val="00806E53"/>
    <w:rsid w:val="00810AD2"/>
    <w:rsid w:val="008117A3"/>
    <w:rsid w:val="008161D3"/>
    <w:rsid w:val="00821802"/>
    <w:rsid w:val="00822B72"/>
    <w:rsid w:val="00830541"/>
    <w:rsid w:val="00832570"/>
    <w:rsid w:val="008344EE"/>
    <w:rsid w:val="00836A15"/>
    <w:rsid w:val="008377A2"/>
    <w:rsid w:val="008464ED"/>
    <w:rsid w:val="00846B83"/>
    <w:rsid w:val="0085299C"/>
    <w:rsid w:val="00852B18"/>
    <w:rsid w:val="00856869"/>
    <w:rsid w:val="008650F1"/>
    <w:rsid w:val="00870D3A"/>
    <w:rsid w:val="0087583A"/>
    <w:rsid w:val="00877164"/>
    <w:rsid w:val="00886E73"/>
    <w:rsid w:val="00891195"/>
    <w:rsid w:val="008935A3"/>
    <w:rsid w:val="00893BE0"/>
    <w:rsid w:val="008A473A"/>
    <w:rsid w:val="008A5C33"/>
    <w:rsid w:val="008C1DF4"/>
    <w:rsid w:val="008C2165"/>
    <w:rsid w:val="008C2F99"/>
    <w:rsid w:val="008C62B3"/>
    <w:rsid w:val="008C7E27"/>
    <w:rsid w:val="008D0EC3"/>
    <w:rsid w:val="008D4B28"/>
    <w:rsid w:val="008D6ED8"/>
    <w:rsid w:val="008E18AD"/>
    <w:rsid w:val="00903ABD"/>
    <w:rsid w:val="00903EC7"/>
    <w:rsid w:val="00905F3F"/>
    <w:rsid w:val="00912CC6"/>
    <w:rsid w:val="00913EA1"/>
    <w:rsid w:val="00917C26"/>
    <w:rsid w:val="00920730"/>
    <w:rsid w:val="00920B8B"/>
    <w:rsid w:val="00936087"/>
    <w:rsid w:val="009406EA"/>
    <w:rsid w:val="00945334"/>
    <w:rsid w:val="009464FE"/>
    <w:rsid w:val="00946DEC"/>
    <w:rsid w:val="00951492"/>
    <w:rsid w:val="009515A4"/>
    <w:rsid w:val="00952BE2"/>
    <w:rsid w:val="00956FCE"/>
    <w:rsid w:val="00960679"/>
    <w:rsid w:val="00961936"/>
    <w:rsid w:val="00966734"/>
    <w:rsid w:val="00971BBF"/>
    <w:rsid w:val="00973274"/>
    <w:rsid w:val="00987C47"/>
    <w:rsid w:val="00992FE8"/>
    <w:rsid w:val="00994900"/>
    <w:rsid w:val="009A091B"/>
    <w:rsid w:val="009B68B3"/>
    <w:rsid w:val="009C15AA"/>
    <w:rsid w:val="009C41A2"/>
    <w:rsid w:val="009C59B2"/>
    <w:rsid w:val="009C742E"/>
    <w:rsid w:val="009D1575"/>
    <w:rsid w:val="009D55A1"/>
    <w:rsid w:val="009E6E05"/>
    <w:rsid w:val="009E7FE2"/>
    <w:rsid w:val="009F3A95"/>
    <w:rsid w:val="00A01417"/>
    <w:rsid w:val="00A23CB0"/>
    <w:rsid w:val="00A24522"/>
    <w:rsid w:val="00A24D61"/>
    <w:rsid w:val="00A3208B"/>
    <w:rsid w:val="00A324E8"/>
    <w:rsid w:val="00A32AD9"/>
    <w:rsid w:val="00A32EE5"/>
    <w:rsid w:val="00A41EC5"/>
    <w:rsid w:val="00A43789"/>
    <w:rsid w:val="00A46985"/>
    <w:rsid w:val="00A50F0A"/>
    <w:rsid w:val="00A52FCC"/>
    <w:rsid w:val="00A60F68"/>
    <w:rsid w:val="00A62965"/>
    <w:rsid w:val="00A64BC0"/>
    <w:rsid w:val="00A65249"/>
    <w:rsid w:val="00A65C16"/>
    <w:rsid w:val="00A6679B"/>
    <w:rsid w:val="00A7200E"/>
    <w:rsid w:val="00A915B9"/>
    <w:rsid w:val="00AA009D"/>
    <w:rsid w:val="00AA551E"/>
    <w:rsid w:val="00AA566A"/>
    <w:rsid w:val="00AB4509"/>
    <w:rsid w:val="00AC2516"/>
    <w:rsid w:val="00AC34F8"/>
    <w:rsid w:val="00AC4C0E"/>
    <w:rsid w:val="00AD4743"/>
    <w:rsid w:val="00AD4FA8"/>
    <w:rsid w:val="00AE4344"/>
    <w:rsid w:val="00AE4EA3"/>
    <w:rsid w:val="00AE5F67"/>
    <w:rsid w:val="00AF01A0"/>
    <w:rsid w:val="00AF1035"/>
    <w:rsid w:val="00AF7550"/>
    <w:rsid w:val="00B059C7"/>
    <w:rsid w:val="00B07EA2"/>
    <w:rsid w:val="00B10E7A"/>
    <w:rsid w:val="00B12E93"/>
    <w:rsid w:val="00B13FAC"/>
    <w:rsid w:val="00B17BE8"/>
    <w:rsid w:val="00B2034B"/>
    <w:rsid w:val="00B20AED"/>
    <w:rsid w:val="00B31DC2"/>
    <w:rsid w:val="00B3492C"/>
    <w:rsid w:val="00B35F99"/>
    <w:rsid w:val="00B37891"/>
    <w:rsid w:val="00B501DD"/>
    <w:rsid w:val="00B5062C"/>
    <w:rsid w:val="00B52754"/>
    <w:rsid w:val="00B605FD"/>
    <w:rsid w:val="00B613C1"/>
    <w:rsid w:val="00B6576C"/>
    <w:rsid w:val="00B65B87"/>
    <w:rsid w:val="00B67364"/>
    <w:rsid w:val="00B67D02"/>
    <w:rsid w:val="00B70C67"/>
    <w:rsid w:val="00B84845"/>
    <w:rsid w:val="00B849D3"/>
    <w:rsid w:val="00B84C68"/>
    <w:rsid w:val="00B86F37"/>
    <w:rsid w:val="00B93FAB"/>
    <w:rsid w:val="00BA1E53"/>
    <w:rsid w:val="00BA43BC"/>
    <w:rsid w:val="00BB30B3"/>
    <w:rsid w:val="00BC42B4"/>
    <w:rsid w:val="00BC47FC"/>
    <w:rsid w:val="00BD0FBC"/>
    <w:rsid w:val="00BE615D"/>
    <w:rsid w:val="00C05CD2"/>
    <w:rsid w:val="00C07BD5"/>
    <w:rsid w:val="00C131A9"/>
    <w:rsid w:val="00C21B3B"/>
    <w:rsid w:val="00C25337"/>
    <w:rsid w:val="00C260D6"/>
    <w:rsid w:val="00C272EC"/>
    <w:rsid w:val="00C300F5"/>
    <w:rsid w:val="00C30E73"/>
    <w:rsid w:val="00C32689"/>
    <w:rsid w:val="00C334C4"/>
    <w:rsid w:val="00C3466D"/>
    <w:rsid w:val="00C34CEC"/>
    <w:rsid w:val="00C4186D"/>
    <w:rsid w:val="00C43914"/>
    <w:rsid w:val="00C515C8"/>
    <w:rsid w:val="00C5709A"/>
    <w:rsid w:val="00C62E7B"/>
    <w:rsid w:val="00C67137"/>
    <w:rsid w:val="00C700B8"/>
    <w:rsid w:val="00C709DD"/>
    <w:rsid w:val="00C72C3F"/>
    <w:rsid w:val="00C74DCD"/>
    <w:rsid w:val="00C75A46"/>
    <w:rsid w:val="00C8038C"/>
    <w:rsid w:val="00C815D4"/>
    <w:rsid w:val="00C82C3D"/>
    <w:rsid w:val="00C851D3"/>
    <w:rsid w:val="00C95979"/>
    <w:rsid w:val="00C97016"/>
    <w:rsid w:val="00C970D7"/>
    <w:rsid w:val="00CA0E74"/>
    <w:rsid w:val="00CC3E5B"/>
    <w:rsid w:val="00CC6EBE"/>
    <w:rsid w:val="00CC77BC"/>
    <w:rsid w:val="00CD2157"/>
    <w:rsid w:val="00CD3638"/>
    <w:rsid w:val="00CD3EB6"/>
    <w:rsid w:val="00CD5F03"/>
    <w:rsid w:val="00CD5FF2"/>
    <w:rsid w:val="00CD67DD"/>
    <w:rsid w:val="00CD6F66"/>
    <w:rsid w:val="00CE3034"/>
    <w:rsid w:val="00CE3828"/>
    <w:rsid w:val="00CF28F1"/>
    <w:rsid w:val="00CF4456"/>
    <w:rsid w:val="00CF50BE"/>
    <w:rsid w:val="00CF7B55"/>
    <w:rsid w:val="00D028AC"/>
    <w:rsid w:val="00D0404B"/>
    <w:rsid w:val="00D118DC"/>
    <w:rsid w:val="00D24E40"/>
    <w:rsid w:val="00D257C7"/>
    <w:rsid w:val="00D31029"/>
    <w:rsid w:val="00D31DB5"/>
    <w:rsid w:val="00D35887"/>
    <w:rsid w:val="00D421A7"/>
    <w:rsid w:val="00D526CB"/>
    <w:rsid w:val="00D54CEC"/>
    <w:rsid w:val="00D6197F"/>
    <w:rsid w:val="00D64F86"/>
    <w:rsid w:val="00D67357"/>
    <w:rsid w:val="00D73C1F"/>
    <w:rsid w:val="00D74A2D"/>
    <w:rsid w:val="00D75219"/>
    <w:rsid w:val="00D8204F"/>
    <w:rsid w:val="00D85948"/>
    <w:rsid w:val="00D872DD"/>
    <w:rsid w:val="00D93326"/>
    <w:rsid w:val="00D939D6"/>
    <w:rsid w:val="00DA1ACA"/>
    <w:rsid w:val="00DB17F5"/>
    <w:rsid w:val="00DC3E29"/>
    <w:rsid w:val="00DD0725"/>
    <w:rsid w:val="00DD0BB6"/>
    <w:rsid w:val="00DD1485"/>
    <w:rsid w:val="00DD17E4"/>
    <w:rsid w:val="00DD689E"/>
    <w:rsid w:val="00DE1ADA"/>
    <w:rsid w:val="00DE3C0F"/>
    <w:rsid w:val="00DE591B"/>
    <w:rsid w:val="00DF03C8"/>
    <w:rsid w:val="00DF29A6"/>
    <w:rsid w:val="00E03EC2"/>
    <w:rsid w:val="00E100FD"/>
    <w:rsid w:val="00E114CB"/>
    <w:rsid w:val="00E1253B"/>
    <w:rsid w:val="00E167A9"/>
    <w:rsid w:val="00E174D7"/>
    <w:rsid w:val="00E26583"/>
    <w:rsid w:val="00E31303"/>
    <w:rsid w:val="00E335E4"/>
    <w:rsid w:val="00E36216"/>
    <w:rsid w:val="00E40B56"/>
    <w:rsid w:val="00E41A44"/>
    <w:rsid w:val="00E4454E"/>
    <w:rsid w:val="00E44E39"/>
    <w:rsid w:val="00E4704F"/>
    <w:rsid w:val="00E51B8C"/>
    <w:rsid w:val="00E53BCB"/>
    <w:rsid w:val="00E6078D"/>
    <w:rsid w:val="00E61E4B"/>
    <w:rsid w:val="00E660FC"/>
    <w:rsid w:val="00E675B3"/>
    <w:rsid w:val="00E722FD"/>
    <w:rsid w:val="00E84DAA"/>
    <w:rsid w:val="00E94487"/>
    <w:rsid w:val="00E972F6"/>
    <w:rsid w:val="00EB1E11"/>
    <w:rsid w:val="00EB1EE4"/>
    <w:rsid w:val="00EC25F9"/>
    <w:rsid w:val="00EC76C8"/>
    <w:rsid w:val="00EE51DC"/>
    <w:rsid w:val="00EE54CC"/>
    <w:rsid w:val="00EE675C"/>
    <w:rsid w:val="00EF075A"/>
    <w:rsid w:val="00EF1544"/>
    <w:rsid w:val="00F03765"/>
    <w:rsid w:val="00F076EC"/>
    <w:rsid w:val="00F15303"/>
    <w:rsid w:val="00F23B59"/>
    <w:rsid w:val="00F27A67"/>
    <w:rsid w:val="00F360DA"/>
    <w:rsid w:val="00F36C4C"/>
    <w:rsid w:val="00F400B3"/>
    <w:rsid w:val="00F47075"/>
    <w:rsid w:val="00F50E25"/>
    <w:rsid w:val="00F561C8"/>
    <w:rsid w:val="00F57435"/>
    <w:rsid w:val="00F57675"/>
    <w:rsid w:val="00F60469"/>
    <w:rsid w:val="00F61B4B"/>
    <w:rsid w:val="00F635EA"/>
    <w:rsid w:val="00F66668"/>
    <w:rsid w:val="00F70579"/>
    <w:rsid w:val="00F74C6B"/>
    <w:rsid w:val="00F75DD2"/>
    <w:rsid w:val="00F80219"/>
    <w:rsid w:val="00F83B54"/>
    <w:rsid w:val="00F83FE9"/>
    <w:rsid w:val="00F86EA6"/>
    <w:rsid w:val="00F959E1"/>
    <w:rsid w:val="00F95F9A"/>
    <w:rsid w:val="00F97541"/>
    <w:rsid w:val="00FA7680"/>
    <w:rsid w:val="00FB1C1D"/>
    <w:rsid w:val="00FB2C18"/>
    <w:rsid w:val="00FB2E8F"/>
    <w:rsid w:val="00FB4C11"/>
    <w:rsid w:val="00FB7B5E"/>
    <w:rsid w:val="00FD1F38"/>
    <w:rsid w:val="00FD3270"/>
    <w:rsid w:val="00FE2BAC"/>
    <w:rsid w:val="00FE584D"/>
    <w:rsid w:val="00FF0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70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ext"/>
    <w:next w:val="Normal"/>
    <w:link w:val="Heading2Char"/>
    <w:uiPriority w:val="9"/>
    <w:unhideWhenUsed/>
    <w:qFormat/>
    <w:rsid w:val="00F61B4B"/>
    <w:pPr>
      <w:outlineLvl w:val="1"/>
    </w:pPr>
    <w:rPr>
      <w:b/>
    </w:rPr>
  </w:style>
  <w:style w:type="paragraph" w:styleId="Heading3">
    <w:name w:val="heading 3"/>
    <w:basedOn w:val="Normal"/>
    <w:next w:val="Normal"/>
    <w:link w:val="Heading3Char"/>
    <w:uiPriority w:val="9"/>
    <w:unhideWhenUsed/>
    <w:qFormat/>
    <w:rsid w:val="00543D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4A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3A8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704D"/>
    <w:pPr>
      <w:tabs>
        <w:tab w:val="center" w:pos="4153"/>
        <w:tab w:val="right" w:pos="8306"/>
      </w:tabs>
      <w:autoSpaceDE w:val="0"/>
      <w:autoSpaceDN w:val="0"/>
      <w:adjustRightInd w:val="0"/>
    </w:pPr>
  </w:style>
  <w:style w:type="character" w:customStyle="1" w:styleId="FooterChar">
    <w:name w:val="Footer Char"/>
    <w:basedOn w:val="DefaultParagraphFont"/>
    <w:link w:val="Footer"/>
    <w:uiPriority w:val="99"/>
    <w:rsid w:val="0019704D"/>
    <w:rPr>
      <w:rFonts w:ascii="Times New Roman" w:eastAsia="Times New Roman" w:hAnsi="Times New Roman" w:cs="Times New Roman"/>
      <w:sz w:val="24"/>
      <w:szCs w:val="24"/>
    </w:rPr>
  </w:style>
  <w:style w:type="paragraph" w:styleId="Header">
    <w:name w:val="header"/>
    <w:basedOn w:val="Normal"/>
    <w:link w:val="HeaderChar"/>
    <w:uiPriority w:val="99"/>
    <w:rsid w:val="0019704D"/>
    <w:pPr>
      <w:tabs>
        <w:tab w:val="center" w:pos="4153"/>
        <w:tab w:val="right" w:pos="8306"/>
      </w:tabs>
    </w:pPr>
  </w:style>
  <w:style w:type="character" w:customStyle="1" w:styleId="HeaderChar">
    <w:name w:val="Header Char"/>
    <w:basedOn w:val="DefaultParagraphFont"/>
    <w:link w:val="Header"/>
    <w:uiPriority w:val="99"/>
    <w:rsid w:val="0019704D"/>
    <w:rPr>
      <w:rFonts w:ascii="Times New Roman" w:eastAsia="Times New Roman" w:hAnsi="Times New Roman" w:cs="Times New Roman"/>
      <w:sz w:val="24"/>
      <w:szCs w:val="24"/>
    </w:rPr>
  </w:style>
  <w:style w:type="paragraph" w:styleId="BodyText">
    <w:name w:val="Body Text"/>
    <w:basedOn w:val="Normal"/>
    <w:link w:val="BodyTextChar"/>
    <w:uiPriority w:val="99"/>
    <w:rsid w:val="0019704D"/>
    <w:pPr>
      <w:spacing w:after="120"/>
    </w:pPr>
  </w:style>
  <w:style w:type="character" w:customStyle="1" w:styleId="BodyTextChar">
    <w:name w:val="Body Text Char"/>
    <w:basedOn w:val="DefaultParagraphFont"/>
    <w:link w:val="BodyText"/>
    <w:uiPriority w:val="99"/>
    <w:rsid w:val="0019704D"/>
    <w:rPr>
      <w:rFonts w:ascii="Times New Roman" w:eastAsia="Times New Roman" w:hAnsi="Times New Roman" w:cs="Times New Roman"/>
      <w:sz w:val="24"/>
      <w:szCs w:val="24"/>
    </w:rPr>
  </w:style>
  <w:style w:type="character" w:styleId="PageNumber">
    <w:name w:val="page number"/>
    <w:basedOn w:val="DefaultParagraphFont"/>
    <w:uiPriority w:val="99"/>
    <w:rsid w:val="0019704D"/>
  </w:style>
  <w:style w:type="paragraph" w:customStyle="1" w:styleId="Style2">
    <w:name w:val="Style2"/>
    <w:basedOn w:val="Heading1"/>
    <w:link w:val="Style2Char"/>
    <w:rsid w:val="0019704D"/>
    <w:pPr>
      <w:autoSpaceDE w:val="0"/>
      <w:autoSpaceDN w:val="0"/>
      <w:adjustRightInd w:val="0"/>
      <w:spacing w:before="360" w:after="360"/>
      <w:jc w:val="center"/>
    </w:pPr>
    <w:rPr>
      <w:rFonts w:ascii="Arial" w:eastAsia="Times New Roman" w:hAnsi="Arial" w:cs="Arial"/>
      <w:color w:val="auto"/>
      <w:kern w:val="32"/>
      <w:sz w:val="40"/>
      <w:szCs w:val="40"/>
    </w:rPr>
  </w:style>
  <w:style w:type="paragraph" w:customStyle="1" w:styleId="Style20">
    <w:name w:val="Style 2"/>
    <w:basedOn w:val="Style2"/>
    <w:link w:val="Style2Char0"/>
    <w:qFormat/>
    <w:rsid w:val="0019704D"/>
  </w:style>
  <w:style w:type="character" w:customStyle="1" w:styleId="Style2Char">
    <w:name w:val="Style2 Char"/>
    <w:basedOn w:val="Heading1Char"/>
    <w:link w:val="Style2"/>
    <w:rsid w:val="0019704D"/>
    <w:rPr>
      <w:rFonts w:ascii="Arial" w:eastAsia="Times New Roman" w:hAnsi="Arial" w:cs="Arial"/>
      <w:b/>
      <w:bCs/>
      <w:color w:val="365F91" w:themeColor="accent1" w:themeShade="BF"/>
      <w:kern w:val="32"/>
      <w:sz w:val="40"/>
      <w:szCs w:val="40"/>
    </w:rPr>
  </w:style>
  <w:style w:type="paragraph" w:customStyle="1" w:styleId="Style3">
    <w:name w:val="Style3"/>
    <w:basedOn w:val="Heading2"/>
    <w:link w:val="Style3Char"/>
    <w:qFormat/>
    <w:rsid w:val="0019704D"/>
    <w:pPr>
      <w:keepLines w:val="0"/>
      <w:autoSpaceDE w:val="0"/>
      <w:autoSpaceDN w:val="0"/>
      <w:adjustRightInd w:val="0"/>
      <w:spacing w:before="0"/>
      <w:ind w:left="284" w:hanging="284"/>
    </w:pPr>
    <w:rPr>
      <w:rFonts w:ascii="Arial" w:hAnsi="Arial" w:cs="Arial"/>
      <w:sz w:val="28"/>
      <w:szCs w:val="28"/>
    </w:rPr>
  </w:style>
  <w:style w:type="character" w:customStyle="1" w:styleId="Style2Char0">
    <w:name w:val="Style 2 Char"/>
    <w:basedOn w:val="Style2Char"/>
    <w:link w:val="Style20"/>
    <w:rsid w:val="0019704D"/>
    <w:rPr>
      <w:rFonts w:ascii="Arial" w:eastAsia="Times New Roman" w:hAnsi="Arial" w:cs="Arial"/>
      <w:b/>
      <w:bCs/>
      <w:color w:val="365F91" w:themeColor="accent1" w:themeShade="BF"/>
      <w:kern w:val="32"/>
      <w:sz w:val="40"/>
      <w:szCs w:val="40"/>
    </w:rPr>
  </w:style>
  <w:style w:type="paragraph" w:customStyle="1" w:styleId="Text">
    <w:name w:val="Text"/>
    <w:basedOn w:val="Normal"/>
    <w:link w:val="TextChar"/>
    <w:qFormat/>
    <w:rsid w:val="0019704D"/>
    <w:pPr>
      <w:keepLines/>
      <w:spacing w:before="120" w:after="120"/>
    </w:pPr>
  </w:style>
  <w:style w:type="character" w:customStyle="1" w:styleId="Style3Char">
    <w:name w:val="Style3 Char"/>
    <w:basedOn w:val="Heading2Char"/>
    <w:link w:val="Style3"/>
    <w:rsid w:val="0019704D"/>
    <w:rPr>
      <w:rFonts w:ascii="Arial" w:eastAsia="Times New Roman" w:hAnsi="Arial" w:cs="Arial"/>
      <w:b/>
      <w:sz w:val="28"/>
      <w:szCs w:val="28"/>
    </w:rPr>
  </w:style>
  <w:style w:type="character" w:customStyle="1" w:styleId="TextChar">
    <w:name w:val="Text Char"/>
    <w:basedOn w:val="DefaultParagraphFont"/>
    <w:link w:val="Text"/>
    <w:rsid w:val="0019704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704D"/>
    <w:pPr>
      <w:ind w:left="720"/>
      <w:contextualSpacing/>
    </w:pPr>
  </w:style>
  <w:style w:type="paragraph" w:customStyle="1" w:styleId="Default">
    <w:name w:val="Default"/>
    <w:rsid w:val="0019704D"/>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ListParagraph"/>
    <w:qFormat/>
    <w:rsid w:val="0019704D"/>
    <w:pPr>
      <w:numPr>
        <w:numId w:val="5"/>
      </w:numPr>
      <w:ind w:firstLine="0"/>
    </w:pPr>
  </w:style>
  <w:style w:type="character" w:customStyle="1" w:styleId="ListParagraphChar">
    <w:name w:val="List Paragraph Char"/>
    <w:basedOn w:val="DefaultParagraphFont"/>
    <w:link w:val="ListParagraph"/>
    <w:uiPriority w:val="34"/>
    <w:rsid w:val="0019704D"/>
    <w:rPr>
      <w:rFonts w:ascii="Times New Roman" w:eastAsia="Times New Roman" w:hAnsi="Times New Roman" w:cs="Times New Roman"/>
      <w:sz w:val="24"/>
      <w:szCs w:val="24"/>
    </w:rPr>
  </w:style>
  <w:style w:type="paragraph" w:customStyle="1" w:styleId="Style5">
    <w:name w:val="Style5"/>
    <w:basedOn w:val="Normal1"/>
    <w:link w:val="Style5Char"/>
    <w:uiPriority w:val="99"/>
    <w:qFormat/>
    <w:rsid w:val="0019704D"/>
    <w:pPr>
      <w:numPr>
        <w:ilvl w:val="1"/>
      </w:numPr>
      <w:tabs>
        <w:tab w:val="num" w:pos="360"/>
        <w:tab w:val="left" w:pos="1276"/>
      </w:tabs>
      <w:spacing w:after="120"/>
      <w:ind w:left="754" w:hanging="397"/>
    </w:pPr>
    <w:rPr>
      <w:rFonts w:eastAsiaTheme="minorHAnsi"/>
      <w:szCs w:val="28"/>
      <w:u w:val="single"/>
    </w:rPr>
  </w:style>
  <w:style w:type="character" w:customStyle="1" w:styleId="Heading1Char">
    <w:name w:val="Heading 1 Char"/>
    <w:basedOn w:val="DefaultParagraphFont"/>
    <w:link w:val="Heading1"/>
    <w:uiPriority w:val="9"/>
    <w:rsid w:val="001970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1B4B"/>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543D9F"/>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0A0971"/>
    <w:pPr>
      <w:spacing w:line="276" w:lineRule="auto"/>
      <w:outlineLvl w:val="9"/>
    </w:pPr>
    <w:rPr>
      <w:lang w:val="en-US"/>
    </w:rPr>
  </w:style>
  <w:style w:type="paragraph" w:styleId="TOC1">
    <w:name w:val="toc 1"/>
    <w:basedOn w:val="Normal"/>
    <w:next w:val="Normal"/>
    <w:autoRedefine/>
    <w:uiPriority w:val="39"/>
    <w:unhideWhenUsed/>
    <w:rsid w:val="00DB17F5"/>
    <w:pPr>
      <w:tabs>
        <w:tab w:val="right" w:leader="dot" w:pos="8302"/>
      </w:tabs>
      <w:spacing w:after="100"/>
      <w:jc w:val="center"/>
    </w:pPr>
  </w:style>
  <w:style w:type="paragraph" w:styleId="TOC2">
    <w:name w:val="toc 2"/>
    <w:basedOn w:val="Normal"/>
    <w:next w:val="Normal"/>
    <w:autoRedefine/>
    <w:uiPriority w:val="39"/>
    <w:unhideWhenUsed/>
    <w:rsid w:val="000A0971"/>
    <w:pPr>
      <w:spacing w:after="100"/>
      <w:ind w:left="240"/>
    </w:pPr>
  </w:style>
  <w:style w:type="paragraph" w:styleId="TOC3">
    <w:name w:val="toc 3"/>
    <w:basedOn w:val="Normal"/>
    <w:next w:val="Normal"/>
    <w:autoRedefine/>
    <w:uiPriority w:val="39"/>
    <w:unhideWhenUsed/>
    <w:rsid w:val="000A0971"/>
    <w:pPr>
      <w:spacing w:after="100"/>
      <w:ind w:left="480"/>
    </w:pPr>
  </w:style>
  <w:style w:type="character" w:styleId="Hyperlink">
    <w:name w:val="Hyperlink"/>
    <w:basedOn w:val="DefaultParagraphFont"/>
    <w:uiPriority w:val="99"/>
    <w:unhideWhenUsed/>
    <w:rsid w:val="000A0971"/>
    <w:rPr>
      <w:color w:val="0000FF" w:themeColor="hyperlink"/>
      <w:u w:val="single"/>
    </w:rPr>
  </w:style>
  <w:style w:type="character" w:customStyle="1" w:styleId="Heading4Char">
    <w:name w:val="Heading 4 Char"/>
    <w:basedOn w:val="DefaultParagraphFont"/>
    <w:link w:val="Heading4"/>
    <w:uiPriority w:val="9"/>
    <w:rsid w:val="00224AA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33A8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10E7A"/>
    <w:rPr>
      <w:sz w:val="16"/>
      <w:szCs w:val="16"/>
    </w:rPr>
  </w:style>
  <w:style w:type="paragraph" w:styleId="CommentText">
    <w:name w:val="annotation text"/>
    <w:basedOn w:val="Normal"/>
    <w:link w:val="CommentTextChar"/>
    <w:uiPriority w:val="99"/>
    <w:semiHidden/>
    <w:unhideWhenUsed/>
    <w:rsid w:val="00B10E7A"/>
    <w:rPr>
      <w:sz w:val="20"/>
      <w:szCs w:val="20"/>
    </w:rPr>
  </w:style>
  <w:style w:type="character" w:customStyle="1" w:styleId="CommentTextChar">
    <w:name w:val="Comment Text Char"/>
    <w:basedOn w:val="DefaultParagraphFont"/>
    <w:link w:val="CommentText"/>
    <w:uiPriority w:val="99"/>
    <w:semiHidden/>
    <w:rsid w:val="00B10E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0E7A"/>
    <w:rPr>
      <w:b/>
      <w:bCs/>
    </w:rPr>
  </w:style>
  <w:style w:type="character" w:customStyle="1" w:styleId="CommentSubjectChar">
    <w:name w:val="Comment Subject Char"/>
    <w:basedOn w:val="CommentTextChar"/>
    <w:link w:val="CommentSubject"/>
    <w:uiPriority w:val="99"/>
    <w:semiHidden/>
    <w:rsid w:val="00B10E7A"/>
    <w:rPr>
      <w:rFonts w:ascii="Times New Roman" w:eastAsia="Times New Roman" w:hAnsi="Times New Roman" w:cs="Times New Roman"/>
      <w:b/>
      <w:bCs/>
      <w:sz w:val="20"/>
      <w:szCs w:val="20"/>
    </w:rPr>
  </w:style>
  <w:style w:type="paragraph" w:styleId="Revision">
    <w:name w:val="Revision"/>
    <w:hidden/>
    <w:uiPriority w:val="99"/>
    <w:semiHidden/>
    <w:rsid w:val="00B10E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E7A"/>
    <w:rPr>
      <w:rFonts w:ascii="Tahoma" w:hAnsi="Tahoma" w:cs="Tahoma"/>
      <w:sz w:val="16"/>
      <w:szCs w:val="16"/>
    </w:rPr>
  </w:style>
  <w:style w:type="character" w:customStyle="1" w:styleId="BalloonTextChar">
    <w:name w:val="Balloon Text Char"/>
    <w:basedOn w:val="DefaultParagraphFont"/>
    <w:link w:val="BalloonText"/>
    <w:uiPriority w:val="99"/>
    <w:semiHidden/>
    <w:rsid w:val="00B10E7A"/>
    <w:rPr>
      <w:rFonts w:ascii="Tahoma" w:eastAsia="Times New Roman" w:hAnsi="Tahoma" w:cs="Tahoma"/>
      <w:sz w:val="16"/>
      <w:szCs w:val="16"/>
    </w:rPr>
  </w:style>
  <w:style w:type="paragraph" w:customStyle="1" w:styleId="Bids2para1">
    <w:name w:val="Bids 2 para 1"/>
    <w:basedOn w:val="Normal"/>
    <w:rsid w:val="004C6919"/>
    <w:pPr>
      <w:tabs>
        <w:tab w:val="left" w:pos="4536"/>
        <w:tab w:val="left" w:pos="6521"/>
      </w:tabs>
    </w:pPr>
    <w:rPr>
      <w:rFonts w:ascii="Arial" w:hAnsi="Arial"/>
      <w:szCs w:val="20"/>
      <w:lang w:val="en-GB" w:eastAsia="en-AU"/>
    </w:rPr>
  </w:style>
  <w:style w:type="character" w:customStyle="1" w:styleId="Style5Char">
    <w:name w:val="Style5 Char"/>
    <w:basedOn w:val="DefaultParagraphFont"/>
    <w:link w:val="Style5"/>
    <w:uiPriority w:val="99"/>
    <w:rsid w:val="00456772"/>
    <w:rPr>
      <w:rFonts w:ascii="Times New Roman" w:hAnsi="Times New Roman" w:cs="Times New Roman"/>
      <w:sz w:val="24"/>
      <w:szCs w:val="28"/>
      <w:u w:val="single"/>
    </w:rPr>
  </w:style>
  <w:style w:type="paragraph" w:customStyle="1" w:styleId="CABNETParagraph">
    <w:name w:val="CABNET Paragraph"/>
    <w:basedOn w:val="Normal"/>
    <w:link w:val="CABNETParagraphChar"/>
    <w:qFormat/>
    <w:rsid w:val="00456772"/>
    <w:pPr>
      <w:spacing w:before="120" w:after="120"/>
    </w:pPr>
    <w:rPr>
      <w:rFonts w:ascii="Verdana" w:eastAsiaTheme="minorHAnsi" w:hAnsi="Verdana" w:cstheme="minorBidi"/>
      <w:sz w:val="22"/>
      <w:szCs w:val="22"/>
    </w:rPr>
  </w:style>
  <w:style w:type="character" w:customStyle="1" w:styleId="CABNETParagraphChar">
    <w:name w:val="CABNET Paragraph Char"/>
    <w:basedOn w:val="DefaultParagraphFont"/>
    <w:link w:val="CABNETParagraph"/>
    <w:rsid w:val="00456772"/>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70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ext"/>
    <w:next w:val="Normal"/>
    <w:link w:val="Heading2Char"/>
    <w:uiPriority w:val="9"/>
    <w:unhideWhenUsed/>
    <w:qFormat/>
    <w:rsid w:val="00F61B4B"/>
    <w:pPr>
      <w:outlineLvl w:val="1"/>
    </w:pPr>
    <w:rPr>
      <w:b/>
    </w:rPr>
  </w:style>
  <w:style w:type="paragraph" w:styleId="Heading3">
    <w:name w:val="heading 3"/>
    <w:basedOn w:val="Normal"/>
    <w:next w:val="Normal"/>
    <w:link w:val="Heading3Char"/>
    <w:uiPriority w:val="9"/>
    <w:unhideWhenUsed/>
    <w:qFormat/>
    <w:rsid w:val="00543D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4A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3A8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704D"/>
    <w:pPr>
      <w:tabs>
        <w:tab w:val="center" w:pos="4153"/>
        <w:tab w:val="right" w:pos="8306"/>
      </w:tabs>
      <w:autoSpaceDE w:val="0"/>
      <w:autoSpaceDN w:val="0"/>
      <w:adjustRightInd w:val="0"/>
    </w:pPr>
  </w:style>
  <w:style w:type="character" w:customStyle="1" w:styleId="FooterChar">
    <w:name w:val="Footer Char"/>
    <w:basedOn w:val="DefaultParagraphFont"/>
    <w:link w:val="Footer"/>
    <w:uiPriority w:val="99"/>
    <w:rsid w:val="0019704D"/>
    <w:rPr>
      <w:rFonts w:ascii="Times New Roman" w:eastAsia="Times New Roman" w:hAnsi="Times New Roman" w:cs="Times New Roman"/>
      <w:sz w:val="24"/>
      <w:szCs w:val="24"/>
    </w:rPr>
  </w:style>
  <w:style w:type="paragraph" w:styleId="Header">
    <w:name w:val="header"/>
    <w:basedOn w:val="Normal"/>
    <w:link w:val="HeaderChar"/>
    <w:uiPriority w:val="99"/>
    <w:rsid w:val="0019704D"/>
    <w:pPr>
      <w:tabs>
        <w:tab w:val="center" w:pos="4153"/>
        <w:tab w:val="right" w:pos="8306"/>
      </w:tabs>
    </w:pPr>
  </w:style>
  <w:style w:type="character" w:customStyle="1" w:styleId="HeaderChar">
    <w:name w:val="Header Char"/>
    <w:basedOn w:val="DefaultParagraphFont"/>
    <w:link w:val="Header"/>
    <w:uiPriority w:val="99"/>
    <w:rsid w:val="0019704D"/>
    <w:rPr>
      <w:rFonts w:ascii="Times New Roman" w:eastAsia="Times New Roman" w:hAnsi="Times New Roman" w:cs="Times New Roman"/>
      <w:sz w:val="24"/>
      <w:szCs w:val="24"/>
    </w:rPr>
  </w:style>
  <w:style w:type="paragraph" w:styleId="BodyText">
    <w:name w:val="Body Text"/>
    <w:basedOn w:val="Normal"/>
    <w:link w:val="BodyTextChar"/>
    <w:uiPriority w:val="99"/>
    <w:rsid w:val="0019704D"/>
    <w:pPr>
      <w:spacing w:after="120"/>
    </w:pPr>
  </w:style>
  <w:style w:type="character" w:customStyle="1" w:styleId="BodyTextChar">
    <w:name w:val="Body Text Char"/>
    <w:basedOn w:val="DefaultParagraphFont"/>
    <w:link w:val="BodyText"/>
    <w:uiPriority w:val="99"/>
    <w:rsid w:val="0019704D"/>
    <w:rPr>
      <w:rFonts w:ascii="Times New Roman" w:eastAsia="Times New Roman" w:hAnsi="Times New Roman" w:cs="Times New Roman"/>
      <w:sz w:val="24"/>
      <w:szCs w:val="24"/>
    </w:rPr>
  </w:style>
  <w:style w:type="character" w:styleId="PageNumber">
    <w:name w:val="page number"/>
    <w:basedOn w:val="DefaultParagraphFont"/>
    <w:uiPriority w:val="99"/>
    <w:rsid w:val="0019704D"/>
  </w:style>
  <w:style w:type="paragraph" w:customStyle="1" w:styleId="Style2">
    <w:name w:val="Style2"/>
    <w:basedOn w:val="Heading1"/>
    <w:link w:val="Style2Char"/>
    <w:rsid w:val="0019704D"/>
    <w:pPr>
      <w:autoSpaceDE w:val="0"/>
      <w:autoSpaceDN w:val="0"/>
      <w:adjustRightInd w:val="0"/>
      <w:spacing w:before="360" w:after="360"/>
      <w:jc w:val="center"/>
    </w:pPr>
    <w:rPr>
      <w:rFonts w:ascii="Arial" w:eastAsia="Times New Roman" w:hAnsi="Arial" w:cs="Arial"/>
      <w:color w:val="auto"/>
      <w:kern w:val="32"/>
      <w:sz w:val="40"/>
      <w:szCs w:val="40"/>
    </w:rPr>
  </w:style>
  <w:style w:type="paragraph" w:customStyle="1" w:styleId="Style20">
    <w:name w:val="Style 2"/>
    <w:basedOn w:val="Style2"/>
    <w:link w:val="Style2Char0"/>
    <w:qFormat/>
    <w:rsid w:val="0019704D"/>
  </w:style>
  <w:style w:type="character" w:customStyle="1" w:styleId="Style2Char">
    <w:name w:val="Style2 Char"/>
    <w:basedOn w:val="Heading1Char"/>
    <w:link w:val="Style2"/>
    <w:rsid w:val="0019704D"/>
    <w:rPr>
      <w:rFonts w:ascii="Arial" w:eastAsia="Times New Roman" w:hAnsi="Arial" w:cs="Arial"/>
      <w:b/>
      <w:bCs/>
      <w:color w:val="365F91" w:themeColor="accent1" w:themeShade="BF"/>
      <w:kern w:val="32"/>
      <w:sz w:val="40"/>
      <w:szCs w:val="40"/>
    </w:rPr>
  </w:style>
  <w:style w:type="paragraph" w:customStyle="1" w:styleId="Style3">
    <w:name w:val="Style3"/>
    <w:basedOn w:val="Heading2"/>
    <w:link w:val="Style3Char"/>
    <w:qFormat/>
    <w:rsid w:val="0019704D"/>
    <w:pPr>
      <w:keepLines w:val="0"/>
      <w:autoSpaceDE w:val="0"/>
      <w:autoSpaceDN w:val="0"/>
      <w:adjustRightInd w:val="0"/>
      <w:spacing w:before="0"/>
      <w:ind w:left="284" w:hanging="284"/>
    </w:pPr>
    <w:rPr>
      <w:rFonts w:ascii="Arial" w:hAnsi="Arial" w:cs="Arial"/>
      <w:sz w:val="28"/>
      <w:szCs w:val="28"/>
    </w:rPr>
  </w:style>
  <w:style w:type="character" w:customStyle="1" w:styleId="Style2Char0">
    <w:name w:val="Style 2 Char"/>
    <w:basedOn w:val="Style2Char"/>
    <w:link w:val="Style20"/>
    <w:rsid w:val="0019704D"/>
    <w:rPr>
      <w:rFonts w:ascii="Arial" w:eastAsia="Times New Roman" w:hAnsi="Arial" w:cs="Arial"/>
      <w:b/>
      <w:bCs/>
      <w:color w:val="365F91" w:themeColor="accent1" w:themeShade="BF"/>
      <w:kern w:val="32"/>
      <w:sz w:val="40"/>
      <w:szCs w:val="40"/>
    </w:rPr>
  </w:style>
  <w:style w:type="paragraph" w:customStyle="1" w:styleId="Text">
    <w:name w:val="Text"/>
    <w:basedOn w:val="Normal"/>
    <w:link w:val="TextChar"/>
    <w:qFormat/>
    <w:rsid w:val="0019704D"/>
    <w:pPr>
      <w:keepLines/>
      <w:spacing w:before="120" w:after="120"/>
    </w:pPr>
  </w:style>
  <w:style w:type="character" w:customStyle="1" w:styleId="Style3Char">
    <w:name w:val="Style3 Char"/>
    <w:basedOn w:val="Heading2Char"/>
    <w:link w:val="Style3"/>
    <w:rsid w:val="0019704D"/>
    <w:rPr>
      <w:rFonts w:ascii="Arial" w:eastAsia="Times New Roman" w:hAnsi="Arial" w:cs="Arial"/>
      <w:b/>
      <w:sz w:val="28"/>
      <w:szCs w:val="28"/>
    </w:rPr>
  </w:style>
  <w:style w:type="character" w:customStyle="1" w:styleId="TextChar">
    <w:name w:val="Text Char"/>
    <w:basedOn w:val="DefaultParagraphFont"/>
    <w:link w:val="Text"/>
    <w:rsid w:val="0019704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704D"/>
    <w:pPr>
      <w:ind w:left="720"/>
      <w:contextualSpacing/>
    </w:pPr>
  </w:style>
  <w:style w:type="paragraph" w:customStyle="1" w:styleId="Default">
    <w:name w:val="Default"/>
    <w:rsid w:val="0019704D"/>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ListParagraph"/>
    <w:qFormat/>
    <w:rsid w:val="0019704D"/>
    <w:pPr>
      <w:numPr>
        <w:numId w:val="5"/>
      </w:numPr>
      <w:ind w:firstLine="0"/>
    </w:pPr>
  </w:style>
  <w:style w:type="character" w:customStyle="1" w:styleId="ListParagraphChar">
    <w:name w:val="List Paragraph Char"/>
    <w:basedOn w:val="DefaultParagraphFont"/>
    <w:link w:val="ListParagraph"/>
    <w:uiPriority w:val="34"/>
    <w:rsid w:val="0019704D"/>
    <w:rPr>
      <w:rFonts w:ascii="Times New Roman" w:eastAsia="Times New Roman" w:hAnsi="Times New Roman" w:cs="Times New Roman"/>
      <w:sz w:val="24"/>
      <w:szCs w:val="24"/>
    </w:rPr>
  </w:style>
  <w:style w:type="paragraph" w:customStyle="1" w:styleId="Style5">
    <w:name w:val="Style5"/>
    <w:basedOn w:val="Normal1"/>
    <w:link w:val="Style5Char"/>
    <w:uiPriority w:val="99"/>
    <w:qFormat/>
    <w:rsid w:val="0019704D"/>
    <w:pPr>
      <w:numPr>
        <w:ilvl w:val="1"/>
      </w:numPr>
      <w:tabs>
        <w:tab w:val="num" w:pos="360"/>
        <w:tab w:val="left" w:pos="1276"/>
      </w:tabs>
      <w:spacing w:after="120"/>
      <w:ind w:left="754" w:hanging="397"/>
    </w:pPr>
    <w:rPr>
      <w:rFonts w:eastAsiaTheme="minorHAnsi"/>
      <w:szCs w:val="28"/>
      <w:u w:val="single"/>
    </w:rPr>
  </w:style>
  <w:style w:type="character" w:customStyle="1" w:styleId="Heading1Char">
    <w:name w:val="Heading 1 Char"/>
    <w:basedOn w:val="DefaultParagraphFont"/>
    <w:link w:val="Heading1"/>
    <w:uiPriority w:val="9"/>
    <w:rsid w:val="001970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1B4B"/>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543D9F"/>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0A0971"/>
    <w:pPr>
      <w:spacing w:line="276" w:lineRule="auto"/>
      <w:outlineLvl w:val="9"/>
    </w:pPr>
    <w:rPr>
      <w:lang w:val="en-US"/>
    </w:rPr>
  </w:style>
  <w:style w:type="paragraph" w:styleId="TOC1">
    <w:name w:val="toc 1"/>
    <w:basedOn w:val="Normal"/>
    <w:next w:val="Normal"/>
    <w:autoRedefine/>
    <w:uiPriority w:val="39"/>
    <w:unhideWhenUsed/>
    <w:rsid w:val="00DB17F5"/>
    <w:pPr>
      <w:tabs>
        <w:tab w:val="right" w:leader="dot" w:pos="8302"/>
      </w:tabs>
      <w:spacing w:after="100"/>
      <w:jc w:val="center"/>
    </w:pPr>
  </w:style>
  <w:style w:type="paragraph" w:styleId="TOC2">
    <w:name w:val="toc 2"/>
    <w:basedOn w:val="Normal"/>
    <w:next w:val="Normal"/>
    <w:autoRedefine/>
    <w:uiPriority w:val="39"/>
    <w:unhideWhenUsed/>
    <w:rsid w:val="000A0971"/>
    <w:pPr>
      <w:spacing w:after="100"/>
      <w:ind w:left="240"/>
    </w:pPr>
  </w:style>
  <w:style w:type="paragraph" w:styleId="TOC3">
    <w:name w:val="toc 3"/>
    <w:basedOn w:val="Normal"/>
    <w:next w:val="Normal"/>
    <w:autoRedefine/>
    <w:uiPriority w:val="39"/>
    <w:unhideWhenUsed/>
    <w:rsid w:val="000A0971"/>
    <w:pPr>
      <w:spacing w:after="100"/>
      <w:ind w:left="480"/>
    </w:pPr>
  </w:style>
  <w:style w:type="character" w:styleId="Hyperlink">
    <w:name w:val="Hyperlink"/>
    <w:basedOn w:val="DefaultParagraphFont"/>
    <w:uiPriority w:val="99"/>
    <w:unhideWhenUsed/>
    <w:rsid w:val="000A0971"/>
    <w:rPr>
      <w:color w:val="0000FF" w:themeColor="hyperlink"/>
      <w:u w:val="single"/>
    </w:rPr>
  </w:style>
  <w:style w:type="character" w:customStyle="1" w:styleId="Heading4Char">
    <w:name w:val="Heading 4 Char"/>
    <w:basedOn w:val="DefaultParagraphFont"/>
    <w:link w:val="Heading4"/>
    <w:uiPriority w:val="9"/>
    <w:rsid w:val="00224AA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33A8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10E7A"/>
    <w:rPr>
      <w:sz w:val="16"/>
      <w:szCs w:val="16"/>
    </w:rPr>
  </w:style>
  <w:style w:type="paragraph" w:styleId="CommentText">
    <w:name w:val="annotation text"/>
    <w:basedOn w:val="Normal"/>
    <w:link w:val="CommentTextChar"/>
    <w:uiPriority w:val="99"/>
    <w:semiHidden/>
    <w:unhideWhenUsed/>
    <w:rsid w:val="00B10E7A"/>
    <w:rPr>
      <w:sz w:val="20"/>
      <w:szCs w:val="20"/>
    </w:rPr>
  </w:style>
  <w:style w:type="character" w:customStyle="1" w:styleId="CommentTextChar">
    <w:name w:val="Comment Text Char"/>
    <w:basedOn w:val="DefaultParagraphFont"/>
    <w:link w:val="CommentText"/>
    <w:uiPriority w:val="99"/>
    <w:semiHidden/>
    <w:rsid w:val="00B10E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0E7A"/>
    <w:rPr>
      <w:b/>
      <w:bCs/>
    </w:rPr>
  </w:style>
  <w:style w:type="character" w:customStyle="1" w:styleId="CommentSubjectChar">
    <w:name w:val="Comment Subject Char"/>
    <w:basedOn w:val="CommentTextChar"/>
    <w:link w:val="CommentSubject"/>
    <w:uiPriority w:val="99"/>
    <w:semiHidden/>
    <w:rsid w:val="00B10E7A"/>
    <w:rPr>
      <w:rFonts w:ascii="Times New Roman" w:eastAsia="Times New Roman" w:hAnsi="Times New Roman" w:cs="Times New Roman"/>
      <w:b/>
      <w:bCs/>
      <w:sz w:val="20"/>
      <w:szCs w:val="20"/>
    </w:rPr>
  </w:style>
  <w:style w:type="paragraph" w:styleId="Revision">
    <w:name w:val="Revision"/>
    <w:hidden/>
    <w:uiPriority w:val="99"/>
    <w:semiHidden/>
    <w:rsid w:val="00B10E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E7A"/>
    <w:rPr>
      <w:rFonts w:ascii="Tahoma" w:hAnsi="Tahoma" w:cs="Tahoma"/>
      <w:sz w:val="16"/>
      <w:szCs w:val="16"/>
    </w:rPr>
  </w:style>
  <w:style w:type="character" w:customStyle="1" w:styleId="BalloonTextChar">
    <w:name w:val="Balloon Text Char"/>
    <w:basedOn w:val="DefaultParagraphFont"/>
    <w:link w:val="BalloonText"/>
    <w:uiPriority w:val="99"/>
    <w:semiHidden/>
    <w:rsid w:val="00B10E7A"/>
    <w:rPr>
      <w:rFonts w:ascii="Tahoma" w:eastAsia="Times New Roman" w:hAnsi="Tahoma" w:cs="Tahoma"/>
      <w:sz w:val="16"/>
      <w:szCs w:val="16"/>
    </w:rPr>
  </w:style>
  <w:style w:type="paragraph" w:customStyle="1" w:styleId="Bids2para1">
    <w:name w:val="Bids 2 para 1"/>
    <w:basedOn w:val="Normal"/>
    <w:rsid w:val="004C6919"/>
    <w:pPr>
      <w:tabs>
        <w:tab w:val="left" w:pos="4536"/>
        <w:tab w:val="left" w:pos="6521"/>
      </w:tabs>
    </w:pPr>
    <w:rPr>
      <w:rFonts w:ascii="Arial" w:hAnsi="Arial"/>
      <w:szCs w:val="20"/>
      <w:lang w:val="en-GB" w:eastAsia="en-AU"/>
    </w:rPr>
  </w:style>
  <w:style w:type="character" w:customStyle="1" w:styleId="Style5Char">
    <w:name w:val="Style5 Char"/>
    <w:basedOn w:val="DefaultParagraphFont"/>
    <w:link w:val="Style5"/>
    <w:uiPriority w:val="99"/>
    <w:rsid w:val="00456772"/>
    <w:rPr>
      <w:rFonts w:ascii="Times New Roman" w:hAnsi="Times New Roman" w:cs="Times New Roman"/>
      <w:sz w:val="24"/>
      <w:szCs w:val="28"/>
      <w:u w:val="single"/>
    </w:rPr>
  </w:style>
  <w:style w:type="paragraph" w:customStyle="1" w:styleId="CABNETParagraph">
    <w:name w:val="CABNET Paragraph"/>
    <w:basedOn w:val="Normal"/>
    <w:link w:val="CABNETParagraphChar"/>
    <w:qFormat/>
    <w:rsid w:val="00456772"/>
    <w:pPr>
      <w:spacing w:before="120" w:after="120"/>
    </w:pPr>
    <w:rPr>
      <w:rFonts w:ascii="Verdana" w:eastAsiaTheme="minorHAnsi" w:hAnsi="Verdana" w:cstheme="minorBidi"/>
      <w:sz w:val="22"/>
      <w:szCs w:val="22"/>
    </w:rPr>
  </w:style>
  <w:style w:type="character" w:customStyle="1" w:styleId="CABNETParagraphChar">
    <w:name w:val="CABNET Paragraph Char"/>
    <w:basedOn w:val="DefaultParagraphFont"/>
    <w:link w:val="CABNETParagraph"/>
    <w:rsid w:val="00456772"/>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83187">
      <w:bodyDiv w:val="1"/>
      <w:marLeft w:val="0"/>
      <w:marRight w:val="0"/>
      <w:marTop w:val="0"/>
      <w:marBottom w:val="0"/>
      <w:divBdr>
        <w:top w:val="none" w:sz="0" w:space="0" w:color="auto"/>
        <w:left w:val="none" w:sz="0" w:space="0" w:color="auto"/>
        <w:bottom w:val="none" w:sz="0" w:space="0" w:color="auto"/>
        <w:right w:val="none" w:sz="0" w:space="0" w:color="auto"/>
      </w:divBdr>
    </w:div>
    <w:div w:id="1224099553">
      <w:bodyDiv w:val="1"/>
      <w:marLeft w:val="0"/>
      <w:marRight w:val="0"/>
      <w:marTop w:val="0"/>
      <w:marBottom w:val="0"/>
      <w:divBdr>
        <w:top w:val="none" w:sz="0" w:space="0" w:color="auto"/>
        <w:left w:val="none" w:sz="0" w:space="0" w:color="auto"/>
        <w:bottom w:val="none" w:sz="0" w:space="0" w:color="auto"/>
        <w:right w:val="none" w:sz="0" w:space="0" w:color="auto"/>
      </w:divBdr>
    </w:div>
    <w:div w:id="1546722013">
      <w:bodyDiv w:val="1"/>
      <w:marLeft w:val="0"/>
      <w:marRight w:val="0"/>
      <w:marTop w:val="0"/>
      <w:marBottom w:val="0"/>
      <w:divBdr>
        <w:top w:val="none" w:sz="0" w:space="0" w:color="auto"/>
        <w:left w:val="none" w:sz="0" w:space="0" w:color="auto"/>
        <w:bottom w:val="none" w:sz="0" w:space="0" w:color="auto"/>
        <w:right w:val="none" w:sz="0" w:space="0" w:color="auto"/>
      </w:divBdr>
    </w:div>
    <w:div w:id="20252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671D7-3278-4915-977B-C52F28E3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4617</Words>
  <Characters>26321</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Ravsan</dc:creator>
  <cp:lastModifiedBy>van Meurs, Tina</cp:lastModifiedBy>
  <cp:revision>2</cp:revision>
  <cp:lastPrinted>2014-05-29T04:40:00Z</cp:lastPrinted>
  <dcterms:created xsi:type="dcterms:W3CDTF">2014-06-25T04:05:00Z</dcterms:created>
  <dcterms:modified xsi:type="dcterms:W3CDTF">2014-06-25T04:05:00Z</dcterms:modified>
</cp:coreProperties>
</file>